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6BC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z w:val="52"/>
          <w:szCs w:val="52"/>
          <w:highlight w:val="none"/>
          <w:lang w:val="en-US" w:eastAsia="zh-CN"/>
        </w:rPr>
        <w:t>黄石市铁路建设投资有限公司</w:t>
      </w:r>
    </w:p>
    <w:p w14:paraId="1641C66D">
      <w:pPr>
        <w:jc w:val="center"/>
        <w:rPr>
          <w:snapToGrid w:val="0"/>
          <w:color w:val="000000"/>
          <w:sz w:val="24"/>
          <w:highlight w:val="none"/>
        </w:rPr>
      </w:pPr>
    </w:p>
    <w:p w14:paraId="465CEF0B">
      <w:pPr>
        <w:jc w:val="center"/>
        <w:rPr>
          <w:snapToGrid w:val="0"/>
          <w:color w:val="000000"/>
          <w:sz w:val="24"/>
          <w:highlight w:val="none"/>
        </w:rPr>
      </w:pPr>
    </w:p>
    <w:p w14:paraId="557FC2B5">
      <w:pPr>
        <w:rPr>
          <w:rFonts w:ascii="黑体" w:eastAsia="黑体"/>
          <w:snapToGrid w:val="0"/>
          <w:color w:val="000000"/>
          <w:sz w:val="24"/>
          <w:highlight w:val="none"/>
        </w:rPr>
      </w:pPr>
    </w:p>
    <w:p w14:paraId="1A686B01">
      <w:pPr>
        <w:rPr>
          <w:rFonts w:ascii="黑体" w:eastAsia="黑体"/>
          <w:snapToGrid w:val="0"/>
          <w:color w:val="000000"/>
          <w:sz w:val="24"/>
          <w:highlight w:val="none"/>
        </w:rPr>
      </w:pPr>
    </w:p>
    <w:p w14:paraId="6772DC06">
      <w:pPr>
        <w:rPr>
          <w:rFonts w:ascii="黑体" w:eastAsia="黑体"/>
          <w:snapToGrid w:val="0"/>
          <w:color w:val="000000"/>
          <w:sz w:val="24"/>
          <w:highlight w:val="none"/>
        </w:rPr>
      </w:pPr>
    </w:p>
    <w:p w14:paraId="0BD379A0">
      <w:pPr>
        <w:pStyle w:val="3"/>
        <w:ind w:firstLine="880"/>
        <w:jc w:val="center"/>
        <w:rPr>
          <w:rFonts w:hint="eastAsia" w:ascii="新宋体" w:hAnsi="新宋体" w:eastAsia="新宋体" w:cs="新宋体"/>
          <w:sz w:val="44"/>
          <w:szCs w:val="44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44"/>
          <w:szCs w:val="44"/>
          <w:u w:val="none"/>
          <w:lang w:val="en-US" w:eastAsia="zh-CN"/>
        </w:rPr>
        <w:t>黄石地方铁路棋盘洲综合站场起重机设备维修项目</w:t>
      </w:r>
    </w:p>
    <w:p w14:paraId="05CD6250">
      <w:pPr>
        <w:pStyle w:val="3"/>
        <w:ind w:firstLine="880"/>
        <w:jc w:val="center"/>
        <w:rPr>
          <w:rFonts w:hint="eastAsia" w:ascii="新宋体" w:hAnsi="新宋体" w:eastAsia="新宋体" w:cs="新宋体"/>
          <w:sz w:val="44"/>
          <w:szCs w:val="44"/>
          <w:u w:val="none"/>
          <w:lang w:val="en-US" w:eastAsia="zh-CN"/>
        </w:rPr>
      </w:pPr>
    </w:p>
    <w:p w14:paraId="4783AD3C">
      <w:pPr>
        <w:widowControl w:val="0"/>
        <w:autoSpaceDE w:val="0"/>
        <w:autoSpaceDN w:val="0"/>
        <w:adjustRightInd/>
        <w:spacing w:after="0" w:line="300" w:lineRule="auto"/>
        <w:jc w:val="center"/>
        <w:textAlignment w:val="baseline"/>
        <w:rPr>
          <w:rFonts w:ascii="宋体" w:hAnsi="宋体" w:eastAsia="宋体" w:cs="宋体"/>
          <w:b/>
          <w:bCs/>
          <w:sz w:val="72"/>
          <w:szCs w:val="44"/>
          <w:highlight w:val="none"/>
          <w:lang w:val="zh-CN" w:bidi="zh-CN"/>
        </w:rPr>
      </w:pPr>
      <w:r>
        <w:rPr>
          <w:rFonts w:hint="eastAsia" w:ascii="宋体" w:hAnsi="宋体" w:eastAsia="宋体" w:cs="黑体"/>
          <w:b/>
          <w:bCs/>
          <w:sz w:val="84"/>
          <w:szCs w:val="84"/>
          <w:highlight w:val="none"/>
          <w:lang w:bidi="zh-CN"/>
        </w:rPr>
        <w:t>询 价</w:t>
      </w:r>
      <w:r>
        <w:rPr>
          <w:rFonts w:hint="eastAsia" w:ascii="宋体" w:hAnsi="宋体" w:eastAsia="宋体" w:cs="黑体"/>
          <w:b/>
          <w:bCs/>
          <w:sz w:val="84"/>
          <w:szCs w:val="84"/>
          <w:highlight w:val="none"/>
          <w:lang w:val="zh-CN" w:bidi="zh-CN"/>
        </w:rPr>
        <w:t xml:space="preserve"> 文 件</w:t>
      </w:r>
    </w:p>
    <w:p w14:paraId="44F9B0DF">
      <w:pPr>
        <w:pStyle w:val="3"/>
        <w:ind w:firstLine="720"/>
        <w:rPr>
          <w:rFonts w:hAnsi="宋体" w:cs="宋体"/>
          <w:color w:val="000000"/>
          <w:sz w:val="36"/>
          <w:szCs w:val="36"/>
          <w:highlight w:val="none"/>
        </w:rPr>
      </w:pPr>
    </w:p>
    <w:p w14:paraId="6062392A">
      <w:pPr>
        <w:pStyle w:val="3"/>
        <w:ind w:firstLine="720"/>
        <w:rPr>
          <w:rFonts w:hAnsi="宋体" w:cs="宋体"/>
          <w:color w:val="000000"/>
          <w:sz w:val="36"/>
          <w:szCs w:val="36"/>
          <w:highlight w:val="none"/>
        </w:rPr>
      </w:pPr>
    </w:p>
    <w:p w14:paraId="7F872B27">
      <w:pPr>
        <w:pStyle w:val="3"/>
        <w:ind w:firstLine="720"/>
        <w:rPr>
          <w:rFonts w:hAnsi="宋体" w:cs="宋体"/>
          <w:color w:val="000000"/>
          <w:sz w:val="36"/>
          <w:szCs w:val="36"/>
          <w:highlight w:val="none"/>
        </w:rPr>
      </w:pPr>
    </w:p>
    <w:p w14:paraId="23594C7A">
      <w:pPr>
        <w:pStyle w:val="3"/>
        <w:ind w:firstLine="720"/>
        <w:rPr>
          <w:rFonts w:hAnsi="宋体" w:cs="宋体"/>
          <w:color w:val="000000"/>
          <w:sz w:val="36"/>
          <w:szCs w:val="36"/>
          <w:highlight w:val="none"/>
        </w:rPr>
      </w:pPr>
    </w:p>
    <w:p w14:paraId="46916683">
      <w:pPr>
        <w:pStyle w:val="3"/>
        <w:ind w:firstLine="720"/>
        <w:rPr>
          <w:rFonts w:hAnsi="宋体" w:cs="宋体"/>
          <w:color w:val="000000"/>
          <w:sz w:val="36"/>
          <w:szCs w:val="36"/>
          <w:highlight w:val="none"/>
        </w:rPr>
      </w:pPr>
    </w:p>
    <w:p w14:paraId="74BAEEBD">
      <w:pPr>
        <w:pStyle w:val="3"/>
        <w:ind w:firstLine="720"/>
        <w:rPr>
          <w:rFonts w:hAnsi="宋体" w:cs="宋体"/>
          <w:color w:val="000000"/>
          <w:sz w:val="36"/>
          <w:szCs w:val="36"/>
          <w:highlight w:val="none"/>
        </w:rPr>
      </w:pPr>
    </w:p>
    <w:p w14:paraId="329C7EE0">
      <w:pPr>
        <w:pStyle w:val="3"/>
        <w:ind w:firstLine="720"/>
        <w:rPr>
          <w:rFonts w:hAnsi="宋体" w:cs="宋体"/>
          <w:color w:val="000000"/>
          <w:sz w:val="36"/>
          <w:szCs w:val="36"/>
          <w:highlight w:val="none"/>
        </w:rPr>
      </w:pPr>
    </w:p>
    <w:p w14:paraId="7925D090">
      <w:pPr>
        <w:pStyle w:val="3"/>
        <w:rPr>
          <w:rFonts w:hint="eastAsia" w:hAnsi="宋体" w:cs="宋体"/>
          <w:color w:val="000000"/>
          <w:sz w:val="32"/>
          <w:szCs w:val="32"/>
          <w:highlight w:val="none"/>
        </w:rPr>
      </w:pPr>
    </w:p>
    <w:p w14:paraId="59DB3A50"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32"/>
          <w:highlight w:val="none"/>
          <w:lang w:val="en-US" w:eastAsia="zh-CN"/>
        </w:rPr>
      </w:pPr>
      <w:r>
        <w:rPr>
          <w:rFonts w:hint="eastAsia" w:hAnsi="宋体" w:cs="宋体"/>
          <w:color w:val="000000"/>
          <w:sz w:val="32"/>
          <w:szCs w:val="32"/>
          <w:highlight w:val="none"/>
        </w:rPr>
        <w:t>招   标   人：</w:t>
      </w:r>
      <w:r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  <w:t>黄石市铁路建设投资有限公司</w:t>
      </w:r>
    </w:p>
    <w:p w14:paraId="44C558AF">
      <w:pPr>
        <w:pStyle w:val="3"/>
        <w:jc w:val="both"/>
        <w:rPr>
          <w:rFonts w:hint="eastAsia" w:hAnsi="宋体" w:eastAsia="宋体" w:cs="宋体"/>
          <w:color w:val="000000"/>
          <w:sz w:val="32"/>
          <w:szCs w:val="32"/>
          <w:highlight w:val="none"/>
          <w:lang w:eastAsia="zh-CN"/>
        </w:rPr>
      </w:pPr>
    </w:p>
    <w:p w14:paraId="114366E8">
      <w:pPr>
        <w:ind w:firstLine="883"/>
        <w:jc w:val="center"/>
        <w:rPr>
          <w:rFonts w:ascii="宋体" w:hAnsi="宋体" w:cs="宋体"/>
          <w:b/>
          <w:bCs/>
          <w:color w:val="000000"/>
          <w:sz w:val="44"/>
          <w:highlight w:val="none"/>
        </w:rPr>
      </w:pPr>
    </w:p>
    <w:p w14:paraId="546D8BEA">
      <w:pPr>
        <w:ind w:firstLine="883"/>
        <w:jc w:val="center"/>
        <w:rPr>
          <w:rFonts w:hint="eastAsia" w:ascii="宋体" w:hAnsi="宋体" w:cs="宋体" w:eastAsiaTheme="minorEastAsia"/>
          <w:color w:val="000000"/>
          <w:sz w:val="24"/>
          <w:szCs w:val="24"/>
          <w:highlight w:val="none"/>
          <w:lang w:val="en-US" w:eastAsia="zh-CN"/>
        </w:rPr>
        <w:sectPr>
          <w:headerReference r:id="rId3" w:type="default"/>
          <w:footerReference r:id="rId4" w:type="default"/>
          <w:pgSz w:w="11910" w:h="16840"/>
          <w:pgMar w:top="1480" w:right="1420" w:bottom="1420" w:left="1360" w:header="1274" w:footer="1232" w:gutter="0"/>
          <w:cols w:space="720" w:num="1"/>
        </w:sectPr>
      </w:pPr>
      <w:r>
        <w:rPr>
          <w:rFonts w:hint="eastAsia" w:ascii="宋体" w:hAnsi="宋体" w:cs="宋体"/>
          <w:b/>
          <w:bCs/>
          <w:color w:val="000000"/>
          <w:sz w:val="36"/>
          <w:szCs w:val="16"/>
          <w:highlight w:val="none"/>
        </w:rPr>
        <w:t>202</w:t>
      </w:r>
      <w:r>
        <w:rPr>
          <w:rFonts w:hint="eastAsia" w:ascii="宋体" w:hAnsi="宋体" w:cs="宋体"/>
          <w:b/>
          <w:bCs/>
          <w:color w:val="000000"/>
          <w:sz w:val="36"/>
          <w:szCs w:val="16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sz w:val="36"/>
          <w:szCs w:val="16"/>
          <w:highlight w:val="none"/>
        </w:rPr>
        <w:t>年</w:t>
      </w:r>
      <w:r>
        <w:rPr>
          <w:rFonts w:hint="eastAsia" w:ascii="宋体" w:hAnsi="宋体" w:cs="宋体"/>
          <w:b/>
          <w:bCs/>
          <w:color w:val="000000"/>
          <w:sz w:val="36"/>
          <w:szCs w:val="16"/>
          <w:highlight w:val="none"/>
          <w:lang w:val="en-US" w:eastAsia="zh-CN"/>
        </w:rPr>
        <w:t>6月</w:t>
      </w:r>
    </w:p>
    <w:p w14:paraId="100961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color w:val="000000"/>
          <w:sz w:val="32"/>
          <w:szCs w:val="32"/>
          <w:highlight w:val="none"/>
          <w:u w:val="none"/>
          <w:lang w:val="en-US" w:eastAsia="zh-CN"/>
        </w:rPr>
      </w:pPr>
      <w:bookmarkStart w:id="0" w:name="_Toc28443"/>
    </w:p>
    <w:p w14:paraId="62F7D2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u w:val="none"/>
        </w:rPr>
        <w:t>公告</w:t>
      </w:r>
      <w:bookmarkEnd w:id="0"/>
    </w:p>
    <w:p w14:paraId="3F56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6B12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黄石市铁路建设投资有限公司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询价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的方式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对棋盘洲综合站场起重机设备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进行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维修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，欢迎符合资格条件的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供应商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 xml:space="preserve">参加。 </w:t>
      </w:r>
    </w:p>
    <w:p w14:paraId="32BFB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一、项目基本情况</w:t>
      </w:r>
    </w:p>
    <w:p w14:paraId="202C09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项目名称：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黄石地方铁路棋盘洲综合站场起重机设备维修项目</w:t>
      </w:r>
    </w:p>
    <w:p w14:paraId="33122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、项目需求：本项目位于黄石棋盘综合站场，2台2018年投产的MJ40.5-35集装箱门式起重机。因钢丝绳出现直径缩小、低压动力电缆出现短路、大车行走轮出现磨损情况，存在安全隐患。现需采购一家维修服务单位对起重机设备钢丝绳采购安装、行走轮加工及安装、低压动力电缆采购及更换（详见附件）。</w:t>
      </w:r>
    </w:p>
    <w:p w14:paraId="7B18C9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项目预算：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13.5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万元。</w:t>
      </w:r>
    </w:p>
    <w:p w14:paraId="1662F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付款方式：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起重机</w:t>
      </w:r>
      <w:r>
        <w:rPr>
          <w:rFonts w:hint="eastAsia" w:ascii="宋体" w:hAnsi="宋体" w:eastAsia="宋体" w:cs="宋体"/>
          <w:sz w:val="32"/>
          <w:szCs w:val="32"/>
        </w:rPr>
        <w:t>设备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维修</w:t>
      </w:r>
      <w:r>
        <w:rPr>
          <w:rFonts w:hint="eastAsia" w:ascii="宋体" w:hAnsi="宋体" w:eastAsia="宋体" w:cs="宋体"/>
          <w:sz w:val="32"/>
          <w:szCs w:val="32"/>
        </w:rPr>
        <w:t>完成并经验收合格后甲方向乙方支付至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结算</w:t>
      </w:r>
      <w:r>
        <w:rPr>
          <w:rFonts w:hint="eastAsia" w:ascii="宋体" w:hAnsi="宋体" w:eastAsia="宋体" w:cs="宋体"/>
          <w:sz w:val="32"/>
          <w:szCs w:val="32"/>
        </w:rPr>
        <w:t>合同总金额的95%；剩余5%作为质保金，待质保期满后一个月内付清，质保金不计利息。甲方在付款前乙方须按相关要求提供对应金额的增值税发票。</w:t>
      </w:r>
    </w:p>
    <w:p w14:paraId="3D8CF8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二、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  <w:t>询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 xml:space="preserve">价单位资格及要求 </w:t>
      </w:r>
    </w:p>
    <w:p w14:paraId="690522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1、本次招标要求投标人必须是在中华人民共和国境内注册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具备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行吊维修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资质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在有效期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的营业执照。</w:t>
      </w:r>
    </w:p>
    <w:p w14:paraId="4AFCBA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、投标人近三年（2022年5月至今）完成过2项合同金额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万元及以上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特种设备维修维保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项目，须提供中标通知书或合同协议书（承担过的工程项目时间以有效证明的落款时间为准）。招标人有权对投标单位提供的业绩进行核实，如发现提供虚假材料，将取消其投标资格，并报相关行政监督管理部门进行处理。</w:t>
      </w:r>
    </w:p>
    <w:p w14:paraId="57E354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、根据《关于在招标投标活动中对失信被执行人实施联合惩戒的通知》(法 [2016]285号)规定，须通过“信用中国”对投标企业进行信用查询，投标企业若在“失信被执行人”中的，其投标无效，查询结果以开标当天在“信用中国”网站查询结果为准。</w:t>
      </w:r>
    </w:p>
    <w:p w14:paraId="1998DA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4、投标人需根据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清单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详见附件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进行报价，未按要求提供过报价为无效标。</w:t>
      </w:r>
    </w:p>
    <w:p w14:paraId="5B2E5A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三、获取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文件</w:t>
      </w:r>
    </w:p>
    <w:p w14:paraId="3A12FE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1、本项目采用网上报名方式，从公告发布之日起至202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上午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9时30分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止，询价响应单位可从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黄石城市发展投资集团有限公司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官网上下载询价文件，按要求递交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报价文件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 xml:space="preserve">，否则其投标将不予接受。 </w:t>
      </w:r>
    </w:p>
    <w:p w14:paraId="5E7048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四、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 xml:space="preserve">询价响应文件递交截止及询价时间、地点 </w:t>
      </w:r>
    </w:p>
    <w:p w14:paraId="120EBC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供应商请于202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上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9时30分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止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前将询价表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报价明细表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（见附件）、营业执照和资质复印件（加盖公章）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密封好加盖骑缝章，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送至我公司（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黄石市开铁区金山大道百花车辆基地2号楼4楼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），逾期未送达者，视为自动弃权。</w:t>
      </w:r>
    </w:p>
    <w:p w14:paraId="5C265D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五、公告期限</w:t>
      </w:r>
    </w:p>
    <w:p w14:paraId="1BC7A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自本公告发布之日起3个日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历天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。</w:t>
      </w:r>
    </w:p>
    <w:p w14:paraId="3AE3AE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六、联系方式</w:t>
      </w:r>
    </w:p>
    <w:p w14:paraId="322F47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招标人信息</w:t>
      </w:r>
    </w:p>
    <w:p w14:paraId="69DAC0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名  称：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黄石市铁路建设投资有限公司</w:t>
      </w:r>
    </w:p>
    <w:p w14:paraId="52E9FC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联系人：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 xml:space="preserve">潘工          </w:t>
      </w:r>
    </w:p>
    <w:p w14:paraId="604002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电  话：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15172091120</w:t>
      </w:r>
    </w:p>
    <w:p w14:paraId="303F3E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 w14:paraId="1723891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5D3367D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40EEBBE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51819BD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7DF90DF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0E568F8D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ED88168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0A90905C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010EB2DE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709634F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02933AFB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ED36CEB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BCB97AA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75CBCAD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40AFFE5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F6E2FA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0E112AD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F1CB25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E7F57E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询 价 函</w:t>
      </w:r>
    </w:p>
    <w:p w14:paraId="74EEE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各报价单位：</w:t>
      </w:r>
    </w:p>
    <w:p w14:paraId="4FFD2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我公司以公开询价方式进行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黄石地方铁路棋盘洲综合站场起重机设备维修项目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的采购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，请于2025年6月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日上午9:30前将询价表、报价明细表、营业执照、资质文件、业绩文件等盖章密封（见附件）送至我公司（黄石市开铁区金山大道百花车辆基地2号楼4楼A112，联系人：潘工 联系电话：15172091120），逾期未送达者，视为自动弃权。</w:t>
      </w:r>
    </w:p>
    <w:p w14:paraId="0CC5F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一、项目名称：</w:t>
      </w:r>
    </w:p>
    <w:p w14:paraId="510D6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黄石山南地方铁路棋盘洲综合站场起重机设备维修项目。</w:t>
      </w:r>
    </w:p>
    <w:p w14:paraId="19432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二、维修工期：</w:t>
      </w:r>
    </w:p>
    <w:p w14:paraId="122336D2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合同签订之日起10天内完成</w:t>
      </w:r>
    </w:p>
    <w:p w14:paraId="7C5BD798">
      <w:pPr>
        <w:pStyle w:val="2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>资格条件：</w:t>
      </w:r>
    </w:p>
    <w:p w14:paraId="5126CA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1、本次招标要求投标人必须是在中华人民共和国境内注册、具备行吊维修资质、在有效期的营业执照。</w:t>
      </w:r>
    </w:p>
    <w:p w14:paraId="019A9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、投标人近三年（2022年5月至今）完成过2项合同金额10万元及以上特种设备维修维保项目，须提供中标通知书或合同协议书（承担过的工程项目时间以有效证明的落款时间为准）。招标人有权对投标单位提供的业绩进行核实，如发现提供虚假材料，将取消其投标资格，并报相关行政监督管理部门进行处理。</w:t>
      </w:r>
    </w:p>
    <w:p w14:paraId="2BAFB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3、根据《关于在招标投标活动中对失信被执行人实施联合惩戒的通知》(法 [2016]285号)规定，须通过“信用中国”对投标企业进行信用查询，投标企业若在“失信被执行人”中的，其投标无效，查询结果以开标当天在“信用中国”网站查询结果为准。</w:t>
      </w:r>
    </w:p>
    <w:p w14:paraId="554FA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4、投标人需根据项目清单（详见附件）进行报价，未按要求提供报价为无效标。</w:t>
      </w:r>
    </w:p>
    <w:p w14:paraId="217581A2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>四、最高限价：</w:t>
      </w:r>
    </w:p>
    <w:p w14:paraId="485956BF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总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  <w:t>控制价：13.5万元（含13%的税），超过最高限价无效。本项目采用最低价中标的原则。</w:t>
      </w:r>
    </w:p>
    <w:p w14:paraId="044F132C">
      <w:pPr>
        <w:pStyle w:val="2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  <w:t>结算方式：</w:t>
      </w:r>
    </w:p>
    <w:p w14:paraId="6EE47A95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  <w:t>按单价工程量据实结算。</w:t>
      </w:r>
    </w:p>
    <w:p w14:paraId="575C5CFB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  <w:t>六、付款条件：</w:t>
      </w:r>
    </w:p>
    <w:p w14:paraId="2B84916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起重机</w:t>
      </w:r>
      <w:r>
        <w:rPr>
          <w:rFonts w:hint="eastAsia" w:ascii="宋体" w:hAnsi="宋体" w:eastAsia="宋体" w:cs="宋体"/>
          <w:sz w:val="32"/>
          <w:szCs w:val="32"/>
        </w:rPr>
        <w:t>设备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维修</w:t>
      </w:r>
      <w:r>
        <w:rPr>
          <w:rFonts w:hint="eastAsia" w:ascii="宋体" w:hAnsi="宋体" w:eastAsia="宋体" w:cs="宋体"/>
          <w:sz w:val="32"/>
          <w:szCs w:val="32"/>
        </w:rPr>
        <w:t>完成并经验收合格后甲方向乙方支付至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结算</w:t>
      </w:r>
      <w:r>
        <w:rPr>
          <w:rFonts w:hint="eastAsia" w:ascii="宋体" w:hAnsi="宋体" w:eastAsia="宋体" w:cs="宋体"/>
          <w:sz w:val="32"/>
          <w:szCs w:val="32"/>
        </w:rPr>
        <w:t>合同总金额的95%；剩余5%作为质保金，待质保期满后一个月内付清，质保金不计利息。甲方在付款前乙方须按相关要求提供对应金额的增值税发票。</w:t>
      </w:r>
    </w:p>
    <w:p w14:paraId="1A89C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七、维修内容及要求：</w:t>
      </w:r>
    </w:p>
    <w:p w14:paraId="65FB8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1、起重机钢丝绳采购及更换工作：负责完成起重机钢丝绳的采购、拆卸及新钢丝绳的安装，新采购钢丝绳须符合GB/T 8918-2006《重要用途钢丝绳》等国家标准及设备技术要求。更换时，需提供钢丝绳出厂前的质量合格证明。确保钢丝绳的强度、韧性等指标满足设备运行安全需求。安装过程需严格遵循相关操作规程，安装完毕后进行张力调试及运行测试，确保钢丝绳运行平稳、无异常磨损。</w:t>
      </w:r>
    </w:p>
    <w:p w14:paraId="390F6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、起重机行走轮加工及更换工作：加工行走轮、拆除原有磨损的行走轮，安装符合起重机设计参数及运行要求的新行走轮。新行走轮材质应满足高强度、耐磨等特性，提供产品质量合格证、材质检验报告及力学性能检测报告。更换过程中，需对行走轮的安装位置、水平度、同轴度等关键参数进行精确校准与调整，更换完成后进行空载及负载运行测试，确保行走轮转动灵活、无异响，起重机行走平稳，各项运行参数符合安全标准。</w:t>
      </w:r>
    </w:p>
    <w:p w14:paraId="47679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3、动力电缆采购及更换工作：采购动力电缆、拆除原有老化、破损或规格不符的动力电缆，更换为型号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YJV22 3*25+1*10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的全新电缆。新电缆应符合GB/T 12706《额定电压1kV（Um = 1.2kV）到35kV（Um = 40.5kV）挤包绝缘电力电缆及附件》等相关国家标准，提供电缆出厂合格证、绝缘性能检测、导体电阻检测等质量证明文件。电缆敷设需严格按照施工规范进行，做好固定、防护及接线工作，确保电缆连接牢固、绝缘良好。更换完成后，对电缆进行绝缘电阻测试、耐压试验等电气性能检测，确保动力电缆运行安全可靠，满足设备正常运行的电力传输需求。（具体清单详见附件2）</w:t>
      </w:r>
    </w:p>
    <w:p w14:paraId="5EB1B43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附件：1.询价表</w:t>
      </w:r>
    </w:p>
    <w:p w14:paraId="2D49246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2.报价明细表</w:t>
      </w:r>
    </w:p>
    <w:p w14:paraId="3FEF508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672E9F69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黄石市铁路建设投资有限公司</w:t>
      </w:r>
    </w:p>
    <w:p w14:paraId="7F2BFCA6">
      <w:pPr>
        <w:pStyle w:val="2"/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 xml:space="preserve">                         2025年6月13日</w:t>
      </w:r>
    </w:p>
    <w:p w14:paraId="18E773AB">
      <w:pPr>
        <w:pStyle w:val="2"/>
        <w:rPr>
          <w:rFonts w:hint="eastAsia" w:ascii="宋体" w:hAnsi="宋体" w:eastAsia="宋体" w:cs="宋体"/>
          <w:color w:val="000000"/>
          <w:sz w:val="32"/>
          <w:szCs w:val="32"/>
          <w:u w:val="none"/>
        </w:rPr>
      </w:pPr>
    </w:p>
    <w:p w14:paraId="1654427B"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1F968E6"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D068710"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4A9B37C"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2F02F129">
      <w:pPr>
        <w:spacing w:line="600" w:lineRule="exac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询价表</w:t>
      </w:r>
    </w:p>
    <w:p w14:paraId="037958EC"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  <w:lang w:val="en-US" w:eastAsia="zh-CN"/>
        </w:rPr>
        <w:t>询  价  表</w:t>
      </w:r>
    </w:p>
    <w:tbl>
      <w:tblPr>
        <w:tblStyle w:val="6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8455"/>
      </w:tblGrid>
      <w:tr w14:paraId="2446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  <w:gridSpan w:val="2"/>
            <w:noWrap w:val="0"/>
            <w:vAlign w:val="top"/>
          </w:tcPr>
          <w:p w14:paraId="7FBDC77E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项目询价表</w:t>
            </w:r>
          </w:p>
        </w:tc>
      </w:tr>
      <w:tr w14:paraId="2D4B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07" w:type="dxa"/>
            <w:noWrap w:val="0"/>
            <w:vAlign w:val="center"/>
          </w:tcPr>
          <w:p w14:paraId="37B00CF5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455" w:type="dxa"/>
            <w:noWrap w:val="0"/>
            <w:vAlign w:val="top"/>
          </w:tcPr>
          <w:p w14:paraId="6936F2C2">
            <w:pPr>
              <w:spacing w:line="600" w:lineRule="exact"/>
              <w:ind w:firstLine="6160" w:firstLineChars="2200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05D5B9CE">
            <w:pPr>
              <w:spacing w:line="600" w:lineRule="exact"/>
              <w:ind w:firstLine="6160" w:firstLineChars="2200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（盖公章）</w:t>
            </w:r>
          </w:p>
        </w:tc>
      </w:tr>
      <w:tr w14:paraId="2897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07" w:type="dxa"/>
            <w:noWrap w:val="0"/>
            <w:vAlign w:val="center"/>
          </w:tcPr>
          <w:p w14:paraId="13E3CDA1">
            <w:pPr>
              <w:spacing w:line="60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8455" w:type="dxa"/>
            <w:noWrap w:val="0"/>
            <w:vAlign w:val="top"/>
          </w:tcPr>
          <w:p w14:paraId="75803440">
            <w:pPr>
              <w:spacing w:line="600" w:lineRule="exact"/>
              <w:rPr>
                <w:rFonts w:hint="eastAsia" w:ascii="宋体" w:hAnsi="宋体" w:eastAsia="宋体" w:cs="宋体"/>
                <w:strike/>
                <w:dstrike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；小写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50195E82">
            <w:pPr>
              <w:spacing w:line="600" w:lineRule="exact"/>
              <w:ind w:firstLine="2520" w:firstLineChars="900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248BF4B9">
            <w:pPr>
              <w:spacing w:line="600" w:lineRule="exact"/>
              <w:ind w:firstLine="2520" w:firstLineChars="900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（如大小写金额不一致视为无效）</w:t>
            </w:r>
          </w:p>
        </w:tc>
      </w:tr>
      <w:tr w14:paraId="308B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507" w:type="dxa"/>
            <w:noWrap w:val="0"/>
            <w:vAlign w:val="center"/>
          </w:tcPr>
          <w:p w14:paraId="240C9872"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8455" w:type="dxa"/>
            <w:noWrap w:val="0"/>
            <w:vAlign w:val="top"/>
          </w:tcPr>
          <w:p w14:paraId="2CF6EE96">
            <w:pPr>
              <w:spacing w:line="600" w:lineRule="exact"/>
              <w:ind w:firstLine="780"/>
              <w:jc w:val="left"/>
              <w:rPr>
                <w:rFonts w:hint="eastAsia" w:ascii="宋体" w:hAnsi="宋体" w:eastAsia="宋体" w:cs="宋体"/>
                <w:bCs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20"/>
                <w:sz w:val="28"/>
                <w:szCs w:val="28"/>
              </w:rPr>
              <w:t>我方响应</w:t>
            </w:r>
            <w:r>
              <w:rPr>
                <w:rFonts w:hint="eastAsia" w:ascii="宋体" w:hAnsi="宋体" w:eastAsia="宋体" w:cs="宋体"/>
                <w:bCs/>
                <w:spacing w:val="20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bCs/>
                <w:spacing w:val="20"/>
                <w:sz w:val="28"/>
                <w:szCs w:val="28"/>
              </w:rPr>
              <w:t>函内的工作内容及要求，完成相关工作。如我方中标</w:t>
            </w:r>
            <w:r>
              <w:rPr>
                <w:rFonts w:hint="eastAsia" w:ascii="宋体" w:hAnsi="宋体" w:eastAsia="宋体" w:cs="宋体"/>
                <w:bCs/>
                <w:spacing w:val="2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pacing w:val="20"/>
                <w:sz w:val="28"/>
                <w:szCs w:val="28"/>
              </w:rPr>
              <w:t>我方承诺在双方约定的期限内完成你方要求的工作。</w:t>
            </w:r>
          </w:p>
          <w:p w14:paraId="1AA104B5">
            <w:pPr>
              <w:spacing w:line="6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2E4F1AA"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7AB2B22">
      <w:pPr>
        <w:pStyle w:val="2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附件2：</w:t>
      </w:r>
    </w:p>
    <w:p w14:paraId="0435D57B">
      <w:pPr>
        <w:pStyle w:val="2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报价明细表 </w:t>
      </w:r>
    </w:p>
    <w:tbl>
      <w:tblPr>
        <w:tblStyle w:val="6"/>
        <w:tblW w:w="975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35"/>
        <w:gridCol w:w="2197"/>
        <w:gridCol w:w="795"/>
        <w:gridCol w:w="937"/>
        <w:gridCol w:w="952"/>
        <w:gridCol w:w="952"/>
        <w:gridCol w:w="1757"/>
      </w:tblGrid>
      <w:tr w14:paraId="226B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6398276D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335" w:type="dxa"/>
          </w:tcPr>
          <w:p w14:paraId="2B00EB8C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项目</w:t>
            </w:r>
          </w:p>
        </w:tc>
        <w:tc>
          <w:tcPr>
            <w:tcW w:w="2197" w:type="dxa"/>
          </w:tcPr>
          <w:p w14:paraId="36E4D603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795" w:type="dxa"/>
          </w:tcPr>
          <w:p w14:paraId="5B98722A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单位</w:t>
            </w:r>
          </w:p>
        </w:tc>
        <w:tc>
          <w:tcPr>
            <w:tcW w:w="937" w:type="dxa"/>
          </w:tcPr>
          <w:p w14:paraId="089AD5B1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数量</w:t>
            </w:r>
          </w:p>
        </w:tc>
        <w:tc>
          <w:tcPr>
            <w:tcW w:w="952" w:type="dxa"/>
          </w:tcPr>
          <w:p w14:paraId="4E5D8506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单价</w:t>
            </w:r>
          </w:p>
        </w:tc>
        <w:tc>
          <w:tcPr>
            <w:tcW w:w="952" w:type="dxa"/>
          </w:tcPr>
          <w:p w14:paraId="631F4853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总价</w:t>
            </w:r>
          </w:p>
        </w:tc>
        <w:tc>
          <w:tcPr>
            <w:tcW w:w="1757" w:type="dxa"/>
          </w:tcPr>
          <w:p w14:paraId="13C1A7EA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备注</w:t>
            </w:r>
          </w:p>
        </w:tc>
      </w:tr>
      <w:tr w14:paraId="4B72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25" w:type="dxa"/>
            <w:vAlign w:val="center"/>
          </w:tcPr>
          <w:p w14:paraId="0CC5B4A2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7288F2B1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钢丝绳</w:t>
            </w:r>
          </w:p>
        </w:tc>
        <w:tc>
          <w:tcPr>
            <w:tcW w:w="2197" w:type="dxa"/>
            <w:vAlign w:val="center"/>
          </w:tcPr>
          <w:p w14:paraId="75A99022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28NAT 6*36WS+IWR1870</w:t>
            </w:r>
          </w:p>
        </w:tc>
        <w:tc>
          <w:tcPr>
            <w:tcW w:w="795" w:type="dxa"/>
            <w:vAlign w:val="center"/>
          </w:tcPr>
          <w:p w14:paraId="629DD3FD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937" w:type="dxa"/>
            <w:vAlign w:val="center"/>
          </w:tcPr>
          <w:p w14:paraId="340B859E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704</w:t>
            </w:r>
          </w:p>
        </w:tc>
        <w:tc>
          <w:tcPr>
            <w:tcW w:w="952" w:type="dxa"/>
            <w:vAlign w:val="center"/>
          </w:tcPr>
          <w:p w14:paraId="3600B894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 w14:paraId="412B55F7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757" w:type="dxa"/>
            <w:vAlign w:val="center"/>
          </w:tcPr>
          <w:p w14:paraId="668BCFBC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2台</w:t>
            </w:r>
          </w:p>
        </w:tc>
      </w:tr>
      <w:tr w14:paraId="689C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5" w:type="dxa"/>
            <w:vAlign w:val="center"/>
          </w:tcPr>
          <w:p w14:paraId="31CBDD8D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52970877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行走轮</w:t>
            </w:r>
          </w:p>
        </w:tc>
        <w:tc>
          <w:tcPr>
            <w:tcW w:w="2197" w:type="dxa"/>
            <w:vAlign w:val="center"/>
          </w:tcPr>
          <w:p w14:paraId="58ECB39B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700mm*25mm</w:t>
            </w:r>
          </w:p>
        </w:tc>
        <w:tc>
          <w:tcPr>
            <w:tcW w:w="795" w:type="dxa"/>
            <w:vAlign w:val="center"/>
          </w:tcPr>
          <w:p w14:paraId="203402A3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件</w:t>
            </w:r>
          </w:p>
        </w:tc>
        <w:tc>
          <w:tcPr>
            <w:tcW w:w="937" w:type="dxa"/>
            <w:vAlign w:val="center"/>
          </w:tcPr>
          <w:p w14:paraId="1508008D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2" w:type="dxa"/>
            <w:vAlign w:val="center"/>
          </w:tcPr>
          <w:p w14:paraId="7984BA8B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 w14:paraId="19AE2770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757" w:type="dxa"/>
            <w:vAlign w:val="center"/>
          </w:tcPr>
          <w:p w14:paraId="13331DDB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320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25" w:type="dxa"/>
            <w:vAlign w:val="center"/>
          </w:tcPr>
          <w:p w14:paraId="438DB1E3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6E32C884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低压动力电缆</w:t>
            </w:r>
          </w:p>
        </w:tc>
        <w:tc>
          <w:tcPr>
            <w:tcW w:w="2197" w:type="dxa"/>
            <w:vAlign w:val="center"/>
          </w:tcPr>
          <w:p w14:paraId="2AF478B6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YJV22 3*25+1*10</w:t>
            </w:r>
          </w:p>
        </w:tc>
        <w:tc>
          <w:tcPr>
            <w:tcW w:w="795" w:type="dxa"/>
            <w:vAlign w:val="center"/>
          </w:tcPr>
          <w:p w14:paraId="2A7CC95A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937" w:type="dxa"/>
            <w:vAlign w:val="center"/>
          </w:tcPr>
          <w:p w14:paraId="1A99D740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约240</w:t>
            </w:r>
          </w:p>
        </w:tc>
        <w:tc>
          <w:tcPr>
            <w:tcW w:w="952" w:type="dxa"/>
            <w:vAlign w:val="center"/>
          </w:tcPr>
          <w:p w14:paraId="01CE11D2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 w14:paraId="7C316815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757" w:type="dxa"/>
            <w:vAlign w:val="center"/>
          </w:tcPr>
          <w:p w14:paraId="3AE0BF93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具体数量</w:t>
            </w:r>
          </w:p>
          <w:p w14:paraId="69B88364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现场量测</w:t>
            </w:r>
          </w:p>
        </w:tc>
      </w:tr>
      <w:tr w14:paraId="5614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25" w:type="dxa"/>
            <w:vAlign w:val="center"/>
          </w:tcPr>
          <w:p w14:paraId="750DB6D7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09DAEC68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总 价</w:t>
            </w:r>
          </w:p>
        </w:tc>
        <w:tc>
          <w:tcPr>
            <w:tcW w:w="2197" w:type="dxa"/>
            <w:vAlign w:val="center"/>
          </w:tcPr>
          <w:p w14:paraId="0C91D533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5532FCCE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 w14:paraId="5955BE98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 w14:paraId="27A29A0A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center"/>
          </w:tcPr>
          <w:p w14:paraId="149C296D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bookmarkStart w:id="1" w:name="_GoBack"/>
            <w:bookmarkEnd w:id="1"/>
          </w:p>
        </w:tc>
        <w:tc>
          <w:tcPr>
            <w:tcW w:w="1757" w:type="dxa"/>
            <w:vAlign w:val="center"/>
          </w:tcPr>
          <w:p w14:paraId="7098AEE4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（含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13%的增值税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）</w:t>
            </w:r>
          </w:p>
        </w:tc>
      </w:tr>
      <w:tr w14:paraId="7CB9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3BA1FE6A"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925" w:type="dxa"/>
            <w:gridSpan w:val="7"/>
            <w:vAlign w:val="top"/>
          </w:tcPr>
          <w:p w14:paraId="2A7186CC">
            <w:pPr>
              <w:pStyle w:val="2"/>
              <w:jc w:val="both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以上报价均包含：采购（加工）、安拆、调试、运输、起重吊装、税费等一切费用。</w:t>
            </w:r>
          </w:p>
          <w:p w14:paraId="7106DF3C">
            <w:pPr>
              <w:pStyle w:val="2"/>
              <w:jc w:val="both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质保期：行走轮及电缆质保均为三年，钢丝绳质保三年或单台货运量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60万吨（以先到为准）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eastAsia="zh-CN"/>
              </w:rPr>
              <w:t>。</w:t>
            </w:r>
          </w:p>
        </w:tc>
      </w:tr>
    </w:tbl>
    <w:p w14:paraId="4F7F3EA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02115956"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单位公章：</w:t>
      </w:r>
    </w:p>
    <w:p w14:paraId="42E8D3ED"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AE104">
    <w:pPr>
      <w:pStyle w:val="4"/>
      <w:ind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2EF3E">
    <w:pPr>
      <w:pBdr>
        <w:bottom w:val="none" w:color="auto" w:sz="0" w:space="1"/>
      </w:pBd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A8AE8"/>
    <w:multiLevelType w:val="singleLevel"/>
    <w:tmpl w:val="AD4A8AE8"/>
    <w:lvl w:ilvl="0" w:tentative="0">
      <w:start w:val="5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EAE19A89"/>
    <w:multiLevelType w:val="singleLevel"/>
    <w:tmpl w:val="EAE19A89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5182D"/>
    <w:rsid w:val="01161381"/>
    <w:rsid w:val="01AF0E8E"/>
    <w:rsid w:val="03351867"/>
    <w:rsid w:val="034E2BA6"/>
    <w:rsid w:val="03CC5D27"/>
    <w:rsid w:val="042356FD"/>
    <w:rsid w:val="04815948"/>
    <w:rsid w:val="048D08B6"/>
    <w:rsid w:val="09DB3168"/>
    <w:rsid w:val="0C2A4705"/>
    <w:rsid w:val="0C882A07"/>
    <w:rsid w:val="0F60148A"/>
    <w:rsid w:val="0F8B2D68"/>
    <w:rsid w:val="12FE1C75"/>
    <w:rsid w:val="13017A72"/>
    <w:rsid w:val="15581B10"/>
    <w:rsid w:val="15D66ED9"/>
    <w:rsid w:val="17A0779F"/>
    <w:rsid w:val="19A90B8D"/>
    <w:rsid w:val="19F17E3E"/>
    <w:rsid w:val="1C4E5A1B"/>
    <w:rsid w:val="1D5F1562"/>
    <w:rsid w:val="1E8C282B"/>
    <w:rsid w:val="20825C93"/>
    <w:rsid w:val="22FF0959"/>
    <w:rsid w:val="23F45F11"/>
    <w:rsid w:val="24CF32FF"/>
    <w:rsid w:val="25A55F80"/>
    <w:rsid w:val="263E440B"/>
    <w:rsid w:val="287C1B46"/>
    <w:rsid w:val="28885E11"/>
    <w:rsid w:val="29CA2459"/>
    <w:rsid w:val="29D71745"/>
    <w:rsid w:val="2A1536D4"/>
    <w:rsid w:val="2B0379D1"/>
    <w:rsid w:val="2B1A5504"/>
    <w:rsid w:val="2B385681"/>
    <w:rsid w:val="2C091017"/>
    <w:rsid w:val="2C4958B7"/>
    <w:rsid w:val="2CB73169"/>
    <w:rsid w:val="2D0363AE"/>
    <w:rsid w:val="2D5409B8"/>
    <w:rsid w:val="2E7928F6"/>
    <w:rsid w:val="2E7F7CB6"/>
    <w:rsid w:val="2F340201"/>
    <w:rsid w:val="304E16EE"/>
    <w:rsid w:val="305C33C4"/>
    <w:rsid w:val="31A87524"/>
    <w:rsid w:val="33244988"/>
    <w:rsid w:val="345D2848"/>
    <w:rsid w:val="34A71D15"/>
    <w:rsid w:val="37467128"/>
    <w:rsid w:val="3A661D2A"/>
    <w:rsid w:val="3DEC2546"/>
    <w:rsid w:val="3E1B103A"/>
    <w:rsid w:val="3EC46123"/>
    <w:rsid w:val="3EFA44B1"/>
    <w:rsid w:val="3F724CCD"/>
    <w:rsid w:val="3FB00195"/>
    <w:rsid w:val="405426F8"/>
    <w:rsid w:val="40FE2CBD"/>
    <w:rsid w:val="41C51A2C"/>
    <w:rsid w:val="42701998"/>
    <w:rsid w:val="43713C1A"/>
    <w:rsid w:val="44C24001"/>
    <w:rsid w:val="44D206E8"/>
    <w:rsid w:val="467D0B27"/>
    <w:rsid w:val="47881532"/>
    <w:rsid w:val="48BD345D"/>
    <w:rsid w:val="49B91E77"/>
    <w:rsid w:val="4E1301C4"/>
    <w:rsid w:val="4E3908C2"/>
    <w:rsid w:val="4EF94AC3"/>
    <w:rsid w:val="50C4704C"/>
    <w:rsid w:val="53625352"/>
    <w:rsid w:val="54570E6F"/>
    <w:rsid w:val="545A24A8"/>
    <w:rsid w:val="55CA71B9"/>
    <w:rsid w:val="583D3C73"/>
    <w:rsid w:val="594326A4"/>
    <w:rsid w:val="5A100247"/>
    <w:rsid w:val="5B1F728F"/>
    <w:rsid w:val="5B303F63"/>
    <w:rsid w:val="5C3B2BBF"/>
    <w:rsid w:val="5DA36C6E"/>
    <w:rsid w:val="5F0C25F1"/>
    <w:rsid w:val="64216B3E"/>
    <w:rsid w:val="660E4375"/>
    <w:rsid w:val="66116DA4"/>
    <w:rsid w:val="67D06F86"/>
    <w:rsid w:val="67D570AB"/>
    <w:rsid w:val="6813006B"/>
    <w:rsid w:val="68480F25"/>
    <w:rsid w:val="68F104D9"/>
    <w:rsid w:val="69140A20"/>
    <w:rsid w:val="699F17F8"/>
    <w:rsid w:val="6B146AB5"/>
    <w:rsid w:val="7075182D"/>
    <w:rsid w:val="70AB20B2"/>
    <w:rsid w:val="727A60B5"/>
    <w:rsid w:val="73CF3EC1"/>
    <w:rsid w:val="74982505"/>
    <w:rsid w:val="755328D0"/>
    <w:rsid w:val="77336590"/>
    <w:rsid w:val="7AC1208A"/>
    <w:rsid w:val="7BEC4FE4"/>
    <w:rsid w:val="7E9E696A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kern w:val="2"/>
      <w:sz w:val="28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2626</Words>
  <Characters>2819</Characters>
  <Lines>0</Lines>
  <Paragraphs>0</Paragraphs>
  <TotalTime>20</TotalTime>
  <ScaleCrop>false</ScaleCrop>
  <LinksUpToDate>false</LinksUpToDate>
  <CharactersWithSpaces>2968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2020-03-30T09:13:00Z</dcterms:created>
  <dc:creator>E卡卡1389000477</dc:creator>
  <cp:lastModifiedBy>南方</cp:lastModifiedBy>
  <cp:lastPrinted>2025-06-13T02:34:41Z</cp:lastPrinted>
  <dcterms:modified xsi:type="dcterms:W3CDTF">2025-06-13T02:45:12Z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eyJoZGlkIjoiZGQxZjU4ZjNkODAxM2UzMWQ0ODQxYzU0N2U4OWE4ODgiLCJ1c2VySWQiOiI0NjQzMDU4NTcifQ==</vt:lpwstr>
  </property>
  <property fmtid="{D5CDD505-2E9C-101B-9397-08002B2CF9AE}" pid="4" name="ICV">
    <vt:lpwstr>1CF0864C46F14DD9B794F4480ED97CB1_12</vt:lpwstr>
  </property>
</Properties>
</file>