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DF03D">
      <w:pPr>
        <w:shd w:val="clear"/>
        <w:tabs>
          <w:tab w:val="left" w:pos="1418"/>
        </w:tabs>
        <w:snapToGrid w:val="0"/>
        <w:spacing w:line="300" w:lineRule="auto"/>
        <w:rPr>
          <w:rFonts w:hint="eastAsia" w:ascii="宋体" w:hAnsi="宋体" w:eastAsia="宋体" w:cs="宋体"/>
          <w:b w:val="0"/>
          <w:bCs/>
          <w:kern w:val="0"/>
          <w:sz w:val="44"/>
          <w:szCs w:val="44"/>
          <w:highlight w:val="none"/>
        </w:rPr>
      </w:pPr>
    </w:p>
    <w:p w14:paraId="076C50CB">
      <w:pPr>
        <w:shd w:val="clear"/>
        <w:snapToGrid w:val="0"/>
        <w:spacing w:line="300" w:lineRule="auto"/>
        <w:rPr>
          <w:rFonts w:hint="eastAsia" w:ascii="宋体" w:hAnsi="宋体" w:eastAsia="宋体" w:cs="宋体"/>
          <w:b w:val="0"/>
          <w:bCs/>
          <w:kern w:val="0"/>
          <w:sz w:val="44"/>
          <w:szCs w:val="44"/>
          <w:highlight w:val="none"/>
        </w:rPr>
      </w:pPr>
    </w:p>
    <w:p w14:paraId="0625CE0C">
      <w:pPr>
        <w:shd w:val="clear"/>
        <w:jc w:val="center"/>
        <w:rPr>
          <w:rFonts w:hint="eastAsia" w:ascii="宋体" w:hAnsi="宋体" w:eastAsia="宋体" w:cs="宋体"/>
          <w:b/>
          <w:bCs w:val="0"/>
          <w:sz w:val="52"/>
          <w:szCs w:val="52"/>
          <w:highlight w:val="none"/>
          <w:lang w:val="en-US" w:eastAsia="zh-CN"/>
        </w:rPr>
      </w:pPr>
      <w:r>
        <w:rPr>
          <w:rFonts w:hint="eastAsia" w:ascii="宋体" w:hAnsi="宋体" w:cs="宋体"/>
          <w:b/>
          <w:bCs w:val="0"/>
          <w:sz w:val="48"/>
          <w:szCs w:val="48"/>
          <w:highlight w:val="none"/>
          <w:lang w:eastAsia="zh-CN"/>
        </w:rPr>
        <w:t>古县成品油流通智慧监管数据采集项目</w:t>
      </w:r>
    </w:p>
    <w:p w14:paraId="55A2A0BC">
      <w:pPr>
        <w:shd w:val="clear"/>
        <w:rPr>
          <w:rFonts w:hint="eastAsia" w:ascii="宋体" w:hAnsi="宋体" w:eastAsia="宋体" w:cs="宋体"/>
          <w:b w:val="0"/>
          <w:bCs/>
          <w:highlight w:val="none"/>
        </w:rPr>
      </w:pPr>
    </w:p>
    <w:p w14:paraId="7439B5E8">
      <w:pPr>
        <w:shd w:val="clear"/>
        <w:rPr>
          <w:rFonts w:hint="eastAsia" w:ascii="宋体" w:hAnsi="宋体" w:eastAsia="宋体" w:cs="宋体"/>
          <w:b w:val="0"/>
          <w:bCs/>
          <w:color w:val="000000"/>
          <w:sz w:val="28"/>
          <w:szCs w:val="28"/>
          <w:highlight w:val="none"/>
        </w:rPr>
      </w:pPr>
    </w:p>
    <w:p w14:paraId="7B946F71">
      <w:pPr>
        <w:pStyle w:val="8"/>
        <w:shd w:val="clear"/>
        <w:rPr>
          <w:rFonts w:hint="eastAsia" w:ascii="宋体" w:hAnsi="宋体" w:eastAsia="宋体" w:cs="宋体"/>
          <w:b w:val="0"/>
          <w:bCs/>
          <w:highlight w:val="none"/>
          <w:lang w:eastAsia="zh-CN"/>
        </w:rPr>
      </w:pPr>
    </w:p>
    <w:p w14:paraId="493C0BC6">
      <w:pPr>
        <w:pStyle w:val="8"/>
        <w:shd w:val="clear"/>
        <w:rPr>
          <w:rFonts w:hint="default" w:ascii="宋体" w:hAnsi="宋体" w:eastAsia="宋体" w:cs="宋体"/>
          <w:b w:val="0"/>
          <w:bCs/>
          <w:highlight w:val="none"/>
          <w:lang w:val="en-US" w:eastAsia="zh-CN"/>
        </w:rPr>
      </w:pPr>
      <w:r>
        <w:rPr>
          <w:rFonts w:hint="eastAsia" w:ascii="宋体" w:hAnsi="宋体" w:cs="宋体"/>
          <w:b w:val="0"/>
          <w:bCs/>
          <w:highlight w:val="none"/>
          <w:lang w:val="en-US" w:eastAsia="zh-CN"/>
        </w:rPr>
        <w:t xml:space="preserve"> </w:t>
      </w:r>
    </w:p>
    <w:p w14:paraId="130AB07C">
      <w:pPr>
        <w:pStyle w:val="8"/>
        <w:shd w:val="clear"/>
        <w:rPr>
          <w:rFonts w:hint="eastAsia" w:ascii="宋体" w:hAnsi="宋体" w:eastAsia="宋体" w:cs="宋体"/>
          <w:b w:val="0"/>
          <w:bCs/>
          <w:highlight w:val="none"/>
          <w:lang w:eastAsia="zh-CN"/>
        </w:rPr>
      </w:pPr>
    </w:p>
    <w:p w14:paraId="673C8992">
      <w:pPr>
        <w:pStyle w:val="8"/>
        <w:shd w:val="clear"/>
        <w:rPr>
          <w:rFonts w:hint="eastAsia" w:ascii="宋体" w:hAnsi="宋体" w:eastAsia="宋体" w:cs="宋体"/>
          <w:b w:val="0"/>
          <w:bCs/>
          <w:highlight w:val="none"/>
          <w:lang w:eastAsia="zh-CN"/>
        </w:rPr>
      </w:pPr>
    </w:p>
    <w:p w14:paraId="2F1EF6C6">
      <w:pPr>
        <w:pStyle w:val="8"/>
        <w:shd w:val="clear"/>
        <w:rPr>
          <w:rFonts w:hint="eastAsia" w:ascii="宋体" w:hAnsi="宋体" w:eastAsia="宋体" w:cs="宋体"/>
          <w:b w:val="0"/>
          <w:bCs/>
          <w:highlight w:val="none"/>
        </w:rPr>
      </w:pPr>
    </w:p>
    <w:p w14:paraId="0B00D649">
      <w:pPr>
        <w:pStyle w:val="8"/>
        <w:shd w:val="clear"/>
        <w:rPr>
          <w:rFonts w:hint="eastAsia" w:ascii="宋体" w:hAnsi="宋体" w:eastAsia="宋体" w:cs="宋体"/>
          <w:b w:val="0"/>
          <w:bCs/>
          <w:highlight w:val="none"/>
        </w:rPr>
      </w:pPr>
    </w:p>
    <w:p w14:paraId="5D490F52">
      <w:pPr>
        <w:shd w:val="clear"/>
        <w:jc w:val="center"/>
        <w:rPr>
          <w:rFonts w:hint="eastAsia" w:ascii="宋体" w:hAnsi="宋体" w:eastAsia="宋体" w:cs="宋体"/>
          <w:b/>
          <w:bCs w:val="0"/>
          <w:color w:val="000000"/>
          <w:sz w:val="100"/>
          <w:szCs w:val="100"/>
          <w:highlight w:val="none"/>
        </w:rPr>
      </w:pPr>
      <w:r>
        <w:rPr>
          <w:rFonts w:hint="eastAsia" w:ascii="宋体" w:hAnsi="宋体" w:eastAsia="宋体" w:cs="宋体"/>
          <w:b/>
          <w:bCs w:val="0"/>
          <w:color w:val="000000"/>
          <w:sz w:val="100"/>
          <w:szCs w:val="100"/>
          <w:highlight w:val="none"/>
        </w:rPr>
        <w:t>招 标 文 件</w:t>
      </w:r>
    </w:p>
    <w:p w14:paraId="0AD607CC">
      <w:pPr>
        <w:shd w:val="clear"/>
        <w:jc w:val="center"/>
        <w:rPr>
          <w:rFonts w:hint="eastAsia" w:ascii="宋体" w:hAnsi="宋体" w:eastAsia="宋体" w:cs="宋体"/>
          <w:b w:val="0"/>
          <w:bCs/>
          <w:color w:val="000000"/>
          <w:sz w:val="36"/>
          <w:szCs w:val="36"/>
          <w:highlight w:val="none"/>
        </w:rPr>
      </w:pPr>
    </w:p>
    <w:p w14:paraId="53041A87">
      <w:pPr>
        <w:shd w:val="clear"/>
        <w:jc w:val="center"/>
        <w:rPr>
          <w:rFonts w:hint="eastAsia" w:ascii="宋体" w:hAnsi="宋体" w:eastAsia="宋体" w:cs="宋体"/>
          <w:b w:val="0"/>
          <w:bCs/>
          <w:color w:val="auto"/>
          <w:sz w:val="36"/>
          <w:szCs w:val="36"/>
          <w:highlight w:val="none"/>
          <w:lang w:eastAsia="zh-CN"/>
        </w:rPr>
      </w:pPr>
      <w:r>
        <w:rPr>
          <w:rFonts w:hint="eastAsia" w:ascii="宋体" w:hAnsi="宋体" w:cs="宋体"/>
          <w:b/>
          <w:bCs w:val="0"/>
          <w:color w:val="auto"/>
          <w:sz w:val="36"/>
          <w:szCs w:val="36"/>
          <w:highlight w:val="none"/>
          <w:lang w:val="en-US" w:eastAsia="zh-CN"/>
        </w:rPr>
        <w:t>项目</w:t>
      </w:r>
      <w:r>
        <w:rPr>
          <w:rFonts w:hint="eastAsia" w:ascii="宋体" w:hAnsi="宋体" w:eastAsia="宋体" w:cs="宋体"/>
          <w:b/>
          <w:bCs w:val="0"/>
          <w:color w:val="auto"/>
          <w:sz w:val="36"/>
          <w:szCs w:val="36"/>
          <w:highlight w:val="none"/>
        </w:rPr>
        <w:t>编号：1410252025AGK00044</w:t>
      </w:r>
      <w:r>
        <w:rPr>
          <w:rFonts w:hint="eastAsia" w:ascii="宋体" w:hAnsi="宋体" w:cs="宋体"/>
          <w:b w:val="0"/>
          <w:bCs/>
          <w:color w:val="auto"/>
          <w:sz w:val="36"/>
          <w:szCs w:val="36"/>
          <w:highlight w:val="none"/>
          <w:lang w:val="en-US" w:eastAsia="zh-CN"/>
        </w:rPr>
        <w:t xml:space="preserve"> </w:t>
      </w:r>
    </w:p>
    <w:p w14:paraId="0ABADCE8">
      <w:pPr>
        <w:shd w:val="clear"/>
        <w:jc w:val="center"/>
        <w:rPr>
          <w:rFonts w:hint="eastAsia" w:ascii="宋体" w:hAnsi="宋体" w:eastAsia="宋体" w:cs="宋体"/>
          <w:b w:val="0"/>
          <w:bCs/>
          <w:highlight w:val="none"/>
          <w:lang w:eastAsia="zh-CN"/>
        </w:rPr>
      </w:pPr>
    </w:p>
    <w:p w14:paraId="433706D1">
      <w:pPr>
        <w:shd w:val="clear"/>
        <w:rPr>
          <w:rFonts w:hint="eastAsia" w:ascii="宋体" w:hAnsi="宋体" w:eastAsia="宋体" w:cs="宋体"/>
          <w:b w:val="0"/>
          <w:bCs/>
          <w:highlight w:val="none"/>
        </w:rPr>
      </w:pPr>
    </w:p>
    <w:p w14:paraId="7F9BF09E">
      <w:pPr>
        <w:shd w:val="clear"/>
        <w:rPr>
          <w:rFonts w:hint="eastAsia" w:ascii="宋体" w:hAnsi="宋体" w:eastAsia="宋体" w:cs="宋体"/>
          <w:b w:val="0"/>
          <w:bCs/>
          <w:highlight w:val="none"/>
        </w:rPr>
      </w:pPr>
    </w:p>
    <w:p w14:paraId="5C9D1B71">
      <w:pPr>
        <w:shd w:val="clear"/>
        <w:rPr>
          <w:rFonts w:hint="eastAsia" w:ascii="宋体" w:hAnsi="宋体" w:eastAsia="宋体" w:cs="宋体"/>
          <w:b w:val="0"/>
          <w:bCs/>
          <w:highlight w:val="none"/>
        </w:rPr>
      </w:pPr>
    </w:p>
    <w:p w14:paraId="22EB62C0">
      <w:pPr>
        <w:shd w:val="clear"/>
        <w:rPr>
          <w:rFonts w:hint="eastAsia" w:ascii="宋体" w:hAnsi="宋体" w:eastAsia="宋体" w:cs="宋体"/>
          <w:b w:val="0"/>
          <w:bCs/>
          <w:highlight w:val="none"/>
        </w:rPr>
      </w:pPr>
    </w:p>
    <w:p w14:paraId="621D57BB">
      <w:pPr>
        <w:pStyle w:val="30"/>
        <w:shd w:val="clear"/>
        <w:rPr>
          <w:rFonts w:hint="eastAsia" w:ascii="宋体" w:hAnsi="宋体" w:eastAsia="宋体" w:cs="宋体"/>
          <w:b w:val="0"/>
          <w:bCs/>
          <w:highlight w:val="none"/>
        </w:rPr>
      </w:pPr>
    </w:p>
    <w:p w14:paraId="5B155826">
      <w:pPr>
        <w:shd w:val="clear"/>
        <w:rPr>
          <w:rFonts w:hint="eastAsia" w:ascii="宋体" w:hAnsi="宋体" w:eastAsia="宋体" w:cs="宋体"/>
          <w:b w:val="0"/>
          <w:bCs/>
          <w:highlight w:val="none"/>
        </w:rPr>
      </w:pPr>
    </w:p>
    <w:p w14:paraId="65731AD1">
      <w:pPr>
        <w:shd w:val="clear"/>
        <w:rPr>
          <w:rFonts w:hint="eastAsia" w:ascii="宋体" w:hAnsi="宋体" w:eastAsia="宋体" w:cs="宋体"/>
          <w:b w:val="0"/>
          <w:bCs/>
          <w:highlight w:val="none"/>
        </w:rPr>
      </w:pPr>
      <w:r>
        <w:rPr>
          <w:rFonts w:hint="eastAsia" w:ascii="宋体" w:hAnsi="宋体" w:eastAsia="宋体" w:cs="宋体"/>
          <w:b w:val="0"/>
          <w:bCs/>
          <w:sz w:val="36"/>
          <w:szCs w:val="36"/>
          <w:highlight w:val="none"/>
        </w:rPr>
        <w:drawing>
          <wp:anchor distT="0" distB="0" distL="114300" distR="114300" simplePos="0" relativeHeight="251668480" behindDoc="1" locked="0" layoutInCell="1" allowOverlap="1">
            <wp:simplePos x="0" y="0"/>
            <wp:positionH relativeFrom="column">
              <wp:posOffset>3865245</wp:posOffset>
            </wp:positionH>
            <wp:positionV relativeFrom="paragraph">
              <wp:posOffset>7412990</wp:posOffset>
            </wp:positionV>
            <wp:extent cx="3752215" cy="3549015"/>
            <wp:effectExtent l="0" t="0" r="6985" b="6985"/>
            <wp:wrapNone/>
            <wp:docPr id="17" name="图片 2" descr="7867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786786-03"/>
                    <pic:cNvPicPr>
                      <a:picLocks noChangeAspect="1"/>
                    </pic:cNvPicPr>
                  </pic:nvPicPr>
                  <pic:blipFill>
                    <a:blip r:embed="rId12"/>
                    <a:stretch>
                      <a:fillRect/>
                    </a:stretch>
                  </pic:blipFill>
                  <pic:spPr>
                    <a:xfrm>
                      <a:off x="0" y="0"/>
                      <a:ext cx="3752215" cy="3549015"/>
                    </a:xfrm>
                    <a:prstGeom prst="rect">
                      <a:avLst/>
                    </a:prstGeom>
                    <a:noFill/>
                    <a:ln>
                      <a:noFill/>
                    </a:ln>
                  </pic:spPr>
                </pic:pic>
              </a:graphicData>
            </a:graphic>
          </wp:anchor>
        </w:drawing>
      </w:r>
    </w:p>
    <w:p w14:paraId="3559577D">
      <w:pPr>
        <w:shd w:val="clear"/>
        <w:rPr>
          <w:rFonts w:hint="eastAsia" w:ascii="宋体" w:hAnsi="宋体" w:eastAsia="宋体" w:cs="宋体"/>
          <w:b w:val="0"/>
          <w:bCs/>
          <w:highlight w:val="none"/>
        </w:rPr>
      </w:pPr>
    </w:p>
    <w:p w14:paraId="2BF5DB8C">
      <w:pPr>
        <w:shd w:val="clear"/>
        <w:rPr>
          <w:rFonts w:hint="eastAsia" w:ascii="宋体" w:hAnsi="宋体" w:eastAsia="宋体" w:cs="宋体"/>
          <w:b w:val="0"/>
          <w:bCs/>
          <w:highlight w:val="none"/>
        </w:rPr>
      </w:pPr>
      <w:r>
        <w:rPr>
          <w:rFonts w:hint="eastAsia" w:ascii="宋体" w:hAnsi="宋体" w:eastAsia="宋体" w:cs="宋体"/>
          <w:b w:val="0"/>
          <w:bCs/>
          <w:sz w:val="36"/>
          <w:szCs w:val="36"/>
          <w:highlight w:val="none"/>
        </w:rPr>
        <w:drawing>
          <wp:anchor distT="0" distB="0" distL="114300" distR="114300" simplePos="0" relativeHeight="251669504" behindDoc="1" locked="0" layoutInCell="1" allowOverlap="1">
            <wp:simplePos x="0" y="0"/>
            <wp:positionH relativeFrom="column">
              <wp:posOffset>3865245</wp:posOffset>
            </wp:positionH>
            <wp:positionV relativeFrom="paragraph">
              <wp:posOffset>7412990</wp:posOffset>
            </wp:positionV>
            <wp:extent cx="3752215" cy="3549015"/>
            <wp:effectExtent l="0" t="0" r="6985" b="6985"/>
            <wp:wrapNone/>
            <wp:docPr id="19" name="图片 2" descr="7867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786786-03"/>
                    <pic:cNvPicPr>
                      <a:picLocks noChangeAspect="1"/>
                    </pic:cNvPicPr>
                  </pic:nvPicPr>
                  <pic:blipFill>
                    <a:blip r:embed="rId12"/>
                    <a:stretch>
                      <a:fillRect/>
                    </a:stretch>
                  </pic:blipFill>
                  <pic:spPr>
                    <a:xfrm>
                      <a:off x="0" y="0"/>
                      <a:ext cx="3752215" cy="3549015"/>
                    </a:xfrm>
                    <a:prstGeom prst="rect">
                      <a:avLst/>
                    </a:prstGeom>
                    <a:noFill/>
                    <a:ln>
                      <a:noFill/>
                    </a:ln>
                  </pic:spPr>
                </pic:pic>
              </a:graphicData>
            </a:graphic>
          </wp:anchor>
        </w:drawing>
      </w:r>
    </w:p>
    <w:p w14:paraId="72359058">
      <w:pPr>
        <w:shd w:val="clear"/>
        <w:rPr>
          <w:rFonts w:hint="eastAsia" w:ascii="宋体" w:hAnsi="宋体" w:eastAsia="宋体" w:cs="宋体"/>
          <w:b w:val="0"/>
          <w:bCs/>
          <w:highlight w:val="none"/>
        </w:rPr>
      </w:pPr>
    </w:p>
    <w:p w14:paraId="6273D48E">
      <w:pPr>
        <w:shd w:val="clear"/>
        <w:rPr>
          <w:rFonts w:hint="eastAsia" w:ascii="宋体" w:hAnsi="宋体" w:eastAsia="宋体" w:cs="宋体"/>
          <w:b w:val="0"/>
          <w:bCs/>
          <w:highlight w:val="none"/>
        </w:rPr>
      </w:pPr>
    </w:p>
    <w:p w14:paraId="34BB59E0">
      <w:pPr>
        <w:shd w:val="clear"/>
        <w:spacing w:before="240" w:beforeLines="100" w:after="360" w:afterLines="150"/>
        <w:ind w:left="0" w:leftChars="0" w:firstLine="1060" w:firstLineChars="331"/>
        <w:rPr>
          <w:rFonts w:hint="eastAsia" w:ascii="宋体" w:hAnsi="宋体" w:eastAsia="宋体" w:cs="宋体"/>
          <w:b/>
          <w:bCs w:val="0"/>
          <w:color w:val="000000"/>
          <w:sz w:val="32"/>
          <w:szCs w:val="32"/>
          <w:highlight w:val="none"/>
          <w:lang w:val="en-US" w:eastAsia="zh-CN"/>
        </w:rPr>
      </w:pPr>
      <w:r>
        <w:rPr>
          <w:rFonts w:hint="eastAsia" w:ascii="宋体" w:hAnsi="宋体" w:cs="宋体"/>
          <w:b/>
          <w:bCs w:val="0"/>
          <w:color w:val="000000"/>
          <w:sz w:val="32"/>
          <w:szCs w:val="32"/>
          <w:highlight w:val="none"/>
          <w:lang w:val="en-US" w:eastAsia="zh-CN"/>
        </w:rPr>
        <w:t>招   标</w:t>
      </w:r>
      <w:r>
        <w:rPr>
          <w:rFonts w:hint="eastAsia" w:ascii="宋体" w:hAnsi="宋体" w:eastAsia="宋体" w:cs="宋体"/>
          <w:b/>
          <w:bCs w:val="0"/>
          <w:color w:val="000000"/>
          <w:sz w:val="32"/>
          <w:szCs w:val="32"/>
          <w:highlight w:val="none"/>
          <w:lang w:val="en-US" w:eastAsia="zh-CN"/>
        </w:rPr>
        <w:t xml:space="preserve"> </w:t>
      </w:r>
      <w:r>
        <w:rPr>
          <w:rFonts w:hint="eastAsia" w:ascii="宋体" w:hAnsi="宋体" w:cs="宋体"/>
          <w:b/>
          <w:bCs w:val="0"/>
          <w:color w:val="000000"/>
          <w:sz w:val="32"/>
          <w:szCs w:val="32"/>
          <w:highlight w:val="none"/>
          <w:lang w:val="en-US" w:eastAsia="zh-CN"/>
        </w:rPr>
        <w:t xml:space="preserve">  </w:t>
      </w:r>
      <w:r>
        <w:rPr>
          <w:rFonts w:hint="eastAsia" w:ascii="宋体" w:hAnsi="宋体" w:eastAsia="宋体" w:cs="宋体"/>
          <w:b/>
          <w:bCs w:val="0"/>
          <w:color w:val="000000"/>
          <w:sz w:val="32"/>
          <w:szCs w:val="32"/>
          <w:highlight w:val="none"/>
          <w:lang w:val="en-US" w:eastAsia="zh-CN"/>
        </w:rPr>
        <w:t>人：古县工信和科技局</w:t>
      </w:r>
      <w:r>
        <w:rPr>
          <w:rFonts w:hint="eastAsia" w:ascii="宋体" w:hAnsi="宋体" w:eastAsia="宋体" w:cs="宋体"/>
          <w:b/>
          <w:bCs w:val="0"/>
          <w:color w:val="000000"/>
          <w:sz w:val="32"/>
          <w:szCs w:val="32"/>
          <w:highlight w:val="none"/>
          <w:lang w:val="en-US" w:eastAsia="zh-CN"/>
        </w:rPr>
        <w:drawing>
          <wp:anchor distT="0" distB="0" distL="114300" distR="114300" simplePos="0" relativeHeight="251667456" behindDoc="1" locked="0" layoutInCell="1" allowOverlap="1">
            <wp:simplePos x="0" y="0"/>
            <wp:positionH relativeFrom="column">
              <wp:posOffset>3865245</wp:posOffset>
            </wp:positionH>
            <wp:positionV relativeFrom="paragraph">
              <wp:posOffset>7412990</wp:posOffset>
            </wp:positionV>
            <wp:extent cx="3752215" cy="3549015"/>
            <wp:effectExtent l="0" t="0" r="6985" b="6985"/>
            <wp:wrapNone/>
            <wp:docPr id="16" name="图片 2" descr="7867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786786-03"/>
                    <pic:cNvPicPr>
                      <a:picLocks noChangeAspect="1"/>
                    </pic:cNvPicPr>
                  </pic:nvPicPr>
                  <pic:blipFill>
                    <a:blip r:embed="rId12"/>
                    <a:stretch>
                      <a:fillRect/>
                    </a:stretch>
                  </pic:blipFill>
                  <pic:spPr>
                    <a:xfrm>
                      <a:off x="0" y="0"/>
                      <a:ext cx="3752215" cy="3549015"/>
                    </a:xfrm>
                    <a:prstGeom prst="rect">
                      <a:avLst/>
                    </a:prstGeom>
                    <a:noFill/>
                    <a:ln>
                      <a:noFill/>
                    </a:ln>
                  </pic:spPr>
                </pic:pic>
              </a:graphicData>
            </a:graphic>
          </wp:anchor>
        </w:drawing>
      </w:r>
    </w:p>
    <w:p w14:paraId="694585A9">
      <w:pPr>
        <w:shd w:val="clear"/>
        <w:spacing w:before="240" w:beforeLines="100" w:after="360" w:afterLines="150"/>
        <w:ind w:left="0" w:leftChars="0" w:firstLine="1060" w:firstLineChars="331"/>
        <w:rPr>
          <w:rFonts w:hint="eastAsia" w:ascii="宋体" w:hAnsi="宋体" w:eastAsia="宋体" w:cs="宋体"/>
          <w:b/>
          <w:bCs w:val="0"/>
          <w:color w:val="000000"/>
          <w:sz w:val="32"/>
          <w:szCs w:val="32"/>
          <w:highlight w:val="none"/>
          <w:lang w:eastAsia="zh-CN"/>
        </w:rPr>
      </w:pPr>
      <w:r>
        <w:rPr>
          <w:rFonts w:hint="eastAsia" w:ascii="宋体" w:hAnsi="宋体" w:cs="宋体"/>
          <w:b/>
          <w:bCs w:val="0"/>
          <w:color w:val="000000"/>
          <w:sz w:val="32"/>
          <w:szCs w:val="32"/>
          <w:highlight w:val="none"/>
          <w:lang w:val="en-US" w:eastAsia="zh-CN"/>
        </w:rPr>
        <w:t>招标</w:t>
      </w:r>
      <w:r>
        <w:rPr>
          <w:rFonts w:hint="eastAsia" w:ascii="宋体" w:hAnsi="宋体" w:eastAsia="宋体" w:cs="宋体"/>
          <w:b/>
          <w:bCs w:val="0"/>
          <w:color w:val="000000"/>
          <w:sz w:val="32"/>
          <w:szCs w:val="32"/>
          <w:highlight w:val="none"/>
        </w:rPr>
        <w:t>代理机构：</w:t>
      </w:r>
      <w:r>
        <w:rPr>
          <w:rFonts w:hint="eastAsia" w:ascii="宋体" w:hAnsi="宋体" w:eastAsia="宋体" w:cs="宋体"/>
          <w:b/>
          <w:bCs w:val="0"/>
          <w:sz w:val="36"/>
          <w:szCs w:val="36"/>
          <w:highlight w:val="none"/>
        </w:rPr>
        <w:drawing>
          <wp:anchor distT="0" distB="0" distL="114300" distR="114300" simplePos="0" relativeHeight="251666432" behindDoc="1" locked="0" layoutInCell="1" allowOverlap="1">
            <wp:simplePos x="0" y="0"/>
            <wp:positionH relativeFrom="column">
              <wp:posOffset>3865245</wp:posOffset>
            </wp:positionH>
            <wp:positionV relativeFrom="paragraph">
              <wp:posOffset>7412990</wp:posOffset>
            </wp:positionV>
            <wp:extent cx="3752215" cy="3549015"/>
            <wp:effectExtent l="0" t="0" r="6985" b="6985"/>
            <wp:wrapNone/>
            <wp:docPr id="3" name="图片 2" descr="7867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786786-03"/>
                    <pic:cNvPicPr>
                      <a:picLocks noChangeAspect="1"/>
                    </pic:cNvPicPr>
                  </pic:nvPicPr>
                  <pic:blipFill>
                    <a:blip r:embed="rId12"/>
                    <a:stretch>
                      <a:fillRect/>
                    </a:stretch>
                  </pic:blipFill>
                  <pic:spPr>
                    <a:xfrm>
                      <a:off x="0" y="0"/>
                      <a:ext cx="3752215" cy="3549015"/>
                    </a:xfrm>
                    <a:prstGeom prst="rect">
                      <a:avLst/>
                    </a:prstGeom>
                    <a:noFill/>
                    <a:ln>
                      <a:noFill/>
                    </a:ln>
                  </pic:spPr>
                </pic:pic>
              </a:graphicData>
            </a:graphic>
          </wp:anchor>
        </w:drawing>
      </w:r>
      <w:r>
        <w:rPr>
          <w:rFonts w:hint="eastAsia" w:ascii="宋体" w:hAnsi="宋体" w:eastAsia="宋体" w:cs="宋体"/>
          <w:b/>
          <w:bCs w:val="0"/>
          <w:color w:val="000000"/>
          <w:sz w:val="32"/>
          <w:szCs w:val="32"/>
          <w:highlight w:val="none"/>
          <w:lang w:eastAsia="zh-CN"/>
        </w:rPr>
        <w:t>山西</w:t>
      </w:r>
      <w:r>
        <w:rPr>
          <w:rFonts w:hint="eastAsia" w:ascii="宋体" w:hAnsi="宋体" w:cs="宋体"/>
          <w:b/>
          <w:bCs w:val="0"/>
          <w:color w:val="000000"/>
          <w:sz w:val="32"/>
          <w:szCs w:val="32"/>
          <w:highlight w:val="none"/>
          <w:lang w:val="en-US" w:eastAsia="zh-CN"/>
        </w:rPr>
        <w:t>晋鸿</w:t>
      </w:r>
      <w:r>
        <w:rPr>
          <w:rFonts w:hint="eastAsia" w:ascii="宋体" w:hAnsi="宋体" w:eastAsia="宋体" w:cs="宋体"/>
          <w:b/>
          <w:bCs w:val="0"/>
          <w:color w:val="000000"/>
          <w:sz w:val="32"/>
          <w:szCs w:val="32"/>
          <w:highlight w:val="none"/>
          <w:lang w:eastAsia="zh-CN"/>
        </w:rPr>
        <w:t>项目管理有限公司</w:t>
      </w:r>
    </w:p>
    <w:p w14:paraId="064E68D6">
      <w:pPr>
        <w:keepNext w:val="0"/>
        <w:keepLines w:val="0"/>
        <w:pageBreakBefore w:val="0"/>
        <w:widowControl w:val="0"/>
        <w:shd w:val="clear"/>
        <w:kinsoku/>
        <w:wordWrap/>
        <w:overflowPunct/>
        <w:topLinePunct w:val="0"/>
        <w:autoSpaceDE/>
        <w:autoSpaceDN/>
        <w:bidi w:val="0"/>
        <w:adjustRightInd/>
        <w:snapToGrid/>
        <w:spacing w:before="625" w:beforeLines="200" w:after="313" w:afterLines="100"/>
        <w:ind w:firstLine="2867" w:firstLineChars="895"/>
        <w:jc w:val="left"/>
        <w:textAlignment w:val="auto"/>
        <w:rPr>
          <w:rFonts w:hint="eastAsia" w:ascii="宋体" w:hAnsi="宋体" w:eastAsia="宋体" w:cs="宋体"/>
          <w:b/>
          <w:bCs w:val="0"/>
          <w:color w:val="000000"/>
          <w:sz w:val="30"/>
          <w:szCs w:val="30"/>
          <w:highlight w:val="none"/>
        </w:rPr>
        <w:sectPr>
          <w:headerReference r:id="rId3" w:type="default"/>
          <w:footerReference r:id="rId4" w:type="default"/>
          <w:pgSz w:w="11906" w:h="16838"/>
          <w:pgMar w:top="1418" w:right="1588" w:bottom="1418" w:left="1588" w:header="737" w:footer="737" w:gutter="0"/>
          <w:pgBorders>
            <w:top w:val="none" w:sz="0" w:space="0"/>
            <w:left w:val="none" w:sz="0" w:space="0"/>
            <w:bottom w:val="none" w:sz="0" w:space="0"/>
            <w:right w:val="none" w:sz="0" w:space="0"/>
          </w:pgBorders>
          <w:pgNumType w:fmt="upperRoman" w:start="1"/>
          <w:cols w:space="720" w:num="1"/>
          <w:titlePg/>
          <w:docGrid w:linePitch="312" w:charSpace="0"/>
        </w:sectPr>
      </w:pPr>
      <w:r>
        <w:rPr>
          <w:rFonts w:hint="eastAsia" w:ascii="宋体" w:hAnsi="宋体" w:eastAsia="宋体" w:cs="宋体"/>
          <w:b/>
          <w:bCs w:val="0"/>
          <w:color w:val="000000"/>
          <w:sz w:val="32"/>
          <w:szCs w:val="32"/>
          <w:highlight w:val="none"/>
        </w:rPr>
        <w:t xml:space="preserve"> </w:t>
      </w:r>
      <w:bookmarkStart w:id="0" w:name="PO_日期1（封面）"/>
      <w:r>
        <w:rPr>
          <w:rFonts w:hint="eastAsia" w:ascii="宋体" w:hAnsi="宋体" w:eastAsia="宋体" w:cs="宋体"/>
          <w:b/>
          <w:bCs w:val="0"/>
          <w:color w:val="000000"/>
          <w:sz w:val="32"/>
          <w:szCs w:val="32"/>
          <w:highlight w:val="none"/>
        </w:rPr>
        <w:t xml:space="preserve">     202</w:t>
      </w:r>
      <w:r>
        <w:rPr>
          <w:rFonts w:hint="eastAsia" w:ascii="宋体" w:hAnsi="宋体" w:cs="宋体"/>
          <w:b/>
          <w:bCs w:val="0"/>
          <w:color w:val="000000"/>
          <w:sz w:val="32"/>
          <w:szCs w:val="32"/>
          <w:highlight w:val="none"/>
          <w:lang w:val="en-US" w:eastAsia="zh-CN"/>
        </w:rPr>
        <w:t>5</w:t>
      </w:r>
      <w:r>
        <w:rPr>
          <w:rFonts w:hint="eastAsia" w:ascii="宋体" w:hAnsi="宋体" w:eastAsia="宋体" w:cs="宋体"/>
          <w:b/>
          <w:bCs w:val="0"/>
          <w:color w:val="000000"/>
          <w:sz w:val="32"/>
          <w:szCs w:val="32"/>
          <w:highlight w:val="none"/>
        </w:rPr>
        <w:t>年</w:t>
      </w:r>
      <w:r>
        <w:rPr>
          <w:rFonts w:hint="eastAsia" w:ascii="宋体" w:hAnsi="宋体" w:cs="宋体"/>
          <w:b/>
          <w:bCs w:val="0"/>
          <w:color w:val="000000"/>
          <w:sz w:val="32"/>
          <w:szCs w:val="32"/>
          <w:highlight w:val="none"/>
          <w:lang w:val="en-US" w:eastAsia="zh-CN"/>
        </w:rPr>
        <w:t>7</w:t>
      </w:r>
      <w:r>
        <w:rPr>
          <w:rFonts w:hint="eastAsia" w:ascii="宋体" w:hAnsi="宋体" w:eastAsia="宋体" w:cs="宋体"/>
          <w:b/>
          <w:bCs w:val="0"/>
          <w:color w:val="000000"/>
          <w:sz w:val="32"/>
          <w:szCs w:val="32"/>
          <w:highlight w:val="none"/>
        </w:rPr>
        <w:t>月</w:t>
      </w:r>
      <w:bookmarkEnd w:id="0"/>
      <w:r>
        <w:rPr>
          <w:rFonts w:hint="eastAsia" w:ascii="宋体" w:hAnsi="宋体" w:eastAsia="宋体" w:cs="宋体"/>
          <w:b/>
          <w:bCs w:val="0"/>
          <w:color w:val="000000"/>
          <w:sz w:val="32"/>
          <w:szCs w:val="32"/>
          <w:highlight w:val="none"/>
        </w:rPr>
        <w:t xml:space="preserve"> </w:t>
      </w:r>
    </w:p>
    <w:p w14:paraId="34D3FC50"/>
    <w:sdt>
      <w:sdtPr>
        <w:rPr>
          <w:rFonts w:ascii="宋体" w:hAnsi="宋体" w:eastAsia="宋体" w:cs="Times New Roman"/>
          <w:b/>
          <w:bCs/>
          <w:kern w:val="2"/>
          <w:sz w:val="28"/>
          <w:szCs w:val="28"/>
          <w:lang w:val="en-US" w:eastAsia="zh-CN" w:bidi="ar-SA"/>
        </w:rPr>
        <w:id w:val="147459909"/>
        <w15:color w:val="DBDBDB"/>
        <w:docPartObj>
          <w:docPartGallery w:val="Table of Contents"/>
          <w:docPartUnique/>
        </w:docPartObj>
      </w:sdtPr>
      <w:sdtEndPr>
        <w:rPr>
          <w:rFonts w:ascii="宋体" w:hAnsi="宋体" w:eastAsia="宋体" w:cs="Times New Roman"/>
          <w:b/>
          <w:bCs/>
          <w:kern w:val="2"/>
          <w:sz w:val="28"/>
          <w:szCs w:val="28"/>
          <w:lang w:val="en-US" w:eastAsia="zh-CN" w:bidi="ar-SA"/>
        </w:rPr>
      </w:sdtEndPr>
      <w:sdtContent>
        <w:p w14:paraId="7C452361">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323E5235">
          <w:pPr>
            <w:pStyle w:val="21"/>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fldChar w:fldCharType="begin"/>
          </w:r>
          <w:r>
            <w:instrText xml:space="preserve">TOC \o "1-2" \h \u </w:instrText>
          </w:r>
          <w: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_Toc8946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第一部分  </w:t>
          </w:r>
          <w:r>
            <w:rPr>
              <w:rFonts w:hint="eastAsia" w:ascii="宋体" w:hAnsi="宋体" w:eastAsia="宋体" w:cs="宋体"/>
              <w:sz w:val="24"/>
              <w:szCs w:val="24"/>
              <w:highlight w:val="none"/>
              <w:lang w:val="en-US" w:eastAsia="zh-CN"/>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_Toc8946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C2AFD0">
          <w:pPr>
            <w:pStyle w:val="21"/>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_Toc19270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_Toc19270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A09438">
          <w:pPr>
            <w:pStyle w:val="21"/>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_Toc8228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_Toc8228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BA3CAD">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_Toc9516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highlight w:val="none"/>
            </w:rPr>
            <w:t>一、总则</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_Toc9516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5504876">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_Toc922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highlight w:val="none"/>
            </w:rPr>
            <w:t>二、招标文件组成、澄清和修改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_Toc922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2C7D3E1D">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_Toc30318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highlight w:val="none"/>
            </w:rPr>
            <w:t>三、投标文件组成、编制与要求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_Toc30318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16C7CBB1">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_Toc12168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四、投标保证金</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_Toc12168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7371284A">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_Toc23467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五、资格审查小组、评标委员会组成与职责</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_Toc23467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71DDB0E">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_Toc27744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六、代理机构的职责</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_Toc27744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41FA30E">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_Toc26770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七、评审和评定程序与要求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_Toc26770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387E1731">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_Toc24569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八、签订合同</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_Toc24569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2141DF7D">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_Toc4348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九、保密和披露</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_Toc4348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36B03E8E">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_Toc26297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十、询问和质疑</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_Toc26297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6569BA69">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_Toc10174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十一、违法违规行为</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_Toc10174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6390AAA0">
          <w:pPr>
            <w:pStyle w:val="24"/>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_Toc27764 </w:instrText>
          </w:r>
          <w:r>
            <w:rPr>
              <w:rFonts w:hint="eastAsia" w:ascii="宋体" w:hAnsi="宋体" w:eastAsia="宋体" w:cs="宋体"/>
              <w:b/>
              <w:bCs/>
              <w:sz w:val="24"/>
              <w:szCs w:val="24"/>
            </w:rPr>
            <w:fldChar w:fldCharType="separate"/>
          </w:r>
          <w:r>
            <w:rPr>
              <w:rFonts w:hint="eastAsia" w:ascii="宋体" w:hAnsi="宋体" w:eastAsia="宋体" w:cs="宋体"/>
              <w:b/>
              <w:bCs/>
              <w:kern w:val="0"/>
              <w:sz w:val="24"/>
              <w:szCs w:val="24"/>
            </w:rPr>
            <w:t>十二、政府采购政策性要求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_Toc27764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2E4142A3">
          <w:pPr>
            <w:pStyle w:val="21"/>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第四部分 </w:t>
          </w:r>
          <w:r>
            <w:rPr>
              <w:rFonts w:hint="eastAsia" w:ascii="宋体" w:hAnsi="宋体" w:eastAsia="宋体" w:cs="宋体"/>
              <w:sz w:val="24"/>
              <w:szCs w:val="24"/>
              <w:highlight w:val="none"/>
            </w:rPr>
            <w:t>评标标准和评标方法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_Toc4114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78D953">
          <w:pPr>
            <w:pStyle w:val="21"/>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_Toc26901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商务、技术要求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_Toc26901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F1E9A6">
          <w:pPr>
            <w:pStyle w:val="21"/>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第六部分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_Toc11340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ECB58C">
          <w:pPr>
            <w:pStyle w:val="21"/>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第七部分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_Toc17118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1E6B6D">
          <w:pPr>
            <w:pStyle w:val="21"/>
            <w:keepNext w:val="0"/>
            <w:keepLines w:val="0"/>
            <w:pageBreakBefore w:val="0"/>
            <w:widowControl w:val="0"/>
            <w:tabs>
              <w:tab w:val="right" w:leader="dot" w:pos="8760"/>
            </w:tabs>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_Toc6404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第八部分  相关附件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_Toc6404 \h </w:instrText>
          </w:r>
          <w:r>
            <w:rPr>
              <w:rFonts w:hint="eastAsia" w:ascii="宋体" w:hAnsi="宋体" w:eastAsia="宋体" w:cs="宋体"/>
              <w:sz w:val="24"/>
              <w:szCs w:val="24"/>
            </w:rPr>
            <w:fldChar w:fldCharType="separate"/>
          </w:r>
          <w:r>
            <w:rPr>
              <w:rFonts w:hint="eastAsia" w:ascii="宋体" w:hAnsi="宋体" w:eastAsia="宋体" w:cs="宋体"/>
              <w:sz w:val="24"/>
              <w:szCs w:val="24"/>
            </w:rPr>
            <w:t>107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7E3A0B">
          <w:pPr>
            <w:rPr>
              <w:rFonts w:hint="eastAsia" w:ascii="宋体" w:hAnsi="宋体" w:eastAsia="宋体" w:cs="宋体"/>
              <w:kern w:val="0"/>
              <w:sz w:val="36"/>
              <w:szCs w:val="36"/>
              <w:highlight w:val="none"/>
            </w:rPr>
          </w:pPr>
          <w:r>
            <w:fldChar w:fldCharType="end"/>
          </w:r>
        </w:p>
      </w:sdtContent>
    </w:sdt>
    <w:p w14:paraId="4902655C">
      <w:pPr>
        <w:pStyle w:val="21"/>
        <w:shd w:val="clear"/>
        <w:tabs>
          <w:tab w:val="left" w:pos="1276"/>
          <w:tab w:val="right" w:leader="dot" w:pos="8924"/>
        </w:tabs>
        <w:spacing w:before="0" w:after="0" w:line="360" w:lineRule="auto"/>
        <w:rPr>
          <w:rFonts w:hint="eastAsia" w:ascii="宋体" w:hAnsi="宋体" w:eastAsia="宋体" w:cs="宋体"/>
          <w:b w:val="0"/>
          <w:bCs w:val="0"/>
          <w:kern w:val="0"/>
          <w:sz w:val="24"/>
          <w:szCs w:val="24"/>
          <w:highlight w:val="none"/>
        </w:rPr>
      </w:pPr>
    </w:p>
    <w:p w14:paraId="3B346938">
      <w:pPr>
        <w:pStyle w:val="21"/>
        <w:shd w:val="clear"/>
        <w:tabs>
          <w:tab w:val="right" w:leader="dot" w:pos="8958"/>
        </w:tabs>
        <w:spacing w:before="0" w:after="0" w:line="360" w:lineRule="auto"/>
        <w:rPr>
          <w:rFonts w:hint="eastAsia" w:ascii="宋体" w:hAnsi="宋体" w:eastAsia="宋体" w:cs="宋体"/>
          <w:b w:val="0"/>
          <w:bCs w:val="0"/>
          <w:kern w:val="0"/>
          <w:sz w:val="24"/>
          <w:szCs w:val="24"/>
          <w:highlight w:val="none"/>
        </w:rPr>
      </w:pPr>
    </w:p>
    <w:p w14:paraId="15409ECA">
      <w:pPr>
        <w:pStyle w:val="21"/>
        <w:shd w:val="clear"/>
        <w:tabs>
          <w:tab w:val="right" w:leader="dot" w:pos="8958"/>
        </w:tabs>
        <w:spacing w:before="0" w:after="0" w:line="360" w:lineRule="auto"/>
        <w:rPr>
          <w:rFonts w:hint="eastAsia" w:ascii="宋体" w:hAnsi="宋体" w:eastAsia="宋体" w:cs="宋体"/>
          <w:b w:val="0"/>
          <w:bCs w:val="0"/>
          <w:kern w:val="0"/>
          <w:sz w:val="24"/>
          <w:szCs w:val="24"/>
          <w:highlight w:val="none"/>
        </w:rPr>
      </w:pPr>
    </w:p>
    <w:p w14:paraId="2666CB9E">
      <w:pPr>
        <w:pStyle w:val="21"/>
        <w:shd w:val="clear"/>
        <w:tabs>
          <w:tab w:val="right" w:leader="dot" w:pos="8958"/>
        </w:tabs>
        <w:spacing w:before="0" w:after="0" w:line="360" w:lineRule="auto"/>
        <w:rPr>
          <w:rFonts w:hint="eastAsia" w:ascii="宋体" w:hAnsi="宋体" w:eastAsia="宋体" w:cs="宋体"/>
          <w:b w:val="0"/>
          <w:bCs w:val="0"/>
          <w:kern w:val="0"/>
          <w:sz w:val="24"/>
          <w:szCs w:val="24"/>
          <w:highlight w:val="none"/>
        </w:rPr>
      </w:pPr>
    </w:p>
    <w:p w14:paraId="4F65C0FD">
      <w:pPr>
        <w:pStyle w:val="21"/>
        <w:shd w:val="clear"/>
        <w:tabs>
          <w:tab w:val="right" w:leader="dot" w:pos="8958"/>
        </w:tabs>
        <w:spacing w:before="0" w:after="0" w:line="360" w:lineRule="auto"/>
        <w:rPr>
          <w:rFonts w:hint="eastAsia" w:ascii="宋体" w:hAnsi="宋体" w:eastAsia="宋体" w:cs="宋体"/>
          <w:b w:val="0"/>
          <w:bCs w:val="0"/>
          <w:kern w:val="0"/>
          <w:sz w:val="24"/>
          <w:szCs w:val="24"/>
          <w:highlight w:val="none"/>
        </w:rPr>
      </w:pPr>
    </w:p>
    <w:p w14:paraId="7425206A">
      <w:pPr>
        <w:pStyle w:val="27"/>
        <w:widowControl w:val="0"/>
        <w:shd w:val="clear"/>
        <w:spacing w:before="120" w:beforeLines="50" w:after="120" w:afterLines="50" w:line="440" w:lineRule="exact"/>
        <w:jc w:val="center"/>
        <w:outlineLvl w:val="0"/>
        <w:rPr>
          <w:rFonts w:hint="eastAsia" w:ascii="宋体" w:hAnsi="宋体" w:eastAsia="宋体" w:cs="宋体"/>
          <w:b/>
          <w:sz w:val="32"/>
          <w:szCs w:val="32"/>
          <w:highlight w:val="none"/>
          <w:lang w:val="en-US" w:eastAsia="zh-CN"/>
        </w:rPr>
      </w:pPr>
      <w:bookmarkStart w:id="1" w:name="_Toc28085"/>
      <w:bookmarkStart w:id="2" w:name="_Toc117270077"/>
      <w:bookmarkStart w:id="3" w:name="_Toc8946"/>
      <w:r>
        <w:rPr>
          <w:rFonts w:hint="eastAsia" w:ascii="宋体" w:hAnsi="宋体" w:eastAsia="宋体" w:cs="宋体"/>
          <w:b/>
          <w:sz w:val="32"/>
          <w:szCs w:val="32"/>
          <w:highlight w:val="none"/>
        </w:rPr>
        <w:t xml:space="preserve">第一部分 </w:t>
      </w:r>
      <w:bookmarkEnd w:id="1"/>
      <w:r>
        <w:rPr>
          <w:rFonts w:hint="eastAsia" w:ascii="宋体" w:hAnsi="宋体" w:eastAsia="宋体" w:cs="宋体"/>
          <w:b/>
          <w:sz w:val="32"/>
          <w:szCs w:val="32"/>
          <w:highlight w:val="none"/>
        </w:rPr>
        <w:t xml:space="preserve"> </w:t>
      </w:r>
      <w:bookmarkEnd w:id="2"/>
      <w:r>
        <w:rPr>
          <w:rFonts w:hint="eastAsia" w:ascii="宋体" w:hAnsi="宋体" w:eastAsia="宋体" w:cs="宋体"/>
          <w:b/>
          <w:sz w:val="32"/>
          <w:szCs w:val="32"/>
          <w:highlight w:val="none"/>
          <w:lang w:val="en-US" w:eastAsia="zh-CN"/>
        </w:rPr>
        <w:t>招标公告</w:t>
      </w:r>
      <w:bookmarkEnd w:id="3"/>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6"/>
      </w:tblGrid>
      <w:tr w14:paraId="334D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4" w:type="dxa"/>
            <w:tcBorders>
              <w:top w:val="single" w:color="auto" w:sz="4" w:space="0"/>
              <w:left w:val="single" w:color="auto" w:sz="4" w:space="0"/>
              <w:bottom w:val="single" w:color="auto" w:sz="4" w:space="0"/>
              <w:right w:val="single" w:color="auto" w:sz="4" w:space="0"/>
            </w:tcBorders>
          </w:tcPr>
          <w:p w14:paraId="5F0ABFC7">
            <w:pPr>
              <w:pStyle w:val="41"/>
              <w:keepNext/>
              <w:keepLines/>
              <w:pageBreakBefore w:val="0"/>
              <w:widowControl w:val="0"/>
              <w:shd w:val="clear"/>
              <w:kinsoku/>
              <w:wordWrap w:val="0"/>
              <w:overflowPunct/>
              <w:topLinePunct/>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项目概况                                                             </w:t>
            </w:r>
          </w:p>
          <w:p w14:paraId="5ED9E8D5">
            <w:pPr>
              <w:pStyle w:val="41"/>
              <w:keepNext/>
              <w:keepLines/>
              <w:pageBreakBefore w:val="0"/>
              <w:widowControl w:val="0"/>
              <w:shd w:val="clear"/>
              <w:kinsoku/>
              <w:wordWrap w:val="0"/>
              <w:overflowPunct/>
              <w:topLinePunct/>
              <w:autoSpaceDE/>
              <w:autoSpaceDN/>
              <w:bidi w:val="0"/>
              <w:adjustRightInd/>
              <w:snapToGrid/>
              <w:spacing w:line="360" w:lineRule="auto"/>
              <w:ind w:firstLine="480"/>
              <w:jc w:val="both"/>
              <w:textAlignment w:val="auto"/>
              <w:rPr>
                <w:rFonts w:hint="eastAsia" w:ascii="宋体" w:hAnsi="宋体" w:eastAsia="宋体" w:cs="宋体"/>
                <w:szCs w:val="21"/>
                <w:highlight w:val="none"/>
              </w:rPr>
            </w:pPr>
            <w:r>
              <w:rPr>
                <w:rFonts w:hint="eastAsia" w:ascii="宋体" w:hAnsi="宋体" w:cs="宋体"/>
                <w:sz w:val="24"/>
                <w:highlight w:val="none"/>
                <w:lang w:eastAsia="zh-CN"/>
              </w:rPr>
              <w:t>古县成品油流通智慧监管数据采集项目</w:t>
            </w:r>
            <w:r>
              <w:rPr>
                <w:rFonts w:hint="eastAsia" w:ascii="宋体" w:hAnsi="宋体" w:eastAsia="宋体" w:cs="宋体"/>
                <w:sz w:val="24"/>
                <w:highlight w:val="none"/>
              </w:rPr>
              <w:t>的潜在投标人应在政采云平台线上获取获取招标文件，并</w:t>
            </w:r>
            <w:r>
              <w:rPr>
                <w:rFonts w:hint="eastAsia" w:ascii="宋体" w:hAnsi="宋体" w:eastAsia="宋体" w:cs="宋体"/>
                <w:color w:val="auto"/>
                <w:sz w:val="24"/>
                <w:highlight w:val="none"/>
              </w:rPr>
              <w:t>于2025年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 09:00（北京时</w:t>
            </w:r>
            <w:r>
              <w:rPr>
                <w:rFonts w:hint="eastAsia" w:ascii="宋体" w:hAnsi="宋体" w:eastAsia="宋体" w:cs="宋体"/>
                <w:sz w:val="24"/>
                <w:highlight w:val="none"/>
              </w:rPr>
              <w:t xml:space="preserve">间）前递交投标文件。 </w:t>
            </w:r>
          </w:p>
        </w:tc>
      </w:tr>
    </w:tbl>
    <w:p w14:paraId="4D28B80F">
      <w:pPr>
        <w:pStyle w:val="41"/>
        <w:shd w:val="clear"/>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一、项目基本情况</w:t>
      </w:r>
    </w:p>
    <w:p w14:paraId="175A8ADA">
      <w:pPr>
        <w:pStyle w:val="41"/>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0000FF"/>
          <w:sz w:val="24"/>
          <w:highlight w:val="none"/>
        </w:rPr>
        <w:t>.</w:t>
      </w:r>
      <w:r>
        <w:rPr>
          <w:rFonts w:hint="eastAsia" w:ascii="宋体" w:hAnsi="宋体" w:eastAsia="宋体" w:cs="宋体"/>
          <w:color w:val="auto"/>
          <w:sz w:val="24"/>
          <w:highlight w:val="none"/>
        </w:rPr>
        <w:t>项目编号：1410252025AGK00044</w:t>
      </w:r>
      <w:r>
        <w:rPr>
          <w:rFonts w:hint="eastAsia" w:ascii="宋体" w:hAnsi="宋体" w:cs="宋体"/>
          <w:color w:val="auto"/>
          <w:sz w:val="24"/>
          <w:highlight w:val="none"/>
          <w:lang w:val="en-US" w:eastAsia="zh-CN"/>
        </w:rPr>
        <w:t xml:space="preserve"> </w:t>
      </w:r>
    </w:p>
    <w:p w14:paraId="3C5CDE0F">
      <w:pPr>
        <w:pStyle w:val="41"/>
        <w:shd w:val="clear"/>
        <w:spacing w:line="360" w:lineRule="auto"/>
        <w:ind w:left="479" w:leftChars="228" w:firstLine="0"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2.项目名称：</w:t>
      </w:r>
      <w:r>
        <w:rPr>
          <w:rFonts w:hint="eastAsia" w:ascii="宋体" w:hAnsi="宋体" w:cs="宋体"/>
          <w:color w:val="000000"/>
          <w:sz w:val="24"/>
          <w:highlight w:val="none"/>
          <w:lang w:eastAsia="zh-CN"/>
        </w:rPr>
        <w:t>古县成品油流通智慧监管数据采集项目</w:t>
      </w:r>
    </w:p>
    <w:p w14:paraId="611D6449">
      <w:pPr>
        <w:pStyle w:val="41"/>
        <w:shd w:val="clear"/>
        <w:spacing w:line="360" w:lineRule="auto"/>
        <w:ind w:firstLine="48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.采购方式：公开招标</w:t>
      </w:r>
    </w:p>
    <w:p w14:paraId="2E9B48E7">
      <w:pPr>
        <w:pStyle w:val="41"/>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.预算金额：</w:t>
      </w:r>
      <w:r>
        <w:rPr>
          <w:rFonts w:hint="eastAsia" w:ascii="宋体" w:hAnsi="宋体" w:cs="宋体"/>
          <w:color w:val="auto"/>
          <w:sz w:val="24"/>
          <w:highlight w:val="none"/>
          <w:lang w:val="en-US" w:eastAsia="zh-CN"/>
        </w:rPr>
        <w:t>1415956元</w:t>
      </w:r>
    </w:p>
    <w:p w14:paraId="72557F84">
      <w:pPr>
        <w:pStyle w:val="41"/>
        <w:shd w:val="clea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.最高限价：</w:t>
      </w:r>
      <w:r>
        <w:rPr>
          <w:rFonts w:hint="eastAsia" w:ascii="宋体" w:hAnsi="宋体" w:cs="宋体"/>
          <w:color w:val="auto"/>
          <w:sz w:val="24"/>
          <w:highlight w:val="none"/>
          <w:lang w:val="en-US" w:eastAsia="zh-CN"/>
        </w:rPr>
        <w:t>1363956元</w:t>
      </w:r>
    </w:p>
    <w:p w14:paraId="05B37132">
      <w:pPr>
        <w:pStyle w:val="41"/>
        <w:shd w:val="clear"/>
        <w:spacing w:line="360" w:lineRule="auto"/>
        <w:ind w:firstLine="480"/>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.采购需求：</w:t>
      </w:r>
    </w:p>
    <w:p w14:paraId="5C24CCD3">
      <w:pPr>
        <w:pStyle w:val="41"/>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标项名称: </w:t>
      </w:r>
      <w:r>
        <w:rPr>
          <w:rFonts w:hint="eastAsia" w:ascii="宋体" w:hAnsi="宋体" w:cs="宋体"/>
          <w:sz w:val="24"/>
          <w:highlight w:val="none"/>
          <w:lang w:eastAsia="zh-CN"/>
        </w:rPr>
        <w:t>古县成品油流通智慧监管数据采集项目</w:t>
      </w:r>
      <w:r>
        <w:rPr>
          <w:rFonts w:hint="eastAsia" w:ascii="宋体" w:hAnsi="宋体" w:eastAsia="宋体" w:cs="宋体"/>
          <w:sz w:val="24"/>
          <w:highlight w:val="none"/>
        </w:rPr>
        <w:t xml:space="preserve"> </w:t>
      </w:r>
    </w:p>
    <w:p w14:paraId="1A1E5614">
      <w:pPr>
        <w:pStyle w:val="41"/>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数量:  </w:t>
      </w:r>
    </w:p>
    <w:p w14:paraId="7CE7AEB2">
      <w:pPr>
        <w:pStyle w:val="41"/>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预算金额（元）：</w:t>
      </w:r>
      <w:r>
        <w:rPr>
          <w:rFonts w:hint="eastAsia" w:ascii="宋体" w:hAnsi="宋体" w:cs="宋体"/>
          <w:color w:val="000000"/>
          <w:sz w:val="24"/>
          <w:highlight w:val="none"/>
          <w:lang w:val="en-US" w:eastAsia="zh-CN"/>
        </w:rPr>
        <w:t>1415956元</w:t>
      </w:r>
    </w:p>
    <w:p w14:paraId="733883AB">
      <w:pPr>
        <w:pStyle w:val="41"/>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简要规格描述：本项目共1包，对辖区内不符合接入标准的加油站进行整改，并对进销存及监管视频数据进行采集，与山西省成品油流通智慧监管平台进行数据直连对接，实现成品油流通数字化监管全覆盖，规范成品油市场运行秩序、确保行业生产安全平稳运行、促进税收应收尽收，维护国家能源安全。具体</w:t>
      </w:r>
      <w:r>
        <w:rPr>
          <w:rFonts w:hint="eastAsia" w:ascii="宋体" w:hAnsi="宋体" w:cs="宋体"/>
          <w:sz w:val="24"/>
          <w:highlight w:val="none"/>
          <w:lang w:val="en-US" w:eastAsia="zh-CN"/>
        </w:rPr>
        <w:t>要求</w:t>
      </w:r>
      <w:r>
        <w:rPr>
          <w:rFonts w:hint="eastAsia" w:ascii="宋体" w:hAnsi="宋体" w:eastAsia="宋体" w:cs="宋体"/>
          <w:sz w:val="24"/>
          <w:highlight w:val="none"/>
        </w:rPr>
        <w:t xml:space="preserve">详见招标文件“第五部分  商务、技术要求”   </w:t>
      </w:r>
    </w:p>
    <w:p w14:paraId="34BB980A">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备注：   </w:t>
      </w:r>
    </w:p>
    <w:p w14:paraId="31FD0513">
      <w:pPr>
        <w:shd w:val="clear"/>
        <w:spacing w:line="360" w:lineRule="auto"/>
        <w:ind w:firstLine="480" w:firstLineChars="200"/>
        <w:rPr>
          <w:rFonts w:hint="eastAsia" w:ascii="宋体" w:hAnsi="宋体" w:eastAsia="宋体" w:cs="宋体"/>
          <w:color w:val="0000FF"/>
          <w:sz w:val="24"/>
          <w:highlight w:val="none"/>
          <w:u w:val="none"/>
          <w:lang w:val="en-US" w:eastAsia="zh-CN"/>
        </w:rPr>
      </w:pPr>
      <w:r>
        <w:rPr>
          <w:rFonts w:hint="eastAsia" w:ascii="宋体" w:hAnsi="宋体" w:cs="宋体"/>
          <w:color w:val="auto"/>
          <w:sz w:val="24"/>
          <w:highlight w:val="none"/>
          <w:u w:val="none"/>
          <w:lang w:val="en-US" w:eastAsia="zh-CN"/>
        </w:rPr>
        <w:t>7</w:t>
      </w:r>
      <w:r>
        <w:rPr>
          <w:rFonts w:hint="eastAsia" w:ascii="宋体" w:hAnsi="宋体" w:eastAsia="宋体" w:cs="宋体"/>
          <w:color w:val="auto"/>
          <w:sz w:val="24"/>
          <w:highlight w:val="none"/>
          <w:u w:val="none"/>
          <w:lang w:val="en-US" w:eastAsia="zh-CN"/>
        </w:rPr>
        <w:t>.合同履行期限：签订合同后60天内交付。</w:t>
      </w:r>
    </w:p>
    <w:p w14:paraId="5AD43191">
      <w:pPr>
        <w:shd w:val="clea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本项目</w:t>
      </w:r>
      <w:r>
        <w:rPr>
          <w:rFonts w:hint="eastAsia" w:ascii="宋体" w:hAnsi="宋体" w:cs="宋体"/>
          <w:color w:val="000000"/>
          <w:sz w:val="24"/>
          <w:highlight w:val="none"/>
          <w:lang w:val="en-US" w:eastAsia="zh-CN"/>
        </w:rPr>
        <w:t>不</w:t>
      </w:r>
      <w:r>
        <w:rPr>
          <w:rFonts w:hint="eastAsia" w:ascii="宋体" w:hAnsi="宋体" w:eastAsia="宋体" w:cs="宋体"/>
          <w:color w:val="000000"/>
          <w:sz w:val="24"/>
          <w:highlight w:val="none"/>
        </w:rPr>
        <w:t>接受联合体投标</w:t>
      </w:r>
      <w:r>
        <w:rPr>
          <w:rFonts w:hint="eastAsia" w:ascii="宋体" w:hAnsi="宋体" w:cs="宋体"/>
          <w:color w:val="000000"/>
          <w:sz w:val="24"/>
          <w:highlight w:val="none"/>
          <w:lang w:eastAsia="zh-CN"/>
        </w:rPr>
        <w:t>。</w:t>
      </w:r>
    </w:p>
    <w:p w14:paraId="6F925E36">
      <w:pPr>
        <w:shd w:val="clear"/>
        <w:spacing w:line="360" w:lineRule="auto"/>
        <w:ind w:firstLine="480"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w:t>
      </w:r>
      <w:r>
        <w:rPr>
          <w:rFonts w:hint="eastAsia" w:ascii="宋体" w:hAnsi="宋体" w:cs="宋体"/>
          <w:b/>
          <w:bCs/>
          <w:color w:val="000000"/>
          <w:sz w:val="24"/>
          <w:highlight w:val="none"/>
          <w:lang w:val="en-US" w:eastAsia="zh-CN"/>
        </w:rPr>
        <w:t>申请</w:t>
      </w:r>
      <w:r>
        <w:rPr>
          <w:rFonts w:hint="eastAsia" w:ascii="宋体" w:hAnsi="宋体" w:eastAsia="宋体" w:cs="宋体"/>
          <w:b/>
          <w:bCs/>
          <w:color w:val="000000"/>
          <w:sz w:val="24"/>
          <w:highlight w:val="none"/>
          <w:lang w:val="en-US" w:eastAsia="zh-CN"/>
        </w:rPr>
        <w:t>人</w:t>
      </w:r>
      <w:r>
        <w:rPr>
          <w:rFonts w:hint="eastAsia" w:ascii="宋体" w:hAnsi="宋体" w:eastAsia="宋体" w:cs="宋体"/>
          <w:b/>
          <w:bCs/>
          <w:color w:val="000000"/>
          <w:sz w:val="24"/>
          <w:highlight w:val="none"/>
        </w:rPr>
        <w:t>的资格要求：</w:t>
      </w:r>
    </w:p>
    <w:p w14:paraId="07717528">
      <w:pPr>
        <w:shd w:val="clea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1.满足《中华人民共和国政府采购法》第二十二条规定；</w:t>
      </w:r>
    </w:p>
    <w:p w14:paraId="7CEBF585">
      <w:pPr>
        <w:shd w:val="clea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2.落实政府采购政策需满足的资格要求：</w:t>
      </w:r>
      <w:r>
        <w:rPr>
          <w:rFonts w:hint="eastAsia" w:ascii="宋体" w:hAnsi="宋体" w:cs="宋体"/>
          <w:color w:val="000000"/>
          <w:sz w:val="24"/>
          <w:highlight w:val="none"/>
          <w:lang w:val="en-US" w:eastAsia="zh-CN"/>
        </w:rPr>
        <w:t>无</w:t>
      </w:r>
    </w:p>
    <w:p w14:paraId="2F64510B">
      <w:pPr>
        <w:shd w:val="clea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3.本项目的特定资格要求：</w:t>
      </w:r>
      <w:r>
        <w:rPr>
          <w:rFonts w:hint="eastAsia" w:ascii="宋体" w:hAnsi="宋体" w:cs="宋体"/>
          <w:color w:val="000000"/>
          <w:sz w:val="24"/>
          <w:highlight w:val="none"/>
          <w:lang w:val="en-US" w:eastAsia="zh-CN"/>
        </w:rPr>
        <w:t>无</w:t>
      </w:r>
    </w:p>
    <w:p w14:paraId="6F264A31">
      <w:pPr>
        <w:pStyle w:val="41"/>
        <w:shd w:val="clear"/>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三、获取招标文件</w:t>
      </w:r>
    </w:p>
    <w:p w14:paraId="53D0DE4B">
      <w:pPr>
        <w:pStyle w:val="41"/>
        <w:shd w:val="clear"/>
        <w:spacing w:line="360" w:lineRule="auto"/>
        <w:ind w:firstLine="480"/>
        <w:rPr>
          <w:rFonts w:hint="eastAsia" w:ascii="宋体" w:hAnsi="宋体" w:eastAsia="宋体" w:cs="宋体"/>
          <w:color w:val="0000FF"/>
          <w:sz w:val="24"/>
          <w:highlight w:val="none"/>
        </w:rPr>
      </w:pPr>
      <w:r>
        <w:rPr>
          <w:rFonts w:hint="eastAsia" w:ascii="宋体" w:hAnsi="宋体" w:eastAsia="宋体" w:cs="宋体"/>
          <w:color w:val="auto"/>
          <w:sz w:val="24"/>
          <w:highlight w:val="none"/>
        </w:rPr>
        <w:t>1.时间：2025年0</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日至2025年07月</w:t>
      </w:r>
      <w:r>
        <w:rPr>
          <w:rFonts w:hint="eastAsia" w:ascii="宋体" w:hAnsi="宋体" w:cs="宋体"/>
          <w:color w:val="auto"/>
          <w:sz w:val="24"/>
          <w:highlight w:val="none"/>
          <w:lang w:val="en-US" w:eastAsia="zh-CN"/>
        </w:rPr>
        <w:t>31</w:t>
      </w:r>
      <w:r>
        <w:rPr>
          <w:rFonts w:hint="eastAsia" w:ascii="宋体" w:hAnsi="宋体" w:eastAsia="宋体" w:cs="宋体"/>
          <w:color w:val="auto"/>
          <w:sz w:val="24"/>
          <w:highlight w:val="none"/>
        </w:rPr>
        <w:t>日，每天上午00:00至12:00，下午12:00至23:59（北京时间，法定节假日除外）</w:t>
      </w:r>
      <w:r>
        <w:rPr>
          <w:rFonts w:hint="eastAsia" w:ascii="宋体" w:hAnsi="宋体" w:eastAsia="宋体" w:cs="宋体"/>
          <w:color w:val="0000FF"/>
          <w:sz w:val="24"/>
          <w:highlight w:val="none"/>
        </w:rPr>
        <w:t> </w:t>
      </w:r>
    </w:p>
    <w:p w14:paraId="2681A361">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地点</w:t>
      </w:r>
      <w:r>
        <w:rPr>
          <w:rFonts w:hint="eastAsia" w:ascii="宋体" w:hAnsi="宋体" w:eastAsia="宋体" w:cs="宋体"/>
          <w:sz w:val="24"/>
          <w:highlight w:val="none"/>
        </w:rPr>
        <w:t>：政采云平台线上获取</w:t>
      </w:r>
    </w:p>
    <w:p w14:paraId="4D383224">
      <w:pPr>
        <w:pStyle w:val="41"/>
        <w:shd w:val="clear"/>
        <w:spacing w:line="360" w:lineRule="auto"/>
        <w:ind w:firstLine="480"/>
        <w:rPr>
          <w:rFonts w:hint="eastAsia" w:ascii="宋体" w:hAnsi="宋体" w:eastAsia="宋体" w:cs="宋体"/>
          <w:color w:val="0070C0"/>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方式</w:t>
      </w:r>
      <w:r>
        <w:rPr>
          <w:rFonts w:hint="eastAsia" w:ascii="宋体" w:hAnsi="宋体" w:eastAsia="宋体" w:cs="宋体"/>
          <w:sz w:val="24"/>
          <w:highlight w:val="none"/>
        </w:rPr>
        <w:t>：在线获取</w:t>
      </w:r>
    </w:p>
    <w:p w14:paraId="2761CC13">
      <w:pPr>
        <w:pStyle w:val="41"/>
        <w:shd w:val="clea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sz w:val="24"/>
          <w:highlight w:val="none"/>
          <w:lang w:val="en-US" w:eastAsia="zh-CN"/>
        </w:rPr>
        <w:t>4.售价（元）：0</w:t>
      </w:r>
      <w:r>
        <w:rPr>
          <w:rFonts w:hint="eastAsia" w:ascii="宋体" w:hAnsi="宋体" w:eastAsia="宋体" w:cs="宋体"/>
          <w:sz w:val="24"/>
          <w:highlight w:val="none"/>
        </w:rPr>
        <w:t> </w:t>
      </w:r>
    </w:p>
    <w:p w14:paraId="10EF760F">
      <w:pPr>
        <w:shd w:val="clea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b/>
          <w:bCs/>
          <w:sz w:val="24"/>
          <w:highlight w:val="none"/>
        </w:rPr>
        <w:t>四、提交投标文件截止时间、开标时间和地点</w:t>
      </w:r>
    </w:p>
    <w:p w14:paraId="3AD1CA5A">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1.提交投标文件截止时间：2025年</w:t>
      </w:r>
      <w:r>
        <w:rPr>
          <w:rFonts w:hint="eastAsia" w:ascii="宋体" w:hAnsi="宋体" w:cs="宋体"/>
          <w:sz w:val="24"/>
          <w:highlight w:val="none"/>
          <w:lang w:val="en-US" w:eastAsia="zh-CN"/>
        </w:rPr>
        <w:t>8</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 09:00（北京时间）        </w:t>
      </w:r>
    </w:p>
    <w:p w14:paraId="6D27FA10">
      <w:pPr>
        <w:pStyle w:val="41"/>
        <w:shd w:val="clear"/>
        <w:spacing w:line="360" w:lineRule="auto"/>
        <w:ind w:firstLine="480"/>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投标地点（网址）：请登录政采云投标客户端投标     </w:t>
      </w:r>
    </w:p>
    <w:p w14:paraId="5AB64E3F">
      <w:pPr>
        <w:pStyle w:val="41"/>
        <w:shd w:val="clear"/>
        <w:spacing w:line="360" w:lineRule="auto"/>
        <w:ind w:firstLine="480"/>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开标时间</w:t>
      </w:r>
      <w:r>
        <w:rPr>
          <w:rFonts w:hint="eastAsia" w:ascii="宋体" w:hAnsi="宋体" w:eastAsia="宋体" w:cs="宋体"/>
          <w:color w:val="auto"/>
          <w:sz w:val="24"/>
          <w:highlight w:val="none"/>
        </w:rPr>
        <w:t>：2025年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 09:00</w:t>
      </w:r>
      <w:r>
        <w:rPr>
          <w:rFonts w:hint="eastAsia" w:ascii="宋体" w:hAnsi="宋体" w:eastAsia="宋体" w:cs="宋体"/>
          <w:color w:val="4472C4" w:themeColor="accent5"/>
          <w:sz w:val="24"/>
          <w:highlight w:val="none"/>
          <w14:textFill>
            <w14:solidFill>
              <w14:schemeClr w14:val="accent5"/>
            </w14:solidFill>
          </w14:textFill>
        </w:rPr>
        <w:t> </w:t>
      </w:r>
      <w:r>
        <w:rPr>
          <w:rFonts w:hint="eastAsia" w:ascii="宋体" w:hAnsi="宋体" w:eastAsia="宋体" w:cs="宋体"/>
          <w:sz w:val="24"/>
          <w:highlight w:val="none"/>
        </w:rPr>
        <w:t xml:space="preserve">       </w:t>
      </w:r>
    </w:p>
    <w:p w14:paraId="67774009">
      <w:pPr>
        <w:pStyle w:val="41"/>
        <w:shd w:val="clear"/>
        <w:spacing w:line="360" w:lineRule="auto"/>
        <w:ind w:firstLine="48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开标地点：</w:t>
      </w:r>
      <w:r>
        <w:rPr>
          <w:rFonts w:hint="eastAsia" w:ascii="宋体" w:hAnsi="宋体" w:eastAsia="宋体" w:cs="宋体"/>
          <w:sz w:val="24"/>
          <w:highlight w:val="none"/>
          <w:lang w:eastAsia="zh-CN"/>
        </w:rPr>
        <w:t>临汾市尧都区尧庙镇华门新天地8号楼西座</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层</w:t>
      </w:r>
      <w:r>
        <w:rPr>
          <w:rFonts w:hint="eastAsia" w:ascii="宋体" w:hAnsi="宋体" w:eastAsia="宋体" w:cs="宋体"/>
          <w:sz w:val="24"/>
          <w:highlight w:val="none"/>
          <w:lang w:val="en-US" w:eastAsia="zh-CN"/>
        </w:rPr>
        <w:t>会议室</w:t>
      </w:r>
      <w:r>
        <w:rPr>
          <w:rFonts w:hint="eastAsia" w:ascii="宋体" w:hAnsi="宋体" w:eastAsia="宋体" w:cs="宋体"/>
          <w:sz w:val="24"/>
          <w:highlight w:val="none"/>
        </w:rPr>
        <w:t>  </w:t>
      </w:r>
    </w:p>
    <w:p w14:paraId="27C73810">
      <w:pPr>
        <w:pStyle w:val="41"/>
        <w:shd w:val="clear"/>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五、公告期限</w:t>
      </w:r>
    </w:p>
    <w:p w14:paraId="6ABC8693">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111A04E2">
      <w:pPr>
        <w:pStyle w:val="41"/>
        <w:shd w:val="clear"/>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六、其他补充事宜</w:t>
      </w:r>
    </w:p>
    <w:p w14:paraId="3C4832D9">
      <w:pPr>
        <w:keepNext w:val="0"/>
        <w:keepLines w:val="0"/>
        <w:pageBreakBefore w:val="0"/>
        <w:widowControl w:val="0"/>
        <w:kinsoku/>
        <w:wordWrap w:val="0"/>
        <w:overflowPunct/>
        <w:topLinePunct/>
        <w:autoSpaceDE/>
        <w:autoSpaceDN w:val="0"/>
        <w:bidi w:val="0"/>
        <w:adjustRightInd/>
        <w:snapToGrid/>
        <w:spacing w:line="360" w:lineRule="auto"/>
        <w:ind w:firstLine="480" w:firstLineChars="200"/>
        <w:textAlignment w:val="auto"/>
        <w:rPr>
          <w:rFonts w:hint="eastAsia" w:ascii="宋体" w:hAnsi="宋体" w:cs="宋体"/>
          <w:snapToGrid w:val="0"/>
          <w:kern w:val="0"/>
          <w:sz w:val="24"/>
        </w:rPr>
      </w:pPr>
      <w:r>
        <w:rPr>
          <w:rFonts w:hint="eastAsia" w:ascii="宋体" w:hAnsi="宋体" w:cs="宋体"/>
          <w:snapToGrid w:val="0"/>
          <w:kern w:val="0"/>
          <w:sz w:val="24"/>
        </w:rPr>
        <w:t>潜在供应商对竞争性磋商公告有异议时，应当在法律、法规规定的期限内，通过山西政府采购平台“项目质疑管理”栏向采购人、采购代理机构在线提起质疑。</w:t>
      </w:r>
    </w:p>
    <w:p w14:paraId="6ECACC9C">
      <w:pPr>
        <w:keepNext w:val="0"/>
        <w:keepLines w:val="0"/>
        <w:pageBreakBefore w:val="0"/>
        <w:widowControl w:val="0"/>
        <w:kinsoku/>
        <w:wordWrap w:val="0"/>
        <w:overflowPunct/>
        <w:topLinePunct/>
        <w:autoSpaceDE/>
        <w:autoSpaceDN w:val="0"/>
        <w:bidi w:val="0"/>
        <w:adjustRightInd/>
        <w:snapToGrid/>
        <w:spacing w:line="360" w:lineRule="auto"/>
        <w:ind w:firstLine="480" w:firstLineChars="20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代理费支付方式：</w:t>
      </w:r>
      <w:r>
        <w:rPr>
          <w:rFonts w:hint="eastAsia" w:ascii="宋体" w:hAnsi="宋体" w:cs="宋体"/>
          <w:snapToGrid w:val="0"/>
          <w:kern w:val="0"/>
          <w:sz w:val="24"/>
          <w:lang w:val="en-US" w:eastAsia="zh-CN"/>
        </w:rPr>
        <w:t>采购人</w:t>
      </w:r>
      <w:r>
        <w:rPr>
          <w:rFonts w:hint="eastAsia" w:ascii="宋体" w:hAnsi="宋体" w:eastAsia="宋体" w:cs="宋体"/>
          <w:snapToGrid w:val="0"/>
          <w:kern w:val="0"/>
          <w:sz w:val="24"/>
        </w:rPr>
        <w:t>支付</w:t>
      </w:r>
    </w:p>
    <w:p w14:paraId="321FD6C9">
      <w:pPr>
        <w:keepNext w:val="0"/>
        <w:keepLines w:val="0"/>
        <w:pageBreakBefore w:val="0"/>
        <w:widowControl w:val="0"/>
        <w:kinsoku/>
        <w:wordWrap w:val="0"/>
        <w:overflowPunct/>
        <w:topLinePunct/>
        <w:autoSpaceDE/>
        <w:autoSpaceDN w:val="0"/>
        <w:bidi w:val="0"/>
        <w:adjustRightInd/>
        <w:snapToGrid/>
        <w:spacing w:line="360" w:lineRule="auto"/>
        <w:ind w:firstLine="480" w:firstLineChars="20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代理费收费标准：采购代理机构以委托项目的</w:t>
      </w:r>
      <w:r>
        <w:rPr>
          <w:rFonts w:hint="eastAsia" w:ascii="宋体" w:hAnsi="宋体" w:eastAsia="宋体" w:cs="宋体"/>
          <w:snapToGrid w:val="0"/>
          <w:kern w:val="0"/>
          <w:sz w:val="24"/>
          <w:lang w:val="en-US" w:eastAsia="zh-CN"/>
        </w:rPr>
        <w:t>中标</w:t>
      </w:r>
      <w:r>
        <w:rPr>
          <w:rFonts w:hint="eastAsia" w:ascii="宋体" w:hAnsi="宋体" w:eastAsia="宋体" w:cs="宋体"/>
          <w:snapToGrid w:val="0"/>
          <w:kern w:val="0"/>
          <w:sz w:val="24"/>
        </w:rPr>
        <w:t>金额为计费依据，参照《</w:t>
      </w:r>
      <w:r>
        <w:rPr>
          <w:rFonts w:hint="eastAsia" w:ascii="宋体" w:hAnsi="宋体" w:eastAsia="宋体" w:cs="宋体"/>
          <w:snapToGrid w:val="0"/>
          <w:kern w:val="0"/>
          <w:sz w:val="24"/>
          <w:lang w:val="en-US" w:eastAsia="zh-CN"/>
        </w:rPr>
        <w:t>招标</w:t>
      </w:r>
      <w:r>
        <w:rPr>
          <w:rFonts w:hint="eastAsia" w:ascii="宋体" w:hAnsi="宋体" w:eastAsia="宋体" w:cs="宋体"/>
          <w:snapToGrid w:val="0"/>
          <w:kern w:val="0"/>
          <w:sz w:val="24"/>
        </w:rPr>
        <w:t>代理服务收费管理暂行办法》（计价格[2002]1980号）</w:t>
      </w:r>
      <w:r>
        <w:rPr>
          <w:rFonts w:hint="eastAsia" w:ascii="宋体" w:hAnsi="宋体" w:eastAsia="宋体" w:cs="宋体"/>
          <w:snapToGrid w:val="0"/>
          <w:kern w:val="0"/>
          <w:sz w:val="24"/>
          <w:lang w:val="en-US" w:eastAsia="zh-CN"/>
        </w:rPr>
        <w:t>及国家发改办价格[2003]857号</w:t>
      </w:r>
      <w:r>
        <w:rPr>
          <w:rFonts w:hint="eastAsia" w:ascii="宋体" w:hAnsi="宋体" w:eastAsia="宋体" w:cs="宋体"/>
          <w:snapToGrid w:val="0"/>
          <w:kern w:val="0"/>
          <w:sz w:val="24"/>
        </w:rPr>
        <w:t>文件的规定</w:t>
      </w:r>
      <w:r>
        <w:rPr>
          <w:rFonts w:hint="eastAsia" w:ascii="宋体" w:hAnsi="宋体" w:eastAsia="宋体" w:cs="宋体"/>
          <w:snapToGrid w:val="0"/>
          <w:kern w:val="0"/>
          <w:sz w:val="24"/>
          <w:lang w:eastAsia="zh-CN"/>
        </w:rPr>
        <w:t>。</w:t>
      </w:r>
    </w:p>
    <w:p w14:paraId="0B0E0C28">
      <w:pPr>
        <w:keepNext w:val="0"/>
        <w:keepLines w:val="0"/>
        <w:pageBreakBefore w:val="0"/>
        <w:widowControl w:val="0"/>
        <w:kinsoku/>
        <w:wordWrap w:val="0"/>
        <w:overflowPunct/>
        <w:topLinePunct/>
        <w:autoSpaceDE/>
        <w:autoSpaceDN w:val="0"/>
        <w:bidi w:val="0"/>
        <w:adjustRightInd/>
        <w:snapToGrid/>
        <w:spacing w:line="360" w:lineRule="auto"/>
        <w:ind w:firstLine="480" w:firstLineChars="20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代理费收费金额（元）：/</w:t>
      </w:r>
    </w:p>
    <w:p w14:paraId="4490A430">
      <w:pPr>
        <w:pStyle w:val="41"/>
        <w:shd w:val="clear"/>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七、</w:t>
      </w:r>
      <w:r>
        <w:rPr>
          <w:rFonts w:hint="eastAsia" w:ascii="宋体" w:hAnsi="宋体" w:eastAsia="宋体" w:cs="宋体"/>
          <w:b/>
          <w:bCs/>
          <w:kern w:val="2"/>
          <w:sz w:val="24"/>
          <w:szCs w:val="24"/>
          <w:highlight w:val="none"/>
          <w:lang w:val="en-US" w:eastAsia="zh-CN" w:bidi="ar-SA"/>
        </w:rPr>
        <w:t>对本次采购提出询问，请按以下方式联系</w:t>
      </w:r>
    </w:p>
    <w:p w14:paraId="233735BB">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1.采购人信息</w:t>
      </w:r>
    </w:p>
    <w:p w14:paraId="69A7C153">
      <w:pPr>
        <w:pStyle w:val="41"/>
        <w:shd w:val="clear"/>
        <w:spacing w:line="360" w:lineRule="auto"/>
        <w:ind w:firstLine="480"/>
        <w:rPr>
          <w:rFonts w:hint="eastAsia" w:ascii="宋体" w:hAnsi="宋体" w:eastAsia="宋体" w:cs="宋体"/>
          <w:sz w:val="24"/>
          <w:highlight w:val="none"/>
          <w:lang w:val="zh-TW" w:eastAsia="zh-CN"/>
        </w:rPr>
      </w:pPr>
      <w:r>
        <w:rPr>
          <w:rFonts w:hint="eastAsia" w:ascii="宋体" w:hAnsi="宋体" w:eastAsia="宋体" w:cs="宋体"/>
          <w:sz w:val="24"/>
          <w:highlight w:val="none"/>
        </w:rPr>
        <w:t>名    称：</w:t>
      </w:r>
      <w:r>
        <w:rPr>
          <w:rFonts w:hint="eastAsia" w:ascii="宋体" w:hAnsi="宋体" w:cs="宋体"/>
          <w:sz w:val="24"/>
          <w:highlight w:val="none"/>
          <w:lang w:val="zh-TW" w:eastAsia="zh-CN"/>
        </w:rPr>
        <w:t>古县工信和科技局</w:t>
      </w:r>
    </w:p>
    <w:p w14:paraId="589ACF81">
      <w:pPr>
        <w:pStyle w:val="41"/>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临汾市古县岳秀街54号</w:t>
      </w:r>
    </w:p>
    <w:p w14:paraId="11A51E3D">
      <w:pPr>
        <w:pStyle w:val="41"/>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联系方式：0357</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8322344</w:t>
      </w:r>
      <w:r>
        <w:rPr>
          <w:rFonts w:hint="eastAsia" w:ascii="宋体" w:hAnsi="宋体" w:cs="宋体"/>
          <w:color w:val="auto"/>
          <w:sz w:val="24"/>
          <w:highlight w:val="none"/>
          <w:lang w:val="en-US" w:eastAsia="zh-CN"/>
        </w:rPr>
        <w:t xml:space="preserve"> </w:t>
      </w:r>
    </w:p>
    <w:p w14:paraId="427BF544">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2.采购代理机构信息</w:t>
      </w:r>
    </w:p>
    <w:p w14:paraId="0CF0C8FA">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名称：山西晋鸿项目管理有限公司   </w:t>
      </w:r>
    </w:p>
    <w:p w14:paraId="55AED2B9">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地址：太原市小店区平阳路69号新时代广场2413室</w:t>
      </w:r>
    </w:p>
    <w:p w14:paraId="1130377F">
      <w:pPr>
        <w:pStyle w:val="41"/>
        <w:shd w:val="clea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联系方式：15110420899</w:t>
      </w:r>
    </w:p>
    <w:p w14:paraId="4BE381BF">
      <w:pPr>
        <w:pStyle w:val="41"/>
        <w:shd w:val="clea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3.采购代理机构信息</w:t>
      </w:r>
    </w:p>
    <w:p w14:paraId="58EA0100">
      <w:pPr>
        <w:pStyle w:val="41"/>
        <w:shd w:val="clea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项目联系人：</w:t>
      </w:r>
      <w:r>
        <w:rPr>
          <w:rFonts w:hint="eastAsia" w:ascii="宋体" w:hAnsi="宋体" w:cs="宋体"/>
          <w:sz w:val="24"/>
          <w:highlight w:val="none"/>
          <w:lang w:val="en-US" w:eastAsia="zh-CN"/>
        </w:rPr>
        <w:t>王鹏、</w:t>
      </w:r>
      <w:r>
        <w:rPr>
          <w:rFonts w:hint="eastAsia" w:ascii="宋体" w:hAnsi="宋体" w:eastAsia="宋体" w:cs="宋体"/>
          <w:sz w:val="24"/>
          <w:highlight w:val="none"/>
          <w:lang w:val="en-US" w:eastAsia="zh-CN"/>
        </w:rPr>
        <w:t>王昕</w:t>
      </w:r>
    </w:p>
    <w:p w14:paraId="67B9E286">
      <w:pPr>
        <w:pStyle w:val="41"/>
        <w:shd w:val="clear"/>
        <w:spacing w:line="360" w:lineRule="auto"/>
        <w:ind w:firstLine="480"/>
        <w:rPr>
          <w:rFonts w:hint="eastAsia" w:ascii="宋体" w:hAnsi="宋体" w:eastAsia="宋体" w:cs="宋体"/>
          <w:b/>
          <w:kern w:val="0"/>
          <w:sz w:val="28"/>
          <w:szCs w:val="28"/>
          <w:highlight w:val="none"/>
        </w:rPr>
      </w:pPr>
      <w:r>
        <w:rPr>
          <w:rFonts w:hint="eastAsia" w:ascii="宋体" w:hAnsi="宋体" w:eastAsia="宋体" w:cs="宋体"/>
          <w:sz w:val="24"/>
          <w:highlight w:val="none"/>
          <w:lang w:val="en-US" w:eastAsia="zh-CN"/>
        </w:rPr>
        <w:t>电话：15110420899</w:t>
      </w:r>
    </w:p>
    <w:p w14:paraId="71E2E199">
      <w:pPr>
        <w:pStyle w:val="27"/>
        <w:widowControl w:val="0"/>
        <w:shd w:val="clear"/>
        <w:spacing w:before="120" w:beforeLines="50" w:after="120" w:afterLines="50" w:line="440" w:lineRule="exact"/>
        <w:jc w:val="center"/>
        <w:outlineLvl w:val="0"/>
        <w:rPr>
          <w:rFonts w:hint="eastAsia" w:ascii="宋体" w:hAnsi="宋体" w:eastAsia="宋体" w:cs="宋体"/>
          <w:b/>
          <w:sz w:val="32"/>
          <w:szCs w:val="32"/>
          <w:highlight w:val="none"/>
        </w:rPr>
      </w:pPr>
      <w:bookmarkStart w:id="4" w:name="_Toc19270"/>
      <w:bookmarkStart w:id="5" w:name="_Toc12207"/>
      <w:bookmarkStart w:id="6" w:name="_Toc117270078"/>
      <w:r>
        <w:rPr>
          <w:rFonts w:hint="eastAsia" w:ascii="宋体" w:hAnsi="宋体" w:eastAsia="宋体" w:cs="宋体"/>
          <w:b/>
          <w:sz w:val="32"/>
          <w:szCs w:val="32"/>
          <w:highlight w:val="none"/>
        </w:rPr>
        <w:t>第二部分  投标人须知前附表</w:t>
      </w:r>
      <w:bookmarkEnd w:id="4"/>
      <w:bookmarkEnd w:id="5"/>
      <w:bookmarkEnd w:id="6"/>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6"/>
        <w:gridCol w:w="1587"/>
        <w:gridCol w:w="6759"/>
      </w:tblGrid>
      <w:tr w14:paraId="314C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41C19411">
            <w:pPr>
              <w:shd w:val="clear"/>
              <w:topLinePunct/>
              <w:autoSpaceDE w:val="0"/>
              <w:autoSpaceDN w:val="0"/>
              <w:spacing w:line="460" w:lineRule="exact"/>
              <w:ind w:left="-105" w:leftChars="-50" w:right="-105" w:rightChars="-50"/>
              <w:jc w:val="center"/>
              <w:rPr>
                <w:rFonts w:hint="eastAsia" w:ascii="宋体" w:hAnsi="宋体" w:eastAsia="宋体" w:cs="宋体"/>
                <w:b/>
                <w:bCs/>
                <w:sz w:val="24"/>
                <w:highlight w:val="none"/>
              </w:rPr>
            </w:pPr>
            <w:r>
              <w:rPr>
                <w:rFonts w:hint="eastAsia" w:ascii="宋体" w:hAnsi="宋体" w:eastAsia="宋体" w:cs="宋体"/>
                <w:sz w:val="24"/>
                <w:highlight w:val="none"/>
              </w:rPr>
              <w:t>序号</w:t>
            </w:r>
          </w:p>
        </w:tc>
        <w:tc>
          <w:tcPr>
            <w:tcW w:w="884" w:type="pct"/>
            <w:shd w:val="clear" w:color="auto" w:fill="auto"/>
            <w:vAlign w:val="center"/>
          </w:tcPr>
          <w:p w14:paraId="3EEF3531">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内容</w:t>
            </w:r>
          </w:p>
        </w:tc>
        <w:tc>
          <w:tcPr>
            <w:tcW w:w="3765" w:type="pct"/>
            <w:shd w:val="clear" w:color="auto" w:fill="auto"/>
            <w:vAlign w:val="center"/>
          </w:tcPr>
          <w:p w14:paraId="17BBA8B5">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说明与要求</w:t>
            </w:r>
          </w:p>
        </w:tc>
      </w:tr>
      <w:tr w14:paraId="1654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676D42C9">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884" w:type="pct"/>
            <w:shd w:val="clear" w:color="auto" w:fill="auto"/>
            <w:vAlign w:val="center"/>
          </w:tcPr>
          <w:p w14:paraId="6CCCB2F4">
            <w:pPr>
              <w:pStyle w:val="42"/>
              <w:keepNext w:val="0"/>
              <w:keepLines w:val="0"/>
              <w:shd w:val="clear"/>
              <w:topLinePunct/>
              <w:autoSpaceDE w:val="0"/>
              <w:autoSpaceDN w:val="0"/>
              <w:spacing w:before="0" w:after="0" w:line="460" w:lineRule="exact"/>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本项目预算金额及最高限价</w:t>
            </w:r>
          </w:p>
        </w:tc>
        <w:tc>
          <w:tcPr>
            <w:tcW w:w="3765" w:type="pct"/>
            <w:shd w:val="clear" w:color="auto" w:fill="auto"/>
            <w:vAlign w:val="center"/>
          </w:tcPr>
          <w:p w14:paraId="2C779A43">
            <w:pPr>
              <w:pStyle w:val="41"/>
              <w:shd w:val="clea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w:t>
            </w:r>
          </w:p>
          <w:p w14:paraId="1402F3C5">
            <w:pPr>
              <w:pStyle w:val="41"/>
              <w:shd w:val="clea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人民币：</w:t>
            </w:r>
            <w:r>
              <w:rPr>
                <w:rFonts w:hint="eastAsia" w:ascii="宋体" w:hAnsi="宋体" w:cs="宋体"/>
                <w:color w:val="auto"/>
                <w:kern w:val="2"/>
                <w:sz w:val="24"/>
                <w:szCs w:val="24"/>
                <w:highlight w:val="none"/>
                <w:lang w:val="en-US" w:eastAsia="zh-CN" w:bidi="ar-SA"/>
              </w:rPr>
              <w:t>1415956</w:t>
            </w:r>
            <w:r>
              <w:rPr>
                <w:rFonts w:hint="eastAsia" w:ascii="宋体" w:hAnsi="宋体" w:eastAsia="宋体" w:cs="宋体"/>
                <w:color w:val="auto"/>
                <w:kern w:val="2"/>
                <w:sz w:val="24"/>
                <w:szCs w:val="24"/>
                <w:highlight w:val="none"/>
                <w:lang w:val="en-US" w:eastAsia="zh-CN" w:bidi="ar-SA"/>
              </w:rPr>
              <w:t>元</w:t>
            </w:r>
          </w:p>
          <w:p w14:paraId="55B7C233">
            <w:pPr>
              <w:pStyle w:val="41"/>
              <w:shd w:val="clea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w:t>
            </w:r>
          </w:p>
          <w:p w14:paraId="611FE9FB">
            <w:pPr>
              <w:pStyle w:val="41"/>
              <w:shd w:val="clea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人民币：</w:t>
            </w:r>
            <w:r>
              <w:rPr>
                <w:rFonts w:hint="eastAsia" w:ascii="宋体" w:hAnsi="宋体" w:cs="宋体"/>
                <w:color w:val="auto"/>
                <w:kern w:val="2"/>
                <w:sz w:val="24"/>
                <w:szCs w:val="24"/>
                <w:highlight w:val="none"/>
                <w:lang w:val="en-US" w:eastAsia="zh-CN" w:bidi="ar-SA"/>
              </w:rPr>
              <w:t>1363956</w:t>
            </w:r>
            <w:r>
              <w:rPr>
                <w:rFonts w:hint="eastAsia" w:ascii="宋体" w:hAnsi="宋体" w:eastAsia="宋体" w:cs="宋体"/>
                <w:color w:val="auto"/>
                <w:kern w:val="2"/>
                <w:sz w:val="24"/>
                <w:szCs w:val="24"/>
                <w:highlight w:val="none"/>
                <w:lang w:val="en-US" w:eastAsia="zh-CN" w:bidi="ar-SA"/>
              </w:rPr>
              <w:t>元</w:t>
            </w:r>
          </w:p>
          <w:p w14:paraId="3080ED76">
            <w:pPr>
              <w:shd w:val="clear"/>
              <w:topLinePunct/>
              <w:autoSpaceDE w:val="0"/>
              <w:autoSpaceDN w:val="0"/>
              <w:spacing w:line="460" w:lineRule="exact"/>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注：投标人的投标报价不得超过最高限价，否则投标无效。</w:t>
            </w:r>
          </w:p>
        </w:tc>
      </w:tr>
      <w:tr w14:paraId="471E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49" w:type="pct"/>
            <w:shd w:val="clear" w:color="auto" w:fill="auto"/>
            <w:vAlign w:val="center"/>
          </w:tcPr>
          <w:p w14:paraId="51A9C07D">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884" w:type="pct"/>
            <w:shd w:val="clear" w:color="auto" w:fill="auto"/>
            <w:vAlign w:val="center"/>
          </w:tcPr>
          <w:p w14:paraId="3C3BDD13">
            <w:pPr>
              <w:shd w:val="clear"/>
              <w:topLinePunct/>
              <w:autoSpaceDE w:val="0"/>
              <w:autoSpaceDN w:val="0"/>
              <w:jc w:val="center"/>
              <w:rPr>
                <w:rFonts w:hint="eastAsia" w:ascii="宋体" w:hAnsi="宋体" w:eastAsia="宋体" w:cs="宋体"/>
                <w:sz w:val="24"/>
                <w:highlight w:val="none"/>
              </w:rPr>
            </w:pPr>
            <w:r>
              <w:rPr>
                <w:rFonts w:hint="eastAsia" w:ascii="宋体" w:hAnsi="宋体" w:eastAsia="宋体" w:cs="宋体"/>
                <w:sz w:val="24"/>
                <w:highlight w:val="none"/>
              </w:rPr>
              <w:t>是否允许代理商投标</w:t>
            </w:r>
          </w:p>
        </w:tc>
        <w:tc>
          <w:tcPr>
            <w:tcW w:w="3765" w:type="pct"/>
            <w:shd w:val="clear" w:color="auto" w:fill="auto"/>
            <w:vAlign w:val="center"/>
          </w:tcPr>
          <w:p w14:paraId="418C8A25">
            <w:pPr>
              <w:shd w:val="clear"/>
              <w:spacing w:line="460" w:lineRule="exact"/>
              <w:rPr>
                <w:rFonts w:hint="eastAsia" w:ascii="宋体" w:hAnsi="宋体" w:eastAsia="宋体" w:cs="宋体"/>
                <w:bCs/>
                <w:sz w:val="24"/>
                <w:highlight w:val="none"/>
              </w:rPr>
            </w:pPr>
            <w:r>
              <w:rPr>
                <w:rFonts w:hint="eastAsia" w:ascii="宋体" w:hAnsi="宋体" w:eastAsia="宋体" w:cs="宋体"/>
                <w:bCs/>
                <w:sz w:val="24"/>
                <w:highlight w:val="none"/>
              </w:rPr>
              <w:t>是</w:t>
            </w:r>
            <w:r>
              <w:rPr>
                <w:rFonts w:hint="eastAsia" w:ascii="宋体" w:hAnsi="宋体" w:eastAsia="宋体" w:cs="宋体"/>
                <w:bCs/>
                <w:sz w:val="24"/>
                <w:highlight w:val="none"/>
              </w:rPr>
              <w:sym w:font="Wingdings 2" w:char="0052"/>
            </w:r>
            <w:r>
              <w:rPr>
                <w:rFonts w:hint="eastAsia" w:ascii="宋体" w:hAnsi="宋体" w:eastAsia="宋体" w:cs="宋体"/>
                <w:bCs/>
                <w:sz w:val="24"/>
                <w:highlight w:val="none"/>
              </w:rPr>
              <w:t xml:space="preserve">    否</w:t>
            </w:r>
            <w:r>
              <w:rPr>
                <w:rFonts w:hint="eastAsia" w:ascii="宋体" w:hAnsi="宋体" w:eastAsia="宋体" w:cs="宋体"/>
                <w:bCs/>
                <w:sz w:val="24"/>
                <w:highlight w:val="none"/>
              </w:rPr>
              <w:sym w:font="Wingdings 2" w:char="00A3"/>
            </w:r>
          </w:p>
        </w:tc>
      </w:tr>
      <w:tr w14:paraId="60C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6F61387C">
            <w:pPr>
              <w:shd w:val="clear"/>
              <w:topLinePunct/>
              <w:autoSpaceDE w:val="0"/>
              <w:autoSpaceDN w:val="0"/>
              <w:spacing w:line="4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3</w:t>
            </w:r>
          </w:p>
        </w:tc>
        <w:tc>
          <w:tcPr>
            <w:tcW w:w="884" w:type="pct"/>
            <w:shd w:val="clear" w:color="auto" w:fill="auto"/>
            <w:vAlign w:val="center"/>
          </w:tcPr>
          <w:p w14:paraId="14A07E4D">
            <w:pPr>
              <w:shd w:val="clear"/>
              <w:topLinePunct/>
              <w:autoSpaceDE w:val="0"/>
              <w:autoSpaceDN w:val="0"/>
              <w:snapToGrid w:val="0"/>
              <w:jc w:val="center"/>
              <w:rPr>
                <w:rFonts w:hint="eastAsia" w:ascii="宋体" w:hAnsi="宋体" w:eastAsia="宋体" w:cs="宋体"/>
                <w:bCs/>
                <w:sz w:val="24"/>
                <w:highlight w:val="none"/>
              </w:rPr>
            </w:pPr>
            <w:r>
              <w:rPr>
                <w:rFonts w:hint="eastAsia" w:ascii="宋体" w:hAnsi="宋体" w:eastAsia="宋体" w:cs="宋体"/>
                <w:bCs/>
                <w:sz w:val="24"/>
                <w:highlight w:val="none"/>
              </w:rPr>
              <w:t>是否允许联合体投标</w:t>
            </w:r>
          </w:p>
        </w:tc>
        <w:tc>
          <w:tcPr>
            <w:tcW w:w="3765" w:type="pct"/>
            <w:shd w:val="clear" w:color="auto" w:fill="auto"/>
            <w:vAlign w:val="center"/>
          </w:tcPr>
          <w:p w14:paraId="2A043C84">
            <w:pPr>
              <w:pStyle w:val="16"/>
              <w:shd w:val="clear"/>
              <w:spacing w:line="460" w:lineRule="exact"/>
              <w:rPr>
                <w:rFonts w:hint="eastAsia" w:ascii="宋体" w:hAnsi="宋体" w:eastAsia="宋体" w:cs="宋体"/>
                <w:bCs/>
                <w:sz w:val="24"/>
                <w:szCs w:val="24"/>
                <w:highlight w:val="none"/>
              </w:rPr>
            </w:pPr>
            <w:r>
              <w:rPr>
                <w:rFonts w:hint="eastAsia" w:ascii="宋体" w:hAnsi="宋体" w:eastAsia="宋体" w:cs="宋体"/>
                <w:bCs/>
                <w:sz w:val="24"/>
                <w:highlight w:val="none"/>
              </w:rPr>
              <w:t>是</w:t>
            </w:r>
            <w:r>
              <w:rPr>
                <w:rFonts w:hint="eastAsia" w:ascii="宋体" w:hAnsi="宋体" w:eastAsia="宋体" w:cs="宋体"/>
                <w:bCs/>
                <w:sz w:val="24"/>
                <w:highlight w:val="none"/>
              </w:rPr>
              <w:sym w:font="Wingdings 2" w:char="00A3"/>
            </w:r>
            <w:r>
              <w:rPr>
                <w:rFonts w:hint="eastAsia" w:ascii="宋体" w:hAnsi="宋体" w:eastAsia="宋体" w:cs="宋体"/>
                <w:bCs/>
                <w:sz w:val="24"/>
                <w:highlight w:val="none"/>
              </w:rPr>
              <w:t xml:space="preserve">    否</w:t>
            </w:r>
            <w:r>
              <w:rPr>
                <w:rFonts w:hint="eastAsia" w:ascii="宋体" w:hAnsi="宋体" w:eastAsia="宋体" w:cs="宋体"/>
                <w:bCs/>
                <w:sz w:val="24"/>
                <w:highlight w:val="none"/>
              </w:rPr>
              <w:sym w:font="Wingdings 2" w:char="F052"/>
            </w:r>
          </w:p>
        </w:tc>
      </w:tr>
      <w:tr w14:paraId="0BD5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1CA505D4">
            <w:pPr>
              <w:shd w:val="clear"/>
              <w:topLinePunct/>
              <w:autoSpaceDE w:val="0"/>
              <w:autoSpaceDN w:val="0"/>
              <w:spacing w:line="4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4</w:t>
            </w:r>
          </w:p>
        </w:tc>
        <w:tc>
          <w:tcPr>
            <w:tcW w:w="884" w:type="pct"/>
            <w:shd w:val="clear" w:color="auto" w:fill="auto"/>
            <w:vAlign w:val="center"/>
          </w:tcPr>
          <w:p w14:paraId="5AD06179">
            <w:pPr>
              <w:shd w:val="clear"/>
              <w:topLinePunct/>
              <w:autoSpaceDE w:val="0"/>
              <w:autoSpaceDN w:val="0"/>
              <w:snapToGrid w:val="0"/>
              <w:spacing w:line="4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投标文件份数</w:t>
            </w:r>
            <w:r>
              <w:rPr>
                <w:rFonts w:hint="eastAsia" w:ascii="宋体" w:hAnsi="宋体" w:eastAsia="宋体" w:cs="宋体"/>
                <w:bCs/>
                <w:color w:val="000000" w:themeColor="text1"/>
                <w:sz w:val="24"/>
                <w:highlight w:val="none"/>
                <w14:textFill>
                  <w14:solidFill>
                    <w14:schemeClr w14:val="tx1"/>
                  </w14:solidFill>
                </w14:textFill>
              </w:rPr>
              <w:t>、密封要求</w:t>
            </w:r>
            <w:r>
              <w:rPr>
                <w:rFonts w:hint="eastAsia" w:ascii="宋体" w:hAnsi="宋体" w:eastAsia="宋体" w:cs="宋体"/>
                <w:bCs/>
                <w:sz w:val="24"/>
                <w:highlight w:val="none"/>
              </w:rPr>
              <w:t>及解密时长</w:t>
            </w:r>
          </w:p>
        </w:tc>
        <w:tc>
          <w:tcPr>
            <w:tcW w:w="3765" w:type="pct"/>
            <w:shd w:val="clear" w:color="auto" w:fill="auto"/>
            <w:vAlign w:val="center"/>
          </w:tcPr>
          <w:p w14:paraId="699EA6DE">
            <w:pPr>
              <w:shd w:val="clear"/>
              <w:topLinePunct/>
              <w:autoSpaceDE w:val="0"/>
              <w:autoSpaceDN w:val="0"/>
              <w:spacing w:line="4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1.投标文件份数：</w:t>
            </w:r>
          </w:p>
          <w:p w14:paraId="0534D6E1">
            <w:pPr>
              <w:shd w:val="clear"/>
              <w:topLinePunct/>
              <w:autoSpaceDE w:val="0"/>
              <w:autoSpaceDN w:val="0"/>
              <w:spacing w:line="4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投标人需在山西政府采购平台提交加密电子投标文件壹份；</w:t>
            </w:r>
          </w:p>
          <w:p w14:paraId="71AE54B0">
            <w:pPr>
              <w:shd w:val="clear"/>
              <w:topLinePunct/>
              <w:autoSpaceDE w:val="0"/>
              <w:autoSpaceDN w:val="0"/>
              <w:spacing w:line="460" w:lineRule="exact"/>
              <w:rPr>
                <w:rFonts w:hint="eastAsia" w:ascii="宋体" w:hAnsi="宋体" w:eastAsia="宋体" w:cs="宋体"/>
                <w:color w:val="auto"/>
                <w:sz w:val="24"/>
                <w:highlight w:val="none"/>
              </w:rPr>
            </w:pPr>
            <w:r>
              <w:rPr>
                <w:rFonts w:hint="eastAsia" w:ascii="宋体" w:hAnsi="宋体" w:eastAsia="宋体" w:cs="宋体"/>
                <w:color w:val="000000" w:themeColor="text1"/>
                <w:sz w:val="24"/>
                <w:highlight w:val="none"/>
                <w14:textFill>
                  <w14:solidFill>
                    <w14:schemeClr w14:val="tx1"/>
                  </w14:solidFill>
                </w14:textFill>
              </w:rPr>
              <w:t>2.上传截止时</w:t>
            </w:r>
            <w:r>
              <w:rPr>
                <w:rFonts w:hint="eastAsia" w:ascii="宋体" w:hAnsi="宋体" w:eastAsia="宋体" w:cs="宋体"/>
                <w:color w:val="auto"/>
                <w:sz w:val="24"/>
                <w:highlight w:val="none"/>
              </w:rPr>
              <w:t>间：2025年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日9点00分（北京时间）</w:t>
            </w:r>
          </w:p>
          <w:p w14:paraId="7A84FF20">
            <w:pPr>
              <w:shd w:val="clear"/>
              <w:topLinePunct/>
              <w:autoSpaceDE w:val="0"/>
              <w:autoSpaceDN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3.解密</w:t>
            </w:r>
            <w:r>
              <w:rPr>
                <w:rFonts w:hint="eastAsia" w:ascii="宋体" w:hAnsi="宋体" w:cs="宋体"/>
                <w:color w:val="auto"/>
                <w:sz w:val="24"/>
                <w:highlight w:val="none"/>
                <w:lang w:val="en-US" w:eastAsia="zh-CN"/>
              </w:rPr>
              <w:t>时间</w:t>
            </w:r>
            <w:r>
              <w:rPr>
                <w:rFonts w:hint="eastAsia" w:ascii="宋体" w:hAnsi="宋体" w:eastAsia="宋体" w:cs="宋体"/>
                <w:color w:val="auto"/>
                <w:sz w:val="24"/>
                <w:highlight w:val="none"/>
              </w:rPr>
              <w:t>：</w:t>
            </w:r>
          </w:p>
          <w:p w14:paraId="506553CA">
            <w:pPr>
              <w:shd w:val="clear"/>
              <w:topLinePunct/>
              <w:autoSpaceDE w:val="0"/>
              <w:autoSpaceDN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2025年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日9点00分至2025年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日10点00分。</w:t>
            </w:r>
          </w:p>
          <w:p w14:paraId="1917F016">
            <w:pPr>
              <w:shd w:val="clear"/>
              <w:topLinePunct/>
              <w:autoSpaceDE w:val="0"/>
              <w:autoSpaceDN w:val="0"/>
              <w:spacing w:line="460" w:lineRule="exact"/>
              <w:rPr>
                <w:rFonts w:hint="eastAsia" w:ascii="宋体" w:hAnsi="宋体" w:eastAsia="宋体" w:cs="宋体"/>
                <w:sz w:val="24"/>
                <w:highlight w:val="none"/>
              </w:rPr>
            </w:pPr>
            <w:r>
              <w:rPr>
                <w:rFonts w:hint="eastAsia" w:ascii="宋体" w:hAnsi="宋体" w:eastAsia="宋体" w:cs="宋体"/>
                <w:sz w:val="24"/>
                <w:highlight w:val="none"/>
              </w:rPr>
              <w:t>未在规定时间内提交或解密投标文件的，视为未提交投标文件，由投标人自行承担责任。</w:t>
            </w:r>
          </w:p>
        </w:tc>
      </w:tr>
      <w:tr w14:paraId="2545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027BFA22">
            <w:pPr>
              <w:shd w:val="clear"/>
              <w:topLinePunct/>
              <w:autoSpaceDE w:val="0"/>
              <w:autoSpaceDN w:val="0"/>
              <w:spacing w:line="460" w:lineRule="exact"/>
              <w:jc w:val="center"/>
              <w:rPr>
                <w:rFonts w:hint="eastAsia" w:ascii="宋体" w:hAnsi="宋体" w:eastAsia="宋体" w:cs="宋体"/>
                <w:b/>
                <w:bCs/>
                <w:sz w:val="24"/>
                <w:highlight w:val="none"/>
              </w:rPr>
            </w:pPr>
            <w:r>
              <w:rPr>
                <w:rFonts w:hint="eastAsia" w:ascii="宋体" w:hAnsi="宋体" w:eastAsia="宋体" w:cs="宋体"/>
                <w:sz w:val="24"/>
                <w:highlight w:val="none"/>
              </w:rPr>
              <w:t>5</w:t>
            </w:r>
          </w:p>
        </w:tc>
        <w:tc>
          <w:tcPr>
            <w:tcW w:w="884" w:type="pct"/>
            <w:shd w:val="clear" w:color="auto" w:fill="auto"/>
            <w:vAlign w:val="center"/>
          </w:tcPr>
          <w:p w14:paraId="7698F59E">
            <w:pPr>
              <w:shd w:val="clear"/>
              <w:topLinePunct/>
              <w:autoSpaceDE w:val="0"/>
              <w:autoSpaceDN w:val="0"/>
              <w:spacing w:line="460" w:lineRule="exact"/>
              <w:ind w:left="-101" w:leftChars="-48" w:right="-94" w:rightChars="-45" w:firstLine="132" w:firstLineChars="55"/>
              <w:jc w:val="center"/>
              <w:rPr>
                <w:rFonts w:hint="eastAsia" w:ascii="宋体" w:hAnsi="宋体" w:eastAsia="宋体" w:cs="宋体"/>
                <w:sz w:val="24"/>
                <w:highlight w:val="none"/>
              </w:rPr>
            </w:pPr>
            <w:r>
              <w:rPr>
                <w:rFonts w:hint="eastAsia" w:ascii="宋体" w:hAnsi="宋体" w:eastAsia="宋体" w:cs="宋体"/>
                <w:sz w:val="24"/>
                <w:highlight w:val="none"/>
              </w:rPr>
              <w:t>投标人应提交的资格证明文件</w:t>
            </w:r>
          </w:p>
        </w:tc>
        <w:tc>
          <w:tcPr>
            <w:tcW w:w="3765" w:type="pct"/>
            <w:shd w:val="clear" w:color="auto" w:fill="auto"/>
            <w:vAlign w:val="center"/>
          </w:tcPr>
          <w:p w14:paraId="27370647">
            <w:pPr>
              <w:pStyle w:val="41"/>
              <w:shd w:val="clear"/>
              <w:spacing w:line="460" w:lineRule="exact"/>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1.具有独立承担民事责任的能力的承诺函（见‘投标文件格式’）；</w:t>
            </w:r>
          </w:p>
          <w:p w14:paraId="2D1AEE71">
            <w:pPr>
              <w:pStyle w:val="41"/>
              <w:shd w:val="clear"/>
              <w:spacing w:line="460" w:lineRule="exact"/>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2.具有良好的商业信誉和健全的财务会计制度的承诺函（见‘投标文件格式’）；</w:t>
            </w:r>
          </w:p>
          <w:p w14:paraId="095D606B">
            <w:pPr>
              <w:pStyle w:val="41"/>
              <w:shd w:val="clear"/>
              <w:spacing w:line="460" w:lineRule="exact"/>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3.具有履行合同所必需的设备和专业技术能力的承诺函（见‘投标文件格式’）；</w:t>
            </w:r>
          </w:p>
          <w:p w14:paraId="6A1CF85E">
            <w:pPr>
              <w:pStyle w:val="41"/>
              <w:shd w:val="clear"/>
              <w:spacing w:line="460" w:lineRule="exact"/>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4.有依法缴纳税收和社会保障资金的良好记录的承诺函（见‘投标文件格式’）；</w:t>
            </w:r>
          </w:p>
          <w:p w14:paraId="3D24813E">
            <w:pPr>
              <w:pStyle w:val="41"/>
              <w:shd w:val="clear"/>
              <w:spacing w:line="460" w:lineRule="exact"/>
              <w:ind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sz w:val="24"/>
                <w:highlight w:val="none"/>
              </w:rPr>
              <w:t>5.参加采购活动前三年内，在经营活动中没有重大违法记录的承诺函</w:t>
            </w:r>
            <w:r>
              <w:rPr>
                <w:rFonts w:hint="eastAsia" w:ascii="宋体" w:hAnsi="宋体" w:eastAsia="宋体" w:cs="宋体"/>
                <w:color w:val="000000" w:themeColor="text1"/>
                <w:sz w:val="24"/>
                <w:highlight w:val="none"/>
                <w14:textFill>
                  <w14:solidFill>
                    <w14:schemeClr w14:val="tx1"/>
                  </w14:solidFill>
                </w14:textFill>
              </w:rPr>
              <w:t>（见‘投标文件格式’）；</w:t>
            </w:r>
          </w:p>
          <w:p w14:paraId="679CF23B">
            <w:pPr>
              <w:pStyle w:val="41"/>
              <w:shd w:val="clear"/>
              <w:spacing w:line="460" w:lineRule="exact"/>
              <w:ind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6.单位负责人为同一人或者存在直接控股、管理关系的不同投标人，不得参加同一合同项下的采购活动的承诺函（见‘投标文件格式’）；</w:t>
            </w:r>
          </w:p>
          <w:p w14:paraId="49FBDA42">
            <w:pPr>
              <w:pStyle w:val="41"/>
              <w:shd w:val="clear"/>
              <w:spacing w:line="460" w:lineRule="exact"/>
              <w:ind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7.投标人廉洁自律承诺书（见‘投标文件格式’）；</w:t>
            </w:r>
          </w:p>
          <w:p w14:paraId="0CDB3607">
            <w:pPr>
              <w:shd w:val="clear"/>
              <w:spacing w:line="460" w:lineRule="exac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8.投标人应具备的特定资格条件：</w:t>
            </w:r>
          </w:p>
          <w:p w14:paraId="3805CC91">
            <w:pPr>
              <w:shd w:val="clear"/>
              <w:spacing w:line="460" w:lineRule="exac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（本项若要求，提供的影印件或扫描件须加盖投标人公章）；</w:t>
            </w:r>
          </w:p>
          <w:p w14:paraId="746963B1">
            <w:pPr>
              <w:shd w:val="clear"/>
              <w:spacing w:line="460" w:lineRule="exac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注：以上第1-8项资格证明文件，若有一项未提供或无效，均不允许在投标文件解密后补正，将导致其不具备投标资格。</w:t>
            </w:r>
          </w:p>
          <w:p w14:paraId="19D6D5DD">
            <w:pPr>
              <w:pStyle w:val="41"/>
              <w:shd w:val="clear"/>
              <w:spacing w:line="460" w:lineRule="exact"/>
              <w:ind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投标保证金</w:t>
            </w:r>
            <w:r>
              <w:rPr>
                <w:rFonts w:hint="eastAsia" w:ascii="宋体" w:hAnsi="宋体" w:eastAsia="宋体" w:cs="宋体"/>
                <w:color w:val="000000" w:themeColor="text1"/>
                <w:sz w:val="24"/>
                <w:highlight w:val="none"/>
                <w:lang w:val="en-US"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凭证（须提供加盖投标人公章的投标保证金提交凭证影印件或扫描件）。</w:t>
            </w:r>
          </w:p>
          <w:p w14:paraId="518E4415">
            <w:pPr>
              <w:pStyle w:val="41"/>
              <w:shd w:val="clear"/>
              <w:spacing w:line="460" w:lineRule="exact"/>
              <w:ind w:firstLine="0" w:firstLineChars="0"/>
              <w:rPr>
                <w:rFonts w:hint="eastAsia" w:ascii="宋体" w:hAnsi="宋体" w:eastAsia="宋体" w:cs="宋体"/>
                <w:color w:val="000000"/>
                <w:sz w:val="24"/>
                <w:highlight w:val="none"/>
              </w:rPr>
            </w:pPr>
            <w:r>
              <w:rPr>
                <w:rFonts w:hint="eastAsia" w:ascii="宋体" w:hAnsi="宋体" w:eastAsia="宋体" w:cs="宋体"/>
                <w:color w:val="000000" w:themeColor="text1"/>
                <w:sz w:val="24"/>
                <w:highlight w:val="none"/>
                <w14:textFill>
                  <w14:solidFill>
                    <w14:schemeClr w14:val="tx1"/>
                  </w14:solidFill>
                </w14:textFill>
              </w:rPr>
              <w:t>投标保证金金额及</w:t>
            </w:r>
            <w:r>
              <w:rPr>
                <w:rFonts w:hint="eastAsia" w:ascii="宋体" w:hAnsi="宋体" w:eastAsia="宋体" w:cs="宋体"/>
                <w:color w:val="000000" w:themeColor="text1"/>
                <w:sz w:val="24"/>
                <w:highlight w:val="none"/>
                <w:lang w:val="en-US"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要</w:t>
            </w:r>
            <w:r>
              <w:rPr>
                <w:rFonts w:hint="eastAsia" w:ascii="宋体" w:hAnsi="宋体" w:eastAsia="宋体" w:cs="宋体"/>
                <w:color w:val="000000"/>
                <w:sz w:val="24"/>
                <w:highlight w:val="none"/>
              </w:rPr>
              <w:t>求：</w:t>
            </w:r>
          </w:p>
          <w:p w14:paraId="40192C60">
            <w:pPr>
              <w:shd w:val="clear"/>
              <w:spacing w:line="460" w:lineRule="exact"/>
              <w:ind w:firstLine="960" w:firstLineChars="4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人民币（大写）</w:t>
            </w:r>
            <w:r>
              <w:rPr>
                <w:rFonts w:hint="eastAsia" w:ascii="宋体" w:hAnsi="宋体" w:cs="宋体"/>
                <w:bCs/>
                <w:color w:val="auto"/>
                <w:sz w:val="24"/>
                <w:highlight w:val="none"/>
                <w:lang w:val="en-US" w:eastAsia="zh-CN"/>
              </w:rPr>
              <w:t>壹万叁</w:t>
            </w:r>
            <w:r>
              <w:rPr>
                <w:rFonts w:hint="eastAsia" w:ascii="宋体" w:hAnsi="宋体" w:eastAsia="宋体" w:cs="宋体"/>
                <w:bCs/>
                <w:color w:val="auto"/>
                <w:sz w:val="24"/>
                <w:highlight w:val="none"/>
                <w:lang w:val="en-US" w:eastAsia="zh-CN"/>
              </w:rPr>
              <w:t>仟元整</w:t>
            </w:r>
          </w:p>
          <w:p w14:paraId="001706C2">
            <w:pPr>
              <w:shd w:val="clear"/>
              <w:spacing w:line="460" w:lineRule="exact"/>
              <w:ind w:firstLine="1680" w:firstLineChars="700"/>
              <w:rPr>
                <w:rFonts w:hint="eastAsia" w:ascii="宋体" w:hAnsi="宋体" w:eastAsia="宋体" w:cs="宋体"/>
                <w:bCs/>
                <w:color w:val="auto"/>
                <w:sz w:val="24"/>
                <w:highlight w:val="none"/>
                <w:lang w:val="en-US"/>
              </w:rPr>
            </w:pPr>
            <w:r>
              <w:rPr>
                <w:rFonts w:hint="eastAsia" w:ascii="宋体" w:hAnsi="宋体" w:eastAsia="宋体" w:cs="宋体"/>
                <w:bCs/>
                <w:color w:val="auto"/>
                <w:sz w:val="24"/>
                <w:highlight w:val="none"/>
              </w:rPr>
              <w:t>（小写）¥</w:t>
            </w:r>
            <w:r>
              <w:rPr>
                <w:rFonts w:hint="eastAsia" w:ascii="宋体" w:hAnsi="宋体" w:cs="宋体"/>
                <w:bCs/>
                <w:color w:val="auto"/>
                <w:sz w:val="24"/>
                <w:highlight w:val="none"/>
                <w:lang w:val="en-US" w:eastAsia="zh-CN"/>
              </w:rPr>
              <w:t>13000</w:t>
            </w:r>
            <w:r>
              <w:rPr>
                <w:rFonts w:hint="eastAsia" w:ascii="宋体" w:hAnsi="宋体" w:eastAsia="宋体" w:cs="宋体"/>
                <w:bCs/>
                <w:color w:val="auto"/>
                <w:sz w:val="24"/>
                <w:highlight w:val="none"/>
                <w:lang w:val="en-US" w:eastAsia="zh-CN"/>
              </w:rPr>
              <w:t>.00元</w:t>
            </w:r>
          </w:p>
          <w:p w14:paraId="46A2131D">
            <w:pPr>
              <w:pStyle w:val="42"/>
              <w:keepNext w:val="0"/>
              <w:keepLines w:val="0"/>
              <w:shd w:val="clear"/>
              <w:spacing w:before="0" w:after="0" w:line="460" w:lineRule="exact"/>
              <w:ind w:right="-94" w:rightChars="-45" w:firstLine="480" w:firstLineChars="200"/>
              <w:outlineLvl w:val="9"/>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投标人在投标文件递交截止时间前，须将投标保证金采用支票、汇票、本票、网银转账或者金融机构、担保机构出具的保函等非现金形式提交给采购代理机构。采用支票、汇票、本票、转账方式提交的，付款账户应为投标人对公账户</w:t>
            </w:r>
          </w:p>
          <w:p w14:paraId="17F794A1">
            <w:pPr>
              <w:pStyle w:val="42"/>
              <w:keepNext w:val="0"/>
              <w:keepLines w:val="0"/>
              <w:shd w:val="clear"/>
              <w:spacing w:before="0" w:after="0" w:line="460" w:lineRule="exact"/>
              <w:ind w:right="-94" w:rightChars="-45" w:firstLine="480" w:firstLineChars="200"/>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开户名称：山西晋鸿项目管理有限公司</w:t>
            </w:r>
          </w:p>
          <w:p w14:paraId="6492AED6">
            <w:pPr>
              <w:pStyle w:val="42"/>
              <w:keepNext w:val="0"/>
              <w:keepLines w:val="0"/>
              <w:shd w:val="clear"/>
              <w:spacing w:before="0" w:after="0" w:line="460" w:lineRule="exact"/>
              <w:ind w:right="-94" w:rightChars="-45" w:firstLine="480" w:firstLineChars="200"/>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开户账号：1561 7001 0900 05</w:t>
            </w:r>
          </w:p>
          <w:p w14:paraId="11DF7D74">
            <w:pPr>
              <w:pStyle w:val="42"/>
              <w:keepNext w:val="0"/>
              <w:keepLines w:val="0"/>
              <w:shd w:val="clear"/>
              <w:spacing w:before="0" w:after="0" w:line="460" w:lineRule="exact"/>
              <w:ind w:right="-94" w:rightChars="-45" w:firstLine="480" w:firstLineChars="200"/>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开户银行：平安银行太原分行营业部</w:t>
            </w:r>
          </w:p>
          <w:p w14:paraId="1976979E">
            <w:pPr>
              <w:pStyle w:val="27"/>
              <w:widowControl w:val="0"/>
              <w:shd w:val="clear"/>
              <w:topLinePunct/>
              <w:autoSpaceDE w:val="0"/>
              <w:autoSpaceDN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5ACB4AA">
            <w:pPr>
              <w:pStyle w:val="27"/>
              <w:widowControl w:val="0"/>
              <w:shd w:val="clear"/>
              <w:topLinePunct/>
              <w:autoSpaceDE w:val="0"/>
              <w:autoSpaceDN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（1）未按第9条要求或未足额提交投标保证金的，将导致其不具备投标资格。</w:t>
            </w:r>
          </w:p>
          <w:p w14:paraId="5E061513">
            <w:pPr>
              <w:pStyle w:val="27"/>
              <w:widowControl w:val="0"/>
              <w:shd w:val="clear"/>
              <w:topLinePunct/>
              <w:autoSpaceDE w:val="0"/>
              <w:autoSpaceDN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（2）为方便代理机构确认，投标人采用支票、汇票、本票、转账方式提交投标保证金的，应在凭单用途栏中注明项目编号及包号（可简写）。</w:t>
            </w:r>
          </w:p>
          <w:p w14:paraId="38169A97">
            <w:pPr>
              <w:pStyle w:val="27"/>
              <w:widowControl w:val="0"/>
              <w:shd w:val="clear"/>
              <w:topLinePunct/>
              <w:autoSpaceDE w:val="0"/>
              <w:autoSpaceDN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（3）以保函形式提交的，需提交见索即付保函，且保函失效日应晚于本项目规定的投标文件有效期截止日5日。</w:t>
            </w:r>
          </w:p>
          <w:p w14:paraId="2EDC759E">
            <w:pPr>
              <w:pStyle w:val="27"/>
              <w:widowControl w:val="0"/>
              <w:shd w:val="clear"/>
              <w:topLinePunct/>
              <w:autoSpaceDE w:val="0"/>
              <w:autoSpaceDN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（4）投标为联合体的，由联合体的主体方提交投标保证金，其提交的保证金对联合体各方均具有约束力。</w:t>
            </w:r>
          </w:p>
          <w:p w14:paraId="214DB4F3">
            <w:pPr>
              <w:pStyle w:val="27"/>
              <w:widowControl w:val="0"/>
              <w:shd w:val="clear"/>
              <w:topLinePunct/>
              <w:autoSpaceDE w:val="0"/>
              <w:autoSpaceDN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10.投标文件解密完成后，资格审查小组对投标人的相关主体信用记录、违规处罚情况等信用信息进行查询，并打印保存。（此项资格证明文件无需投标人提供）。</w:t>
            </w:r>
          </w:p>
          <w:p w14:paraId="20C12D82">
            <w:pPr>
              <w:pStyle w:val="27"/>
              <w:keepNext/>
              <w:keepLines/>
              <w:pageBreakBefore w:val="0"/>
              <w:widowControl w:val="0"/>
              <w:shd w:val="clear"/>
              <w:kinsoku/>
              <w:wordWrap w:val="0"/>
              <w:overflowPunct/>
              <w:topLinePunct/>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（1）查询渠道：通过“信用中国”网站（http：//www.creditchina.gov.cn）、中国政府采购网（http：//www.ccgp.gov.cn）等渠道；</w:t>
            </w:r>
          </w:p>
          <w:p w14:paraId="6FA51516">
            <w:pPr>
              <w:pStyle w:val="27"/>
              <w:keepNext/>
              <w:keepLines/>
              <w:pageBreakBefore w:val="0"/>
              <w:widowControl w:val="0"/>
              <w:shd w:val="clear"/>
              <w:kinsoku/>
              <w:wordWrap w:val="0"/>
              <w:overflowPunct/>
              <w:topLinePunct/>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（2）查询截止时点：提交投标文件截止时间；</w:t>
            </w:r>
          </w:p>
          <w:p w14:paraId="60923A5D">
            <w:pPr>
              <w:pStyle w:val="27"/>
              <w:keepNext/>
              <w:keepLines/>
              <w:pageBreakBefore w:val="0"/>
              <w:widowControl w:val="0"/>
              <w:shd w:val="clear"/>
              <w:kinsoku/>
              <w:wordWrap w:val="0"/>
              <w:overflowPunct/>
              <w:topLinePunct/>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查询主要内容：“信用中国”（www.creditchina.gov.cn）查询投标人是否被列入失信被执行人、重大税收违法失信主体名单；“中国政府采购网”（www.ccgp.gov.cn）查询投标人是否被列入政府采购严重违法失信行为记录名单；</w:t>
            </w:r>
          </w:p>
          <w:p w14:paraId="5FF6C4EB">
            <w:pPr>
              <w:pStyle w:val="27"/>
              <w:widowControl w:val="0"/>
              <w:shd w:val="clear"/>
              <w:topLinePunct/>
              <w:autoSpaceDE w:val="0"/>
              <w:autoSpaceDN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（4）查询内容中投标人存在第10条第3款情形的，其投标文件按无效投标处理。</w:t>
            </w:r>
          </w:p>
          <w:p w14:paraId="5DCC2635">
            <w:pPr>
              <w:pStyle w:val="27"/>
              <w:widowControl w:val="0"/>
              <w:shd w:val="clear"/>
              <w:topLinePunct/>
              <w:autoSpaceDE w:val="0"/>
              <w:autoSpaceDN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（5）查询记录与其他采购文件一并保存。</w:t>
            </w:r>
          </w:p>
        </w:tc>
      </w:tr>
      <w:tr w14:paraId="3FD0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414C78A4">
            <w:pPr>
              <w:shd w:val="clear"/>
              <w:topLinePunct/>
              <w:autoSpaceDE w:val="0"/>
              <w:autoSpaceDN w:val="0"/>
              <w:spacing w:line="460" w:lineRule="exact"/>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w:t>
            </w:r>
          </w:p>
        </w:tc>
        <w:tc>
          <w:tcPr>
            <w:tcW w:w="884" w:type="pct"/>
            <w:shd w:val="clear" w:color="auto" w:fill="auto"/>
            <w:vAlign w:val="center"/>
          </w:tcPr>
          <w:p w14:paraId="51DB7248">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投标人应提交的商务、技术文件</w:t>
            </w:r>
          </w:p>
        </w:tc>
        <w:tc>
          <w:tcPr>
            <w:tcW w:w="3765" w:type="pct"/>
            <w:shd w:val="clear" w:color="auto" w:fill="auto"/>
            <w:vAlign w:val="center"/>
          </w:tcPr>
          <w:p w14:paraId="503B892C">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★1.法定代表人（负责人）身份证明书（见‘投标文件格式’）； </w:t>
            </w:r>
          </w:p>
          <w:p w14:paraId="433BF01B">
            <w:pPr>
              <w:shd w:val="clear"/>
              <w:tabs>
                <w:tab w:val="left" w:pos="567"/>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★2.法定代表人（负责人）授权委托书（见‘投标文件格式’）</w:t>
            </w:r>
          </w:p>
          <w:p w14:paraId="61A4501A">
            <w:pPr>
              <w:shd w:val="clear"/>
              <w:tabs>
                <w:tab w:val="left" w:pos="567"/>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若授权代表为法定代表人（负责人）的可不提供；</w:t>
            </w:r>
          </w:p>
          <w:p w14:paraId="528DFC30">
            <w:pPr>
              <w:shd w:val="clear"/>
              <w:tabs>
                <w:tab w:val="left" w:pos="567"/>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★3.投标函（见‘投标文件格式’）；</w:t>
            </w:r>
          </w:p>
          <w:p w14:paraId="095EB09A">
            <w:pPr>
              <w:shd w:val="clear"/>
              <w:tabs>
                <w:tab w:val="left" w:pos="567"/>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★4.开标一览表 (见‘投标文件格式’)；</w:t>
            </w:r>
          </w:p>
          <w:p w14:paraId="179340D5">
            <w:pPr>
              <w:shd w:val="clear"/>
              <w:tabs>
                <w:tab w:val="left" w:pos="567"/>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★5.商务条款响应表（见‘投标文件格式’）；</w:t>
            </w:r>
          </w:p>
          <w:p w14:paraId="37EE5E8C">
            <w:pPr>
              <w:shd w:val="clear"/>
              <w:tabs>
                <w:tab w:val="left" w:pos="567"/>
              </w:tabs>
              <w:spacing w:line="460" w:lineRule="exact"/>
              <w:rPr>
                <w:rFonts w:hint="eastAsia" w:ascii="宋体" w:hAnsi="宋体" w:eastAsia="宋体" w:cs="宋体"/>
                <w:color w:val="auto"/>
                <w:sz w:val="24"/>
                <w:highlight w:val="yellow"/>
              </w:rPr>
            </w:pPr>
            <w:r>
              <w:rPr>
                <w:rFonts w:hint="eastAsia" w:ascii="宋体" w:hAnsi="宋体" w:eastAsia="宋体" w:cs="宋体"/>
                <w:color w:val="auto"/>
                <w:sz w:val="24"/>
                <w:highlight w:val="none"/>
              </w:rPr>
              <w:t>★6.技术规范响应及偏离表(见‘投标文件格式’)；</w:t>
            </w:r>
          </w:p>
          <w:p w14:paraId="2DAA0050">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7.采购货物主要技术指标和运行性能的详细描述或同投标货物型号一致的产品彩页；</w:t>
            </w:r>
          </w:p>
          <w:p w14:paraId="5AA5F8D2">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8.投标文件提交截止时间前三年内同类项目合同案例列表及相关证明资料；</w:t>
            </w:r>
          </w:p>
          <w:p w14:paraId="7E739CC8">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9.企业信誉证明材料；</w:t>
            </w:r>
          </w:p>
          <w:p w14:paraId="675E455E">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10.团队组成；</w:t>
            </w:r>
          </w:p>
          <w:p w14:paraId="37D4834F">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11.投标人配套服务承诺书；</w:t>
            </w:r>
          </w:p>
          <w:p w14:paraId="40C73428">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12.实施时间进度表；</w:t>
            </w:r>
          </w:p>
          <w:p w14:paraId="00CC12EB">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13.投标人认为需要提供的其他商务、技术材料；</w:t>
            </w:r>
          </w:p>
          <w:p w14:paraId="2F74EA1C">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14.政府采购政策性要求证明材料。</w:t>
            </w:r>
          </w:p>
          <w:p w14:paraId="7D7D7714">
            <w:pPr>
              <w:shd w:val="clea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加★的商务、技术文件投标人应作出实质性响应。除对含义不明确、同类问题表述不一致或者有明显的文字和计算错误，评标委员会应通过“山西政府采购平台”要求投标人作出必要的澄清、说明或者补正外，若有一项未实质性响应，不允许在投标文件解密后补正或修正，将导致其投标无效。</w:t>
            </w:r>
          </w:p>
        </w:tc>
      </w:tr>
      <w:tr w14:paraId="69DF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20F28959">
            <w:pPr>
              <w:shd w:val="clear"/>
              <w:topLinePunct/>
              <w:autoSpaceDE w:val="0"/>
              <w:autoSpaceDN w:val="0"/>
              <w:spacing w:line="460" w:lineRule="exact"/>
              <w:jc w:val="center"/>
              <w:rPr>
                <w:rFonts w:hint="eastAsia" w:ascii="宋体" w:hAnsi="宋体" w:eastAsia="宋体" w:cs="宋体"/>
                <w:b/>
                <w:bCs/>
                <w:sz w:val="24"/>
                <w:highlight w:val="none"/>
              </w:rPr>
            </w:pPr>
            <w:r>
              <w:rPr>
                <w:rFonts w:hint="eastAsia" w:ascii="宋体" w:hAnsi="宋体" w:eastAsia="宋体" w:cs="宋体"/>
                <w:sz w:val="24"/>
                <w:highlight w:val="none"/>
              </w:rPr>
              <w:t>7</w:t>
            </w:r>
          </w:p>
        </w:tc>
        <w:tc>
          <w:tcPr>
            <w:tcW w:w="884" w:type="pct"/>
            <w:shd w:val="clear" w:color="auto" w:fill="auto"/>
            <w:vAlign w:val="center"/>
          </w:tcPr>
          <w:p w14:paraId="7CFCCDD1">
            <w:pPr>
              <w:shd w:val="clear"/>
              <w:topLinePunct/>
              <w:autoSpaceDE w:val="0"/>
              <w:autoSpaceDN w:val="0"/>
              <w:spacing w:line="460" w:lineRule="exact"/>
              <w:ind w:left="-101" w:leftChars="-48" w:right="-94" w:rightChars="-45" w:firstLine="132" w:firstLineChars="5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政府采购相关政策要求</w:t>
            </w:r>
          </w:p>
        </w:tc>
        <w:tc>
          <w:tcPr>
            <w:tcW w:w="3765" w:type="pct"/>
            <w:shd w:val="clear" w:color="auto" w:fill="auto"/>
            <w:vAlign w:val="center"/>
          </w:tcPr>
          <w:p w14:paraId="6317C658">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1.采购货物未特别注明“允许进口产品”字样的，均必须采购国产产品，即非“通过中国海关报关验放进入中国境内且产自关境外的产品”，且投报产品各项技术标准必须符合国家强制性标准。</w:t>
            </w:r>
          </w:p>
          <w:p w14:paraId="1F26C301">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特别注明“允许进口产品”字样的，优先采购向我国企业转让技术、与我国企业签订消化吸收再创新方案的投标人的进口产品，如果有能够满足采购需求的国产产品参与，应当按照公平竞争的原则进行评审。</w:t>
            </w:r>
          </w:p>
          <w:p w14:paraId="71CF6254">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投报产品必须提供获得国家确定的认证机构出具的处于有效期内的节能产品认证证书和《强制节能产品明细表》。</w:t>
            </w:r>
          </w:p>
          <w:p w14:paraId="05A470DE">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3．采购项目中如含有计算机，必须预装正版操作系统软件产品；项目中所采购的其它软件必须为正版软件。投标人须提供《正版软件承诺》。</w:t>
            </w:r>
          </w:p>
          <w:p w14:paraId="405400F6">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货物中如含国家互联网信息办公室会同工业和信息化部、公安部、国家认证认可监督管理委员会等部门发布关于调整《网络关键设备和网络安全专用产品目录》的公告2023年第2号公布的《网络关键设备和网络安全专用产品目录》的网络安全专用产品，投报产品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网络安全专用产品安全技术要求》等相关国家标准强制性要求检测的安全认证合格或者安全检测符合要求的证明材料或对此前已经获得有效的《计算机信息系统安全专用产品销售许可证》影印件或扫描件。</w:t>
            </w:r>
          </w:p>
          <w:p w14:paraId="54CED869">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投标人参加本次采购活动，如涉及上述1-4项要求，均应作出实质性响应，否则将导致投标无效。如项目不涉及，可不提供。</w:t>
            </w:r>
          </w:p>
          <w:p w14:paraId="598AA063">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5.中小微企业参加本项目：</w:t>
            </w:r>
          </w:p>
          <w:p w14:paraId="4E958D1A">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参加本项目投标的投标人需出具投报产品制造商为符合《政府采购促进中小企业发展管理办法》财库【2020】46号规定的《中小企业声明函》；</w:t>
            </w:r>
          </w:p>
          <w:p w14:paraId="407B9DA7">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6.残疾人企业参加本项目：</w:t>
            </w:r>
          </w:p>
          <w:p w14:paraId="6429E7B1">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残疾人福利性单位视同小型、微型企业，残疾人企业参加本项目时，需提供符合《财政部、民政部、中国残疾人联合会关于促进残疾人就业政府采购政策的通知》财库〔2017〕141号规定的《残疾人福利性单位声明函》；</w:t>
            </w:r>
          </w:p>
          <w:p w14:paraId="202C2E6F">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7.监狱企业参加本项目：</w:t>
            </w:r>
          </w:p>
          <w:p w14:paraId="0C314654">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监狱企业视同小型、微型企业，监狱企业参加本项目时，需提供由省级以上监狱管理局、戒毒管理局（含新疆生产建设兵团）出具的属于监狱企业的证明文件。</w:t>
            </w:r>
          </w:p>
          <w:p w14:paraId="1991F611">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8.联合体参加本项目：</w:t>
            </w:r>
          </w:p>
          <w:p w14:paraId="3C9CD4DC">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如本项目为接受大中型企业与小微企业组成联合体或者允许大中型企业向一家或者多家小微企业分包的采购项目，须附《联合体投标协议书》。</w:t>
            </w:r>
          </w:p>
          <w:p w14:paraId="7A6E5871">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13F5A63D">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第5-8项适用于非专门面向中小微企业的采购项目。</w:t>
            </w:r>
          </w:p>
          <w:p w14:paraId="6D9EAA23">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9.环保节能产品参加的项目：</w:t>
            </w:r>
          </w:p>
          <w:p w14:paraId="67C9B665">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9.1投报产品为《节能产品政府采购品目清单》中强制性采购产品以外的其它节能产品，需提供所投产品获得国家确定的认证机构出具的处于有效期之内的节能产品认证证书。</w:t>
            </w:r>
          </w:p>
          <w:p w14:paraId="58A534EF">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9.2投报产品属《环境标志产品政府采购品目清单》中的产品，需提供所投产品获得国家确定的认证机构出具的、处于有效期之内的环境标志产品认证证书。</w:t>
            </w:r>
          </w:p>
          <w:p w14:paraId="049DBC02">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10.创新产品参加的项目</w:t>
            </w:r>
          </w:p>
          <w:p w14:paraId="2CCBC6DD">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投报根据《政府采购支持创新产品和服务实施细则》（晋财购【2019】19号）的产品，需在投标文件中提供《山西省创新产品和服务推荐清单》产品截图，并填写《创新产品或创新服务明细表》。</w:t>
            </w:r>
          </w:p>
          <w:p w14:paraId="68931F21">
            <w:pPr>
              <w:shd w:val="clear"/>
              <w:topLinePunct/>
              <w:autoSpaceDE w:val="0"/>
              <w:autoSpaceDN w:val="0"/>
              <w:spacing w:line="460" w:lineRule="exact"/>
              <w:ind w:left="63" w:leftChars="30" w:firstLine="4" w:firstLineChars="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11.商品包装和快递包装</w:t>
            </w:r>
          </w:p>
          <w:p w14:paraId="4163CC31">
            <w:pPr>
              <w:shd w:val="clear"/>
              <w:topLinePunct/>
              <w:autoSpaceDE w:val="0"/>
              <w:autoSpaceDN w:val="0"/>
              <w:spacing w:line="460" w:lineRule="exact"/>
              <w:ind w:left="63" w:leftChars="30" w:firstLine="4" w:firstLineChars="2"/>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如所供货物均需按《商品包装政府采购需求标准（试行）》、《快递包装政府采购需求标准（试行）》（财办库〔2020〕123号）包装标准与保护措施进行包装，须出具《商品包装和快递包装承诺》。</w:t>
            </w:r>
          </w:p>
        </w:tc>
      </w:tr>
      <w:tr w14:paraId="4DDD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5DECF2D1">
            <w:pPr>
              <w:shd w:val="clear"/>
              <w:topLinePunct/>
              <w:autoSpaceDE w:val="0"/>
              <w:autoSpaceDN w:val="0"/>
              <w:spacing w:line="460" w:lineRule="exact"/>
              <w:jc w:val="center"/>
              <w:rPr>
                <w:rFonts w:hint="eastAsia" w:ascii="宋体" w:hAnsi="宋体" w:eastAsia="宋体" w:cs="宋体"/>
                <w:b/>
                <w:bCs/>
                <w:sz w:val="24"/>
                <w:highlight w:val="none"/>
              </w:rPr>
            </w:pPr>
            <w:r>
              <w:rPr>
                <w:rFonts w:hint="eastAsia" w:ascii="宋体" w:hAnsi="宋体" w:eastAsia="宋体" w:cs="宋体"/>
                <w:sz w:val="24"/>
                <w:highlight w:val="none"/>
              </w:rPr>
              <w:t>8</w:t>
            </w:r>
          </w:p>
        </w:tc>
        <w:tc>
          <w:tcPr>
            <w:tcW w:w="884" w:type="pct"/>
            <w:shd w:val="clear" w:color="auto" w:fill="auto"/>
            <w:vAlign w:val="center"/>
          </w:tcPr>
          <w:p w14:paraId="044697E6">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3765" w:type="pct"/>
            <w:shd w:val="clear" w:color="auto" w:fill="auto"/>
            <w:vAlign w:val="center"/>
          </w:tcPr>
          <w:p w14:paraId="77BCF728">
            <w:pPr>
              <w:shd w:val="clear"/>
              <w:topLinePunct/>
              <w:autoSpaceDE w:val="0"/>
              <w:autoSpaceDN w:val="0"/>
              <w:spacing w:line="460" w:lineRule="exact"/>
              <w:rPr>
                <w:rFonts w:hint="eastAsia" w:ascii="宋体" w:hAnsi="宋体" w:eastAsia="宋体" w:cs="宋体"/>
                <w:bCs/>
                <w:sz w:val="24"/>
                <w:highlight w:val="none"/>
              </w:rPr>
            </w:pPr>
            <w:r>
              <w:rPr>
                <w:rFonts w:hint="eastAsia" w:ascii="宋体" w:hAnsi="宋体" w:eastAsia="宋体" w:cs="宋体"/>
                <w:bCs/>
                <w:sz w:val="24"/>
                <w:highlight w:val="none"/>
              </w:rPr>
              <w:t>90日历天（从提交投标文件截止之日起计算）</w:t>
            </w:r>
          </w:p>
        </w:tc>
      </w:tr>
      <w:tr w14:paraId="47EE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19AAEC56">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884" w:type="pct"/>
            <w:shd w:val="clear" w:color="auto" w:fill="auto"/>
            <w:vAlign w:val="center"/>
          </w:tcPr>
          <w:p w14:paraId="2E3C9604">
            <w:pPr>
              <w:shd w:val="clear"/>
              <w:topLinePunct/>
              <w:autoSpaceDE w:val="0"/>
              <w:autoSpaceDN w:val="0"/>
              <w:spacing w:line="460" w:lineRule="exact"/>
              <w:ind w:left="-105" w:leftChars="-50" w:right="-105" w:rightChars="-50"/>
              <w:jc w:val="center"/>
              <w:rPr>
                <w:rFonts w:hint="eastAsia" w:ascii="宋体" w:hAnsi="宋体" w:eastAsia="宋体" w:cs="宋体"/>
                <w:sz w:val="24"/>
                <w:highlight w:val="none"/>
              </w:rPr>
            </w:pPr>
            <w:r>
              <w:rPr>
                <w:rFonts w:hint="eastAsia" w:ascii="宋体" w:hAnsi="宋体" w:eastAsia="宋体" w:cs="宋体"/>
                <w:sz w:val="24"/>
                <w:highlight w:val="none"/>
              </w:rPr>
              <w:t>评标委员会构成</w:t>
            </w:r>
          </w:p>
        </w:tc>
        <w:tc>
          <w:tcPr>
            <w:tcW w:w="3765" w:type="pct"/>
            <w:shd w:val="clear" w:color="auto" w:fill="auto"/>
            <w:vAlign w:val="center"/>
          </w:tcPr>
          <w:p w14:paraId="0342CE0C">
            <w:pPr>
              <w:pStyle w:val="43"/>
              <w:keepNext w:val="0"/>
              <w:keepLines w:val="0"/>
              <w:shd w:val="clear"/>
              <w:topLinePunct/>
              <w:autoSpaceDE w:val="0"/>
              <w:autoSpaceDN w:val="0"/>
              <w:spacing w:before="0" w:after="0" w:line="46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本采购项目的评标委员会成员由</w:t>
            </w:r>
            <w:r>
              <w:rPr>
                <w:rFonts w:hint="eastAsia" w:ascii="宋体" w:hAnsi="宋体" w:eastAsia="宋体" w:cs="宋体"/>
                <w:bCs/>
                <w:color w:val="auto"/>
                <w:sz w:val="24"/>
                <w:szCs w:val="24"/>
                <w:highlight w:val="none"/>
                <w:u w:val="single"/>
              </w:rPr>
              <w:t xml:space="preserve"> 5 </w:t>
            </w:r>
            <w:r>
              <w:rPr>
                <w:rFonts w:hint="eastAsia" w:ascii="宋体" w:hAnsi="宋体" w:eastAsia="宋体" w:cs="宋体"/>
                <w:bCs/>
                <w:color w:val="auto"/>
                <w:sz w:val="24"/>
                <w:szCs w:val="24"/>
                <w:highlight w:val="none"/>
              </w:rPr>
              <w:t>人组成，其中评审专家</w:t>
            </w:r>
            <w:r>
              <w:rPr>
                <w:rFonts w:hint="eastAsia" w:ascii="宋体" w:hAnsi="宋体" w:eastAsia="宋体" w:cs="宋体"/>
                <w:bCs/>
                <w:color w:val="auto"/>
                <w:sz w:val="24"/>
                <w:szCs w:val="24"/>
                <w:highlight w:val="none"/>
                <w:u w:val="single"/>
              </w:rPr>
              <w:t xml:space="preserve"> 4 </w:t>
            </w:r>
            <w:r>
              <w:rPr>
                <w:rFonts w:hint="eastAsia" w:ascii="宋体" w:hAnsi="宋体" w:eastAsia="宋体" w:cs="宋体"/>
                <w:bCs/>
                <w:color w:val="auto"/>
                <w:sz w:val="24"/>
                <w:szCs w:val="24"/>
                <w:highlight w:val="none"/>
              </w:rPr>
              <w:t>人，采购人代表</w:t>
            </w:r>
            <w:r>
              <w:rPr>
                <w:rFonts w:hint="eastAsia" w:ascii="宋体" w:hAnsi="宋体" w:eastAsia="宋体" w:cs="宋体"/>
                <w:bCs/>
                <w:color w:val="auto"/>
                <w:sz w:val="24"/>
                <w:szCs w:val="24"/>
                <w:highlight w:val="none"/>
                <w:u w:val="single"/>
              </w:rPr>
              <w:t xml:space="preserve"> 1 </w:t>
            </w:r>
            <w:r>
              <w:rPr>
                <w:rFonts w:hint="eastAsia" w:ascii="宋体" w:hAnsi="宋体" w:eastAsia="宋体" w:cs="宋体"/>
                <w:bCs/>
                <w:color w:val="auto"/>
                <w:sz w:val="24"/>
                <w:szCs w:val="24"/>
                <w:highlight w:val="none"/>
              </w:rPr>
              <w:t>人。</w:t>
            </w:r>
          </w:p>
        </w:tc>
      </w:tr>
      <w:tr w14:paraId="120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49" w:type="pct"/>
            <w:shd w:val="clear" w:color="auto" w:fill="auto"/>
            <w:vAlign w:val="center"/>
          </w:tcPr>
          <w:p w14:paraId="31F36372">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884" w:type="pct"/>
            <w:shd w:val="clear" w:color="auto" w:fill="auto"/>
            <w:vAlign w:val="center"/>
          </w:tcPr>
          <w:p w14:paraId="20572D9C">
            <w:pPr>
              <w:shd w:val="clear"/>
              <w:topLinePunct/>
              <w:autoSpaceDE w:val="0"/>
              <w:autoSpaceDN w:val="0"/>
              <w:spacing w:line="460" w:lineRule="exact"/>
              <w:ind w:left="-105" w:leftChars="-50" w:right="-105" w:rightChars="-50"/>
              <w:jc w:val="center"/>
              <w:rPr>
                <w:rFonts w:hint="eastAsia" w:ascii="宋体" w:hAnsi="宋体" w:eastAsia="宋体" w:cs="宋体"/>
                <w:sz w:val="24"/>
                <w:highlight w:val="none"/>
              </w:rPr>
            </w:pPr>
            <w:r>
              <w:rPr>
                <w:rFonts w:hint="eastAsia" w:ascii="宋体" w:hAnsi="宋体" w:eastAsia="宋体" w:cs="宋体"/>
                <w:sz w:val="24"/>
                <w:highlight w:val="none"/>
              </w:rPr>
              <w:t>确定中标人</w:t>
            </w:r>
          </w:p>
        </w:tc>
        <w:tc>
          <w:tcPr>
            <w:tcW w:w="3765" w:type="pct"/>
            <w:shd w:val="clear" w:color="auto" w:fill="auto"/>
            <w:vAlign w:val="center"/>
          </w:tcPr>
          <w:p w14:paraId="2E0D9FA7">
            <w:pPr>
              <w:pStyle w:val="43"/>
              <w:keepNext w:val="0"/>
              <w:keepLines w:val="0"/>
              <w:shd w:val="clear"/>
              <w:topLinePunct/>
              <w:autoSpaceDE w:val="0"/>
              <w:autoSpaceDN w:val="0"/>
              <w:spacing w:before="0" w:after="0" w:line="460" w:lineRule="exact"/>
              <w:outlineLvl w:val="9"/>
              <w:rPr>
                <w:rFonts w:hint="eastAsia" w:ascii="宋体" w:hAnsi="宋体" w:eastAsia="宋体" w:cs="宋体"/>
                <w:color w:val="auto"/>
                <w:sz w:val="24"/>
                <w:szCs w:val="24"/>
                <w:highlight w:val="none"/>
              </w:rPr>
            </w:pPr>
            <w:r>
              <w:rPr>
                <w:rFonts w:hint="eastAsia" w:ascii="宋体" w:hAnsi="宋体" w:eastAsia="宋体" w:cs="宋体"/>
                <w:bCs/>
                <w:sz w:val="24"/>
                <w:highlight w:val="none"/>
              </w:rPr>
              <w:t>本项目采用综合评分法，授权评标委员会直接确定中标人。</w:t>
            </w:r>
          </w:p>
        </w:tc>
      </w:tr>
      <w:tr w14:paraId="542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4DFB3CA2">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884" w:type="pct"/>
            <w:shd w:val="clear" w:color="auto" w:fill="auto"/>
            <w:vAlign w:val="center"/>
          </w:tcPr>
          <w:p w14:paraId="70CD967F">
            <w:pPr>
              <w:shd w:val="clear"/>
              <w:topLinePunct/>
              <w:autoSpaceDE w:val="0"/>
              <w:autoSpaceDN w:val="0"/>
              <w:spacing w:line="460" w:lineRule="exact"/>
              <w:ind w:left="-105" w:leftChars="-50" w:right="-105" w:rightChars="-50"/>
              <w:jc w:val="center"/>
              <w:rPr>
                <w:rFonts w:hint="eastAsia" w:ascii="宋体" w:hAnsi="宋体" w:eastAsia="宋体" w:cs="宋体"/>
                <w:sz w:val="24"/>
                <w:highlight w:val="none"/>
              </w:rPr>
            </w:pPr>
            <w:r>
              <w:rPr>
                <w:rFonts w:hint="eastAsia" w:ascii="宋体" w:hAnsi="宋体" w:eastAsia="宋体" w:cs="宋体"/>
                <w:sz w:val="24"/>
                <w:highlight w:val="none"/>
              </w:rPr>
              <w:t>现场勘查</w:t>
            </w:r>
          </w:p>
        </w:tc>
        <w:tc>
          <w:tcPr>
            <w:tcW w:w="3765" w:type="pct"/>
            <w:shd w:val="clear" w:color="auto" w:fill="auto"/>
            <w:vAlign w:val="center"/>
          </w:tcPr>
          <w:p w14:paraId="587F4796">
            <w:pPr>
              <w:pStyle w:val="43"/>
              <w:keepNext w:val="0"/>
              <w:keepLines w:val="0"/>
              <w:shd w:val="clear"/>
              <w:topLinePunct/>
              <w:autoSpaceDE w:val="0"/>
              <w:autoSpaceDN w:val="0"/>
              <w:spacing w:before="0" w:after="0" w:line="460" w:lineRule="exact"/>
              <w:outlineLvl w:val="9"/>
              <w:rPr>
                <w:rFonts w:hint="eastAsia" w:ascii="宋体" w:hAnsi="宋体" w:eastAsia="宋体" w:cs="宋体"/>
                <w:color w:val="auto"/>
                <w:kern w:val="0"/>
                <w:sz w:val="24"/>
                <w:szCs w:val="24"/>
                <w:highlight w:val="none"/>
              </w:rPr>
            </w:pPr>
            <w:bookmarkStart w:id="7" w:name="_Toc30140"/>
            <w:r>
              <w:rPr>
                <w:rFonts w:hint="eastAsia" w:ascii="宋体" w:hAnsi="宋体" w:eastAsia="宋体" w:cs="宋体"/>
                <w:color w:val="auto"/>
                <w:kern w:val="0"/>
                <w:sz w:val="24"/>
                <w:szCs w:val="24"/>
                <w:highlight w:val="none"/>
              </w:rPr>
              <w:t>招标文件提供期限截止后，如需要，书面通知</w:t>
            </w:r>
            <w:bookmarkEnd w:id="7"/>
            <w:r>
              <w:rPr>
                <w:rFonts w:hint="eastAsia" w:ascii="宋体" w:hAnsi="宋体" w:eastAsia="宋体" w:cs="宋体"/>
                <w:color w:val="auto"/>
                <w:kern w:val="0"/>
                <w:sz w:val="24"/>
                <w:szCs w:val="24"/>
                <w:highlight w:val="none"/>
              </w:rPr>
              <w:t>。</w:t>
            </w:r>
          </w:p>
        </w:tc>
      </w:tr>
      <w:tr w14:paraId="46F8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7E05FB30">
            <w:pPr>
              <w:shd w:val="clear"/>
              <w:topLinePunct/>
              <w:autoSpaceDE w:val="0"/>
              <w:autoSpaceDN w:val="0"/>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884" w:type="pct"/>
            <w:shd w:val="clear" w:color="auto" w:fill="auto"/>
            <w:vAlign w:val="center"/>
          </w:tcPr>
          <w:p w14:paraId="710B2DF3">
            <w:pPr>
              <w:shd w:val="clear"/>
              <w:topLinePunct/>
              <w:autoSpaceDE w:val="0"/>
              <w:autoSpaceDN w:val="0"/>
              <w:spacing w:line="460" w:lineRule="exact"/>
              <w:ind w:left="-105" w:leftChars="-50" w:right="-105" w:rightChars="-50"/>
              <w:jc w:val="center"/>
              <w:rPr>
                <w:rFonts w:hint="eastAsia" w:ascii="宋体" w:hAnsi="宋体" w:eastAsia="宋体" w:cs="宋体"/>
                <w:sz w:val="24"/>
                <w:highlight w:val="none"/>
              </w:rPr>
            </w:pPr>
            <w:r>
              <w:rPr>
                <w:rFonts w:hint="eastAsia" w:ascii="宋体" w:hAnsi="宋体" w:eastAsia="宋体" w:cs="宋体"/>
                <w:sz w:val="24"/>
                <w:highlight w:val="none"/>
              </w:rPr>
              <w:t>标前答疑</w:t>
            </w:r>
          </w:p>
        </w:tc>
        <w:tc>
          <w:tcPr>
            <w:tcW w:w="3765" w:type="pct"/>
            <w:shd w:val="clear" w:color="auto" w:fill="auto"/>
            <w:vAlign w:val="center"/>
          </w:tcPr>
          <w:p w14:paraId="4EFB8C5B">
            <w:pPr>
              <w:pStyle w:val="43"/>
              <w:keepNext w:val="0"/>
              <w:keepLines w:val="0"/>
              <w:shd w:val="clear"/>
              <w:topLinePunct/>
              <w:autoSpaceDE w:val="0"/>
              <w:autoSpaceDN w:val="0"/>
              <w:spacing w:before="0" w:after="0" w:line="460" w:lineRule="exac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招标文件提供期限截止后，如需要，书面通知</w:t>
            </w:r>
          </w:p>
        </w:tc>
      </w:tr>
      <w:tr w14:paraId="7860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168F6C54">
            <w:pPr>
              <w:shd w:val="clear"/>
              <w:topLinePunct/>
              <w:autoSpaceDE w:val="0"/>
              <w:autoSpaceDN w:val="0"/>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84" w:type="pct"/>
            <w:shd w:val="clear" w:color="auto" w:fill="auto"/>
            <w:vAlign w:val="center"/>
          </w:tcPr>
          <w:p w14:paraId="7C7C82A0">
            <w:pPr>
              <w:shd w:val="clear"/>
              <w:topLinePunct/>
              <w:autoSpaceDE w:val="0"/>
              <w:autoSpaceDN w:val="0"/>
              <w:spacing w:line="460" w:lineRule="exact"/>
              <w:ind w:left="-105" w:leftChars="-50"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项目所属行业</w:t>
            </w:r>
          </w:p>
        </w:tc>
        <w:tc>
          <w:tcPr>
            <w:tcW w:w="3765" w:type="pct"/>
            <w:shd w:val="clear" w:color="auto" w:fill="auto"/>
            <w:vAlign w:val="center"/>
          </w:tcPr>
          <w:p w14:paraId="2B389041">
            <w:pPr>
              <w:pStyle w:val="43"/>
              <w:keepNext w:val="0"/>
              <w:keepLines w:val="0"/>
              <w:shd w:val="clear"/>
              <w:topLinePunct/>
              <w:autoSpaceDE w:val="0"/>
              <w:autoSpaceDN w:val="0"/>
              <w:spacing w:before="0" w:after="0" w:line="460" w:lineRule="exact"/>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根据中小企业划型标准，本项目属</w:t>
            </w:r>
            <w:r>
              <w:rPr>
                <w:rFonts w:hint="eastAsia" w:ascii="宋体" w:hAnsi="宋体" w:eastAsia="宋体" w:cs="宋体"/>
                <w:color w:val="auto"/>
                <w:sz w:val="24"/>
                <w:szCs w:val="24"/>
                <w:highlight w:val="none"/>
                <w:u w:val="single"/>
                <w:lang w:val="en-US" w:eastAsia="zh-CN"/>
              </w:rPr>
              <w:t xml:space="preserve"> 软件和信息技术服务业 </w:t>
            </w:r>
            <w:r>
              <w:rPr>
                <w:rFonts w:hint="eastAsia" w:ascii="宋体" w:hAnsi="宋体" w:eastAsia="宋体" w:cs="宋体"/>
                <w:color w:val="auto"/>
                <w:sz w:val="24"/>
                <w:szCs w:val="24"/>
                <w:highlight w:val="none"/>
              </w:rPr>
              <w:t>行业</w:t>
            </w:r>
            <w:r>
              <w:rPr>
                <w:rFonts w:hint="eastAsia" w:ascii="宋体" w:hAnsi="宋体" w:eastAsia="宋体" w:cs="宋体"/>
                <w:b/>
                <w:bCs/>
                <w:color w:val="auto"/>
                <w:sz w:val="24"/>
                <w:szCs w:val="24"/>
                <w:highlight w:val="none"/>
              </w:rPr>
              <w:t>。</w:t>
            </w:r>
          </w:p>
        </w:tc>
      </w:tr>
      <w:tr w14:paraId="6810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349" w:type="pct"/>
            <w:shd w:val="clear" w:color="auto" w:fill="auto"/>
            <w:vAlign w:val="center"/>
          </w:tcPr>
          <w:p w14:paraId="0F609F7D">
            <w:pPr>
              <w:shd w:val="clear"/>
              <w:topLinePunct/>
              <w:autoSpaceDE w:val="0"/>
              <w:autoSpaceDN w:val="0"/>
              <w:spacing w:line="46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884" w:type="pct"/>
            <w:shd w:val="clear" w:color="auto" w:fill="auto"/>
            <w:vAlign w:val="center"/>
          </w:tcPr>
          <w:p w14:paraId="7BFA5D07">
            <w:pPr>
              <w:spacing w:line="420" w:lineRule="exact"/>
              <w:ind w:left="-105" w:leftChars="-50" w:right="-105" w:rightChars="-50"/>
              <w:jc w:val="center"/>
              <w:rPr>
                <w:rFonts w:hint="eastAsia" w:ascii="宋体" w:hAnsi="宋体" w:eastAsia="宋体" w:cs="宋体"/>
                <w:sz w:val="24"/>
                <w:highlight w:val="none"/>
              </w:rPr>
            </w:pPr>
            <w:r>
              <w:rPr>
                <w:rFonts w:hint="eastAsia" w:ascii="宋体" w:hAnsi="宋体" w:eastAsia="宋体" w:cs="宋体"/>
                <w:sz w:val="24"/>
                <w:highlight w:val="none"/>
              </w:rPr>
              <w:t>电子化招标项目视为串通情形的认定</w:t>
            </w:r>
          </w:p>
        </w:tc>
        <w:tc>
          <w:tcPr>
            <w:tcW w:w="3765" w:type="pct"/>
            <w:shd w:val="clear" w:color="auto" w:fill="auto"/>
            <w:vAlign w:val="center"/>
          </w:tcPr>
          <w:p w14:paraId="08DC0622">
            <w:pPr>
              <w:pStyle w:val="43"/>
              <w:keepNext w:val="0"/>
              <w:keepLines w:val="0"/>
              <w:snapToGrid w:val="0"/>
              <w:spacing w:before="0" w:after="0" w:line="42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1、系统记录的参加同一项目的不同投标人编制电子投标文件使用的计算机或上传电子投标文件使用的计算机网卡MAC地址、IP地址一致的。</w:t>
            </w:r>
          </w:p>
          <w:p w14:paraId="62EDDC37">
            <w:pPr>
              <w:pStyle w:val="43"/>
              <w:keepNext w:val="0"/>
              <w:keepLines w:val="0"/>
              <w:snapToGrid w:val="0"/>
              <w:spacing w:before="0" w:after="0" w:line="42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2、投标人上传的电子投标文件若出现使用本项目其他投标人的数字证书加密的或加盖本项目的其他投标人的电子印章的。</w:t>
            </w:r>
          </w:p>
          <w:p w14:paraId="69CBE4AF">
            <w:pPr>
              <w:pStyle w:val="43"/>
              <w:keepNext w:val="0"/>
              <w:keepLines w:val="0"/>
              <w:snapToGrid w:val="0"/>
              <w:spacing w:before="0" w:after="0" w:line="42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在评审过程中如发现投标人有上述情形的，评标委员会应当根据采购文件认定串通行为，认定其投标无效，评标报告详细记录相关情况，并由采购代理机构书面报告本级财政部门。</w:t>
            </w:r>
          </w:p>
        </w:tc>
      </w:tr>
    </w:tbl>
    <w:p w14:paraId="469EC240">
      <w:pPr>
        <w:shd w:val="clear"/>
        <w:jc w:val="left"/>
        <w:rPr>
          <w:rFonts w:hint="eastAsia" w:ascii="宋体" w:hAnsi="宋体" w:eastAsia="宋体" w:cs="宋体"/>
          <w:sz w:val="24"/>
          <w:szCs w:val="24"/>
          <w:highlight w:val="none"/>
        </w:rPr>
      </w:pPr>
    </w:p>
    <w:p w14:paraId="72771AD4">
      <w:pPr>
        <w:shd w:val="clea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注：本表内容与投标人须知内容不一致的，以本表内容为准。</w:t>
      </w:r>
    </w:p>
    <w:p w14:paraId="5538B38B">
      <w:pPr>
        <w:shd w:val="clear"/>
        <w:jc w:val="left"/>
        <w:rPr>
          <w:rFonts w:hint="eastAsia" w:ascii="宋体" w:hAnsi="宋体" w:eastAsia="宋体" w:cs="宋体"/>
          <w:highlight w:val="none"/>
        </w:rPr>
      </w:pPr>
      <w:r>
        <w:rPr>
          <w:rFonts w:hint="eastAsia" w:ascii="宋体" w:hAnsi="宋体" w:eastAsia="宋体" w:cs="宋体"/>
          <w:highlight w:val="none"/>
        </w:rPr>
        <w:br w:type="page"/>
      </w:r>
    </w:p>
    <w:p w14:paraId="71B9D77F">
      <w:pPr>
        <w:shd w:val="clear"/>
        <w:snapToGrid w:val="0"/>
        <w:spacing w:before="260" w:after="260"/>
        <w:jc w:val="center"/>
        <w:rPr>
          <w:rFonts w:hint="eastAsia" w:ascii="宋体" w:hAnsi="宋体" w:eastAsia="宋体" w:cs="宋体"/>
          <w:b/>
          <w:bCs/>
          <w:spacing w:val="20"/>
          <w:kern w:val="0"/>
          <w:sz w:val="30"/>
          <w:szCs w:val="30"/>
          <w:highlight w:val="none"/>
        </w:rPr>
      </w:pPr>
      <w:r>
        <w:rPr>
          <w:rFonts w:hint="eastAsia" w:ascii="宋体" w:hAnsi="宋体" w:eastAsia="宋体" w:cs="宋体"/>
          <w:b/>
          <w:bCs/>
          <w:spacing w:val="20"/>
          <w:kern w:val="0"/>
          <w:sz w:val="28"/>
          <w:szCs w:val="28"/>
          <w:highlight w:val="none"/>
        </w:rPr>
        <w:t>电子投标须知附表</w:t>
      </w:r>
    </w:p>
    <w:tbl>
      <w:tblPr>
        <w:tblStyle w:val="31"/>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27"/>
        <w:gridCol w:w="6413"/>
      </w:tblGrid>
      <w:tr w14:paraId="53B2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782" w:type="dxa"/>
            <w:vAlign w:val="center"/>
          </w:tcPr>
          <w:p w14:paraId="41FC2C28">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序号</w:t>
            </w:r>
          </w:p>
        </w:tc>
        <w:tc>
          <w:tcPr>
            <w:tcW w:w="1773" w:type="dxa"/>
            <w:vAlign w:val="center"/>
          </w:tcPr>
          <w:p w14:paraId="0236D353">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条款名称</w:t>
            </w:r>
          </w:p>
        </w:tc>
        <w:tc>
          <w:tcPr>
            <w:tcW w:w="6660" w:type="dxa"/>
            <w:vAlign w:val="center"/>
          </w:tcPr>
          <w:p w14:paraId="0C55D3FF">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编列内容</w:t>
            </w:r>
          </w:p>
        </w:tc>
      </w:tr>
      <w:tr w14:paraId="1DC2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782" w:type="dxa"/>
            <w:shd w:val="clear" w:color="auto" w:fill="auto"/>
            <w:vAlign w:val="center"/>
          </w:tcPr>
          <w:p w14:paraId="074A4D9D">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773" w:type="dxa"/>
            <w:shd w:val="clear" w:color="auto" w:fill="auto"/>
            <w:vAlign w:val="center"/>
          </w:tcPr>
          <w:p w14:paraId="48903E60">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投标文件</w:t>
            </w:r>
            <w:r>
              <w:rPr>
                <w:rFonts w:asciiTheme="minorEastAsia" w:hAnsiTheme="minorEastAsia" w:eastAsiaTheme="minorEastAsia"/>
                <w:color w:val="000000"/>
                <w:sz w:val="24"/>
                <w:szCs w:val="24"/>
              </w:rPr>
              <w:t>编制</w:t>
            </w:r>
            <w:r>
              <w:rPr>
                <w:rFonts w:hint="eastAsia" w:asciiTheme="minorEastAsia" w:hAnsiTheme="minorEastAsia" w:eastAsiaTheme="minorEastAsia"/>
                <w:color w:val="000000"/>
                <w:sz w:val="24"/>
                <w:szCs w:val="24"/>
              </w:rPr>
              <w:t>、提交</w:t>
            </w:r>
          </w:p>
        </w:tc>
        <w:tc>
          <w:tcPr>
            <w:tcW w:w="6660" w:type="dxa"/>
            <w:shd w:val="clear" w:color="auto" w:fill="auto"/>
            <w:vAlign w:val="center"/>
          </w:tcPr>
          <w:p w14:paraId="60B5C782">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1.1投标人应使用山西政府采购平台的投标文件编制工具，按其操作手册编制电子投标文件，并按照本招标文件规定及“山西政府采购平台”系统规定完成签字、盖章。同时使用CA数字证书对投标文件进行加密。</w:t>
            </w:r>
          </w:p>
          <w:p w14:paraId="38B3AFE0">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1.2上传电子投标文件时，需对应系统中每个模块形成独立的PDF格式文件，并按对应模块要求，逐条上传相应内容，将所有内容上传完成后保存、加密、递交（提交）。</w:t>
            </w:r>
          </w:p>
          <w:p w14:paraId="606F028F">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1.3投标文件中所附各类证件、证书、证明等，均随投标文件统一编排页码后上传。</w:t>
            </w:r>
          </w:p>
        </w:tc>
      </w:tr>
      <w:tr w14:paraId="4982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782" w:type="dxa"/>
            <w:shd w:val="clear" w:color="auto" w:fill="auto"/>
            <w:vAlign w:val="center"/>
          </w:tcPr>
          <w:p w14:paraId="38A5BEB7">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773" w:type="dxa"/>
            <w:shd w:val="clear" w:color="auto" w:fill="auto"/>
            <w:vAlign w:val="center"/>
          </w:tcPr>
          <w:p w14:paraId="4992566F">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sz w:val="24"/>
                <w:szCs w:val="24"/>
              </w:rPr>
            </w:pPr>
            <w:r>
              <w:rPr>
                <w:rFonts w:asciiTheme="minorEastAsia" w:hAnsiTheme="minorEastAsia" w:eastAsiaTheme="minorEastAsia"/>
                <w:color w:val="000000"/>
                <w:sz w:val="24"/>
                <w:szCs w:val="24"/>
              </w:rPr>
              <w:t>电子</w:t>
            </w:r>
            <w:r>
              <w:rPr>
                <w:rFonts w:hint="eastAsia" w:asciiTheme="minorEastAsia" w:hAnsiTheme="minorEastAsia" w:eastAsiaTheme="minorEastAsia"/>
                <w:color w:val="000000"/>
                <w:sz w:val="24"/>
                <w:szCs w:val="24"/>
              </w:rPr>
              <w:t>投标文件</w:t>
            </w:r>
            <w:r>
              <w:rPr>
                <w:rFonts w:asciiTheme="minorEastAsia" w:hAnsiTheme="minorEastAsia" w:eastAsiaTheme="minorEastAsia"/>
                <w:color w:val="000000"/>
                <w:sz w:val="24"/>
                <w:szCs w:val="24"/>
              </w:rPr>
              <w:t>解密</w:t>
            </w:r>
          </w:p>
        </w:tc>
        <w:tc>
          <w:tcPr>
            <w:tcW w:w="6660" w:type="dxa"/>
            <w:shd w:val="clear" w:color="auto" w:fill="auto"/>
            <w:vAlign w:val="center"/>
          </w:tcPr>
          <w:p w14:paraId="0E0AC601">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2.1在招标文件规定的投标文件解密时间，采购代理机构应通过山西政府采购平台发出解密指令，投标人收到解密指令后，须使用加密投标文件时所使用的CA数字证书对已递交（上传）的投标文件进行解密（远程解密）。</w:t>
            </w:r>
          </w:p>
          <w:p w14:paraId="4E5ADA7F">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2.2投标文件解密时间：60分钟。</w:t>
            </w:r>
          </w:p>
          <w:p w14:paraId="0E7D1494">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2.3投标文件解密流程：使用用户名密码或CA数字证书登录山西政府采购平台→项目采购→开标评标→找到对应项目→解密→输入CA密码→开始下载→解密完成。</w:t>
            </w:r>
          </w:p>
          <w:p w14:paraId="6F8B2E74">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2.4因投标人使用非本次投标文件加密用CA数字证书解密、使用的属于注销或无效或损坏的CA数字证书解密、网络不畅等自身原因造成投标文件未在规定时间内解密的，视为未提交投标文件。</w:t>
            </w:r>
          </w:p>
        </w:tc>
      </w:tr>
      <w:tr w14:paraId="097B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782" w:type="dxa"/>
            <w:shd w:val="clear" w:color="auto" w:fill="auto"/>
            <w:vAlign w:val="center"/>
          </w:tcPr>
          <w:p w14:paraId="1FAA712F">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773" w:type="dxa"/>
            <w:shd w:val="clear" w:color="auto" w:fill="auto"/>
            <w:vAlign w:val="center"/>
          </w:tcPr>
          <w:p w14:paraId="68C4CE9F">
            <w:pPr>
              <w:keepNext/>
              <w:keepLines w:val="0"/>
              <w:pageBreakBefore w:val="0"/>
              <w:widowControl w:val="0"/>
              <w:kinsoku/>
              <w:wordWrap w:val="0"/>
              <w:overflowPunct/>
              <w:topLinePunct/>
              <w:autoSpaceDE/>
              <w:autoSpaceDN/>
              <w:bidi w:val="0"/>
              <w:adjustRightInd w:val="0"/>
              <w:snapToGrid w:val="0"/>
              <w:spacing w:line="440" w:lineRule="exact"/>
              <w:jc w:val="center"/>
              <w:textAlignment w:val="auto"/>
              <w:rPr>
                <w:rFonts w:asciiTheme="minorEastAsia" w:hAnsiTheme="minorEastAsia" w:eastAsiaTheme="minorEastAsia"/>
                <w:sz w:val="24"/>
                <w:szCs w:val="24"/>
              </w:rPr>
            </w:pPr>
            <w:r>
              <w:rPr>
                <w:rFonts w:asciiTheme="minorEastAsia" w:hAnsiTheme="minorEastAsia" w:eastAsiaTheme="minorEastAsia"/>
                <w:color w:val="000000"/>
                <w:sz w:val="24"/>
                <w:szCs w:val="24"/>
              </w:rPr>
              <w:t>其他</w:t>
            </w:r>
          </w:p>
        </w:tc>
        <w:tc>
          <w:tcPr>
            <w:tcW w:w="6660" w:type="dxa"/>
            <w:shd w:val="clear" w:color="auto" w:fill="auto"/>
            <w:vAlign w:val="center"/>
          </w:tcPr>
          <w:p w14:paraId="61378C97">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asciiTheme="minorEastAsia" w:hAnsiTheme="minorEastAsia" w:eastAsiaTheme="minorEastAsia"/>
                <w:sz w:val="24"/>
                <w:szCs w:val="24"/>
              </w:rPr>
              <w:t>3.1本项目采购活动</w:t>
            </w:r>
            <w:r>
              <w:rPr>
                <w:rFonts w:hint="eastAsia" w:asciiTheme="minorEastAsia" w:hAnsiTheme="minorEastAsia" w:eastAsiaTheme="minorEastAsia"/>
                <w:sz w:val="24"/>
                <w:szCs w:val="24"/>
              </w:rPr>
              <w:t>实行全流程</w:t>
            </w:r>
            <w:r>
              <w:rPr>
                <w:rFonts w:asciiTheme="minorEastAsia" w:hAnsiTheme="minorEastAsia" w:eastAsiaTheme="minorEastAsia"/>
                <w:sz w:val="24"/>
                <w:szCs w:val="24"/>
              </w:rPr>
              <w:t>电子</w:t>
            </w:r>
            <w:r>
              <w:rPr>
                <w:rFonts w:hint="eastAsia" w:asciiTheme="minorEastAsia" w:hAnsiTheme="minorEastAsia" w:eastAsiaTheme="minorEastAsia"/>
                <w:sz w:val="24"/>
                <w:szCs w:val="24"/>
              </w:rPr>
              <w:t>化。评标委员会</w:t>
            </w:r>
            <w:r>
              <w:rPr>
                <w:rFonts w:asciiTheme="minorEastAsia" w:hAnsiTheme="minorEastAsia" w:eastAsiaTheme="minorEastAsia"/>
                <w:sz w:val="24"/>
                <w:szCs w:val="24"/>
              </w:rPr>
              <w:t>以经</w:t>
            </w: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CA加密的电子文件为评审依据（特殊情况下，启用备份文件的除外），</w:t>
            </w: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对所提供材料的真实性和一致性负责。</w:t>
            </w:r>
          </w:p>
          <w:p w14:paraId="2B196D1A">
            <w:pPr>
              <w:keepNext/>
              <w:keepLines w:val="0"/>
              <w:pageBreakBefore w:val="0"/>
              <w:widowControl w:val="0"/>
              <w:kinsoku/>
              <w:wordWrap w:val="0"/>
              <w:overflowPunct/>
              <w:topLinePunct/>
              <w:autoSpaceDE/>
              <w:autoSpaceDN/>
              <w:bidi w:val="0"/>
              <w:adjustRightInd w:val="0"/>
              <w:snapToGrid w:val="0"/>
              <w:spacing w:line="440" w:lineRule="exact"/>
              <w:textAlignment w:val="auto"/>
              <w:rPr>
                <w:rFonts w:asciiTheme="minorEastAsia" w:hAnsiTheme="minorEastAsia" w:eastAsiaTheme="minorEastAsia"/>
                <w:sz w:val="24"/>
                <w:szCs w:val="24"/>
              </w:rPr>
            </w:pPr>
            <w:r>
              <w:rPr>
                <w:rFonts w:asciiTheme="minorEastAsia" w:hAnsiTheme="minorEastAsia" w:eastAsiaTheme="minorEastAsia"/>
                <w:sz w:val="24"/>
                <w:szCs w:val="24"/>
              </w:rPr>
              <w:t>3.2项目</w:t>
            </w:r>
            <w:r>
              <w:rPr>
                <w:rFonts w:hint="eastAsia" w:asciiTheme="minorEastAsia" w:hAnsiTheme="minorEastAsia" w:eastAsiaTheme="minorEastAsia"/>
                <w:sz w:val="24"/>
                <w:szCs w:val="24"/>
              </w:rPr>
              <w:t>中标</w:t>
            </w:r>
            <w:r>
              <w:rPr>
                <w:rFonts w:asciiTheme="minorEastAsia" w:hAnsiTheme="minorEastAsia" w:eastAsiaTheme="minorEastAsia"/>
                <w:sz w:val="24"/>
                <w:szCs w:val="24"/>
              </w:rPr>
              <w:t>后，代理机构使用CA签章直接以电子文档形式在线向</w:t>
            </w:r>
            <w:r>
              <w:rPr>
                <w:rFonts w:hint="eastAsia" w:asciiTheme="minorEastAsia" w:hAnsiTheme="minorEastAsia" w:eastAsiaTheme="minorEastAsia"/>
                <w:sz w:val="24"/>
                <w:szCs w:val="24"/>
              </w:rPr>
              <w:t>中标人</w:t>
            </w:r>
            <w:r>
              <w:rPr>
                <w:rFonts w:asciiTheme="minorEastAsia" w:hAnsiTheme="minorEastAsia" w:eastAsiaTheme="minorEastAsia"/>
                <w:sz w:val="24"/>
                <w:szCs w:val="24"/>
              </w:rPr>
              <w:t>发送</w:t>
            </w:r>
            <w:r>
              <w:rPr>
                <w:rFonts w:hint="eastAsia" w:asciiTheme="minorEastAsia" w:hAnsiTheme="minorEastAsia" w:eastAsiaTheme="minorEastAsia"/>
                <w:sz w:val="24"/>
                <w:szCs w:val="24"/>
              </w:rPr>
              <w:t>中标</w:t>
            </w:r>
            <w:r>
              <w:rPr>
                <w:rFonts w:asciiTheme="minorEastAsia" w:hAnsiTheme="minorEastAsia" w:eastAsiaTheme="minorEastAsia"/>
                <w:sz w:val="24"/>
                <w:szCs w:val="24"/>
              </w:rPr>
              <w:t>通知书，不再发送纸质</w:t>
            </w:r>
            <w:r>
              <w:rPr>
                <w:rFonts w:hint="eastAsia" w:asciiTheme="minorEastAsia" w:hAnsiTheme="minorEastAsia" w:eastAsiaTheme="minorEastAsia"/>
                <w:sz w:val="24"/>
                <w:szCs w:val="24"/>
              </w:rPr>
              <w:t>中标</w:t>
            </w:r>
            <w:r>
              <w:rPr>
                <w:rFonts w:asciiTheme="minorEastAsia" w:hAnsiTheme="minorEastAsia" w:eastAsiaTheme="minorEastAsia"/>
                <w:sz w:val="24"/>
                <w:szCs w:val="24"/>
              </w:rPr>
              <w:t>通知书。</w:t>
            </w:r>
          </w:p>
        </w:tc>
      </w:tr>
    </w:tbl>
    <w:p w14:paraId="3A46D9EB">
      <w:pPr>
        <w:shd w:val="clear"/>
        <w:overflowPunct w:val="0"/>
        <w:topLinePunct/>
        <w:autoSpaceDN w:val="0"/>
        <w:adjustRightInd w:val="0"/>
        <w:snapToGrid w:val="0"/>
        <w:spacing w:line="360" w:lineRule="auto"/>
        <w:rPr>
          <w:rFonts w:hint="eastAsia" w:ascii="宋体" w:hAnsi="宋体" w:eastAsia="宋体" w:cs="宋体"/>
          <w:b/>
          <w:kern w:val="0"/>
          <w:sz w:val="28"/>
          <w:szCs w:val="28"/>
          <w:highlight w:val="none"/>
        </w:rPr>
      </w:pPr>
      <w:r>
        <w:rPr>
          <w:rFonts w:hint="eastAsia" w:ascii="宋体" w:hAnsi="宋体" w:eastAsia="宋体" w:cs="宋体"/>
          <w:sz w:val="24"/>
          <w:highlight w:val="none"/>
        </w:rPr>
        <w:t>注：本表内容与投标人须知内容不一致的，以本表内容为准。</w:t>
      </w:r>
    </w:p>
    <w:p w14:paraId="635B5E87">
      <w:pPr>
        <w:pStyle w:val="27"/>
        <w:widowControl w:val="0"/>
        <w:shd w:val="clear"/>
        <w:spacing w:before="120" w:beforeLines="50" w:after="120" w:afterLines="50" w:line="440" w:lineRule="exact"/>
        <w:jc w:val="center"/>
        <w:outlineLvl w:val="0"/>
        <w:rPr>
          <w:rFonts w:hint="eastAsia" w:ascii="宋体" w:hAnsi="宋体" w:eastAsia="宋体" w:cs="宋体"/>
          <w:b/>
          <w:sz w:val="32"/>
          <w:szCs w:val="32"/>
          <w:highlight w:val="none"/>
        </w:rPr>
      </w:pPr>
      <w:bookmarkStart w:id="8" w:name="_Toc24514"/>
      <w:bookmarkStart w:id="9" w:name="_Toc8228"/>
      <w:bookmarkStart w:id="10" w:name="_Toc117270079"/>
      <w:r>
        <w:rPr>
          <w:rFonts w:hint="eastAsia" w:ascii="宋体" w:hAnsi="宋体" w:eastAsia="宋体" w:cs="宋体"/>
          <w:b/>
          <w:sz w:val="32"/>
          <w:szCs w:val="32"/>
          <w:highlight w:val="none"/>
        </w:rPr>
        <w:t>第三部分  投标人须知</w:t>
      </w:r>
      <w:bookmarkEnd w:id="8"/>
      <w:bookmarkEnd w:id="9"/>
      <w:bookmarkEnd w:id="10"/>
    </w:p>
    <w:p w14:paraId="699A01EE">
      <w:pPr>
        <w:shd w:val="clear"/>
        <w:snapToGrid w:val="0"/>
        <w:spacing w:line="360" w:lineRule="auto"/>
        <w:ind w:firstLine="240" w:firstLineChars="100"/>
        <w:outlineLvl w:val="1"/>
        <w:rPr>
          <w:rFonts w:hint="eastAsia" w:ascii="宋体" w:hAnsi="宋体" w:eastAsia="宋体" w:cs="宋体"/>
          <w:b/>
          <w:kern w:val="0"/>
          <w:sz w:val="24"/>
          <w:highlight w:val="none"/>
        </w:rPr>
      </w:pPr>
      <w:bookmarkStart w:id="11" w:name="_Toc9096"/>
      <w:bookmarkStart w:id="12" w:name="_Toc9516"/>
      <w:bookmarkStart w:id="13" w:name="_Toc117270080"/>
      <w:r>
        <w:rPr>
          <w:rFonts w:hint="eastAsia" w:ascii="宋体" w:hAnsi="宋体" w:eastAsia="宋体" w:cs="宋体"/>
          <w:b/>
          <w:kern w:val="0"/>
          <w:sz w:val="24"/>
          <w:highlight w:val="none"/>
        </w:rPr>
        <w:t>一、总则</w:t>
      </w:r>
      <w:bookmarkEnd w:id="11"/>
      <w:bookmarkEnd w:id="12"/>
      <w:bookmarkEnd w:id="13"/>
    </w:p>
    <w:p w14:paraId="2C68E419">
      <w:pPr>
        <w:shd w:val="clear"/>
        <w:tabs>
          <w:tab w:val="left" w:pos="737"/>
        </w:tabs>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1. 适用范围</w:t>
      </w:r>
    </w:p>
    <w:p w14:paraId="641088C0">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本招标文件适用于本次招标活动的全过程。</w:t>
      </w:r>
    </w:p>
    <w:p w14:paraId="3EA94CEA">
      <w:pPr>
        <w:shd w:val="clear"/>
        <w:tabs>
          <w:tab w:val="left" w:pos="0"/>
        </w:tabs>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2. 定义</w:t>
      </w:r>
    </w:p>
    <w:p w14:paraId="2D9C3BD0">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2.1采购人：指依法进行本次招标活动的采购单位，即：</w:t>
      </w:r>
      <w:r>
        <w:rPr>
          <w:rFonts w:hint="eastAsia" w:ascii="宋体" w:hAnsi="宋体" w:cs="宋体"/>
          <w:kern w:val="0"/>
          <w:sz w:val="24"/>
          <w:highlight w:val="none"/>
          <w:lang w:val="en-US" w:eastAsia="zh-CN"/>
        </w:rPr>
        <w:t>古县工信和科技局</w:t>
      </w:r>
      <w:r>
        <w:rPr>
          <w:rFonts w:hint="eastAsia" w:ascii="宋体" w:hAnsi="宋体" w:eastAsia="宋体" w:cs="宋体"/>
          <w:kern w:val="0"/>
          <w:sz w:val="24"/>
          <w:highlight w:val="none"/>
        </w:rPr>
        <w:t>。</w:t>
      </w:r>
    </w:p>
    <w:p w14:paraId="4C831900">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2.2</w:t>
      </w:r>
      <w:r>
        <w:rPr>
          <w:rFonts w:hint="eastAsia" w:ascii="宋体" w:hAnsi="宋体" w:eastAsia="宋体" w:cs="宋体"/>
          <w:kern w:val="0"/>
          <w:sz w:val="24"/>
          <w:highlight w:val="none"/>
        </w:rPr>
        <w:t>采购代理机构：指在采购人委托的范围内依法开展</w:t>
      </w:r>
      <w:r>
        <w:rPr>
          <w:rFonts w:hint="eastAsia" w:ascii="宋体" w:hAnsi="宋体" w:eastAsia="宋体" w:cs="宋体"/>
          <w:kern w:val="0"/>
          <w:sz w:val="24"/>
          <w:highlight w:val="none"/>
          <w:lang w:val="en-US" w:eastAsia="zh-CN"/>
        </w:rPr>
        <w:t>招标</w:t>
      </w:r>
      <w:r>
        <w:rPr>
          <w:rFonts w:hint="eastAsia" w:ascii="宋体" w:hAnsi="宋体" w:eastAsia="宋体" w:cs="宋体"/>
          <w:kern w:val="0"/>
          <w:sz w:val="24"/>
          <w:highlight w:val="none"/>
        </w:rPr>
        <w:t>活动，组织本次招标活动的执</w:t>
      </w:r>
      <w:r>
        <w:rPr>
          <w:rFonts w:hint="eastAsia" w:ascii="宋体" w:hAnsi="宋体" w:eastAsia="宋体" w:cs="宋体"/>
          <w:color w:val="000000" w:themeColor="text1"/>
          <w:kern w:val="0"/>
          <w:sz w:val="24"/>
          <w:highlight w:val="none"/>
          <w14:textFill>
            <w14:solidFill>
              <w14:schemeClr w14:val="tx1"/>
            </w14:solidFill>
          </w14:textFill>
        </w:rPr>
        <w:t>行机构，即“</w:t>
      </w:r>
      <w:r>
        <w:rPr>
          <w:rFonts w:hint="eastAsia" w:ascii="宋体" w:hAnsi="宋体" w:cs="宋体"/>
          <w:color w:val="000000" w:themeColor="text1"/>
          <w:kern w:val="0"/>
          <w:sz w:val="24"/>
          <w:highlight w:val="none"/>
          <w:lang w:eastAsia="zh-CN"/>
          <w14:textFill>
            <w14:solidFill>
              <w14:schemeClr w14:val="tx1"/>
            </w14:solidFill>
          </w14:textFill>
        </w:rPr>
        <w:t>山西晋鸿项目管理有限公司</w:t>
      </w:r>
      <w:r>
        <w:rPr>
          <w:rFonts w:hint="eastAsia" w:ascii="宋体" w:hAnsi="宋体" w:eastAsia="宋体" w:cs="宋体"/>
          <w:color w:val="000000" w:themeColor="text1"/>
          <w:kern w:val="0"/>
          <w:sz w:val="24"/>
          <w:highlight w:val="none"/>
          <w14:textFill>
            <w14:solidFill>
              <w14:schemeClr w14:val="tx1"/>
            </w14:solidFill>
          </w14:textFill>
        </w:rPr>
        <w:t>”。</w:t>
      </w:r>
    </w:p>
    <w:p w14:paraId="6019F268">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2.3投标人：指响应本招标文件规定并按期提供投标文件参加投标竞争的法人、其他组织或者自然人。</w:t>
      </w:r>
    </w:p>
    <w:p w14:paraId="0DED4E2A">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2.4潜在投标人：指符合本招标文件各项规定的</w:t>
      </w:r>
      <w:r>
        <w:rPr>
          <w:rFonts w:hint="eastAsia" w:ascii="宋体" w:hAnsi="宋体" w:eastAsia="宋体" w:cs="宋体"/>
          <w:kern w:val="0"/>
          <w:sz w:val="24"/>
          <w:highlight w:val="none"/>
          <w:lang w:eastAsia="zh-CN"/>
        </w:rPr>
        <w:t>投标人</w:t>
      </w:r>
      <w:r>
        <w:rPr>
          <w:rFonts w:hint="eastAsia" w:ascii="宋体" w:hAnsi="宋体" w:eastAsia="宋体" w:cs="宋体"/>
          <w:kern w:val="0"/>
          <w:sz w:val="24"/>
          <w:highlight w:val="none"/>
        </w:rPr>
        <w:t>。</w:t>
      </w:r>
    </w:p>
    <w:p w14:paraId="672C544A">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2.5货物：指投标人按招标文件商务技术要求，向采购人有偿提供的各种物品及其他有关技术资料和材料。</w:t>
      </w:r>
    </w:p>
    <w:p w14:paraId="0AB009AD">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2.6服务：指招标文件规定的投标人为完成采购项目所需承担的全部义务。如按要求完成货物供货、安装、调试、验收、履行售后服务、提供信息资料、组织相关培训及本招标文件和合同中规定由投标人承担的其他义务。</w:t>
      </w:r>
    </w:p>
    <w:p w14:paraId="2132903E">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2.7招标文件：是采购代理机构根据国家相关法律法规政策和采购人采购需求制定的向潜在投标人发出并告知项目需求、招标投标活动规则和合同条件等信息的要约文件，是本项目招标投标活动的主要依据，对招标投标活动各方均具有法律约束力。</w:t>
      </w:r>
    </w:p>
    <w:p w14:paraId="2B2A625B">
      <w:pPr>
        <w:shd w:val="clear"/>
        <w:snapToGrid w:val="0"/>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2.8投标文件：是指投标人应招标文件的条件和要求，按规定编制并按时递交的文件。</w:t>
      </w:r>
    </w:p>
    <w:p w14:paraId="725F3286">
      <w:pPr>
        <w:shd w:val="clear"/>
        <w:snapToGrid w:val="0"/>
        <w:spacing w:line="360" w:lineRule="auto"/>
        <w:ind w:firstLine="480"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3.合格投标人的条件</w:t>
      </w:r>
    </w:p>
    <w:p w14:paraId="3A6F2627">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3.1满足《中华人民共和国政府采购法》第二十二条第一款投标人的资格条件、落实政府采购政策需满足的资格要求与本项目特定资格条件。参加本采购项目活动的投标人需按投标人须知前附表第5项要求提供相应的资格证明文件。</w:t>
      </w:r>
    </w:p>
    <w:p w14:paraId="23A101F8">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3.2为本项目提供整体设计、规范编制或者项目管理、监理、检测等服务的投标人，不得再参加本项目的投标。</w:t>
      </w:r>
    </w:p>
    <w:p w14:paraId="33E1814B">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3.3关于是否允许代理商参加投标（见前附表第2项）。</w:t>
      </w:r>
    </w:p>
    <w:p w14:paraId="36794362">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3.4关于是否允许联合体投标（见前附表第3项）。</w:t>
      </w:r>
    </w:p>
    <w:p w14:paraId="6B0A44E2">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若本项目（包）接受联合体参加，联合体各方需遵循以下原则，否则评审时将被拒绝：</w:t>
      </w:r>
    </w:p>
    <w:p w14:paraId="6A6F27AC">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（1）两个以上的法人或者其他组织或自然人可以组成一个联合体，以一个投标人的身份共同参加投标。</w:t>
      </w:r>
    </w:p>
    <w:p w14:paraId="764BD92E">
      <w:pPr>
        <w:shd w:val="clea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kern w:val="0"/>
          <w:sz w:val="24"/>
          <w:highlight w:val="none"/>
        </w:rPr>
        <w:t>（2）联合体各方均应当符合《政府采购法》第二十二条第一款规定的条件，根据</w:t>
      </w:r>
      <w:r>
        <w:rPr>
          <w:rFonts w:hint="eastAsia" w:ascii="宋体" w:hAnsi="宋体" w:eastAsia="宋体" w:cs="宋体"/>
          <w:color w:val="000000" w:themeColor="text1"/>
          <w:kern w:val="0"/>
          <w:sz w:val="24"/>
          <w:highlight w:val="none"/>
          <w14:textFill>
            <w14:solidFill>
              <w14:schemeClr w14:val="tx1"/>
            </w14:solidFill>
          </w14:textFill>
        </w:rPr>
        <w:t>采购项目的特殊要求规定投标人特定条件的，联合体各方中至少应当有一方符合《招标公告》规定的投标人资格条件（实质性要求）。</w:t>
      </w:r>
    </w:p>
    <w:p w14:paraId="58E146DF">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color w:val="000000" w:themeColor="text1"/>
          <w:kern w:val="0"/>
          <w:sz w:val="24"/>
          <w:highlight w:val="none"/>
          <w14:textFill>
            <w14:solidFill>
              <w14:schemeClr w14:val="tx1"/>
            </w14:solidFill>
          </w14:textFill>
        </w:rPr>
        <w:t>（3）联合体各方均</w:t>
      </w:r>
      <w:r>
        <w:rPr>
          <w:rFonts w:hint="eastAsia" w:ascii="宋体" w:hAnsi="宋体" w:eastAsia="宋体" w:cs="宋体"/>
          <w:kern w:val="0"/>
          <w:sz w:val="24"/>
          <w:highlight w:val="none"/>
        </w:rPr>
        <w:t>应当提供投标人须知前附表第5项中要求的有效的资格证明文件。</w:t>
      </w:r>
    </w:p>
    <w:p w14:paraId="2379C5C6">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联合投标协议格式见本招标文件第七部分投标文件格式。</w:t>
      </w:r>
    </w:p>
    <w:p w14:paraId="0BAFC04E">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（5）下载招标文件时，应以联合体协议中确定的主体方名义下载。</w:t>
      </w:r>
    </w:p>
    <w:p w14:paraId="7DBA7853">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（6）联合体投标的，应以主体方名义提交投标保证金（如有），对联合体各方均具有约束力。</w:t>
      </w:r>
    </w:p>
    <w:p w14:paraId="297A878F">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7）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47A9185">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（8）联合体中任意一方为中小企业的，该方应提供《中小企业声明函》。</w:t>
      </w:r>
    </w:p>
    <w:p w14:paraId="0764DD50">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（9）联合体各方应当共同与采购人签订采购合同，就采购合同约定的事项对采购人承担连带责任。</w:t>
      </w:r>
    </w:p>
    <w:p w14:paraId="76994842">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3.5关于关联企业</w:t>
      </w:r>
    </w:p>
    <w:p w14:paraId="72D03AD7">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除联合体外，法定代表人或单位负责人为同一个人或者存在直接控股、管理关系的不同投标人，不得同时参加同一项目或同一子项目的投标。如同时参加，则评标时将同时被拒绝。</w:t>
      </w:r>
    </w:p>
    <w:p w14:paraId="5EA294B3">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3.6关于中小微企业参与投标</w:t>
      </w:r>
    </w:p>
    <w:p w14:paraId="5EEC20C9">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中小企业：是指符合《政府采购促进中小企业发展管理办法》（财库[2020]46号）规定的企业。参与投标人的投标人应当出具投报产品的制造商为中小企业的《中小企业声明函》。</w:t>
      </w:r>
    </w:p>
    <w:p w14:paraId="6EA2B054">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监狱企业：视同小型、微型企业，监狱企业参加时，提供由省级以上监狱管理局、戒毒管理局（含新疆生产建设兵团）出具的属于监狱企业的证明文件，不再提供《中小企业声明函》。</w:t>
      </w:r>
    </w:p>
    <w:p w14:paraId="749CA044">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残疾人福利性单位：视同为小型、微型企业。残疾人单位参加本项目时，应当提供本通知规定的《残疾人福利性单位声明函》，不再提供《中小企业声明函》。</w:t>
      </w:r>
    </w:p>
    <w:p w14:paraId="2B036B5F">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3.7关于分公司投标</w:t>
      </w:r>
    </w:p>
    <w:p w14:paraId="252BD748">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分公司作为投标人参与本项目政府采购活动的，应提供具有法人资格的总公司的营业执照副本扫描件或扫描件或影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20D1C726">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投标人属于石油石化、电力、通信、银行、金融、保险、法律事务、咨询服务等行业特殊情况的，取得营业执照的分支机构可以以分公司名义参与本项目投标，分支机构应提供总公司出具的参与投标授权委托书或承诺函，但总公司和分支机构不能参加同一合同项下的采购活动。</w:t>
      </w:r>
    </w:p>
    <w:p w14:paraId="019D016A">
      <w:pPr>
        <w:shd w:val="clear"/>
        <w:snapToGrid w:val="0"/>
        <w:spacing w:line="360" w:lineRule="auto"/>
        <w:ind w:firstLine="480"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4.合格的服务</w:t>
      </w:r>
    </w:p>
    <w:p w14:paraId="4ABAB425">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4.1投标人所提供的货物应当是没有侵犯任何第三方的知识产权、技术秘密等合法权利的货物。</w:t>
      </w:r>
    </w:p>
    <w:p w14:paraId="29A28B96">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4.2系统软件、通用软件必须是具有在中国境内的合法使用权或版权的正版软件。</w:t>
      </w:r>
    </w:p>
    <w:p w14:paraId="18E586E9">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4.3投标人提供的货物应完全符合国家、行业或地方的相关质量标准，提供货物的技术指标、配套服务要求应当符合本招标文件要求。</w:t>
      </w:r>
    </w:p>
    <w:p w14:paraId="1F6E87FF">
      <w:pPr>
        <w:shd w:val="clear"/>
        <w:snapToGrid w:val="0"/>
        <w:spacing w:line="360" w:lineRule="auto"/>
        <w:ind w:firstLine="480"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5.投标费用</w:t>
      </w:r>
    </w:p>
    <w:p w14:paraId="7734C90A">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投标人应承担准备和参与投标有关的所有费用，采购人、采购代理机构在任何情况下均无义务和责任承担这些费用。</w:t>
      </w:r>
    </w:p>
    <w:p w14:paraId="48893892">
      <w:pPr>
        <w:shd w:val="clear"/>
        <w:tabs>
          <w:tab w:val="left" w:pos="567"/>
        </w:tabs>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6.招标要求</w:t>
      </w:r>
    </w:p>
    <w:p w14:paraId="3D0E0083">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6.1投标人所提供的货物</w:t>
      </w:r>
      <w:r>
        <w:rPr>
          <w:rFonts w:hint="eastAsia" w:ascii="宋体" w:hAnsi="宋体" w:eastAsia="宋体" w:cs="宋体"/>
          <w:kern w:val="0"/>
          <w:sz w:val="24"/>
          <w:highlight w:val="none"/>
        </w:rPr>
        <w:t>、所需服务与技术方案</w:t>
      </w:r>
      <w:r>
        <w:rPr>
          <w:rFonts w:hint="eastAsia" w:ascii="宋体" w:hAnsi="宋体" w:eastAsia="宋体" w:cs="宋体"/>
          <w:color w:val="000000"/>
          <w:kern w:val="0"/>
          <w:sz w:val="24"/>
          <w:highlight w:val="none"/>
        </w:rPr>
        <w:t>被采购人采用时，中标人</w:t>
      </w:r>
      <w:r>
        <w:rPr>
          <w:rFonts w:hint="eastAsia" w:ascii="宋体" w:hAnsi="宋体" w:eastAsia="宋体" w:cs="宋体"/>
          <w:snapToGrid w:val="0"/>
          <w:kern w:val="0"/>
          <w:sz w:val="24"/>
          <w:highlight w:val="none"/>
        </w:rPr>
        <w:t>所提供的服务及相关内容必须符合本《招标文件》的要求且按要求实施，</w:t>
      </w:r>
      <w:r>
        <w:rPr>
          <w:rFonts w:hint="eastAsia" w:ascii="宋体" w:hAnsi="宋体" w:eastAsia="宋体" w:cs="宋体"/>
          <w:color w:val="000000"/>
          <w:kern w:val="0"/>
          <w:sz w:val="24"/>
          <w:highlight w:val="none"/>
        </w:rPr>
        <w:t>并认真履行合同规定的相关条款</w:t>
      </w:r>
      <w:r>
        <w:rPr>
          <w:rFonts w:hint="eastAsia" w:ascii="宋体" w:hAnsi="宋体" w:eastAsia="宋体" w:cs="宋体"/>
          <w:kern w:val="0"/>
          <w:sz w:val="24"/>
          <w:highlight w:val="none"/>
        </w:rPr>
        <w:t>。</w:t>
      </w:r>
    </w:p>
    <w:p w14:paraId="4EBA17D6">
      <w:pPr>
        <w:shd w:val="clear"/>
        <w:tabs>
          <w:tab w:val="left" w:pos="567"/>
        </w:tabs>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6.2采购代理机构或者采购人可以在招标文件提供期限截止后，组织已获取招标文件的潜在投标人现场勘查或者召开标前答疑会。是否组织现场勘查或者召开答疑会的，详见投标人前附表第11、12项。而无论本项目是否安排踏勘现场，潜在投标人均应当将相关的因素作为投标所应当考虑或依据的因素。</w:t>
      </w:r>
    </w:p>
    <w:p w14:paraId="611BED9A">
      <w:pPr>
        <w:shd w:val="clear"/>
        <w:tabs>
          <w:tab w:val="left" w:pos="567"/>
        </w:tabs>
        <w:snapToGrid w:val="0"/>
        <w:spacing w:line="360" w:lineRule="auto"/>
        <w:ind w:firstLine="480" w:firstLineChars="200"/>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7.通知</w:t>
      </w:r>
    </w:p>
    <w:p w14:paraId="10719FA3">
      <w:pPr>
        <w:shd w:val="clear"/>
        <w:snapToGrid w:val="0"/>
        <w:spacing w:line="360" w:lineRule="auto"/>
        <w:ind w:firstLine="480" w:firstLineChars="20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对与本项目有关的通知，采购代理机构将通过山西政府采购平台以电子文档发出，因线路故障导致通知延迟或无法查看，代理机构或采购方将不承担任何责任，有关的招标投标活动可以继续有效地进行。</w:t>
      </w:r>
    </w:p>
    <w:p w14:paraId="1B3322FE">
      <w:pPr>
        <w:shd w:val="clear"/>
        <w:snapToGrid w:val="0"/>
        <w:spacing w:line="360" w:lineRule="auto"/>
        <w:ind w:firstLine="480"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8.解释权</w:t>
      </w:r>
    </w:p>
    <w:p w14:paraId="5AAE0A30">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8.1本次招投标的最终解释权归为采购人、采购代理机构。</w:t>
      </w:r>
    </w:p>
    <w:p w14:paraId="5B916A21">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8.2当对一个问题有多种解释时以采购人、采购代理机构的解释为准。</w:t>
      </w:r>
    </w:p>
    <w:p w14:paraId="4749BB8A">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8.3本文件未作须知明示，而又有相关法律、法规规定的，采购人、采购代理机构将依据相关法律法规的规定进行解释。</w:t>
      </w:r>
    </w:p>
    <w:p w14:paraId="4CC03859">
      <w:pPr>
        <w:shd w:val="clear"/>
        <w:snapToGrid w:val="0"/>
        <w:spacing w:before="120" w:beforeLines="50" w:after="120" w:afterLines="50" w:line="360" w:lineRule="auto"/>
        <w:ind w:firstLine="480" w:firstLineChars="200"/>
        <w:outlineLvl w:val="1"/>
        <w:rPr>
          <w:rFonts w:hint="eastAsia" w:ascii="宋体" w:hAnsi="宋体" w:eastAsia="宋体" w:cs="宋体"/>
          <w:b/>
          <w:kern w:val="0"/>
          <w:sz w:val="24"/>
          <w:highlight w:val="none"/>
        </w:rPr>
      </w:pPr>
      <w:bookmarkStart w:id="14" w:name="_Toc32547"/>
      <w:bookmarkStart w:id="15" w:name="_Toc117270081"/>
      <w:bookmarkStart w:id="16" w:name="_Toc922"/>
      <w:r>
        <w:rPr>
          <w:rFonts w:hint="eastAsia" w:ascii="宋体" w:hAnsi="宋体" w:eastAsia="宋体" w:cs="宋体"/>
          <w:b/>
          <w:kern w:val="0"/>
          <w:sz w:val="24"/>
          <w:highlight w:val="none"/>
        </w:rPr>
        <w:t>二、招标文件组成、澄清和修改</w:t>
      </w:r>
      <w:bookmarkEnd w:id="14"/>
      <w:bookmarkEnd w:id="15"/>
      <w:bookmarkEnd w:id="16"/>
    </w:p>
    <w:p w14:paraId="1E5BCE07">
      <w:pPr>
        <w:shd w:val="clear"/>
        <w:tabs>
          <w:tab w:val="left" w:pos="0"/>
        </w:tabs>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9.招标文件的内容</w:t>
      </w:r>
    </w:p>
    <w:p w14:paraId="75DAD68A">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9.1招标文件由下列</w:t>
      </w:r>
      <w:r>
        <w:rPr>
          <w:rFonts w:hint="eastAsia" w:ascii="宋体" w:hAnsi="宋体" w:eastAsia="宋体" w:cs="宋体"/>
          <w:kern w:val="0"/>
          <w:sz w:val="24"/>
          <w:highlight w:val="none"/>
          <w:lang w:val="en-US" w:eastAsia="zh-CN"/>
        </w:rPr>
        <w:t>八</w:t>
      </w:r>
      <w:r>
        <w:rPr>
          <w:rFonts w:hint="eastAsia" w:ascii="宋体" w:hAnsi="宋体" w:eastAsia="宋体" w:cs="宋体"/>
          <w:kern w:val="0"/>
          <w:sz w:val="24"/>
          <w:highlight w:val="none"/>
        </w:rPr>
        <w:t>部分内容组成：</w:t>
      </w:r>
    </w:p>
    <w:p w14:paraId="05E16B81">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第一</w:t>
      </w:r>
      <w:r>
        <w:rPr>
          <w:rFonts w:hint="eastAsia" w:ascii="宋体" w:hAnsi="宋体" w:eastAsia="宋体" w:cs="宋体"/>
          <w:color w:val="000000" w:themeColor="text1"/>
          <w:kern w:val="0"/>
          <w:sz w:val="24"/>
          <w:highlight w:val="none"/>
          <w14:textFill>
            <w14:solidFill>
              <w14:schemeClr w14:val="tx1"/>
            </w14:solidFill>
          </w14:textFill>
        </w:rPr>
        <w:t>部分 招标公告；</w:t>
      </w:r>
    </w:p>
    <w:p w14:paraId="117AC292">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第二部分 投标人须知前附表；</w:t>
      </w:r>
    </w:p>
    <w:p w14:paraId="6D8B925E">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第三部分 投标</w:t>
      </w:r>
      <w:r>
        <w:rPr>
          <w:rFonts w:hint="eastAsia" w:ascii="宋体" w:hAnsi="宋体" w:cs="宋体"/>
          <w:kern w:val="0"/>
          <w:sz w:val="24"/>
          <w:highlight w:val="none"/>
          <w:lang w:val="en-US" w:eastAsia="zh-CN"/>
        </w:rPr>
        <w:t>人</w:t>
      </w:r>
      <w:r>
        <w:rPr>
          <w:rFonts w:hint="eastAsia" w:ascii="宋体" w:hAnsi="宋体" w:eastAsia="宋体" w:cs="宋体"/>
          <w:kern w:val="0"/>
          <w:sz w:val="24"/>
          <w:highlight w:val="none"/>
        </w:rPr>
        <w:t>须知；</w:t>
      </w:r>
    </w:p>
    <w:p w14:paraId="10E20185">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第四部分 评审方法和评审标准；</w:t>
      </w:r>
    </w:p>
    <w:p w14:paraId="7DE0D798">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第五部分 商务、技术要求；</w:t>
      </w:r>
    </w:p>
    <w:p w14:paraId="706371DE">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第六部分 拟签订的合同文本；</w:t>
      </w:r>
    </w:p>
    <w:p w14:paraId="5859C16F">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第七部分 投标文件格式；</w:t>
      </w:r>
    </w:p>
    <w:p w14:paraId="11819BF9">
      <w:pPr>
        <w:shd w:val="clear"/>
        <w:snapToGri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第八部分 相关附件</w:t>
      </w:r>
    </w:p>
    <w:p w14:paraId="56A96165">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9.2投标人应详细阅读招标文件的全部内容，如果没有按照招标文件要求提交全部资料或者没有对招标文件在各方面都做出实质性响应，有可能被确定为无效投标。</w:t>
      </w:r>
    </w:p>
    <w:p w14:paraId="1F4B8BA0">
      <w:pPr>
        <w:shd w:val="clea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9.3除非特殊要求，招标文件不单独提供招标项目使用地的自然环境、气候条件、公用设施等情况，投标人被视为熟悉上述与履行合同有关的一切情况。</w:t>
      </w:r>
    </w:p>
    <w:p w14:paraId="336A543D">
      <w:pPr>
        <w:shd w:val="clear"/>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10．招标文件的澄清和修改</w:t>
      </w:r>
    </w:p>
    <w:p w14:paraId="43C97AED">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10.1采购人、采购代理机构对招标文件澄清和修改的时间及方式：</w:t>
      </w:r>
    </w:p>
    <w:p w14:paraId="586DBB11">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在招标公告中规定的提交首次投标文件截止之日前，采购人、采购代理机构可以对已发出的招标文件进行必要的澄清或修改，其内容作为招标文件的组成部分。澄清或修改的内容可能影响投标文件编制的，采购人、采购代理机构应当在投标截止时间至少15日前，通过中国政府采购网山西分网发布更正公告。不足15日的，应当顺延提交投标文件的截止时间。</w:t>
      </w:r>
    </w:p>
    <w:p w14:paraId="3D8C4C67">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10.2更正公告中包括更正事项、更正前内容、更正后内容，但不包括更正内容的来源。</w:t>
      </w:r>
    </w:p>
    <w:p w14:paraId="63CA0DFE">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10.3潜在投标人对招标文件的询问时间及方式：</w:t>
      </w:r>
    </w:p>
    <w:p w14:paraId="79C87BA1">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任何已下载了招标文件的潜在投标人，对招标文件进行的询问，均应在招标公告中规定的提交投标文件截止时间前，通过山西政府采购平台将询问的事项提交给采购人、采购代理机构。</w:t>
      </w:r>
    </w:p>
    <w:p w14:paraId="5FFAF647">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10.4澄清、修改及其它答复的效力：</w:t>
      </w:r>
    </w:p>
    <w:p w14:paraId="4EBD2E59">
      <w:pPr>
        <w:shd w:val="clear"/>
        <w:tabs>
          <w:tab w:val="left" w:pos="567"/>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采购人、采购代理机构一旦对招标文件做出澄清或修改，即发生效力，对所有投标人均具有约束力。</w:t>
      </w:r>
    </w:p>
    <w:p w14:paraId="35978560">
      <w:pPr>
        <w:shd w:val="clear"/>
        <w:snapToGrid w:val="0"/>
        <w:spacing w:before="120" w:beforeLines="50" w:after="120" w:afterLines="50" w:line="360" w:lineRule="auto"/>
        <w:ind w:firstLine="480" w:firstLineChars="200"/>
        <w:outlineLvl w:val="1"/>
        <w:rPr>
          <w:rFonts w:hint="eastAsia" w:ascii="宋体" w:hAnsi="宋体" w:eastAsia="宋体" w:cs="宋体"/>
          <w:b/>
          <w:kern w:val="0"/>
          <w:sz w:val="24"/>
          <w:highlight w:val="none"/>
        </w:rPr>
      </w:pPr>
      <w:bookmarkStart w:id="17" w:name="_Toc5439"/>
      <w:bookmarkStart w:id="18" w:name="_Toc117270082"/>
      <w:bookmarkStart w:id="19" w:name="_Toc30318"/>
      <w:bookmarkStart w:id="128" w:name="_GoBack"/>
      <w:bookmarkEnd w:id="128"/>
      <w:r>
        <w:rPr>
          <w:rFonts w:hint="eastAsia" w:ascii="宋体" w:hAnsi="宋体" w:eastAsia="宋体" w:cs="宋体"/>
          <w:b/>
          <w:kern w:val="0"/>
          <w:sz w:val="24"/>
          <w:highlight w:val="none"/>
        </w:rPr>
        <w:t>三、</w:t>
      </w:r>
      <w:bookmarkEnd w:id="17"/>
      <w:bookmarkEnd w:id="18"/>
      <w:r>
        <w:rPr>
          <w:rFonts w:hint="eastAsia" w:ascii="宋体" w:hAnsi="宋体" w:eastAsia="宋体" w:cs="宋体"/>
          <w:b/>
          <w:kern w:val="0"/>
          <w:sz w:val="24"/>
          <w:highlight w:val="none"/>
        </w:rPr>
        <w:t>投标文件组成、编制与要求</w:t>
      </w:r>
      <w:bookmarkEnd w:id="19"/>
      <w:r>
        <w:rPr>
          <w:rFonts w:hint="eastAsia" w:ascii="宋体" w:hAnsi="宋体" w:eastAsia="宋体" w:cs="宋体"/>
          <w:b/>
          <w:kern w:val="0"/>
          <w:sz w:val="24"/>
          <w:highlight w:val="none"/>
        </w:rPr>
        <w:t xml:space="preserve"> </w:t>
      </w:r>
    </w:p>
    <w:p w14:paraId="136BDA65">
      <w:pPr>
        <w:shd w:val="clear"/>
        <w:tabs>
          <w:tab w:val="left" w:pos="0"/>
        </w:tabs>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11.投标文件的组成</w:t>
      </w:r>
    </w:p>
    <w:p w14:paraId="41B4D517">
      <w:pPr>
        <w:shd w:val="clea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11.1投标文件由资格证明文件和商务技术文件两部分组成。</w:t>
      </w:r>
    </w:p>
    <w:p w14:paraId="70911851">
      <w:pPr>
        <w:shd w:val="clea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11.2资格证明文件：指投标人对招标文件前附表第5项“投标人应提交的资格证明文件”作出响应证明其有资格参加投标的证明文件。</w:t>
      </w:r>
    </w:p>
    <w:p w14:paraId="159858E2">
      <w:pPr>
        <w:shd w:val="clea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11.3商务、技术文件：指投标人对招标文件前附表第6项“投标人应提交的商务、技术文件”、第7项“政府采购相关政策要求”作出响应证明其有能力提供采购标的、履行合同义务的证明文件。</w:t>
      </w:r>
    </w:p>
    <w:p w14:paraId="699D34A7">
      <w:pPr>
        <w:shd w:val="clea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11.4如投标人参加多包投标的，应按包分别独立制作投标文件。</w:t>
      </w:r>
    </w:p>
    <w:p w14:paraId="2AB8F04A">
      <w:pPr>
        <w:keepNext/>
        <w:tabs>
          <w:tab w:val="left" w:pos="0"/>
        </w:tabs>
        <w:wordWrap w:val="0"/>
        <w:topLinePunct/>
        <w:adjustRightInd w:val="0"/>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12.投标文件编制与要求</w:t>
      </w:r>
    </w:p>
    <w:p w14:paraId="13E70A19">
      <w:pPr>
        <w:keepNext/>
        <w:tabs>
          <w:tab w:val="left" w:pos="0"/>
        </w:tabs>
        <w:wordWrap w:val="0"/>
        <w:topLinePunct/>
        <w:adjustRightInd w:val="0"/>
        <w:snapToGrid w:val="0"/>
        <w:spacing w:line="360" w:lineRule="auto"/>
        <w:ind w:firstLine="480"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12.1投标文件的语言和计量单位要求</w:t>
      </w:r>
    </w:p>
    <w:p w14:paraId="5736B965">
      <w:pPr>
        <w:keepNext/>
        <w:tabs>
          <w:tab w:val="left" w:pos="567"/>
        </w:tabs>
        <w:wordWrap w:val="0"/>
        <w:topLinePunct/>
        <w:adjustRightInd w:val="0"/>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12.1.1投标人提交的投标文件（包括商务、技术文件和资料中的说明）以及投标人与采购人、采购代理机构就有关招标投标的所有往来函均应使用中文简体字。</w:t>
      </w:r>
    </w:p>
    <w:p w14:paraId="494B20EB">
      <w:pPr>
        <w:keepNext/>
        <w:tabs>
          <w:tab w:val="left" w:pos="567"/>
        </w:tabs>
        <w:wordWrap w:val="0"/>
        <w:topLinePunct/>
        <w:adjustRightInd w:val="0"/>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12.1.2投标文件所使用的计量单位，应使用中华人民共和国法定计量单位。</w:t>
      </w:r>
    </w:p>
    <w:p w14:paraId="6E3B9F10">
      <w:pPr>
        <w:keepNext/>
        <w:tabs>
          <w:tab w:val="left" w:pos="567"/>
        </w:tabs>
        <w:wordWrap w:val="0"/>
        <w:topLinePunct/>
        <w:adjustRightInd w:val="0"/>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12.1.3原版为外文的证书类、证明类、资料类等文件以及外国人的本人签名、外国公司的名称或外国印章等可以是外文，但应当提供加盖投标人公章与原版文件相一致的中文翻译件。必要时评标委员会可以要求投标人提供附有公证书的中文翻译件。否则，产生的不利后果由投标人承担。</w:t>
      </w:r>
    </w:p>
    <w:p w14:paraId="5812634C">
      <w:pPr>
        <w:keepNext/>
        <w:wordWrap w:val="0"/>
        <w:topLinePunct/>
        <w:adjustRightInd w:val="0"/>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原版为外文的证书类、证明类、资料类文件，存在与投标人名称或其它实际情况不符情形的，投标人应当提供相关证明文件。</w:t>
      </w:r>
    </w:p>
    <w:p w14:paraId="54782E87">
      <w:pPr>
        <w:keepNext/>
        <w:wordWrap w:val="0"/>
        <w:topLinePunct/>
        <w:adjustRightInd w:val="0"/>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12.2编制格式要求</w:t>
      </w:r>
    </w:p>
    <w:p w14:paraId="3B0C1C8B">
      <w:pPr>
        <w:keepNext/>
        <w:wordWrap w:val="0"/>
        <w:topLinePunct/>
        <w:adjustRightInd w:val="0"/>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招标文件第七部分“投标文件格式”中已提供资格证明文件和商务、技术文件格式的，应按相应格式与要求编写（未提供格式的由投标人自行编写），投标人仅需完善格式中需填写的内容，不得更改格式本身内容，否则，可能会导致投标无效。</w:t>
      </w:r>
    </w:p>
    <w:p w14:paraId="4000F4CE">
      <w:pPr>
        <w:keepNext/>
        <w:wordWrap w:val="0"/>
        <w:topLinePunct/>
        <w:adjustRightInd w:val="0"/>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12.3编排要求</w:t>
      </w:r>
    </w:p>
    <w:p w14:paraId="3EDD40C2">
      <w:pPr>
        <w:shd w:val="clear"/>
        <w:snapToGrid w:val="0"/>
        <w:spacing w:line="360" w:lineRule="auto"/>
        <w:ind w:firstLine="480" w:firstLineChars="200"/>
        <w:rPr>
          <w:rFonts w:hint="eastAsia" w:ascii="宋体" w:hAnsi="宋体" w:eastAsia="宋体" w:cs="宋体"/>
          <w:kern w:val="0"/>
          <w:sz w:val="24"/>
          <w:szCs w:val="24"/>
          <w:highlight w:val="none"/>
        </w:rPr>
      </w:pPr>
      <w:r>
        <w:rPr>
          <w:rFonts w:hint="eastAsia" w:cs="宋体" w:asciiTheme="minorEastAsia" w:hAnsiTheme="minorEastAsia" w:eastAsiaTheme="minorEastAsia"/>
          <w:kern w:val="0"/>
          <w:sz w:val="24"/>
          <w:szCs w:val="24"/>
        </w:rPr>
        <w:t>投标文件采用A4幅面；应按照招标文件第七部分“投标文件格式”的顺序统一编目、正序编排页码（其中：证明材料扫描件或影印件或彩色宣传资料等均应须与投标文件正文中的相关内容一起正序逐页编排页码）。由于编排混乱导致投标文件被误读或查找不到，其责任应当由投标人自行承担。</w:t>
      </w:r>
    </w:p>
    <w:p w14:paraId="0781A79C">
      <w:pPr>
        <w:shd w:val="clear"/>
        <w:tabs>
          <w:tab w:val="left" w:pos="0"/>
        </w:tabs>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 xml:space="preserve">13.投标文件填写说明 </w:t>
      </w:r>
    </w:p>
    <w:p w14:paraId="2AA8ED1D">
      <w:pPr>
        <w:shd w:val="clea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13.1投标人应详细阅读本招标文件的全部内容，应对本招标文件要求做出实质性和完整性的响应。并对投标文件所提供的全部资料的真实性、可靠性负责，接受评标委员会对其中任何资料进一步审查。    </w:t>
      </w:r>
    </w:p>
    <w:p w14:paraId="01F74957">
      <w:pPr>
        <w:shd w:val="clea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13.2因投标文件字迹潦草、提交资料不清晰或表达不清楚所引起的不利后果由投标人自行承担。</w:t>
      </w:r>
    </w:p>
    <w:p w14:paraId="664D3DDD">
      <w:pPr>
        <w:shd w:val="clea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13.3投标文件应严格按照招标文件第七部分“投标文件格式”中提供的格式内容要求逐项填写，不准有空项、缺项、漏项；无相应响应项的内容，应填写“无”、“未测试”、“没有相应指标”、“/”等明确的回答。</w:t>
      </w:r>
    </w:p>
    <w:p w14:paraId="329A15C8">
      <w:pPr>
        <w:shd w:val="clear"/>
        <w:tabs>
          <w:tab w:val="left" w:pos="0"/>
        </w:tabs>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13.4为提倡诚实信用的投标行为，特别要求投标人应本着诚信原则，在投标文件的偏离表中按照招标文件要求（若本次招标文件中没有提供偏离表或其它偏离文件样本，投标人亦应当自行编制偏离表并附于本次投标文件中）以审慎的态度明确、清楚地披露各项偏离。一旦在评审中被发现存在重大偏离或被认定为属于重大偏离，则评标委员会有权决定对该投标予以拒绝。</w:t>
      </w:r>
    </w:p>
    <w:p w14:paraId="6C256C47">
      <w:pPr>
        <w:shd w:val="clear"/>
        <w:tabs>
          <w:tab w:val="left" w:pos="0"/>
        </w:tabs>
        <w:snapToGrid w:val="0"/>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14.</w:t>
      </w:r>
      <w:r>
        <w:rPr>
          <w:rFonts w:hint="eastAsia" w:ascii="宋体" w:hAnsi="宋体" w:cs="宋体"/>
          <w:b/>
          <w:sz w:val="24"/>
          <w:highlight w:val="none"/>
        </w:rPr>
        <w:t>报价要求</w:t>
      </w:r>
    </w:p>
    <w:p w14:paraId="49EB73F6">
      <w:pPr>
        <w:shd w:val="clea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14.1投标过程中的所有报价均以人民币“元”为计算单位。</w:t>
      </w:r>
    </w:p>
    <w:p w14:paraId="35848074">
      <w:pPr>
        <w:shd w:val="clea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14.2报价</w:t>
      </w:r>
    </w:p>
    <w:p w14:paraId="55BEC7C7">
      <w:pPr>
        <w:shd w:val="clea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一览表”、“分项报价表（如有）”中只要填报了一个确定数额的价格，报价应被视为包含了货物本身价格、将货物送到采购人指定地点所发生的包装、运输、保险、安装、调试、验收、配套服务费用以及相关税费等所有费用。</w:t>
      </w:r>
    </w:p>
    <w:p w14:paraId="25AE01DD">
      <w:pPr>
        <w:shd w:val="clea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投标人应按各包报价要求整包填报“开标一览表”、“分项目报价表（若要求）”规定的内容，不得拆包、拆分报价。“分项目报价表”应对应“开标一览表”，投标人如果不提供分项报价明细表，其投标无效。</w:t>
      </w:r>
    </w:p>
    <w:p w14:paraId="015ADCCD">
      <w:pPr>
        <w:shd w:val="clea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14.5本次招标不接受可选择方案的报价。</w:t>
      </w:r>
    </w:p>
    <w:p w14:paraId="5972E896">
      <w:pPr>
        <w:shd w:val="clea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14.6“开标一览表”、“分项报价表（若要求）”中的报价不得填写“免费”或“赠与”或“赠送”，也不得填报“零”报价，否则投标无效。</w:t>
      </w:r>
    </w:p>
    <w:p w14:paraId="1A34F11F">
      <w:pPr>
        <w:shd w:val="clea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14.7由于分项报价填报不完整、不清楚或存在其它任何失误，所导致的任何不利后果均应当由投标人自行承担。</w:t>
      </w:r>
    </w:p>
    <w:p w14:paraId="6341FE50">
      <w:pPr>
        <w:shd w:val="clea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14.8投标人对投标报价若有说明应在“开标一览表”、“分项报价表（若要求）”的“备注”栏内注明。</w:t>
      </w:r>
    </w:p>
    <w:p w14:paraId="2B6488CA">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14.9投标人“开标一览表”中的总报价应与“分项报价表（如有）”总报价一致。否则，分项报价按“开标一览表”总价与“分项报价”总价的相同比例进行调整，其风险由投标人自已承担。</w:t>
      </w:r>
    </w:p>
    <w:p w14:paraId="4D593BCD">
      <w:pPr>
        <w:keepNext/>
        <w:wordWrap w:val="0"/>
        <w:topLinePunct/>
        <w:adjustRightInd w:val="0"/>
        <w:snapToGrid w:val="0"/>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15.投标文件份数</w:t>
      </w:r>
    </w:p>
    <w:p w14:paraId="7357F41F">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本次招标投标人须提交的投标文件份数详见投标人须知前附表第4项。</w:t>
      </w:r>
    </w:p>
    <w:p w14:paraId="103D4280">
      <w:pPr>
        <w:keepNext/>
        <w:wordWrap w:val="0"/>
        <w:topLinePunct/>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16.投标文件的签署</w:t>
      </w:r>
    </w:p>
    <w:p w14:paraId="192CD815">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16.1投标人提交投标文件中的各种证明、资料等的签署均应遵守本款规定。</w:t>
      </w:r>
    </w:p>
    <w:p w14:paraId="686A5E37">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16.2本文件各种文件中涉及的“单位盖章”、“印章”、“公章”等均须使用与当事人名称全称相一致的</w:t>
      </w:r>
      <w:r>
        <w:rPr>
          <w:rFonts w:hint="eastAsia" w:ascii="宋体" w:hAnsi="宋体" w:eastAsia="宋体" w:cs="宋体"/>
          <w:b/>
          <w:bCs/>
          <w:sz w:val="24"/>
          <w:szCs w:val="24"/>
        </w:rPr>
        <w:t>投标人CA数字证书电子印章进行签署</w:t>
      </w:r>
      <w:r>
        <w:rPr>
          <w:rFonts w:hint="eastAsia" w:ascii="宋体" w:hAnsi="宋体" w:eastAsia="宋体" w:cs="宋体"/>
          <w:sz w:val="24"/>
          <w:szCs w:val="24"/>
        </w:rPr>
        <w:t>。否则将按投标无效处理。</w:t>
      </w:r>
    </w:p>
    <w:p w14:paraId="53AD53D9">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16.3投标人应在投标文件中按照招标文件要求进行签署，未按要求签署的，将按投标无效处理。</w:t>
      </w:r>
    </w:p>
    <w:p w14:paraId="3B768CF1">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16.4投标文件应字迹清楚、内容齐全、不得涂改或增删。如有修改和增删，必须加盖</w:t>
      </w:r>
      <w:r>
        <w:rPr>
          <w:rFonts w:hint="eastAsia" w:ascii="宋体" w:hAnsi="宋体" w:eastAsia="宋体" w:cs="宋体"/>
          <w:b/>
          <w:bCs/>
          <w:sz w:val="24"/>
          <w:szCs w:val="24"/>
        </w:rPr>
        <w:t>投标人CA数字证书电子印章</w:t>
      </w:r>
      <w:r>
        <w:rPr>
          <w:rFonts w:hint="eastAsia" w:ascii="宋体" w:hAnsi="宋体" w:eastAsia="宋体" w:cs="宋体"/>
          <w:sz w:val="24"/>
          <w:szCs w:val="24"/>
        </w:rPr>
        <w:t>。</w:t>
      </w:r>
    </w:p>
    <w:p w14:paraId="4E09BC9C">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16.5因投标文件字迹潦草或表达不清所引起的不利后果由投标人承担。</w:t>
      </w:r>
    </w:p>
    <w:p w14:paraId="66959C50">
      <w:pPr>
        <w:keepNext/>
        <w:wordWrap w:val="0"/>
        <w:topLinePunct/>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17.投标文件的补充、修改和撤回</w:t>
      </w:r>
    </w:p>
    <w:p w14:paraId="149A9BA1">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17.1投标人在投标文件提交截止时间前，可以对投标文件进行补充、修改，补充、修改的内容作为投标文件的组成部分。补充、修改内容需在“山西政府采购平台”上传加密，未进行上传的补充、修改内容无效。</w:t>
      </w:r>
    </w:p>
    <w:p w14:paraId="0A513EEA">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17.2补充、修改的内容应当按照招标文件要求签署、盖章，否则，按无效处理。</w:t>
      </w:r>
    </w:p>
    <w:p w14:paraId="69E75F29">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17.3在投标文件提交截止时间之后，投标人不得对其已上传的投标文件（含补充、修改）进行撤回。</w:t>
      </w:r>
    </w:p>
    <w:p w14:paraId="6C3AA506">
      <w:pPr>
        <w:keepNext/>
        <w:wordWrap w:val="0"/>
        <w:topLinePunct/>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18.投标文件的有效期</w:t>
      </w:r>
    </w:p>
    <w:p w14:paraId="20D9BE0F">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18.1本项目投标文件的有效期详见投标人须知前附表第8项。</w:t>
      </w:r>
      <w:r>
        <w:rPr>
          <w:rFonts w:hint="eastAsia" w:ascii="宋体" w:hAnsi="宋体" w:eastAsia="宋体" w:cs="宋体"/>
          <w:kern w:val="0"/>
          <w:sz w:val="24"/>
          <w:szCs w:val="24"/>
        </w:rPr>
        <w:t>有效期短于该规定期限的投标无效。</w:t>
      </w:r>
    </w:p>
    <w:p w14:paraId="5C5D080F">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18.2如果出现特殊情况，采购人可要求投标人将投标文件有效期延长一段时间，这种要求和投标人的答复以书面形式进行。</w:t>
      </w:r>
    </w:p>
    <w:p w14:paraId="780B13A4">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
          <w:bCs/>
          <w:sz w:val="24"/>
          <w:szCs w:val="24"/>
        </w:rPr>
        <w:t>19.投标文件上传截止时间、加密、解密及其他</w:t>
      </w:r>
    </w:p>
    <w:p w14:paraId="5BFD85DE">
      <w:pPr>
        <w:keepNext/>
        <w:wordWrap w:val="0"/>
        <w:topLinePunct/>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19.1投标文件上传截止时间</w:t>
      </w:r>
    </w:p>
    <w:p w14:paraId="28058944">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投标人应当在招标文件规定的投标文件提交截止时间前（详见投标人须知前附表第4项）使用</w:t>
      </w:r>
      <w:r>
        <w:rPr>
          <w:rFonts w:hint="eastAsia" w:ascii="宋体" w:hAnsi="宋体" w:eastAsia="宋体" w:cs="宋体"/>
          <w:sz w:val="24"/>
          <w:szCs w:val="24"/>
        </w:rPr>
        <w:t>CA数字证书</w:t>
      </w:r>
      <w:r>
        <w:rPr>
          <w:rFonts w:hint="eastAsia" w:ascii="宋体" w:hAnsi="宋体" w:eastAsia="宋体" w:cs="宋体"/>
          <w:kern w:val="0"/>
          <w:sz w:val="24"/>
          <w:szCs w:val="24"/>
        </w:rPr>
        <w:t>（单位、法人或个人）将投标文件及补充、修改文件（如有的话）在“山西政府采购平台”完成上传。</w:t>
      </w:r>
    </w:p>
    <w:p w14:paraId="776FB397">
      <w:pPr>
        <w:keepNext/>
        <w:wordWrap w:val="0"/>
        <w:topLinePunct/>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19.2投标文件加密</w:t>
      </w:r>
    </w:p>
    <w:p w14:paraId="1349A969">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投标人应将上传的投标文件使用上传投标文件所用</w:t>
      </w:r>
      <w:r>
        <w:rPr>
          <w:rFonts w:hint="eastAsia" w:ascii="宋体" w:hAnsi="宋体" w:eastAsia="宋体" w:cs="宋体"/>
          <w:sz w:val="24"/>
          <w:szCs w:val="24"/>
        </w:rPr>
        <w:t>CA数字证书</w:t>
      </w:r>
      <w:r>
        <w:rPr>
          <w:rFonts w:hint="eastAsia" w:ascii="宋体" w:hAnsi="宋体" w:eastAsia="宋体" w:cs="宋体"/>
          <w:kern w:val="0"/>
          <w:sz w:val="24"/>
          <w:szCs w:val="24"/>
        </w:rPr>
        <w:t>（单位、法人或个人）进行加密。</w:t>
      </w:r>
    </w:p>
    <w:p w14:paraId="0BF4D6DF">
      <w:pPr>
        <w:keepNext/>
        <w:wordWrap w:val="0"/>
        <w:topLinePunct/>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19.3投标文件解密及其他</w:t>
      </w:r>
    </w:p>
    <w:p w14:paraId="4AE3E58E">
      <w:pPr>
        <w:keepNext/>
        <w:tabs>
          <w:tab w:val="left" w:pos="567"/>
        </w:tabs>
        <w:wordWrap w:val="0"/>
        <w:topLinePunct/>
        <w:adjustRightInd w:val="0"/>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19.3.1投标人应在接到采购代理机构发出的解密指令信息后，使用加密投标文件时所用CA数字证书（单位、法人或个人）在招标文件规定的投标文件解密时间内（详见投标人须知前附表第4项）在“山西政府采购平台”对投标文件进行远程</w:t>
      </w:r>
      <w:r>
        <w:rPr>
          <w:rFonts w:hint="eastAsia" w:ascii="宋体" w:hAnsi="宋体" w:eastAsia="宋体" w:cs="宋体"/>
          <w:bCs/>
          <w:kern w:val="0"/>
          <w:sz w:val="24"/>
          <w:szCs w:val="24"/>
        </w:rPr>
        <w:t>解密。</w:t>
      </w:r>
    </w:p>
    <w:p w14:paraId="23EA4970">
      <w:pPr>
        <w:keepNext/>
        <w:tabs>
          <w:tab w:val="left" w:pos="567"/>
        </w:tabs>
        <w:wordWrap w:val="0"/>
        <w:topLinePunct/>
        <w:adjustRightInd w:val="0"/>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19.3.2任何单位和个人不得在投标文件解密开始时间前解密投标文件。否则，后果由投标人自行承担责任。</w:t>
      </w:r>
    </w:p>
    <w:p w14:paraId="6E1000C9">
      <w:pPr>
        <w:keepNext/>
        <w:tabs>
          <w:tab w:val="left" w:pos="567"/>
        </w:tabs>
        <w:wordWrap w:val="0"/>
        <w:topLinePunct/>
        <w:adjustRightInd w:val="0"/>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19.3.3由于投标人原因，未在规定时间内完成电子投标文件解密的，视为未提交投标文件，其投标无效。</w:t>
      </w:r>
    </w:p>
    <w:p w14:paraId="76FB1A93">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Cs/>
          <w:kern w:val="0"/>
          <w:sz w:val="24"/>
          <w:szCs w:val="24"/>
        </w:rPr>
        <w:t>19.3.4解密截止时间后，投标人将无法对投标文件进行解密（除特殊情况下，启用备份文件的除外），代理机构不得以任何理由延长解密时间。</w:t>
      </w:r>
    </w:p>
    <w:p w14:paraId="1A37677A">
      <w:pPr>
        <w:keepNext/>
        <w:tabs>
          <w:tab w:val="left" w:pos="567"/>
        </w:tabs>
        <w:wordWrap w:val="0"/>
        <w:topLinePunct/>
        <w:adjustRightInd w:val="0"/>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19.3.5</w:t>
      </w:r>
      <w:r>
        <w:rPr>
          <w:rFonts w:hint="eastAsia" w:ascii="宋体" w:hAnsi="宋体" w:eastAsia="宋体" w:cs="宋体"/>
          <w:kern w:val="44"/>
          <w:sz w:val="24"/>
          <w:szCs w:val="24"/>
        </w:rPr>
        <w:t>解密过程中，采购人、采购代理机构相关工作人员有需要回避的情形的，应主动提出回避。</w:t>
      </w:r>
    </w:p>
    <w:p w14:paraId="5A89605A">
      <w:pPr>
        <w:keepNext/>
        <w:tabs>
          <w:tab w:val="left" w:pos="567"/>
        </w:tabs>
        <w:wordWrap w:val="0"/>
        <w:topLinePunct/>
        <w:adjustRightInd w:val="0"/>
        <w:snapToGri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19.3.6解密结束后，投标人在“山西政府采购平台”系统中对其报价进行确认，采购代理机构打印报价结果，未进行确认的，视同认可其报价。</w:t>
      </w:r>
    </w:p>
    <w:p w14:paraId="63423CE7">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19.3.7在投标文件解密截止时间，</w:t>
      </w:r>
      <w:r>
        <w:rPr>
          <w:rFonts w:hint="eastAsia" w:ascii="宋体" w:hAnsi="宋体" w:eastAsia="宋体" w:cs="宋体"/>
          <w:bCs/>
          <w:kern w:val="0"/>
          <w:sz w:val="24"/>
          <w:szCs w:val="24"/>
        </w:rPr>
        <w:t>完成投标文件解密的</w:t>
      </w:r>
      <w:r>
        <w:rPr>
          <w:rFonts w:hint="eastAsia" w:ascii="宋体" w:hAnsi="宋体" w:eastAsia="宋体" w:cs="宋体"/>
          <w:kern w:val="0"/>
          <w:sz w:val="24"/>
          <w:szCs w:val="24"/>
        </w:rPr>
        <w:t>投标人不足法定家数时，不得进行下一步评审程序。</w:t>
      </w:r>
    </w:p>
    <w:p w14:paraId="7F274C72">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19.3.8采购代理机构打印报价结果，随采购文件一并存档。</w:t>
      </w:r>
    </w:p>
    <w:p w14:paraId="21ACAC26">
      <w:pPr>
        <w:keepNext/>
        <w:wordWrap w:val="0"/>
        <w:topLinePunct/>
        <w:adjustRightInd w:val="0"/>
        <w:snapToGrid w:val="0"/>
        <w:spacing w:line="360" w:lineRule="auto"/>
        <w:ind w:firstLine="480" w:firstLineChars="200"/>
        <w:outlineLvl w:val="1"/>
        <w:rPr>
          <w:rFonts w:hint="eastAsia" w:ascii="宋体" w:hAnsi="宋体" w:eastAsia="宋体" w:cs="宋体"/>
          <w:b/>
          <w:color w:val="000000" w:themeColor="text1"/>
          <w:kern w:val="0"/>
          <w:sz w:val="24"/>
          <w:szCs w:val="24"/>
          <w14:textFill>
            <w14:solidFill>
              <w14:schemeClr w14:val="tx1"/>
            </w14:solidFill>
          </w14:textFill>
        </w:rPr>
      </w:pPr>
      <w:bookmarkStart w:id="20" w:name="_Toc12168"/>
      <w:bookmarkStart w:id="21" w:name="_Toc180571682"/>
      <w:r>
        <w:rPr>
          <w:rFonts w:hint="eastAsia" w:ascii="宋体" w:hAnsi="宋体" w:eastAsia="宋体" w:cs="宋体"/>
          <w:b/>
          <w:color w:val="000000" w:themeColor="text1"/>
          <w:kern w:val="0"/>
          <w:sz w:val="24"/>
          <w:szCs w:val="24"/>
          <w14:textFill>
            <w14:solidFill>
              <w14:schemeClr w14:val="tx1"/>
            </w14:solidFill>
          </w14:textFill>
        </w:rPr>
        <w:t>四、投标保证金</w:t>
      </w:r>
      <w:bookmarkEnd w:id="20"/>
      <w:bookmarkEnd w:id="21"/>
    </w:p>
    <w:p w14:paraId="7854F5A8">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bookmarkStart w:id="22" w:name="_Toc2122"/>
      <w:r>
        <w:rPr>
          <w:rFonts w:hint="eastAsia" w:ascii="宋体" w:hAnsi="宋体" w:eastAsia="宋体" w:cs="宋体"/>
          <w:color w:val="000000" w:themeColor="text1"/>
          <w:kern w:val="0"/>
          <w:sz w:val="24"/>
          <w:szCs w:val="24"/>
          <w14:textFill>
            <w14:solidFill>
              <w14:schemeClr w14:val="tx1"/>
            </w14:solidFill>
          </w14:textFill>
        </w:rPr>
        <w:t>20.1投标人应提交的投标保证金金额和提交方式详见前附表第5条（如有，如第5条未要求金额和提交方式的，则不需要提交投标保证金）。未按要求提交投标保证金的，投标无效。</w:t>
      </w:r>
    </w:p>
    <w:p w14:paraId="6E6135A6">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20.2投标人在投标文件解密时间内未完成投标文件解密的，采购代理机构应当自收到投标人书面申请之日起5个工作日内，退还已收取的投标保证金，但因投标人自身原因导致无法及时退还的除外。</w:t>
      </w:r>
    </w:p>
    <w:p w14:paraId="225418D1">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20.3采购代理机构应当自中标通知书发出之日起5个工作日内退还未中标投标人的投标保证金，自采购合同签订之日起5个工作日内退还中标人的投标保证金。但因投标人自身原因导致无法及时退还的除外。</w:t>
      </w:r>
    </w:p>
    <w:p w14:paraId="0F48D8FA">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20.4有下列情形之一的，投标保证金不予退还：</w:t>
      </w:r>
    </w:p>
    <w:p w14:paraId="78B8BA7F">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20.4.1投标人在投标文件中提供虚假材料，谋取成交的；</w:t>
      </w:r>
    </w:p>
    <w:p w14:paraId="61D78582">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20.4.2除因不可抗力或招标文件认可的情形外，中标人不与采购人签订合同的；</w:t>
      </w:r>
    </w:p>
    <w:p w14:paraId="2429B14F">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20.4.3投标人与采购人、其他投标人或者代理机构恶意串通的；</w:t>
      </w:r>
    </w:p>
    <w:p w14:paraId="6E83D872">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20.4.4投标有效期内撤回投标文件的；</w:t>
      </w:r>
    </w:p>
    <w:p w14:paraId="531388D2">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20.4.5在投标过程中，被发现有违反法律和纪律的行为的；</w:t>
      </w:r>
    </w:p>
    <w:p w14:paraId="2F74C06C">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20.4.6在投标过程中无正当理由，扰乱开评标现场秩序的等情形。</w:t>
      </w:r>
    </w:p>
    <w:p w14:paraId="2D06CACC">
      <w:pPr>
        <w:keepNext/>
        <w:wordWrap w:val="0"/>
        <w:topLinePunct/>
        <w:adjustRightInd w:val="0"/>
        <w:snapToGrid w:val="0"/>
        <w:spacing w:line="360" w:lineRule="auto"/>
        <w:ind w:firstLine="480" w:firstLineChars="200"/>
        <w:outlineLvl w:val="1"/>
        <w:rPr>
          <w:rFonts w:hint="eastAsia" w:ascii="宋体" w:hAnsi="宋体" w:eastAsia="宋体" w:cs="宋体"/>
          <w:b/>
          <w:color w:val="000000" w:themeColor="text1"/>
          <w:kern w:val="0"/>
          <w:sz w:val="24"/>
          <w:szCs w:val="24"/>
          <w14:textFill>
            <w14:solidFill>
              <w14:schemeClr w14:val="tx1"/>
            </w14:solidFill>
          </w14:textFill>
        </w:rPr>
      </w:pPr>
      <w:bookmarkStart w:id="23" w:name="_Toc180571683"/>
      <w:bookmarkStart w:id="24" w:name="_Toc23467"/>
      <w:r>
        <w:rPr>
          <w:rFonts w:hint="eastAsia" w:ascii="宋体" w:hAnsi="宋体" w:eastAsia="宋体" w:cs="宋体"/>
          <w:b/>
          <w:color w:val="000000" w:themeColor="text1"/>
          <w:kern w:val="0"/>
          <w:sz w:val="24"/>
          <w:szCs w:val="24"/>
          <w14:textFill>
            <w14:solidFill>
              <w14:schemeClr w14:val="tx1"/>
            </w14:solidFill>
          </w14:textFill>
        </w:rPr>
        <w:t>五、资格审查小组、评标委员会组成与职责</w:t>
      </w:r>
      <w:bookmarkEnd w:id="22"/>
      <w:bookmarkEnd w:id="23"/>
      <w:bookmarkEnd w:id="24"/>
    </w:p>
    <w:p w14:paraId="789ECC99">
      <w:pPr>
        <w:keepNext/>
        <w:tabs>
          <w:tab w:val="left" w:pos="567"/>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21.资格审查小组和评标委员会组成</w:t>
      </w:r>
    </w:p>
    <w:p w14:paraId="7F1BF746">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21.1资格审查小组组成</w:t>
      </w:r>
    </w:p>
    <w:p w14:paraId="6EEA35A2">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根据相关法律法规和本招标文件的规定，资格审查小组由采购人授权采购代理机构人员组成。</w:t>
      </w:r>
    </w:p>
    <w:p w14:paraId="2A1875C6">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21.2评标委员会组成</w:t>
      </w:r>
    </w:p>
    <w:p w14:paraId="076AF264">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21.2.1采购代理机构根据相关法律法规和本招标文件的规定，结合本招标项目的特点组建评标委员会，评标委员会由采购人代表和评审专家共五人以上单数组成，其中评审专家不得少于成员总数的三分之二。</w:t>
      </w:r>
    </w:p>
    <w:p w14:paraId="2CE1A86B">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21.2.2</w:t>
      </w:r>
      <w:r>
        <w:rPr>
          <w:rFonts w:hint="eastAsia" w:ascii="宋体" w:hAnsi="宋体" w:eastAsia="宋体" w:cs="宋体"/>
          <w:sz w:val="24"/>
          <w:szCs w:val="24"/>
        </w:rPr>
        <w:t>采购人代表不得以评审专家身份参加本部门或本单位采购项目的评审，</w:t>
      </w:r>
      <w:r>
        <w:rPr>
          <w:rFonts w:hint="eastAsia" w:ascii="宋体" w:hAnsi="宋体" w:eastAsia="宋体" w:cs="宋体"/>
          <w:kern w:val="0"/>
          <w:sz w:val="24"/>
          <w:szCs w:val="24"/>
        </w:rPr>
        <w:t>本条第21.5的情形</w:t>
      </w:r>
      <w:r>
        <w:rPr>
          <w:rFonts w:hint="eastAsia" w:ascii="宋体" w:hAnsi="宋体" w:eastAsia="宋体" w:cs="宋体"/>
          <w:sz w:val="24"/>
          <w:szCs w:val="24"/>
        </w:rPr>
        <w:t>除外。采购代理机构人员不得参加本机构代理的采购项目的评审。</w:t>
      </w:r>
    </w:p>
    <w:p w14:paraId="6806CC4A">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21.2.3评标委员会成员名单在评审结果公告前应当保密。</w:t>
      </w:r>
    </w:p>
    <w:p w14:paraId="67D80E4B">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21.2.4评审专家由采购代理机构从山西政府采购评审专家库中，通过随机抽取方式产生。</w:t>
      </w:r>
    </w:p>
    <w:p w14:paraId="66A94429">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21.2.5对技术复杂、专业性强的采购项目，通过随机方式难以确定合适评审专家的，</w:t>
      </w:r>
      <w:r>
        <w:rPr>
          <w:rFonts w:hint="eastAsia" w:ascii="宋体" w:hAnsi="宋体" w:eastAsia="宋体" w:cs="宋体"/>
          <w:bCs/>
          <w:kern w:val="0"/>
          <w:sz w:val="24"/>
          <w:szCs w:val="24"/>
        </w:rPr>
        <w:t>经主管预算单位同意，采购人可以自行选定相应专业领域的评审专家。</w:t>
      </w:r>
    </w:p>
    <w:p w14:paraId="06A8CED6">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21.2.6评审中因评审专家缺席、回避或者健康等特殊原因，导致评标委员会成员组成不符合相关规定的，代理机构应当补足后继续评审。被更换的评标委员会成员所做出的评审意见无效。</w:t>
      </w:r>
    </w:p>
    <w:p w14:paraId="15139779">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21.2.7无法及时补足评标委员会成员时，代理机构应当停止评审活动，封存所有投标文件及评审资料，重新组建评标委员会进行评审。原评标委员会所做出的评审意见无效。</w:t>
      </w:r>
    </w:p>
    <w:p w14:paraId="2BA6CB7C">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21.2.8采购代理机构应当将变更、重新组建评标委员会的情况予以记录，并随招标文件一并存档。</w:t>
      </w:r>
    </w:p>
    <w:p w14:paraId="38D9154F">
      <w:pPr>
        <w:keepNext/>
        <w:tabs>
          <w:tab w:val="left" w:pos="567"/>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22.</w:t>
      </w:r>
      <w:r>
        <w:rPr>
          <w:rFonts w:hint="eastAsia" w:ascii="宋体" w:hAnsi="宋体" w:eastAsia="宋体" w:cs="宋体"/>
          <w:b/>
          <w:color w:val="000000" w:themeColor="text1"/>
          <w:kern w:val="0"/>
          <w:sz w:val="24"/>
          <w:szCs w:val="24"/>
          <w14:textFill>
            <w14:solidFill>
              <w14:schemeClr w14:val="tx1"/>
            </w14:solidFill>
          </w14:textFill>
        </w:rPr>
        <w:t>资格审查小组、评标委员会职责</w:t>
      </w:r>
    </w:p>
    <w:p w14:paraId="7B13598D">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22.1资格审查小组职责</w:t>
      </w:r>
    </w:p>
    <w:p w14:paraId="305F7EF8">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资格审查小组按照本项目招标文件第四章“资格审查内容及标准”对投标人的资格证明文件的有效性、符合性进行审查。</w:t>
      </w:r>
    </w:p>
    <w:p w14:paraId="5A96B69A">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22.2评标委员会职责</w:t>
      </w:r>
    </w:p>
    <w:p w14:paraId="62E808DC">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22.2.1审查、评价投标文件是否符合招标文件的商务、技术等实质性要求；</w:t>
      </w:r>
    </w:p>
    <w:p w14:paraId="7AA8D4BB">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22.2.2要求投标人对投标文件有关事项作出澄清或者说明；</w:t>
      </w:r>
    </w:p>
    <w:p w14:paraId="39F610F5">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22.2.3对投标文件进行比较和评价；</w:t>
      </w:r>
    </w:p>
    <w:p w14:paraId="2FF546C5">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22.2.4确定中标候选人名单，以及根据采购人委托直接确定中标人；</w:t>
      </w:r>
    </w:p>
    <w:p w14:paraId="6FA8BD25">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22.2.5向采购人、采购代理机构或者有关部门报告评标中发现的违法行为。</w:t>
      </w:r>
    </w:p>
    <w:p w14:paraId="376D1C85">
      <w:pPr>
        <w:keepNext/>
        <w:wordWrap w:val="0"/>
        <w:topLinePunct/>
        <w:adjustRightInd w:val="0"/>
        <w:snapToGrid w:val="0"/>
        <w:spacing w:line="360" w:lineRule="auto"/>
        <w:ind w:firstLine="480" w:firstLineChars="200"/>
        <w:outlineLvl w:val="1"/>
        <w:rPr>
          <w:rFonts w:hint="eastAsia" w:ascii="宋体" w:hAnsi="宋体" w:eastAsia="宋体" w:cs="宋体"/>
          <w:b/>
          <w:color w:val="000000" w:themeColor="text1"/>
          <w:kern w:val="0"/>
          <w:sz w:val="24"/>
          <w:szCs w:val="24"/>
          <w14:textFill>
            <w14:solidFill>
              <w14:schemeClr w14:val="tx1"/>
            </w14:solidFill>
          </w14:textFill>
        </w:rPr>
      </w:pPr>
      <w:bookmarkStart w:id="25" w:name="_Toc180571684"/>
      <w:bookmarkStart w:id="26" w:name="_Toc27744"/>
      <w:r>
        <w:rPr>
          <w:rFonts w:hint="eastAsia" w:ascii="宋体" w:hAnsi="宋体" w:eastAsia="宋体" w:cs="宋体"/>
          <w:b/>
          <w:color w:val="000000" w:themeColor="text1"/>
          <w:kern w:val="0"/>
          <w:sz w:val="24"/>
          <w:szCs w:val="24"/>
          <w14:textFill>
            <w14:solidFill>
              <w14:schemeClr w14:val="tx1"/>
            </w14:solidFill>
          </w14:textFill>
        </w:rPr>
        <w:t>六、代理机构的职责</w:t>
      </w:r>
      <w:bookmarkEnd w:id="25"/>
      <w:bookmarkEnd w:id="26"/>
    </w:p>
    <w:p w14:paraId="6FEBD954">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23.采购代理机构负责组织评标工作，并履行下列职责：</w:t>
      </w:r>
    </w:p>
    <w:p w14:paraId="45FD6280">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23.1核对评审专家身份和采购人代表授权函，对评审专家在政府采购活动中的职责履行情况予以记录，并及时将有关违法违规行为向财政部门报告；</w:t>
      </w:r>
    </w:p>
    <w:p w14:paraId="24B8B36D">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23.2宣布评标纪律；</w:t>
      </w:r>
    </w:p>
    <w:p w14:paraId="5CC817CA">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23.3公布投标人名单，告知评审专家应当回避的情形；</w:t>
      </w:r>
    </w:p>
    <w:p w14:paraId="03458D42">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23.4组织评标委员会推选评标组长，采购人代表不得担任组长；</w:t>
      </w:r>
    </w:p>
    <w:p w14:paraId="1E48CD88">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23.5在评标期间采取必要的通讯管理措施，保证评标活动不受外界干扰；</w:t>
      </w:r>
    </w:p>
    <w:p w14:paraId="6A01A8DB">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23.6根据评标委员会的要求介绍政府采购相关政策法规、招标文件；</w:t>
      </w:r>
    </w:p>
    <w:p w14:paraId="5CB7D138">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23.7维护评标秩序，监督评标委员会依照招标文件规定的评标程序、方法和标准进行独立评审，及时制止和纠正采购人代表、评审专家的倾向性言论或者违法违规行为；</w:t>
      </w:r>
    </w:p>
    <w:p w14:paraId="12E22E42">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23.8核对评标结果，要求评标委员会复核或者书面说明理由，评标委员会拒绝的，应予记录并向本级财政部门报告；</w:t>
      </w:r>
    </w:p>
    <w:p w14:paraId="0A155673">
      <w:pPr>
        <w:keepNext/>
        <w:tabs>
          <w:tab w:val="left" w:pos="567"/>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23.9处理与评标有关的其他事项。</w:t>
      </w:r>
    </w:p>
    <w:p w14:paraId="6FA21D4A">
      <w:pPr>
        <w:keepNext/>
        <w:wordWrap w:val="0"/>
        <w:topLinePunct/>
        <w:adjustRightInd w:val="0"/>
        <w:snapToGrid w:val="0"/>
        <w:spacing w:line="360" w:lineRule="auto"/>
        <w:ind w:firstLine="480" w:firstLineChars="200"/>
        <w:outlineLvl w:val="1"/>
        <w:rPr>
          <w:rFonts w:hint="eastAsia" w:ascii="宋体" w:hAnsi="宋体" w:eastAsia="宋体" w:cs="宋体"/>
          <w:b/>
          <w:color w:val="000000" w:themeColor="text1"/>
          <w:kern w:val="0"/>
          <w:sz w:val="24"/>
          <w:szCs w:val="24"/>
          <w14:textFill>
            <w14:solidFill>
              <w14:schemeClr w14:val="tx1"/>
            </w14:solidFill>
          </w14:textFill>
        </w:rPr>
      </w:pPr>
      <w:bookmarkStart w:id="27" w:name="_Toc180571685"/>
      <w:bookmarkStart w:id="28" w:name="_Toc26770"/>
      <w:bookmarkStart w:id="29" w:name="_Toc30458"/>
      <w:bookmarkStart w:id="30" w:name="_Toc5453"/>
      <w:r>
        <w:rPr>
          <w:rFonts w:hint="eastAsia" w:ascii="宋体" w:hAnsi="宋体" w:eastAsia="宋体" w:cs="宋体"/>
          <w:b/>
          <w:color w:val="000000" w:themeColor="text1"/>
          <w:kern w:val="0"/>
          <w:sz w:val="24"/>
          <w:szCs w:val="24"/>
          <w14:textFill>
            <w14:solidFill>
              <w14:schemeClr w14:val="tx1"/>
            </w14:solidFill>
          </w14:textFill>
        </w:rPr>
        <w:t>七、评审和评定程序与要求</w:t>
      </w:r>
      <w:bookmarkEnd w:id="27"/>
      <w:bookmarkEnd w:id="28"/>
    </w:p>
    <w:bookmarkEnd w:id="29"/>
    <w:bookmarkEnd w:id="30"/>
    <w:p w14:paraId="394AA3D5">
      <w:pPr>
        <w:keepNext/>
        <w:tabs>
          <w:tab w:val="left" w:pos="0"/>
          <w:tab w:val="left" w:pos="276"/>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本项目为多包，资格审查小组和评标委员会应按包顺序按招标文件规定的评审、评定程序与要求进行。评审、评定过程中应当按照少数服从多数的原则做出结论。持不同意见的资格审查小组和评标委员会小组成员应当在资格证明文件评审报告和评标报告上签署不同意见及理由，否则视为同意。</w:t>
      </w:r>
    </w:p>
    <w:p w14:paraId="7F7BF745">
      <w:pPr>
        <w:keepNext/>
        <w:tabs>
          <w:tab w:val="left" w:pos="0"/>
          <w:tab w:val="left" w:pos="276"/>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24.资格证明文件的评审</w:t>
      </w:r>
    </w:p>
    <w:p w14:paraId="51CA0A8D">
      <w:pPr>
        <w:keepNext/>
        <w:tabs>
          <w:tab w:val="left" w:pos="0"/>
        </w:tabs>
        <w:wordWrap w:val="0"/>
        <w:topLinePunct/>
        <w:adjustRightInd w:val="0"/>
        <w:snapToGrid w:val="0"/>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24.1解密结束后，资格审查小组依法按照招标文件中规定的</w:t>
      </w:r>
      <w:r>
        <w:rPr>
          <w:rFonts w:hint="eastAsia" w:ascii="宋体" w:hAnsi="宋体" w:eastAsia="宋体" w:cs="宋体"/>
          <w:kern w:val="0"/>
          <w:sz w:val="24"/>
          <w:szCs w:val="24"/>
        </w:rPr>
        <w:t>“评审方法和评审标准”</w:t>
      </w:r>
      <w:r>
        <w:rPr>
          <w:rFonts w:hint="eastAsia" w:ascii="宋体" w:hAnsi="宋体" w:eastAsia="宋体" w:cs="宋体"/>
          <w:bCs/>
          <w:color w:val="000000" w:themeColor="text1"/>
          <w:kern w:val="0"/>
          <w:sz w:val="24"/>
          <w:szCs w:val="24"/>
          <w14:textFill>
            <w14:solidFill>
              <w14:schemeClr w14:val="tx1"/>
            </w14:solidFill>
          </w14:textFill>
        </w:rPr>
        <w:t>内容对投标人的资格证明文件的有效性、符合性进行审查，以确定各投标人是否是符合招标文件要求的合格投标人。合格投标人不足3家的，不得进入商务技术评审。</w:t>
      </w:r>
    </w:p>
    <w:p w14:paraId="4F03A00F">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24.2资格审查人员对投标文件的判定，只依据投标人的资格证明文件内容本身（需要进行网上查询核实的证明材料除外）。</w:t>
      </w:r>
    </w:p>
    <w:p w14:paraId="59203B4F">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24.3对</w:t>
      </w:r>
      <w:r>
        <w:rPr>
          <w:rFonts w:hint="eastAsia" w:ascii="宋体" w:hAnsi="宋体" w:eastAsia="宋体" w:cs="宋体"/>
          <w:kern w:val="0"/>
          <w:sz w:val="24"/>
          <w:szCs w:val="24"/>
        </w:rPr>
        <w:t>投标人须知前附表第5项</w:t>
      </w:r>
      <w:r>
        <w:rPr>
          <w:rFonts w:hint="eastAsia" w:ascii="宋体" w:hAnsi="宋体" w:eastAsia="宋体" w:cs="宋体"/>
          <w:color w:val="000000" w:themeColor="text1"/>
          <w:kern w:val="0"/>
          <w:sz w:val="24"/>
          <w:szCs w:val="24"/>
          <w14:textFill>
            <w14:solidFill>
              <w14:schemeClr w14:val="tx1"/>
            </w14:solidFill>
          </w14:textFill>
        </w:rPr>
        <w:t>中有资格证明文件不合格的或未对其要求做出明确响应的，</w:t>
      </w:r>
      <w:r>
        <w:rPr>
          <w:rFonts w:hint="eastAsia" w:ascii="宋体" w:hAnsi="宋体" w:eastAsia="宋体" w:cs="宋体"/>
          <w:b/>
          <w:color w:val="000000" w:themeColor="text1"/>
          <w:kern w:val="0"/>
          <w:sz w:val="24"/>
          <w:szCs w:val="24"/>
          <w14:textFill>
            <w14:solidFill>
              <w14:schemeClr w14:val="tx1"/>
            </w14:solidFill>
          </w14:textFill>
        </w:rPr>
        <w:t>将作无效投标处理。</w:t>
      </w:r>
    </w:p>
    <w:p w14:paraId="44903A10">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24.4为保证投标的公开、公正、公平，投标人资格证明文件若有缺失或不符，开标后不允许补正或修正，且投标无效。</w:t>
      </w:r>
    </w:p>
    <w:p w14:paraId="6C105505">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24.5对模糊不清的或存在疑问的资格证明文件，在不影响投标有效性的前提下，须经投标人进行澄清或说明。</w:t>
      </w:r>
    </w:p>
    <w:p w14:paraId="499A9F85">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24.6评审结束，审查结果意见不一致时，遵循少数服从多数的原则，确定各投标人是否具备投标资格。未实质上响应招标文件要求的投标文件按投标无效处理，资格审查小组应当告知有关投标人。</w:t>
      </w:r>
    </w:p>
    <w:p w14:paraId="4BE69126">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24.7资格审查小组对投标人的资格证明文件进行审查、编写资格证明文件评审报告，并签字确认，与采购文件一并存档。</w:t>
      </w:r>
    </w:p>
    <w:p w14:paraId="675B44DB">
      <w:pPr>
        <w:keepNext/>
        <w:tabs>
          <w:tab w:val="left" w:pos="567"/>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25.招标文件的评审</w:t>
      </w:r>
    </w:p>
    <w:p w14:paraId="336D6E89">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25.1在评审程序开始前，评标委员会成员首先对招标文件进行合法性、合规性、合理性审查。</w:t>
      </w:r>
    </w:p>
    <w:p w14:paraId="0836439B">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25.2经审查，如招标文件中存在下列情形导致评审工作无法进行，评标委员会应当向采购代理机构做出书面说明，停止本项目评审活动。采购代理机构应当修改招标文件后，重新开展采购活动。</w:t>
      </w:r>
    </w:p>
    <w:p w14:paraId="24CC4FE0">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A.存在违反或违背《中华人民共和国政府采购法》、《中华人民共和国政府采购法实施条例》、《政府采购货物和服务招标投标管理办法》等法律法规政策的条款；</w:t>
      </w:r>
    </w:p>
    <w:p w14:paraId="4D21118D">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B.存在不符合国家有关强制性规定或政府采购政策性要求的内容；</w:t>
      </w:r>
    </w:p>
    <w:p w14:paraId="08AB2B83">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C.商务技术要求存在歧视性条款；</w:t>
      </w:r>
    </w:p>
    <w:p w14:paraId="29B0F989">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D.评审因素存在倾向性、歧义；</w:t>
      </w:r>
    </w:p>
    <w:p w14:paraId="0561D869">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E.招标文件存在重大缺陷等其他影响公平、公正的内容。</w:t>
      </w:r>
    </w:p>
    <w:p w14:paraId="15B7ED3E">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25.3</w:t>
      </w:r>
      <w:r>
        <w:rPr>
          <w:rFonts w:hint="eastAsia" w:ascii="宋体" w:hAnsi="宋体" w:eastAsia="宋体" w:cs="宋体"/>
          <w:sz w:val="24"/>
          <w:szCs w:val="24"/>
        </w:rPr>
        <w:t>对招标文件审查无异议的，评标委员会成员应当按照客观、公正、审慎的原则，根据</w:t>
      </w:r>
      <w:r>
        <w:rPr>
          <w:rFonts w:hint="eastAsia" w:ascii="宋体" w:hAnsi="宋体" w:eastAsia="宋体" w:cs="宋体"/>
          <w:kern w:val="0"/>
          <w:sz w:val="24"/>
          <w:szCs w:val="24"/>
        </w:rPr>
        <w:t>招标文件中规定的“评审方法和评审标准”，</w:t>
      </w:r>
      <w:r>
        <w:rPr>
          <w:rFonts w:hint="eastAsia" w:ascii="宋体" w:hAnsi="宋体" w:eastAsia="宋体" w:cs="宋体"/>
          <w:sz w:val="24"/>
          <w:szCs w:val="24"/>
        </w:rPr>
        <w:t>对所有参加投标的投标人提供的投标文件</w:t>
      </w:r>
      <w:r>
        <w:rPr>
          <w:rFonts w:hint="eastAsia" w:ascii="宋体" w:hAnsi="宋体" w:eastAsia="宋体" w:cs="宋体"/>
          <w:b/>
          <w:bCs/>
          <w:kern w:val="0"/>
          <w:sz w:val="24"/>
          <w:szCs w:val="24"/>
        </w:rPr>
        <w:t>独立</w:t>
      </w:r>
      <w:r>
        <w:rPr>
          <w:rFonts w:hint="eastAsia" w:ascii="宋体" w:hAnsi="宋体" w:eastAsia="宋体" w:cs="宋体"/>
          <w:sz w:val="24"/>
          <w:szCs w:val="24"/>
        </w:rPr>
        <w:t>进行符合性审查。</w:t>
      </w:r>
    </w:p>
    <w:p w14:paraId="4C1526BC">
      <w:pPr>
        <w:keepNext/>
        <w:tabs>
          <w:tab w:val="left" w:pos="567"/>
        </w:tabs>
        <w:wordWrap w:val="0"/>
        <w:topLinePunct/>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b/>
          <w:kern w:val="0"/>
          <w:sz w:val="24"/>
          <w:szCs w:val="24"/>
        </w:rPr>
        <w:t>26.商务、技术的符合性审查</w:t>
      </w:r>
    </w:p>
    <w:p w14:paraId="627BD183">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26.1评标委员会对投标人商务技术文件的符合性审查，除项目要求需对投标文件中无法用文字表述的其他特殊要求（如需对样品或演示内容等）作为实质性审查内容外，只依据投标人在“山西政府采购平台”系统中提交的电子投标文件。</w:t>
      </w:r>
    </w:p>
    <w:p w14:paraId="432178EA">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26.2评标委员会应当各自对3家及以上资格性审查合格投标人的商务技术文件，依据招标文件中规定的“评审方法和评审标准”进行符合性审查，审查投标人商务、技术文件（含项目需要对样品或演示内容进行符合性审查的情形）是否对招标文件的商务、技术文件做出实质性响应，是否对政策性因素做出了实质性响应。</w:t>
      </w:r>
    </w:p>
    <w:p w14:paraId="7628792E">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26.3在审查过程中，评标委员会可以要求投标人对投标文件中含义不明确、同类问题表述不一致或者有明显文字和计算错误的内容等作出必要的澄清、说明或者更正。投标人的澄清、说明或者更正不得超过投标文件的范围或者改变投标文件的实质性内容。</w:t>
      </w:r>
    </w:p>
    <w:p w14:paraId="09BDC131">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26.4评标委员会要求投标人澄清、说明或者更正的内容应当在“山西政府采购平台”提出。投标人的澄清、说明或者更正应当加盖法定代表人或其授权代表电子签章或者投标人CA数字证书电子印章，并在“山西政府采购平台”进行回复。评标委员会成员根据回复内容，判断其是否实质上响应招标文件要求。</w:t>
      </w:r>
    </w:p>
    <w:p w14:paraId="4FA9226E">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26.5合格的商务技术文件：是指经评标委员会成员审查（含投标人对评标委员会要求其澄清、说明或者更正作出回复的内容）认定，对招标文件的商务技术条款、条件和要求作出了完整性、符合性响应，经评标委员会认定没有重大偏离或保留的商务技术文件。</w:t>
      </w:r>
    </w:p>
    <w:p w14:paraId="269AC78E">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26.6重大偏离系指商务、技术文件中的签署、盖章、商务技术响应内容与招标文件要求不一致或未对政策性要求作出实质性响应等明显不能满足招标文件要求，而且限制了采购人的权利或投标人的义务，纠正这些偏离将对其他实质上响应招标要求的投标人的竞争地位产生不公正的影响。包括但不限于：</w:t>
      </w:r>
    </w:p>
    <w:p w14:paraId="1AE65427">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A．未对“投标人须知前附表”第6项中带★号的商务技术要求及第五部分商务、技术要求中带★号主要商务技术指标作出实质性响应的；</w:t>
      </w:r>
    </w:p>
    <w:p w14:paraId="11370D2D">
      <w:pPr>
        <w:keepNext/>
        <w:tabs>
          <w:tab w:val="left" w:pos="737"/>
          <w:tab w:val="left" w:pos="120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B．未按招标文件的规定签署、盖章的；</w:t>
      </w:r>
    </w:p>
    <w:p w14:paraId="080122E2">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C．投标文件有效期不足的；</w:t>
      </w:r>
    </w:p>
    <w:p w14:paraId="2EA40009">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D．未按照招标文件规定报价的；报价超过招标文件中规定的最高限价的；</w:t>
      </w:r>
    </w:p>
    <w:p w14:paraId="64A21B21">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E．未对执行标准、合同履约期限、履约地点、</w:t>
      </w: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eastAsia="宋体" w:cs="宋体"/>
          <w:color w:val="000000" w:themeColor="text1"/>
          <w:kern w:val="0"/>
          <w:sz w:val="24"/>
          <w:szCs w:val="24"/>
          <w14:textFill>
            <w14:solidFill>
              <w14:schemeClr w14:val="tx1"/>
            </w14:solidFill>
          </w14:textFill>
        </w:rPr>
        <w:t>、履约保证金及验收标准等作出实质性响应的或技术指标超出采购人可接受的负偏差范围的；</w:t>
      </w:r>
    </w:p>
    <w:p w14:paraId="39F7B43B">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F．不符合招标文件中有关分包、转包规定的；</w:t>
      </w:r>
    </w:p>
    <w:p w14:paraId="6EC9FCD8">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G．投标文件附有采购人不能接受的条件的；</w:t>
      </w:r>
    </w:p>
    <w:p w14:paraId="55F5DA43">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H．未在规定时间内对评标委员会要求投标人澄清、说明或者更正的内容作出回复或回复内容未对要求澄清、说明或者更正的内容作出实质性响应的；</w:t>
      </w:r>
    </w:p>
    <w:p w14:paraId="53C3167A">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I.未对政策性因素中的强制性要求作出响应或未提供相关证明材料的；</w:t>
      </w:r>
    </w:p>
    <w:p w14:paraId="7E4233DD">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J.不符合招标文件中规定的其他实质性要求的。</w:t>
      </w:r>
    </w:p>
    <w:p w14:paraId="4CCC948E">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存在以上情形的商务、技术文件，视为投标无效。投标人不得再对投标文件进行任何澄清、说明或者更正，从而使其成为</w:t>
      </w:r>
      <w:r>
        <w:rPr>
          <w:rFonts w:hint="eastAsia" w:ascii="宋体" w:hAnsi="宋体" w:eastAsia="宋体" w:cs="宋体"/>
          <w:kern w:val="0"/>
          <w:sz w:val="24"/>
          <w:szCs w:val="24"/>
        </w:rPr>
        <w:t>合格的商务技术文件</w:t>
      </w:r>
      <w:r>
        <w:rPr>
          <w:rFonts w:hint="eastAsia" w:ascii="宋体" w:hAnsi="宋体" w:eastAsia="宋体" w:cs="宋体"/>
          <w:color w:val="000000" w:themeColor="text1"/>
          <w:kern w:val="0"/>
          <w:sz w:val="24"/>
          <w:szCs w:val="24"/>
          <w14:textFill>
            <w14:solidFill>
              <w14:schemeClr w14:val="tx1"/>
            </w14:solidFill>
          </w14:textFill>
        </w:rPr>
        <w:t>。</w:t>
      </w:r>
    </w:p>
    <w:p w14:paraId="5F6BDB62">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26.7重大偏离不允许在开标后修正。</w:t>
      </w:r>
    </w:p>
    <w:p w14:paraId="47CC2999">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26.8细微偏差：是指在实质上响应招标文件要求，但在个别地方存在漏项或者提供了不完整的技术信息和数据等情况，并且补正这些遗漏或者不完整不会对其他投标人造成不公平的结果。细微偏差不影响投标人商务、技术文件的有效性。</w:t>
      </w:r>
    </w:p>
    <w:p w14:paraId="7E64BB1A">
      <w:pPr>
        <w:keepNext/>
        <w:wordWrap w:val="0"/>
        <w:topLinePunct/>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b/>
          <w:color w:val="000000" w:themeColor="text1"/>
          <w:kern w:val="0"/>
          <w:sz w:val="24"/>
          <w:szCs w:val="24"/>
          <w14:textFill>
            <w14:solidFill>
              <w14:schemeClr w14:val="tx1"/>
            </w14:solidFill>
          </w14:textFill>
        </w:rPr>
        <w:t>27.对投标人的商</w:t>
      </w:r>
      <w:r>
        <w:rPr>
          <w:rFonts w:hint="eastAsia" w:ascii="宋体" w:hAnsi="宋体" w:eastAsia="宋体" w:cs="宋体"/>
          <w:b/>
          <w:kern w:val="0"/>
          <w:sz w:val="24"/>
          <w:szCs w:val="24"/>
        </w:rPr>
        <w:t>务技术文件进行比较和评价</w:t>
      </w:r>
    </w:p>
    <w:p w14:paraId="796AE38E">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27.1本项目采用综合评分法，</w:t>
      </w:r>
      <w:r>
        <w:rPr>
          <w:rFonts w:hint="eastAsia" w:ascii="宋体" w:hAnsi="宋体" w:eastAsia="宋体" w:cs="宋体"/>
          <w:sz w:val="24"/>
          <w:szCs w:val="24"/>
        </w:rPr>
        <w:t>对各包投标人商务技术文件符合性审查后，合格投标人数量符合法定数量的，</w:t>
      </w:r>
      <w:r>
        <w:rPr>
          <w:rFonts w:hint="eastAsia" w:ascii="宋体" w:hAnsi="宋体" w:eastAsia="宋体" w:cs="宋体"/>
          <w:kern w:val="0"/>
          <w:sz w:val="24"/>
          <w:szCs w:val="24"/>
        </w:rPr>
        <w:t>评标委员会应当按照招标文件中规定的“评审方法和评审标准”，对</w:t>
      </w:r>
      <w:r>
        <w:rPr>
          <w:rFonts w:hint="eastAsia" w:ascii="宋体" w:hAnsi="宋体" w:eastAsia="宋体" w:cs="宋体"/>
          <w:color w:val="000000" w:themeColor="text1"/>
          <w:kern w:val="0"/>
          <w:sz w:val="24"/>
          <w:szCs w:val="24"/>
          <w14:textFill>
            <w14:solidFill>
              <w14:schemeClr w14:val="tx1"/>
            </w14:solidFill>
          </w14:textFill>
        </w:rPr>
        <w:t>合格投标人的投标文件进行商务和技术评估，综合比较与评价。</w:t>
      </w:r>
    </w:p>
    <w:p w14:paraId="14A8BC65">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27.2评标委员会对投标文件的比较和评价，除项目需对投标文件中无法用文字表述须采用提交的样品或演示等内容进行比较和评判的特殊要求外，只依据投标人的商务技术文件内容本身，不依据任何外来证明。</w:t>
      </w:r>
    </w:p>
    <w:p w14:paraId="28502145">
      <w:pPr>
        <w:keepNext/>
        <w:wordWrap w:val="0"/>
        <w:topLinePunct/>
        <w:adjustRightInd w:val="0"/>
        <w:snapToGrid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28.报价评审</w:t>
      </w:r>
    </w:p>
    <w:p w14:paraId="25191ED9">
      <w:pPr>
        <w:keepNext/>
        <w:wordWrap w:val="0"/>
        <w:topLinePunct/>
        <w:adjustRightInd w:val="0"/>
        <w:snapToGrid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28.1根据本文件第四部分“评审方法和评审标准”对投标报价进行符合性审查。</w:t>
      </w:r>
    </w:p>
    <w:p w14:paraId="4FC128F2">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28.2投标报价出现前后不一致的，按照下列规定修正：</w:t>
      </w:r>
    </w:p>
    <w:p w14:paraId="404CBC02">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（一）投标文件中开标一览表（报价表）内容与投标文件中相应内容不一致的，以开标一览表（报价表）为准；</w:t>
      </w:r>
    </w:p>
    <w:p w14:paraId="5AD56860">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（二）大写金额和小写金额不一致的，以大写金额为准；</w:t>
      </w:r>
    </w:p>
    <w:p w14:paraId="481207F0">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（三）单价金额小数点或者百分比有明显错位的，以开标一览表的总价为准，并修改单价；</w:t>
      </w:r>
    </w:p>
    <w:p w14:paraId="76C74C97">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（四）总价金额与按单价汇总金额不一致的，以单价金额计算结果为准。</w:t>
      </w:r>
    </w:p>
    <w:p w14:paraId="56D224DB">
      <w:pPr>
        <w:keepNext/>
        <w:tabs>
          <w:tab w:val="left" w:pos="567"/>
        </w:tabs>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同时出现两种以上不一致的，按照前款规定的顺序修正。评标委员会并通过“山西政府采购平台”向投标人发出确认函，投标人应在规定时间内对其修正后的报价进行确认，确认函应当加盖法定代表人或其授权代表电子签章或者投标人CA数字证书电子印章，并在“山西政府采购平台”进行回复。修正后的报价经投标人确认后产生约束力，投标人不确认的，其投标无效。</w:t>
      </w:r>
    </w:p>
    <w:p w14:paraId="56DCC3E4">
      <w:pPr>
        <w:keepNext/>
        <w:wordWrap w:val="0"/>
        <w:topLinePunct/>
        <w:adjustRightInd w:val="0"/>
        <w:snapToGrid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28.3经审查，合格投标人数量符合法定投标人家数时，对符合政策性要求优惠的各投标人的投标报价，按照政策性因素价格扣除后，形成各投标人最终评标价格。</w:t>
      </w:r>
    </w:p>
    <w:p w14:paraId="6E53F5F7">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28.4采用最低评标价法评标时，除了算术修正和按照落实政府采购政策需进行的价格扣除外，不能对投标人的投标价格进行任何调整。</w:t>
      </w:r>
    </w:p>
    <w:p w14:paraId="260FF3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28.5报价存在下列情况之一者将视为投标无效：</w:t>
      </w:r>
    </w:p>
    <w:p w14:paraId="4CF974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（1）开标一览表中未按照招标文件要求签章的；</w:t>
      </w:r>
    </w:p>
    <w:p w14:paraId="1903F4F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（2）未按招标文件进行签署的；</w:t>
      </w:r>
    </w:p>
    <w:p w14:paraId="47DA26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（3）未按招标文件要求进行填报或报价表填报不完整，存在可空项、漏项、缺项的；</w:t>
      </w:r>
    </w:p>
    <w:p w14:paraId="170BF2A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4）评标委员会一致认为投标人的报价明显低于其他通过符合性审查投标人的报价，有可能影响产品质量或者不能诚信履约的，应当要求其在合理的时间内通过“山西政府采购平台”提供书面说明，必要时提交相关证明材料；投标人不能证明其报价合理性的，评标委员会应当将其作为无效投标处理。</w:t>
      </w:r>
    </w:p>
    <w:p w14:paraId="4069B9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经审查，合格投标人数量不符合法定投标人家数时，需依法重新组织招标活动。</w:t>
      </w:r>
    </w:p>
    <w:p w14:paraId="32FF52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29.评审价格的确定</w:t>
      </w:r>
    </w:p>
    <w:p w14:paraId="0807062A">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29.1政策性因素价格扣除</w:t>
      </w:r>
    </w:p>
    <w:p w14:paraId="108426F8">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评标委员会成员应当对经主管预算单位统筹后未预留份额专门面向中小企业采购的采购项目，以及预留份额项目中的非预留部分采购包，按照《关于印发&lt;政府采购促进中小企业发展管理办法&gt;的通知》(财库〔2022〕19号）规定，</w:t>
      </w:r>
      <w:r>
        <w:rPr>
          <w:rFonts w:hint="eastAsia" w:ascii="宋体" w:hAnsi="宋体" w:eastAsia="宋体" w:cs="宋体"/>
          <w:kern w:val="0"/>
          <w:sz w:val="24"/>
          <w:szCs w:val="24"/>
        </w:rPr>
        <w:t>对符合下列政府采购政策性要求的各投标人的投标报价，按照相应扣除比例进行价格扣除，形成各投标人最终评审价格。</w:t>
      </w:r>
    </w:p>
    <w:p w14:paraId="38D7A3ED">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（1）中小微企业参加本项目：</w:t>
      </w:r>
    </w:p>
    <w:p w14:paraId="43B89EE7">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按财政部、工业和信息化部发布的《关于印发&lt;政府采购促进中小企业发展管理办法&gt;的通知》（财库〔2020〕46号）提供了《中小企业声明函》，按照《财政部关于进一步加大政府采购支持中小企业力度的通知》(财库〔2022〕19号）给予小微企业报价15%的扣除，用扣除后的价格参加评审。</w:t>
      </w:r>
    </w:p>
    <w:p w14:paraId="1CB4DBA9">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（2）残疾人福利单位参加本项目：</w:t>
      </w:r>
    </w:p>
    <w:p w14:paraId="615BB0C5">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在政府采购活动中，残疾人福利性单位视同小型、微型企业，投标人按《三部门联合发布关于促进残疾人就业政府采购政策的通知》（财库[2017]141号）提供了《</w:t>
      </w:r>
      <w:bookmarkStart w:id="31" w:name="OLE_LINK14"/>
      <w:bookmarkStart w:id="32" w:name="OLE_LINK13"/>
      <w:r>
        <w:rPr>
          <w:rFonts w:hint="eastAsia" w:ascii="宋体" w:hAnsi="宋体" w:eastAsia="宋体" w:cs="宋体"/>
          <w:sz w:val="24"/>
          <w:szCs w:val="24"/>
        </w:rPr>
        <w:t>残疾人福利性单位声明函</w:t>
      </w:r>
      <w:bookmarkEnd w:id="31"/>
      <w:bookmarkEnd w:id="32"/>
      <w:r>
        <w:rPr>
          <w:rFonts w:hint="eastAsia" w:ascii="宋体" w:hAnsi="宋体" w:eastAsia="宋体" w:cs="宋体"/>
          <w:sz w:val="24"/>
          <w:szCs w:val="24"/>
        </w:rPr>
        <w:t>》，给予报价15%的扣除，用扣除后的价格参加评审。</w:t>
      </w:r>
    </w:p>
    <w:p w14:paraId="15994F42">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（3）监狱企业参加本项目：</w:t>
      </w:r>
    </w:p>
    <w:p w14:paraId="35825AB6">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政府采购活动中，监狱企业视同小型、微型企业，依据《财政部司法部关于政府采购支持监狱企业发展有关问题的通知》(财库〔2014〕68号)规定提供了由省级以上监狱管理局、戒毒管理局（含新疆生产建设兵团）出具的属于监狱企业的证明文件和《监狱企业声明函》。报价给予15%的扣除，用扣除后的价格参加评审。</w:t>
      </w:r>
    </w:p>
    <w:p w14:paraId="64DED9BF">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（4）联合体参加本项目：</w:t>
      </w:r>
    </w:p>
    <w:p w14:paraId="5454683A">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本项目为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5%的扣除，用扣除后的价格参加评审。</w:t>
      </w:r>
    </w:p>
    <w:p w14:paraId="452F4BDE">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（5）创新产品参加的项目</w:t>
      </w:r>
    </w:p>
    <w:p w14:paraId="427E5279">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报价产品符合《政府采购支持创新产品和服务实施细则》（晋财购【2019】19号）规定，属于《山西省创新产品和服务推荐清单》内产品，除对其报价给予6%的扣除外，还要对满足上述政策性要求的报价叠加扣除，用扣除后的价格参加评审。</w:t>
      </w:r>
    </w:p>
    <w:p w14:paraId="032EC919">
      <w:pPr>
        <w:pStyle w:val="27"/>
        <w:keepNext/>
        <w:widowControl w:val="0"/>
        <w:wordWrap w:val="0"/>
        <w:topLinePunct/>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29.2对专门面向中小企业的采购项目，除创新产品参加的项目按28.1第5款进行价格扣除，用扣除后的价格参加评审外，其他各投标人报价即为评审价格。</w:t>
      </w:r>
    </w:p>
    <w:p w14:paraId="34E56F18">
      <w:pPr>
        <w:pStyle w:val="27"/>
        <w:keepNext/>
        <w:widowControl w:val="0"/>
        <w:wordWrap w:val="0"/>
        <w:topLinePunct/>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29.3环保节能产品参加的项目：</w:t>
      </w:r>
    </w:p>
    <w:p w14:paraId="60E3A93C">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（1）投报节能产品政府采购品目清单中强制性采购产品以外的其它节能产品，且提供所投产品获得国家确定的认证机构出具的、处于有效期之内的节能产品认证证书的，将给予适当加分。</w:t>
      </w:r>
    </w:p>
    <w:p w14:paraId="18E05883">
      <w:pPr>
        <w:keepNext/>
        <w:wordWrap w:val="0"/>
        <w:topLinePunct/>
        <w:adjustRightInd w:val="0"/>
        <w:snapToGrid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（2）投报环境标志产品政府采购品目清单中的产品，且提供所投产品获得国家确定的认证机构出具的、处于有效期之内的环境标志产品认证证书的，将给予适当加分。</w:t>
      </w:r>
    </w:p>
    <w:p w14:paraId="71B05AC6">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30.评审复核</w:t>
      </w:r>
    </w:p>
    <w:p w14:paraId="15975F2F">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30.1评标结果汇总完成后，除下列情形外，任何人不得修改评标结果：</w:t>
      </w:r>
    </w:p>
    <w:p w14:paraId="6B2B4E49">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（一）分值汇总计算错误的；</w:t>
      </w:r>
    </w:p>
    <w:p w14:paraId="776739E8">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（二）分项评分超出评分标准范围的；</w:t>
      </w:r>
    </w:p>
    <w:p w14:paraId="4E256EFE">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（三）评标委员会成员对客观评审因素评分不一致的；</w:t>
      </w:r>
    </w:p>
    <w:p w14:paraId="0D1FEDE7">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（四）经评标委员会认定评分畸高、畸低的。</w:t>
      </w:r>
    </w:p>
    <w:p w14:paraId="1CF6726A">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30.2评标报告签署前，经复核发现存在以上情形之一的，评标委员会应当当场修改评标结果，并在评标报告中记载；评标报告签署后，采购代理机构发现存在以上情形之一的，应当组织原评标委员会进行重新评审，重新评审改变评标结果的，书面报告本级财政部门。</w:t>
      </w:r>
    </w:p>
    <w:p w14:paraId="35900887">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30.3投标人对本条第一款情形提出质疑的，采购代理机构可以组织原评标委员会进行重新评审，重新评审改变评标结果的，应当书面报告本级财政部门。</w:t>
      </w:r>
    </w:p>
    <w:p w14:paraId="71A3E979">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31.推荐中标候选人</w:t>
      </w:r>
    </w:p>
    <w:p w14:paraId="3840BD45">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w:t>
      </w:r>
      <w:r>
        <w:rPr>
          <w:rFonts w:hint="eastAsia" w:ascii="宋体" w:hAnsi="宋体" w:eastAsia="宋体" w:cs="宋体"/>
          <w:color w:val="000000" w:themeColor="text1"/>
          <w:sz w:val="24"/>
          <w:szCs w:val="24"/>
          <w14:textFill>
            <w14:solidFill>
              <w14:schemeClr w14:val="tx1"/>
            </w14:solidFill>
          </w14:textFill>
        </w:rPr>
        <w:t>推荐中标候选人顺序须</w:t>
      </w:r>
      <w:r>
        <w:rPr>
          <w:rFonts w:hint="eastAsia" w:ascii="宋体" w:hAnsi="宋体" w:eastAsia="宋体" w:cs="宋体"/>
          <w:color w:val="000000" w:themeColor="text1"/>
          <w:kern w:val="0"/>
          <w:sz w:val="24"/>
          <w:szCs w:val="24"/>
          <w14:textFill>
            <w14:solidFill>
              <w14:schemeClr w14:val="tx1"/>
            </w14:solidFill>
          </w14:textFill>
        </w:rPr>
        <w:t>遵循下列原则：</w:t>
      </w:r>
    </w:p>
    <w:p w14:paraId="26A9D2B7">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31.1.1采用综合评分法的，遵循下列原则：</w:t>
      </w:r>
    </w:p>
    <w:p w14:paraId="5C05775E">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31.1.1.1按评审后投标人的综合得分由高到低顺序排列。</w:t>
      </w:r>
    </w:p>
    <w:p w14:paraId="58C13686">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31.1.1.2综合得分相同的，按投标报价由低到高顺序排列。</w:t>
      </w:r>
    </w:p>
    <w:p w14:paraId="0755A9AB">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31.1.1.3综合得分且投标报价相同的按照技术、服务等因素得分较高顺序排列。</w:t>
      </w:r>
    </w:p>
    <w:p w14:paraId="7C5AC9AD">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31.1.1.4对于提供相同品牌产品的投标人，在推荐中标候选人时需遵循以下原则：</w:t>
      </w:r>
    </w:p>
    <w:p w14:paraId="41F7F9C5">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对于单一产品采购项目，投标人提供相同品牌产品且通过符合性审查的不同投标人参加同一合同项下投标的，按一家投标人计算投标人数量。评审后得分最高的同品牌投标人获得中标候选人推荐资格；评审得分相同的，由评标委员会组长当众采取随机抽取方式确定一个投标人获得中标候选人推荐资格，</w:t>
      </w:r>
      <w:r>
        <w:rPr>
          <w:rFonts w:hint="eastAsia" w:ascii="宋体" w:hAnsi="宋体" w:eastAsia="宋体" w:cs="宋体"/>
          <w:color w:val="000000" w:themeColor="text1"/>
          <w:sz w:val="24"/>
          <w:szCs w:val="24"/>
          <w:shd w:val="clear" w:color="auto" w:fill="FFFFFF"/>
          <w14:textFill>
            <w14:solidFill>
              <w14:schemeClr w14:val="tx1"/>
            </w14:solidFill>
          </w14:textFill>
        </w:rPr>
        <w:t>其他同品牌投标人不作为中标候选人。</w:t>
      </w:r>
    </w:p>
    <w:p w14:paraId="6135C139">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kern w:val="0"/>
          <w:sz w:val="24"/>
          <w:szCs w:val="24"/>
        </w:rPr>
        <w:t>对于非单一产品采购项目，</w:t>
      </w:r>
      <w:r>
        <w:rPr>
          <w:rFonts w:hint="eastAsia" w:ascii="宋体" w:hAnsi="宋体" w:eastAsia="宋体" w:cs="宋体"/>
          <w:b/>
          <w:bCs/>
          <w:kern w:val="0"/>
          <w:sz w:val="24"/>
          <w:szCs w:val="24"/>
        </w:rPr>
        <w:t>多家投标人提供的在招标文件中由采购人依据技术构成、产品价格比重等合理确定的核心产品（采购标的前标有“*”或“核心产品”字样）</w:t>
      </w:r>
      <w:r>
        <w:rPr>
          <w:rFonts w:hint="eastAsia" w:ascii="宋体" w:hAnsi="宋体" w:eastAsia="宋体" w:cs="宋体"/>
          <w:kern w:val="0"/>
          <w:sz w:val="24"/>
          <w:szCs w:val="24"/>
        </w:rPr>
        <w:t>为相同品牌的，按</w:t>
      </w:r>
      <w:r>
        <w:rPr>
          <w:rFonts w:hint="eastAsia" w:ascii="宋体" w:hAnsi="宋体" w:eastAsia="宋体" w:cs="宋体"/>
          <w:color w:val="000000" w:themeColor="text1"/>
          <w:kern w:val="0"/>
          <w:sz w:val="24"/>
          <w:szCs w:val="24"/>
          <w14:textFill>
            <w14:solidFill>
              <w14:schemeClr w14:val="tx1"/>
            </w14:solidFill>
          </w14:textFill>
        </w:rPr>
        <w:t>33.1.1.4（1）条</w:t>
      </w:r>
      <w:r>
        <w:rPr>
          <w:rFonts w:hint="eastAsia" w:ascii="宋体" w:hAnsi="宋体" w:eastAsia="宋体" w:cs="宋体"/>
          <w:kern w:val="0"/>
          <w:sz w:val="24"/>
          <w:szCs w:val="24"/>
        </w:rPr>
        <w:t>规定确定</w:t>
      </w:r>
      <w:r>
        <w:rPr>
          <w:rFonts w:hint="eastAsia" w:ascii="宋体" w:hAnsi="宋体" w:eastAsia="宋体" w:cs="宋体"/>
          <w:bCs/>
          <w:kern w:val="0"/>
          <w:sz w:val="24"/>
          <w:szCs w:val="24"/>
        </w:rPr>
        <w:t>获得中标候选人推荐资格的投标人</w:t>
      </w:r>
      <w:r>
        <w:rPr>
          <w:rFonts w:hint="eastAsia" w:ascii="宋体" w:hAnsi="宋体" w:eastAsia="宋体" w:cs="宋体"/>
          <w:kern w:val="0"/>
          <w:sz w:val="24"/>
          <w:szCs w:val="24"/>
        </w:rPr>
        <w:t>。</w:t>
      </w:r>
    </w:p>
    <w:p w14:paraId="66428C8F">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31.1.1.5评标委员会应当根据综合得分情况，按照综合得分由高到低的顺序推荐3名中标候选人。</w:t>
      </w:r>
    </w:p>
    <w:p w14:paraId="22173686">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31.1.1.6评审得分最高的投标人为第一的中标候选人。</w:t>
      </w:r>
    </w:p>
    <w:p w14:paraId="6F936DB8">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31.1.2采用最低评标价法的，遵循下列原则：</w:t>
      </w:r>
    </w:p>
    <w:p w14:paraId="05E53125">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31.1.2.1按评审后按投标报价由低到高顺序排列。</w:t>
      </w:r>
    </w:p>
    <w:p w14:paraId="449B1150">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31.1.2.2投标报价相同的并列。投标文件满足招标文件全部实质性要求且投标报价最低的投标人为排名第一的中标候选人。</w:t>
      </w:r>
    </w:p>
    <w:p w14:paraId="0BF3FEBC">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31.1.2.3对于提供相同品牌产品的投标人，在推荐中标候选人时需遵循以下原则：</w:t>
      </w:r>
    </w:p>
    <w:p w14:paraId="2A802F84">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对于单一产品采购项目，投标人提供相同品牌产品且通过符合性审查的不同投标人参加同一合同项下投标的，按一家投标人计算投标人数量。评审后报价最低的同品牌投标人获得中标候选人推荐资格；报价相同的，由评标委员会主任当众采取随机抽取方式确定一个投标人获得中标候选人推荐资格，其他同品牌投标人的投标无效。</w:t>
      </w:r>
    </w:p>
    <w:p w14:paraId="12AB9DCB">
      <w:pPr>
        <w:keepNext/>
        <w:tabs>
          <w:tab w:val="left" w:pos="0"/>
        </w:tabs>
        <w:wordWrap w:val="0"/>
        <w:topLinePunct/>
        <w:adjustRightInd w:val="0"/>
        <w:snapToGrid w:val="0"/>
        <w:spacing w:line="360" w:lineRule="auto"/>
        <w:ind w:firstLine="480"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kern w:val="0"/>
          <w:sz w:val="24"/>
          <w:szCs w:val="24"/>
        </w:rPr>
        <w:t>对于非单一产品采购项目，</w:t>
      </w:r>
      <w:r>
        <w:rPr>
          <w:rFonts w:hint="eastAsia" w:ascii="宋体" w:hAnsi="宋体" w:eastAsia="宋体" w:cs="宋体"/>
          <w:b/>
          <w:bCs/>
          <w:kern w:val="0"/>
          <w:sz w:val="24"/>
          <w:szCs w:val="24"/>
        </w:rPr>
        <w:t>多家投标人提供的在招标文件中由采购人依据技术构成、产品价格比重等合理确定的核心产品（采购标的前标有“*”或“核心产品”字样）</w:t>
      </w:r>
      <w:r>
        <w:rPr>
          <w:rFonts w:hint="eastAsia" w:ascii="宋体" w:hAnsi="宋体" w:eastAsia="宋体" w:cs="宋体"/>
          <w:kern w:val="0"/>
          <w:sz w:val="24"/>
          <w:szCs w:val="24"/>
        </w:rPr>
        <w:t>为相同品牌的，按</w:t>
      </w:r>
      <w:r>
        <w:rPr>
          <w:rFonts w:hint="eastAsia" w:ascii="宋体" w:hAnsi="宋体" w:eastAsia="宋体" w:cs="宋体"/>
          <w:color w:val="000000" w:themeColor="text1"/>
          <w:kern w:val="0"/>
          <w:sz w:val="24"/>
          <w:szCs w:val="24"/>
          <w14:textFill>
            <w14:solidFill>
              <w14:schemeClr w14:val="tx1"/>
            </w14:solidFill>
          </w14:textFill>
        </w:rPr>
        <w:t>31.1.2.3（1）</w:t>
      </w:r>
      <w:r>
        <w:rPr>
          <w:rFonts w:hint="eastAsia" w:ascii="宋体" w:hAnsi="宋体" w:eastAsia="宋体" w:cs="宋体"/>
          <w:kern w:val="0"/>
          <w:sz w:val="24"/>
          <w:szCs w:val="24"/>
        </w:rPr>
        <w:t>规定确定</w:t>
      </w:r>
      <w:r>
        <w:rPr>
          <w:rFonts w:hint="eastAsia" w:ascii="宋体" w:hAnsi="宋体" w:eastAsia="宋体" w:cs="宋体"/>
          <w:bCs/>
          <w:kern w:val="0"/>
          <w:sz w:val="24"/>
          <w:szCs w:val="24"/>
        </w:rPr>
        <w:t>获得中标候选人推荐资格的投标人</w:t>
      </w:r>
      <w:r>
        <w:rPr>
          <w:rFonts w:hint="eastAsia" w:ascii="宋体" w:hAnsi="宋体" w:eastAsia="宋体" w:cs="宋体"/>
          <w:kern w:val="0"/>
          <w:sz w:val="24"/>
          <w:szCs w:val="24"/>
        </w:rPr>
        <w:t>。</w:t>
      </w:r>
    </w:p>
    <w:p w14:paraId="5CD1291F">
      <w:pPr>
        <w:keepNext/>
        <w:tabs>
          <w:tab w:val="left" w:pos="0"/>
        </w:tabs>
        <w:wordWrap w:val="0"/>
        <w:topLinePunct/>
        <w:adjustRightInd w:val="0"/>
        <w:snapToGrid w:val="0"/>
        <w:spacing w:line="360" w:lineRule="auto"/>
        <w:ind w:firstLine="480"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32.确定中标人</w:t>
      </w:r>
    </w:p>
    <w:p w14:paraId="5F2362D3">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本次招标，授权评标委员会按照中标候选人排序，优先直接确定排名第一的投标人为中标人。</w:t>
      </w:r>
    </w:p>
    <w:p w14:paraId="6B932D50">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33.编写评标报告</w:t>
      </w:r>
    </w:p>
    <w:p w14:paraId="083E4F26">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33.1评标委员会根据全体成员签字的原始评标记录和评标结果编写商务技术文件评标报告。评标报告应当包括以下内容：</w:t>
      </w:r>
    </w:p>
    <w:p w14:paraId="596F2CA9">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（一）招标公告刊登的媒体名称、开标日期和地点；</w:t>
      </w:r>
    </w:p>
    <w:p w14:paraId="191130A7">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w:t>
      </w:r>
      <w:r>
        <w:rPr>
          <w:rFonts w:hint="eastAsia" w:ascii="宋体" w:hAnsi="宋体" w:eastAsia="宋体" w:cs="宋体"/>
          <w:bCs/>
          <w:color w:val="000000" w:themeColor="text1"/>
          <w:kern w:val="0"/>
          <w:sz w:val="24"/>
          <w:szCs w:val="24"/>
          <w14:textFill>
            <w14:solidFill>
              <w14:schemeClr w14:val="tx1"/>
            </w14:solidFill>
          </w14:textFill>
        </w:rPr>
        <w:t>投标人名单</w:t>
      </w:r>
      <w:r>
        <w:rPr>
          <w:rFonts w:hint="eastAsia" w:ascii="宋体" w:hAnsi="宋体" w:eastAsia="宋体" w:cs="宋体"/>
          <w:color w:val="000000" w:themeColor="text1"/>
          <w:kern w:val="0"/>
          <w:sz w:val="24"/>
          <w:szCs w:val="24"/>
          <w14:textFill>
            <w14:solidFill>
              <w14:schemeClr w14:val="tx1"/>
            </w14:solidFill>
          </w14:textFill>
        </w:rPr>
        <w:t>和评标委员会成员名单；</w:t>
      </w:r>
    </w:p>
    <w:p w14:paraId="438447AA">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（三）评审方法和评审标准；</w:t>
      </w:r>
    </w:p>
    <w:p w14:paraId="44BE2C29">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（四）开标记录和评标情况及说明，包括无效投标人名单及原因；</w:t>
      </w:r>
    </w:p>
    <w:p w14:paraId="4EB0EDD8">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（五）评标结果，</w:t>
      </w:r>
      <w:r>
        <w:rPr>
          <w:rFonts w:hint="eastAsia" w:ascii="宋体" w:hAnsi="宋体" w:eastAsia="宋体" w:cs="宋体"/>
          <w:bCs/>
          <w:color w:val="000000" w:themeColor="text1"/>
          <w:kern w:val="0"/>
          <w:sz w:val="24"/>
          <w:szCs w:val="24"/>
          <w14:textFill>
            <w14:solidFill>
              <w14:schemeClr w14:val="tx1"/>
            </w14:solidFill>
          </w14:textFill>
        </w:rPr>
        <w:t>确定的中标候选人名单、评标委员会直接确定的中标人；</w:t>
      </w:r>
    </w:p>
    <w:p w14:paraId="74A16636">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（六）其他需要说明的情况，包括评标过程中投标人根据评标委员会要求进行的澄清、说明或者补正，评标委员会成员的更换等。 </w:t>
      </w:r>
    </w:p>
    <w:p w14:paraId="6EDB1149">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33.2评标报告应当由全体评标成员共同签字认可。评标委员会成员对需要共同认定的事项存在争议的，应当按照少数服从多数的原则作出结论。持不同意见的评标委员会成员应当在评标报告上签署不同意见及理由，否则视为同意评标报告。</w:t>
      </w:r>
    </w:p>
    <w:p w14:paraId="65331E78">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34.评标过程保密</w:t>
      </w:r>
    </w:p>
    <w:p w14:paraId="7524D2A8">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34.1在评审期间，任何人不得透露与评审有关的其他投标人的投标内容及响应方案和其他信息。</w:t>
      </w:r>
    </w:p>
    <w:p w14:paraId="20B27AE8">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34.2采购人、采购代理机构应当采取必要措施，保证评审在严格保密的情况下进行。除评审现场工作人员、采购人代表外，采购人的其他工作人员以及与评审工作无关的人员不得进入评审现场。</w:t>
      </w:r>
    </w:p>
    <w:p w14:paraId="7A21E421">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34.3评审开始，直到授予中标人合同止，凡是属于审查、澄清、评价和比较评审的有关资料等，均不得向参与投标的投标人或其他与评审无关的人员透露。</w:t>
      </w:r>
    </w:p>
    <w:p w14:paraId="0139BBA1">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34.4评审结束，进入评审现场的工作人员及评标委员会成员不得将评审、评定有关的任何资料带出评审现场。</w:t>
      </w:r>
    </w:p>
    <w:p w14:paraId="1EDFC9DC">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35.关于投标人非实质性响应滞后发现的处理规则</w:t>
      </w:r>
    </w:p>
    <w:p w14:paraId="0A4FC382">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无论基于何种原因，各项本应作拒绝或无效投标处理的情形，即便未被及时发现而使该投标人进入后续程序的，包括已经签约的情形。一旦被发现，采购代理机构均有权采取相应的补救及纠正措施。</w:t>
      </w:r>
    </w:p>
    <w:p w14:paraId="310C1540">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36.无效投标与无效评标</w:t>
      </w:r>
    </w:p>
    <w:p w14:paraId="3798113A">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36.1有下列情形之一的，视为投标人串通投标，其投标无效：</w:t>
      </w:r>
    </w:p>
    <w:p w14:paraId="5FD9BF83">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（一）不同投标人的投标文件由同一单位或者个人编制；</w:t>
      </w:r>
    </w:p>
    <w:p w14:paraId="3F94FA3A">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（二）不同投标人委托同一单位或者个人办理投标事宜；</w:t>
      </w:r>
    </w:p>
    <w:p w14:paraId="515063A7">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（三）不同投标人的投标文件载明的项目管理成员或者联系人员为同一人；</w:t>
      </w:r>
    </w:p>
    <w:p w14:paraId="140BDCAE">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（四）不同投标人的投标文件异常一致或者投标报价呈规律性差异；</w:t>
      </w:r>
    </w:p>
    <w:p w14:paraId="261DBEFA">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（五）不同投标人的投标文件相互混装；</w:t>
      </w:r>
    </w:p>
    <w:p w14:paraId="5E344666">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36.2评标委员会或者其成员存在下列情形导致评标结果无效的，采购人、采购代理机构可以重新组建评标委员会进行评标，并书面报告本级财政部门，但采购合同已经履行的除外：</w:t>
      </w:r>
    </w:p>
    <w:p w14:paraId="167D9F22">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（一）评标委员会组成不符合《政府采购货物和服务招标投标管理办法》规定的；</w:t>
      </w:r>
    </w:p>
    <w:p w14:paraId="6C4E9A4A">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（二）有《政府采购货物和服务招标投标管理办法》第六十二条第一至五项情形的；</w:t>
      </w:r>
    </w:p>
    <w:p w14:paraId="1E81F8E7">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（三）评标委员会及其成员独立评标受到非法干预的；</w:t>
      </w:r>
    </w:p>
    <w:p w14:paraId="7B367EAC">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（四）有《中华人民共和国政府采购法实施条例》第七十五条规定的违法行为的。</w:t>
      </w:r>
    </w:p>
    <w:p w14:paraId="74A674A2">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有违法违规行为的原评标委员会成员不得参加重新组建的评标委员会。</w:t>
      </w:r>
    </w:p>
    <w:p w14:paraId="30D55746">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37.采购项目终止与处理</w:t>
      </w:r>
    </w:p>
    <w:p w14:paraId="0381EBFB">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37.1采购人、采购代理机构在发布招标公告、资格预审公告或者发出招标公告后，除因重大变故采购任务取消情况外，不得擅自终止招标活动。</w:t>
      </w:r>
    </w:p>
    <w:p w14:paraId="2A469D9A">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终止招标的，采购代理机构应当及时在原公告发布媒体上发布终止公告，系统中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7218F73B">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37.2公开招标数额标准以上的采购项目（如分包按包计），投标截止后投标人不足3家或者通过资格审查或符合性审查的投标人不足3家的，除采购任务取消情形外，按照以下方式处理：</w:t>
      </w:r>
    </w:p>
    <w:p w14:paraId="42D18DEA">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（一）招标文件存在不合理条款或者招标程序不符合规定的，采购人、采购代理机构改正后依法重新招标；</w:t>
      </w:r>
    </w:p>
    <w:p w14:paraId="7C3E3108">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（二）招标文件没有不合理条款、招标程序符合规定，需要采用其他采购方式采购的，采购人应当依法报财政部门批准。</w:t>
      </w:r>
    </w:p>
    <w:p w14:paraId="78EBF6BD">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采购项目（按包计）终止后，评标委员会应做出报告；采购代理机构应当将废标原因通知所有投标人，并依法重新组织采购活动。</w:t>
      </w:r>
    </w:p>
    <w:p w14:paraId="0F65B42A">
      <w:pPr>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37.3评标委员会发现招标文件存在歧义、重大缺陷导致评标工作无法进行，或者招标文件内容违反国家有关强制性规定的，应当停止评标工作，与采购代理机构沟通并作书面记录。采购代理机构确认后，应当修改招标文件，重新组织采购活动。</w:t>
      </w:r>
    </w:p>
    <w:p w14:paraId="4BBD5A57">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38.中标结果公告与中标通知</w:t>
      </w:r>
    </w:p>
    <w:p w14:paraId="3A3FA674">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38.1采购代理机构应当自中标人确定之日起2个工作日内，在</w:t>
      </w:r>
      <w:r>
        <w:rPr>
          <w:rFonts w:hint="eastAsia" w:ascii="宋体" w:hAnsi="宋体" w:eastAsia="宋体" w:cs="宋体"/>
          <w:b/>
          <w:bCs/>
          <w:color w:val="000000" w:themeColor="text1"/>
          <w:kern w:val="0"/>
          <w:sz w:val="24"/>
          <w:szCs w:val="24"/>
          <w:u w:val="single"/>
          <w14:textFill>
            <w14:solidFill>
              <w14:schemeClr w14:val="tx1"/>
            </w14:solidFill>
          </w14:textFill>
        </w:rPr>
        <w:t>中国政府采购网山西分网</w:t>
      </w:r>
      <w:r>
        <w:rPr>
          <w:rFonts w:hint="eastAsia" w:ascii="宋体" w:hAnsi="宋体" w:eastAsia="宋体" w:cs="宋体"/>
          <w:color w:val="000000" w:themeColor="text1"/>
          <w:kern w:val="0"/>
          <w:sz w:val="24"/>
          <w:szCs w:val="24"/>
          <w14:textFill>
            <w14:solidFill>
              <w14:schemeClr w14:val="tx1"/>
            </w14:solidFill>
          </w14:textFill>
        </w:rPr>
        <w:t>上公告中标结果，</w:t>
      </w:r>
      <w:r>
        <w:rPr>
          <w:rFonts w:hint="eastAsia" w:ascii="宋体" w:hAnsi="宋体" w:eastAsia="宋体" w:cs="宋体"/>
          <w:kern w:val="0"/>
          <w:sz w:val="24"/>
          <w:szCs w:val="24"/>
        </w:rPr>
        <w:t>同时通过“山西政府采购平台”向中标人发出电子中标通知书，并将本项目招标文件、中标人提供的《中小企业声明函》或《残疾人企业声明函》或《监狱企业声明函》与</w:t>
      </w:r>
      <w:r>
        <w:rPr>
          <w:rFonts w:hint="eastAsia" w:ascii="宋体" w:hAnsi="宋体" w:eastAsia="宋体" w:cs="宋体"/>
          <w:b/>
          <w:sz w:val="24"/>
          <w:szCs w:val="24"/>
        </w:rPr>
        <w:t>由省级以上监狱管理局、戒毒管理局（含新疆生产建设兵团）出具的属于监狱企业的证明文件</w:t>
      </w:r>
      <w:r>
        <w:rPr>
          <w:rFonts w:hint="eastAsia" w:ascii="宋体" w:hAnsi="宋体" w:eastAsia="宋体" w:cs="宋体"/>
          <w:kern w:val="0"/>
          <w:sz w:val="24"/>
          <w:szCs w:val="24"/>
        </w:rPr>
        <w:t>随结果公告同时发布。中标结果公告应当包括：</w:t>
      </w:r>
    </w:p>
    <w:p w14:paraId="36E18ABB">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（一）项目名称和项目编号；</w:t>
      </w:r>
    </w:p>
    <w:p w14:paraId="0593F291">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（二）中标人名称、地址和中金额；</w:t>
      </w:r>
    </w:p>
    <w:p w14:paraId="17CD54DC">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（三）主要中标标的信息：包含标的名称、规格、型号、数量、品牌、中标单价等；</w:t>
      </w:r>
    </w:p>
    <w:p w14:paraId="3B3D2788">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（四）评标委员会成员名单；</w:t>
      </w:r>
    </w:p>
    <w:p w14:paraId="34225B4F">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（五）采购代理服务费收费标准及金额；</w:t>
      </w:r>
    </w:p>
    <w:p w14:paraId="2515A371">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（六）公告期限；</w:t>
      </w:r>
    </w:p>
    <w:p w14:paraId="4A2BF34D">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（七）采购人和采购代理机构的名称、地址和联系方式；</w:t>
      </w:r>
    </w:p>
    <w:p w14:paraId="1321B53B">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（八）其他需要公示的内容。</w:t>
      </w:r>
    </w:p>
    <w:p w14:paraId="0F324D43">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38.2除以上公示信息外，采购代理机构对未中标的投标人不做未中标原因的解释。</w:t>
      </w:r>
    </w:p>
    <w:p w14:paraId="17CAB8FE">
      <w:pPr>
        <w:keepNext/>
        <w:wordWrap w:val="0"/>
        <w:topLinePunct/>
        <w:adjustRightInd w:val="0"/>
        <w:snapToGrid w:val="0"/>
        <w:spacing w:line="360" w:lineRule="auto"/>
        <w:ind w:firstLine="475" w:firstLineChars="198"/>
        <w:rPr>
          <w:rFonts w:hint="eastAsia" w:ascii="宋体" w:hAnsi="宋体" w:eastAsia="宋体" w:cs="宋体"/>
          <w:kern w:val="0"/>
          <w:sz w:val="24"/>
          <w:szCs w:val="24"/>
        </w:rPr>
      </w:pPr>
      <w:r>
        <w:rPr>
          <w:rFonts w:hint="eastAsia" w:ascii="宋体" w:hAnsi="宋体" w:eastAsia="宋体" w:cs="宋体"/>
          <w:kern w:val="0"/>
          <w:sz w:val="24"/>
          <w:szCs w:val="24"/>
        </w:rPr>
        <w:t>38.3中标通知书对采购人和中标人具有同等法律效力，是合同的组成部分。</w:t>
      </w:r>
    </w:p>
    <w:p w14:paraId="57279DD9">
      <w:pPr>
        <w:keepNext/>
        <w:tabs>
          <w:tab w:val="left" w:pos="0"/>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38.4除不可抗力等因素外，中标通知书发出后，采购人改变中标结果或者中标人拒绝签订合同的，应当承担相应的法律责任。</w:t>
      </w:r>
    </w:p>
    <w:p w14:paraId="25DF62CD">
      <w:pPr>
        <w:keepNext/>
        <w:tabs>
          <w:tab w:val="left" w:pos="0"/>
        </w:tabs>
        <w:wordWrap w:val="0"/>
        <w:topLinePunct/>
        <w:adjustRightInd w:val="0"/>
        <w:snapToGrid w:val="0"/>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39.中标服务费</w:t>
      </w:r>
    </w:p>
    <w:p w14:paraId="05DE2B91">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39.1 收费标准</w:t>
      </w:r>
    </w:p>
    <w:p w14:paraId="373A0C07">
      <w:pPr>
        <w:pStyle w:val="45"/>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napToGrid w:val="0"/>
          <w:kern w:val="0"/>
          <w:sz w:val="24"/>
        </w:rPr>
        <w:t>采购代理机构以委托项目的</w:t>
      </w:r>
      <w:r>
        <w:rPr>
          <w:rFonts w:hint="eastAsia" w:ascii="宋体" w:hAnsi="宋体" w:eastAsia="宋体" w:cs="宋体"/>
          <w:snapToGrid w:val="0"/>
          <w:kern w:val="0"/>
          <w:sz w:val="24"/>
          <w:lang w:val="en-US" w:eastAsia="zh-CN"/>
        </w:rPr>
        <w:t>中标</w:t>
      </w:r>
      <w:r>
        <w:rPr>
          <w:rFonts w:hint="eastAsia" w:ascii="宋体" w:hAnsi="宋体" w:eastAsia="宋体" w:cs="宋体"/>
          <w:snapToGrid w:val="0"/>
          <w:kern w:val="0"/>
          <w:sz w:val="24"/>
        </w:rPr>
        <w:t>金额为计费依据，参照《</w:t>
      </w:r>
      <w:r>
        <w:rPr>
          <w:rFonts w:hint="eastAsia" w:ascii="宋体" w:hAnsi="宋体" w:eastAsia="宋体" w:cs="宋体"/>
          <w:snapToGrid w:val="0"/>
          <w:kern w:val="0"/>
          <w:sz w:val="24"/>
          <w:lang w:val="en-US" w:eastAsia="zh-CN"/>
        </w:rPr>
        <w:t>招标</w:t>
      </w:r>
      <w:r>
        <w:rPr>
          <w:rFonts w:hint="eastAsia" w:ascii="宋体" w:hAnsi="宋体" w:eastAsia="宋体" w:cs="宋体"/>
          <w:snapToGrid w:val="0"/>
          <w:kern w:val="0"/>
          <w:sz w:val="24"/>
        </w:rPr>
        <w:t>代理服务收费管理暂行办法》（计价格[2002]1980号）</w:t>
      </w:r>
      <w:r>
        <w:rPr>
          <w:rFonts w:hint="eastAsia" w:ascii="宋体" w:hAnsi="宋体" w:eastAsia="宋体" w:cs="宋体"/>
          <w:snapToGrid w:val="0"/>
          <w:kern w:val="0"/>
          <w:sz w:val="24"/>
          <w:lang w:val="en-US" w:eastAsia="zh-CN"/>
        </w:rPr>
        <w:t>及国家发改办价格[2003]857号</w:t>
      </w:r>
      <w:r>
        <w:rPr>
          <w:rFonts w:hint="eastAsia" w:ascii="宋体" w:hAnsi="宋体" w:eastAsia="宋体" w:cs="宋体"/>
          <w:snapToGrid w:val="0"/>
          <w:kern w:val="0"/>
          <w:sz w:val="24"/>
        </w:rPr>
        <w:t>文件的规定，向</w:t>
      </w:r>
      <w:r>
        <w:rPr>
          <w:rFonts w:hint="eastAsia" w:ascii="宋体" w:hAnsi="宋体" w:eastAsia="宋体" w:cs="宋体"/>
          <w:snapToGrid w:val="0"/>
          <w:kern w:val="0"/>
          <w:sz w:val="24"/>
          <w:lang w:val="en-US" w:eastAsia="zh-CN"/>
        </w:rPr>
        <w:t>中标</w:t>
      </w:r>
      <w:r>
        <w:rPr>
          <w:rFonts w:hint="eastAsia" w:ascii="宋体" w:hAnsi="宋体" w:eastAsia="宋体" w:cs="宋体"/>
          <w:snapToGrid w:val="0"/>
          <w:kern w:val="0"/>
          <w:sz w:val="24"/>
        </w:rPr>
        <w:t>人收取</w:t>
      </w:r>
      <w:r>
        <w:rPr>
          <w:rFonts w:hint="eastAsia" w:ascii="宋体" w:hAnsi="宋体" w:eastAsia="宋体" w:cs="宋体"/>
          <w:snapToGrid w:val="0"/>
          <w:kern w:val="0"/>
          <w:sz w:val="24"/>
          <w:lang w:val="en-US" w:eastAsia="zh-CN"/>
        </w:rPr>
        <w:t>中标服务费</w:t>
      </w:r>
      <w:r>
        <w:rPr>
          <w:rFonts w:hint="eastAsia" w:ascii="宋体" w:hAnsi="宋体" w:eastAsia="宋体" w:cs="宋体"/>
          <w:snapToGrid w:val="0"/>
          <w:kern w:val="0"/>
          <w:sz w:val="24"/>
          <w:lang w:eastAsia="zh-CN"/>
        </w:rPr>
        <w:t>。</w:t>
      </w:r>
    </w:p>
    <w:p w14:paraId="48EC44C8">
      <w:pPr>
        <w:pStyle w:val="45"/>
        <w:keepNext/>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39.2 </w:t>
      </w:r>
      <w:r>
        <w:rPr>
          <w:rFonts w:hint="eastAsia" w:ascii="宋体" w:hAnsi="宋体" w:eastAsia="宋体" w:cs="宋体"/>
          <w:kern w:val="0"/>
          <w:sz w:val="24"/>
          <w:szCs w:val="24"/>
        </w:rPr>
        <w:t>中标人在收到中标通知书时，应向采购代理机构一次性付清中标服务费。</w:t>
      </w:r>
    </w:p>
    <w:p w14:paraId="2054CD76">
      <w:pPr>
        <w:keepNext/>
        <w:wordWrap w:val="0"/>
        <w:topLinePunct/>
        <w:adjustRightInd w:val="0"/>
        <w:snapToGrid w:val="0"/>
        <w:spacing w:line="360" w:lineRule="auto"/>
        <w:ind w:firstLine="480" w:firstLineChars="200"/>
        <w:outlineLvl w:val="1"/>
        <w:rPr>
          <w:rFonts w:hint="eastAsia" w:ascii="宋体" w:hAnsi="宋体" w:eastAsia="宋体" w:cs="宋体"/>
          <w:b/>
          <w:color w:val="000000" w:themeColor="text1"/>
          <w:kern w:val="0"/>
          <w:sz w:val="24"/>
          <w:szCs w:val="24"/>
          <w14:textFill>
            <w14:solidFill>
              <w14:schemeClr w14:val="tx1"/>
            </w14:solidFill>
          </w14:textFill>
        </w:rPr>
      </w:pPr>
      <w:bookmarkStart w:id="33" w:name="_Toc24569"/>
      <w:bookmarkStart w:id="34" w:name="_Toc180571686"/>
      <w:bookmarkStart w:id="35" w:name="_Toc12453"/>
      <w:r>
        <w:rPr>
          <w:rFonts w:hint="eastAsia" w:ascii="宋体" w:hAnsi="宋体" w:eastAsia="宋体" w:cs="宋体"/>
          <w:b/>
          <w:color w:val="000000" w:themeColor="text1"/>
          <w:kern w:val="0"/>
          <w:sz w:val="24"/>
          <w:szCs w:val="24"/>
          <w14:textFill>
            <w14:solidFill>
              <w14:schemeClr w14:val="tx1"/>
            </w14:solidFill>
          </w14:textFill>
        </w:rPr>
        <w:t>八、签订合同</w:t>
      </w:r>
      <w:bookmarkEnd w:id="33"/>
      <w:bookmarkEnd w:id="34"/>
      <w:bookmarkEnd w:id="35"/>
    </w:p>
    <w:p w14:paraId="705AE7A2">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42.签订合同</w:t>
      </w:r>
    </w:p>
    <w:p w14:paraId="6A75126F">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40.1</w:t>
      </w:r>
      <w:r>
        <w:rPr>
          <w:rFonts w:hint="eastAsia" w:ascii="宋体" w:hAnsi="宋体" w:eastAsia="宋体" w:cs="宋体"/>
          <w:kern w:val="0"/>
          <w:sz w:val="24"/>
          <w:szCs w:val="24"/>
        </w:rPr>
        <w:t>采购人与中标人应当在中标通知书发出后</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0日内签订政府采购合同，</w:t>
      </w:r>
      <w:r>
        <w:rPr>
          <w:rFonts w:hint="eastAsia" w:ascii="宋体" w:hAnsi="宋体" w:eastAsia="宋体" w:cs="宋体"/>
          <w:color w:val="000000" w:themeColor="text1"/>
          <w:kern w:val="0"/>
          <w:sz w:val="24"/>
          <w:szCs w:val="24"/>
          <w14:textFill>
            <w14:solidFill>
              <w14:schemeClr w14:val="tx1"/>
            </w14:solidFill>
          </w14:textFill>
        </w:rPr>
        <w:t>按照招标文件和中标人投标文件的规定及评标过程中的有关澄清、说明或者补正文件的内容，与中标人签订政府采购合同。所签订的合同不得对招标文件确定的事项和中标人的投标文件作实质性修改。</w:t>
      </w:r>
    </w:p>
    <w:p w14:paraId="28510B69">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40.2采购人不得向中标人提出任何不合理的要求作为签订合同的条件。</w:t>
      </w:r>
    </w:p>
    <w:p w14:paraId="482F81E0">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40.3在合同履行中，采购人如需追加与合同标的相同的货物，在不改变合同其他条款的前提下，采购人可与中标人协商签订补充合同，但所有补充合同的采购金额不得超过原合同金额的百分之十。 </w:t>
      </w:r>
    </w:p>
    <w:p w14:paraId="61965A32">
      <w:pPr>
        <w:pStyle w:val="46"/>
        <w:keepNext/>
        <w:wordWrap w:val="0"/>
        <w:topLinePunct/>
        <w:adjustRightInd w:val="0"/>
        <w:snapToGrid w:val="0"/>
        <w:spacing w:line="360" w:lineRule="auto"/>
        <w:ind w:firstLine="480" w:firstLineChars="20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40.4投标人根据招标文件的规定和采购项目的实际情况，拟在中标后将中标项目的非主体、非关键性工作分包的，应当在投标文件中载明分包承担主体，分包承担主体应当具备相应资质条件且不得再次分包。</w:t>
      </w:r>
    </w:p>
    <w:p w14:paraId="600F189D">
      <w:pPr>
        <w:pStyle w:val="46"/>
        <w:keepNext/>
        <w:wordWrap w:val="0"/>
        <w:topLinePunct/>
        <w:adjustRightInd w:val="0"/>
        <w:snapToGrid w:val="0"/>
        <w:spacing w:line="360" w:lineRule="auto"/>
        <w:ind w:firstLine="480" w:firstLineChars="20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40.5中标人一旦中标，未经采购人事先给予书面同意不得转包、分包，亦不得将合同全部及任何权利、义务向第三方转让，除符合《政府采购促进中小企业发展暂行办法》相关规定外，其他情形将被视为严重违约。或采购人有权决定按照中标人中标后毁标、终止或解除合同等依约处理。 </w:t>
      </w:r>
    </w:p>
    <w:p w14:paraId="3E3020D1">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40.6采购人与中标人应当根据合同的约定依法履行合同义务。</w:t>
      </w:r>
    </w:p>
    <w:p w14:paraId="5767CD56">
      <w:pPr>
        <w:keepNext/>
        <w:tabs>
          <w:tab w:val="left" w:pos="567"/>
        </w:tabs>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40.7中标人应当自合同或补充合同签订之日起五个工作日内，将合同报采购代理机构存档，采购人自合同签订之日起2个工作日内在</w:t>
      </w:r>
      <w:r>
        <w:rPr>
          <w:rFonts w:hint="eastAsia" w:ascii="宋体" w:hAnsi="宋体" w:eastAsia="宋体" w:cs="宋体"/>
          <w:b/>
          <w:color w:val="000000" w:themeColor="text1"/>
          <w:kern w:val="0"/>
          <w:sz w:val="24"/>
          <w:szCs w:val="24"/>
          <w:u w:val="single"/>
          <w14:textFill>
            <w14:solidFill>
              <w14:schemeClr w14:val="tx1"/>
            </w14:solidFill>
          </w14:textFill>
        </w:rPr>
        <w:t>中国政府采购网山西分网</w:t>
      </w:r>
      <w:r>
        <w:rPr>
          <w:rFonts w:hint="eastAsia" w:ascii="宋体" w:hAnsi="宋体" w:eastAsia="宋体" w:cs="宋体"/>
          <w:color w:val="000000" w:themeColor="text1"/>
          <w:kern w:val="0"/>
          <w:sz w:val="24"/>
          <w:szCs w:val="24"/>
          <w14:textFill>
            <w14:solidFill>
              <w14:schemeClr w14:val="tx1"/>
            </w14:solidFill>
          </w14:textFill>
        </w:rPr>
        <w:t>进行公示。</w:t>
      </w:r>
    </w:p>
    <w:p w14:paraId="443D4D29">
      <w:pPr>
        <w:keepNext/>
        <w:wordWrap w:val="0"/>
        <w:topLinePunct/>
        <w:adjustRightInd w:val="0"/>
        <w:snapToGrid w:val="0"/>
        <w:spacing w:line="360" w:lineRule="auto"/>
        <w:ind w:firstLine="480" w:firstLineChars="200"/>
        <w:outlineLvl w:val="1"/>
        <w:rPr>
          <w:rFonts w:hint="eastAsia" w:ascii="宋体" w:hAnsi="宋体" w:eastAsia="宋体" w:cs="宋体"/>
          <w:b/>
          <w:color w:val="000000" w:themeColor="text1"/>
          <w:kern w:val="0"/>
          <w:sz w:val="24"/>
          <w:szCs w:val="24"/>
          <w14:textFill>
            <w14:solidFill>
              <w14:schemeClr w14:val="tx1"/>
            </w14:solidFill>
          </w14:textFill>
        </w:rPr>
      </w:pPr>
      <w:bookmarkStart w:id="36" w:name="_Toc180571687"/>
      <w:bookmarkStart w:id="37" w:name="_Toc4348"/>
      <w:bookmarkStart w:id="38" w:name="_Toc1122"/>
      <w:r>
        <w:rPr>
          <w:rFonts w:hint="eastAsia" w:ascii="宋体" w:hAnsi="宋体" w:eastAsia="宋体" w:cs="宋体"/>
          <w:b/>
          <w:color w:val="000000" w:themeColor="text1"/>
          <w:kern w:val="0"/>
          <w:sz w:val="24"/>
          <w:szCs w:val="24"/>
          <w14:textFill>
            <w14:solidFill>
              <w14:schemeClr w14:val="tx1"/>
            </w14:solidFill>
          </w14:textFill>
        </w:rPr>
        <w:t>九、保密和披露</w:t>
      </w:r>
      <w:bookmarkEnd w:id="36"/>
      <w:bookmarkEnd w:id="37"/>
      <w:bookmarkEnd w:id="38"/>
    </w:p>
    <w:p w14:paraId="7EC5ED77">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41.1采购人、采购代理机构自发布招标公告之日至发布结果公告前，对获悉的参加本项目的投标人名称、数量以及评标委员会成员等所有信息等负有保密义务。</w:t>
      </w:r>
    </w:p>
    <w:p w14:paraId="0A33EAB1">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41.2投标人对投标过程中获得的任何信息承担保密义务，不得向第三方外传。</w:t>
      </w:r>
    </w:p>
    <w:p w14:paraId="04BF308B">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
          <w:bCs/>
          <w:kern w:val="0"/>
          <w:sz w:val="24"/>
          <w:szCs w:val="24"/>
        </w:rPr>
        <w:t>41.3参加评审的相关人员，对评审情况以及在评审过程中获悉的国家秘密、商业秘密负有保密责任。</w:t>
      </w:r>
    </w:p>
    <w:p w14:paraId="35B5E65D">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41.4采购人、采购代理机构在国家机关调查、审查、审计、处理投诉等事宜以及其他符合规定的情形时，无须事先征求投标人同意可向有关部门披露关于本项目（包）评审过程的资料与有关信息。</w:t>
      </w:r>
    </w:p>
    <w:p w14:paraId="1E535B86">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41.5采购人、采购代理机构对任何已经公布过的内容或与之内容相同的资料，无须再承担保密责任。</w:t>
      </w:r>
    </w:p>
    <w:p w14:paraId="7EEAE012">
      <w:pPr>
        <w:keepNext/>
        <w:wordWrap w:val="0"/>
        <w:topLinePunct/>
        <w:adjustRightInd w:val="0"/>
        <w:snapToGrid w:val="0"/>
        <w:spacing w:line="360" w:lineRule="auto"/>
        <w:ind w:firstLine="480" w:firstLineChars="200"/>
        <w:outlineLvl w:val="1"/>
        <w:rPr>
          <w:rFonts w:hint="eastAsia" w:ascii="宋体" w:hAnsi="宋体" w:eastAsia="宋体" w:cs="宋体"/>
          <w:b/>
          <w:kern w:val="0"/>
          <w:sz w:val="24"/>
          <w:szCs w:val="24"/>
        </w:rPr>
      </w:pPr>
      <w:bookmarkStart w:id="39" w:name="_Toc16953"/>
      <w:bookmarkStart w:id="40" w:name="_Toc180571688"/>
      <w:bookmarkStart w:id="41" w:name="_Toc26297"/>
      <w:r>
        <w:rPr>
          <w:rFonts w:hint="eastAsia" w:ascii="宋体" w:hAnsi="宋体" w:eastAsia="宋体" w:cs="宋体"/>
          <w:b/>
          <w:kern w:val="0"/>
          <w:sz w:val="24"/>
          <w:szCs w:val="24"/>
        </w:rPr>
        <w:t>十、询问和质疑</w:t>
      </w:r>
      <w:bookmarkEnd w:id="39"/>
      <w:bookmarkEnd w:id="40"/>
      <w:bookmarkEnd w:id="41"/>
    </w:p>
    <w:p w14:paraId="13A2FBD1">
      <w:pPr>
        <w:keepNext/>
        <w:wordWrap w:val="0"/>
        <w:topLinePunct/>
        <w:adjustRightInd w:val="0"/>
        <w:snapToGrid w:val="0"/>
        <w:spacing w:line="360" w:lineRule="auto"/>
        <w:ind w:firstLine="480" w:firstLineChars="200"/>
        <w:rPr>
          <w:rFonts w:hint="eastAsia" w:ascii="宋体" w:hAnsi="宋体" w:eastAsia="宋体" w:cs="宋体"/>
          <w:sz w:val="24"/>
          <w:szCs w:val="24"/>
        </w:rPr>
      </w:pPr>
      <w:bookmarkStart w:id="42" w:name="_Toc15302"/>
      <w:r>
        <w:rPr>
          <w:rFonts w:hint="eastAsia" w:ascii="宋体" w:hAnsi="宋体" w:eastAsia="宋体" w:cs="宋体"/>
          <w:sz w:val="24"/>
          <w:szCs w:val="24"/>
        </w:rPr>
        <w:t>42.评审程序受本文件及相关法律法规的约束，并受到上级主管部门严格的监督，为确保授予合同过程的公平公正，投标人有权就本招标项目事宜按以下要求提出询问或质疑。</w:t>
      </w:r>
    </w:p>
    <w:p w14:paraId="6EA33C57">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42.1投标人对本招标文件、评审活动事项有疑问的，应通过“山西政府采购平台”中的“项目质疑管理”程序在线向采购人或采购代理机构提出询问或质疑。</w:t>
      </w:r>
    </w:p>
    <w:p w14:paraId="074ED763">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42.2投标人在质疑期内，应当一次性提出针对同一评审程序环节的质疑；</w:t>
      </w:r>
    </w:p>
    <w:p w14:paraId="76A99527">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42.3投标人认为本招标文件、评审过程、中标结果使自己的合法权益受到损害的，可以在知道或者应知其权益受到损害之日起7个工作日内提出；</w:t>
      </w:r>
    </w:p>
    <w:p w14:paraId="62CBEF1A">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42.4提出质疑的投标人应当是参与本项目投标活动的投标人；</w:t>
      </w:r>
    </w:p>
    <w:p w14:paraId="44A0B50D">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潜在投标人已依法获取其可质疑的招标文件的，可以对该文件提出质疑。对招标文件提出质疑的，应当在获取招标文件或者招标公告期限届满之日起7个工作日内提出；</w:t>
      </w:r>
    </w:p>
    <w:p w14:paraId="644E902F">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42.5提出质疑的投标人为自然人的，应当加盖本人电子签章；为法人或者其他组织的，应当加盖法定代表人、主要负责人或者参加本项目的授权代表或授权委托代理人的电子签章，并加盖CA数字证书电子印章；</w:t>
      </w:r>
    </w:p>
    <w:p w14:paraId="34FE3A75">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42.6投标人提出质疑应当提交质疑函和必要的证明材料。质疑函应当包括以下主要内容：</w:t>
      </w:r>
    </w:p>
    <w:p w14:paraId="18157D1D">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42.6.1投标人的姓名或者名称、地址、邮编、联系人及联系电话；</w:t>
      </w:r>
    </w:p>
    <w:p w14:paraId="0B6D7683">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42.6.2质疑项目名称、编号、包号；</w:t>
      </w:r>
    </w:p>
    <w:p w14:paraId="0168432E">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42.6.3具体、明确的质疑事项和与质疑事项相关的请求；</w:t>
      </w:r>
    </w:p>
    <w:p w14:paraId="17E5E90C">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42.6.4事实依据；</w:t>
      </w:r>
    </w:p>
    <w:p w14:paraId="6A2A20B7">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42.6.5必要的法律依据；</w:t>
      </w:r>
    </w:p>
    <w:p w14:paraId="6D35EA07">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42.6.6提出质疑的日期。</w:t>
      </w:r>
    </w:p>
    <w:p w14:paraId="485FF319">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42.7投标人在线提起质疑应如实填写“项目质疑管理”程序“质疑列表”中有关质疑事项的全部内容，并按系统要求的文件格式上传必要的证明材料扫描件或图片；在线质疑由投标人委托代理人提起的，还需上传授权委托书及被委托人身份证明，授权委托书应当载明委托人及被委托人的姓名或名称、代理事项、具体权限、期限等。</w:t>
      </w:r>
    </w:p>
    <w:p w14:paraId="23FDD6EF">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42.8有下列情形之一的，采购代理机构或采购人应当在“山西政府采购平台”的“项目质疑管理”程序中的“受理内容”处标明“退回补正”，并说明“原因”：</w:t>
      </w:r>
    </w:p>
    <w:p w14:paraId="5C2B41ED">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42.8.1质疑未按44.6、44.7的要求提出的；</w:t>
      </w:r>
    </w:p>
    <w:p w14:paraId="028CF64C">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42.8.2质疑未按44.5要求签章的；</w:t>
      </w:r>
    </w:p>
    <w:p w14:paraId="74D162E0">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42.8.3其它不符合要求的质疑情形。</w:t>
      </w:r>
    </w:p>
    <w:p w14:paraId="1FCB1E18">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42.9存在以下情形的，投标人的质疑采购代理机构或采购人不予受理：</w:t>
      </w:r>
    </w:p>
    <w:p w14:paraId="4E4E4CB8">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42.9.1潜在投标人未依法获取其可质疑的招标文件，对招标文件进行质疑的；</w:t>
      </w:r>
    </w:p>
    <w:p w14:paraId="2CE20C0E">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42.9.2投标人在法定质疑期内针对同一采购程序环节重复提出的质疑；</w:t>
      </w:r>
    </w:p>
    <w:p w14:paraId="76F54D6C">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42.9.3未参加本项目投标活动的投标人针对采购过程、中标结果提出质疑的；</w:t>
      </w:r>
    </w:p>
    <w:p w14:paraId="3BA82E5B">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42.9.4超过42.3、42.4规定质疑期发出的质疑。</w:t>
      </w:r>
    </w:p>
    <w:p w14:paraId="3E07384B">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42.10采购代理机构或采购人不得拒收质疑投标人在法定质疑期内发出的质疑函，应当在收到质疑函后7个工作日内做出答复，并通过“山西政府采购平台”通知质疑投标人和其他有关投标人。</w:t>
      </w:r>
    </w:p>
    <w:p w14:paraId="360769EA">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42.11投标人对采购过程、中标结果提出质疑的，采购代理机构或采购人可以组织原评标委员会协助答复质疑。</w:t>
      </w:r>
    </w:p>
    <w:p w14:paraId="5577199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42.12质疑答复应当包含以下内容：</w:t>
      </w:r>
    </w:p>
    <w:p w14:paraId="551D78B1">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质疑投标人的姓名或者名称；收到质疑函的日期、质疑项目名称及编号；质疑事项、质疑答复的具体内容、事实依据和法律依据；告知质疑投标人依法投诉的权利；质疑答复人名称；答复质疑的日期。质疑答复的内容不得涉及商业秘密。</w:t>
      </w:r>
    </w:p>
    <w:p w14:paraId="66ABF909">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42.13采购人、采购代理机构认为投标人质疑不成立，或者成立但未对中标结果构成影响的，继续开展采购活动；认为投标人质疑成立且影响或者可能影响中标结果的，按照下列情况处理：</w:t>
      </w:r>
    </w:p>
    <w:p w14:paraId="6E7DCD32">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42.13.1对招标文件提出的质疑，通过澄清或者修改可以继续开展采购活动；否则应当修改招标文件后重新开展活动。</w:t>
      </w:r>
    </w:p>
    <w:p w14:paraId="6B35EBD3">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42.13.2对采购过程、中标结果提出的质疑，合格投标人符合规定数量时，可以从合格的中标候选人中另行确定中标人的，应当另行确定中标人；否则应当重新开展采购活动。</w:t>
      </w:r>
    </w:p>
    <w:p w14:paraId="0EA4F6D1">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质疑答复导致中标结果改变的，采购代理机构应当将有关情况书面报告相关部门。</w:t>
      </w:r>
    </w:p>
    <w:p w14:paraId="699D587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42.14质疑投标人对采购人、采购代理机构的答复不满意，或者采购代理机构未在规定的时间内做出答复的，可以在答复期满后15个工作日内向相关部门投诉。</w:t>
      </w:r>
    </w:p>
    <w:p w14:paraId="54578AF8">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42.15接收质疑函的联系方式：</w:t>
      </w:r>
    </w:p>
    <w:p w14:paraId="1C90F8CA">
      <w:pPr>
        <w:keepNext/>
        <w:wordWrap w:val="0"/>
        <w:topLinePunct/>
        <w:adjustRightInd w:val="0"/>
        <w:snapToGrid w:val="0"/>
        <w:spacing w:line="360" w:lineRule="auto"/>
        <w:ind w:firstLine="480" w:firstLineChars="200"/>
        <w:outlineLvl w:val="1"/>
        <w:rPr>
          <w:rFonts w:hint="eastAsia" w:ascii="宋体" w:hAnsi="宋体" w:eastAsia="宋体" w:cs="宋体"/>
          <w:kern w:val="0"/>
          <w:sz w:val="24"/>
          <w:szCs w:val="24"/>
          <w:lang w:eastAsia="zh-CN"/>
        </w:rPr>
      </w:pPr>
      <w:bookmarkStart w:id="43" w:name="_Toc24545"/>
      <w:bookmarkStart w:id="44" w:name="_Toc180571689"/>
      <w:r>
        <w:rPr>
          <w:rFonts w:hint="eastAsia" w:ascii="宋体" w:hAnsi="宋体" w:eastAsia="宋体" w:cs="宋体"/>
          <w:kern w:val="0"/>
          <w:sz w:val="24"/>
          <w:szCs w:val="24"/>
        </w:rPr>
        <w:t>联系单位：</w:t>
      </w:r>
      <w:r>
        <w:rPr>
          <w:rFonts w:hint="eastAsia" w:ascii="宋体" w:hAnsi="宋体" w:eastAsia="宋体" w:cs="宋体"/>
          <w:kern w:val="0"/>
          <w:sz w:val="24"/>
          <w:szCs w:val="24"/>
          <w:lang w:eastAsia="zh-CN"/>
        </w:rPr>
        <w:t>山西晋鸿项目管理有限公司</w:t>
      </w:r>
      <w:bookmarkEnd w:id="43"/>
    </w:p>
    <w:p w14:paraId="46196727">
      <w:pPr>
        <w:keepNext/>
        <w:wordWrap w:val="0"/>
        <w:topLinePunct/>
        <w:adjustRightInd w:val="0"/>
        <w:snapToGrid w:val="0"/>
        <w:spacing w:line="360" w:lineRule="auto"/>
        <w:ind w:firstLine="480" w:firstLineChars="200"/>
        <w:outlineLvl w:val="1"/>
        <w:rPr>
          <w:rFonts w:hint="eastAsia" w:ascii="宋体" w:hAnsi="宋体" w:eastAsia="宋体" w:cs="宋体"/>
          <w:kern w:val="0"/>
          <w:sz w:val="24"/>
          <w:szCs w:val="24"/>
          <w:lang w:eastAsia="zh-CN"/>
        </w:rPr>
      </w:pPr>
      <w:bookmarkStart w:id="45" w:name="_Toc10042"/>
      <w:r>
        <w:rPr>
          <w:rFonts w:hint="eastAsia" w:ascii="宋体" w:hAnsi="宋体" w:eastAsia="宋体" w:cs="宋体"/>
          <w:kern w:val="0"/>
          <w:sz w:val="24"/>
          <w:szCs w:val="24"/>
        </w:rPr>
        <w:t>单位地址：</w:t>
      </w:r>
      <w:r>
        <w:rPr>
          <w:rFonts w:hint="eastAsia" w:ascii="宋体" w:hAnsi="宋体" w:eastAsia="宋体" w:cs="宋体"/>
          <w:kern w:val="0"/>
          <w:sz w:val="24"/>
          <w:szCs w:val="24"/>
          <w:lang w:eastAsia="zh-CN"/>
        </w:rPr>
        <w:t>太原市小店区平阳路69号新时代广场2413室</w:t>
      </w:r>
      <w:bookmarkEnd w:id="45"/>
    </w:p>
    <w:p w14:paraId="508BBEA5">
      <w:pPr>
        <w:keepNext/>
        <w:wordWrap w:val="0"/>
        <w:topLinePunct/>
        <w:adjustRightInd w:val="0"/>
        <w:snapToGrid w:val="0"/>
        <w:spacing w:line="360" w:lineRule="auto"/>
        <w:ind w:firstLine="480" w:firstLineChars="200"/>
        <w:outlineLvl w:val="1"/>
        <w:rPr>
          <w:rFonts w:hint="eastAsia" w:ascii="宋体" w:hAnsi="宋体" w:eastAsia="宋体" w:cs="宋体"/>
          <w:kern w:val="0"/>
          <w:sz w:val="24"/>
          <w:szCs w:val="24"/>
          <w:lang w:val="en-US" w:eastAsia="zh-CN"/>
        </w:rPr>
      </w:pPr>
      <w:bookmarkStart w:id="46" w:name="_Toc4846"/>
      <w:r>
        <w:rPr>
          <w:rFonts w:hint="eastAsia" w:ascii="宋体" w:hAnsi="宋体" w:eastAsia="宋体" w:cs="宋体"/>
          <w:kern w:val="0"/>
          <w:sz w:val="24"/>
          <w:szCs w:val="24"/>
        </w:rPr>
        <w:t>联 系 人：王</w:t>
      </w:r>
      <w:r>
        <w:rPr>
          <w:rFonts w:hint="eastAsia" w:ascii="宋体" w:hAnsi="宋体" w:eastAsia="宋体" w:cs="宋体"/>
          <w:kern w:val="0"/>
          <w:sz w:val="24"/>
          <w:szCs w:val="24"/>
          <w:lang w:val="en-US" w:eastAsia="zh-CN"/>
        </w:rPr>
        <w:t>昕</w:t>
      </w:r>
      <w:bookmarkEnd w:id="46"/>
    </w:p>
    <w:p w14:paraId="678F5A28">
      <w:pPr>
        <w:keepNext/>
        <w:wordWrap w:val="0"/>
        <w:topLinePunct/>
        <w:adjustRightInd w:val="0"/>
        <w:snapToGrid w:val="0"/>
        <w:spacing w:line="360" w:lineRule="auto"/>
        <w:ind w:firstLine="480" w:firstLineChars="200"/>
        <w:outlineLvl w:val="1"/>
        <w:rPr>
          <w:rFonts w:hint="eastAsia" w:ascii="宋体" w:hAnsi="宋体" w:eastAsia="宋体" w:cs="宋体"/>
          <w:kern w:val="0"/>
          <w:sz w:val="24"/>
          <w:szCs w:val="24"/>
          <w:lang w:val="en-US" w:eastAsia="zh-CN"/>
        </w:rPr>
      </w:pPr>
      <w:bookmarkStart w:id="47" w:name="_Toc15370"/>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15110420899</w:t>
      </w:r>
      <w:bookmarkEnd w:id="47"/>
    </w:p>
    <w:p w14:paraId="63A2D6C0">
      <w:pPr>
        <w:keepNext/>
        <w:wordWrap w:val="0"/>
        <w:topLinePunct/>
        <w:adjustRightInd w:val="0"/>
        <w:snapToGrid w:val="0"/>
        <w:spacing w:line="360" w:lineRule="auto"/>
        <w:ind w:firstLine="480" w:firstLineChars="200"/>
        <w:outlineLvl w:val="1"/>
        <w:rPr>
          <w:rFonts w:hint="eastAsia" w:ascii="宋体" w:hAnsi="宋体" w:eastAsia="宋体" w:cs="宋体"/>
          <w:b/>
          <w:kern w:val="0"/>
          <w:sz w:val="24"/>
          <w:szCs w:val="24"/>
        </w:rPr>
      </w:pPr>
      <w:bookmarkStart w:id="48" w:name="_Toc10174"/>
      <w:r>
        <w:rPr>
          <w:rFonts w:hint="eastAsia" w:ascii="宋体" w:hAnsi="宋体" w:eastAsia="宋体" w:cs="宋体"/>
          <w:b/>
          <w:kern w:val="0"/>
          <w:sz w:val="24"/>
          <w:szCs w:val="24"/>
        </w:rPr>
        <w:t>十一、违法违规</w:t>
      </w:r>
      <w:bookmarkEnd w:id="42"/>
      <w:r>
        <w:rPr>
          <w:rFonts w:hint="eastAsia" w:ascii="宋体" w:hAnsi="宋体" w:eastAsia="宋体" w:cs="宋体"/>
          <w:b/>
          <w:kern w:val="0"/>
          <w:sz w:val="24"/>
          <w:szCs w:val="24"/>
        </w:rPr>
        <w:t>行为</w:t>
      </w:r>
      <w:bookmarkEnd w:id="44"/>
      <w:bookmarkEnd w:id="48"/>
    </w:p>
    <w:p w14:paraId="79157F14">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43.投标人违法违规行为：</w:t>
      </w:r>
    </w:p>
    <w:p w14:paraId="48B921B8">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（1）向评标委员会成员行贿或者提供其他不正当收益的；</w:t>
      </w:r>
    </w:p>
    <w:p w14:paraId="014F68A3">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（2）未按照采购文件确定的事项签订政府采购合同，或者与采购人另行订立背离合同实质性内容的协议的；</w:t>
      </w:r>
    </w:p>
    <w:p w14:paraId="5E6DF20E">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（3）中标后无正当理由拒不与采购人签订政府采购合同的；</w:t>
      </w:r>
    </w:p>
    <w:p w14:paraId="3AEBEFCF">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（4）拒绝履行合同义务的；</w:t>
      </w:r>
    </w:p>
    <w:p w14:paraId="085BACA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（5）未按约定将政府采购合同分包、转包的；</w:t>
      </w:r>
    </w:p>
    <w:p w14:paraId="3FFB049E">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（6）擅自变更、中止或者终止政府采购合同的；</w:t>
      </w:r>
    </w:p>
    <w:p w14:paraId="1BECF09A">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（7）提供假冒伪劣产品的；</w:t>
      </w:r>
    </w:p>
    <w:p w14:paraId="6BD6F732">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（8）在评审期间，投标人企图影响采购代理机构或评标委员会的任何活动的；</w:t>
      </w:r>
    </w:p>
    <w:p w14:paraId="30D61C4C">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（9）法律法规规定的其他违法违规行为。</w:t>
      </w:r>
    </w:p>
    <w:p w14:paraId="21084F13">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44.采购人违法违规行为：</w:t>
      </w:r>
    </w:p>
    <w:p w14:paraId="56CE5FF9">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（1）以不合理条件对投标人实行差别待遇或者歧视待遇的；</w:t>
      </w:r>
    </w:p>
    <w:p w14:paraId="4644A5A7">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（2）与投标人恶意串通的；</w:t>
      </w:r>
    </w:p>
    <w:p w14:paraId="5293DB79">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（3）中标通知书发出后不与中标人签订政府采购合同；</w:t>
      </w:r>
    </w:p>
    <w:p w14:paraId="0D5788B4">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（4）未按照采购文件确定的事项签订政府采购合同，或者与中标人另行订立背离合同实质性内容的协议的；</w:t>
      </w:r>
    </w:p>
    <w:p w14:paraId="7224096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（5）擅自变更、中止或者终止政府采购合同的；</w:t>
      </w:r>
    </w:p>
    <w:p w14:paraId="6B898E1B">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（6）在采购过程中接受贿赂或者获取不正当利益的；</w:t>
      </w:r>
    </w:p>
    <w:p w14:paraId="171D8BFC">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（7）在评审现场发表倾向性意见的；</w:t>
      </w:r>
    </w:p>
    <w:p w14:paraId="639004DB">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（8）泄露评审情况以及评审过程中获悉的国家秘密、商业秘密的；</w:t>
      </w:r>
    </w:p>
    <w:p w14:paraId="27173C3F">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（9）未按规定将政府采购合同进行公示的；</w:t>
      </w:r>
    </w:p>
    <w:p w14:paraId="416F0BF0">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（10）法律法规规定的其他违法违规行为。</w:t>
      </w:r>
    </w:p>
    <w:p w14:paraId="5C29C1DD">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45.评标委员会及其成员违法违规行为：</w:t>
      </w:r>
    </w:p>
    <w:p w14:paraId="48FF26A8">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（1）收受采购人、采购代理机构、投标人、其他利害关系人的财物或者其他不正当利益的；</w:t>
      </w:r>
    </w:p>
    <w:p w14:paraId="7F7AE008">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（2）泄露评审情况以及评审过程中获悉的国家秘密、商业秘密的；</w:t>
      </w:r>
    </w:p>
    <w:p w14:paraId="27F18D6A">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（3）明知与投标人有利害关系而不依法回避的；</w:t>
      </w:r>
    </w:p>
    <w:p w14:paraId="78CAF4BF">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（4）在评审过程中擅离职守，影响评审程序正常进行的；</w:t>
      </w:r>
    </w:p>
    <w:p w14:paraId="1D1C2A0A">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（5）在评审过程中有明显不合理或者不正当倾向的；</w:t>
      </w:r>
    </w:p>
    <w:p w14:paraId="5C8595C7">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（6）未按招标文件规定的程序进行评审、评定的；</w:t>
      </w:r>
    </w:p>
    <w:p w14:paraId="0BCFCC7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（7）将未实质性响应招标文件要求的投标人的投标文件按实质性响应处理的；</w:t>
      </w:r>
    </w:p>
    <w:p w14:paraId="3DE38430">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（8）对需要通过投标人澄清或者说明后可能成为实质性响应的投标文件，直接判定为未实质性响应，导致投标人失去投标机会的；</w:t>
      </w:r>
    </w:p>
    <w:p w14:paraId="5C52FD8D">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（9）在评审现场发表倾向性意见或者征询采购人意见的；</w:t>
      </w:r>
    </w:p>
    <w:p w14:paraId="76D5FB70">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（10）记录、复制或者带走任何评审资料的；</w:t>
      </w:r>
    </w:p>
    <w:p w14:paraId="0A1BE323">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（11）法律法规规定的其他违法违规行为。</w:t>
      </w:r>
    </w:p>
    <w:p w14:paraId="6AE57B79">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46.采购代理机构违法违规行为</w:t>
      </w:r>
    </w:p>
    <w:p w14:paraId="00BEAEEC">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（1）未按照规定在指定媒体发布政府采购信息的；</w:t>
      </w:r>
    </w:p>
    <w:p w14:paraId="2E493ED2">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（2）未按规定组成评标委员会的；</w:t>
      </w:r>
    </w:p>
    <w:p w14:paraId="4AFBC2C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（3）泄露评审情况以及评审过程中获悉的国家秘密、商业秘密的；</w:t>
      </w:r>
    </w:p>
    <w:p w14:paraId="376C0C05">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（4）收受采购人、投标人、其他利害关系人的财物或者其他不正当利益的；</w:t>
      </w:r>
    </w:p>
    <w:p w14:paraId="4715F521">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（5）在评审过程发表倾向性言论的；</w:t>
      </w:r>
    </w:p>
    <w:p w14:paraId="3069E09C">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（6）采购代理机构及其分支机构在所代理的项目中参与采购活动的或为拟参加所代理的项目的投标人提供咨询的；</w:t>
      </w:r>
    </w:p>
    <w:p w14:paraId="68DA908B">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（7）未按规定对评审活动进行全程录音录像的；</w:t>
      </w:r>
    </w:p>
    <w:p w14:paraId="23E81677">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（8）擅自终止采购活动的；</w:t>
      </w:r>
    </w:p>
    <w:p w14:paraId="19B2914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（9）未按照规定对投标文件进行解密和组织评审的；</w:t>
      </w:r>
    </w:p>
    <w:p w14:paraId="727BED30">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（10）超规定收取采购代理服务费的；</w:t>
      </w:r>
    </w:p>
    <w:p w14:paraId="17474493">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（11）未按照规定退还投标保证金的；</w:t>
      </w:r>
    </w:p>
    <w:p w14:paraId="241E71E1">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（12）违反规定进行重新评审或者重新组建评标委员会进行评审的；</w:t>
      </w:r>
    </w:p>
    <w:p w14:paraId="3F037A3D">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（13）开标前泄露已获取招标文件的潜在投标人的名称、数量或者其他可能影响公平竞争的有关采购活动情况的；</w:t>
      </w:r>
    </w:p>
    <w:p w14:paraId="0375442A">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（14）未妥善保存采购文件的；</w:t>
      </w:r>
    </w:p>
    <w:p w14:paraId="44C4B61B">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（15）法律法规规定的其他违法违规行为。</w:t>
      </w:r>
    </w:p>
    <w:p w14:paraId="498B0226">
      <w:pPr>
        <w:keepNext/>
        <w:wordWrap w:val="0"/>
        <w:topLinePunct/>
        <w:adjustRightInd w:val="0"/>
        <w:snapToGrid w:val="0"/>
        <w:spacing w:line="360" w:lineRule="auto"/>
        <w:ind w:firstLine="480" w:firstLineChars="200"/>
        <w:outlineLvl w:val="1"/>
        <w:rPr>
          <w:rFonts w:hint="eastAsia" w:ascii="宋体" w:hAnsi="宋体" w:eastAsia="宋体" w:cs="宋体"/>
          <w:b/>
          <w:kern w:val="0"/>
          <w:sz w:val="24"/>
          <w:szCs w:val="24"/>
        </w:rPr>
      </w:pPr>
      <w:bookmarkStart w:id="49" w:name="_Toc29284"/>
      <w:bookmarkStart w:id="50" w:name="_Toc27764"/>
      <w:bookmarkStart w:id="51" w:name="_Toc180571690"/>
      <w:r>
        <w:rPr>
          <w:rFonts w:hint="eastAsia" w:ascii="宋体" w:hAnsi="宋体" w:eastAsia="宋体" w:cs="宋体"/>
          <w:b/>
          <w:kern w:val="0"/>
          <w:sz w:val="24"/>
          <w:szCs w:val="24"/>
        </w:rPr>
        <w:t>十二、政府采购政策性要求</w:t>
      </w:r>
      <w:bookmarkEnd w:id="49"/>
      <w:bookmarkEnd w:id="50"/>
      <w:bookmarkEnd w:id="51"/>
    </w:p>
    <w:p w14:paraId="74DE4B8F">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47.进口货物及政策要求</w:t>
      </w:r>
    </w:p>
    <w:p w14:paraId="0F05B266">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本招标文件中的采购标的，</w:t>
      </w:r>
      <w:r>
        <w:rPr>
          <w:rFonts w:hint="eastAsia" w:ascii="宋体" w:hAnsi="宋体" w:eastAsia="宋体" w:cs="宋体"/>
          <w:sz w:val="24"/>
          <w:szCs w:val="24"/>
        </w:rPr>
        <w:t>未特别注明“允许进口产品”字样的，均必须采购国产产品，即非“通过中国海关报关验放进入中国境内且产自关境外的产品”，采购产品各项技术标准必须符合国家强制性标准。特别注明“允许进口产品”字样的，优先采购向我国企业转让技术、与我国企业签订消化吸收再创新方案的投标人的进口产品，如果有能够满足采购需求的国产产品参与，应当按照公平竞争的原则进行评审。</w:t>
      </w:r>
    </w:p>
    <w:p w14:paraId="6899B9DC">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48.国家强制产品</w:t>
      </w:r>
    </w:p>
    <w:p w14:paraId="6C7C1FB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须提供获得国家确定的认证机构出具的处于有效期之内的节能产品认证证书和《</w:t>
      </w:r>
      <w:r>
        <w:rPr>
          <w:rFonts w:hint="eastAsia" w:ascii="宋体" w:hAnsi="宋体" w:eastAsia="宋体" w:cs="宋体"/>
          <w:b/>
          <w:sz w:val="24"/>
          <w:szCs w:val="24"/>
        </w:rPr>
        <w:t>强制节能产品明细表</w:t>
      </w:r>
      <w:r>
        <w:rPr>
          <w:rFonts w:hint="eastAsia" w:ascii="宋体" w:hAnsi="宋体" w:eastAsia="宋体" w:cs="宋体"/>
          <w:kern w:val="0"/>
          <w:sz w:val="24"/>
          <w:szCs w:val="24"/>
        </w:rPr>
        <w:t>》。</w:t>
      </w:r>
    </w:p>
    <w:p w14:paraId="70D96D72">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49.</w:t>
      </w:r>
      <w:r>
        <w:rPr>
          <w:rFonts w:hint="eastAsia" w:ascii="宋体" w:hAnsi="宋体" w:eastAsia="宋体" w:cs="宋体"/>
          <w:sz w:val="24"/>
          <w:szCs w:val="24"/>
        </w:rPr>
        <w:t>投报环境标志产品政府采购品目清单中的产品，需提供所投产品获得国家确定的认证机构出具的、处于有效期之内的环境标志产品认证证书和《</w:t>
      </w:r>
      <w:r>
        <w:rPr>
          <w:rFonts w:hint="eastAsia" w:ascii="宋体" w:hAnsi="宋体" w:eastAsia="宋体" w:cs="宋体"/>
          <w:b/>
          <w:sz w:val="24"/>
          <w:szCs w:val="24"/>
        </w:rPr>
        <w:t>环境标志产品明细表</w:t>
      </w:r>
      <w:r>
        <w:rPr>
          <w:rFonts w:hint="eastAsia" w:ascii="宋体" w:hAnsi="宋体" w:eastAsia="宋体" w:cs="宋体"/>
          <w:sz w:val="24"/>
          <w:szCs w:val="24"/>
        </w:rPr>
        <w:t>》。</w:t>
      </w:r>
    </w:p>
    <w:p w14:paraId="604890A5">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50.采购货物中如含有计算机，必须预装正版操作系统软件产品；项目中所采购的其它软件必须为正版软件。须提供《正版软件承诺》。</w:t>
      </w:r>
    </w:p>
    <w:p w14:paraId="5AE1E8E0">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51.采购货物中如含国家互联网信息办公室会同工业和信息化部、公安部、国家认证认可监督管理委员会等部门发布关于调整《网络关键设备和网络安全专用产品目录》的公告2023年第2号公布的《网络关键设备和网络安全专用产品目录》的网络安全专用产品，投报产品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网络安全专用产品安全技术要求》等相关国家标准强制性要求检测的安全认证合格或者安全检测符合要求的证明材料或对此前已经获得有效的《计算机信息系统安全专用产品销售许可证》影印件或扫描件。</w:t>
      </w:r>
    </w:p>
    <w:p w14:paraId="27AFB889">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52.中小微企业参加本项目：</w:t>
      </w:r>
    </w:p>
    <w:p w14:paraId="1B472D79">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须按照财政部、工业和信息化部发布的《关于印发&lt;政府采购促进中小企业发展管理办法&gt;的通知》(财库〔2020〕46号），并依据工信部联【2011】300号《中小企业划型标准规定》的标准，如实填写《中小企业声明函》。</w:t>
      </w:r>
    </w:p>
    <w:p w14:paraId="14A83C4C">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53．残疾人福利单位参加本项目：</w:t>
      </w:r>
    </w:p>
    <w:p w14:paraId="151DF213">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依据《三部门联合发布关于促进残疾人就业政府采购政策的通知》（财库[2017]141号）第三条规定，需提供《残疾人福利性单位声明函》。</w:t>
      </w:r>
    </w:p>
    <w:p w14:paraId="38DC7ACD">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54．监狱企业参加本项目：</w:t>
      </w:r>
    </w:p>
    <w:p w14:paraId="7D5FD147">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财政部司法部关于政府采购支持监狱企业发展有关问题的通知》(财库〔2014〕68号)规定，需提供《监狱企业承诺函》和由省级以上监狱管理局、戒毒管理局（含新疆生产建设兵团）出具的属于监狱企业的证明文件。</w:t>
      </w:r>
    </w:p>
    <w:p w14:paraId="5FEC8395">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55.联合体参加本项目：</w:t>
      </w:r>
    </w:p>
    <w:p w14:paraId="0F80CF76">
      <w:pPr>
        <w:keepNext/>
        <w:wordWrap w:val="0"/>
        <w:topLinePunct/>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如本项目为接受大中型企业与小微企业组成联合体或者允许大中型企业向一家或者多家小微企业分包的采购项目，需提供《联合体投标协议书》。</w:t>
      </w:r>
    </w:p>
    <w:p w14:paraId="5BA39DA9">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56.创新产品参加的项目</w:t>
      </w:r>
    </w:p>
    <w:p w14:paraId="2EE43449">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投报根据《政府采购支持创新产品和服务实施细则》（晋财购【2019】19号）的产品，需在投标文件中提供《山西省创新产品和服务推荐清单》产品截图，并填写《创新产品或创新服务明细表》。</w:t>
      </w:r>
    </w:p>
    <w:p w14:paraId="03B6B0D6">
      <w:pPr>
        <w:keepNext/>
        <w:wordWrap w:val="0"/>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57.商品包装和快递包装</w:t>
      </w:r>
    </w:p>
    <w:p w14:paraId="41A0A5E4">
      <w:pPr>
        <w:pStyle w:val="27"/>
        <w:widowControl w:val="0"/>
        <w:shd w:val="clear"/>
        <w:spacing w:line="360" w:lineRule="auto"/>
        <w:ind w:firstLine="480" w:firstLineChars="200"/>
        <w:rPr>
          <w:rFonts w:hint="eastAsia" w:ascii="宋体" w:hAnsi="宋体" w:eastAsia="宋体" w:cs="宋体"/>
          <w:b/>
          <w:color w:val="000000"/>
          <w:sz w:val="36"/>
          <w:szCs w:val="36"/>
          <w:highlight w:val="none"/>
        </w:rPr>
      </w:pPr>
      <w:r>
        <w:rPr>
          <w:rFonts w:hint="eastAsia" w:ascii="宋体" w:hAnsi="宋体" w:eastAsia="宋体" w:cs="宋体"/>
          <w:sz w:val="24"/>
          <w:szCs w:val="24"/>
        </w:rPr>
        <w:t>如所供货物均需按《商品包装政府采购需求标准（试行）》、《快递包装政府采购需求标准（试行）》（财办库〔2020〕123号）包装标准与保护措施进行包装，须出具《商品包装和快递包装承诺》。</w:t>
      </w:r>
      <w:r>
        <w:rPr>
          <w:rFonts w:hint="eastAsia" w:ascii="宋体" w:hAnsi="宋体" w:eastAsia="宋体" w:cs="宋体"/>
          <w:b/>
          <w:color w:val="000000"/>
          <w:sz w:val="36"/>
          <w:szCs w:val="36"/>
          <w:highlight w:val="none"/>
        </w:rPr>
        <w:br w:type="page"/>
      </w:r>
    </w:p>
    <w:p w14:paraId="61485AB2">
      <w:pPr>
        <w:pStyle w:val="27"/>
        <w:keepNext/>
        <w:keepLines/>
        <w:pageBreakBefore w:val="0"/>
        <w:widowControl w:val="0"/>
        <w:numPr>
          <w:ilvl w:val="0"/>
          <w:numId w:val="1"/>
        </w:numPr>
        <w:shd w:val="clear"/>
        <w:kinsoku/>
        <w:wordWrap/>
        <w:overflowPunct/>
        <w:topLinePunct w:val="0"/>
        <w:autoSpaceDE/>
        <w:autoSpaceDN/>
        <w:bidi w:val="0"/>
        <w:spacing w:before="120" w:beforeLines="50" w:after="120" w:afterLines="50" w:line="440" w:lineRule="exact"/>
        <w:jc w:val="center"/>
        <w:textAlignment w:val="auto"/>
        <w:outlineLvl w:val="0"/>
        <w:rPr>
          <w:rFonts w:hint="eastAsia" w:ascii="宋体" w:hAnsi="宋体" w:eastAsia="宋体" w:cs="宋体"/>
          <w:b/>
          <w:sz w:val="32"/>
          <w:szCs w:val="32"/>
          <w:highlight w:val="none"/>
        </w:rPr>
      </w:pPr>
      <w:bookmarkStart w:id="52" w:name="_Toc117270090"/>
      <w:bookmarkStart w:id="53" w:name="_Toc2514"/>
      <w:r>
        <w:rPr>
          <w:rFonts w:hint="eastAsia" w:ascii="宋体" w:hAnsi="宋体" w:eastAsia="宋体" w:cs="宋体"/>
          <w:b/>
          <w:sz w:val="32"/>
          <w:szCs w:val="32"/>
          <w:highlight w:val="none"/>
        </w:rPr>
        <w:t xml:space="preserve"> </w:t>
      </w:r>
      <w:bookmarkStart w:id="54" w:name="_Toc4114"/>
      <w:r>
        <w:rPr>
          <w:rFonts w:hint="eastAsia" w:ascii="宋体" w:hAnsi="宋体" w:eastAsia="宋体" w:cs="宋体"/>
          <w:b/>
          <w:sz w:val="32"/>
          <w:szCs w:val="32"/>
          <w:highlight w:val="none"/>
        </w:rPr>
        <w:t>评标标准和评标方法</w:t>
      </w:r>
      <w:bookmarkEnd w:id="52"/>
      <w:bookmarkEnd w:id="53"/>
      <w:bookmarkEnd w:id="54"/>
    </w:p>
    <w:p w14:paraId="41B712C8">
      <w:pPr>
        <w:keepNext/>
        <w:keepLines/>
        <w:pageBreakBefore w:val="0"/>
        <w:widowControl w:val="0"/>
        <w:kinsoku/>
        <w:wordWrap/>
        <w:overflowPunct/>
        <w:topLinePunct w:val="0"/>
        <w:autoSpaceDE/>
        <w:autoSpaceDN/>
        <w:bidi w:val="0"/>
        <w:textAlignment w:val="auto"/>
        <w:rPr>
          <w:rFonts w:hint="eastAsia" w:ascii="宋体" w:hAnsi="宋体" w:eastAsia="宋体" w:cs="宋体"/>
          <w:highlight w:val="none"/>
        </w:rPr>
      </w:pPr>
    </w:p>
    <w:p w14:paraId="0BF514F7">
      <w:pPr>
        <w:keepNext/>
        <w:keepLines/>
        <w:pageBreakBefore w:val="0"/>
        <w:widowControl w:val="0"/>
        <w:shd w:val="clear"/>
        <w:kinsoku/>
        <w:wordWrap/>
        <w:overflowPunct/>
        <w:topLinePunct w:val="0"/>
        <w:autoSpaceDE/>
        <w:autoSpaceDN/>
        <w:bidi w:val="0"/>
        <w:snapToGrid w:val="0"/>
        <w:spacing w:line="360" w:lineRule="auto"/>
        <w:ind w:firstLine="240" w:firstLineChars="1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一</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资格</w:t>
      </w:r>
      <w:r>
        <w:rPr>
          <w:rFonts w:hint="eastAsia" w:ascii="宋体" w:hAnsi="宋体" w:eastAsia="宋体" w:cs="宋体"/>
          <w:b/>
          <w:sz w:val="24"/>
          <w:highlight w:val="none"/>
        </w:rPr>
        <w:t>性审查的内容及标准</w:t>
      </w:r>
    </w:p>
    <w:tbl>
      <w:tblPr>
        <w:tblStyle w:val="3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46"/>
        <w:gridCol w:w="2695"/>
        <w:gridCol w:w="4597"/>
      </w:tblGrid>
      <w:tr w14:paraId="3F39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5" w:type="dxa"/>
            <w:noWrap w:val="0"/>
            <w:vAlign w:val="center"/>
          </w:tcPr>
          <w:p w14:paraId="09D6AF2A">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b/>
                <w:bCs/>
                <w:sz w:val="24"/>
              </w:rPr>
            </w:pPr>
            <w:r>
              <w:rPr>
                <w:rFonts w:hint="eastAsia" w:ascii="宋体" w:hAnsi="宋体" w:eastAsia="宋体" w:cs="宋体"/>
                <w:b/>
                <w:bCs/>
                <w:sz w:val="24"/>
              </w:rPr>
              <w:t>序号</w:t>
            </w:r>
          </w:p>
        </w:tc>
        <w:tc>
          <w:tcPr>
            <w:tcW w:w="1246" w:type="dxa"/>
            <w:noWrap w:val="0"/>
            <w:vAlign w:val="center"/>
          </w:tcPr>
          <w:p w14:paraId="61BC45B7">
            <w:pPr>
              <w:keepNext/>
              <w:keepLines/>
              <w:pageBreakBefore w:val="0"/>
              <w:widowControl w:val="0"/>
              <w:kinsoku/>
              <w:wordWrap/>
              <w:overflowPunct/>
              <w:topLinePunct w:val="0"/>
              <w:autoSpaceDE/>
              <w:autoSpaceDN/>
              <w:bidi w:val="0"/>
              <w:jc w:val="center"/>
              <w:textAlignment w:val="auto"/>
              <w:rPr>
                <w:rFonts w:hint="eastAsia" w:ascii="宋体" w:hAnsi="宋体" w:eastAsia="宋体" w:cs="宋体"/>
                <w:b/>
                <w:bCs/>
                <w:sz w:val="24"/>
              </w:rPr>
            </w:pPr>
            <w:r>
              <w:rPr>
                <w:rFonts w:hint="eastAsia" w:ascii="宋体" w:hAnsi="宋体" w:eastAsia="宋体" w:cs="宋体"/>
                <w:b/>
                <w:bCs/>
                <w:sz w:val="24"/>
              </w:rPr>
              <w:t>类型</w:t>
            </w:r>
          </w:p>
        </w:tc>
        <w:tc>
          <w:tcPr>
            <w:tcW w:w="2695" w:type="dxa"/>
            <w:noWrap w:val="0"/>
            <w:vAlign w:val="center"/>
          </w:tcPr>
          <w:p w14:paraId="49EB1E58">
            <w:pPr>
              <w:keepNext/>
              <w:keepLines/>
              <w:pageBreakBefore w:val="0"/>
              <w:widowControl w:val="0"/>
              <w:kinsoku/>
              <w:wordWrap/>
              <w:overflowPunct/>
              <w:topLinePunct w:val="0"/>
              <w:autoSpaceDE/>
              <w:autoSpaceDN/>
              <w:bidi w:val="0"/>
              <w:jc w:val="center"/>
              <w:textAlignment w:val="auto"/>
              <w:rPr>
                <w:rFonts w:hint="eastAsia" w:ascii="宋体" w:hAnsi="宋体" w:eastAsia="宋体" w:cs="宋体"/>
                <w:b/>
                <w:bCs/>
                <w:sz w:val="24"/>
              </w:rPr>
            </w:pPr>
            <w:r>
              <w:rPr>
                <w:rFonts w:hint="eastAsia" w:ascii="宋体" w:hAnsi="宋体" w:eastAsia="宋体" w:cs="宋体"/>
                <w:b/>
                <w:bCs/>
                <w:sz w:val="24"/>
              </w:rPr>
              <w:t>审查要求</w:t>
            </w:r>
          </w:p>
        </w:tc>
        <w:tc>
          <w:tcPr>
            <w:tcW w:w="4597" w:type="dxa"/>
            <w:noWrap w:val="0"/>
            <w:vAlign w:val="center"/>
          </w:tcPr>
          <w:p w14:paraId="63FAA3C2">
            <w:pPr>
              <w:keepNext/>
              <w:keepLines/>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sz w:val="24"/>
              </w:rPr>
            </w:pPr>
            <w:r>
              <w:rPr>
                <w:rFonts w:hint="eastAsia" w:ascii="宋体" w:hAnsi="宋体" w:eastAsia="宋体" w:cs="宋体"/>
                <w:b/>
                <w:bCs/>
                <w:sz w:val="24"/>
              </w:rPr>
              <w:t>要求说明</w:t>
            </w:r>
          </w:p>
        </w:tc>
      </w:tr>
      <w:tr w14:paraId="138F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5" w:type="dxa"/>
            <w:noWrap w:val="0"/>
            <w:vAlign w:val="center"/>
          </w:tcPr>
          <w:p w14:paraId="554F827F">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eastAsia="宋体" w:cs="宋体"/>
                <w:sz w:val="24"/>
              </w:rPr>
              <w:t>1</w:t>
            </w:r>
          </w:p>
        </w:tc>
        <w:tc>
          <w:tcPr>
            <w:tcW w:w="1246" w:type="dxa"/>
            <w:noWrap w:val="0"/>
            <w:vAlign w:val="center"/>
          </w:tcPr>
          <w:p w14:paraId="4F989517">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sz w:val="24"/>
                <w:highlight w:val="none"/>
                <w:lang w:val="en-US" w:eastAsia="zh-CN"/>
              </w:rPr>
              <w:t>营业执照</w:t>
            </w:r>
          </w:p>
        </w:tc>
        <w:tc>
          <w:tcPr>
            <w:tcW w:w="2695" w:type="dxa"/>
            <w:noWrap w:val="0"/>
            <w:vAlign w:val="center"/>
          </w:tcPr>
          <w:p w14:paraId="23BB8975">
            <w:pPr>
              <w:keepNext/>
              <w:keepLines/>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rPr>
            </w:pPr>
            <w:r>
              <w:rPr>
                <w:rFonts w:hint="eastAsia" w:ascii="宋体" w:hAnsi="宋体"/>
                <w:color w:val="000000"/>
                <w:sz w:val="24"/>
                <w:highlight w:val="none"/>
              </w:rPr>
              <w:t>具有独立承担民事责任的能力</w:t>
            </w:r>
          </w:p>
        </w:tc>
        <w:tc>
          <w:tcPr>
            <w:tcW w:w="4597" w:type="dxa"/>
            <w:noWrap w:val="0"/>
            <w:vAlign w:val="center"/>
          </w:tcPr>
          <w:p w14:paraId="3F6BDDB1">
            <w:pPr>
              <w:keepNext/>
              <w:keepLines/>
              <w:pageBreakBefore w:val="0"/>
              <w:widowControl w:val="0"/>
              <w:kinsoku/>
              <w:wordWrap/>
              <w:overflowPunct/>
              <w:topLinePunct w:val="0"/>
              <w:autoSpaceDE/>
              <w:autoSpaceDN/>
              <w:bidi w:val="0"/>
              <w:spacing w:line="360" w:lineRule="auto"/>
              <w:textAlignment w:val="auto"/>
              <w:rPr>
                <w:rFonts w:hint="eastAsia" w:ascii="宋体" w:hAnsi="宋体"/>
                <w:sz w:val="24"/>
                <w:highlight w:val="none"/>
              </w:rPr>
            </w:pPr>
            <w:r>
              <w:rPr>
                <w:rFonts w:hint="eastAsia" w:ascii="宋体" w:hAnsi="宋体"/>
                <w:sz w:val="24"/>
                <w:highlight w:val="none"/>
              </w:rPr>
              <w:t>提供供应商信用承诺书。</w:t>
            </w:r>
          </w:p>
          <w:p w14:paraId="25A6D318">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sz w:val="24"/>
                <w:highlight w:val="none"/>
              </w:rPr>
              <w:t>以上证明材料须符合要求、有效、完整。否则，响应无效</w:t>
            </w:r>
            <w:r>
              <w:rPr>
                <w:rFonts w:ascii="宋体" w:hAnsi="宋体"/>
                <w:sz w:val="24"/>
                <w:highlight w:val="none"/>
              </w:rPr>
              <w:t>。</w:t>
            </w:r>
          </w:p>
        </w:tc>
      </w:tr>
      <w:tr w14:paraId="27B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5" w:type="dxa"/>
            <w:noWrap w:val="0"/>
            <w:vAlign w:val="center"/>
          </w:tcPr>
          <w:p w14:paraId="43D81C00">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eastAsia="宋体" w:cs="宋体"/>
                <w:sz w:val="24"/>
              </w:rPr>
              <w:t>2</w:t>
            </w:r>
          </w:p>
        </w:tc>
        <w:tc>
          <w:tcPr>
            <w:tcW w:w="1246" w:type="dxa"/>
            <w:noWrap w:val="0"/>
            <w:vAlign w:val="center"/>
          </w:tcPr>
          <w:p w14:paraId="601ABFC9">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sz w:val="24"/>
                <w:highlight w:val="none"/>
              </w:rPr>
              <w:t>财务报告</w:t>
            </w:r>
          </w:p>
        </w:tc>
        <w:tc>
          <w:tcPr>
            <w:tcW w:w="2695" w:type="dxa"/>
            <w:noWrap w:val="0"/>
            <w:vAlign w:val="center"/>
          </w:tcPr>
          <w:p w14:paraId="5D14C4B9">
            <w:pPr>
              <w:keepNext/>
              <w:keepLines/>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rPr>
            </w:pPr>
            <w:r>
              <w:rPr>
                <w:rFonts w:ascii="宋体" w:hAnsi="宋体"/>
                <w:color w:val="000000"/>
                <w:sz w:val="24"/>
                <w:highlight w:val="none"/>
              </w:rPr>
              <w:t>具有良好的商业信誉和健全的财务会计制度</w:t>
            </w:r>
          </w:p>
        </w:tc>
        <w:tc>
          <w:tcPr>
            <w:tcW w:w="4597" w:type="dxa"/>
            <w:noWrap w:val="0"/>
            <w:vAlign w:val="center"/>
          </w:tcPr>
          <w:p w14:paraId="2DF50797">
            <w:pPr>
              <w:keepNext/>
              <w:keepLines/>
              <w:pageBreakBefore w:val="0"/>
              <w:widowControl w:val="0"/>
              <w:kinsoku/>
              <w:wordWrap/>
              <w:overflowPunct/>
              <w:topLinePunct w:val="0"/>
              <w:autoSpaceDE/>
              <w:autoSpaceDN/>
              <w:bidi w:val="0"/>
              <w:spacing w:line="360" w:lineRule="auto"/>
              <w:textAlignment w:val="auto"/>
              <w:rPr>
                <w:rFonts w:hint="eastAsia" w:ascii="宋体" w:hAnsi="宋体"/>
                <w:sz w:val="24"/>
                <w:highlight w:val="none"/>
              </w:rPr>
            </w:pPr>
            <w:r>
              <w:rPr>
                <w:rFonts w:hint="eastAsia" w:ascii="宋体" w:hAnsi="宋体"/>
                <w:sz w:val="24"/>
                <w:highlight w:val="none"/>
              </w:rPr>
              <w:t>提供供应商信用承诺书。</w:t>
            </w:r>
          </w:p>
          <w:p w14:paraId="6ED11728">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sz w:val="24"/>
                <w:highlight w:val="none"/>
              </w:rPr>
              <w:t>以上证明材料须符合要求、有效、完整。否则，响应无效</w:t>
            </w:r>
            <w:r>
              <w:rPr>
                <w:rFonts w:ascii="宋体" w:hAnsi="宋体"/>
                <w:sz w:val="24"/>
                <w:highlight w:val="none"/>
              </w:rPr>
              <w:t>。</w:t>
            </w:r>
          </w:p>
        </w:tc>
      </w:tr>
      <w:tr w14:paraId="7048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5" w:type="dxa"/>
            <w:noWrap w:val="0"/>
            <w:vAlign w:val="center"/>
          </w:tcPr>
          <w:p w14:paraId="7A15449D">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eastAsia="宋体" w:cs="宋体"/>
                <w:sz w:val="24"/>
              </w:rPr>
              <w:t>3</w:t>
            </w:r>
          </w:p>
        </w:tc>
        <w:tc>
          <w:tcPr>
            <w:tcW w:w="1246" w:type="dxa"/>
            <w:noWrap w:val="0"/>
            <w:vAlign w:val="center"/>
          </w:tcPr>
          <w:p w14:paraId="53848848">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eastAsia="宋体" w:cs="宋体"/>
                <w:sz w:val="24"/>
              </w:rPr>
              <w:t>基本资质</w:t>
            </w:r>
          </w:p>
        </w:tc>
        <w:tc>
          <w:tcPr>
            <w:tcW w:w="2695" w:type="dxa"/>
            <w:noWrap w:val="0"/>
            <w:vAlign w:val="center"/>
          </w:tcPr>
          <w:p w14:paraId="6546AD5A">
            <w:pPr>
              <w:keepNext/>
              <w:keepLines/>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rPr>
            </w:pPr>
            <w:r>
              <w:rPr>
                <w:rFonts w:hint="eastAsia" w:ascii="宋体" w:hAnsi="宋体"/>
                <w:color w:val="000000"/>
                <w:sz w:val="24"/>
                <w:highlight w:val="none"/>
              </w:rPr>
              <w:t>具有履行合同所必需的设备和专业技术能力</w:t>
            </w:r>
          </w:p>
        </w:tc>
        <w:tc>
          <w:tcPr>
            <w:tcW w:w="4597" w:type="dxa"/>
            <w:noWrap w:val="0"/>
            <w:vAlign w:val="center"/>
          </w:tcPr>
          <w:p w14:paraId="1829FEAF">
            <w:pPr>
              <w:keepNext/>
              <w:keepLines/>
              <w:pageBreakBefore w:val="0"/>
              <w:widowControl w:val="0"/>
              <w:kinsoku/>
              <w:wordWrap/>
              <w:overflowPunct/>
              <w:topLinePunct w:val="0"/>
              <w:autoSpaceDE/>
              <w:autoSpaceDN/>
              <w:bidi w:val="0"/>
              <w:spacing w:line="360" w:lineRule="auto"/>
              <w:textAlignment w:val="auto"/>
              <w:rPr>
                <w:rFonts w:hint="eastAsia" w:ascii="宋体" w:hAnsi="宋体"/>
                <w:sz w:val="24"/>
                <w:highlight w:val="none"/>
              </w:rPr>
            </w:pPr>
            <w:r>
              <w:rPr>
                <w:rFonts w:hint="eastAsia" w:ascii="宋体" w:hAnsi="宋体"/>
                <w:sz w:val="24"/>
                <w:highlight w:val="none"/>
              </w:rPr>
              <w:t>提供供应商信用承诺书。</w:t>
            </w:r>
          </w:p>
          <w:p w14:paraId="2AA62C0D">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sz w:val="24"/>
                <w:highlight w:val="none"/>
              </w:rPr>
              <w:t>以上证明材料须符合要求、有效、完整。否则，响应无效</w:t>
            </w:r>
            <w:r>
              <w:rPr>
                <w:rFonts w:ascii="宋体" w:hAnsi="宋体"/>
                <w:sz w:val="24"/>
                <w:highlight w:val="none"/>
              </w:rPr>
              <w:t>。</w:t>
            </w:r>
          </w:p>
        </w:tc>
      </w:tr>
      <w:tr w14:paraId="06D9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5" w:type="dxa"/>
            <w:noWrap w:val="0"/>
            <w:vAlign w:val="center"/>
          </w:tcPr>
          <w:p w14:paraId="1B9F31A6">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eastAsia="宋体" w:cs="宋体"/>
                <w:sz w:val="24"/>
              </w:rPr>
              <w:t>4</w:t>
            </w:r>
          </w:p>
        </w:tc>
        <w:tc>
          <w:tcPr>
            <w:tcW w:w="1246" w:type="dxa"/>
            <w:noWrap w:val="0"/>
            <w:vAlign w:val="center"/>
          </w:tcPr>
          <w:p w14:paraId="0D3183D9">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eastAsia="宋体" w:cs="宋体"/>
                <w:sz w:val="24"/>
              </w:rPr>
              <w:t>基本资质</w:t>
            </w:r>
          </w:p>
        </w:tc>
        <w:tc>
          <w:tcPr>
            <w:tcW w:w="2695" w:type="dxa"/>
            <w:noWrap w:val="0"/>
            <w:vAlign w:val="center"/>
          </w:tcPr>
          <w:p w14:paraId="085B8DF3">
            <w:pPr>
              <w:keepNext/>
              <w:keepLines/>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rPr>
            </w:pPr>
            <w:r>
              <w:rPr>
                <w:rFonts w:ascii="宋体" w:hAnsi="宋体"/>
                <w:color w:val="000000"/>
                <w:sz w:val="24"/>
                <w:highlight w:val="none"/>
              </w:rPr>
              <w:t>有依法缴纳税收和社会保障资金的良好记录</w:t>
            </w:r>
          </w:p>
        </w:tc>
        <w:tc>
          <w:tcPr>
            <w:tcW w:w="4597" w:type="dxa"/>
            <w:noWrap w:val="0"/>
            <w:vAlign w:val="center"/>
          </w:tcPr>
          <w:p w14:paraId="157EEFDE">
            <w:pPr>
              <w:keepNext/>
              <w:keepLines/>
              <w:pageBreakBefore w:val="0"/>
              <w:widowControl w:val="0"/>
              <w:kinsoku/>
              <w:wordWrap/>
              <w:overflowPunct/>
              <w:topLinePunct w:val="0"/>
              <w:autoSpaceDE/>
              <w:autoSpaceDN/>
              <w:bidi w:val="0"/>
              <w:spacing w:line="360" w:lineRule="auto"/>
              <w:textAlignment w:val="auto"/>
              <w:rPr>
                <w:rFonts w:hint="eastAsia" w:ascii="宋体" w:hAnsi="宋体"/>
                <w:sz w:val="24"/>
                <w:highlight w:val="none"/>
              </w:rPr>
            </w:pPr>
            <w:r>
              <w:rPr>
                <w:rFonts w:hint="eastAsia" w:ascii="宋体" w:hAnsi="宋体"/>
                <w:sz w:val="24"/>
                <w:highlight w:val="none"/>
              </w:rPr>
              <w:t>提供供应商信用承诺书。</w:t>
            </w:r>
          </w:p>
          <w:p w14:paraId="61AA86F6">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sz w:val="24"/>
                <w:highlight w:val="none"/>
              </w:rPr>
              <w:t>以上证明材料须符合要求、有效、完整。否则，响应无效。</w:t>
            </w:r>
          </w:p>
        </w:tc>
      </w:tr>
      <w:tr w14:paraId="2C91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6" w:hRule="atLeast"/>
          <w:jc w:val="center"/>
        </w:trPr>
        <w:tc>
          <w:tcPr>
            <w:tcW w:w="675" w:type="dxa"/>
            <w:noWrap w:val="0"/>
            <w:vAlign w:val="center"/>
          </w:tcPr>
          <w:p w14:paraId="5306A596">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hint="eastAsia" w:ascii="宋体" w:hAnsi="宋体" w:eastAsia="宋体" w:cs="宋体"/>
                <w:sz w:val="24"/>
              </w:rPr>
              <w:t>5</w:t>
            </w:r>
          </w:p>
        </w:tc>
        <w:tc>
          <w:tcPr>
            <w:tcW w:w="1246" w:type="dxa"/>
            <w:noWrap w:val="0"/>
            <w:vAlign w:val="center"/>
          </w:tcPr>
          <w:p w14:paraId="615DCB48">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rPr>
            </w:pPr>
            <w:r>
              <w:rPr>
                <w:rFonts w:ascii="宋体" w:hAnsi="宋体"/>
                <w:sz w:val="24"/>
                <w:highlight w:val="none"/>
              </w:rPr>
              <w:t>基本资质</w:t>
            </w:r>
          </w:p>
        </w:tc>
        <w:tc>
          <w:tcPr>
            <w:tcW w:w="2695" w:type="dxa"/>
            <w:noWrap w:val="0"/>
            <w:vAlign w:val="center"/>
          </w:tcPr>
          <w:p w14:paraId="1B73B8BB">
            <w:pPr>
              <w:keepNext/>
              <w:keepLines/>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rPr>
            </w:pPr>
            <w:r>
              <w:rPr>
                <w:rFonts w:hint="eastAsia" w:ascii="宋体" w:hAnsi="宋体"/>
                <w:color w:val="000000"/>
                <w:sz w:val="24"/>
                <w:highlight w:val="none"/>
              </w:rPr>
              <w:t>参加政府采购活动前三年内，在经营活动中没有重大违法记录</w:t>
            </w:r>
          </w:p>
        </w:tc>
        <w:tc>
          <w:tcPr>
            <w:tcW w:w="4597" w:type="dxa"/>
            <w:noWrap w:val="0"/>
            <w:vAlign w:val="center"/>
          </w:tcPr>
          <w:p w14:paraId="1261E74D">
            <w:pPr>
              <w:keepNext/>
              <w:keepLines/>
              <w:pageBreakBefore w:val="0"/>
              <w:widowControl w:val="0"/>
              <w:kinsoku/>
              <w:wordWrap/>
              <w:overflowPunct/>
              <w:topLinePunct w:val="0"/>
              <w:autoSpaceDE/>
              <w:autoSpaceDN/>
              <w:bidi w:val="0"/>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提供供应商信用承诺书。</w:t>
            </w:r>
          </w:p>
          <w:p w14:paraId="1EE972AA">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color w:val="000000"/>
                <w:sz w:val="24"/>
                <w:highlight w:val="none"/>
              </w:rPr>
              <w:t>以上证明材料须符合要求、有效、完整。否则，响应无效。</w:t>
            </w:r>
          </w:p>
        </w:tc>
      </w:tr>
      <w:tr w14:paraId="2A59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2" w:hRule="atLeast"/>
          <w:jc w:val="center"/>
        </w:trPr>
        <w:tc>
          <w:tcPr>
            <w:tcW w:w="675" w:type="dxa"/>
            <w:noWrap w:val="0"/>
            <w:vAlign w:val="center"/>
          </w:tcPr>
          <w:p w14:paraId="2C3C9BC2">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6</w:t>
            </w:r>
          </w:p>
        </w:tc>
        <w:tc>
          <w:tcPr>
            <w:tcW w:w="1246" w:type="dxa"/>
            <w:noWrap w:val="0"/>
            <w:vAlign w:val="center"/>
          </w:tcPr>
          <w:p w14:paraId="50A0F5F6">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rPr>
            </w:pPr>
            <w:r>
              <w:rPr>
                <w:rFonts w:ascii="宋体" w:hAnsi="宋体"/>
                <w:sz w:val="24"/>
                <w:highlight w:val="none"/>
              </w:rPr>
              <w:t>基本资质</w:t>
            </w:r>
          </w:p>
        </w:tc>
        <w:tc>
          <w:tcPr>
            <w:tcW w:w="2695" w:type="dxa"/>
            <w:noWrap w:val="0"/>
            <w:vAlign w:val="center"/>
          </w:tcPr>
          <w:p w14:paraId="1FBE9004">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sz w:val="24"/>
              </w:rPr>
            </w:pPr>
            <w:r>
              <w:rPr>
                <w:rFonts w:hint="eastAsia" w:ascii="宋体" w:hAnsi="宋体"/>
                <w:sz w:val="24"/>
                <w:highlight w:val="none"/>
              </w:rPr>
              <w:t>对单位负责人为同一人或者存在直接控股、管理关系的不同供应商，不得参加同一合同项下的政府采购活动的承诺函进行审查</w:t>
            </w:r>
          </w:p>
        </w:tc>
        <w:tc>
          <w:tcPr>
            <w:tcW w:w="4597" w:type="dxa"/>
            <w:noWrap w:val="0"/>
            <w:vAlign w:val="center"/>
          </w:tcPr>
          <w:p w14:paraId="706B5212">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lang w:val="en-US" w:eastAsia="zh-CN"/>
              </w:rPr>
              <w:t>7</w:t>
            </w:r>
            <w:r>
              <w:rPr>
                <w:rFonts w:hint="eastAsia" w:ascii="宋体" w:hAnsi="宋体" w:eastAsia="宋体" w:cs="Times New Roman"/>
                <w:color w:val="000000"/>
                <w:sz w:val="24"/>
                <w:highlight w:val="none"/>
              </w:rPr>
              <w:t>.1承诺函须按</w:t>
            </w:r>
            <w:r>
              <w:rPr>
                <w:rFonts w:hint="eastAsia" w:ascii="宋体" w:hAnsi="宋体" w:eastAsia="宋体" w:cs="Times New Roman"/>
                <w:color w:val="000000"/>
                <w:sz w:val="24"/>
                <w:highlight w:val="none"/>
                <w:lang w:eastAsia="zh-CN"/>
              </w:rPr>
              <w:t>招标文件</w:t>
            </w:r>
            <w:r>
              <w:rPr>
                <w:rFonts w:hint="eastAsia" w:ascii="宋体" w:hAnsi="宋体" w:eastAsia="宋体" w:cs="Times New Roman"/>
                <w:color w:val="000000"/>
                <w:sz w:val="24"/>
                <w:highlight w:val="none"/>
              </w:rPr>
              <w:t>中提供的格式填写，且内容完整、准确、真实、有效。</w:t>
            </w:r>
          </w:p>
          <w:p w14:paraId="5985E8F3">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lang w:val="en-US" w:eastAsia="zh-CN"/>
              </w:rPr>
              <w:t>7</w:t>
            </w:r>
            <w:r>
              <w:rPr>
                <w:rFonts w:hint="eastAsia" w:ascii="宋体" w:hAnsi="宋体" w:eastAsia="宋体" w:cs="Times New Roman"/>
                <w:color w:val="000000"/>
                <w:sz w:val="24"/>
                <w:highlight w:val="none"/>
              </w:rPr>
              <w:t>.2承诺函须按</w:t>
            </w:r>
            <w:r>
              <w:rPr>
                <w:rFonts w:hint="eastAsia" w:ascii="宋体" w:hAnsi="宋体" w:eastAsia="宋体" w:cs="Times New Roman"/>
                <w:color w:val="000000"/>
                <w:sz w:val="24"/>
                <w:highlight w:val="none"/>
                <w:lang w:eastAsia="zh-CN"/>
              </w:rPr>
              <w:t>招标文件</w:t>
            </w:r>
            <w:r>
              <w:rPr>
                <w:rFonts w:hint="eastAsia" w:ascii="宋体" w:hAnsi="宋体" w:eastAsia="宋体" w:cs="Times New Roman"/>
                <w:color w:val="000000"/>
                <w:sz w:val="24"/>
                <w:highlight w:val="none"/>
              </w:rPr>
              <w:t>要求签字、盖章。</w:t>
            </w:r>
          </w:p>
          <w:p w14:paraId="36DD5988">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Times New Roman"/>
                <w:color w:val="000000"/>
                <w:sz w:val="24"/>
                <w:highlight w:val="none"/>
                <w:lang w:val="en-US" w:eastAsia="zh-CN"/>
              </w:rPr>
              <w:t>7</w:t>
            </w:r>
            <w:r>
              <w:rPr>
                <w:rFonts w:hint="eastAsia" w:ascii="宋体" w:hAnsi="宋体" w:eastAsia="宋体" w:cs="Times New Roman"/>
                <w:color w:val="000000"/>
                <w:sz w:val="24"/>
                <w:highlight w:val="none"/>
              </w:rPr>
              <w:t>.3不符合以上要求的或未提供的，响应无效。</w:t>
            </w:r>
          </w:p>
        </w:tc>
      </w:tr>
      <w:tr w14:paraId="3F7E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675" w:type="dxa"/>
            <w:noWrap w:val="0"/>
            <w:vAlign w:val="center"/>
          </w:tcPr>
          <w:p w14:paraId="4FA14DD9">
            <w:pPr>
              <w:keepNext/>
              <w:keepLines/>
              <w:pageBreakBefore w:val="0"/>
              <w:widowControl w:val="0"/>
              <w:kinsoku/>
              <w:wordWrap/>
              <w:overflowPunct/>
              <w:topLinePunct w:val="0"/>
              <w:autoSpaceDE/>
              <w:autoSpaceDN/>
              <w:bidi w:val="0"/>
              <w:ind w:left="-63" w:leftChars="-30" w:right="-63" w:rightChars="-30"/>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7</w:t>
            </w:r>
          </w:p>
        </w:tc>
        <w:tc>
          <w:tcPr>
            <w:tcW w:w="1246" w:type="dxa"/>
            <w:noWrap w:val="0"/>
            <w:vAlign w:val="center"/>
          </w:tcPr>
          <w:p w14:paraId="4E3CEBFA">
            <w:pPr>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rPr>
            </w:pPr>
            <w:r>
              <w:rPr>
                <w:rFonts w:ascii="宋体" w:hAnsi="宋体"/>
                <w:sz w:val="24"/>
                <w:highlight w:val="none"/>
              </w:rPr>
              <w:t>基本资质</w:t>
            </w:r>
          </w:p>
        </w:tc>
        <w:tc>
          <w:tcPr>
            <w:tcW w:w="2695" w:type="dxa"/>
            <w:noWrap w:val="0"/>
            <w:vAlign w:val="center"/>
          </w:tcPr>
          <w:p w14:paraId="6E5E75CC">
            <w:pPr>
              <w:keepNext/>
              <w:keepLines/>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rPr>
            </w:pPr>
            <w:r>
              <w:rPr>
                <w:rFonts w:ascii="宋体" w:hAnsi="宋体"/>
                <w:sz w:val="24"/>
                <w:highlight w:val="none"/>
              </w:rPr>
              <w:t>对供应商提供的廉洁自律承诺函</w:t>
            </w:r>
            <w:r>
              <w:rPr>
                <w:rFonts w:hint="eastAsia" w:ascii="宋体" w:hAnsi="宋体"/>
                <w:sz w:val="24"/>
                <w:highlight w:val="none"/>
              </w:rPr>
              <w:t>进行审查</w:t>
            </w:r>
          </w:p>
        </w:tc>
        <w:tc>
          <w:tcPr>
            <w:tcW w:w="4597" w:type="dxa"/>
            <w:noWrap w:val="0"/>
            <w:vAlign w:val="center"/>
          </w:tcPr>
          <w:p w14:paraId="458682D2">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.1承诺书须按</w:t>
            </w:r>
            <w:r>
              <w:rPr>
                <w:rFonts w:hint="eastAsia" w:ascii="宋体" w:hAnsi="宋体" w:eastAsia="宋体" w:cs="宋体"/>
                <w:sz w:val="24"/>
                <w:lang w:eastAsia="zh-CN"/>
              </w:rPr>
              <w:t>招标文件</w:t>
            </w:r>
            <w:r>
              <w:rPr>
                <w:rFonts w:hint="eastAsia" w:ascii="宋体" w:hAnsi="宋体" w:eastAsia="宋体" w:cs="宋体"/>
                <w:sz w:val="24"/>
              </w:rPr>
              <w:t>中提供的格式填写，且内容完整、准确、真实、有效。</w:t>
            </w:r>
          </w:p>
          <w:p w14:paraId="43A3D82E">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.2承诺书须按</w:t>
            </w:r>
            <w:r>
              <w:rPr>
                <w:rFonts w:hint="eastAsia" w:ascii="宋体" w:hAnsi="宋体" w:eastAsia="宋体" w:cs="宋体"/>
                <w:sz w:val="24"/>
                <w:lang w:eastAsia="zh-CN"/>
              </w:rPr>
              <w:t>招标文件</w:t>
            </w:r>
            <w:r>
              <w:rPr>
                <w:rFonts w:hint="eastAsia" w:ascii="宋体" w:hAnsi="宋体" w:eastAsia="宋体" w:cs="宋体"/>
                <w:sz w:val="24"/>
              </w:rPr>
              <w:t>要求签字、盖章。</w:t>
            </w:r>
          </w:p>
          <w:p w14:paraId="0A3A2157">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.3不符合以上要求的或未提供的，响应无效。</w:t>
            </w:r>
          </w:p>
        </w:tc>
      </w:tr>
      <w:tr w14:paraId="4FDA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5" w:type="dxa"/>
            <w:noWrap w:val="0"/>
            <w:vAlign w:val="center"/>
          </w:tcPr>
          <w:p w14:paraId="7752E02E">
            <w:pPr>
              <w:keepNext/>
              <w:keepLines/>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8</w:t>
            </w:r>
          </w:p>
        </w:tc>
        <w:tc>
          <w:tcPr>
            <w:tcW w:w="1246" w:type="dxa"/>
            <w:noWrap w:val="0"/>
            <w:vAlign w:val="center"/>
          </w:tcPr>
          <w:p w14:paraId="6AB92A1D">
            <w:pPr>
              <w:keepNext/>
              <w:keepLines/>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kern w:val="0"/>
                <w:sz w:val="24"/>
              </w:rPr>
            </w:pPr>
            <w:r>
              <w:rPr>
                <w:sz w:val="24"/>
              </w:rPr>
              <w:t>基本资质</w:t>
            </w:r>
          </w:p>
        </w:tc>
        <w:tc>
          <w:tcPr>
            <w:tcW w:w="2695" w:type="dxa"/>
            <w:noWrap w:val="0"/>
            <w:vAlign w:val="center"/>
          </w:tcPr>
          <w:p w14:paraId="4D4E84D2">
            <w:pPr>
              <w:keepNext/>
              <w:keepLines/>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rPr>
            </w:pPr>
            <w:r>
              <w:rPr>
                <w:rFonts w:hint="eastAsia" w:ascii="宋体" w:hAnsi="宋体" w:eastAsia="宋体" w:cs="宋体"/>
                <w:sz w:val="24"/>
              </w:rPr>
              <w:t>投标</w:t>
            </w:r>
            <w:r>
              <w:rPr>
                <w:rFonts w:hint="eastAsia" w:ascii="宋体" w:hAnsi="宋体" w:eastAsia="宋体" w:cs="宋体"/>
                <w:sz w:val="24"/>
                <w:lang w:eastAsia="en-US"/>
              </w:rPr>
              <w:t>保证金</w:t>
            </w:r>
          </w:p>
        </w:tc>
        <w:tc>
          <w:tcPr>
            <w:tcW w:w="4597" w:type="dxa"/>
            <w:noWrap w:val="0"/>
            <w:vAlign w:val="center"/>
          </w:tcPr>
          <w:p w14:paraId="0EE133C5">
            <w:pPr>
              <w:keepNext/>
              <w:keepLines/>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提供投标保证金凭据</w:t>
            </w:r>
          </w:p>
          <w:p w14:paraId="70C8B80C">
            <w:pPr>
              <w:keepNext/>
              <w:keepLines/>
              <w:pageBreakBefore w:val="0"/>
              <w:widowControl w:val="0"/>
              <w:kinsoku/>
              <w:wordWrap/>
              <w:overflowPunct/>
              <w:topLinePunct w:val="0"/>
              <w:autoSpaceDE/>
              <w:autoSpaceDN/>
              <w:bidi w:val="0"/>
              <w:spacing w:line="360" w:lineRule="auto"/>
              <w:textAlignment w:val="auto"/>
              <w:rPr>
                <w:rFonts w:hint="eastAsia"/>
              </w:rPr>
            </w:pPr>
            <w:r>
              <w:rPr>
                <w:rFonts w:hint="eastAsia" w:ascii="宋体" w:hAnsi="宋体" w:eastAsia="宋体" w:cs="宋体"/>
                <w:sz w:val="24"/>
              </w:rPr>
              <w:t>以上证明材料须符合要求、有效、完整。否则，响应无效。</w:t>
            </w:r>
          </w:p>
        </w:tc>
      </w:tr>
    </w:tbl>
    <w:p w14:paraId="2E9937E9">
      <w:pPr>
        <w:keepNext/>
        <w:keepLines/>
        <w:pageBreakBefore w:val="0"/>
        <w:widowControl w:val="0"/>
        <w:numPr>
          <w:ilvl w:val="0"/>
          <w:numId w:val="0"/>
        </w:numPr>
        <w:kinsoku/>
        <w:wordWrap/>
        <w:overflowPunct/>
        <w:topLinePunct w:val="0"/>
        <w:autoSpaceDE/>
        <w:autoSpaceDN/>
        <w:bidi w:val="0"/>
        <w:textAlignment w:val="auto"/>
        <w:rPr>
          <w:rFonts w:hint="eastAsia" w:ascii="宋体" w:hAnsi="宋体" w:eastAsia="宋体" w:cs="宋体"/>
          <w:highlight w:val="none"/>
        </w:rPr>
      </w:pPr>
    </w:p>
    <w:p w14:paraId="0E93CDD3">
      <w:pPr>
        <w:keepNext/>
        <w:keepLines/>
        <w:pageBreakBefore w:val="0"/>
        <w:widowControl w:val="0"/>
        <w:shd w:val="clear"/>
        <w:kinsoku/>
        <w:wordWrap/>
        <w:overflowPunct/>
        <w:topLinePunct w:val="0"/>
        <w:autoSpaceDE/>
        <w:autoSpaceDN/>
        <w:bidi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说明：除上述内容外，投标人提供的其他材料，不作为资格审查的内容。</w:t>
      </w:r>
    </w:p>
    <w:p w14:paraId="7DAF37B4">
      <w:pPr>
        <w:keepNext/>
        <w:keepLines/>
        <w:pageBreakBefore w:val="0"/>
        <w:widowControl w:val="0"/>
        <w:shd w:val="clear"/>
        <w:kinsoku/>
        <w:wordWrap/>
        <w:overflowPunct/>
        <w:topLinePunct w:val="0"/>
        <w:autoSpaceDE/>
        <w:autoSpaceDN/>
        <w:bidi w:val="0"/>
        <w:snapToGrid w:val="0"/>
        <w:spacing w:line="360" w:lineRule="auto"/>
        <w:ind w:firstLine="240" w:firstLineChars="1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二、符合性审查的内容及标准</w:t>
      </w:r>
    </w:p>
    <w:tbl>
      <w:tblPr>
        <w:tblStyle w:val="31"/>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16"/>
        <w:gridCol w:w="1769"/>
        <w:gridCol w:w="5280"/>
      </w:tblGrid>
      <w:tr w14:paraId="40BE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681" w:type="dxa"/>
            <w:noWrap w:val="0"/>
            <w:vAlign w:val="center"/>
          </w:tcPr>
          <w:p w14:paraId="29E229E0">
            <w:pPr>
              <w:keepNext/>
              <w:keepLines/>
              <w:pageBreakBefore w:val="0"/>
              <w:widowControl w:val="0"/>
              <w:kinsoku/>
              <w:wordWrap/>
              <w:overflowPunct/>
              <w:topLinePunct w:val="0"/>
              <w:autoSpaceDE/>
              <w:autoSpaceDN/>
              <w:bidi w:val="0"/>
              <w:adjustRightInd w:val="0"/>
              <w:snapToGrid w:val="0"/>
              <w:ind w:left="-42" w:leftChars="-20" w:right="-42" w:rightChars="-20"/>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序号</w:t>
            </w:r>
          </w:p>
        </w:tc>
        <w:tc>
          <w:tcPr>
            <w:tcW w:w="1316" w:type="dxa"/>
            <w:noWrap w:val="0"/>
            <w:vAlign w:val="center"/>
          </w:tcPr>
          <w:p w14:paraId="744D9608">
            <w:pPr>
              <w:keepNext/>
              <w:keepLines/>
              <w:pageBreakBefore w:val="0"/>
              <w:widowControl w:val="0"/>
              <w:kinsoku/>
              <w:wordWrap/>
              <w:overflowPunct/>
              <w:topLinePunct w:val="0"/>
              <w:autoSpaceDE/>
              <w:autoSpaceDN/>
              <w:bidi w:val="0"/>
              <w:adjustRightInd w:val="0"/>
              <w:snapToGrid w:val="0"/>
              <w:ind w:left="-42" w:leftChars="-20" w:right="-42" w:rightChars="-20"/>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类型</w:t>
            </w:r>
          </w:p>
        </w:tc>
        <w:tc>
          <w:tcPr>
            <w:tcW w:w="1769" w:type="dxa"/>
            <w:noWrap w:val="0"/>
            <w:vAlign w:val="center"/>
          </w:tcPr>
          <w:p w14:paraId="1B07E354">
            <w:pPr>
              <w:keepNext/>
              <w:keepLines/>
              <w:pageBreakBefore w:val="0"/>
              <w:widowControl w:val="0"/>
              <w:kinsoku/>
              <w:wordWrap/>
              <w:overflowPunct/>
              <w:topLinePunct w:val="0"/>
              <w:autoSpaceDE/>
              <w:autoSpaceDN/>
              <w:bidi w:val="0"/>
              <w:adjustRightInd w:val="0"/>
              <w:snapToGrid w:val="0"/>
              <w:ind w:left="-42" w:leftChars="-20" w:right="-42" w:rightChars="-20"/>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要求</w:t>
            </w:r>
          </w:p>
        </w:tc>
        <w:tc>
          <w:tcPr>
            <w:tcW w:w="5280" w:type="dxa"/>
            <w:noWrap w:val="0"/>
            <w:vAlign w:val="center"/>
          </w:tcPr>
          <w:p w14:paraId="3FB2F49C">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要求说明</w:t>
            </w:r>
          </w:p>
        </w:tc>
      </w:tr>
      <w:tr w14:paraId="33F9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81" w:type="dxa"/>
            <w:noWrap w:val="0"/>
            <w:vAlign w:val="center"/>
          </w:tcPr>
          <w:p w14:paraId="3EF574D6">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1</w:t>
            </w:r>
          </w:p>
        </w:tc>
        <w:tc>
          <w:tcPr>
            <w:tcW w:w="1316" w:type="dxa"/>
            <w:noWrap w:val="0"/>
            <w:vAlign w:val="center"/>
          </w:tcPr>
          <w:p w14:paraId="2BEFA050">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商务资信</w:t>
            </w:r>
          </w:p>
        </w:tc>
        <w:tc>
          <w:tcPr>
            <w:tcW w:w="1769" w:type="dxa"/>
            <w:noWrap w:val="0"/>
            <w:vAlign w:val="center"/>
          </w:tcPr>
          <w:p w14:paraId="2824CA35">
            <w:pPr>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法定代表人（负责人）身份证明</w:t>
            </w:r>
          </w:p>
        </w:tc>
        <w:tc>
          <w:tcPr>
            <w:tcW w:w="5280" w:type="dxa"/>
            <w:noWrap w:val="0"/>
            <w:vAlign w:val="center"/>
          </w:tcPr>
          <w:p w14:paraId="66A94010">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提供《法定代表人（负责人）身份证明书》</w:t>
            </w:r>
          </w:p>
          <w:p w14:paraId="590181CC">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以上证明书须根据招标文件中的格式内容提供，内容须符合要求、完整、准确、真实、有效。否则，投标无效。</w:t>
            </w:r>
          </w:p>
        </w:tc>
      </w:tr>
      <w:tr w14:paraId="18EC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81" w:type="dxa"/>
            <w:noWrap w:val="0"/>
            <w:vAlign w:val="center"/>
          </w:tcPr>
          <w:p w14:paraId="15EB6ACF">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2</w:t>
            </w:r>
          </w:p>
        </w:tc>
        <w:tc>
          <w:tcPr>
            <w:tcW w:w="1316" w:type="dxa"/>
            <w:noWrap w:val="0"/>
            <w:vAlign w:val="center"/>
          </w:tcPr>
          <w:p w14:paraId="23A0A5BF">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商务资信</w:t>
            </w:r>
          </w:p>
        </w:tc>
        <w:tc>
          <w:tcPr>
            <w:tcW w:w="1769" w:type="dxa"/>
            <w:noWrap w:val="0"/>
            <w:vAlign w:val="center"/>
          </w:tcPr>
          <w:p w14:paraId="24BA35E1">
            <w:pPr>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法定代表人（负责人）授权委托书</w:t>
            </w:r>
          </w:p>
        </w:tc>
        <w:tc>
          <w:tcPr>
            <w:tcW w:w="5280" w:type="dxa"/>
            <w:noWrap w:val="0"/>
            <w:vAlign w:val="center"/>
          </w:tcPr>
          <w:p w14:paraId="5B5975D9">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提供《法定代表人（负责人）授权委托书》</w:t>
            </w:r>
          </w:p>
          <w:p w14:paraId="7261D7CB">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以上委托书须根据招标文件中的格式内容提供，内容须符合要求、完整、准确、真实、有效。否则，投标无效。</w:t>
            </w:r>
          </w:p>
        </w:tc>
      </w:tr>
      <w:tr w14:paraId="0475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81" w:type="dxa"/>
            <w:noWrap w:val="0"/>
            <w:vAlign w:val="center"/>
          </w:tcPr>
          <w:p w14:paraId="596C6985">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3</w:t>
            </w:r>
          </w:p>
        </w:tc>
        <w:tc>
          <w:tcPr>
            <w:tcW w:w="1316" w:type="dxa"/>
            <w:noWrap w:val="0"/>
            <w:vAlign w:val="center"/>
          </w:tcPr>
          <w:p w14:paraId="35220257">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商务资信</w:t>
            </w:r>
          </w:p>
        </w:tc>
        <w:tc>
          <w:tcPr>
            <w:tcW w:w="1769" w:type="dxa"/>
            <w:noWrap w:val="0"/>
            <w:vAlign w:val="center"/>
          </w:tcPr>
          <w:p w14:paraId="621116F6">
            <w:pPr>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投标函</w:t>
            </w:r>
          </w:p>
        </w:tc>
        <w:tc>
          <w:tcPr>
            <w:tcW w:w="5280" w:type="dxa"/>
            <w:noWrap w:val="0"/>
            <w:vAlign w:val="center"/>
          </w:tcPr>
          <w:p w14:paraId="3B72D0A7">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提供《投标函》</w:t>
            </w:r>
          </w:p>
          <w:p w14:paraId="5E7AC8B1">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投标函须根据招标文件中的格式内容提供，内容须符合要求、完整、准确、真实、有效。否则，投标无效。</w:t>
            </w:r>
          </w:p>
        </w:tc>
      </w:tr>
      <w:tr w14:paraId="6D4D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81" w:type="dxa"/>
            <w:noWrap w:val="0"/>
            <w:vAlign w:val="center"/>
          </w:tcPr>
          <w:p w14:paraId="456DB649">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4</w:t>
            </w:r>
          </w:p>
        </w:tc>
        <w:tc>
          <w:tcPr>
            <w:tcW w:w="1316" w:type="dxa"/>
            <w:noWrap w:val="0"/>
            <w:vAlign w:val="center"/>
          </w:tcPr>
          <w:p w14:paraId="58AD6222">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报价</w:t>
            </w:r>
          </w:p>
        </w:tc>
        <w:tc>
          <w:tcPr>
            <w:tcW w:w="1769" w:type="dxa"/>
            <w:noWrap w:val="0"/>
            <w:vAlign w:val="center"/>
          </w:tcPr>
          <w:p w14:paraId="29F20D7A">
            <w:pPr>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开标一览表</w:t>
            </w:r>
          </w:p>
        </w:tc>
        <w:tc>
          <w:tcPr>
            <w:tcW w:w="5280" w:type="dxa"/>
            <w:noWrap w:val="0"/>
            <w:vAlign w:val="center"/>
          </w:tcPr>
          <w:p w14:paraId="38776601">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提供《开标一览表》、《分项报价表》（若要求）</w:t>
            </w:r>
          </w:p>
          <w:p w14:paraId="7EC10C45">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以上材料须根据招标文件中的格式内容提供，内容须符合要求、完整、准确、无漏项、无缺项、无可选择或可调整报价。否则，投标无效。</w:t>
            </w:r>
          </w:p>
        </w:tc>
      </w:tr>
      <w:tr w14:paraId="425A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4" w:hRule="atLeast"/>
          <w:jc w:val="center"/>
        </w:trPr>
        <w:tc>
          <w:tcPr>
            <w:tcW w:w="681" w:type="dxa"/>
            <w:noWrap w:val="0"/>
            <w:vAlign w:val="center"/>
          </w:tcPr>
          <w:p w14:paraId="481780E0">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5</w:t>
            </w:r>
          </w:p>
        </w:tc>
        <w:tc>
          <w:tcPr>
            <w:tcW w:w="1316" w:type="dxa"/>
            <w:noWrap w:val="0"/>
            <w:vAlign w:val="center"/>
          </w:tcPr>
          <w:p w14:paraId="34F37E3F">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cs="宋体" w:asciiTheme="minorEastAsia" w:hAnsiTheme="minorEastAsia" w:eastAsiaTheme="minorEastAsia"/>
                <w:snapToGrid w:val="0"/>
                <w:kern w:val="0"/>
                <w:sz w:val="24"/>
                <w:szCs w:val="24"/>
              </w:rPr>
              <w:t>商务资信</w:t>
            </w:r>
          </w:p>
        </w:tc>
        <w:tc>
          <w:tcPr>
            <w:tcW w:w="1769" w:type="dxa"/>
            <w:noWrap w:val="0"/>
            <w:vAlign w:val="center"/>
          </w:tcPr>
          <w:p w14:paraId="3D0CBC89">
            <w:pPr>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商务条款响应表</w:t>
            </w:r>
          </w:p>
        </w:tc>
        <w:tc>
          <w:tcPr>
            <w:tcW w:w="5280" w:type="dxa"/>
            <w:noWrap w:val="0"/>
            <w:vAlign w:val="center"/>
          </w:tcPr>
          <w:p w14:paraId="3E0BB823">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提供《商务条款响应表》</w:t>
            </w:r>
          </w:p>
          <w:p w14:paraId="08C1916F">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以上材料须根据招标文件中的格式内容提供，内容须符合要求、完整、准确、真实、无漏项、无缺项。否则，投标无效。</w:t>
            </w:r>
          </w:p>
        </w:tc>
      </w:tr>
      <w:tr w14:paraId="1B68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jc w:val="center"/>
        </w:trPr>
        <w:tc>
          <w:tcPr>
            <w:tcW w:w="681" w:type="dxa"/>
            <w:noWrap w:val="0"/>
            <w:vAlign w:val="center"/>
          </w:tcPr>
          <w:p w14:paraId="5D7E2F85">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cs="宋体" w:asciiTheme="minorEastAsia" w:hAnsiTheme="minorEastAsia" w:eastAsiaTheme="minorEastAsia"/>
                <w:snapToGrid w:val="0"/>
                <w:kern w:val="0"/>
                <w:sz w:val="24"/>
                <w:szCs w:val="24"/>
              </w:rPr>
              <w:t>6</w:t>
            </w:r>
          </w:p>
        </w:tc>
        <w:tc>
          <w:tcPr>
            <w:tcW w:w="1316" w:type="dxa"/>
            <w:noWrap w:val="0"/>
            <w:vAlign w:val="center"/>
          </w:tcPr>
          <w:p w14:paraId="58921D96">
            <w:pPr>
              <w:keepNext/>
              <w:keepLines/>
              <w:pageBreakBefore w:val="0"/>
              <w:widowControl w:val="0"/>
              <w:kinsoku/>
              <w:wordWrap/>
              <w:overflowPunct/>
              <w:topLinePunct w:val="0"/>
              <w:autoSpaceDE/>
              <w:autoSpaceDN/>
              <w:bidi w:val="0"/>
              <w:adjustRightInd w:val="0"/>
              <w:snapToGrid w:val="0"/>
              <w:jc w:val="center"/>
              <w:textAlignment w:val="auto"/>
              <w:rPr>
                <w:rFonts w:ascii="宋体" w:hAnsi="宋体"/>
                <w:sz w:val="24"/>
                <w:szCs w:val="24"/>
                <w:highlight w:val="none"/>
              </w:rPr>
            </w:pPr>
            <w:r>
              <w:rPr>
                <w:rFonts w:hint="eastAsia" w:cs="宋体" w:asciiTheme="minorEastAsia" w:hAnsiTheme="minorEastAsia" w:eastAsiaTheme="minorEastAsia"/>
                <w:snapToGrid w:val="0"/>
                <w:kern w:val="0"/>
                <w:sz w:val="24"/>
                <w:szCs w:val="24"/>
              </w:rPr>
              <w:t>技术</w:t>
            </w:r>
          </w:p>
        </w:tc>
        <w:tc>
          <w:tcPr>
            <w:tcW w:w="1769" w:type="dxa"/>
            <w:noWrap w:val="0"/>
            <w:vAlign w:val="center"/>
          </w:tcPr>
          <w:p w14:paraId="2DD62F10">
            <w:pPr>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000000"/>
                <w:sz w:val="24"/>
                <w:szCs w:val="24"/>
                <w:highlight w:val="none"/>
              </w:rPr>
            </w:pPr>
            <w:r>
              <w:rPr>
                <w:rFonts w:hint="eastAsia" w:cs="宋体" w:asciiTheme="minorEastAsia" w:hAnsiTheme="minorEastAsia" w:eastAsiaTheme="minorEastAsia"/>
                <w:sz w:val="24"/>
                <w:szCs w:val="24"/>
              </w:rPr>
              <w:t>采购货物技术规范响应及偏离表</w:t>
            </w:r>
          </w:p>
        </w:tc>
        <w:tc>
          <w:tcPr>
            <w:tcW w:w="5280" w:type="dxa"/>
            <w:noWrap w:val="0"/>
            <w:vAlign w:val="center"/>
          </w:tcPr>
          <w:p w14:paraId="5E9EC94B">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b/>
                <w:spacing w:val="20"/>
                <w:kern w:val="0"/>
                <w:sz w:val="24"/>
                <w:szCs w:val="24"/>
              </w:rPr>
            </w:pPr>
            <w:r>
              <w:rPr>
                <w:rFonts w:hint="eastAsia" w:cs="宋体" w:asciiTheme="minorEastAsia" w:hAnsiTheme="minorEastAsia" w:eastAsiaTheme="minorEastAsia"/>
                <w:sz w:val="24"/>
                <w:szCs w:val="24"/>
              </w:rPr>
              <w:t>提供《</w:t>
            </w:r>
            <w:r>
              <w:rPr>
                <w:rFonts w:hint="eastAsia" w:cs="宋体" w:asciiTheme="minorEastAsia" w:hAnsiTheme="minorEastAsia" w:eastAsiaTheme="minorEastAsia"/>
                <w:bCs/>
                <w:kern w:val="0"/>
                <w:sz w:val="24"/>
                <w:szCs w:val="24"/>
              </w:rPr>
              <w:t>采购货物技术规范响应及偏离表</w:t>
            </w:r>
            <w:r>
              <w:rPr>
                <w:rFonts w:hint="eastAsia" w:cs="宋体" w:asciiTheme="minorEastAsia" w:hAnsiTheme="minorEastAsia" w:eastAsiaTheme="minorEastAsia"/>
                <w:sz w:val="24"/>
                <w:szCs w:val="24"/>
              </w:rPr>
              <w:t>》</w:t>
            </w:r>
          </w:p>
          <w:p w14:paraId="38E22E95">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以上材料须根据招标文件中的格式内容提供，内容须符合要求、完整、准确、真实、无漏项、无缺项。否则，投标无效。</w:t>
            </w:r>
          </w:p>
        </w:tc>
      </w:tr>
      <w:tr w14:paraId="79F4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jc w:val="center"/>
        </w:trPr>
        <w:tc>
          <w:tcPr>
            <w:tcW w:w="681" w:type="dxa"/>
            <w:noWrap w:val="0"/>
            <w:vAlign w:val="center"/>
          </w:tcPr>
          <w:p w14:paraId="3E4E1AEE">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cs="宋体" w:asciiTheme="minorEastAsia" w:hAnsiTheme="minorEastAsia" w:eastAsiaTheme="minorEastAsia"/>
                <w:snapToGrid w:val="0"/>
                <w:kern w:val="0"/>
                <w:sz w:val="24"/>
                <w:szCs w:val="24"/>
              </w:rPr>
              <w:t>7</w:t>
            </w:r>
          </w:p>
        </w:tc>
        <w:tc>
          <w:tcPr>
            <w:tcW w:w="1316" w:type="dxa"/>
            <w:noWrap w:val="0"/>
            <w:vAlign w:val="center"/>
          </w:tcPr>
          <w:p w14:paraId="3ACEAEED">
            <w:pPr>
              <w:keepNext/>
              <w:keepLines/>
              <w:pageBreakBefore w:val="0"/>
              <w:widowControl w:val="0"/>
              <w:kinsoku/>
              <w:wordWrap/>
              <w:overflowPunct/>
              <w:topLinePunct w:val="0"/>
              <w:autoSpaceDE/>
              <w:autoSpaceDN/>
              <w:bidi w:val="0"/>
              <w:adjustRightInd w:val="0"/>
              <w:snapToGrid w:val="0"/>
              <w:jc w:val="center"/>
              <w:textAlignment w:val="auto"/>
              <w:rPr>
                <w:sz w:val="24"/>
                <w:szCs w:val="24"/>
              </w:rPr>
            </w:pPr>
            <w:r>
              <w:rPr>
                <w:rFonts w:hint="eastAsia" w:cs="宋体" w:asciiTheme="minorEastAsia" w:hAnsiTheme="minorEastAsia" w:eastAsiaTheme="minorEastAsia"/>
                <w:snapToGrid w:val="0"/>
                <w:kern w:val="0"/>
                <w:sz w:val="24"/>
                <w:szCs w:val="24"/>
              </w:rPr>
              <w:t>商务资信</w:t>
            </w:r>
          </w:p>
        </w:tc>
        <w:tc>
          <w:tcPr>
            <w:tcW w:w="1769" w:type="dxa"/>
            <w:noWrap w:val="0"/>
            <w:vAlign w:val="center"/>
          </w:tcPr>
          <w:p w14:paraId="347D9CF1">
            <w:pPr>
              <w:keepNext/>
              <w:keepLines/>
              <w:pageBreakBefore w:val="0"/>
              <w:widowControl w:val="0"/>
              <w:kinsoku/>
              <w:wordWrap/>
              <w:overflowPunct/>
              <w:topLinePunct w:val="0"/>
              <w:autoSpaceDE/>
              <w:autoSpaceDN/>
              <w:bidi w:val="0"/>
              <w:adjustRightInd w:val="0"/>
              <w:snapToGrid w:val="0"/>
              <w:spacing w:line="360" w:lineRule="auto"/>
              <w:jc w:val="center"/>
              <w:textAlignment w:val="auto"/>
              <w:rPr>
                <w:sz w:val="24"/>
                <w:szCs w:val="24"/>
              </w:rPr>
            </w:pPr>
            <w:r>
              <w:rPr>
                <w:rFonts w:hint="eastAsia" w:cs="宋体" w:asciiTheme="minorEastAsia" w:hAnsiTheme="minorEastAsia" w:eastAsiaTheme="minorEastAsia"/>
                <w:sz w:val="24"/>
                <w:szCs w:val="24"/>
              </w:rPr>
              <w:t>投标文件商务部分封面</w:t>
            </w:r>
          </w:p>
        </w:tc>
        <w:tc>
          <w:tcPr>
            <w:tcW w:w="5280" w:type="dxa"/>
            <w:noWrap w:val="0"/>
            <w:vAlign w:val="center"/>
          </w:tcPr>
          <w:p w14:paraId="27D0F7CD">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投标文件商务部分封面须按招标文件中提供的格式内容填写</w:t>
            </w:r>
          </w:p>
          <w:p w14:paraId="6366BE52">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投标文件商务部分封面应符合要求、完整，否则，投标无效。</w:t>
            </w:r>
          </w:p>
        </w:tc>
      </w:tr>
      <w:tr w14:paraId="1456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jc w:val="center"/>
        </w:trPr>
        <w:tc>
          <w:tcPr>
            <w:tcW w:w="681" w:type="dxa"/>
            <w:noWrap w:val="0"/>
            <w:vAlign w:val="center"/>
          </w:tcPr>
          <w:p w14:paraId="457D02CC">
            <w:pPr>
              <w:keepNext/>
              <w:keepLines/>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lang w:val="en-US" w:eastAsia="zh-CN"/>
              </w:rPr>
            </w:pPr>
            <w:r>
              <w:rPr>
                <w:rFonts w:hint="eastAsia" w:cs="宋体" w:asciiTheme="minorEastAsia" w:hAnsiTheme="minorEastAsia" w:eastAsiaTheme="minorEastAsia"/>
                <w:snapToGrid w:val="0"/>
                <w:kern w:val="0"/>
                <w:sz w:val="24"/>
                <w:szCs w:val="24"/>
              </w:rPr>
              <w:t>8</w:t>
            </w:r>
          </w:p>
        </w:tc>
        <w:tc>
          <w:tcPr>
            <w:tcW w:w="1316" w:type="dxa"/>
            <w:noWrap w:val="0"/>
            <w:vAlign w:val="center"/>
          </w:tcPr>
          <w:p w14:paraId="2BF6EC2D">
            <w:pPr>
              <w:keepNext/>
              <w:keepLines/>
              <w:pageBreakBefore w:val="0"/>
              <w:widowControl w:val="0"/>
              <w:kinsoku/>
              <w:wordWrap/>
              <w:overflowPunct/>
              <w:topLinePunct w:val="0"/>
              <w:autoSpaceDE/>
              <w:autoSpaceDN/>
              <w:bidi w:val="0"/>
              <w:adjustRightInd w:val="0"/>
              <w:snapToGrid w:val="0"/>
              <w:jc w:val="center"/>
              <w:textAlignment w:val="auto"/>
              <w:rPr>
                <w:sz w:val="24"/>
                <w:szCs w:val="24"/>
              </w:rPr>
            </w:pPr>
            <w:r>
              <w:rPr>
                <w:rFonts w:hint="eastAsia" w:cs="宋体" w:asciiTheme="minorEastAsia" w:hAnsiTheme="minorEastAsia" w:eastAsiaTheme="minorEastAsia"/>
                <w:snapToGrid w:val="0"/>
                <w:kern w:val="0"/>
                <w:sz w:val="24"/>
                <w:szCs w:val="24"/>
              </w:rPr>
              <w:t>技术</w:t>
            </w:r>
          </w:p>
        </w:tc>
        <w:tc>
          <w:tcPr>
            <w:tcW w:w="1769" w:type="dxa"/>
            <w:noWrap w:val="0"/>
            <w:vAlign w:val="center"/>
          </w:tcPr>
          <w:p w14:paraId="4C036071">
            <w:pPr>
              <w:keepNext/>
              <w:keepLines/>
              <w:pageBreakBefore w:val="0"/>
              <w:widowControl w:val="0"/>
              <w:kinsoku/>
              <w:wordWrap/>
              <w:overflowPunct/>
              <w:topLinePunct w:val="0"/>
              <w:autoSpaceDE/>
              <w:autoSpaceDN/>
              <w:bidi w:val="0"/>
              <w:adjustRightInd w:val="0"/>
              <w:snapToGrid w:val="0"/>
              <w:spacing w:line="360" w:lineRule="auto"/>
              <w:jc w:val="center"/>
              <w:textAlignment w:val="auto"/>
              <w:rPr>
                <w:sz w:val="24"/>
                <w:szCs w:val="24"/>
              </w:rPr>
            </w:pPr>
            <w:r>
              <w:rPr>
                <w:rFonts w:hint="eastAsia" w:cs="宋体" w:asciiTheme="minorEastAsia" w:hAnsiTheme="minorEastAsia" w:eastAsiaTheme="minorEastAsia"/>
                <w:sz w:val="24"/>
                <w:szCs w:val="24"/>
              </w:rPr>
              <w:t>政策性要求</w:t>
            </w:r>
          </w:p>
        </w:tc>
        <w:tc>
          <w:tcPr>
            <w:tcW w:w="5280" w:type="dxa"/>
            <w:noWrap w:val="0"/>
            <w:vAlign w:val="center"/>
          </w:tcPr>
          <w:p w14:paraId="100C7BAE">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提供响应政策性要求证明材料</w:t>
            </w:r>
          </w:p>
          <w:p w14:paraId="6B7C266C">
            <w:pPr>
              <w:keepNext/>
              <w:keepLines/>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cs="宋体" w:asciiTheme="minorEastAsia" w:hAnsiTheme="minorEastAsia" w:eastAsiaTheme="minorEastAsia"/>
                <w:sz w:val="24"/>
                <w:szCs w:val="24"/>
              </w:rPr>
              <w:t>以上材料须根据招标文件中的格式内容提供（未提供格式的自拟），内容须符合要求、完整、准确、真实、无漏项、无缺项。否则，投标无效。</w:t>
            </w:r>
          </w:p>
        </w:tc>
      </w:tr>
    </w:tbl>
    <w:p w14:paraId="28D973BC">
      <w:pPr>
        <w:pStyle w:val="46"/>
        <w:keepNext/>
        <w:keepLines/>
        <w:pageBreakBefore w:val="0"/>
        <w:widowControl w:val="0"/>
        <w:shd w:val="clear"/>
        <w:kinsoku/>
        <w:wordWrap/>
        <w:overflowPunct/>
        <w:topLinePunct w:val="0"/>
        <w:autoSpaceDE/>
        <w:autoSpaceDN/>
        <w:bidi w:val="0"/>
        <w:snapToGrid w:val="0"/>
        <w:spacing w:line="360" w:lineRule="auto"/>
        <w:ind w:left="1080" w:hanging="1080" w:hangingChars="4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06896518">
      <w:pPr>
        <w:pStyle w:val="46"/>
        <w:keepNext/>
        <w:keepLines/>
        <w:pageBreakBefore w:val="0"/>
        <w:widowControl w:val="0"/>
        <w:shd w:val="clear"/>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1.符合性审查的内容，经评标委员会成员按照少数服从多数的原则，确定其没有做出实质性、符合性响应的，将导致投标无效。</w:t>
      </w:r>
    </w:p>
    <w:p w14:paraId="2664B229">
      <w:pPr>
        <w:pStyle w:val="46"/>
        <w:keepNext/>
        <w:keepLines/>
        <w:pageBreakBefore w:val="0"/>
        <w:widowControl w:val="0"/>
        <w:shd w:val="clear"/>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2.投标文件中项目名称、项目编号等存在前后不一致情形的，可按照招标文件要求做出澄清；如投标文件中所涉及内容全部与招标文件不一致，按无效投标处理。</w:t>
      </w:r>
    </w:p>
    <w:p w14:paraId="09DDA0F6">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cs="宋体" w:asciiTheme="minorEastAsia" w:hAnsiTheme="minorEastAsia" w:eastAsiaTheme="minorEastAsia"/>
          <w:b/>
          <w:color w:val="000000" w:themeColor="text1"/>
          <w:kern w:val="0"/>
          <w:sz w:val="24"/>
          <w:szCs w:val="24"/>
          <w14:textFill>
            <w14:solidFill>
              <w14:schemeClr w14:val="tx1"/>
            </w14:solidFill>
          </w14:textFill>
        </w:rPr>
      </w:pPr>
      <w:bookmarkStart w:id="55" w:name="_Toc180347467"/>
      <w:bookmarkStart w:id="56" w:name="_Toc29803"/>
      <w:bookmarkStart w:id="57" w:name="_Toc180571694"/>
      <w:r>
        <w:rPr>
          <w:rFonts w:hint="eastAsia" w:cs="宋体" w:asciiTheme="minorEastAsia" w:hAnsiTheme="minorEastAsia" w:eastAsiaTheme="minorEastAsia"/>
          <w:b/>
          <w:color w:val="000000" w:themeColor="text1"/>
          <w:kern w:val="0"/>
          <w:sz w:val="24"/>
          <w:szCs w:val="24"/>
          <w14:textFill>
            <w14:solidFill>
              <w14:schemeClr w14:val="tx1"/>
            </w14:solidFill>
          </w14:textFill>
        </w:rPr>
        <w:t>三、报价符合性审查的内容及标准</w:t>
      </w:r>
      <w:bookmarkEnd w:id="55"/>
      <w:bookmarkEnd w:id="56"/>
      <w:bookmarkEnd w:id="57"/>
    </w:p>
    <w:tbl>
      <w:tblPr>
        <w:tblStyle w:val="31"/>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1"/>
        <w:gridCol w:w="2306"/>
        <w:gridCol w:w="5499"/>
      </w:tblGrid>
      <w:tr w14:paraId="118C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21" w:type="dxa"/>
            <w:vAlign w:val="center"/>
          </w:tcPr>
          <w:p w14:paraId="1674B7BD">
            <w:pPr>
              <w:keepNext/>
              <w:keepLines/>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序号</w:t>
            </w:r>
          </w:p>
        </w:tc>
        <w:tc>
          <w:tcPr>
            <w:tcW w:w="851" w:type="dxa"/>
            <w:vAlign w:val="center"/>
          </w:tcPr>
          <w:p w14:paraId="16B9943F">
            <w:pPr>
              <w:keepNext/>
              <w:keepLines/>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类型</w:t>
            </w:r>
          </w:p>
        </w:tc>
        <w:tc>
          <w:tcPr>
            <w:tcW w:w="2306" w:type="dxa"/>
            <w:vAlign w:val="center"/>
          </w:tcPr>
          <w:p w14:paraId="6878EC68">
            <w:pPr>
              <w:keepNext/>
              <w:keepLines/>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要求</w:t>
            </w:r>
          </w:p>
        </w:tc>
        <w:tc>
          <w:tcPr>
            <w:tcW w:w="5499" w:type="dxa"/>
            <w:vAlign w:val="center"/>
          </w:tcPr>
          <w:p w14:paraId="0212427A">
            <w:pPr>
              <w:keepNext/>
              <w:keepLines/>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要求说明</w:t>
            </w:r>
          </w:p>
        </w:tc>
      </w:tr>
      <w:tr w14:paraId="18E2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21" w:type="dxa"/>
            <w:vAlign w:val="center"/>
          </w:tcPr>
          <w:p w14:paraId="68D2585E">
            <w:pPr>
              <w:keepNext/>
              <w:keepLines/>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p>
        </w:tc>
        <w:tc>
          <w:tcPr>
            <w:tcW w:w="851" w:type="dxa"/>
            <w:vAlign w:val="center"/>
          </w:tcPr>
          <w:p w14:paraId="6894F28D">
            <w:pPr>
              <w:keepNext/>
              <w:keepLines/>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报价</w:t>
            </w:r>
          </w:p>
        </w:tc>
        <w:tc>
          <w:tcPr>
            <w:tcW w:w="2306" w:type="dxa"/>
            <w:vAlign w:val="center"/>
          </w:tcPr>
          <w:p w14:paraId="3529F459">
            <w:pPr>
              <w:keepNext/>
              <w:keepLines/>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投标文件的报价审核</w:t>
            </w:r>
          </w:p>
        </w:tc>
        <w:tc>
          <w:tcPr>
            <w:tcW w:w="5499" w:type="dxa"/>
            <w:vAlign w:val="center"/>
          </w:tcPr>
          <w:p w14:paraId="258FCE1B">
            <w:pPr>
              <w:keepNext/>
              <w:keepLines/>
              <w:pageBreakBefore w:val="0"/>
              <w:widowControl w:val="0"/>
              <w:tabs>
                <w:tab w:val="left" w:pos="567"/>
              </w:tabs>
              <w:kinsoku/>
              <w:wordWrap/>
              <w:overflowPunct/>
              <w:topLinePunct w:val="0"/>
              <w:autoSpaceDE/>
              <w:autoSpaceDN/>
              <w:bidi w:val="0"/>
              <w:adjustRightInd w:val="0"/>
              <w:snapToGrid w:val="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审查投标人报价是否超出各包最高限价，存在超出最高限价的，投标无效。</w:t>
            </w:r>
          </w:p>
        </w:tc>
      </w:tr>
    </w:tbl>
    <w:p w14:paraId="47F31E47">
      <w:pPr>
        <w:keepNext/>
        <w:keepLines/>
        <w:pageBreakBefore w:val="0"/>
        <w:widowControl w:val="0"/>
        <w:kinsoku/>
        <w:wordWrap/>
        <w:overflowPunct/>
        <w:topLinePunct w:val="0"/>
        <w:autoSpaceDE/>
        <w:autoSpaceDN/>
        <w:bidi w:val="0"/>
        <w:adjustRightInd w:val="0"/>
        <w:snapToGrid w:val="0"/>
        <w:spacing w:before="120" w:beforeLines="50" w:line="360" w:lineRule="auto"/>
        <w:ind w:firstLine="480" w:firstLineChars="200"/>
        <w:jc w:val="left"/>
        <w:textAlignment w:val="auto"/>
        <w:outlineLvl w:val="1"/>
        <w:rPr>
          <w:rFonts w:cs="宋体" w:asciiTheme="minorEastAsia" w:hAnsiTheme="minorEastAsia" w:eastAsiaTheme="minorEastAsia"/>
          <w:b/>
          <w:bCs/>
          <w:snapToGrid w:val="0"/>
          <w:kern w:val="0"/>
          <w:sz w:val="24"/>
          <w:szCs w:val="24"/>
        </w:rPr>
      </w:pPr>
      <w:bookmarkStart w:id="58" w:name="_Toc180347468"/>
      <w:bookmarkStart w:id="59" w:name="_Toc180571695"/>
      <w:bookmarkStart w:id="60" w:name="_Toc11377"/>
      <w:r>
        <w:rPr>
          <w:rFonts w:hint="eastAsia" w:cs="宋体" w:asciiTheme="minorEastAsia" w:hAnsiTheme="minorEastAsia" w:eastAsiaTheme="minorEastAsia"/>
          <w:b/>
          <w:bCs/>
          <w:snapToGrid w:val="0"/>
          <w:kern w:val="0"/>
          <w:sz w:val="24"/>
          <w:szCs w:val="24"/>
        </w:rPr>
        <w:t>四、落实政府采购政策性要求的评审内容及标准</w:t>
      </w:r>
      <w:bookmarkEnd w:id="58"/>
      <w:bookmarkEnd w:id="59"/>
      <w:bookmarkEnd w:id="60"/>
    </w:p>
    <w:p w14:paraId="54DD6009">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1.进口货物评审标准</w:t>
      </w:r>
    </w:p>
    <w:p w14:paraId="4BBA15BB">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货物未特别注明“进口产品”字样的，均必须采购国产产品，即非“通过中国海关报关验放进入中国境内且产自关境外的产品”，采购产品各项技术标准必须符合国家强制性标准。特别注明“进口产品”字样的，优先采购向我国企业转让技术、与我国企业签订消化吸收再创新方案的投标人的进口产品，如果有能够满足采购需求的国产产品参与，应当按照公平竞争的原则进行评审。</w:t>
      </w:r>
      <w:r>
        <w:rPr>
          <w:rFonts w:hint="eastAsia" w:cs="宋体" w:asciiTheme="minorEastAsia" w:hAnsiTheme="minorEastAsia" w:eastAsiaTheme="minorEastAsia"/>
          <w:b/>
          <w:bCs/>
          <w:sz w:val="24"/>
          <w:szCs w:val="24"/>
        </w:rPr>
        <w:t>如未特别标明“进口产品”字样，投标人投报了进口产品的，按无效投标处理。</w:t>
      </w:r>
    </w:p>
    <w:p w14:paraId="3CE08651">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2.强制节能产品</w:t>
      </w:r>
    </w:p>
    <w:p w14:paraId="0C8DB409">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获得国家确定的认证机构出具的处于有效期之内的节能产品认证证书。否则，投标无效。</w:t>
      </w:r>
    </w:p>
    <w:p w14:paraId="3340723F">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3.本项目所采购的货物中如包含计算机，必须提供《</w:t>
      </w:r>
      <w:r>
        <w:rPr>
          <w:rFonts w:hint="eastAsia" w:cs="宋体" w:asciiTheme="minorEastAsia" w:hAnsiTheme="minorEastAsia" w:eastAsiaTheme="minorEastAsia"/>
          <w:b/>
          <w:sz w:val="24"/>
          <w:szCs w:val="24"/>
        </w:rPr>
        <w:t>正版软件承诺函</w:t>
      </w:r>
      <w:r>
        <w:rPr>
          <w:rFonts w:hint="eastAsia" w:cs="宋体" w:asciiTheme="minorEastAsia" w:hAnsiTheme="minorEastAsia" w:eastAsiaTheme="minorEastAsia"/>
          <w:b/>
          <w:bCs/>
          <w:kern w:val="0"/>
          <w:sz w:val="24"/>
          <w:szCs w:val="24"/>
        </w:rPr>
        <w:t>》，否则，投标无效。</w:t>
      </w:r>
    </w:p>
    <w:p w14:paraId="4A6B9E79">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4.</w:t>
      </w:r>
      <w:r>
        <w:rPr>
          <w:rFonts w:hint="eastAsia" w:cs="宋体" w:asciiTheme="minorEastAsia" w:hAnsiTheme="minorEastAsia" w:eastAsiaTheme="minorEastAsia"/>
          <w:kern w:val="0"/>
          <w:sz w:val="24"/>
          <w:szCs w:val="24"/>
        </w:rPr>
        <w:t>采购货物中如含国家互联网信息办公室会同工业和信息化部、公安部、国家认证认可监督管理委员会等部门发布关于调整《网络关键设备和网络安全专用产品目录》的公告2023年第2号公布的《网络关键设备和网络安全专用产品目录》的网络安全专用产品，投报产品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证明材料。否则，投标无效。</w:t>
      </w:r>
    </w:p>
    <w:p w14:paraId="1DAB5BA8">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5.中小微企业参加本项目</w:t>
      </w:r>
    </w:p>
    <w:p w14:paraId="51E7EB63">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5.1如本项目是专门面向中小企业的采购项目，须如实填写《中小企业声明函》。且声明函内容须符合要求、完整、准确（</w:t>
      </w:r>
      <w:r>
        <w:rPr>
          <w:rFonts w:hint="eastAsia" w:cs="宋体" w:asciiTheme="minorEastAsia" w:hAnsiTheme="minorEastAsia" w:eastAsiaTheme="minorEastAsia"/>
          <w:snapToGrid w:val="0"/>
          <w:kern w:val="0"/>
          <w:sz w:val="24"/>
          <w:szCs w:val="24"/>
        </w:rPr>
        <w:t>除评审专家可要求其澄清的内容外</w:t>
      </w:r>
      <w:r>
        <w:rPr>
          <w:rFonts w:hint="eastAsia" w:cs="宋体" w:asciiTheme="minorEastAsia" w:hAnsiTheme="minorEastAsia" w:eastAsiaTheme="minorEastAsia"/>
          <w:sz w:val="24"/>
          <w:szCs w:val="24"/>
        </w:rPr>
        <w:t>），否则，投标无效。</w:t>
      </w:r>
    </w:p>
    <w:p w14:paraId="493E0703">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kern w:val="0"/>
          <w:sz w:val="24"/>
          <w:szCs w:val="24"/>
        </w:rPr>
        <w:t>5.2如本项目是非</w:t>
      </w:r>
      <w:r>
        <w:rPr>
          <w:rFonts w:hint="eastAsia" w:cs="宋体" w:asciiTheme="minorEastAsia" w:hAnsiTheme="minorEastAsia" w:eastAsiaTheme="minorEastAsia"/>
          <w:sz w:val="24"/>
          <w:szCs w:val="24"/>
        </w:rPr>
        <w:t>专门面向中小企业的采购项目，需如实填写《中小企业声明函》。且声明函内容须符合要求、完整、准确（</w:t>
      </w:r>
      <w:r>
        <w:rPr>
          <w:rFonts w:hint="eastAsia" w:cs="宋体" w:asciiTheme="minorEastAsia" w:hAnsiTheme="minorEastAsia" w:eastAsiaTheme="minorEastAsia"/>
          <w:snapToGrid w:val="0"/>
          <w:kern w:val="0"/>
          <w:sz w:val="24"/>
          <w:szCs w:val="24"/>
        </w:rPr>
        <w:t>除评审专家可要求其澄清的内容外</w:t>
      </w:r>
      <w:r>
        <w:rPr>
          <w:rFonts w:hint="eastAsia" w:cs="宋体" w:asciiTheme="minorEastAsia" w:hAnsiTheme="minorEastAsia" w:eastAsiaTheme="minorEastAsia"/>
          <w:sz w:val="24"/>
          <w:szCs w:val="24"/>
        </w:rPr>
        <w:t>），否则，不予认可。</w:t>
      </w:r>
    </w:p>
    <w:p w14:paraId="6B9FD3F5">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bCs/>
          <w:kern w:val="0"/>
          <w:sz w:val="24"/>
          <w:szCs w:val="24"/>
        </w:rPr>
        <w:t>6.监狱企业参加本项目</w:t>
      </w:r>
    </w:p>
    <w:p w14:paraId="6D933DFC">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监狱企业视同小微企业，如本项目是专门面向中小企业的采购项目，须提供由省级以上监狱管理局、戒毒管理局出具的属于监狱企业的证明文件和内容符合要求、完整、准确的《监狱企业声明函》（除评审专家可要求其澄清的内容外）。否则，投标无效。</w:t>
      </w:r>
    </w:p>
    <w:p w14:paraId="44BDE09C">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6.2</w:t>
      </w:r>
      <w:r>
        <w:rPr>
          <w:rFonts w:hint="eastAsia" w:cs="宋体" w:asciiTheme="minorEastAsia" w:hAnsiTheme="minorEastAsia" w:eastAsiaTheme="minorEastAsia"/>
          <w:sz w:val="24"/>
          <w:szCs w:val="24"/>
        </w:rPr>
        <w:t>监狱企业视同小微企业，如本项目是非专门面向中小企业的采购项目，需提供由省级以上监狱管理局、戒毒管理局出具的属于监狱企业的证明文件和内容符合要求、完整、准确的《监狱企业声明函》（除评审专家可要求其澄清的内容外）。否则，不予认可。</w:t>
      </w:r>
    </w:p>
    <w:p w14:paraId="435EA873">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7.残疾人福利性单位参加本项目</w:t>
      </w:r>
    </w:p>
    <w:p w14:paraId="21710D36">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7.1残疾人福利性单位视同小型、微型企业，如本项目是专门面向中小企业的采购项目，须提供《残疾人福利性单位声明函》（除评审专家可要求其澄清的内容外），且声明函须符合要求、完整、准确，否则，投标无效。</w:t>
      </w:r>
    </w:p>
    <w:p w14:paraId="09148465">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残疾人福利性单位视同小型、微型企业，如本项目是非专门面向中小企业的采购项目，需提供《残疾人福利性单位声明函》（除评审专家可要求其澄清的内容外），且声明函须符合要求、完整、准确，否则，不予认可。</w:t>
      </w:r>
    </w:p>
    <w:p w14:paraId="7327DDDF">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8.联合体企业参加本项目</w:t>
      </w:r>
    </w:p>
    <w:p w14:paraId="5B77A347">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8.1如本项目是专门面向中小企业且允许两个中小企业组成联合体参加的采购项目，须提供《联合体投标协议书》和其中报价产品为中小企业制造的《中小企业声明函》，协议书和声明函均需符合要求、完整、准确，否则，投标无效。</w:t>
      </w:r>
    </w:p>
    <w:p w14:paraId="17BFD0F5">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snapToGrid w:val="0"/>
          <w:kern w:val="0"/>
          <w:sz w:val="24"/>
          <w:szCs w:val="24"/>
        </w:rPr>
      </w:pPr>
      <w:r>
        <w:rPr>
          <w:rFonts w:hint="eastAsia" w:cs="宋体" w:asciiTheme="minorEastAsia" w:hAnsiTheme="minorEastAsia" w:eastAsiaTheme="minorEastAsia"/>
          <w:kern w:val="0"/>
          <w:sz w:val="24"/>
          <w:szCs w:val="24"/>
        </w:rPr>
        <w:t>8.2如本项目是非专门面向中小企业，</w:t>
      </w:r>
      <w:r>
        <w:rPr>
          <w:rFonts w:hint="eastAsia" w:cs="宋体" w:asciiTheme="minorEastAsia" w:hAnsiTheme="minorEastAsia" w:eastAsiaTheme="minorEastAsia"/>
          <w:snapToGrid w:val="0"/>
          <w:kern w:val="0"/>
          <w:sz w:val="24"/>
          <w:szCs w:val="24"/>
        </w:rPr>
        <w:t>接受大中型企业与小微企业组成联合体或者允许大中型企业向一家或者多家小微企业分包的采购项目，对于联合协议或者分包意向协议约定小微企业的合同份额占到合同总金额30%以上的，且提供了《联合体投标协议书》，协议书均需符合要求、完整、准确，否则，不予认可。</w:t>
      </w:r>
    </w:p>
    <w:p w14:paraId="34C00BA4">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9.创新产品参加的项目</w:t>
      </w:r>
    </w:p>
    <w:p w14:paraId="468B54BD">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根据《政府采购支持创新产品和服务实施细则》（晋财购【2019】19号），需在投标文件中提供《山西省创新产品和服务推荐清单》产品截图，并填写《创新产品或创新服务明细表》，否则，不予认可。</w:t>
      </w:r>
    </w:p>
    <w:p w14:paraId="6A3EBF68">
      <w:pPr>
        <w:pStyle w:val="46"/>
        <w:keepNext/>
        <w:keepLines/>
        <w:pageBreakBefore w:val="0"/>
        <w:widowControl w:val="0"/>
        <w:kinsoku/>
        <w:wordWrap/>
        <w:overflowPunct/>
        <w:topLinePunct w:val="0"/>
        <w:autoSpaceDE/>
        <w:autoSpaceDN/>
        <w:bidi w:val="0"/>
        <w:snapToGrid w:val="0"/>
        <w:spacing w:line="360" w:lineRule="auto"/>
        <w:ind w:firstLine="480" w:firstLineChars="200"/>
        <w:jc w:val="left"/>
        <w:textAlignment w:val="auto"/>
        <w:outlineLvl w:val="1"/>
        <w:rPr>
          <w:rFonts w:cs="宋体" w:asciiTheme="minorEastAsia" w:hAnsiTheme="minorEastAsia" w:eastAsiaTheme="minorEastAsia"/>
          <w:b/>
          <w:color w:val="000000" w:themeColor="text1"/>
          <w:sz w:val="24"/>
          <w:szCs w:val="24"/>
          <w14:textFill>
            <w14:solidFill>
              <w14:schemeClr w14:val="tx1"/>
            </w14:solidFill>
          </w14:textFill>
        </w:rPr>
      </w:pPr>
      <w:bookmarkStart w:id="61" w:name="_Toc180571696"/>
      <w:bookmarkStart w:id="62" w:name="_Toc7453"/>
      <w:r>
        <w:rPr>
          <w:rFonts w:hint="eastAsia" w:cs="宋体" w:asciiTheme="minorEastAsia" w:hAnsiTheme="minorEastAsia" w:eastAsiaTheme="minorEastAsia"/>
          <w:b/>
          <w:bCs/>
          <w:color w:val="000000" w:themeColor="text1"/>
          <w:sz w:val="24"/>
          <w:szCs w:val="24"/>
          <w14:textFill>
            <w14:solidFill>
              <w14:schemeClr w14:val="tx1"/>
            </w14:solidFill>
          </w14:textFill>
        </w:rPr>
        <w:t>五、</w:t>
      </w:r>
      <w:r>
        <w:rPr>
          <w:rFonts w:hint="eastAsia" w:cs="宋体" w:asciiTheme="minorEastAsia" w:hAnsiTheme="minorEastAsia" w:eastAsiaTheme="minorEastAsia"/>
          <w:b/>
          <w:color w:val="000000" w:themeColor="text1"/>
          <w:sz w:val="24"/>
          <w:szCs w:val="24"/>
          <w14:textFill>
            <w14:solidFill>
              <w14:schemeClr w14:val="tx1"/>
            </w14:solidFill>
          </w14:textFill>
        </w:rPr>
        <w:t>无效投标的情形</w:t>
      </w:r>
      <w:bookmarkEnd w:id="61"/>
      <w:bookmarkEnd w:id="62"/>
    </w:p>
    <w:p w14:paraId="7E133143">
      <w:pPr>
        <w:keepNext/>
        <w:keepLines/>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未通过资格性、符合性审查的投标文件为无效投标。</w:t>
      </w:r>
    </w:p>
    <w:p w14:paraId="323BA2ED">
      <w:pPr>
        <w:keepNext/>
        <w:keepLines/>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bCs/>
          <w:kern w:val="0"/>
          <w:sz w:val="24"/>
          <w:highlight w:val="none"/>
        </w:rPr>
      </w:pPr>
      <w:r>
        <w:rPr>
          <w:rFonts w:hint="eastAsia" w:ascii="宋体" w:hAnsi="宋体" w:cs="宋体"/>
          <w:b/>
          <w:sz w:val="24"/>
          <w:highlight w:val="none"/>
          <w:lang w:val="en-US" w:eastAsia="zh-CN"/>
        </w:rPr>
        <w:t>六</w:t>
      </w:r>
      <w:r>
        <w:rPr>
          <w:rFonts w:hint="eastAsia" w:ascii="宋体" w:hAnsi="宋体" w:eastAsia="宋体" w:cs="宋体"/>
          <w:b/>
          <w:sz w:val="24"/>
          <w:highlight w:val="none"/>
        </w:rPr>
        <w:t>、</w:t>
      </w:r>
      <w:r>
        <w:rPr>
          <w:rFonts w:hint="eastAsia" w:ascii="宋体" w:hAnsi="宋体" w:eastAsia="宋体" w:cs="宋体"/>
          <w:b/>
          <w:bCs/>
          <w:kern w:val="0"/>
          <w:sz w:val="24"/>
          <w:highlight w:val="none"/>
        </w:rPr>
        <w:t>评分细则</w:t>
      </w:r>
    </w:p>
    <w:p w14:paraId="53344254">
      <w:pPr>
        <w:keepNext/>
        <w:keepLines/>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kern w:val="0"/>
          <w:sz w:val="36"/>
          <w:szCs w:val="36"/>
          <w:highlight w:val="none"/>
        </w:rPr>
      </w:pPr>
      <w:r>
        <w:rPr>
          <w:rFonts w:hint="eastAsia" w:ascii="宋体" w:hAnsi="宋体" w:eastAsia="宋体" w:cs="宋体"/>
          <w:kern w:val="0"/>
          <w:sz w:val="24"/>
          <w:highlight w:val="none"/>
        </w:rPr>
        <w:t>本次评标采用综合评分法，投标文件满足招标文件全部实质性要求，且按照评分细则的量化指标进行评审（具体评分见综合评分法评分细则），得分最高的投标人为中标人或中标第一候选人。</w:t>
      </w:r>
    </w:p>
    <w:tbl>
      <w:tblPr>
        <w:tblStyle w:val="31"/>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8"/>
        <w:gridCol w:w="766"/>
      </w:tblGrid>
      <w:tr w14:paraId="2D2E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8438" w:type="dxa"/>
            <w:noWrap w:val="0"/>
            <w:vAlign w:val="center"/>
          </w:tcPr>
          <w:p w14:paraId="36CF34C0">
            <w:pPr>
              <w:keepNext/>
              <w:keepLines/>
              <w:pageBreakBefore w:val="0"/>
              <w:widowControl w:val="0"/>
              <w:shd w:val="clear"/>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评定内容及标准</w:t>
            </w:r>
          </w:p>
        </w:tc>
        <w:tc>
          <w:tcPr>
            <w:tcW w:w="766" w:type="dxa"/>
            <w:noWrap w:val="0"/>
            <w:vAlign w:val="center"/>
          </w:tcPr>
          <w:p w14:paraId="68AB1E18">
            <w:pPr>
              <w:keepNext/>
              <w:keepLines/>
              <w:pageBreakBefore w:val="0"/>
              <w:widowControl w:val="0"/>
              <w:shd w:val="clear"/>
              <w:kinsoku/>
              <w:wordWrap/>
              <w:overflowPunct/>
              <w:topLinePunct w:val="0"/>
              <w:autoSpaceDE/>
              <w:autoSpaceDN/>
              <w:bidi w:val="0"/>
              <w:snapToGrid w:val="0"/>
              <w:spacing w:line="36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得分</w:t>
            </w:r>
          </w:p>
        </w:tc>
      </w:tr>
      <w:tr w14:paraId="306B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8438" w:type="dxa"/>
            <w:noWrap w:val="0"/>
            <w:vAlign w:val="center"/>
          </w:tcPr>
          <w:p w14:paraId="7C733F10">
            <w:pPr>
              <w:keepNext/>
              <w:keepLines/>
              <w:pageBreakBefore w:val="0"/>
              <w:widowControl w:val="0"/>
              <w:shd w:val="clear"/>
              <w:kinsoku/>
              <w:wordWrap/>
              <w:overflowPunct/>
              <w:topLinePunct w:val="0"/>
              <w:autoSpaceDE/>
              <w:autoSpaceDN/>
              <w:bidi w:val="0"/>
              <w:snapToGrid w:val="0"/>
              <w:spacing w:line="360" w:lineRule="exac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一、商务部分(</w:t>
            </w:r>
            <w:r>
              <w:rPr>
                <w:rFonts w:hint="eastAsia" w:ascii="宋体" w:hAnsi="宋体" w:cs="宋体"/>
                <w:b/>
                <w:bCs/>
                <w:color w:val="000000"/>
                <w:sz w:val="24"/>
                <w:szCs w:val="24"/>
                <w:highlight w:val="none"/>
                <w:lang w:val="en-US" w:eastAsia="zh-CN"/>
              </w:rPr>
              <w:t>10</w:t>
            </w:r>
            <w:r>
              <w:rPr>
                <w:rFonts w:hint="eastAsia" w:ascii="宋体" w:hAnsi="宋体" w:eastAsia="宋体" w:cs="宋体"/>
                <w:b/>
                <w:bCs/>
                <w:color w:val="000000"/>
                <w:sz w:val="24"/>
                <w:szCs w:val="24"/>
                <w:highlight w:val="none"/>
              </w:rPr>
              <w:t xml:space="preserve">分) </w:t>
            </w:r>
          </w:p>
        </w:tc>
        <w:tc>
          <w:tcPr>
            <w:tcW w:w="766" w:type="dxa"/>
            <w:noWrap w:val="0"/>
            <w:vAlign w:val="center"/>
          </w:tcPr>
          <w:p w14:paraId="7009F4C3">
            <w:pPr>
              <w:keepNext/>
              <w:keepLines/>
              <w:pageBreakBefore w:val="0"/>
              <w:widowControl w:val="0"/>
              <w:shd w:val="clear"/>
              <w:kinsoku/>
              <w:wordWrap/>
              <w:overflowPunct/>
              <w:topLinePunct w:val="0"/>
              <w:autoSpaceDE/>
              <w:autoSpaceDN/>
              <w:bidi w:val="0"/>
              <w:snapToGrid w:val="0"/>
              <w:spacing w:line="36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r>
      <w:tr w14:paraId="0C0D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438" w:type="dxa"/>
            <w:noWrap w:val="0"/>
            <w:vAlign w:val="center"/>
          </w:tcPr>
          <w:p w14:paraId="7BF91D83">
            <w:pPr>
              <w:keepNext/>
              <w:keepLines/>
              <w:pageBreakBefore w:val="0"/>
              <w:widowControl w:val="0"/>
              <w:kinsoku/>
              <w:wordWrap/>
              <w:overflowPunct/>
              <w:topLinePunct w:val="0"/>
              <w:autoSpaceDE/>
              <w:autoSpaceDN/>
              <w:bidi w:val="0"/>
              <w:adjustRightInd w:val="0"/>
              <w:snapToGrid w:val="0"/>
              <w:spacing w:line="360" w:lineRule="exact"/>
              <w:jc w:val="left"/>
              <w:textAlignment w:val="auto"/>
              <w:rPr>
                <w:rFonts w:cs="华文楷体" w:asciiTheme="minorEastAsia" w:hAnsiTheme="minorEastAsia" w:eastAsiaTheme="minorEastAsia"/>
                <w:snapToGrid w:val="0"/>
                <w:color w:val="000000"/>
                <w:kern w:val="0"/>
                <w:sz w:val="24"/>
                <w:szCs w:val="24"/>
              </w:rPr>
            </w:pPr>
            <w:r>
              <w:rPr>
                <w:rFonts w:hint="eastAsia" w:cs="华文楷体" w:asciiTheme="minorEastAsia" w:hAnsiTheme="minorEastAsia" w:eastAsiaTheme="minorEastAsia"/>
                <w:snapToGrid w:val="0"/>
                <w:color w:val="000000"/>
                <w:kern w:val="0"/>
                <w:sz w:val="24"/>
                <w:szCs w:val="24"/>
              </w:rPr>
              <w:t>1.投标人合同执行能力（</w:t>
            </w:r>
            <w:r>
              <w:rPr>
                <w:rFonts w:hint="eastAsia" w:cs="华文楷体" w:asciiTheme="minorEastAsia" w:hAnsiTheme="minorEastAsia" w:eastAsiaTheme="minorEastAsia"/>
                <w:snapToGrid w:val="0"/>
                <w:color w:val="000000"/>
                <w:kern w:val="0"/>
                <w:sz w:val="24"/>
                <w:szCs w:val="24"/>
                <w:lang w:val="en-US" w:eastAsia="zh-CN"/>
              </w:rPr>
              <w:t>6</w:t>
            </w:r>
            <w:r>
              <w:rPr>
                <w:rFonts w:hint="eastAsia" w:cs="华文楷体" w:asciiTheme="minorEastAsia" w:hAnsiTheme="minorEastAsia" w:eastAsiaTheme="minorEastAsia"/>
                <w:snapToGrid w:val="0"/>
                <w:color w:val="000000"/>
                <w:kern w:val="0"/>
                <w:sz w:val="24"/>
                <w:szCs w:val="24"/>
              </w:rPr>
              <w:t>分）</w:t>
            </w:r>
          </w:p>
          <w:p w14:paraId="1EEE2C71">
            <w:pPr>
              <w:keepNext/>
              <w:keepLines/>
              <w:pageBreakBefore w:val="0"/>
              <w:widowControl w:val="0"/>
              <w:kinsoku/>
              <w:wordWrap/>
              <w:overflowPunct/>
              <w:topLinePunct w:val="0"/>
              <w:autoSpaceDE/>
              <w:autoSpaceDN/>
              <w:bidi w:val="0"/>
              <w:adjustRightInd w:val="0"/>
              <w:snapToGrid w:val="0"/>
              <w:spacing w:line="360" w:lineRule="exact"/>
              <w:jc w:val="left"/>
              <w:textAlignment w:val="auto"/>
              <w:rPr>
                <w:rFonts w:cs="华文楷体" w:asciiTheme="minorEastAsia" w:hAnsiTheme="minorEastAsia" w:eastAsiaTheme="minorEastAsia"/>
                <w:snapToGrid w:val="0"/>
                <w:color w:val="000000"/>
                <w:kern w:val="0"/>
                <w:sz w:val="24"/>
                <w:szCs w:val="24"/>
              </w:rPr>
            </w:pPr>
            <w:r>
              <w:rPr>
                <w:rFonts w:hint="eastAsia" w:cs="华文楷体" w:asciiTheme="minorEastAsia" w:hAnsiTheme="minorEastAsia" w:eastAsiaTheme="minorEastAsia"/>
                <w:snapToGrid w:val="0"/>
                <w:color w:val="000000"/>
                <w:kern w:val="0"/>
                <w:sz w:val="24"/>
                <w:szCs w:val="24"/>
              </w:rPr>
              <w:t>根据投标人投标文件中提供的投标文件递交截止时间前三年内完成的同类项目成功案例的业绩证明材料进行打分。每份业绩得</w:t>
            </w:r>
            <w:r>
              <w:rPr>
                <w:rFonts w:hint="eastAsia" w:cs="华文楷体" w:asciiTheme="minorEastAsia" w:hAnsiTheme="minorEastAsia" w:eastAsiaTheme="minorEastAsia"/>
                <w:snapToGrid w:val="0"/>
                <w:color w:val="000000"/>
                <w:kern w:val="0"/>
                <w:sz w:val="24"/>
                <w:szCs w:val="24"/>
                <w:lang w:val="en-US" w:eastAsia="zh-CN"/>
              </w:rPr>
              <w:t>2</w:t>
            </w:r>
            <w:r>
              <w:rPr>
                <w:rFonts w:hint="eastAsia" w:cs="华文楷体" w:asciiTheme="minorEastAsia" w:hAnsiTheme="minorEastAsia" w:eastAsiaTheme="minorEastAsia"/>
                <w:snapToGrid w:val="0"/>
                <w:color w:val="000000"/>
                <w:kern w:val="0"/>
                <w:sz w:val="24"/>
                <w:szCs w:val="24"/>
              </w:rPr>
              <w:t>分，满分</w:t>
            </w:r>
            <w:r>
              <w:rPr>
                <w:rFonts w:hint="eastAsia" w:cs="华文楷体" w:asciiTheme="minorEastAsia" w:hAnsiTheme="minorEastAsia" w:eastAsiaTheme="minorEastAsia"/>
                <w:snapToGrid w:val="0"/>
                <w:color w:val="000000"/>
                <w:kern w:val="0"/>
                <w:sz w:val="24"/>
                <w:szCs w:val="24"/>
                <w:lang w:val="en-US" w:eastAsia="zh-CN"/>
              </w:rPr>
              <w:t>6</w:t>
            </w:r>
            <w:r>
              <w:rPr>
                <w:rFonts w:hint="eastAsia" w:cs="华文楷体" w:asciiTheme="minorEastAsia" w:hAnsiTheme="minorEastAsia" w:eastAsiaTheme="minorEastAsia"/>
                <w:snapToGrid w:val="0"/>
                <w:color w:val="000000"/>
                <w:kern w:val="0"/>
                <w:sz w:val="24"/>
                <w:szCs w:val="24"/>
              </w:rPr>
              <w:t>分。</w:t>
            </w:r>
          </w:p>
          <w:p w14:paraId="322BBCA6">
            <w:pPr>
              <w:keepNext/>
              <w:keepLines/>
              <w:pageBreakBefore w:val="0"/>
              <w:widowControl w:val="0"/>
              <w:kinsoku/>
              <w:wordWrap/>
              <w:overflowPunct/>
              <w:topLinePunct w:val="0"/>
              <w:autoSpaceDE/>
              <w:autoSpaceDN/>
              <w:bidi w:val="0"/>
              <w:adjustRightInd w:val="0"/>
              <w:snapToGrid w:val="0"/>
              <w:spacing w:line="360" w:lineRule="exact"/>
              <w:jc w:val="left"/>
              <w:textAlignment w:val="auto"/>
              <w:rPr>
                <w:rFonts w:cs="华文楷体" w:asciiTheme="minorEastAsia" w:hAnsiTheme="minorEastAsia" w:eastAsiaTheme="minorEastAsia"/>
                <w:snapToGrid w:val="0"/>
                <w:color w:val="000000"/>
                <w:kern w:val="0"/>
                <w:sz w:val="24"/>
                <w:szCs w:val="24"/>
              </w:rPr>
            </w:pPr>
            <w:r>
              <w:rPr>
                <w:rFonts w:hint="eastAsia" w:cs="华文楷体" w:asciiTheme="minorEastAsia" w:hAnsiTheme="minorEastAsia" w:eastAsiaTheme="minorEastAsia"/>
                <w:snapToGrid w:val="0"/>
                <w:color w:val="000000"/>
                <w:kern w:val="0"/>
                <w:sz w:val="24"/>
                <w:szCs w:val="24"/>
              </w:rPr>
              <w:t>注：</w:t>
            </w:r>
          </w:p>
          <w:p w14:paraId="52F0FEBA">
            <w:pPr>
              <w:keepNext/>
              <w:keepLines/>
              <w:pageBreakBefore w:val="0"/>
              <w:widowControl w:val="0"/>
              <w:kinsoku/>
              <w:wordWrap/>
              <w:overflowPunct/>
              <w:topLinePunct w:val="0"/>
              <w:autoSpaceDE/>
              <w:autoSpaceDN/>
              <w:bidi w:val="0"/>
              <w:adjustRightInd w:val="0"/>
              <w:snapToGrid w:val="0"/>
              <w:spacing w:line="360" w:lineRule="exact"/>
              <w:jc w:val="left"/>
              <w:textAlignment w:val="auto"/>
              <w:rPr>
                <w:rFonts w:cs="华文楷体" w:asciiTheme="minorEastAsia" w:hAnsiTheme="minorEastAsia" w:eastAsiaTheme="minorEastAsia"/>
                <w:snapToGrid w:val="0"/>
                <w:color w:val="000000"/>
                <w:kern w:val="0"/>
                <w:sz w:val="24"/>
                <w:szCs w:val="24"/>
              </w:rPr>
            </w:pPr>
            <w:r>
              <w:rPr>
                <w:rFonts w:hint="eastAsia" w:cs="华文楷体" w:asciiTheme="minorEastAsia" w:hAnsiTheme="minorEastAsia" w:eastAsiaTheme="minorEastAsia"/>
                <w:snapToGrid w:val="0"/>
                <w:color w:val="000000"/>
                <w:kern w:val="0"/>
                <w:sz w:val="24"/>
                <w:szCs w:val="24"/>
              </w:rPr>
              <w:t>1）成功案例业绩证明材料指投标人签订的合同复印件或影印件，至少包含合同首页、签字盖章页、合同金额所在页，须加盖投标人公章。</w:t>
            </w:r>
          </w:p>
          <w:p w14:paraId="0268F7EC">
            <w:pPr>
              <w:keepNext/>
              <w:keepLines/>
              <w:pageBreakBefore w:val="0"/>
              <w:widowControl w:val="0"/>
              <w:kinsoku/>
              <w:wordWrap/>
              <w:overflowPunct/>
              <w:topLinePunct w:val="0"/>
              <w:autoSpaceDE/>
              <w:autoSpaceDN/>
              <w:bidi w:val="0"/>
              <w:adjustRightInd w:val="0"/>
              <w:snapToGrid w:val="0"/>
              <w:spacing w:line="360" w:lineRule="exact"/>
              <w:jc w:val="left"/>
              <w:textAlignment w:val="auto"/>
              <w:rPr>
                <w:rFonts w:cs="华文楷体" w:asciiTheme="minorEastAsia" w:hAnsiTheme="minorEastAsia" w:eastAsiaTheme="minorEastAsia"/>
                <w:snapToGrid w:val="0"/>
                <w:color w:val="000000"/>
                <w:kern w:val="0"/>
                <w:sz w:val="24"/>
                <w:szCs w:val="24"/>
              </w:rPr>
            </w:pPr>
            <w:r>
              <w:rPr>
                <w:rFonts w:hint="eastAsia" w:cs="华文楷体" w:asciiTheme="minorEastAsia" w:hAnsiTheme="minorEastAsia" w:eastAsiaTheme="minorEastAsia"/>
                <w:snapToGrid w:val="0"/>
                <w:color w:val="000000"/>
                <w:kern w:val="0"/>
                <w:sz w:val="24"/>
                <w:szCs w:val="24"/>
              </w:rPr>
              <w:t>2）本款可作为得分的合同案例仅指投标人自身的合同案例。即合同案例中的乙方必须与投标人的名称完全一致（投标人单位名称变更的，须提供工商行政部门变更证明，否则不予认可）。</w:t>
            </w:r>
          </w:p>
          <w:p w14:paraId="6EC408AA">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cs="华文楷体" w:asciiTheme="minorEastAsia" w:hAnsiTheme="minorEastAsia" w:eastAsiaTheme="minorEastAsia"/>
                <w:snapToGrid w:val="0"/>
                <w:color w:val="000000"/>
                <w:kern w:val="0"/>
                <w:sz w:val="24"/>
                <w:szCs w:val="24"/>
                <w:lang w:val="en-US" w:eastAsia="zh-CN"/>
              </w:rPr>
              <w:t>3</w:t>
            </w:r>
            <w:r>
              <w:rPr>
                <w:rFonts w:hint="eastAsia" w:cs="华文楷体" w:asciiTheme="minorEastAsia" w:hAnsiTheme="minorEastAsia" w:eastAsiaTheme="minorEastAsia"/>
                <w:snapToGrid w:val="0"/>
                <w:color w:val="000000"/>
                <w:kern w:val="0"/>
                <w:sz w:val="24"/>
                <w:szCs w:val="24"/>
              </w:rPr>
              <w:t>）证明材料不完整或不符合以上内容要求或不清晰，导致无法判断是否符合以上要求的，不得分。</w:t>
            </w:r>
          </w:p>
        </w:tc>
        <w:tc>
          <w:tcPr>
            <w:tcW w:w="766" w:type="dxa"/>
            <w:noWrap w:val="0"/>
            <w:vAlign w:val="center"/>
          </w:tcPr>
          <w:p w14:paraId="33B60041">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6</w:t>
            </w:r>
          </w:p>
        </w:tc>
      </w:tr>
      <w:tr w14:paraId="6E14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4" w:hRule="atLeast"/>
          <w:jc w:val="center"/>
        </w:trPr>
        <w:tc>
          <w:tcPr>
            <w:tcW w:w="8438" w:type="dxa"/>
            <w:noWrap w:val="0"/>
            <w:vAlign w:val="center"/>
          </w:tcPr>
          <w:p w14:paraId="299B4D03">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2、项目人员技术能力要求（4分）</w:t>
            </w:r>
          </w:p>
          <w:p w14:paraId="70D41814">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投标人拟派项目负责人具备信息系统项目管理师（高级）证书的得2分；</w:t>
            </w:r>
          </w:p>
          <w:p w14:paraId="0387E889">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投标人拟派技术团队组成人员，具备以下证书，每提供一项得1分，最</w:t>
            </w:r>
          </w:p>
          <w:p w14:paraId="5DAF1AA3">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高得2分；</w:t>
            </w:r>
          </w:p>
          <w:p w14:paraId="502CBCA6">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①信息系统集成项目管理师</w:t>
            </w:r>
          </w:p>
          <w:p w14:paraId="0A07F343">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②网络规划设计师</w:t>
            </w:r>
          </w:p>
          <w:p w14:paraId="02A0F44E">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注：一人提供多证算一项。</w:t>
            </w:r>
          </w:p>
        </w:tc>
        <w:tc>
          <w:tcPr>
            <w:tcW w:w="766" w:type="dxa"/>
            <w:noWrap w:val="0"/>
            <w:vAlign w:val="center"/>
          </w:tcPr>
          <w:p w14:paraId="7BAD1FA0">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jc w:val="center"/>
              <w:textAlignment w:val="auto"/>
              <w:rPr>
                <w:rFonts w:hint="default"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4</w:t>
            </w:r>
          </w:p>
        </w:tc>
      </w:tr>
      <w:tr w14:paraId="42F0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438" w:type="dxa"/>
            <w:noWrap w:val="0"/>
            <w:vAlign w:val="center"/>
          </w:tcPr>
          <w:p w14:paraId="2599911D">
            <w:pPr>
              <w:keepNext/>
              <w:keepLines/>
              <w:pageBreakBefore w:val="0"/>
              <w:widowControl w:val="0"/>
              <w:shd w:val="clear"/>
              <w:kinsoku/>
              <w:wordWrap/>
              <w:overflowPunct/>
              <w:topLinePunct w:val="0"/>
              <w:autoSpaceDE/>
              <w:autoSpaceDN/>
              <w:bidi w:val="0"/>
              <w:snapToGrid w:val="0"/>
              <w:spacing w:line="360" w:lineRule="exac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rPr>
              <w:t>、技术部分(</w:t>
            </w:r>
            <w:r>
              <w:rPr>
                <w:rFonts w:hint="eastAsia" w:ascii="宋体" w:hAnsi="宋体" w:cs="宋体"/>
                <w:b/>
                <w:bCs/>
                <w:color w:val="000000"/>
                <w:sz w:val="24"/>
                <w:szCs w:val="24"/>
                <w:highlight w:val="none"/>
                <w:lang w:val="en-US" w:eastAsia="zh-CN"/>
              </w:rPr>
              <w:t>60</w:t>
            </w:r>
            <w:r>
              <w:rPr>
                <w:rFonts w:hint="eastAsia" w:ascii="宋体" w:hAnsi="宋体" w:eastAsia="宋体" w:cs="宋体"/>
                <w:b/>
                <w:bCs/>
                <w:color w:val="000000"/>
                <w:sz w:val="24"/>
                <w:szCs w:val="24"/>
                <w:highlight w:val="none"/>
              </w:rPr>
              <w:t>分)</w:t>
            </w:r>
          </w:p>
        </w:tc>
        <w:tc>
          <w:tcPr>
            <w:tcW w:w="766" w:type="dxa"/>
            <w:noWrap w:val="0"/>
            <w:vAlign w:val="center"/>
          </w:tcPr>
          <w:p w14:paraId="2CC0C129">
            <w:pPr>
              <w:keepNext/>
              <w:keepLines/>
              <w:pageBreakBefore w:val="0"/>
              <w:widowControl w:val="0"/>
              <w:shd w:val="clear"/>
              <w:kinsoku/>
              <w:wordWrap/>
              <w:overflowPunct/>
              <w:topLinePunct w:val="0"/>
              <w:autoSpaceDE/>
              <w:autoSpaceDN/>
              <w:bidi w:val="0"/>
              <w:snapToGrid w:val="0"/>
              <w:spacing w:line="36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60</w:t>
            </w:r>
          </w:p>
        </w:tc>
      </w:tr>
      <w:tr w14:paraId="22FA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0" w:hRule="atLeast"/>
          <w:jc w:val="center"/>
        </w:trPr>
        <w:tc>
          <w:tcPr>
            <w:tcW w:w="8438" w:type="dxa"/>
            <w:noWrap w:val="0"/>
            <w:vAlign w:val="center"/>
          </w:tcPr>
          <w:p w14:paraId="70858777">
            <w:pPr>
              <w:keepNext/>
              <w:keepLines/>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1.主要技术指标满足情况（</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eastAsia="zh-CN"/>
              </w:rPr>
              <w:t>分）</w:t>
            </w:r>
          </w:p>
          <w:p w14:paraId="607E15C1">
            <w:pPr>
              <w:keepNext/>
              <w:keepLines/>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1.1评标专家根据招标文件中货物的技术指标要求与投标文件中货物的技术指标进行对比后打分；所投货物技术指标实质上响应招标文件技术指标要求的，得</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分。</w:t>
            </w:r>
          </w:p>
          <w:p w14:paraId="4FF8036C">
            <w:pPr>
              <w:keepNext/>
              <w:keepLines/>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1.2评标专家对投标文件中所投货物的每项主要技术指标优于招标文件中的技术指标要求程度的有效正偏离进行判定后打分，每项满分1分，共计2分。</w:t>
            </w:r>
          </w:p>
          <w:p w14:paraId="15EDFE98">
            <w:pPr>
              <w:keepNext/>
              <w:keepLines/>
              <w:pageBreakBefore w:val="0"/>
              <w:widowControl w:val="0"/>
              <w:shd w:val="clear"/>
              <w:kinsoku/>
              <w:wordWrap/>
              <w:overflowPunct/>
              <w:topLinePunct w:val="0"/>
              <w:autoSpaceDE/>
              <w:autoSpaceDN/>
              <w:bidi w:val="0"/>
              <w:adjustRightInd w:val="0"/>
              <w:snapToGrid w:val="0"/>
              <w:spacing w:line="360" w:lineRule="exact"/>
              <w:textAlignment w:val="auto"/>
              <w:rPr>
                <w:rFonts w:hint="eastAsia"/>
                <w:lang w:val="en-US" w:eastAsia="zh-CN"/>
              </w:rPr>
            </w:pPr>
            <w:r>
              <w:rPr>
                <w:rFonts w:hint="eastAsia" w:ascii="宋体" w:hAnsi="宋体" w:eastAsia="宋体" w:cs="宋体"/>
                <w:color w:val="auto"/>
                <w:sz w:val="24"/>
                <w:szCs w:val="24"/>
                <w:highlight w:val="none"/>
                <w:lang w:val="en-US" w:eastAsia="zh-CN"/>
              </w:rPr>
              <w:t xml:space="preserve">1.3非主要技术指标中每有一项负偏离的扣1分。超过3项，本项按零分计。 </w:t>
            </w:r>
          </w:p>
        </w:tc>
        <w:tc>
          <w:tcPr>
            <w:tcW w:w="766" w:type="dxa"/>
            <w:noWrap w:val="0"/>
            <w:vAlign w:val="center"/>
          </w:tcPr>
          <w:p w14:paraId="57E2484B">
            <w:pPr>
              <w:keepNext/>
              <w:keepLines/>
              <w:pageBreakBefore w:val="0"/>
              <w:widowControl w:val="0"/>
              <w:shd w:val="clear"/>
              <w:kinsoku/>
              <w:wordWrap/>
              <w:overflowPunct/>
              <w:topLinePunct w:val="0"/>
              <w:autoSpaceDE/>
              <w:autoSpaceDN/>
              <w:bidi w:val="0"/>
              <w:snapToGrid w:val="0"/>
              <w:spacing w:line="36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p>
        </w:tc>
      </w:tr>
      <w:tr w14:paraId="78AA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8438" w:type="dxa"/>
            <w:noWrap w:val="0"/>
            <w:vAlign w:val="center"/>
          </w:tcPr>
          <w:p w14:paraId="68E44AB8">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b/>
                <w:bCs/>
                <w:color w:val="000000"/>
                <w:spacing w:val="6"/>
                <w:sz w:val="24"/>
                <w:szCs w:val="24"/>
                <w:highlight w:val="none"/>
                <w:lang w:val="en-US" w:eastAsia="zh-CN"/>
              </w:rPr>
            </w:pPr>
            <w:r>
              <w:rPr>
                <w:rFonts w:hint="eastAsia" w:ascii="宋体" w:hAnsi="宋体" w:cs="宋体"/>
                <w:b/>
                <w:bCs/>
                <w:color w:val="000000"/>
                <w:spacing w:val="6"/>
                <w:sz w:val="24"/>
                <w:szCs w:val="24"/>
                <w:highlight w:val="none"/>
                <w:lang w:val="en-US" w:eastAsia="zh-CN"/>
              </w:rPr>
              <w:t>2.技术服务方案（7分）</w:t>
            </w:r>
          </w:p>
          <w:p w14:paraId="3BBA6CBC">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根据各投标人提供的技术服务方案，方案内容全面，与山西省成品油流通智慧监管平台对接，数据对接和设备对接方案具有较高的指导意义。方案至少包含以下内容：设备与平台对接技术及对接内容、数据采集实现原理、硬件远程管理方案、数据安全及保密措施、设备与平台对接兼容性及测试验证措施等。针对本项目提供的技术服务方案是否合理、管理方案是否齐全完善，是否能保障本项目顺利实施情况，进行综合打分。最优方案评分得标准分，其余依次递减0.2分，直至0分。可并列排名。</w:t>
            </w:r>
          </w:p>
          <w:p w14:paraId="09EF099F">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（1）设备与平台对接技术及对接内容方案内容详细、与本项目技术要求相符合、合理高效【3分】；</w:t>
            </w:r>
          </w:p>
          <w:p w14:paraId="3681C4FE">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（2）具备完整数据采集实现原理【1分】；</w:t>
            </w:r>
          </w:p>
          <w:p w14:paraId="467E684A">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（3）具备有效的硬件远程管理方案【1分】；</w:t>
            </w:r>
          </w:p>
          <w:p w14:paraId="01132BA6">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（4）具备可靠的数据安全及保密措施【1分】；</w:t>
            </w:r>
          </w:p>
          <w:p w14:paraId="3E58CA38">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（5）具有完善的设备与平台对接兼容性及测试验证措施【1分】；</w:t>
            </w:r>
          </w:p>
        </w:tc>
        <w:tc>
          <w:tcPr>
            <w:tcW w:w="766" w:type="dxa"/>
            <w:noWrap w:val="0"/>
            <w:vAlign w:val="center"/>
          </w:tcPr>
          <w:p w14:paraId="60D9B052">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7</w:t>
            </w:r>
          </w:p>
        </w:tc>
      </w:tr>
      <w:tr w14:paraId="6060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8438" w:type="dxa"/>
            <w:noWrap w:val="0"/>
            <w:vAlign w:val="center"/>
          </w:tcPr>
          <w:p w14:paraId="4316F348">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b/>
                <w:bCs/>
                <w:color w:val="000000"/>
                <w:spacing w:val="6"/>
                <w:sz w:val="24"/>
                <w:szCs w:val="24"/>
                <w:highlight w:val="none"/>
                <w:lang w:val="en-US" w:eastAsia="zh-CN"/>
              </w:rPr>
            </w:pPr>
            <w:r>
              <w:rPr>
                <w:rFonts w:hint="eastAsia" w:ascii="宋体" w:hAnsi="宋体" w:cs="宋体"/>
                <w:b/>
                <w:bCs/>
                <w:color w:val="000000"/>
                <w:spacing w:val="6"/>
                <w:sz w:val="24"/>
                <w:szCs w:val="24"/>
                <w:highlight w:val="none"/>
                <w:lang w:val="en-US" w:eastAsia="zh-CN"/>
              </w:rPr>
              <w:t>3.实施方案（5分）</w:t>
            </w:r>
          </w:p>
          <w:p w14:paraId="1A5E92AF">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投标人针对本项目提供实施服务方案，内容包括但不限于：项目管理机构保障、实施进度计划、进度保障措施、质量保障措施、安全保障措施、运输保障措施、沟通协调措施、数据采集服务的实施保障措施、应急保障措施、验收方案等内容。投标人提供的针对本项目的实施服务方案是否科学、合理、可行，交付成果是否能最大限度的满足本项目的要求，进行综合打分。最优方案评分得标准分，其余依次递减 0.2 分，直至 0 分。可并列排名。</w:t>
            </w:r>
          </w:p>
          <w:p w14:paraId="1F09F122">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（1）有且准确提供本项目人员组织结构图，总负责人及主要人员的姓名、职务、详细的地址和联系方式【1 分】；</w:t>
            </w:r>
          </w:p>
          <w:p w14:paraId="6667F791">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（2）进度安排合理，内容全面条理，结构清晰，能满足供货期要求并提前完成供货任务的【1 分】；</w:t>
            </w:r>
          </w:p>
          <w:p w14:paraId="101545A3">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（3）配送快捷，能在规定时间内及时送达，保证所采购货物的质量【1分】；</w:t>
            </w:r>
          </w:p>
          <w:p w14:paraId="3BD3A10F">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（4）有完善的质量保障措施和质量管理体系的【1分】；</w:t>
            </w:r>
          </w:p>
          <w:p w14:paraId="2DF1C85F">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（5）具有完善的应对突发紧急事件的响应预案以及处置措施【1分】</w:t>
            </w:r>
          </w:p>
        </w:tc>
        <w:tc>
          <w:tcPr>
            <w:tcW w:w="766" w:type="dxa"/>
            <w:noWrap w:val="0"/>
            <w:vAlign w:val="center"/>
          </w:tcPr>
          <w:p w14:paraId="659ECCAF">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jc w:val="center"/>
              <w:textAlignment w:val="auto"/>
              <w:rPr>
                <w:rFonts w:hint="default"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5</w:t>
            </w:r>
          </w:p>
        </w:tc>
      </w:tr>
      <w:tr w14:paraId="6C79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6" w:hRule="atLeast"/>
          <w:jc w:val="center"/>
        </w:trPr>
        <w:tc>
          <w:tcPr>
            <w:tcW w:w="8438" w:type="dxa"/>
            <w:noWrap w:val="0"/>
            <w:vAlign w:val="center"/>
          </w:tcPr>
          <w:p w14:paraId="16B3C260">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b/>
                <w:bCs/>
                <w:color w:val="000000"/>
                <w:spacing w:val="6"/>
                <w:sz w:val="24"/>
                <w:szCs w:val="24"/>
                <w:highlight w:val="none"/>
                <w:lang w:val="en-US" w:eastAsia="zh-CN"/>
              </w:rPr>
            </w:pPr>
            <w:r>
              <w:rPr>
                <w:rFonts w:hint="eastAsia" w:ascii="宋体" w:hAnsi="宋体" w:cs="宋体"/>
                <w:b/>
                <w:bCs/>
                <w:color w:val="000000"/>
                <w:spacing w:val="6"/>
                <w:sz w:val="24"/>
                <w:szCs w:val="24"/>
                <w:highlight w:val="none"/>
                <w:lang w:val="en-US" w:eastAsia="zh-CN"/>
              </w:rPr>
              <w:t>4</w:t>
            </w:r>
            <w:r>
              <w:rPr>
                <w:rFonts w:hint="default" w:ascii="宋体" w:hAnsi="宋体" w:cs="宋体"/>
                <w:b/>
                <w:bCs/>
                <w:color w:val="000000"/>
                <w:spacing w:val="6"/>
                <w:sz w:val="24"/>
                <w:szCs w:val="24"/>
                <w:highlight w:val="none"/>
                <w:lang w:val="en-US" w:eastAsia="zh-CN"/>
              </w:rPr>
              <w:t>.</w:t>
            </w:r>
            <w:r>
              <w:rPr>
                <w:rFonts w:hint="eastAsia" w:ascii="宋体" w:hAnsi="宋体" w:cs="宋体"/>
                <w:b/>
                <w:bCs/>
                <w:color w:val="000000"/>
                <w:spacing w:val="6"/>
                <w:sz w:val="24"/>
                <w:szCs w:val="24"/>
                <w:highlight w:val="none"/>
                <w:lang w:val="en-US" w:eastAsia="zh-CN"/>
              </w:rPr>
              <w:t>售后</w:t>
            </w:r>
            <w:r>
              <w:rPr>
                <w:rFonts w:hint="default" w:ascii="宋体" w:hAnsi="宋体" w:cs="宋体"/>
                <w:b/>
                <w:bCs/>
                <w:color w:val="000000"/>
                <w:spacing w:val="6"/>
                <w:sz w:val="24"/>
                <w:szCs w:val="24"/>
                <w:highlight w:val="none"/>
                <w:lang w:val="en-US" w:eastAsia="zh-CN"/>
              </w:rPr>
              <w:t>服务</w:t>
            </w:r>
            <w:r>
              <w:rPr>
                <w:rFonts w:hint="eastAsia" w:ascii="宋体" w:hAnsi="宋体" w:cs="宋体"/>
                <w:b/>
                <w:bCs/>
                <w:color w:val="000000"/>
                <w:spacing w:val="6"/>
                <w:sz w:val="24"/>
                <w:szCs w:val="24"/>
                <w:highlight w:val="none"/>
                <w:lang w:val="en-US" w:eastAsia="zh-CN"/>
              </w:rPr>
              <w:t>方案</w:t>
            </w:r>
            <w:r>
              <w:rPr>
                <w:rFonts w:hint="default" w:ascii="宋体" w:hAnsi="宋体" w:cs="宋体"/>
                <w:b/>
                <w:bCs/>
                <w:color w:val="000000"/>
                <w:spacing w:val="6"/>
                <w:sz w:val="24"/>
                <w:szCs w:val="24"/>
                <w:highlight w:val="none"/>
                <w:lang w:val="en-US" w:eastAsia="zh-CN"/>
              </w:rPr>
              <w:t>（</w:t>
            </w:r>
            <w:r>
              <w:rPr>
                <w:rFonts w:hint="eastAsia" w:ascii="宋体" w:hAnsi="宋体" w:cs="宋体"/>
                <w:b/>
                <w:bCs/>
                <w:color w:val="000000"/>
                <w:spacing w:val="6"/>
                <w:sz w:val="24"/>
                <w:szCs w:val="24"/>
                <w:highlight w:val="none"/>
                <w:lang w:val="en-US" w:eastAsia="zh-CN"/>
              </w:rPr>
              <w:t>8</w:t>
            </w:r>
            <w:r>
              <w:rPr>
                <w:rFonts w:hint="default" w:ascii="宋体" w:hAnsi="宋体" w:cs="宋体"/>
                <w:b/>
                <w:bCs/>
                <w:color w:val="000000"/>
                <w:spacing w:val="6"/>
                <w:sz w:val="24"/>
                <w:szCs w:val="24"/>
                <w:highlight w:val="none"/>
                <w:lang w:val="en-US" w:eastAsia="zh-CN"/>
              </w:rPr>
              <w:t>分）</w:t>
            </w:r>
          </w:p>
          <w:p w14:paraId="596082E9">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（1）</w:t>
            </w:r>
            <w:r>
              <w:rPr>
                <w:rFonts w:hint="default" w:ascii="宋体" w:hAnsi="宋体" w:cs="宋体"/>
                <w:color w:val="000000"/>
                <w:spacing w:val="6"/>
                <w:sz w:val="24"/>
                <w:szCs w:val="24"/>
                <w:highlight w:val="none"/>
                <w:lang w:val="en-US" w:eastAsia="zh-CN"/>
              </w:rPr>
              <w:t>具有完善的售后服务体系，科学合理的配送保障措施，全面可行且完善的售后服务细则，确保售后的退换等服务进行综合打分。（</w:t>
            </w:r>
            <w:r>
              <w:rPr>
                <w:rFonts w:hint="eastAsia" w:ascii="宋体" w:hAnsi="宋体" w:cs="宋体"/>
                <w:color w:val="000000"/>
                <w:spacing w:val="6"/>
                <w:sz w:val="24"/>
                <w:szCs w:val="24"/>
                <w:highlight w:val="none"/>
                <w:lang w:val="en-US" w:eastAsia="zh-CN"/>
              </w:rPr>
              <w:t>6</w:t>
            </w:r>
            <w:r>
              <w:rPr>
                <w:rFonts w:hint="default" w:ascii="宋体" w:hAnsi="宋体" w:cs="宋体"/>
                <w:color w:val="000000"/>
                <w:spacing w:val="6"/>
                <w:sz w:val="24"/>
                <w:szCs w:val="24"/>
                <w:highlight w:val="none"/>
                <w:lang w:val="en-US" w:eastAsia="zh-CN"/>
              </w:rPr>
              <w:t xml:space="preserve"> 分）。最优方案评分得标准分，其余依次递减 0.2分，直至 0 分。可并列排名。</w:t>
            </w:r>
          </w:p>
          <w:p w14:paraId="08AA4B2A">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color w:val="000000"/>
                <w:spacing w:val="6"/>
                <w:sz w:val="24"/>
                <w:szCs w:val="24"/>
                <w:highlight w:val="none"/>
                <w:lang w:val="en-US" w:eastAsia="zh-CN"/>
              </w:rPr>
            </w:pPr>
            <w:r>
              <w:rPr>
                <w:rFonts w:hint="default" w:ascii="宋体" w:hAnsi="宋体" w:cs="宋体"/>
                <w:color w:val="000000"/>
                <w:spacing w:val="6"/>
                <w:sz w:val="24"/>
                <w:szCs w:val="24"/>
                <w:highlight w:val="none"/>
                <w:lang w:val="en-US" w:eastAsia="zh-CN"/>
              </w:rPr>
              <w:t>A.具有详细的售后服务团队人员名单，售后服务时间能满足招标文件要求并提前安排人员到场【2 分】</w:t>
            </w:r>
          </w:p>
          <w:p w14:paraId="5416A849">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color w:val="000000"/>
                <w:spacing w:val="6"/>
                <w:sz w:val="24"/>
                <w:szCs w:val="24"/>
                <w:highlight w:val="none"/>
                <w:lang w:val="en-US" w:eastAsia="zh-CN"/>
              </w:rPr>
            </w:pPr>
            <w:r>
              <w:rPr>
                <w:rFonts w:hint="default" w:ascii="宋体" w:hAnsi="宋体" w:cs="宋体"/>
                <w:color w:val="000000"/>
                <w:spacing w:val="6"/>
                <w:sz w:val="24"/>
                <w:szCs w:val="24"/>
                <w:highlight w:val="none"/>
                <w:lang w:val="en-US" w:eastAsia="zh-CN"/>
              </w:rPr>
              <w:t>B.有售后客服热线或客户投诉渠道，并及时登记反馈并能处理【1分】</w:t>
            </w:r>
          </w:p>
          <w:p w14:paraId="7782A137">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color w:val="000000"/>
                <w:spacing w:val="6"/>
                <w:sz w:val="24"/>
                <w:szCs w:val="24"/>
                <w:highlight w:val="none"/>
                <w:lang w:val="en-US" w:eastAsia="zh-CN"/>
              </w:rPr>
            </w:pPr>
            <w:r>
              <w:rPr>
                <w:rFonts w:hint="default" w:ascii="宋体" w:hAnsi="宋体" w:cs="宋体"/>
                <w:color w:val="000000"/>
                <w:spacing w:val="6"/>
                <w:sz w:val="24"/>
                <w:szCs w:val="24"/>
                <w:highlight w:val="none"/>
                <w:lang w:val="en-US" w:eastAsia="zh-CN"/>
              </w:rPr>
              <w:t>C.售后服务方案完善</w:t>
            </w:r>
            <w:r>
              <w:rPr>
                <w:rFonts w:hint="eastAsia" w:ascii="宋体" w:hAnsi="宋体" w:cs="宋体"/>
                <w:color w:val="000000"/>
                <w:spacing w:val="6"/>
                <w:sz w:val="24"/>
                <w:szCs w:val="24"/>
                <w:highlight w:val="none"/>
                <w:lang w:val="en-US" w:eastAsia="zh-CN"/>
              </w:rPr>
              <w:t>，</w:t>
            </w:r>
            <w:r>
              <w:rPr>
                <w:rFonts w:hint="default" w:ascii="宋体" w:hAnsi="宋体" w:cs="宋体"/>
                <w:color w:val="000000"/>
                <w:spacing w:val="6"/>
                <w:sz w:val="24"/>
                <w:szCs w:val="24"/>
                <w:highlight w:val="none"/>
                <w:lang w:val="en-US" w:eastAsia="zh-CN"/>
              </w:rPr>
              <w:t>具有详细的保障措施，能保证货物准时运达【1 分】</w:t>
            </w:r>
          </w:p>
          <w:p w14:paraId="4F804C30">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color w:val="000000"/>
                <w:spacing w:val="6"/>
                <w:sz w:val="24"/>
                <w:szCs w:val="24"/>
                <w:highlight w:val="none"/>
                <w:lang w:val="en-US" w:eastAsia="zh-CN"/>
              </w:rPr>
            </w:pPr>
            <w:r>
              <w:rPr>
                <w:rFonts w:hint="default" w:ascii="宋体" w:hAnsi="宋体" w:cs="宋体"/>
                <w:color w:val="000000"/>
                <w:spacing w:val="6"/>
                <w:sz w:val="24"/>
                <w:szCs w:val="24"/>
                <w:highlight w:val="none"/>
                <w:lang w:val="en-US" w:eastAsia="zh-CN"/>
              </w:rPr>
              <w:t>D、承诺为需方进行设备安装调试：所有设备由供方免费安装调试。【1 分】</w:t>
            </w:r>
          </w:p>
          <w:p w14:paraId="5770F6C4">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E</w:t>
            </w:r>
            <w:r>
              <w:rPr>
                <w:rFonts w:hint="default" w:ascii="宋体" w:hAnsi="宋体" w:cs="宋体"/>
                <w:color w:val="000000"/>
                <w:spacing w:val="6"/>
                <w:sz w:val="24"/>
                <w:szCs w:val="24"/>
                <w:highlight w:val="none"/>
                <w:lang w:val="en-US" w:eastAsia="zh-CN"/>
              </w:rPr>
              <w:t>、售后服务方案合理、可行，备品备件充足，有定期回访内容的【1分】</w:t>
            </w:r>
          </w:p>
          <w:p w14:paraId="3349D318">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（2）</w:t>
            </w:r>
            <w:r>
              <w:rPr>
                <w:rFonts w:hint="default" w:ascii="宋体" w:hAnsi="宋体" w:cs="宋体"/>
                <w:color w:val="000000"/>
                <w:spacing w:val="6"/>
                <w:sz w:val="24"/>
                <w:szCs w:val="24"/>
                <w:highlight w:val="none"/>
                <w:lang w:val="en-US" w:eastAsia="zh-CN"/>
              </w:rPr>
              <w:t>具有完善的现场响应服务能力，完善、合理的服务响应方案，进行综合打分。（2 分）最优方案评分得标准分，其余依次递减 0.2分，直至 0 分。可并列排名。</w:t>
            </w:r>
          </w:p>
          <w:p w14:paraId="589CBBDC">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cs="宋体"/>
                <w:color w:val="000000"/>
                <w:spacing w:val="6"/>
                <w:sz w:val="24"/>
                <w:szCs w:val="24"/>
                <w:highlight w:val="none"/>
                <w:lang w:val="en-US" w:eastAsia="zh-CN"/>
              </w:rPr>
            </w:pPr>
            <w:r>
              <w:rPr>
                <w:rFonts w:hint="default" w:ascii="宋体" w:hAnsi="宋体" w:cs="宋体"/>
                <w:color w:val="000000"/>
                <w:spacing w:val="6"/>
                <w:sz w:val="24"/>
                <w:szCs w:val="24"/>
                <w:highlight w:val="none"/>
                <w:lang w:val="en-US" w:eastAsia="zh-CN"/>
              </w:rPr>
              <w:t>A. 提供 7*24 小时电话技术支持服务，接到报修信息后，30 分钟内响应，6 个小时内到达维修现场并将故障排除初步情况反馈给采购人，2小时内修</w:t>
            </w:r>
          </w:p>
          <w:p w14:paraId="0561B9CD">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ascii="宋体" w:hAnsi="宋体" w:eastAsia="宋体" w:cs="宋体"/>
                <w:color w:val="000000"/>
                <w:spacing w:val="6"/>
                <w:sz w:val="24"/>
                <w:szCs w:val="24"/>
                <w:highlight w:val="none"/>
                <w:lang w:val="en-US" w:eastAsia="zh-CN"/>
              </w:rPr>
            </w:pPr>
            <w:r>
              <w:rPr>
                <w:rFonts w:hint="default" w:ascii="宋体" w:hAnsi="宋体" w:eastAsia="宋体" w:cs="宋体"/>
                <w:color w:val="000000"/>
                <w:spacing w:val="6"/>
                <w:sz w:val="24"/>
                <w:szCs w:val="24"/>
                <w:highlight w:val="none"/>
                <w:lang w:val="en-US" w:eastAsia="zh-CN"/>
              </w:rPr>
              <w:t>复【1 分】</w:t>
            </w:r>
          </w:p>
          <w:p w14:paraId="532A8595">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default"/>
                <w:lang w:val="en-US" w:eastAsia="zh-CN"/>
              </w:rPr>
            </w:pPr>
            <w:r>
              <w:rPr>
                <w:rFonts w:hint="eastAsia" w:ascii="宋体" w:hAnsi="宋体" w:eastAsia="宋体" w:cs="宋体"/>
                <w:color w:val="000000"/>
                <w:spacing w:val="6"/>
                <w:sz w:val="24"/>
                <w:szCs w:val="24"/>
                <w:highlight w:val="none"/>
                <w:lang w:val="en-US" w:eastAsia="zh-CN"/>
              </w:rPr>
              <w:t>B.</w:t>
            </w:r>
            <w:r>
              <w:rPr>
                <w:rFonts w:hint="default" w:ascii="宋体" w:hAnsi="宋体" w:eastAsia="宋体" w:cs="宋体"/>
                <w:color w:val="000000"/>
                <w:spacing w:val="6"/>
                <w:sz w:val="24"/>
                <w:szCs w:val="24"/>
                <w:highlight w:val="none"/>
                <w:lang w:val="en-US" w:eastAsia="zh-CN"/>
              </w:rPr>
              <w:t>现场响应方案完善，能充分体现投标人响应服务能力的【1 分】</w:t>
            </w:r>
          </w:p>
        </w:tc>
        <w:tc>
          <w:tcPr>
            <w:tcW w:w="766" w:type="dxa"/>
            <w:noWrap w:val="0"/>
            <w:vAlign w:val="center"/>
          </w:tcPr>
          <w:p w14:paraId="13C722B6">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jc w:val="center"/>
              <w:textAlignment w:val="auto"/>
              <w:rPr>
                <w:rFonts w:hint="default"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8</w:t>
            </w:r>
          </w:p>
        </w:tc>
      </w:tr>
      <w:tr w14:paraId="746E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438" w:type="dxa"/>
            <w:noWrap w:val="0"/>
            <w:vAlign w:val="center"/>
          </w:tcPr>
          <w:p w14:paraId="41D3FF14">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b/>
                <w:bCs/>
                <w:color w:val="000000"/>
                <w:spacing w:val="6"/>
                <w:sz w:val="24"/>
                <w:szCs w:val="24"/>
                <w:highlight w:val="none"/>
                <w:lang w:val="en-US" w:eastAsia="zh-CN"/>
              </w:rPr>
            </w:pPr>
            <w:r>
              <w:rPr>
                <w:rFonts w:hint="eastAsia" w:ascii="宋体" w:hAnsi="宋体" w:cs="宋体"/>
                <w:b/>
                <w:bCs/>
                <w:color w:val="000000"/>
                <w:spacing w:val="6"/>
                <w:sz w:val="24"/>
                <w:szCs w:val="24"/>
                <w:highlight w:val="none"/>
                <w:lang w:val="en-US" w:eastAsia="zh-CN"/>
              </w:rPr>
              <w:t>5.项目巡检方案（6 分）</w:t>
            </w:r>
          </w:p>
          <w:p w14:paraId="2121E7DA">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 xml:space="preserve">投标人针对本项目在质保期内提供的巡检方案，内容包括但不限于：能按 </w:t>
            </w:r>
          </w:p>
          <w:p w14:paraId="62946E05">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 xml:space="preserve">月、季、年时间进度提供加油站数据管理情况运营报告（提供报告模板）、 </w:t>
            </w:r>
          </w:p>
          <w:p w14:paraId="009DE910">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 xml:space="preserve">能定期或不定期对加油站硬件设备巡检和维护、设备在线率的保障措施等 </w:t>
            </w:r>
          </w:p>
          <w:p w14:paraId="144556C4">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 xml:space="preserve">内容。 </w:t>
            </w:r>
          </w:p>
          <w:p w14:paraId="2D922045">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 xml:space="preserve">所提供方案内容每缺少一项要求的方案内容扣 2 分，扣完为止。每有一项 </w:t>
            </w:r>
          </w:p>
          <w:p w14:paraId="6261A26C">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 xml:space="preserve">与项目特色无关或与采购需求不对应存在瑕疵，瑕疵指内容缺项、不完整、 </w:t>
            </w:r>
          </w:p>
          <w:p w14:paraId="72381DB0">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 xml:space="preserve">缺少关键点的每项扣1 分；非专门面向本项目或不适用本项目的描述或 </w:t>
            </w:r>
          </w:p>
          <w:p w14:paraId="05F191E9">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无描述不得分。</w:t>
            </w:r>
          </w:p>
        </w:tc>
        <w:tc>
          <w:tcPr>
            <w:tcW w:w="766" w:type="dxa"/>
            <w:noWrap w:val="0"/>
            <w:vAlign w:val="center"/>
          </w:tcPr>
          <w:p w14:paraId="78F6CFE7">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jc w:val="center"/>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6</w:t>
            </w:r>
          </w:p>
        </w:tc>
      </w:tr>
      <w:tr w14:paraId="26FC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8438" w:type="dxa"/>
            <w:noWrap w:val="0"/>
            <w:vAlign w:val="center"/>
          </w:tcPr>
          <w:p w14:paraId="6AFD3455">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b/>
                <w:bCs/>
                <w:color w:val="000000"/>
                <w:spacing w:val="6"/>
                <w:sz w:val="24"/>
                <w:szCs w:val="24"/>
                <w:highlight w:val="none"/>
                <w:lang w:val="en-US" w:eastAsia="zh-CN"/>
              </w:rPr>
            </w:pPr>
            <w:r>
              <w:rPr>
                <w:rFonts w:hint="eastAsia" w:ascii="宋体" w:hAnsi="宋体" w:cs="宋体"/>
                <w:b/>
                <w:bCs/>
                <w:color w:val="000000"/>
                <w:spacing w:val="6"/>
                <w:sz w:val="24"/>
                <w:szCs w:val="24"/>
                <w:highlight w:val="none"/>
                <w:lang w:val="en-US" w:eastAsia="zh-CN"/>
              </w:rPr>
              <w:t xml:space="preserve">6.培训方案（4分） </w:t>
            </w:r>
          </w:p>
          <w:p w14:paraId="43E6C21E">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对设备使用人员进行培训、技术指导，并有培训计划、培训方式情况等；</w:t>
            </w:r>
          </w:p>
          <w:p w14:paraId="7700FB4E">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fldChar w:fldCharType="begin"/>
            </w:r>
            <w:r>
              <w:rPr>
                <w:rFonts w:hint="eastAsia" w:ascii="宋体" w:hAnsi="宋体" w:cs="宋体"/>
                <w:color w:val="000000"/>
                <w:spacing w:val="6"/>
                <w:sz w:val="24"/>
                <w:szCs w:val="24"/>
                <w:highlight w:val="none"/>
                <w:lang w:val="en-US" w:eastAsia="zh-CN"/>
              </w:rPr>
              <w:instrText xml:space="preserve"> = 1 \* GB3 </w:instrText>
            </w:r>
            <w:r>
              <w:rPr>
                <w:rFonts w:hint="eastAsia" w:ascii="宋体" w:hAnsi="宋体" w:cs="宋体"/>
                <w:color w:val="000000"/>
                <w:spacing w:val="6"/>
                <w:sz w:val="24"/>
                <w:szCs w:val="24"/>
                <w:highlight w:val="none"/>
                <w:lang w:val="en-US" w:eastAsia="zh-CN"/>
              </w:rPr>
              <w:fldChar w:fldCharType="separate"/>
            </w:r>
            <w:r>
              <w:rPr>
                <w:rFonts w:hint="eastAsia" w:ascii="宋体" w:hAnsi="宋体" w:cs="宋体"/>
                <w:color w:val="000000"/>
                <w:spacing w:val="6"/>
                <w:sz w:val="24"/>
                <w:szCs w:val="24"/>
                <w:highlight w:val="none"/>
                <w:lang w:val="en-US" w:eastAsia="zh-CN"/>
              </w:rPr>
              <w:t>①</w:t>
            </w:r>
            <w:r>
              <w:rPr>
                <w:rFonts w:hint="eastAsia" w:ascii="宋体" w:hAnsi="宋体" w:cs="宋体"/>
                <w:color w:val="000000"/>
                <w:spacing w:val="6"/>
                <w:sz w:val="24"/>
                <w:szCs w:val="24"/>
                <w:highlight w:val="none"/>
                <w:lang w:val="en-US" w:eastAsia="zh-CN"/>
              </w:rPr>
              <w:fldChar w:fldCharType="end"/>
            </w:r>
            <w:r>
              <w:rPr>
                <w:rFonts w:hint="eastAsia" w:ascii="宋体" w:hAnsi="宋体" w:cs="宋体"/>
                <w:color w:val="000000"/>
                <w:spacing w:val="6"/>
                <w:sz w:val="24"/>
                <w:szCs w:val="24"/>
                <w:highlight w:val="none"/>
                <w:lang w:val="en-US" w:eastAsia="zh-CN"/>
              </w:rPr>
              <w:t>供应商制定的培训方案内容全面、详细，内容完整，满足本次项目技术要求及内容，充分考虑项目建设方需求，内容针对性和可行性高，得4分；</w:t>
            </w:r>
          </w:p>
          <w:p w14:paraId="77616D30">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fldChar w:fldCharType="begin"/>
            </w:r>
            <w:r>
              <w:rPr>
                <w:rFonts w:hint="eastAsia" w:ascii="宋体" w:hAnsi="宋体" w:cs="宋体"/>
                <w:color w:val="000000"/>
                <w:spacing w:val="6"/>
                <w:sz w:val="24"/>
                <w:szCs w:val="24"/>
                <w:highlight w:val="none"/>
                <w:lang w:val="en-US" w:eastAsia="zh-CN"/>
              </w:rPr>
              <w:instrText xml:space="preserve"> = 2 \* GB3 </w:instrText>
            </w:r>
            <w:r>
              <w:rPr>
                <w:rFonts w:hint="eastAsia" w:ascii="宋体" w:hAnsi="宋体" w:cs="宋体"/>
                <w:color w:val="000000"/>
                <w:spacing w:val="6"/>
                <w:sz w:val="24"/>
                <w:szCs w:val="24"/>
                <w:highlight w:val="none"/>
                <w:lang w:val="en-US" w:eastAsia="zh-CN"/>
              </w:rPr>
              <w:fldChar w:fldCharType="separate"/>
            </w:r>
            <w:r>
              <w:rPr>
                <w:rFonts w:hint="eastAsia" w:ascii="宋体" w:hAnsi="宋体" w:cs="宋体"/>
                <w:color w:val="000000"/>
                <w:spacing w:val="6"/>
                <w:sz w:val="24"/>
                <w:szCs w:val="24"/>
                <w:highlight w:val="none"/>
                <w:lang w:val="en-US" w:eastAsia="zh-CN"/>
              </w:rPr>
              <w:t>②</w:t>
            </w:r>
            <w:r>
              <w:rPr>
                <w:rFonts w:hint="eastAsia" w:ascii="宋体" w:hAnsi="宋体" w:cs="宋体"/>
                <w:color w:val="000000"/>
                <w:spacing w:val="6"/>
                <w:sz w:val="24"/>
                <w:szCs w:val="24"/>
                <w:highlight w:val="none"/>
                <w:lang w:val="en-US" w:eastAsia="zh-CN"/>
              </w:rPr>
              <w:fldChar w:fldCharType="end"/>
            </w:r>
            <w:r>
              <w:rPr>
                <w:rFonts w:hint="eastAsia" w:ascii="宋体" w:hAnsi="宋体" w:cs="宋体"/>
                <w:color w:val="000000"/>
                <w:spacing w:val="6"/>
                <w:sz w:val="24"/>
                <w:szCs w:val="24"/>
                <w:highlight w:val="none"/>
                <w:lang w:val="en-US" w:eastAsia="zh-CN"/>
              </w:rPr>
              <w:t>供应商制定的培训方案符合要求，内容能满足本次项目服务要求及内容，具有可实施性，得3分；</w:t>
            </w:r>
          </w:p>
          <w:p w14:paraId="67A2BA09">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fldChar w:fldCharType="begin"/>
            </w:r>
            <w:r>
              <w:rPr>
                <w:rFonts w:hint="eastAsia" w:ascii="宋体" w:hAnsi="宋体" w:cs="宋体"/>
                <w:color w:val="000000"/>
                <w:spacing w:val="6"/>
                <w:sz w:val="24"/>
                <w:szCs w:val="24"/>
                <w:highlight w:val="none"/>
                <w:lang w:val="en-US" w:eastAsia="zh-CN"/>
              </w:rPr>
              <w:instrText xml:space="preserve"> = 3 \* GB3 </w:instrText>
            </w:r>
            <w:r>
              <w:rPr>
                <w:rFonts w:hint="eastAsia" w:ascii="宋体" w:hAnsi="宋体" w:cs="宋体"/>
                <w:color w:val="000000"/>
                <w:spacing w:val="6"/>
                <w:sz w:val="24"/>
                <w:szCs w:val="24"/>
                <w:highlight w:val="none"/>
                <w:lang w:val="en-US" w:eastAsia="zh-CN"/>
              </w:rPr>
              <w:fldChar w:fldCharType="separate"/>
            </w:r>
            <w:r>
              <w:rPr>
                <w:rFonts w:hint="eastAsia" w:ascii="宋体" w:hAnsi="宋体" w:cs="宋体"/>
                <w:color w:val="000000"/>
                <w:spacing w:val="6"/>
                <w:sz w:val="24"/>
                <w:szCs w:val="24"/>
                <w:highlight w:val="none"/>
                <w:lang w:val="en-US" w:eastAsia="zh-CN"/>
              </w:rPr>
              <w:t>③</w:t>
            </w:r>
            <w:r>
              <w:rPr>
                <w:rFonts w:hint="eastAsia" w:ascii="宋体" w:hAnsi="宋体" w:cs="宋体"/>
                <w:color w:val="000000"/>
                <w:spacing w:val="6"/>
                <w:sz w:val="24"/>
                <w:szCs w:val="24"/>
                <w:highlight w:val="none"/>
                <w:lang w:val="en-US" w:eastAsia="zh-CN"/>
              </w:rPr>
              <w:fldChar w:fldCharType="end"/>
            </w:r>
            <w:r>
              <w:rPr>
                <w:rFonts w:hint="eastAsia" w:ascii="宋体" w:hAnsi="宋体" w:cs="宋体"/>
                <w:color w:val="000000"/>
                <w:spacing w:val="6"/>
                <w:sz w:val="24"/>
                <w:szCs w:val="24"/>
                <w:highlight w:val="none"/>
                <w:lang w:val="en-US" w:eastAsia="zh-CN"/>
              </w:rPr>
              <w:t>内容能满足本次项目服务要求及内容，但有缺失，得2分；</w:t>
            </w:r>
          </w:p>
          <w:p w14:paraId="6F4AB87F">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fldChar w:fldCharType="begin"/>
            </w:r>
            <w:r>
              <w:rPr>
                <w:rFonts w:hint="eastAsia" w:ascii="宋体" w:hAnsi="宋体" w:cs="宋体"/>
                <w:color w:val="000000"/>
                <w:spacing w:val="6"/>
                <w:sz w:val="24"/>
                <w:szCs w:val="24"/>
                <w:highlight w:val="none"/>
                <w:lang w:val="en-US" w:eastAsia="zh-CN"/>
              </w:rPr>
              <w:instrText xml:space="preserve"> = 4 \* GB3 </w:instrText>
            </w:r>
            <w:r>
              <w:rPr>
                <w:rFonts w:hint="eastAsia" w:ascii="宋体" w:hAnsi="宋体" w:cs="宋体"/>
                <w:color w:val="000000"/>
                <w:spacing w:val="6"/>
                <w:sz w:val="24"/>
                <w:szCs w:val="24"/>
                <w:highlight w:val="none"/>
                <w:lang w:val="en-US" w:eastAsia="zh-CN"/>
              </w:rPr>
              <w:fldChar w:fldCharType="separate"/>
            </w:r>
            <w:r>
              <w:rPr>
                <w:rFonts w:hint="eastAsia" w:ascii="宋体" w:hAnsi="宋体" w:cs="宋体"/>
                <w:color w:val="000000"/>
                <w:spacing w:val="6"/>
                <w:sz w:val="24"/>
                <w:szCs w:val="24"/>
                <w:highlight w:val="none"/>
                <w:lang w:val="en-US" w:eastAsia="zh-CN"/>
              </w:rPr>
              <w:t>④</w:t>
            </w:r>
            <w:r>
              <w:rPr>
                <w:rFonts w:hint="eastAsia" w:ascii="宋体" w:hAnsi="宋体" w:cs="宋体"/>
                <w:color w:val="000000"/>
                <w:spacing w:val="6"/>
                <w:sz w:val="24"/>
                <w:szCs w:val="24"/>
                <w:highlight w:val="none"/>
                <w:lang w:val="en-US" w:eastAsia="zh-CN"/>
              </w:rPr>
              <w:fldChar w:fldCharType="end"/>
            </w:r>
            <w:r>
              <w:rPr>
                <w:rFonts w:hint="eastAsia" w:ascii="宋体" w:hAnsi="宋体" w:cs="宋体"/>
                <w:color w:val="000000"/>
                <w:spacing w:val="6"/>
                <w:sz w:val="24"/>
                <w:szCs w:val="24"/>
                <w:highlight w:val="none"/>
                <w:lang w:val="en-US" w:eastAsia="zh-CN"/>
              </w:rPr>
              <w:t>供应商提供的方案内容单一，可实施性不强的得1分。</w:t>
            </w:r>
          </w:p>
          <w:p w14:paraId="7DC89EFF">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fldChar w:fldCharType="begin"/>
            </w:r>
            <w:r>
              <w:rPr>
                <w:rFonts w:hint="eastAsia" w:ascii="宋体" w:hAnsi="宋体" w:cs="宋体"/>
                <w:color w:val="000000"/>
                <w:spacing w:val="6"/>
                <w:sz w:val="24"/>
                <w:szCs w:val="24"/>
                <w:highlight w:val="none"/>
                <w:lang w:val="en-US" w:eastAsia="zh-CN"/>
              </w:rPr>
              <w:instrText xml:space="preserve"> = 5 \* GB3 </w:instrText>
            </w:r>
            <w:r>
              <w:rPr>
                <w:rFonts w:hint="eastAsia" w:ascii="宋体" w:hAnsi="宋体" w:cs="宋体"/>
                <w:color w:val="000000"/>
                <w:spacing w:val="6"/>
                <w:sz w:val="24"/>
                <w:szCs w:val="24"/>
                <w:highlight w:val="none"/>
                <w:lang w:val="en-US" w:eastAsia="zh-CN"/>
              </w:rPr>
              <w:fldChar w:fldCharType="separate"/>
            </w:r>
            <w:r>
              <w:rPr>
                <w:rFonts w:hint="eastAsia" w:ascii="宋体" w:hAnsi="宋体" w:cs="宋体"/>
                <w:color w:val="000000"/>
                <w:spacing w:val="6"/>
                <w:sz w:val="24"/>
                <w:szCs w:val="24"/>
                <w:highlight w:val="none"/>
                <w:lang w:val="en-US" w:eastAsia="zh-CN"/>
              </w:rPr>
              <w:t>⑤</w:t>
            </w:r>
            <w:r>
              <w:rPr>
                <w:rFonts w:hint="eastAsia" w:ascii="宋体" w:hAnsi="宋体" w:cs="宋体"/>
                <w:color w:val="000000"/>
                <w:spacing w:val="6"/>
                <w:sz w:val="24"/>
                <w:szCs w:val="24"/>
                <w:highlight w:val="none"/>
                <w:lang w:val="en-US" w:eastAsia="zh-CN"/>
              </w:rPr>
              <w:fldChar w:fldCharType="end"/>
            </w:r>
            <w:r>
              <w:rPr>
                <w:rFonts w:hint="eastAsia" w:ascii="宋体" w:hAnsi="宋体" w:cs="宋体"/>
                <w:color w:val="000000"/>
                <w:spacing w:val="6"/>
                <w:sz w:val="24"/>
                <w:szCs w:val="24"/>
                <w:highlight w:val="none"/>
                <w:lang w:val="en-US" w:eastAsia="zh-CN"/>
              </w:rPr>
              <w:t>未提供不得分。</w:t>
            </w:r>
          </w:p>
        </w:tc>
        <w:tc>
          <w:tcPr>
            <w:tcW w:w="766" w:type="dxa"/>
            <w:noWrap w:val="0"/>
            <w:vAlign w:val="center"/>
          </w:tcPr>
          <w:p w14:paraId="3DFD936C">
            <w:pPr>
              <w:keepNext/>
              <w:keepLines/>
              <w:pageBreakBefore w:val="0"/>
              <w:widowControl w:val="0"/>
              <w:shd w:val="clear"/>
              <w:kinsoku/>
              <w:wordWrap/>
              <w:overflowPunct/>
              <w:topLinePunct w:val="0"/>
              <w:autoSpaceDE/>
              <w:autoSpaceDN/>
              <w:bidi w:val="0"/>
              <w:snapToGrid w:val="0"/>
              <w:spacing w:line="36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r>
      <w:tr w14:paraId="1465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8438" w:type="dxa"/>
            <w:noWrap w:val="0"/>
            <w:vAlign w:val="center"/>
          </w:tcPr>
          <w:p w14:paraId="6D875E5B">
            <w:pPr>
              <w:keepNext/>
              <w:keepLines/>
              <w:pageBreakBefore w:val="0"/>
              <w:widowControl w:val="0"/>
              <w:shd w:val="clear"/>
              <w:kinsoku/>
              <w:wordWrap/>
              <w:overflowPunct/>
              <w:topLinePunct w:val="0"/>
              <w:autoSpaceDE/>
              <w:autoSpaceDN/>
              <w:bidi w:val="0"/>
              <w:snapToGrid w:val="0"/>
              <w:spacing w:line="360" w:lineRule="exact"/>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三、价格分(30分)</w:t>
            </w:r>
          </w:p>
        </w:tc>
        <w:tc>
          <w:tcPr>
            <w:tcW w:w="766" w:type="dxa"/>
            <w:noWrap w:val="0"/>
            <w:vAlign w:val="center"/>
          </w:tcPr>
          <w:p w14:paraId="445F3B5D">
            <w:pPr>
              <w:keepNext/>
              <w:keepLines/>
              <w:pageBreakBefore w:val="0"/>
              <w:widowControl w:val="0"/>
              <w:shd w:val="clear"/>
              <w:kinsoku/>
              <w:wordWrap/>
              <w:overflowPunct/>
              <w:topLinePunct w:val="0"/>
              <w:autoSpaceDE/>
              <w:autoSpaceDN/>
              <w:bidi w:val="0"/>
              <w:snapToGrid w:val="0"/>
              <w:spacing w:line="360" w:lineRule="exact"/>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30</w:t>
            </w:r>
          </w:p>
        </w:tc>
      </w:tr>
      <w:tr w14:paraId="6E91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jc w:val="center"/>
        </w:trPr>
        <w:tc>
          <w:tcPr>
            <w:tcW w:w="8438" w:type="dxa"/>
            <w:noWrap w:val="0"/>
            <w:vAlign w:val="center"/>
          </w:tcPr>
          <w:p w14:paraId="077029AE">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满足招标文件要求且最低的投标报价为评标基准价，其价格分为满分。</w:t>
            </w:r>
          </w:p>
          <w:p w14:paraId="12D0F1FE">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报价得分=(评标基准价／投标报价)×30%×100</w:t>
            </w:r>
          </w:p>
          <w:p w14:paraId="79A87E20">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注：</w:t>
            </w:r>
          </w:p>
          <w:p w14:paraId="2E2B8038">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1.评审过程中，不得去掉最高价和最低价。</w:t>
            </w:r>
          </w:p>
          <w:p w14:paraId="56CD9ABB">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textAlignment w:val="auto"/>
              <w:rPr>
                <w:rFonts w:hint="eastAsia"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2.因落实政府采购政策进行价格调整的，已调整后的价格计算评标基准价和投标报价。</w:t>
            </w:r>
          </w:p>
        </w:tc>
        <w:tc>
          <w:tcPr>
            <w:tcW w:w="766" w:type="dxa"/>
            <w:noWrap w:val="0"/>
            <w:vAlign w:val="center"/>
          </w:tcPr>
          <w:p w14:paraId="200BEB5C">
            <w:pPr>
              <w:keepNext/>
              <w:keepLines/>
              <w:pageBreakBefore w:val="0"/>
              <w:widowControl w:val="0"/>
              <w:numPr>
                <w:ilvl w:val="0"/>
                <w:numId w:val="0"/>
              </w:numPr>
              <w:shd w:val="clear"/>
              <w:kinsoku/>
              <w:wordWrap/>
              <w:overflowPunct/>
              <w:topLinePunct w:val="0"/>
              <w:autoSpaceDE/>
              <w:autoSpaceDN/>
              <w:bidi w:val="0"/>
              <w:adjustRightInd w:val="0"/>
              <w:snapToGrid w:val="0"/>
              <w:spacing w:line="360" w:lineRule="exact"/>
              <w:jc w:val="center"/>
              <w:textAlignment w:val="auto"/>
              <w:rPr>
                <w:rFonts w:hint="default" w:ascii="宋体" w:hAnsi="宋体" w:cs="宋体"/>
                <w:color w:val="000000"/>
                <w:spacing w:val="6"/>
                <w:sz w:val="24"/>
                <w:szCs w:val="24"/>
                <w:highlight w:val="none"/>
                <w:lang w:val="en-US" w:eastAsia="zh-CN"/>
              </w:rPr>
            </w:pPr>
            <w:r>
              <w:rPr>
                <w:rFonts w:hint="eastAsia" w:ascii="宋体" w:hAnsi="宋体" w:cs="宋体"/>
                <w:color w:val="000000"/>
                <w:spacing w:val="6"/>
                <w:sz w:val="24"/>
                <w:szCs w:val="24"/>
                <w:highlight w:val="none"/>
                <w:lang w:val="en-US" w:eastAsia="zh-CN"/>
              </w:rPr>
              <w:t>30</w:t>
            </w:r>
          </w:p>
        </w:tc>
      </w:tr>
    </w:tbl>
    <w:p w14:paraId="5D300E42">
      <w:pPr>
        <w:pStyle w:val="27"/>
        <w:keepNext/>
        <w:keepLines/>
        <w:pageBreakBefore w:val="0"/>
        <w:widowControl w:val="0"/>
        <w:shd w:val="clear"/>
        <w:kinsoku/>
        <w:wordWrap/>
        <w:overflowPunct/>
        <w:topLinePunct w:val="0"/>
        <w:autoSpaceDE/>
        <w:autoSpaceDN/>
        <w:bidi w:val="0"/>
        <w:ind w:firstLine="240" w:firstLineChars="100"/>
        <w:jc w:val="both"/>
        <w:textAlignment w:val="auto"/>
        <w:rPr>
          <w:rFonts w:hint="eastAsia" w:ascii="宋体" w:hAnsi="宋体" w:eastAsia="宋体" w:cs="宋体"/>
          <w:b/>
          <w:sz w:val="24"/>
          <w:szCs w:val="24"/>
          <w:highlight w:val="none"/>
          <w:lang w:eastAsia="zh-CN"/>
        </w:rPr>
        <w:sectPr>
          <w:headerReference r:id="rId5" w:type="default"/>
          <w:footerReference r:id="rId6" w:type="default"/>
          <w:pgSz w:w="11907" w:h="16840"/>
          <w:pgMar w:top="1418" w:right="1559" w:bottom="1418" w:left="1588" w:header="794" w:footer="841" w:gutter="0"/>
          <w:pgNumType w:fmt="decimal" w:start="1"/>
          <w:cols w:space="720" w:num="1"/>
          <w:docGrid w:linePitch="299" w:charSpace="0"/>
        </w:sectPr>
      </w:pPr>
      <w:r>
        <w:rPr>
          <w:rFonts w:hint="eastAsia" w:ascii="宋体" w:hAnsi="宋体" w:eastAsia="宋体" w:cs="宋体"/>
          <w:sz w:val="24"/>
          <w:szCs w:val="24"/>
          <w:highlight w:val="none"/>
        </w:rPr>
        <w:t>注：招标文件内没有规定的评标标准不得作为评审的依据</w:t>
      </w:r>
      <w:bookmarkStart w:id="63" w:name="_Toc14585"/>
      <w:bookmarkStart w:id="64" w:name="_Toc117270091"/>
      <w:r>
        <w:rPr>
          <w:rFonts w:hint="eastAsia" w:ascii="宋体" w:hAnsi="宋体" w:cs="宋体"/>
          <w:sz w:val="24"/>
          <w:szCs w:val="24"/>
          <w:highlight w:val="none"/>
          <w:lang w:eastAsia="zh-CN"/>
        </w:rPr>
        <w:t>。</w:t>
      </w:r>
    </w:p>
    <w:p w14:paraId="33D6675F">
      <w:pPr>
        <w:pStyle w:val="27"/>
        <w:widowControl w:val="0"/>
        <w:shd w:val="clear"/>
        <w:spacing w:before="120" w:beforeLines="50" w:after="120" w:afterLines="50" w:line="440" w:lineRule="exact"/>
        <w:jc w:val="center"/>
        <w:outlineLvl w:val="0"/>
        <w:rPr>
          <w:rFonts w:hint="eastAsia" w:ascii="宋体" w:hAnsi="宋体" w:eastAsia="宋体" w:cs="宋体"/>
          <w:b/>
          <w:color w:val="auto"/>
          <w:sz w:val="32"/>
          <w:szCs w:val="32"/>
          <w:highlight w:val="none"/>
        </w:rPr>
      </w:pPr>
      <w:bookmarkStart w:id="65" w:name="_Toc26901"/>
      <w:r>
        <w:rPr>
          <w:rFonts w:hint="eastAsia" w:ascii="宋体" w:hAnsi="宋体" w:eastAsia="宋体" w:cs="宋体"/>
          <w:b/>
          <w:color w:val="auto"/>
          <w:sz w:val="32"/>
          <w:szCs w:val="32"/>
          <w:highlight w:val="none"/>
        </w:rPr>
        <w:t>第五部分  商务、技术要求</w:t>
      </w:r>
      <w:bookmarkEnd w:id="63"/>
      <w:bookmarkEnd w:id="64"/>
      <w:bookmarkEnd w:id="65"/>
    </w:p>
    <w:p w14:paraId="1BA4CB8D">
      <w:pPr>
        <w:pStyle w:val="11"/>
        <w:keepLines/>
        <w:spacing w:line="360" w:lineRule="auto"/>
        <w:ind w:left="0"/>
        <w:rPr>
          <w:rFonts w:hint="default" w:ascii="宋体" w:hAnsi="宋体" w:eastAsia="宋体" w:cs="宋体"/>
          <w:b/>
          <w:bCs/>
          <w:sz w:val="24"/>
          <w:szCs w:val="24"/>
          <w:lang w:val="en-US" w:eastAsia="zh-CN" w:bidi="ar-SA"/>
        </w:rPr>
      </w:pPr>
      <w:bookmarkStart w:id="66" w:name="_Toc326248004"/>
      <w:bookmarkStart w:id="67" w:name="_Toc5694"/>
      <w:bookmarkStart w:id="68" w:name="_Toc117270092"/>
      <w:r>
        <w:rPr>
          <w:rFonts w:hint="eastAsia" w:ascii="宋体" w:hAnsi="宋体" w:eastAsia="宋体" w:cs="宋体"/>
          <w:b/>
          <w:bCs/>
          <w:sz w:val="24"/>
          <w:szCs w:val="24"/>
          <w:lang w:val="en-US" w:eastAsia="zh-CN" w:bidi="ar-SA"/>
        </w:rPr>
        <w:t>一、商务要求</w:t>
      </w:r>
    </w:p>
    <w:p w14:paraId="7A51E243">
      <w:pPr>
        <w:pStyle w:val="11"/>
        <w:keepLines/>
        <w:spacing w:line="360" w:lineRule="auto"/>
        <w:ind w:left="0"/>
        <w:rPr>
          <w:rFonts w:hint="eastAsia" w:ascii="宋体" w:hAnsi="宋体" w:eastAsia="宋体" w:cs="宋体"/>
          <w:b w:val="0"/>
          <w:bCs w:val="0"/>
          <w:sz w:val="24"/>
          <w:szCs w:val="24"/>
          <w:lang w:val="en-US" w:bidi="ar-SA"/>
        </w:rPr>
      </w:pPr>
      <w:r>
        <w:rPr>
          <w:rFonts w:hint="eastAsia" w:ascii="宋体" w:hAnsi="宋体" w:eastAsia="宋体" w:cs="宋体"/>
          <w:b w:val="0"/>
          <w:bCs w:val="0"/>
          <w:sz w:val="24"/>
          <w:szCs w:val="24"/>
          <w:lang w:val="en-US" w:bidi="ar-SA"/>
        </w:rPr>
        <w:t>1、项目概况</w:t>
      </w:r>
    </w:p>
    <w:p w14:paraId="49A960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深入贯彻山西省人民政府办公厅《关于成立山西省成品油流通智慧监管平台建设应用工作专班的通知》（晋政办函[2023]143号）、山西省成品油行业专项整治工作领导小组《关于印发山西省成品油流通智慧监管平台建设应用工作方案的通知》（晋油治发[2023]1号）和山西省成品油流通智慧监管平台建设应用工作专班《关于做好省成品油流通智慧监管平台数据接入工作的函》要求，进一步规范成品油行业秩序，实现成品油流通领域远程智能化管理，推进成品油流通智慧监管平台建设应用。</w:t>
      </w:r>
    </w:p>
    <w:p w14:paraId="0FFAFA3F">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进一步提高临汾市古县成品油流通行业综合治理能力，组织全县现有的加油站及今后新建、迁建、扩建的加油站推广安装成品油流通智慧监管设备，利用大数据、云计算、物联网等信息化技术，</w:t>
      </w:r>
      <w:r>
        <w:rPr>
          <w:rFonts w:hint="eastAsia" w:ascii="宋体" w:hAnsi="宋体" w:eastAsia="宋体" w:cs="宋体"/>
          <w:sz w:val="24"/>
          <w:szCs w:val="24"/>
          <w:lang w:val="en-US" w:bidi="ar-SA"/>
        </w:rPr>
        <w:t>实时采集、传输、监测成品油相关经营数据，智慧化动态分析行业运行状况，并服务于商务、税务、统计等相关工作，促进成品油行业和全县经济健康发展。同时将加油站现状、规划信息以及其他信息等接入省平台，实现各类数据之间相互补充、相互支撑，提高成品油流通领域的大数据综合监管能力，保障</w:t>
      </w:r>
      <w:r>
        <w:rPr>
          <w:rFonts w:hint="eastAsia" w:ascii="宋体" w:hAnsi="宋体" w:eastAsia="宋体" w:cs="宋体"/>
          <w:sz w:val="24"/>
          <w:szCs w:val="24"/>
          <w:lang w:val="en-US"/>
        </w:rPr>
        <w:t>相关部门高效履行监管职能。</w:t>
      </w:r>
    </w:p>
    <w:p w14:paraId="28B95E11">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2、建设规模：建设覆盖临汾市古县所有民营加油站共14座。</w:t>
      </w:r>
    </w:p>
    <w:p w14:paraId="2DE615CA">
      <w:pPr>
        <w:spacing w:line="36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3、合同履行期限：签订合同后60天内交付。</w:t>
      </w:r>
    </w:p>
    <w:p w14:paraId="7BFDF1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4、供货/服务地点：古县工信和科技局指定</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rPr>
        <w:t>14座加油站</w:t>
      </w:r>
      <w:r>
        <w:rPr>
          <w:rFonts w:hint="eastAsia" w:ascii="宋体" w:hAnsi="宋体" w:eastAsia="宋体" w:cs="宋体"/>
          <w:color w:val="auto"/>
          <w:sz w:val="24"/>
          <w:szCs w:val="24"/>
        </w:rPr>
        <w:t>。</w:t>
      </w:r>
    </w:p>
    <w:p w14:paraId="6CC7E84B">
      <w:pPr>
        <w:spacing w:line="360" w:lineRule="auto"/>
        <w:rPr>
          <w:rFonts w:hint="eastAsia" w:ascii="宋体" w:hAnsi="宋体" w:eastAsia="宋体" w:cs="宋体"/>
          <w:sz w:val="24"/>
          <w:szCs w:val="24"/>
        </w:rPr>
      </w:pPr>
      <w:r>
        <w:rPr>
          <w:rFonts w:hint="eastAsia" w:ascii="宋体" w:hAnsi="宋体" w:eastAsia="宋体" w:cs="宋体"/>
          <w:sz w:val="24"/>
          <w:szCs w:val="24"/>
        </w:rPr>
        <w:t>5、付款方式：设备进场后支付合同金额的30%，安装验收合格后支付剩余款项。</w:t>
      </w:r>
    </w:p>
    <w:p w14:paraId="5AFC23A1">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rPr>
        <w:t>6、质量标准：符合现行国家相关标准、行业标准。</w:t>
      </w:r>
    </w:p>
    <w:p w14:paraId="18F1A078">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二、技术要求</w:t>
      </w:r>
    </w:p>
    <w:p w14:paraId="05D8CD7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（一）数据接入原则</w:t>
      </w:r>
    </w:p>
    <w:p w14:paraId="0DE93E9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1.安全性</w:t>
      </w:r>
    </w:p>
    <w:p w14:paraId="58723F7A">
      <w:pPr>
        <w:spacing w:line="360" w:lineRule="auto"/>
        <w:ind w:firstLine="480" w:firstLineChars="200"/>
        <w:rPr>
          <w:rFonts w:hint="eastAsia" w:ascii="宋体" w:hAnsi="宋体" w:eastAsia="宋体" w:cs="宋体"/>
          <w:sz w:val="24"/>
          <w:szCs w:val="24"/>
          <w:lang w:val="en-US" w:bidi="ar-SA"/>
        </w:rPr>
      </w:pPr>
      <w:r>
        <w:rPr>
          <w:rFonts w:hint="eastAsia" w:ascii="宋体" w:hAnsi="宋体" w:eastAsia="宋体" w:cs="宋体"/>
          <w:sz w:val="24"/>
          <w:szCs w:val="24"/>
          <w:lang w:val="en-US"/>
        </w:rPr>
        <w:t>加油机涉及民生计量、油机</w:t>
      </w:r>
      <w:r>
        <w:rPr>
          <w:rFonts w:hint="eastAsia" w:ascii="宋体" w:hAnsi="宋体" w:eastAsia="宋体" w:cs="宋体"/>
          <w:sz w:val="24"/>
          <w:szCs w:val="24"/>
          <w:lang w:val="en-US" w:bidi="ar-SA"/>
        </w:rPr>
        <w:t>整体防爆性能。加油机数据采集必须严格执行国家市场 监督管理总局印发的《加油站计量监督管理办法》，不得破坏计量器具及其铅（签）封，不得擅自改动、拆装燃油加油机，不得使用未经批准而改动的燃油加油机，不得弄虚作假。为避免数据失真，确保数据安全，民营油库及加油站不得使用三方软件进行数据采集接入省平台。物联网数据采集配套服务不得安装在加油机内部，应安装部署在加油站站房的专用机柜内，确保油机数据采集安全合规。</w:t>
      </w:r>
    </w:p>
    <w:p w14:paraId="2ED7A6CA">
      <w:pPr>
        <w:pStyle w:val="11"/>
        <w:spacing w:before="41" w:line="374" w:lineRule="auto"/>
        <w:ind w:right="72"/>
        <w:rPr>
          <w:rFonts w:hint="eastAsia" w:ascii="宋体" w:hAnsi="宋体" w:eastAsia="宋体" w:cs="宋体"/>
          <w:sz w:val="24"/>
          <w:szCs w:val="24"/>
          <w:lang w:val="en-US" w:bidi="ar-SA"/>
        </w:rPr>
      </w:pPr>
      <w:r>
        <w:rPr>
          <w:rFonts w:hint="eastAsia" w:ascii="宋体" w:hAnsi="宋体" w:eastAsia="宋体" w:cs="宋体"/>
          <w:sz w:val="24"/>
          <w:szCs w:val="24"/>
          <w:lang w:val="en-US" w:bidi="ar-SA"/>
        </w:rPr>
        <w:t>2.合规性</w:t>
      </w:r>
    </w:p>
    <w:p w14:paraId="7722C930">
      <w:pPr>
        <w:pStyle w:val="11"/>
        <w:spacing w:before="41" w:line="374" w:lineRule="auto"/>
        <w:ind w:left="16" w:right="72" w:firstLine="474"/>
        <w:rPr>
          <w:rFonts w:hint="eastAsia" w:ascii="宋体" w:hAnsi="宋体" w:eastAsia="宋体" w:cs="宋体"/>
          <w:sz w:val="24"/>
          <w:szCs w:val="24"/>
          <w:lang w:val="en-US" w:bidi="ar-SA"/>
        </w:rPr>
      </w:pPr>
      <w:r>
        <w:rPr>
          <w:rFonts w:hint="eastAsia" w:ascii="宋体" w:hAnsi="宋体" w:eastAsia="宋体" w:cs="宋体"/>
          <w:sz w:val="24"/>
          <w:szCs w:val="24"/>
          <w:lang w:val="en-US" w:bidi="ar-SA"/>
        </w:rPr>
        <w:t>根据市场监管总局2024年5月发布实施的《燃油加油机检定规程》（JJG443-2023)相关规定，计控主版与编码器、计控主版与指示装置的连接线应完整，中间不得有破损或接插头。</w:t>
      </w:r>
    </w:p>
    <w:p w14:paraId="63D6BF4D">
      <w:pPr>
        <w:pStyle w:val="11"/>
        <w:spacing w:before="41" w:line="374" w:lineRule="auto"/>
        <w:ind w:right="72"/>
        <w:rPr>
          <w:rFonts w:hint="eastAsia" w:ascii="宋体" w:hAnsi="宋体" w:eastAsia="宋体" w:cs="宋体"/>
          <w:sz w:val="24"/>
          <w:szCs w:val="24"/>
          <w:lang w:val="en-US" w:bidi="ar-SA"/>
        </w:rPr>
      </w:pPr>
      <w:r>
        <w:rPr>
          <w:rFonts w:hint="eastAsia" w:ascii="宋体" w:hAnsi="宋体" w:eastAsia="宋体" w:cs="宋体"/>
          <w:sz w:val="24"/>
          <w:szCs w:val="24"/>
          <w:lang w:val="en-US" w:bidi="ar-SA"/>
        </w:rPr>
        <w:t>3.扩展性</w:t>
      </w:r>
    </w:p>
    <w:p w14:paraId="19BC8F98">
      <w:pPr>
        <w:pStyle w:val="11"/>
        <w:spacing w:before="41" w:line="374" w:lineRule="auto"/>
        <w:ind w:left="16" w:right="72" w:firstLine="474"/>
        <w:rPr>
          <w:rFonts w:hint="eastAsia" w:ascii="宋体" w:hAnsi="宋体" w:eastAsia="宋体" w:cs="宋体"/>
          <w:sz w:val="24"/>
          <w:szCs w:val="24"/>
          <w:lang w:val="en-US" w:bidi="ar-SA"/>
        </w:rPr>
      </w:pPr>
      <w:r>
        <w:rPr>
          <w:rFonts w:hint="eastAsia" w:ascii="宋体" w:hAnsi="宋体" w:eastAsia="宋体" w:cs="宋体"/>
          <w:sz w:val="24"/>
          <w:szCs w:val="24"/>
          <w:lang w:val="en-US" w:bidi="ar-SA"/>
        </w:rPr>
        <w:t>数据采集配套服务应具备良好的可扩展性，需能够实时采集符合新国标（GB/T9081-2023）的加油机数据，从而满足监管部门不同的监管需求。</w:t>
      </w:r>
    </w:p>
    <w:p w14:paraId="127F6F3D">
      <w:pPr>
        <w:pStyle w:val="11"/>
        <w:spacing w:before="41" w:line="374" w:lineRule="auto"/>
        <w:ind w:right="72"/>
        <w:rPr>
          <w:rFonts w:hint="eastAsia" w:ascii="宋体" w:hAnsi="宋体" w:eastAsia="宋体" w:cs="宋体"/>
          <w:sz w:val="24"/>
          <w:szCs w:val="24"/>
          <w:lang w:val="en-US" w:bidi="ar-SA"/>
        </w:rPr>
      </w:pPr>
      <w:r>
        <w:rPr>
          <w:rFonts w:hint="eastAsia" w:ascii="宋体" w:hAnsi="宋体" w:eastAsia="宋体" w:cs="宋体"/>
          <w:sz w:val="24"/>
          <w:szCs w:val="24"/>
          <w:lang w:val="en-US" w:bidi="ar-SA"/>
        </w:rPr>
        <w:t>4.利旧原则</w:t>
      </w:r>
    </w:p>
    <w:p w14:paraId="50609A54">
      <w:pPr>
        <w:pStyle w:val="11"/>
        <w:spacing w:before="41" w:line="374" w:lineRule="auto"/>
        <w:ind w:left="16" w:right="72" w:firstLine="474"/>
        <w:rPr>
          <w:rFonts w:hint="eastAsia" w:ascii="宋体" w:hAnsi="宋体" w:eastAsia="宋体" w:cs="宋体"/>
          <w:sz w:val="24"/>
          <w:szCs w:val="24"/>
          <w:lang w:val="en-US" w:bidi="ar-SA"/>
        </w:rPr>
      </w:pPr>
      <w:r>
        <w:rPr>
          <w:rFonts w:hint="eastAsia" w:ascii="宋体" w:hAnsi="宋体" w:eastAsia="宋体" w:cs="宋体"/>
          <w:sz w:val="24"/>
          <w:szCs w:val="24"/>
          <w:lang w:val="en-US" w:bidi="ar-SA"/>
        </w:rPr>
        <w:t>应充分考虑对加油站原有视频配套服务的利旧使用，如加油站已安装的视频录像机、摄像头等。</w:t>
      </w:r>
    </w:p>
    <w:p w14:paraId="48207047">
      <w:pPr>
        <w:pStyle w:val="4"/>
        <w:tabs>
          <w:tab w:val="left" w:pos="0"/>
        </w:tabs>
        <w:rPr>
          <w:rFonts w:hint="eastAsia" w:ascii="宋体" w:hAnsi="宋体" w:eastAsia="宋体" w:cs="宋体"/>
          <w:sz w:val="24"/>
          <w:szCs w:val="24"/>
        </w:rPr>
      </w:pPr>
      <w:bookmarkStart w:id="69" w:name="_Toc12971"/>
      <w:r>
        <w:rPr>
          <w:rFonts w:hint="eastAsia" w:ascii="宋体" w:hAnsi="宋体" w:eastAsia="宋体" w:cs="宋体"/>
          <w:sz w:val="24"/>
          <w:szCs w:val="24"/>
          <w:lang w:val="en-US" w:eastAsia="zh-CN"/>
        </w:rPr>
        <w:t>（二）</w:t>
      </w:r>
      <w:r>
        <w:rPr>
          <w:rFonts w:hint="eastAsia" w:ascii="宋体" w:hAnsi="宋体" w:eastAsia="宋体" w:cs="宋体"/>
          <w:sz w:val="24"/>
          <w:szCs w:val="24"/>
        </w:rPr>
        <w:t>采集设备数据接入要求</w:t>
      </w:r>
      <w:bookmarkEnd w:id="69"/>
    </w:p>
    <w:tbl>
      <w:tblPr>
        <w:tblStyle w:val="31"/>
        <w:tblW w:w="5000" w:type="pct"/>
        <w:tblInd w:w="0" w:type="dxa"/>
        <w:tblLayout w:type="fixed"/>
        <w:tblCellMar>
          <w:top w:w="0" w:type="dxa"/>
          <w:left w:w="108" w:type="dxa"/>
          <w:bottom w:w="0" w:type="dxa"/>
          <w:right w:w="108" w:type="dxa"/>
        </w:tblCellMar>
      </w:tblPr>
      <w:tblGrid>
        <w:gridCol w:w="308"/>
        <w:gridCol w:w="821"/>
        <w:gridCol w:w="6784"/>
        <w:gridCol w:w="609"/>
      </w:tblGrid>
      <w:tr w14:paraId="3711D738">
        <w:trPr>
          <w:trHeight w:val="538" w:hRule="atLeast"/>
        </w:trPr>
        <w:tc>
          <w:tcPr>
            <w:tcW w:w="180" w:type="pct"/>
            <w:tcBorders>
              <w:top w:val="single" w:color="000000" w:sz="4" w:space="0"/>
              <w:left w:val="single" w:color="000000" w:sz="4" w:space="0"/>
              <w:bottom w:val="single" w:color="000000" w:sz="4" w:space="0"/>
              <w:right w:val="single" w:color="000000" w:sz="4" w:space="0"/>
            </w:tcBorders>
            <w:noWrap/>
            <w:vAlign w:val="center"/>
          </w:tcPr>
          <w:p w14:paraId="718CEE37">
            <w:pPr>
              <w:keepLines/>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5F8B09D2">
            <w:pPr>
              <w:keepLines/>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名称</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5A686836">
            <w:pPr>
              <w:keepLines/>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技术参数</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E659D4D">
            <w:pPr>
              <w:keepLines/>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数量</w:t>
            </w:r>
          </w:p>
        </w:tc>
      </w:tr>
      <w:tr w14:paraId="01F2D13C">
        <w:trPr>
          <w:trHeight w:val="451" w:hRule="atLeast"/>
        </w:trPr>
        <w:tc>
          <w:tcPr>
            <w:tcW w:w="180" w:type="pct"/>
            <w:tcBorders>
              <w:top w:val="single" w:color="000000" w:sz="4" w:space="0"/>
              <w:left w:val="single" w:color="000000" w:sz="4" w:space="0"/>
              <w:bottom w:val="single" w:color="000000" w:sz="4" w:space="0"/>
              <w:right w:val="single" w:color="000000" w:sz="4" w:space="0"/>
            </w:tcBorders>
            <w:noWrap/>
            <w:vAlign w:val="center"/>
          </w:tcPr>
          <w:p w14:paraId="296582FE">
            <w:pPr>
              <w:keepLines/>
              <w:widowControl/>
              <w:numPr>
                <w:ilvl w:val="0"/>
                <w:numId w:val="2"/>
              </w:numPr>
              <w:jc w:val="center"/>
              <w:textAlignment w:val="bottom"/>
              <w:rPr>
                <w:rFonts w:hint="eastAsia" w:ascii="宋体" w:hAnsi="宋体" w:eastAsia="宋体" w:cs="宋体"/>
                <w:sz w:val="24"/>
                <w:szCs w:val="24"/>
              </w:rPr>
            </w:pPr>
          </w:p>
        </w:tc>
        <w:tc>
          <w:tcPr>
            <w:tcW w:w="481" w:type="pct"/>
            <w:tcBorders>
              <w:top w:val="single" w:color="000000" w:sz="4" w:space="0"/>
              <w:left w:val="single" w:color="000000" w:sz="4" w:space="0"/>
              <w:bottom w:val="single" w:color="000000" w:sz="4" w:space="0"/>
              <w:right w:val="single" w:color="000000" w:sz="4" w:space="0"/>
            </w:tcBorders>
            <w:vAlign w:val="center"/>
          </w:tcPr>
          <w:p w14:paraId="2EBE4D1D">
            <w:pPr>
              <w:keepLines/>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加油机数据采集服务</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3CBF0A04">
            <w:pPr>
              <w:rPr>
                <w:rFonts w:hint="eastAsia" w:ascii="宋体" w:hAnsi="宋体" w:eastAsia="宋体" w:cs="宋体"/>
                <w:b/>
                <w:bCs/>
                <w:sz w:val="24"/>
                <w:szCs w:val="24"/>
              </w:rPr>
            </w:pPr>
            <w:r>
              <w:rPr>
                <w:rFonts w:hint="eastAsia" w:ascii="宋体" w:hAnsi="宋体" w:eastAsia="宋体" w:cs="宋体"/>
                <w:b/>
                <w:bCs/>
                <w:sz w:val="24"/>
                <w:szCs w:val="24"/>
              </w:rPr>
              <w:t>1.数据采集内容</w:t>
            </w:r>
          </w:p>
          <w:p w14:paraId="0EBEC1B3">
            <w:pPr>
              <w:rPr>
                <w:rFonts w:hint="eastAsia" w:ascii="宋体" w:hAnsi="宋体" w:eastAsia="宋体" w:cs="宋体"/>
                <w:sz w:val="24"/>
                <w:szCs w:val="24"/>
              </w:rPr>
            </w:pPr>
            <w:r>
              <w:rPr>
                <w:rFonts w:hint="eastAsia" w:ascii="宋体" w:hAnsi="宋体" w:eastAsia="宋体" w:cs="宋体"/>
                <w:sz w:val="24"/>
                <w:szCs w:val="24"/>
              </w:rPr>
              <w:t>加油机数据采集服务需通过加油机到站房的原通信经营链路实现数据实时采集。数据采集设备以直联加油机的方式获取油机一手数据，采集设备与油机之间不得有其它设备硬件相连。采集数据包括：油站名称、交易时间、订单编号、油品类型、油枪号、单价、加油量、加油总金额、油枪升累计，油枪金额累计等。加油机数据采集设备须能够实时监测加油机的运行状况，如加油枪空闲/加油中/异常、加油机在离线情况、加油机历史泵码数据、加油机累计金额及加油机设备信息等数据。</w:t>
            </w:r>
          </w:p>
          <w:p w14:paraId="0530D29B">
            <w:pPr>
              <w:rPr>
                <w:rFonts w:hint="eastAsia" w:ascii="宋体" w:hAnsi="宋体" w:eastAsia="宋体" w:cs="宋体"/>
                <w:b/>
                <w:bCs/>
                <w:sz w:val="24"/>
                <w:szCs w:val="24"/>
              </w:rPr>
            </w:pPr>
            <w:r>
              <w:rPr>
                <w:rFonts w:hint="eastAsia" w:ascii="宋体" w:hAnsi="宋体" w:eastAsia="宋体" w:cs="宋体"/>
                <w:b/>
                <w:bCs/>
                <w:sz w:val="24"/>
                <w:szCs w:val="24"/>
              </w:rPr>
              <w:t>2.设备功能要求</w:t>
            </w:r>
          </w:p>
          <w:p w14:paraId="1F6669D3">
            <w:pPr>
              <w:rPr>
                <w:rFonts w:hint="eastAsia" w:ascii="宋体" w:hAnsi="宋体" w:eastAsia="宋体" w:cs="宋体"/>
                <w:sz w:val="24"/>
                <w:szCs w:val="24"/>
              </w:rPr>
            </w:pPr>
            <w:r>
              <w:rPr>
                <w:rFonts w:hint="eastAsia" w:ascii="宋体" w:hAnsi="宋体" w:eastAsia="宋体" w:cs="宋体"/>
                <w:sz w:val="24"/>
                <w:szCs w:val="24"/>
              </w:rPr>
              <w:t>（1）通过加油机到站房的原通信经营链路以直联加油机的方式实现加油机销售订单数据的实时采集。</w:t>
            </w:r>
          </w:p>
          <w:p w14:paraId="08DC92DF">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支持</w:t>
            </w:r>
            <w:r>
              <w:rPr>
                <w:rFonts w:hint="eastAsia" w:ascii="宋体" w:hAnsi="宋体" w:eastAsia="宋体" w:cs="宋体"/>
                <w:sz w:val="24"/>
                <w:szCs w:val="24"/>
              </w:rPr>
              <w:t>集成HTTP/TCP/UDP/MQTT协议，能接入物联网平台；</w:t>
            </w:r>
          </w:p>
          <w:p w14:paraId="311918DA">
            <w:pPr>
              <w:rPr>
                <w:rFonts w:hint="eastAsia" w:ascii="宋体" w:hAnsi="宋体" w:eastAsia="宋体" w:cs="宋体"/>
                <w:sz w:val="24"/>
                <w:szCs w:val="24"/>
              </w:rPr>
            </w:pPr>
            <w:r>
              <w:rPr>
                <w:rFonts w:hint="eastAsia" w:ascii="宋体" w:hAnsi="宋体" w:eastAsia="宋体" w:cs="宋体"/>
                <w:sz w:val="24"/>
                <w:szCs w:val="24"/>
              </w:rPr>
              <w:t>（3）支持</w:t>
            </w:r>
            <w:r>
              <w:rPr>
                <w:rFonts w:hint="eastAsia" w:ascii="宋体" w:hAnsi="宋体" w:cs="宋体"/>
                <w:sz w:val="24"/>
                <w:szCs w:val="24"/>
                <w:lang w:val="en-US" w:eastAsia="zh-CN"/>
              </w:rPr>
              <w:t>数据</w:t>
            </w:r>
            <w:r>
              <w:rPr>
                <w:rFonts w:hint="eastAsia" w:ascii="宋体" w:hAnsi="宋体" w:eastAsia="宋体" w:cs="宋体"/>
                <w:sz w:val="24"/>
                <w:szCs w:val="24"/>
              </w:rPr>
              <w:t>本地存储：</w:t>
            </w:r>
            <w:r>
              <w:rPr>
                <w:rFonts w:hint="eastAsia" w:ascii="宋体" w:hAnsi="宋体" w:eastAsia="宋体" w:cs="宋体"/>
                <w:sz w:val="24"/>
                <w:szCs w:val="24"/>
                <w:lang w:val="en-US" w:eastAsia="zh-CN"/>
              </w:rPr>
              <w:t>支持本地存储不少于每把枪2000笔加油订单数据。</w:t>
            </w:r>
          </w:p>
          <w:p w14:paraId="1D45BCE0">
            <w:pPr>
              <w:rPr>
                <w:rFonts w:hint="eastAsia" w:ascii="宋体" w:hAnsi="宋体" w:eastAsia="宋体" w:cs="宋体"/>
                <w:sz w:val="24"/>
                <w:szCs w:val="24"/>
              </w:rPr>
            </w:pPr>
            <w:r>
              <w:rPr>
                <w:rFonts w:hint="eastAsia" w:ascii="宋体" w:hAnsi="宋体" w:eastAsia="宋体" w:cs="宋体"/>
                <w:sz w:val="24"/>
                <w:szCs w:val="24"/>
              </w:rPr>
              <w:t>（4）支持断网重连：断网离线自动重拨；断网存储：断网离线自动存储数据；断网续传：断网期间数据本地缓存，网络恢复后数据自动续传。</w:t>
            </w:r>
          </w:p>
          <w:p w14:paraId="60C0F1A6">
            <w:pPr>
              <w:rPr>
                <w:rFonts w:hint="eastAsia" w:ascii="宋体" w:hAnsi="宋体" w:eastAsia="宋体" w:cs="宋体"/>
                <w:sz w:val="24"/>
                <w:szCs w:val="24"/>
              </w:rPr>
            </w:pPr>
            <w:r>
              <w:rPr>
                <w:rFonts w:hint="eastAsia" w:ascii="宋体" w:hAnsi="宋体" w:eastAsia="宋体" w:cs="宋体"/>
                <w:sz w:val="24"/>
                <w:szCs w:val="24"/>
              </w:rPr>
              <w:t>（5）支持断电保存：断电离线自动存储数据；断电续传：断电回电后自动续传数据。</w:t>
            </w:r>
          </w:p>
          <w:p w14:paraId="3BEEE9E3">
            <w:pPr>
              <w:rPr>
                <w:rFonts w:hint="eastAsia" w:ascii="宋体" w:hAnsi="宋体" w:eastAsia="宋体" w:cs="宋体"/>
                <w:sz w:val="24"/>
                <w:szCs w:val="24"/>
                <w:highlight w:val="none"/>
              </w:rPr>
            </w:pPr>
            <w:r>
              <w:rPr>
                <w:rFonts w:hint="eastAsia" w:ascii="宋体" w:hAnsi="宋体" w:eastAsia="宋体" w:cs="宋体"/>
                <w:sz w:val="24"/>
                <w:szCs w:val="24"/>
              </w:rPr>
              <w:t>（6）支持断电、断网等预警识别</w:t>
            </w:r>
            <w:r>
              <w:rPr>
                <w:rFonts w:hint="eastAsia" w:ascii="宋体" w:hAnsi="宋体" w:eastAsia="宋体" w:cs="宋体"/>
                <w:sz w:val="24"/>
                <w:szCs w:val="24"/>
                <w:highlight w:val="none"/>
              </w:rPr>
              <w:t>，支持在≤30S内识别告警并生成对应的告警提醒并推送至平台。</w:t>
            </w:r>
          </w:p>
          <w:p w14:paraId="578CE05D">
            <w:pPr>
              <w:rPr>
                <w:rFonts w:hint="eastAsia" w:ascii="宋体" w:hAnsi="宋体" w:eastAsia="宋体" w:cs="宋体"/>
                <w:sz w:val="24"/>
                <w:szCs w:val="24"/>
                <w:highlight w:val="none"/>
              </w:rPr>
            </w:pPr>
            <w:r>
              <w:rPr>
                <w:rFonts w:hint="eastAsia" w:ascii="宋体" w:hAnsi="宋体" w:eastAsia="宋体" w:cs="宋体"/>
                <w:sz w:val="24"/>
                <w:szCs w:val="24"/>
                <w:highlight w:val="none"/>
              </w:rPr>
              <w:t>（7）支持实时监控加油机在离线状态，并可生成预警信息上报平台。</w:t>
            </w:r>
          </w:p>
          <w:p w14:paraId="0CB9492E">
            <w:pPr>
              <w:rPr>
                <w:rFonts w:hint="eastAsia" w:ascii="宋体" w:hAnsi="宋体" w:eastAsia="宋体" w:cs="宋体"/>
                <w:sz w:val="24"/>
                <w:szCs w:val="24"/>
              </w:rPr>
            </w:pPr>
            <w:r>
              <w:rPr>
                <w:rFonts w:hint="eastAsia" w:ascii="宋体" w:hAnsi="宋体" w:eastAsia="宋体" w:cs="宋体"/>
                <w:sz w:val="24"/>
                <w:szCs w:val="24"/>
                <w:highlight w:val="none"/>
              </w:rPr>
              <w:t>（8）支持自动追踪监测加油枪与出油</w:t>
            </w:r>
            <w:r>
              <w:rPr>
                <w:rFonts w:hint="eastAsia" w:ascii="宋体" w:hAnsi="宋体" w:eastAsia="宋体" w:cs="宋体"/>
                <w:sz w:val="24"/>
                <w:szCs w:val="24"/>
              </w:rPr>
              <w:t>起止泵码数据的连续性；支持加油枪上线后加油历史数据的断点续传。</w:t>
            </w:r>
          </w:p>
          <w:p w14:paraId="15C95CDD">
            <w:pPr>
              <w:rPr>
                <w:rFonts w:hint="eastAsia" w:ascii="宋体" w:hAnsi="宋体" w:eastAsia="宋体" w:cs="宋体"/>
                <w:sz w:val="24"/>
                <w:szCs w:val="24"/>
              </w:rPr>
            </w:pPr>
            <w:r>
              <w:rPr>
                <w:rFonts w:hint="eastAsia" w:ascii="宋体" w:hAnsi="宋体" w:eastAsia="宋体" w:cs="宋体"/>
                <w:sz w:val="24"/>
                <w:szCs w:val="24"/>
              </w:rPr>
              <w:t>（9）支持加油机及油枪长时间无加油数据的异常告警数据上传。</w:t>
            </w:r>
          </w:p>
          <w:p w14:paraId="40A0CA57">
            <w:pPr>
              <w:rPr>
                <w:rFonts w:hint="eastAsia" w:ascii="宋体" w:hAnsi="宋体" w:eastAsia="宋体" w:cs="宋体"/>
                <w:sz w:val="24"/>
                <w:szCs w:val="24"/>
              </w:rPr>
            </w:pPr>
            <w:r>
              <w:rPr>
                <w:rFonts w:hint="eastAsia" w:ascii="宋体" w:hAnsi="宋体" w:eastAsia="宋体" w:cs="宋体"/>
                <w:sz w:val="24"/>
                <w:szCs w:val="24"/>
              </w:rPr>
              <w:t>（10）支持通过监管系统与用户应用程序进行在线升级与更新；支持USB设备热拔插操作。</w:t>
            </w:r>
          </w:p>
          <w:p w14:paraId="6FA5683F">
            <w:pPr>
              <w:rPr>
                <w:rFonts w:hint="eastAsia" w:ascii="宋体" w:hAnsi="宋体" w:eastAsia="宋体" w:cs="宋体"/>
                <w:sz w:val="24"/>
                <w:szCs w:val="24"/>
              </w:rPr>
            </w:pPr>
            <w:r>
              <w:rPr>
                <w:rFonts w:hint="eastAsia" w:ascii="宋体" w:hAnsi="宋体" w:eastAsia="宋体" w:cs="宋体"/>
                <w:sz w:val="24"/>
                <w:szCs w:val="24"/>
              </w:rPr>
              <w:t>（11）实时检测加油枪的(提枪、正在加油、放枪)加油运行状态。</w:t>
            </w:r>
          </w:p>
          <w:p w14:paraId="6CA4FDBC">
            <w:pPr>
              <w:rPr>
                <w:rFonts w:hint="eastAsia" w:ascii="宋体" w:hAnsi="宋体" w:eastAsia="宋体" w:cs="宋体"/>
                <w:sz w:val="24"/>
                <w:szCs w:val="24"/>
              </w:rPr>
            </w:pPr>
            <w:r>
              <w:rPr>
                <w:rFonts w:hint="eastAsia" w:ascii="宋体" w:hAnsi="宋体" w:eastAsia="宋体" w:cs="宋体"/>
                <w:sz w:val="24"/>
                <w:szCs w:val="24"/>
              </w:rPr>
              <w:t>（12）支持断网、断电期间加油机产生的补传数据进行自动标注。（13）支持心跳包技术，可实时监测设备在离线情况。</w:t>
            </w:r>
          </w:p>
          <w:p w14:paraId="280B5B9A">
            <w:pPr>
              <w:rPr>
                <w:rFonts w:hint="eastAsia" w:ascii="宋体" w:hAnsi="宋体" w:eastAsia="宋体" w:cs="宋体"/>
                <w:sz w:val="24"/>
                <w:szCs w:val="24"/>
              </w:rPr>
            </w:pPr>
            <w:r>
              <w:rPr>
                <w:rFonts w:hint="eastAsia" w:ascii="宋体" w:hAnsi="宋体" w:eastAsia="宋体" w:cs="宋体"/>
                <w:sz w:val="24"/>
                <w:szCs w:val="24"/>
              </w:rPr>
              <w:t>（14）支持通过无线网络远程参数配置、远程重启、远程升级、远程回滚。支持远程配置多路IP、远程配置域名。</w:t>
            </w:r>
          </w:p>
          <w:p w14:paraId="560D7B79">
            <w:pPr>
              <w:rPr>
                <w:rFonts w:hint="eastAsia" w:ascii="宋体" w:hAnsi="宋体" w:eastAsia="宋体" w:cs="宋体"/>
                <w:sz w:val="24"/>
                <w:szCs w:val="24"/>
              </w:rPr>
            </w:pPr>
            <w:r>
              <w:rPr>
                <w:rFonts w:hint="eastAsia" w:ascii="宋体" w:hAnsi="宋体" w:eastAsia="宋体" w:cs="宋体"/>
                <w:sz w:val="24"/>
                <w:szCs w:val="24"/>
              </w:rPr>
              <w:t>（15）支持数据加密传输，支持国密算法。</w:t>
            </w:r>
          </w:p>
          <w:p w14:paraId="70643D50">
            <w:pPr>
              <w:rPr>
                <w:rFonts w:hint="eastAsia" w:ascii="宋体" w:hAnsi="宋体" w:eastAsia="宋体" w:cs="宋体"/>
                <w:sz w:val="24"/>
                <w:szCs w:val="24"/>
              </w:rPr>
            </w:pPr>
            <w:r>
              <w:rPr>
                <w:rFonts w:hint="eastAsia" w:ascii="宋体" w:hAnsi="宋体" w:eastAsia="宋体" w:cs="宋体"/>
                <w:sz w:val="24"/>
                <w:szCs w:val="24"/>
              </w:rPr>
              <w:t>（16）支持4G/5G/宽带/专线数据传输。</w:t>
            </w:r>
          </w:p>
          <w:p w14:paraId="254483BD">
            <w:pPr>
              <w:rPr>
                <w:rFonts w:hint="eastAsia" w:ascii="宋体" w:hAnsi="宋体" w:eastAsia="宋体" w:cs="宋体"/>
                <w:sz w:val="24"/>
                <w:szCs w:val="24"/>
              </w:rPr>
            </w:pPr>
            <w:r>
              <w:rPr>
                <w:rFonts w:hint="eastAsia" w:ascii="宋体" w:hAnsi="宋体" w:eastAsia="宋体" w:cs="宋体"/>
                <w:sz w:val="24"/>
                <w:szCs w:val="24"/>
              </w:rPr>
              <w:t>（17）支持COM口接入/传输，支持COM口扩展。</w:t>
            </w:r>
          </w:p>
          <w:p w14:paraId="6C46FACA">
            <w:pPr>
              <w:rPr>
                <w:rFonts w:hint="eastAsia" w:ascii="宋体" w:hAnsi="宋体" w:eastAsia="宋体" w:cs="宋体"/>
                <w:sz w:val="24"/>
                <w:szCs w:val="24"/>
              </w:rPr>
            </w:pPr>
            <w:r>
              <w:rPr>
                <w:rFonts w:hint="eastAsia" w:ascii="宋体" w:hAnsi="宋体" w:eastAsia="宋体" w:cs="宋体"/>
                <w:sz w:val="24"/>
                <w:szCs w:val="24"/>
              </w:rPr>
              <w:t>（18）支持4个独立状态指示灯，包括电源状态、网络信号状态、正常运行状态、信号采集状态。</w:t>
            </w:r>
          </w:p>
          <w:p w14:paraId="01538A42">
            <w:pPr>
              <w:rPr>
                <w:rFonts w:hint="eastAsia" w:ascii="宋体" w:hAnsi="宋体" w:eastAsia="宋体" w:cs="宋体"/>
                <w:sz w:val="24"/>
                <w:szCs w:val="24"/>
              </w:rPr>
            </w:pPr>
            <w:r>
              <w:rPr>
                <w:rFonts w:hint="eastAsia" w:ascii="宋体" w:hAnsi="宋体" w:eastAsia="宋体" w:cs="宋体"/>
                <w:sz w:val="24"/>
                <w:szCs w:val="24"/>
              </w:rPr>
              <w:t>（19）满足防静电、抗干扰要求。</w:t>
            </w:r>
          </w:p>
          <w:p w14:paraId="11E7C107">
            <w:pPr>
              <w:rPr>
                <w:rFonts w:hint="eastAsia" w:ascii="宋体" w:hAnsi="宋体" w:eastAsia="宋体" w:cs="宋体"/>
                <w:sz w:val="24"/>
                <w:szCs w:val="24"/>
              </w:rPr>
            </w:pPr>
            <w:r>
              <w:rPr>
                <w:rFonts w:hint="eastAsia" w:ascii="宋体" w:hAnsi="宋体" w:eastAsia="宋体" w:cs="宋体"/>
                <w:sz w:val="24"/>
                <w:szCs w:val="24"/>
              </w:rPr>
              <w:t>（20）支持对GB/T9081-2023的加油机实时数据采集，同步获取每把枪的唯一ID，关联的核心部件主板、监控微处理器、编码器、安全装置ID及其变更等数据。</w:t>
            </w:r>
          </w:p>
          <w:p w14:paraId="24F43717">
            <w:pPr>
              <w:rPr>
                <w:rFonts w:hint="eastAsia" w:ascii="宋体" w:hAnsi="宋体" w:eastAsia="宋体" w:cs="宋体"/>
                <w:sz w:val="24"/>
                <w:szCs w:val="24"/>
              </w:rPr>
            </w:pPr>
            <w:r>
              <w:rPr>
                <w:rFonts w:hint="eastAsia" w:ascii="宋体" w:hAnsi="宋体" w:eastAsia="宋体" w:cs="宋体"/>
                <w:sz w:val="24"/>
                <w:szCs w:val="24"/>
              </w:rPr>
              <w:t>（21）支持对GB/T9081-2023的加油机每把油枪的实时报警数据采集，报警信息包括油枪在离线、安全校验错、计量超差等。</w:t>
            </w:r>
          </w:p>
          <w:p w14:paraId="614F60B3">
            <w:pPr>
              <w:rPr>
                <w:rFonts w:hint="eastAsia" w:ascii="宋体" w:hAnsi="宋体" w:eastAsia="宋体" w:cs="宋体"/>
                <w:sz w:val="24"/>
                <w:szCs w:val="24"/>
              </w:rPr>
            </w:pPr>
            <w:r>
              <w:rPr>
                <w:rFonts w:hint="eastAsia" w:ascii="宋体" w:hAnsi="宋体" w:eastAsia="宋体" w:cs="宋体"/>
                <w:sz w:val="24"/>
                <w:szCs w:val="24"/>
              </w:rPr>
              <w:t>（22)支持多种串口通信方式，包括双线、三线电流环、RS485/422、RS232、CAN、lonworks以及加油机厂家自定义硬件接口等接口传输。</w:t>
            </w:r>
          </w:p>
          <w:p w14:paraId="0B21DB44">
            <w:pPr>
              <w:rPr>
                <w:rFonts w:hint="eastAsia" w:ascii="宋体" w:hAnsi="宋体" w:eastAsia="宋体" w:cs="宋体"/>
                <w:sz w:val="24"/>
                <w:szCs w:val="24"/>
              </w:rPr>
            </w:pPr>
            <w:r>
              <w:rPr>
                <w:rFonts w:hint="eastAsia" w:ascii="宋体" w:hAnsi="宋体" w:eastAsia="宋体" w:cs="宋体"/>
                <w:sz w:val="24"/>
                <w:szCs w:val="24"/>
              </w:rPr>
              <w:t>（23）支持时间校准功能，通过实时时钟芯片（RTC芯片）与成品油监管平台的系统时间进行同步校正，确保设备始终运行在标准时间体系下。</w:t>
            </w:r>
          </w:p>
          <w:p w14:paraId="21E3D3F0">
            <w:pPr>
              <w:rPr>
                <w:rFonts w:hint="eastAsia" w:ascii="宋体" w:hAnsi="宋体" w:eastAsia="宋体" w:cs="宋体"/>
                <w:sz w:val="24"/>
                <w:szCs w:val="24"/>
              </w:rPr>
            </w:pPr>
            <w:r>
              <w:rPr>
                <w:rFonts w:hint="eastAsia" w:ascii="宋体" w:hAnsi="宋体" w:eastAsia="宋体" w:cs="宋体"/>
                <w:sz w:val="24"/>
                <w:szCs w:val="24"/>
              </w:rPr>
              <w:t>（24)支持断电等异常处理功能，通过后备电池或电容启动供电，保障设备在短时间内继续运行，确保数据日志、传输记录等信息及时安全存储，恢复供电后能实时补传。</w:t>
            </w:r>
          </w:p>
          <w:p w14:paraId="32EBA110">
            <w:pPr>
              <w:rPr>
                <w:rFonts w:hint="eastAsia" w:ascii="宋体" w:hAnsi="宋体" w:eastAsia="宋体" w:cs="宋体"/>
                <w:sz w:val="24"/>
                <w:szCs w:val="24"/>
              </w:rPr>
            </w:pPr>
            <w:r>
              <w:rPr>
                <w:rFonts w:hint="eastAsia" w:ascii="宋体" w:hAnsi="宋体" w:eastAsia="宋体" w:cs="宋体"/>
                <w:sz w:val="24"/>
                <w:szCs w:val="24"/>
              </w:rPr>
              <w:t>（25）支持断网等异常处理功能，保证了设备在断网的极端条件下，实现有线与4G信号的自动切换。保障设备在线，及时将相关异常信息进行实时上传。</w:t>
            </w:r>
          </w:p>
          <w:p w14:paraId="7C4C5864">
            <w:pPr>
              <w:rPr>
                <w:rFonts w:hint="eastAsia" w:ascii="宋体" w:hAnsi="宋体" w:eastAsia="宋体" w:cs="宋体"/>
                <w:sz w:val="24"/>
                <w:szCs w:val="24"/>
              </w:rPr>
            </w:pPr>
            <w:r>
              <w:rPr>
                <w:rFonts w:hint="eastAsia" w:ascii="宋体" w:hAnsi="宋体" w:eastAsia="宋体" w:cs="宋体"/>
                <w:sz w:val="24"/>
                <w:szCs w:val="24"/>
              </w:rPr>
              <w:t>（26）支持设备自检功能，检测设备信号、性能、CPU负载情况、内存不足、网络异常、存储异常等情况，支持生成对应的告警提醒并推送至平台。</w:t>
            </w:r>
          </w:p>
          <w:p w14:paraId="556BCFFF">
            <w:pPr>
              <w:rPr>
                <w:rFonts w:hint="eastAsia" w:ascii="宋体" w:hAnsi="宋体" w:eastAsia="宋体" w:cs="宋体"/>
                <w:sz w:val="24"/>
                <w:szCs w:val="24"/>
              </w:rPr>
            </w:pPr>
            <w:r>
              <w:rPr>
                <w:rFonts w:hint="eastAsia" w:ascii="宋体" w:hAnsi="宋体" w:eastAsia="宋体" w:cs="宋体"/>
                <w:sz w:val="24"/>
                <w:szCs w:val="24"/>
              </w:rPr>
              <w:t>（27）通过对加油机计控主板身份信息的识别，可实现加油机核心部件更换行为监控及自锁功能，支持主动预警并可以查询预警信息。</w:t>
            </w:r>
          </w:p>
          <w:p w14:paraId="390E26D9">
            <w:pPr>
              <w:rPr>
                <w:rFonts w:hint="eastAsia" w:ascii="宋体" w:hAnsi="宋体" w:eastAsia="宋体" w:cs="宋体"/>
                <w:sz w:val="24"/>
                <w:szCs w:val="24"/>
              </w:rPr>
            </w:pPr>
            <w:r>
              <w:rPr>
                <w:rFonts w:hint="eastAsia" w:ascii="宋体" w:hAnsi="宋体" w:eastAsia="宋体" w:cs="宋体"/>
                <w:sz w:val="24"/>
                <w:szCs w:val="24"/>
              </w:rPr>
              <w:t>（28）设备与监管平台每30秒发送心跳包，检测链路状态，异常时触发本地告警并记录日志。</w:t>
            </w:r>
          </w:p>
          <w:p w14:paraId="613A8BE4">
            <w:pPr>
              <w:rPr>
                <w:rFonts w:hint="eastAsia" w:ascii="宋体" w:hAnsi="宋体" w:eastAsia="宋体" w:cs="宋体"/>
                <w:sz w:val="24"/>
                <w:szCs w:val="24"/>
                <w:highlight w:val="none"/>
              </w:rPr>
            </w:pPr>
            <w:r>
              <w:rPr>
                <w:rFonts w:hint="eastAsia" w:ascii="宋体" w:hAnsi="宋体" w:eastAsia="宋体" w:cs="宋体"/>
                <w:sz w:val="24"/>
                <w:szCs w:val="24"/>
              </w:rPr>
              <w:t>（29）实时监测设备状态（如断网、断电、数据异常），触发短</w:t>
            </w:r>
            <w:r>
              <w:rPr>
                <w:rFonts w:hint="eastAsia" w:ascii="宋体" w:hAnsi="宋体" w:eastAsia="宋体" w:cs="宋体"/>
                <w:sz w:val="24"/>
                <w:szCs w:val="24"/>
                <w:highlight w:val="none"/>
              </w:rPr>
              <w:t>信或平台弹窗报警，支持自定义预警规则（如频繁小额加油、夜间异常操作）。</w:t>
            </w:r>
          </w:p>
          <w:p w14:paraId="775E0F89">
            <w:pPr>
              <w:rPr>
                <w:rFonts w:hint="eastAsia" w:ascii="宋体" w:hAnsi="宋体" w:eastAsia="宋体" w:cs="宋体"/>
                <w:sz w:val="24"/>
                <w:szCs w:val="24"/>
                <w:highlight w:val="none"/>
              </w:rPr>
            </w:pPr>
            <w:r>
              <w:rPr>
                <w:rFonts w:hint="eastAsia" w:ascii="宋体" w:hAnsi="宋体" w:eastAsia="宋体" w:cs="宋体"/>
                <w:sz w:val="24"/>
                <w:szCs w:val="24"/>
                <w:highlight w:val="none"/>
              </w:rPr>
              <w:t>（30）符合GB/T 2423.3-2016《环境试验第2部分:试验方法试验 Cab:恒定湿热试验》。</w:t>
            </w:r>
          </w:p>
          <w:p w14:paraId="751E7008">
            <w:pPr>
              <w:rPr>
                <w:rFonts w:hint="eastAsia" w:ascii="宋体" w:hAnsi="宋体" w:eastAsia="宋体" w:cs="宋体"/>
                <w:sz w:val="24"/>
                <w:szCs w:val="24"/>
                <w:highlight w:val="none"/>
              </w:rPr>
            </w:pPr>
            <w:r>
              <w:rPr>
                <w:rFonts w:hint="eastAsia" w:ascii="宋体" w:hAnsi="宋体" w:eastAsia="宋体" w:cs="宋体"/>
                <w:sz w:val="24"/>
                <w:szCs w:val="24"/>
                <w:highlight w:val="none"/>
              </w:rPr>
              <w:t>（31）符合GB/T 2423.21-2008《电工电子产品环境试验第2部分:试验方法试验M:低气压》。</w:t>
            </w:r>
          </w:p>
          <w:p w14:paraId="4628150B">
            <w:pPr>
              <w:rPr>
                <w:rFonts w:hint="eastAsia" w:ascii="宋体" w:hAnsi="宋体" w:eastAsia="宋体" w:cs="宋体"/>
                <w:sz w:val="24"/>
                <w:szCs w:val="24"/>
                <w:highlight w:val="none"/>
              </w:rPr>
            </w:pPr>
          </w:p>
          <w:p w14:paraId="521CB1FE">
            <w:pPr>
              <w:rPr>
                <w:rFonts w:hint="eastAsia" w:ascii="宋体" w:hAnsi="宋体" w:eastAsia="宋体" w:cs="宋体"/>
                <w:b/>
                <w:bCs/>
                <w:sz w:val="24"/>
                <w:szCs w:val="24"/>
                <w:highlight w:val="none"/>
              </w:rPr>
            </w:pPr>
            <w:r>
              <w:rPr>
                <w:rFonts w:hint="eastAsia" w:ascii="宋体" w:hAnsi="宋体" w:eastAsia="宋体" w:cs="宋体"/>
                <w:b/>
                <w:bCs/>
                <w:spacing w:val="-2"/>
                <w:sz w:val="24"/>
                <w:szCs w:val="24"/>
                <w:highlight w:val="none"/>
              </w:rPr>
              <w:t>3.设备技术参数</w:t>
            </w:r>
          </w:p>
          <w:tbl>
            <w:tblPr>
              <w:tblStyle w:val="57"/>
              <w:tblpPr w:leftFromText="180" w:rightFromText="180" w:vertAnchor="text" w:horzAnchor="page" w:tblpXSpec="center" w:tblpY="295"/>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0"/>
              <w:gridCol w:w="3280"/>
            </w:tblGrid>
            <w:tr w14:paraId="0A67D257">
              <w:trPr>
                <w:trHeight w:val="265" w:hRule="atLeast"/>
              </w:trPr>
              <w:tc>
                <w:tcPr>
                  <w:tcW w:w="2500" w:type="pct"/>
                  <w:vAlign w:val="center"/>
                </w:tcPr>
                <w:p w14:paraId="5310E9D3">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加密</w:t>
                  </w:r>
                </w:p>
              </w:tc>
              <w:tc>
                <w:tcPr>
                  <w:tcW w:w="2499" w:type="pct"/>
                  <w:vAlign w:val="center"/>
                </w:tcPr>
                <w:p w14:paraId="665ECEFE">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支持硬件加密</w:t>
                  </w:r>
                </w:p>
              </w:tc>
            </w:tr>
            <w:tr w14:paraId="47930E0E">
              <w:trPr>
                <w:trHeight w:val="265" w:hRule="atLeast"/>
              </w:trPr>
              <w:tc>
                <w:tcPr>
                  <w:tcW w:w="2500" w:type="pct"/>
                  <w:vAlign w:val="center"/>
                </w:tcPr>
                <w:p w14:paraId="0E4601E7">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处理器主频</w:t>
                  </w:r>
                </w:p>
              </w:tc>
              <w:tc>
                <w:tcPr>
                  <w:tcW w:w="2499" w:type="pct"/>
                  <w:vAlign w:val="center"/>
                </w:tcPr>
                <w:p w14:paraId="66EE6467">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不小于300MHZ</w:t>
                  </w:r>
                </w:p>
              </w:tc>
            </w:tr>
            <w:tr w14:paraId="073F8753">
              <w:trPr>
                <w:trHeight w:val="265" w:hRule="atLeast"/>
              </w:trPr>
              <w:tc>
                <w:tcPr>
                  <w:tcW w:w="2500" w:type="pct"/>
                  <w:vAlign w:val="center"/>
                </w:tcPr>
                <w:p w14:paraId="3EC12CF1">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26"/>
                      <w:sz w:val="24"/>
                      <w:szCs w:val="24"/>
                      <w:highlight w:val="none"/>
                    </w:rPr>
                    <w:t>内存</w:t>
                  </w:r>
                </w:p>
              </w:tc>
              <w:tc>
                <w:tcPr>
                  <w:tcW w:w="2499" w:type="pct"/>
                  <w:vAlign w:val="center"/>
                </w:tcPr>
                <w:p w14:paraId="7233B28B">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64MB/128MB，CPU内置</w:t>
                  </w:r>
                </w:p>
              </w:tc>
            </w:tr>
            <w:tr w14:paraId="203C5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188C6E0F">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电子硬盘</w:t>
                  </w:r>
                </w:p>
              </w:tc>
              <w:tc>
                <w:tcPr>
                  <w:tcW w:w="2499" w:type="pct"/>
                  <w:vAlign w:val="center"/>
                </w:tcPr>
                <w:p w14:paraId="283CBBCD">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256MB</w:t>
                  </w:r>
                </w:p>
              </w:tc>
            </w:tr>
            <w:tr w14:paraId="2946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3AA19449">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油机接口</w:t>
                  </w:r>
                </w:p>
              </w:tc>
              <w:tc>
                <w:tcPr>
                  <w:tcW w:w="2499" w:type="pct"/>
                  <w:vAlign w:val="center"/>
                </w:tcPr>
                <w:p w14:paraId="64C88721">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32路</w:t>
                  </w:r>
                </w:p>
              </w:tc>
            </w:tr>
            <w:tr w14:paraId="1B1BB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77396F99">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设备RS232口</w:t>
                  </w:r>
                </w:p>
              </w:tc>
              <w:tc>
                <w:tcPr>
                  <w:tcW w:w="2499" w:type="pct"/>
                  <w:vAlign w:val="center"/>
                </w:tcPr>
                <w:p w14:paraId="179D93E4">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2路</w:t>
                  </w:r>
                </w:p>
              </w:tc>
            </w:tr>
            <w:tr w14:paraId="63571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5D7CB6F0">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调试串口</w:t>
                  </w:r>
                </w:p>
              </w:tc>
              <w:tc>
                <w:tcPr>
                  <w:tcW w:w="2499" w:type="pct"/>
                  <w:vAlign w:val="center"/>
                </w:tcPr>
                <w:p w14:paraId="37D81BA5">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1路</w:t>
                  </w:r>
                </w:p>
              </w:tc>
            </w:tr>
            <w:tr w14:paraId="0A634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55FE4E66">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10/100M以太网口</w:t>
                  </w:r>
                </w:p>
              </w:tc>
              <w:tc>
                <w:tcPr>
                  <w:tcW w:w="2499" w:type="pct"/>
                  <w:vAlign w:val="center"/>
                </w:tcPr>
                <w:p w14:paraId="0D55A0E4">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2路</w:t>
                  </w:r>
                </w:p>
              </w:tc>
            </w:tr>
            <w:tr w14:paraId="290E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59ABDDD1">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实时时钟</w:t>
                  </w:r>
                </w:p>
              </w:tc>
              <w:tc>
                <w:tcPr>
                  <w:tcW w:w="2499" w:type="pct"/>
                  <w:vAlign w:val="center"/>
                </w:tcPr>
                <w:p w14:paraId="197C9050">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1路</w:t>
                  </w:r>
                </w:p>
              </w:tc>
            </w:tr>
            <w:tr w14:paraId="48EA1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071330E5">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物联网卡通讯模组</w:t>
                  </w:r>
                </w:p>
              </w:tc>
              <w:tc>
                <w:tcPr>
                  <w:tcW w:w="2499" w:type="pct"/>
                  <w:vAlign w:val="center"/>
                </w:tcPr>
                <w:p w14:paraId="4F3B0DB8">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支持4G/5G网络</w:t>
                  </w:r>
                </w:p>
              </w:tc>
            </w:tr>
            <w:tr w14:paraId="31C3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7A16E333">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工作温度</w:t>
                  </w:r>
                </w:p>
              </w:tc>
              <w:tc>
                <w:tcPr>
                  <w:tcW w:w="2499" w:type="pct"/>
                  <w:vAlign w:val="center"/>
                </w:tcPr>
                <w:p w14:paraId="571689A7">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-40℃~+85℃</w:t>
                  </w:r>
                </w:p>
              </w:tc>
            </w:tr>
            <w:tr w14:paraId="6E177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06110638">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电源输入</w:t>
                  </w:r>
                </w:p>
              </w:tc>
              <w:tc>
                <w:tcPr>
                  <w:tcW w:w="2499" w:type="pct"/>
                  <w:vAlign w:val="center"/>
                </w:tcPr>
                <w:p w14:paraId="0C6AE848">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220V±10%,50HZ</w:t>
                  </w:r>
                </w:p>
              </w:tc>
            </w:tr>
            <w:tr w14:paraId="1421F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5A55BCB4">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系统</w:t>
                  </w:r>
                </w:p>
              </w:tc>
              <w:tc>
                <w:tcPr>
                  <w:tcW w:w="2499" w:type="pct"/>
                  <w:vAlign w:val="center"/>
                </w:tcPr>
                <w:p w14:paraId="384F6613">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嵌入式Linux系统</w:t>
                  </w:r>
                </w:p>
              </w:tc>
            </w:tr>
            <w:tr w14:paraId="3CD94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6BB688B6">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文件系统</w:t>
                  </w:r>
                </w:p>
              </w:tc>
              <w:tc>
                <w:tcPr>
                  <w:tcW w:w="2499" w:type="pct"/>
                  <w:vAlign w:val="center"/>
                </w:tcPr>
                <w:p w14:paraId="6F6B381C">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YAFFS2</w:t>
                  </w:r>
                </w:p>
              </w:tc>
            </w:tr>
            <w:tr w14:paraId="103C5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79550805">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Web服务器</w:t>
                  </w:r>
                </w:p>
              </w:tc>
              <w:tc>
                <w:tcPr>
                  <w:tcW w:w="2499" w:type="pct"/>
                  <w:vAlign w:val="center"/>
                </w:tcPr>
                <w:p w14:paraId="625A5268">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Boa</w:t>
                  </w:r>
                </w:p>
              </w:tc>
            </w:tr>
            <w:tr w14:paraId="25195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380CFA45">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FTP服务器</w:t>
                  </w:r>
                </w:p>
              </w:tc>
              <w:tc>
                <w:tcPr>
                  <w:tcW w:w="2499" w:type="pct"/>
                  <w:vAlign w:val="center"/>
                </w:tcPr>
                <w:p w14:paraId="4EE0B23C">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ftpd</w:t>
                  </w:r>
                </w:p>
              </w:tc>
            </w:tr>
            <w:tr w14:paraId="1631D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126C9142">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Telnet服务器</w:t>
                  </w:r>
                </w:p>
              </w:tc>
              <w:tc>
                <w:tcPr>
                  <w:tcW w:w="2499" w:type="pct"/>
                  <w:vAlign w:val="center"/>
                </w:tcPr>
                <w:p w14:paraId="63FA7907">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telnetd</w:t>
                  </w:r>
                </w:p>
              </w:tc>
            </w:tr>
            <w:tr w14:paraId="1517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288F2AA7">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Nfs服务器</w:t>
                  </w:r>
                </w:p>
              </w:tc>
              <w:tc>
                <w:tcPr>
                  <w:tcW w:w="2499" w:type="pct"/>
                  <w:vAlign w:val="center"/>
                </w:tcPr>
                <w:p w14:paraId="27E45259">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支持nfs加载</w:t>
                  </w:r>
                </w:p>
              </w:tc>
            </w:tr>
            <w:tr w14:paraId="5434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4EE0A5F6">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Shell服务器</w:t>
                  </w:r>
                </w:p>
              </w:tc>
              <w:tc>
                <w:tcPr>
                  <w:tcW w:w="2499" w:type="pct"/>
                  <w:vAlign w:val="center"/>
                </w:tcPr>
                <w:p w14:paraId="3C608D8F">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sshd</w:t>
                  </w:r>
                </w:p>
              </w:tc>
            </w:tr>
            <w:tr w14:paraId="53D2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2500" w:type="pct"/>
                  <w:vAlign w:val="center"/>
                </w:tcPr>
                <w:p w14:paraId="44DB5B90">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TCP服务器管理程序</w:t>
                  </w:r>
                </w:p>
              </w:tc>
              <w:tc>
                <w:tcPr>
                  <w:tcW w:w="2499" w:type="pct"/>
                  <w:vAlign w:val="center"/>
                </w:tcPr>
                <w:p w14:paraId="6A98B2F6">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inetd</w:t>
                  </w:r>
                </w:p>
              </w:tc>
            </w:tr>
            <w:tr w14:paraId="6CA24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5000" w:type="pct"/>
                  <w:gridSpan w:val="2"/>
                  <w:vAlign w:val="center"/>
                </w:tcPr>
                <w:p w14:paraId="3F0B4BEA">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支持监管系统与用户应用程序的在线升级与更新</w:t>
                  </w:r>
                </w:p>
              </w:tc>
            </w:tr>
            <w:tr w14:paraId="0FFED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0" w:hRule="atLeast"/>
              </w:trPr>
              <w:tc>
                <w:tcPr>
                  <w:tcW w:w="5000" w:type="pct"/>
                  <w:gridSpan w:val="2"/>
                  <w:vAlign w:val="center"/>
                </w:tcPr>
                <w:p w14:paraId="15E1FFEC">
                  <w:pPr>
                    <w:pStyle w:val="56"/>
                    <w:snapToGrid w:val="0"/>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支持USB设备热拔插操作</w:t>
                  </w:r>
                </w:p>
              </w:tc>
            </w:tr>
          </w:tbl>
          <w:p w14:paraId="452AB1FE">
            <w:pPr>
              <w:rPr>
                <w:rFonts w:hint="eastAsia" w:ascii="宋体" w:hAnsi="宋体" w:eastAsia="宋体" w:cs="宋体"/>
                <w:b/>
                <w:bCs/>
                <w:spacing w:val="-2"/>
                <w:sz w:val="24"/>
                <w:szCs w:val="24"/>
                <w:highlight w:val="none"/>
              </w:rPr>
            </w:pPr>
          </w:p>
          <w:p w14:paraId="77802E0C">
            <w:pPr>
              <w:rPr>
                <w:rFonts w:hint="eastAsia" w:ascii="宋体" w:hAnsi="宋体" w:eastAsia="宋体" w:cs="宋体"/>
                <w:b/>
                <w:bCs/>
                <w:spacing w:val="-2"/>
                <w:sz w:val="24"/>
                <w:szCs w:val="24"/>
              </w:rPr>
            </w:pPr>
            <w:r>
              <w:rPr>
                <w:rFonts w:hint="eastAsia" w:ascii="宋体" w:hAnsi="宋体" w:eastAsia="宋体" w:cs="宋体"/>
                <w:b/>
                <w:bCs/>
                <w:spacing w:val="-2"/>
                <w:sz w:val="24"/>
                <w:szCs w:val="24"/>
              </w:rPr>
              <w:t>4.接入省平台方式</w:t>
            </w:r>
          </w:p>
          <w:p w14:paraId="56BBDCD0">
            <w:pPr>
              <w:rPr>
                <w:rFonts w:hint="eastAsia" w:ascii="宋体" w:hAnsi="宋体" w:eastAsia="宋体" w:cs="宋体"/>
                <w:sz w:val="24"/>
                <w:szCs w:val="24"/>
              </w:rPr>
            </w:pPr>
            <w:r>
              <w:rPr>
                <w:rFonts w:hint="eastAsia" w:ascii="宋体" w:hAnsi="宋体" w:eastAsia="宋体" w:cs="宋体"/>
                <w:spacing w:val="-1"/>
                <w:sz w:val="24"/>
                <w:szCs w:val="24"/>
              </w:rPr>
              <w:t>为了有效保障数据传输路径的唯一性与可追溯性，极大降低数据被恶意拦</w:t>
            </w:r>
            <w:r>
              <w:rPr>
                <w:rFonts w:hint="eastAsia" w:ascii="宋体" w:hAnsi="宋体" w:eastAsia="宋体" w:cs="宋体"/>
                <w:spacing w:val="-2"/>
                <w:sz w:val="24"/>
                <w:szCs w:val="24"/>
              </w:rPr>
              <w:t>截、被第三方窃取或篡改的风险，加油机数据采集服务须直连到山西省</w:t>
            </w:r>
            <w:r>
              <w:rPr>
                <w:rFonts w:hint="eastAsia" w:ascii="宋体" w:hAnsi="宋体" w:eastAsia="宋体" w:cs="宋体"/>
                <w:spacing w:val="-3"/>
                <w:sz w:val="24"/>
                <w:szCs w:val="24"/>
              </w:rPr>
              <w:t>成品油流</w:t>
            </w:r>
            <w:r>
              <w:rPr>
                <w:rFonts w:hint="eastAsia" w:ascii="宋体" w:hAnsi="宋体" w:eastAsia="宋体" w:cs="宋体"/>
                <w:spacing w:val="-1"/>
                <w:sz w:val="24"/>
                <w:szCs w:val="24"/>
              </w:rPr>
              <w:t>通智慧监管平台，不得通过第三方软件的方式接入省平台。</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94C649A">
            <w:pPr>
              <w:rPr>
                <w:rFonts w:hint="eastAsia" w:ascii="宋体" w:hAnsi="宋体" w:eastAsia="宋体" w:cs="宋体"/>
                <w:spacing w:val="-1"/>
                <w:sz w:val="24"/>
                <w:szCs w:val="24"/>
              </w:rPr>
            </w:pPr>
            <w:r>
              <w:rPr>
                <w:rFonts w:hint="eastAsia" w:ascii="宋体" w:hAnsi="宋体" w:eastAsia="宋体" w:cs="宋体"/>
                <w:spacing w:val="-1"/>
                <w:sz w:val="24"/>
                <w:szCs w:val="24"/>
              </w:rPr>
              <w:t>14套</w:t>
            </w:r>
          </w:p>
        </w:tc>
      </w:tr>
      <w:tr w14:paraId="02D3742B">
        <w:trPr>
          <w:trHeight w:val="470" w:hRule="atLeast"/>
        </w:trPr>
        <w:tc>
          <w:tcPr>
            <w:tcW w:w="180" w:type="pct"/>
            <w:tcBorders>
              <w:top w:val="single" w:color="000000" w:sz="4" w:space="0"/>
              <w:left w:val="single" w:color="000000" w:sz="4" w:space="0"/>
              <w:bottom w:val="single" w:color="000000" w:sz="4" w:space="0"/>
              <w:right w:val="single" w:color="000000" w:sz="4" w:space="0"/>
            </w:tcBorders>
            <w:noWrap/>
            <w:vAlign w:val="center"/>
          </w:tcPr>
          <w:p w14:paraId="72269D2B">
            <w:pPr>
              <w:keepLines/>
              <w:widowControl/>
              <w:numPr>
                <w:ilvl w:val="0"/>
                <w:numId w:val="2"/>
              </w:numPr>
              <w:jc w:val="center"/>
              <w:textAlignment w:val="bottom"/>
              <w:rPr>
                <w:rFonts w:hint="eastAsia" w:ascii="宋体" w:hAnsi="宋体" w:eastAsia="宋体" w:cs="宋体"/>
                <w:sz w:val="24"/>
                <w:szCs w:val="24"/>
              </w:rPr>
            </w:pPr>
          </w:p>
        </w:tc>
        <w:tc>
          <w:tcPr>
            <w:tcW w:w="481" w:type="pct"/>
            <w:tcBorders>
              <w:top w:val="single" w:color="000000" w:sz="4" w:space="0"/>
              <w:left w:val="single" w:color="000000" w:sz="4" w:space="0"/>
              <w:bottom w:val="single" w:color="000000" w:sz="4" w:space="0"/>
              <w:right w:val="single" w:color="000000" w:sz="4" w:space="0"/>
            </w:tcBorders>
            <w:vAlign w:val="center"/>
          </w:tcPr>
          <w:p w14:paraId="124320C9">
            <w:pPr>
              <w:keepLines/>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油罐液位仪数据采集</w:t>
            </w:r>
            <w:r>
              <w:rPr>
                <w:rFonts w:hint="eastAsia" w:ascii="宋体" w:hAnsi="宋体" w:eastAsia="宋体" w:cs="宋体"/>
                <w:sz w:val="24"/>
                <w:szCs w:val="24"/>
              </w:rPr>
              <w:t>服务</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0E1AD76C">
            <w:pPr>
              <w:widowControl/>
              <w:kinsoku w:val="0"/>
              <w:autoSpaceDE w:val="0"/>
              <w:autoSpaceDN w:val="0"/>
              <w:adjustRightInd w:val="0"/>
              <w:snapToGrid w:val="0"/>
              <w:textAlignment w:val="baseline"/>
              <w:rPr>
                <w:rFonts w:hint="eastAsia" w:ascii="宋体" w:hAnsi="宋体" w:eastAsia="宋体" w:cs="宋体"/>
                <w:b/>
                <w:bCs/>
                <w:spacing w:val="-4"/>
                <w:sz w:val="24"/>
                <w:szCs w:val="24"/>
              </w:rPr>
            </w:pPr>
            <w:r>
              <w:rPr>
                <w:rFonts w:hint="eastAsia" w:ascii="宋体" w:hAnsi="宋体" w:eastAsia="宋体" w:cs="宋体"/>
                <w:b/>
                <w:bCs/>
                <w:spacing w:val="-4"/>
                <w:sz w:val="24"/>
                <w:szCs w:val="24"/>
              </w:rPr>
              <w:t>1.数据采集内容</w:t>
            </w:r>
          </w:p>
          <w:p w14:paraId="0FC25E80">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油罐液位仪数据采集应通过VR协议与液位仪控制台的连接实现液位仪控制台进油数据和油罐库存数据的采集。油罐液位仪数据采集设备通过与液位仪控制台的连接可实时采集加油站油罐数据，包括油罐编号及对应油品型号、油位高度、油罐体积、油罐温度、油罐测漏记录等。通过对油罐油位高度的实时采集，记录油罐液位的准确变化及油罐的进油数据，包括进油时间、油品类型、油品规格、进油量、进油次数等。</w:t>
            </w:r>
          </w:p>
          <w:p w14:paraId="5E4680C2">
            <w:pPr>
              <w:widowControl/>
              <w:kinsoku w:val="0"/>
              <w:autoSpaceDE w:val="0"/>
              <w:autoSpaceDN w:val="0"/>
              <w:adjustRightInd w:val="0"/>
              <w:snapToGrid w:val="0"/>
              <w:textAlignment w:val="baseline"/>
              <w:rPr>
                <w:rFonts w:hint="eastAsia" w:ascii="宋体" w:hAnsi="宋体" w:eastAsia="宋体" w:cs="宋体"/>
                <w:b/>
                <w:bCs/>
                <w:spacing w:val="-4"/>
                <w:sz w:val="24"/>
                <w:szCs w:val="24"/>
              </w:rPr>
            </w:pPr>
            <w:r>
              <w:rPr>
                <w:rFonts w:hint="eastAsia" w:ascii="宋体" w:hAnsi="宋体" w:eastAsia="宋体" w:cs="宋体"/>
                <w:b/>
                <w:bCs/>
                <w:spacing w:val="-4"/>
                <w:sz w:val="24"/>
                <w:szCs w:val="24"/>
              </w:rPr>
              <w:t>2.设备功能需求</w:t>
            </w:r>
          </w:p>
          <w:p w14:paraId="36420D74">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（1）支持液位仪通用VR协议，实现对市面主流型号的液位仪控制台的数据采集。</w:t>
            </w:r>
          </w:p>
          <w:p w14:paraId="7B2A21DE">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（2）</w:t>
            </w:r>
            <w:r>
              <w:rPr>
                <w:rFonts w:hint="eastAsia" w:ascii="宋体" w:hAnsi="宋体" w:cs="宋体"/>
                <w:spacing w:val="-4"/>
                <w:sz w:val="24"/>
                <w:szCs w:val="24"/>
                <w:lang w:val="en-US" w:eastAsia="zh-CN"/>
              </w:rPr>
              <w:t>支持</w:t>
            </w:r>
            <w:r>
              <w:rPr>
                <w:rFonts w:hint="eastAsia" w:ascii="宋体" w:hAnsi="宋体" w:eastAsia="宋体" w:cs="宋体"/>
                <w:spacing w:val="-4"/>
                <w:sz w:val="24"/>
                <w:szCs w:val="24"/>
              </w:rPr>
              <w:t>集成TCP/UDP/MQTT协议。</w:t>
            </w:r>
          </w:p>
          <w:p w14:paraId="01CE4F35">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（3）支持断网离线自动重拨；断网离线自动存储数据；断网期间数据本地缓存，网络恢复后数据自动续传。</w:t>
            </w:r>
          </w:p>
          <w:p w14:paraId="78F67B42">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（4）支持断电回电后自动续传数据；断电离线自动存储数据。</w:t>
            </w:r>
          </w:p>
          <w:p w14:paraId="653493FD">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（5）支持心跳包技术，智能防掉线，支持信号检测，自动搜索。</w:t>
            </w:r>
          </w:p>
          <w:p w14:paraId="03FBAFA5">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（6）支持通过无线网络远程参数配置、远程重启、远程回滚。</w:t>
            </w:r>
          </w:p>
          <w:p w14:paraId="5484D0F7">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（7）支持数据加密传输，支持国密算法。</w:t>
            </w:r>
          </w:p>
          <w:p w14:paraId="24C5E018">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（8）支持4G/5G网络。</w:t>
            </w:r>
          </w:p>
          <w:p w14:paraId="53B2598D">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（9）支持电源状态指示，网络信号状态指示，运行状态指示，信号采集状态指示。</w:t>
            </w:r>
          </w:p>
          <w:p w14:paraId="38BD06B7">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（10）支持采集油罐编号及对应油品型号、油罐油高、温度、油体积、油罐侧漏记录等，支持上传到监管平台。</w:t>
            </w:r>
          </w:p>
          <w:p w14:paraId="422E1F77">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（11）支持本地升级和远程在线升级，支持监管系统与用户应用程序的在线升级与更新。</w:t>
            </w:r>
          </w:p>
          <w:p w14:paraId="574BA50C">
            <w:pPr>
              <w:widowControl/>
              <w:kinsoku w:val="0"/>
              <w:autoSpaceDE w:val="0"/>
              <w:autoSpaceDN w:val="0"/>
              <w:adjustRightInd w:val="0"/>
              <w:snapToGrid w:val="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（12）支持USB设备热拔插操作。</w:t>
            </w:r>
          </w:p>
          <w:p w14:paraId="2184DAB2">
            <w:pPr>
              <w:rPr>
                <w:rFonts w:hint="eastAsia" w:ascii="宋体" w:hAnsi="宋体" w:eastAsia="宋体" w:cs="宋体"/>
                <w:spacing w:val="-4"/>
                <w:sz w:val="24"/>
                <w:szCs w:val="24"/>
              </w:rPr>
            </w:pPr>
            <w:r>
              <w:rPr>
                <w:rFonts w:hint="eastAsia" w:ascii="宋体" w:hAnsi="宋体" w:eastAsia="宋体" w:cs="宋体"/>
                <w:spacing w:val="-4"/>
                <w:sz w:val="24"/>
                <w:szCs w:val="24"/>
              </w:rPr>
              <w:t>（13）满足防静电、抗干扰要求。</w:t>
            </w:r>
          </w:p>
          <w:p w14:paraId="789FDB38">
            <w:pPr>
              <w:rPr>
                <w:rFonts w:hint="eastAsia" w:ascii="宋体" w:hAnsi="宋体" w:eastAsia="宋体" w:cs="宋体"/>
                <w:b/>
                <w:bCs/>
                <w:sz w:val="24"/>
                <w:szCs w:val="24"/>
              </w:rPr>
            </w:pPr>
            <w:r>
              <w:rPr>
                <w:rFonts w:hint="eastAsia" w:ascii="宋体" w:hAnsi="宋体" w:eastAsia="宋体" w:cs="宋体"/>
                <w:b/>
                <w:bCs/>
                <w:spacing w:val="-2"/>
                <w:sz w:val="24"/>
                <w:szCs w:val="24"/>
              </w:rPr>
              <w:t>3.设备技术参数</w:t>
            </w:r>
          </w:p>
          <w:tbl>
            <w:tblPr>
              <w:tblStyle w:val="57"/>
              <w:tblpPr w:leftFromText="180" w:rightFromText="180" w:vertAnchor="text" w:horzAnchor="page" w:tblpXSpec="center" w:tblpY="320"/>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6"/>
              <w:gridCol w:w="3605"/>
            </w:tblGrid>
            <w:tr w14:paraId="7C81A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04495662">
                  <w:pPr>
                    <w:pStyle w:val="56"/>
                    <w:jc w:val="center"/>
                    <w:rPr>
                      <w:rFonts w:hint="eastAsia" w:ascii="宋体" w:hAnsi="宋体" w:eastAsia="宋体" w:cs="宋体"/>
                      <w:sz w:val="24"/>
                      <w:szCs w:val="24"/>
                    </w:rPr>
                  </w:pPr>
                  <w:r>
                    <w:rPr>
                      <w:rFonts w:hint="eastAsia" w:ascii="宋体" w:hAnsi="宋体" w:eastAsia="宋体" w:cs="宋体"/>
                      <w:spacing w:val="-8"/>
                      <w:sz w:val="24"/>
                      <w:szCs w:val="24"/>
                    </w:rPr>
                    <w:t>加密</w:t>
                  </w:r>
                </w:p>
              </w:tc>
              <w:tc>
                <w:tcPr>
                  <w:tcW w:w="2747" w:type="pct"/>
                  <w:vAlign w:val="center"/>
                </w:tcPr>
                <w:p w14:paraId="2C908D03">
                  <w:pPr>
                    <w:pStyle w:val="56"/>
                    <w:jc w:val="center"/>
                    <w:rPr>
                      <w:rFonts w:hint="eastAsia" w:ascii="宋体" w:hAnsi="宋体" w:eastAsia="宋体" w:cs="宋体"/>
                      <w:sz w:val="24"/>
                      <w:szCs w:val="24"/>
                    </w:rPr>
                  </w:pPr>
                  <w:r>
                    <w:rPr>
                      <w:rFonts w:hint="eastAsia" w:ascii="宋体" w:hAnsi="宋体" w:eastAsia="宋体" w:cs="宋体"/>
                      <w:spacing w:val="-3"/>
                      <w:sz w:val="24"/>
                      <w:szCs w:val="24"/>
                    </w:rPr>
                    <w:t>支持硬件加密</w:t>
                  </w:r>
                </w:p>
              </w:tc>
            </w:tr>
            <w:tr w14:paraId="26AF3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77DA52D3">
                  <w:pPr>
                    <w:pStyle w:val="56"/>
                    <w:jc w:val="center"/>
                    <w:rPr>
                      <w:rFonts w:hint="eastAsia" w:ascii="宋体" w:hAnsi="宋体" w:eastAsia="宋体" w:cs="宋体"/>
                      <w:sz w:val="24"/>
                      <w:szCs w:val="24"/>
                    </w:rPr>
                  </w:pPr>
                  <w:r>
                    <w:rPr>
                      <w:rFonts w:hint="eastAsia" w:ascii="宋体" w:hAnsi="宋体" w:eastAsia="宋体" w:cs="宋体"/>
                      <w:spacing w:val="-13"/>
                      <w:sz w:val="24"/>
                      <w:szCs w:val="24"/>
                    </w:rPr>
                    <w:t>主频</w:t>
                  </w:r>
                </w:p>
              </w:tc>
              <w:tc>
                <w:tcPr>
                  <w:tcW w:w="2747" w:type="pct"/>
                  <w:vAlign w:val="center"/>
                </w:tcPr>
                <w:p w14:paraId="7B368405">
                  <w:pPr>
                    <w:pStyle w:val="56"/>
                    <w:jc w:val="center"/>
                    <w:rPr>
                      <w:rFonts w:hint="eastAsia" w:ascii="宋体" w:hAnsi="宋体" w:eastAsia="宋体" w:cs="宋体"/>
                      <w:sz w:val="24"/>
                      <w:szCs w:val="24"/>
                    </w:rPr>
                  </w:pPr>
                  <w:r>
                    <w:rPr>
                      <w:rFonts w:hint="eastAsia" w:ascii="宋体" w:hAnsi="宋体" w:eastAsia="宋体" w:cs="宋体"/>
                      <w:spacing w:val="-6"/>
                      <w:sz w:val="24"/>
                      <w:szCs w:val="24"/>
                    </w:rPr>
                    <w:t>不小于1.2GHz</w:t>
                  </w:r>
                </w:p>
              </w:tc>
            </w:tr>
            <w:tr w14:paraId="03BA2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094EA9D5">
                  <w:pPr>
                    <w:pStyle w:val="56"/>
                    <w:jc w:val="center"/>
                    <w:rPr>
                      <w:rFonts w:hint="eastAsia" w:ascii="宋体" w:hAnsi="宋体" w:eastAsia="宋体" w:cs="宋体"/>
                      <w:sz w:val="24"/>
                      <w:szCs w:val="24"/>
                    </w:rPr>
                  </w:pPr>
                  <w:r>
                    <w:rPr>
                      <w:rFonts w:hint="eastAsia" w:ascii="宋体" w:hAnsi="宋体" w:eastAsia="宋体" w:cs="宋体"/>
                      <w:spacing w:val="-26"/>
                      <w:sz w:val="24"/>
                      <w:szCs w:val="24"/>
                    </w:rPr>
                    <w:t>内存</w:t>
                  </w:r>
                </w:p>
              </w:tc>
              <w:tc>
                <w:tcPr>
                  <w:tcW w:w="2747" w:type="pct"/>
                  <w:vAlign w:val="center"/>
                </w:tcPr>
                <w:p w14:paraId="67A1C4A4">
                  <w:pPr>
                    <w:pStyle w:val="56"/>
                    <w:jc w:val="center"/>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128MB，CPU内置</w:t>
                  </w:r>
                </w:p>
              </w:tc>
            </w:tr>
            <w:tr w14:paraId="1AA13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608B756E">
                  <w:pPr>
                    <w:pStyle w:val="56"/>
                    <w:jc w:val="center"/>
                    <w:rPr>
                      <w:rFonts w:hint="eastAsia" w:ascii="宋体" w:hAnsi="宋体" w:eastAsia="宋体" w:cs="宋体"/>
                      <w:sz w:val="24"/>
                      <w:szCs w:val="24"/>
                    </w:rPr>
                  </w:pPr>
                  <w:r>
                    <w:rPr>
                      <w:rFonts w:hint="eastAsia" w:ascii="宋体" w:hAnsi="宋体" w:eastAsia="宋体" w:cs="宋体"/>
                      <w:spacing w:val="-13"/>
                      <w:sz w:val="24"/>
                      <w:szCs w:val="24"/>
                    </w:rPr>
                    <w:t>电子硬盘</w:t>
                  </w:r>
                </w:p>
              </w:tc>
              <w:tc>
                <w:tcPr>
                  <w:tcW w:w="2747" w:type="pct"/>
                  <w:vAlign w:val="center"/>
                </w:tcPr>
                <w:p w14:paraId="2414F0CD">
                  <w:pPr>
                    <w:pStyle w:val="56"/>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256MB</w:t>
                  </w:r>
                </w:p>
              </w:tc>
            </w:tr>
            <w:tr w14:paraId="445FC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01D9A4A7">
                  <w:pPr>
                    <w:pStyle w:val="56"/>
                    <w:jc w:val="center"/>
                    <w:rPr>
                      <w:rFonts w:hint="eastAsia" w:ascii="宋体" w:hAnsi="宋体" w:eastAsia="宋体" w:cs="宋体"/>
                      <w:sz w:val="24"/>
                      <w:szCs w:val="24"/>
                    </w:rPr>
                  </w:pPr>
                  <w:r>
                    <w:rPr>
                      <w:rFonts w:hint="eastAsia" w:ascii="宋体" w:hAnsi="宋体" w:eastAsia="宋体" w:cs="宋体"/>
                      <w:spacing w:val="-4"/>
                      <w:sz w:val="24"/>
                      <w:szCs w:val="24"/>
                    </w:rPr>
                    <w:t>液位仪接口</w:t>
                  </w:r>
                </w:p>
              </w:tc>
              <w:tc>
                <w:tcPr>
                  <w:tcW w:w="2747" w:type="pct"/>
                  <w:vAlign w:val="center"/>
                </w:tcPr>
                <w:p w14:paraId="7DF5DA9A">
                  <w:pPr>
                    <w:pStyle w:val="56"/>
                    <w:jc w:val="center"/>
                    <w:rPr>
                      <w:rFonts w:hint="eastAsia" w:ascii="宋体" w:hAnsi="宋体" w:eastAsia="宋体" w:cs="宋体"/>
                      <w:sz w:val="24"/>
                      <w:szCs w:val="24"/>
                    </w:rPr>
                  </w:pPr>
                  <w:r>
                    <w:rPr>
                      <w:rFonts w:hint="eastAsia" w:ascii="宋体" w:hAnsi="宋体" w:eastAsia="宋体" w:cs="宋体"/>
                      <w:spacing w:val="-7"/>
                      <w:sz w:val="24"/>
                      <w:szCs w:val="24"/>
                    </w:rPr>
                    <w:t>2路</w:t>
                  </w:r>
                </w:p>
              </w:tc>
            </w:tr>
            <w:tr w14:paraId="11515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5AAEC23D">
                  <w:pPr>
                    <w:pStyle w:val="56"/>
                    <w:jc w:val="center"/>
                    <w:rPr>
                      <w:rFonts w:hint="eastAsia" w:ascii="宋体" w:hAnsi="宋体" w:eastAsia="宋体" w:cs="宋体"/>
                      <w:sz w:val="24"/>
                      <w:szCs w:val="24"/>
                    </w:rPr>
                  </w:pPr>
                  <w:r>
                    <w:rPr>
                      <w:rFonts w:hint="eastAsia" w:ascii="宋体" w:hAnsi="宋体" w:eastAsia="宋体" w:cs="宋体"/>
                      <w:spacing w:val="-2"/>
                      <w:sz w:val="24"/>
                      <w:szCs w:val="24"/>
                    </w:rPr>
                    <w:t>设备RS232口</w:t>
                  </w:r>
                </w:p>
              </w:tc>
              <w:tc>
                <w:tcPr>
                  <w:tcW w:w="2747" w:type="pct"/>
                  <w:vAlign w:val="center"/>
                </w:tcPr>
                <w:p w14:paraId="424F44F6">
                  <w:pPr>
                    <w:pStyle w:val="56"/>
                    <w:jc w:val="center"/>
                    <w:rPr>
                      <w:rFonts w:hint="eastAsia" w:ascii="宋体" w:hAnsi="宋体" w:eastAsia="宋体" w:cs="宋体"/>
                      <w:sz w:val="24"/>
                      <w:szCs w:val="24"/>
                    </w:rPr>
                  </w:pPr>
                  <w:r>
                    <w:rPr>
                      <w:rFonts w:hint="eastAsia" w:ascii="宋体" w:hAnsi="宋体" w:eastAsia="宋体" w:cs="宋体"/>
                      <w:spacing w:val="-7"/>
                      <w:sz w:val="24"/>
                      <w:szCs w:val="24"/>
                    </w:rPr>
                    <w:t>2路</w:t>
                  </w:r>
                </w:p>
              </w:tc>
            </w:tr>
            <w:tr w14:paraId="71CAF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44D99AC9">
                  <w:pPr>
                    <w:pStyle w:val="56"/>
                    <w:jc w:val="center"/>
                    <w:rPr>
                      <w:rFonts w:hint="eastAsia" w:ascii="宋体" w:hAnsi="宋体" w:eastAsia="宋体" w:cs="宋体"/>
                      <w:sz w:val="24"/>
                      <w:szCs w:val="24"/>
                    </w:rPr>
                  </w:pPr>
                  <w:r>
                    <w:rPr>
                      <w:rFonts w:hint="eastAsia" w:ascii="宋体" w:hAnsi="宋体" w:eastAsia="宋体" w:cs="宋体"/>
                      <w:spacing w:val="-5"/>
                      <w:sz w:val="24"/>
                      <w:szCs w:val="24"/>
                    </w:rPr>
                    <w:t>调试串口</w:t>
                  </w:r>
                </w:p>
              </w:tc>
              <w:tc>
                <w:tcPr>
                  <w:tcW w:w="2747" w:type="pct"/>
                  <w:vAlign w:val="center"/>
                </w:tcPr>
                <w:p w14:paraId="258CE2FF">
                  <w:pPr>
                    <w:pStyle w:val="56"/>
                    <w:jc w:val="center"/>
                    <w:rPr>
                      <w:rFonts w:hint="eastAsia" w:ascii="宋体" w:hAnsi="宋体" w:eastAsia="宋体" w:cs="宋体"/>
                      <w:sz w:val="24"/>
                      <w:szCs w:val="24"/>
                    </w:rPr>
                  </w:pPr>
                  <w:r>
                    <w:rPr>
                      <w:rFonts w:hint="eastAsia" w:ascii="宋体" w:hAnsi="宋体" w:eastAsia="宋体" w:cs="宋体"/>
                      <w:spacing w:val="-16"/>
                      <w:sz w:val="24"/>
                      <w:szCs w:val="24"/>
                    </w:rPr>
                    <w:t>1路</w:t>
                  </w:r>
                </w:p>
              </w:tc>
            </w:tr>
            <w:tr w14:paraId="7420D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2441E5E5">
                  <w:pPr>
                    <w:pStyle w:val="56"/>
                    <w:jc w:val="center"/>
                    <w:rPr>
                      <w:rFonts w:hint="eastAsia" w:ascii="宋体" w:hAnsi="宋体" w:eastAsia="宋体" w:cs="宋体"/>
                      <w:sz w:val="24"/>
                      <w:szCs w:val="24"/>
                    </w:rPr>
                  </w:pPr>
                  <w:r>
                    <w:rPr>
                      <w:rFonts w:hint="eastAsia" w:ascii="宋体" w:hAnsi="宋体" w:eastAsia="宋体" w:cs="宋体"/>
                      <w:spacing w:val="-8"/>
                      <w:sz w:val="24"/>
                      <w:szCs w:val="24"/>
                    </w:rPr>
                    <w:t>10/100M以太网口</w:t>
                  </w:r>
                </w:p>
              </w:tc>
              <w:tc>
                <w:tcPr>
                  <w:tcW w:w="2747" w:type="pct"/>
                  <w:vAlign w:val="center"/>
                </w:tcPr>
                <w:p w14:paraId="5772E292">
                  <w:pPr>
                    <w:pStyle w:val="56"/>
                    <w:jc w:val="center"/>
                    <w:rPr>
                      <w:rFonts w:hint="eastAsia" w:ascii="宋体" w:hAnsi="宋体" w:eastAsia="宋体" w:cs="宋体"/>
                      <w:sz w:val="24"/>
                      <w:szCs w:val="24"/>
                    </w:rPr>
                  </w:pPr>
                  <w:r>
                    <w:rPr>
                      <w:rFonts w:hint="eastAsia" w:ascii="宋体" w:hAnsi="宋体" w:eastAsia="宋体" w:cs="宋体"/>
                      <w:spacing w:val="-7"/>
                      <w:sz w:val="24"/>
                      <w:szCs w:val="24"/>
                    </w:rPr>
                    <w:t>2路</w:t>
                  </w:r>
                </w:p>
              </w:tc>
            </w:tr>
            <w:tr w14:paraId="13A0F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105A3438">
                  <w:pPr>
                    <w:pStyle w:val="56"/>
                    <w:jc w:val="center"/>
                    <w:rPr>
                      <w:rFonts w:hint="eastAsia" w:ascii="宋体" w:hAnsi="宋体" w:eastAsia="宋体" w:cs="宋体"/>
                      <w:sz w:val="24"/>
                      <w:szCs w:val="24"/>
                    </w:rPr>
                  </w:pPr>
                  <w:r>
                    <w:rPr>
                      <w:rFonts w:hint="eastAsia" w:ascii="宋体" w:hAnsi="宋体" w:eastAsia="宋体" w:cs="宋体"/>
                      <w:spacing w:val="-6"/>
                      <w:sz w:val="24"/>
                      <w:szCs w:val="24"/>
                    </w:rPr>
                    <w:t>实时时钟</w:t>
                  </w:r>
                </w:p>
              </w:tc>
              <w:tc>
                <w:tcPr>
                  <w:tcW w:w="2747" w:type="pct"/>
                  <w:vAlign w:val="center"/>
                </w:tcPr>
                <w:p w14:paraId="2AFE3214">
                  <w:pPr>
                    <w:pStyle w:val="56"/>
                    <w:jc w:val="center"/>
                    <w:rPr>
                      <w:rFonts w:hint="eastAsia" w:ascii="宋体" w:hAnsi="宋体" w:eastAsia="宋体" w:cs="宋体"/>
                      <w:sz w:val="24"/>
                      <w:szCs w:val="24"/>
                    </w:rPr>
                  </w:pPr>
                  <w:r>
                    <w:rPr>
                      <w:rFonts w:hint="eastAsia" w:ascii="宋体" w:hAnsi="宋体" w:eastAsia="宋体" w:cs="宋体"/>
                      <w:spacing w:val="-16"/>
                      <w:sz w:val="24"/>
                      <w:szCs w:val="24"/>
                    </w:rPr>
                    <w:t>1路</w:t>
                  </w:r>
                </w:p>
              </w:tc>
            </w:tr>
            <w:tr w14:paraId="6EFA0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7A130272">
                  <w:pPr>
                    <w:pStyle w:val="56"/>
                    <w:jc w:val="center"/>
                    <w:rPr>
                      <w:rFonts w:hint="eastAsia" w:ascii="宋体" w:hAnsi="宋体" w:eastAsia="宋体" w:cs="宋体"/>
                      <w:sz w:val="24"/>
                      <w:szCs w:val="24"/>
                    </w:rPr>
                  </w:pPr>
                  <w:r>
                    <w:rPr>
                      <w:rFonts w:hint="eastAsia" w:ascii="宋体" w:hAnsi="宋体" w:eastAsia="宋体" w:cs="宋体"/>
                      <w:spacing w:val="-3"/>
                      <w:sz w:val="24"/>
                      <w:szCs w:val="24"/>
                    </w:rPr>
                    <w:t>物联网卡通讯模组</w:t>
                  </w:r>
                </w:p>
              </w:tc>
              <w:tc>
                <w:tcPr>
                  <w:tcW w:w="2747" w:type="pct"/>
                  <w:vAlign w:val="center"/>
                </w:tcPr>
                <w:p w14:paraId="79FC0648">
                  <w:pPr>
                    <w:pStyle w:val="56"/>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支持4G/5G网络</w:t>
                  </w:r>
                </w:p>
              </w:tc>
            </w:tr>
            <w:tr w14:paraId="31BA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2F68532E">
                  <w:pPr>
                    <w:pStyle w:val="56"/>
                    <w:jc w:val="center"/>
                    <w:rPr>
                      <w:rFonts w:hint="eastAsia" w:ascii="宋体" w:hAnsi="宋体" w:eastAsia="宋体" w:cs="宋体"/>
                      <w:sz w:val="24"/>
                      <w:szCs w:val="24"/>
                    </w:rPr>
                  </w:pPr>
                  <w:r>
                    <w:rPr>
                      <w:rFonts w:hint="eastAsia" w:ascii="宋体" w:hAnsi="宋体" w:eastAsia="宋体" w:cs="宋体"/>
                      <w:spacing w:val="-7"/>
                      <w:sz w:val="24"/>
                      <w:szCs w:val="24"/>
                    </w:rPr>
                    <w:t>工作温度</w:t>
                  </w:r>
                </w:p>
              </w:tc>
              <w:tc>
                <w:tcPr>
                  <w:tcW w:w="2747" w:type="pct"/>
                  <w:vAlign w:val="center"/>
                </w:tcPr>
                <w:p w14:paraId="4CB93049">
                  <w:pPr>
                    <w:pStyle w:val="56"/>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-40℃~+85℃</w:t>
                  </w:r>
                </w:p>
              </w:tc>
            </w:tr>
            <w:tr w14:paraId="35878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258679D7">
                  <w:pPr>
                    <w:pStyle w:val="56"/>
                    <w:jc w:val="center"/>
                    <w:rPr>
                      <w:rFonts w:hint="eastAsia" w:ascii="宋体" w:hAnsi="宋体" w:eastAsia="宋体" w:cs="宋体"/>
                      <w:sz w:val="24"/>
                      <w:szCs w:val="24"/>
                    </w:rPr>
                  </w:pPr>
                  <w:r>
                    <w:rPr>
                      <w:rFonts w:hint="eastAsia" w:ascii="宋体" w:hAnsi="宋体" w:eastAsia="宋体" w:cs="宋体"/>
                      <w:spacing w:val="-13"/>
                      <w:sz w:val="24"/>
                      <w:szCs w:val="24"/>
                    </w:rPr>
                    <w:t>电源输入</w:t>
                  </w:r>
                </w:p>
              </w:tc>
              <w:tc>
                <w:tcPr>
                  <w:tcW w:w="2747" w:type="pct"/>
                  <w:vAlign w:val="center"/>
                </w:tcPr>
                <w:p w14:paraId="762140D2">
                  <w:pPr>
                    <w:pStyle w:val="56"/>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DC12V~24V</w:t>
                  </w:r>
                </w:p>
              </w:tc>
            </w:tr>
            <w:tr w14:paraId="3529B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06998E9B">
                  <w:pPr>
                    <w:pStyle w:val="56"/>
                    <w:jc w:val="center"/>
                    <w:rPr>
                      <w:rFonts w:hint="eastAsia" w:ascii="宋体" w:hAnsi="宋体" w:eastAsia="宋体" w:cs="宋体"/>
                      <w:sz w:val="24"/>
                      <w:szCs w:val="24"/>
                    </w:rPr>
                  </w:pPr>
                  <w:r>
                    <w:rPr>
                      <w:rFonts w:hint="eastAsia" w:ascii="宋体" w:hAnsi="宋体" w:eastAsia="宋体" w:cs="宋体"/>
                      <w:spacing w:val="-14"/>
                      <w:sz w:val="24"/>
                      <w:szCs w:val="24"/>
                    </w:rPr>
                    <w:t>系统</w:t>
                  </w:r>
                </w:p>
              </w:tc>
              <w:tc>
                <w:tcPr>
                  <w:tcW w:w="2747" w:type="pct"/>
                  <w:vAlign w:val="center"/>
                </w:tcPr>
                <w:p w14:paraId="257249FB">
                  <w:pPr>
                    <w:pStyle w:val="56"/>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嵌入式Linux系统</w:t>
                  </w:r>
                </w:p>
              </w:tc>
            </w:tr>
            <w:tr w14:paraId="67B1D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33F2FDEC">
                  <w:pPr>
                    <w:pStyle w:val="56"/>
                    <w:jc w:val="center"/>
                    <w:rPr>
                      <w:rFonts w:hint="eastAsia" w:ascii="宋体" w:hAnsi="宋体" w:eastAsia="宋体" w:cs="宋体"/>
                      <w:sz w:val="24"/>
                      <w:szCs w:val="24"/>
                    </w:rPr>
                  </w:pPr>
                  <w:r>
                    <w:rPr>
                      <w:rFonts w:hint="eastAsia" w:ascii="宋体" w:hAnsi="宋体" w:eastAsia="宋体" w:cs="宋体"/>
                      <w:spacing w:val="-5"/>
                      <w:sz w:val="24"/>
                      <w:szCs w:val="24"/>
                    </w:rPr>
                    <w:t>文件系统</w:t>
                  </w:r>
                </w:p>
              </w:tc>
              <w:tc>
                <w:tcPr>
                  <w:tcW w:w="2747" w:type="pct"/>
                  <w:vAlign w:val="center"/>
                </w:tcPr>
                <w:p w14:paraId="1D45564B">
                  <w:pPr>
                    <w:pStyle w:val="56"/>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YAFFS2</w:t>
                  </w:r>
                </w:p>
              </w:tc>
            </w:tr>
            <w:tr w14:paraId="406FD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36003D28">
                  <w:pPr>
                    <w:pStyle w:val="56"/>
                    <w:jc w:val="center"/>
                    <w:rPr>
                      <w:rFonts w:hint="eastAsia" w:ascii="宋体" w:hAnsi="宋体" w:eastAsia="宋体" w:cs="宋体"/>
                      <w:sz w:val="24"/>
                      <w:szCs w:val="24"/>
                    </w:rPr>
                  </w:pPr>
                  <w:r>
                    <w:rPr>
                      <w:rFonts w:hint="eastAsia" w:ascii="宋体" w:hAnsi="宋体" w:eastAsia="宋体" w:cs="宋体"/>
                      <w:spacing w:val="-3"/>
                      <w:sz w:val="24"/>
                      <w:szCs w:val="24"/>
                    </w:rPr>
                    <w:t>Web服务器</w:t>
                  </w:r>
                </w:p>
              </w:tc>
              <w:tc>
                <w:tcPr>
                  <w:tcW w:w="2747" w:type="pct"/>
                  <w:vAlign w:val="center"/>
                </w:tcPr>
                <w:p w14:paraId="694F653E">
                  <w:pPr>
                    <w:pStyle w:val="56"/>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Boa</w:t>
                  </w:r>
                </w:p>
              </w:tc>
            </w:tr>
            <w:tr w14:paraId="50486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2AC3C0B3">
                  <w:pPr>
                    <w:pStyle w:val="56"/>
                    <w:jc w:val="center"/>
                    <w:rPr>
                      <w:rFonts w:hint="eastAsia" w:ascii="宋体" w:hAnsi="宋体" w:eastAsia="宋体" w:cs="宋体"/>
                      <w:sz w:val="24"/>
                      <w:szCs w:val="24"/>
                    </w:rPr>
                  </w:pPr>
                  <w:r>
                    <w:rPr>
                      <w:rFonts w:hint="eastAsia" w:ascii="宋体" w:hAnsi="宋体" w:eastAsia="宋体" w:cs="宋体"/>
                      <w:spacing w:val="-4"/>
                      <w:sz w:val="24"/>
                      <w:szCs w:val="24"/>
                    </w:rPr>
                    <w:t>FTP服务器</w:t>
                  </w:r>
                </w:p>
              </w:tc>
              <w:tc>
                <w:tcPr>
                  <w:tcW w:w="2747" w:type="pct"/>
                  <w:vAlign w:val="center"/>
                </w:tcPr>
                <w:p w14:paraId="5F4C2A06">
                  <w:pPr>
                    <w:pStyle w:val="56"/>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ftpd</w:t>
                  </w:r>
                </w:p>
              </w:tc>
            </w:tr>
            <w:tr w14:paraId="7C80A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37FB152F">
                  <w:pPr>
                    <w:pStyle w:val="56"/>
                    <w:jc w:val="center"/>
                    <w:rPr>
                      <w:rFonts w:hint="eastAsia" w:ascii="宋体" w:hAnsi="宋体" w:eastAsia="宋体" w:cs="宋体"/>
                      <w:sz w:val="24"/>
                      <w:szCs w:val="24"/>
                    </w:rPr>
                  </w:pPr>
                  <w:r>
                    <w:rPr>
                      <w:rFonts w:hint="eastAsia" w:ascii="宋体" w:hAnsi="宋体" w:eastAsia="宋体" w:cs="宋体"/>
                      <w:spacing w:val="-3"/>
                      <w:sz w:val="24"/>
                      <w:szCs w:val="24"/>
                    </w:rPr>
                    <w:t>Telnet服务器</w:t>
                  </w:r>
                </w:p>
              </w:tc>
              <w:tc>
                <w:tcPr>
                  <w:tcW w:w="2747" w:type="pct"/>
                  <w:vAlign w:val="center"/>
                </w:tcPr>
                <w:p w14:paraId="4CA00320">
                  <w:pPr>
                    <w:pStyle w:val="56"/>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telnetd</w:t>
                  </w:r>
                </w:p>
              </w:tc>
            </w:tr>
            <w:tr w14:paraId="1BDD0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329FFEEC">
                  <w:pPr>
                    <w:pStyle w:val="56"/>
                    <w:jc w:val="center"/>
                    <w:rPr>
                      <w:rFonts w:hint="eastAsia" w:ascii="宋体" w:hAnsi="宋体" w:eastAsia="宋体" w:cs="宋体"/>
                      <w:sz w:val="24"/>
                      <w:szCs w:val="24"/>
                    </w:rPr>
                  </w:pPr>
                  <w:r>
                    <w:rPr>
                      <w:rFonts w:hint="eastAsia" w:ascii="宋体" w:hAnsi="宋体" w:eastAsia="宋体" w:cs="宋体"/>
                      <w:spacing w:val="-3"/>
                      <w:sz w:val="24"/>
                      <w:szCs w:val="24"/>
                    </w:rPr>
                    <w:t>Nfs服务器</w:t>
                  </w:r>
                </w:p>
              </w:tc>
              <w:tc>
                <w:tcPr>
                  <w:tcW w:w="2747" w:type="pct"/>
                  <w:vAlign w:val="center"/>
                </w:tcPr>
                <w:p w14:paraId="1A48B5A2">
                  <w:pPr>
                    <w:pStyle w:val="56"/>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支持nfs加载</w:t>
                  </w:r>
                </w:p>
              </w:tc>
            </w:tr>
            <w:tr w14:paraId="7BD4C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52677EC5">
                  <w:pPr>
                    <w:pStyle w:val="56"/>
                    <w:jc w:val="center"/>
                    <w:rPr>
                      <w:rFonts w:hint="eastAsia" w:ascii="宋体" w:hAnsi="宋体" w:eastAsia="宋体" w:cs="宋体"/>
                      <w:sz w:val="24"/>
                      <w:szCs w:val="24"/>
                    </w:rPr>
                  </w:pPr>
                  <w:r>
                    <w:rPr>
                      <w:rFonts w:hint="eastAsia" w:ascii="宋体" w:hAnsi="宋体" w:eastAsia="宋体" w:cs="宋体"/>
                      <w:spacing w:val="-4"/>
                      <w:sz w:val="24"/>
                      <w:szCs w:val="24"/>
                    </w:rPr>
                    <w:t>Shell服务器</w:t>
                  </w:r>
                </w:p>
              </w:tc>
              <w:tc>
                <w:tcPr>
                  <w:tcW w:w="2747" w:type="pct"/>
                  <w:vAlign w:val="center"/>
                </w:tcPr>
                <w:p w14:paraId="0CBB7D54">
                  <w:pPr>
                    <w:pStyle w:val="56"/>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sshd</w:t>
                  </w:r>
                </w:p>
              </w:tc>
            </w:tr>
            <w:tr w14:paraId="4B58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2252" w:type="pct"/>
                  <w:vAlign w:val="center"/>
                </w:tcPr>
                <w:p w14:paraId="357B6D44">
                  <w:pPr>
                    <w:pStyle w:val="56"/>
                    <w:jc w:val="center"/>
                    <w:rPr>
                      <w:rFonts w:hint="eastAsia" w:ascii="宋体" w:hAnsi="宋体" w:eastAsia="宋体" w:cs="宋体"/>
                      <w:sz w:val="24"/>
                      <w:szCs w:val="24"/>
                    </w:rPr>
                  </w:pPr>
                  <w:r>
                    <w:rPr>
                      <w:rFonts w:hint="eastAsia" w:ascii="宋体" w:hAnsi="宋体" w:eastAsia="宋体" w:cs="宋体"/>
                      <w:spacing w:val="-1"/>
                      <w:sz w:val="24"/>
                      <w:szCs w:val="24"/>
                    </w:rPr>
                    <w:t>TCP服务器管理程序</w:t>
                  </w:r>
                </w:p>
              </w:tc>
              <w:tc>
                <w:tcPr>
                  <w:tcW w:w="2747" w:type="pct"/>
                  <w:vAlign w:val="center"/>
                </w:tcPr>
                <w:p w14:paraId="154153F2">
                  <w:pPr>
                    <w:pStyle w:val="56"/>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inetd</w:t>
                  </w:r>
                </w:p>
              </w:tc>
            </w:tr>
            <w:tr w14:paraId="24869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5000" w:type="pct"/>
                  <w:gridSpan w:val="2"/>
                  <w:vAlign w:val="center"/>
                </w:tcPr>
                <w:p w14:paraId="2C4FACEC">
                  <w:pPr>
                    <w:pStyle w:val="56"/>
                    <w:jc w:val="center"/>
                    <w:rPr>
                      <w:rFonts w:hint="eastAsia" w:ascii="宋体" w:hAnsi="宋体" w:eastAsia="宋体" w:cs="宋体"/>
                      <w:sz w:val="24"/>
                      <w:szCs w:val="24"/>
                    </w:rPr>
                  </w:pPr>
                  <w:r>
                    <w:rPr>
                      <w:rFonts w:hint="eastAsia" w:ascii="宋体" w:hAnsi="宋体" w:eastAsia="宋体" w:cs="宋体"/>
                      <w:spacing w:val="-1"/>
                      <w:sz w:val="24"/>
                      <w:szCs w:val="24"/>
                    </w:rPr>
                    <w:t>支持监管系统与用户应用程序的在线升级与更新</w:t>
                  </w:r>
                </w:p>
              </w:tc>
            </w:tr>
            <w:tr w14:paraId="0F13F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5000" w:type="pct"/>
                  <w:gridSpan w:val="2"/>
                  <w:vAlign w:val="center"/>
                </w:tcPr>
                <w:p w14:paraId="39B6AB0D">
                  <w:pPr>
                    <w:pStyle w:val="56"/>
                    <w:jc w:val="center"/>
                    <w:rPr>
                      <w:rFonts w:hint="eastAsia" w:ascii="宋体" w:hAnsi="宋体" w:eastAsia="宋体" w:cs="宋体"/>
                      <w:sz w:val="24"/>
                      <w:szCs w:val="24"/>
                    </w:rPr>
                  </w:pPr>
                  <w:r>
                    <w:rPr>
                      <w:rFonts w:hint="eastAsia" w:ascii="宋体" w:hAnsi="宋体" w:eastAsia="宋体" w:cs="宋体"/>
                      <w:spacing w:val="-2"/>
                      <w:sz w:val="24"/>
                      <w:szCs w:val="24"/>
                    </w:rPr>
                    <w:t>支持USB设备热拔插操作</w:t>
                  </w:r>
                </w:p>
              </w:tc>
            </w:tr>
          </w:tbl>
          <w:p w14:paraId="2D5FC61A">
            <w:pPr>
              <w:widowControl/>
              <w:kinsoku w:val="0"/>
              <w:autoSpaceDE w:val="0"/>
              <w:autoSpaceDN w:val="0"/>
              <w:adjustRightInd w:val="0"/>
              <w:snapToGrid w:val="0"/>
              <w:textAlignment w:val="baseline"/>
              <w:rPr>
                <w:rFonts w:hint="eastAsia" w:ascii="宋体" w:hAnsi="宋体" w:eastAsia="宋体" w:cs="宋体"/>
                <w:spacing w:val="-1"/>
                <w:sz w:val="24"/>
                <w:szCs w:val="24"/>
              </w:rPr>
            </w:pPr>
          </w:p>
          <w:p w14:paraId="5303A019">
            <w:pPr>
              <w:widowControl/>
              <w:kinsoku w:val="0"/>
              <w:autoSpaceDE w:val="0"/>
              <w:autoSpaceDN w:val="0"/>
              <w:adjustRightInd w:val="0"/>
              <w:snapToGrid w:val="0"/>
              <w:textAlignment w:val="baseline"/>
              <w:rPr>
                <w:rFonts w:hint="eastAsia" w:ascii="宋体" w:hAnsi="宋体" w:eastAsia="宋体" w:cs="宋体"/>
                <w:b/>
                <w:bCs/>
                <w:spacing w:val="-1"/>
                <w:sz w:val="24"/>
                <w:szCs w:val="24"/>
              </w:rPr>
            </w:pPr>
            <w:r>
              <w:rPr>
                <w:rFonts w:hint="eastAsia" w:ascii="宋体" w:hAnsi="宋体" w:eastAsia="宋体" w:cs="宋体"/>
                <w:b/>
                <w:bCs/>
                <w:spacing w:val="-1"/>
                <w:sz w:val="24"/>
                <w:szCs w:val="24"/>
              </w:rPr>
              <w:t>4.接入省平台方式</w:t>
            </w:r>
          </w:p>
          <w:p w14:paraId="5E31CD32">
            <w:pPr>
              <w:widowControl/>
              <w:kinsoku w:val="0"/>
              <w:autoSpaceDE w:val="0"/>
              <w:autoSpaceDN w:val="0"/>
              <w:adjustRightInd w:val="0"/>
              <w:snapToGrid w:val="0"/>
              <w:textAlignment w:val="baseline"/>
              <w:rPr>
                <w:rFonts w:hint="eastAsia" w:ascii="宋体" w:hAnsi="宋体" w:eastAsia="宋体" w:cs="宋体"/>
                <w:sz w:val="24"/>
                <w:szCs w:val="24"/>
              </w:rPr>
            </w:pPr>
            <w:r>
              <w:rPr>
                <w:rFonts w:hint="eastAsia" w:ascii="宋体" w:hAnsi="宋体" w:eastAsia="宋体" w:cs="宋体"/>
                <w:spacing w:val="-1"/>
                <w:sz w:val="24"/>
                <w:szCs w:val="24"/>
              </w:rPr>
              <w:t>为了有效保障数据传输路径的唯一性与可追溯性，极大降低数据被恶意拦截、被第三方窃取或篡改的风险，油罐液位仪数据采集服务须直连到山西省成品油流通智慧监管平台，不得通过第三方软件的方式接入省平台。</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BC5BD01">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14套</w:t>
            </w:r>
          </w:p>
        </w:tc>
      </w:tr>
      <w:tr w14:paraId="5E9B03D4">
        <w:trPr>
          <w:trHeight w:val="451" w:hRule="atLeast"/>
        </w:trPr>
        <w:tc>
          <w:tcPr>
            <w:tcW w:w="180" w:type="pct"/>
            <w:tcBorders>
              <w:top w:val="single" w:color="000000" w:sz="4" w:space="0"/>
              <w:left w:val="single" w:color="000000" w:sz="4" w:space="0"/>
              <w:bottom w:val="single" w:color="000000" w:sz="4" w:space="0"/>
              <w:right w:val="single" w:color="000000" w:sz="4" w:space="0"/>
            </w:tcBorders>
            <w:noWrap/>
            <w:vAlign w:val="center"/>
          </w:tcPr>
          <w:p w14:paraId="0DF38837">
            <w:pPr>
              <w:keepLines/>
              <w:widowControl/>
              <w:numPr>
                <w:ilvl w:val="0"/>
                <w:numId w:val="2"/>
              </w:numPr>
              <w:jc w:val="center"/>
              <w:textAlignment w:val="bottom"/>
              <w:rPr>
                <w:rFonts w:hint="eastAsia" w:ascii="宋体" w:hAnsi="宋体" w:eastAsia="宋体" w:cs="宋体"/>
                <w:sz w:val="24"/>
                <w:szCs w:val="24"/>
              </w:rPr>
            </w:pPr>
          </w:p>
        </w:tc>
        <w:tc>
          <w:tcPr>
            <w:tcW w:w="481" w:type="pct"/>
            <w:tcBorders>
              <w:top w:val="single" w:color="000000" w:sz="4" w:space="0"/>
              <w:left w:val="single" w:color="000000" w:sz="4" w:space="0"/>
              <w:bottom w:val="single" w:color="000000" w:sz="4" w:space="0"/>
              <w:right w:val="single" w:color="000000" w:sz="4" w:space="0"/>
            </w:tcBorders>
            <w:vAlign w:val="center"/>
          </w:tcPr>
          <w:p w14:paraId="16D3D3CD">
            <w:pPr>
              <w:keepLines/>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智能AI视频分析</w:t>
            </w:r>
            <w:r>
              <w:rPr>
                <w:rFonts w:hint="eastAsia" w:ascii="宋体" w:hAnsi="宋体" w:eastAsia="宋体" w:cs="宋体"/>
                <w:sz w:val="24"/>
                <w:szCs w:val="24"/>
              </w:rPr>
              <w:t>服务</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653A7DFB">
            <w:pPr>
              <w:widowControl/>
              <w:kinsoku w:val="0"/>
              <w:autoSpaceDE w:val="0"/>
              <w:autoSpaceDN w:val="0"/>
              <w:adjustRightInd w:val="0"/>
              <w:snapToGrid w:val="0"/>
              <w:textAlignment w:val="baseline"/>
              <w:rPr>
                <w:rFonts w:hint="eastAsia" w:ascii="宋体" w:hAnsi="宋体" w:eastAsia="宋体" w:cs="宋体"/>
                <w:b/>
                <w:bCs/>
                <w:spacing w:val="-1"/>
                <w:sz w:val="24"/>
                <w:szCs w:val="24"/>
              </w:rPr>
            </w:pPr>
            <w:r>
              <w:rPr>
                <w:rFonts w:hint="eastAsia" w:ascii="宋体" w:hAnsi="宋体" w:eastAsia="宋体" w:cs="宋体"/>
                <w:b/>
                <w:bCs/>
                <w:spacing w:val="-1"/>
                <w:sz w:val="24"/>
                <w:szCs w:val="24"/>
              </w:rPr>
              <w:t>1.数据采集内容</w:t>
            </w:r>
          </w:p>
          <w:p w14:paraId="1A0577A6">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智能AI视频分析服务应通过对接加油站已有网络摄像机及硬盘录像机（利旧），实时对接加油站视频，实现加油站视频监控、远程巡检和AI智能监管（各类监管事件识别等）。同时，通过链接加油机数据采集设备、油罐液位仪数据采集设备等，实现多维数据之间的相互补充和验证，实现一站一管理。采集接入数据均需要通过互联网实时上传山西省成品油监管平台，保障数据传输的安全性和可靠性。设备应具备算法可扩展性，算法应监管需要推陈出新，不断更新算法应用从而满足监管部门的不同监管需求。</w:t>
            </w:r>
          </w:p>
          <w:p w14:paraId="03E13BD6">
            <w:pPr>
              <w:widowControl/>
              <w:kinsoku w:val="0"/>
              <w:autoSpaceDE w:val="0"/>
              <w:autoSpaceDN w:val="0"/>
              <w:adjustRightInd w:val="0"/>
              <w:snapToGrid w:val="0"/>
              <w:textAlignment w:val="baseline"/>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rPr>
              <w:t>2.设备功能</w:t>
            </w:r>
            <w:r>
              <w:rPr>
                <w:rFonts w:hint="eastAsia" w:ascii="宋体" w:hAnsi="宋体" w:eastAsia="宋体" w:cs="宋体"/>
                <w:b/>
                <w:bCs/>
                <w:spacing w:val="-1"/>
                <w:sz w:val="24"/>
                <w:szCs w:val="24"/>
                <w:highlight w:val="none"/>
              </w:rPr>
              <w:t>需求</w:t>
            </w:r>
          </w:p>
          <w:p w14:paraId="75300C77">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（1）支持ONVIF、RTSP、GB28181等网络视频协议。</w:t>
            </w:r>
          </w:p>
          <w:p w14:paraId="72819CED">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支持内置智能分析算法，包括车牌识别、车辆类型及颜色识别、抽烟识别、接打电话检测、烟火识别、消防设备识别、卸油工作流程判定等</w:t>
            </w:r>
            <w:r>
              <w:rPr>
                <w:rFonts w:hint="eastAsia" w:ascii="宋体" w:hAnsi="宋体" w:eastAsia="宋体" w:cs="宋体"/>
                <w:spacing w:val="-1"/>
                <w:sz w:val="24"/>
                <w:szCs w:val="24"/>
                <w:highlight w:val="none"/>
              </w:rPr>
              <w:t>。</w:t>
            </w:r>
          </w:p>
          <w:p w14:paraId="293FAE29">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（3）支持远程AI算法模型导入、更新。</w:t>
            </w:r>
          </w:p>
          <w:p w14:paraId="3F7D258E">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（4）支持OPC DA（2.0），Modbus RTU 和 TCP 接入，可实现 OPC、DCS、PLC、传感器对接。</w:t>
            </w:r>
          </w:p>
          <w:p w14:paraId="61856DB0">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（5）支持64路H.265、H.264网络摄像机接入管理，实现视频预览、存储、回放</w:t>
            </w:r>
            <w:r>
              <w:rPr>
                <w:rFonts w:hint="eastAsia" w:ascii="宋体" w:hAnsi="宋体" w:cs="宋体"/>
                <w:spacing w:val="-1"/>
                <w:sz w:val="24"/>
                <w:szCs w:val="24"/>
                <w:highlight w:val="none"/>
                <w:lang w:eastAsia="zh-CN"/>
              </w:rPr>
              <w:t>。</w:t>
            </w:r>
          </w:p>
          <w:p w14:paraId="63DB3B0D">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（6）支持通过宽带/专线进行数据传输。</w:t>
            </w:r>
          </w:p>
          <w:p w14:paraId="2E1620B0">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（7）支持GPU扩展，可以根据实际情况增加GPU数量。</w:t>
            </w:r>
          </w:p>
          <w:p w14:paraId="172BBADA">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（8）支持 HDMI输出，</w:t>
            </w:r>
            <w:r>
              <w:rPr>
                <w:rFonts w:hint="eastAsia" w:ascii="宋体" w:hAnsi="宋体" w:eastAsia="宋体" w:cs="宋体"/>
                <w:spacing w:val="-1"/>
                <w:sz w:val="24"/>
                <w:szCs w:val="24"/>
                <w:highlight w:val="none"/>
                <w:lang w:val="en-US" w:eastAsia="zh-CN"/>
              </w:rPr>
              <w:t>分辨率最大为 3840*2160@30Hz</w:t>
            </w:r>
            <w:r>
              <w:rPr>
                <w:rFonts w:hint="eastAsia" w:ascii="宋体" w:hAnsi="宋体" w:eastAsia="宋体" w:cs="宋体"/>
                <w:spacing w:val="-1"/>
                <w:sz w:val="24"/>
                <w:szCs w:val="24"/>
                <w:highlight w:val="none"/>
              </w:rPr>
              <w:t>。</w:t>
            </w:r>
          </w:p>
          <w:p w14:paraId="269DBE15">
            <w:pPr>
              <w:widowControl/>
              <w:kinsoku w:val="0"/>
              <w:autoSpaceDE w:val="0"/>
              <w:autoSpaceDN w:val="0"/>
              <w:adjustRightInd w:val="0"/>
              <w:snapToGrid w:val="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（9）支持心跳包技术，可实时监测设备在离线情况。</w:t>
            </w:r>
          </w:p>
          <w:p w14:paraId="373C70B7">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highlight w:val="none"/>
              </w:rPr>
              <w:t>(10) 支持导入导出车牌黑白名单，支持单独设置黑白名单报</w:t>
            </w:r>
            <w:r>
              <w:rPr>
                <w:rFonts w:hint="eastAsia" w:ascii="宋体" w:hAnsi="宋体" w:eastAsia="宋体" w:cs="宋体"/>
                <w:spacing w:val="-1"/>
                <w:sz w:val="24"/>
                <w:szCs w:val="24"/>
              </w:rPr>
              <w:t>警联动、白名单报警联动，当触发报警时，联动录像、抓拍并保存图片、弹出报警画面、声音警告、上传中心、发送邮件、触发报警输出，支持按通道、时间、车牌号码检索图片。</w:t>
            </w:r>
          </w:p>
          <w:p w14:paraId="7CD1E1B8">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(11)支持越界检测、区域入侵、进入区域、离开区域、人员离岗、人员睡岗、未带安全帽（同时支持检测佩戴安全帽的颜色）、未穿工服、是/否穿反光衣、是/否穿救生衣、人员聚集、人员徘徊、跌倒检测等识别。</w:t>
            </w:r>
          </w:p>
          <w:p w14:paraId="214F14C0">
            <w:pPr>
              <w:widowControl/>
              <w:kinsoku w:val="0"/>
              <w:autoSpaceDE w:val="0"/>
              <w:autoSpaceDN w:val="0"/>
              <w:adjustRightInd w:val="0"/>
              <w:snapToGrid w:val="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(12)支持日志记录存储功能，日志记录包括登录、升级、报警、回放、下载、设备配置操作记录。</w:t>
            </w:r>
          </w:p>
          <w:p w14:paraId="538A266C">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(13)支持数字音频与数字视频的同步能力，视音频信号的同步方式可有多种选择；回放视频时，与原始现场的声音相比，相对于视频图像不存在明显的滞后或超前，人物说话的口型和声音基本一致，视音频信号的失步时间≤1s。</w:t>
            </w:r>
          </w:p>
          <w:p w14:paraId="6FDF6FFE">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（14）支持按照算法类型、通道信息、时间间隔、检测时间段等进行AI应用策略设置；支持按通道信息、录像时段进行录像策略设置。</w:t>
            </w:r>
          </w:p>
          <w:p w14:paraId="446E8AD5">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（15）当设备识别到视频入侵报警或收到报警联动触发信号时，能启动设备相应的通道进行联动记录。设备能预录报警触发前30S的视(音)频。</w:t>
            </w:r>
          </w:p>
          <w:p w14:paraId="3E097292">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（16）支持通过平台远程设置上下限报警、等于/不等于条件报警、表达式报警、Lua脚本报警、上下限多级阈值条件报警等。（17）支持设备运行指示灯、网络通讯指示灯、硬盘状态指示灯。</w:t>
            </w:r>
          </w:p>
          <w:p w14:paraId="4F70DF0A">
            <w:pPr>
              <w:widowControl/>
              <w:kinsoku w:val="0"/>
              <w:autoSpaceDE w:val="0"/>
              <w:autoSpaceDN w:val="0"/>
              <w:adjustRightInd w:val="0"/>
              <w:snapToGrid w:val="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（18）满足防静电、抗干扰要求。</w:t>
            </w:r>
          </w:p>
          <w:p w14:paraId="61E6311D">
            <w:pPr>
              <w:widowControl/>
              <w:kinsoku w:val="0"/>
              <w:autoSpaceDE w:val="0"/>
              <w:autoSpaceDN w:val="0"/>
              <w:adjustRightInd w:val="0"/>
              <w:snapToGrid w:val="0"/>
              <w:textAlignment w:val="baseline"/>
              <w:rPr>
                <w:rFonts w:hint="eastAsia" w:ascii="宋体" w:hAnsi="宋体" w:eastAsia="宋体" w:cs="宋体"/>
                <w:b/>
                <w:bCs/>
                <w:spacing w:val="-1"/>
                <w:sz w:val="24"/>
                <w:szCs w:val="24"/>
              </w:rPr>
            </w:pPr>
            <w:r>
              <w:rPr>
                <w:rFonts w:hint="eastAsia" w:ascii="宋体" w:hAnsi="宋体" w:eastAsia="宋体" w:cs="宋体"/>
                <w:b/>
                <w:bCs/>
                <w:spacing w:val="-1"/>
                <w:sz w:val="24"/>
                <w:szCs w:val="24"/>
              </w:rPr>
              <w:t>3.设备技术参数</w:t>
            </w:r>
          </w:p>
          <w:tbl>
            <w:tblPr>
              <w:tblStyle w:val="5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2101"/>
              <w:gridCol w:w="3445"/>
            </w:tblGrid>
            <w:tr w14:paraId="299BB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restart"/>
                  <w:tcBorders>
                    <w:bottom w:val="nil"/>
                  </w:tcBorders>
                  <w:vAlign w:val="center"/>
                </w:tcPr>
                <w:p w14:paraId="792F3FAF">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物联接口</w:t>
                  </w:r>
                </w:p>
              </w:tc>
              <w:tc>
                <w:tcPr>
                  <w:tcW w:w="1600" w:type="pct"/>
                  <w:vAlign w:val="center"/>
                </w:tcPr>
                <w:p w14:paraId="6EA12854">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RS485/RS232接口</w:t>
                  </w:r>
                </w:p>
              </w:tc>
              <w:tc>
                <w:tcPr>
                  <w:tcW w:w="2625" w:type="pct"/>
                  <w:vAlign w:val="center"/>
                </w:tcPr>
                <w:p w14:paraId="5241CC0B">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12个</w:t>
                  </w:r>
                </w:p>
              </w:tc>
            </w:tr>
            <w:tr w14:paraId="6CE1F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7A4E20B8">
                  <w:pPr>
                    <w:snapToGrid w:val="0"/>
                    <w:jc w:val="center"/>
                    <w:rPr>
                      <w:rFonts w:hint="eastAsia" w:ascii="宋体" w:hAnsi="宋体" w:eastAsia="宋体" w:cs="宋体"/>
                      <w:spacing w:val="-5"/>
                      <w:sz w:val="24"/>
                      <w:szCs w:val="24"/>
                      <w:lang w:bidi="en-US"/>
                    </w:rPr>
                  </w:pPr>
                </w:p>
              </w:tc>
              <w:tc>
                <w:tcPr>
                  <w:tcW w:w="1600" w:type="pct"/>
                  <w:vAlign w:val="center"/>
                </w:tcPr>
                <w:p w14:paraId="32C9E837">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告警输入DI</w:t>
                  </w:r>
                </w:p>
              </w:tc>
              <w:tc>
                <w:tcPr>
                  <w:tcW w:w="2625" w:type="pct"/>
                  <w:vAlign w:val="center"/>
                </w:tcPr>
                <w:p w14:paraId="2CF13900">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16个</w:t>
                  </w:r>
                </w:p>
              </w:tc>
            </w:tr>
            <w:tr w14:paraId="457E9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4766C94D">
                  <w:pPr>
                    <w:snapToGrid w:val="0"/>
                    <w:jc w:val="center"/>
                    <w:rPr>
                      <w:rFonts w:hint="eastAsia" w:ascii="宋体" w:hAnsi="宋体" w:eastAsia="宋体" w:cs="宋体"/>
                      <w:spacing w:val="-5"/>
                      <w:sz w:val="24"/>
                      <w:szCs w:val="24"/>
                      <w:lang w:bidi="en-US"/>
                    </w:rPr>
                  </w:pPr>
                </w:p>
              </w:tc>
              <w:tc>
                <w:tcPr>
                  <w:tcW w:w="1600" w:type="pct"/>
                  <w:vAlign w:val="center"/>
                </w:tcPr>
                <w:p w14:paraId="5D1B114A">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告警输出DO</w:t>
                  </w:r>
                </w:p>
              </w:tc>
              <w:tc>
                <w:tcPr>
                  <w:tcW w:w="2625" w:type="pct"/>
                  <w:vAlign w:val="center"/>
                </w:tcPr>
                <w:p w14:paraId="63C78B4B">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12个</w:t>
                  </w:r>
                </w:p>
              </w:tc>
            </w:tr>
            <w:tr w14:paraId="7442F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0F665449">
                  <w:pPr>
                    <w:snapToGrid w:val="0"/>
                    <w:jc w:val="center"/>
                    <w:rPr>
                      <w:rFonts w:hint="eastAsia" w:ascii="宋体" w:hAnsi="宋体" w:eastAsia="宋体" w:cs="宋体"/>
                      <w:spacing w:val="-5"/>
                      <w:sz w:val="24"/>
                      <w:szCs w:val="24"/>
                      <w:lang w:bidi="en-US"/>
                    </w:rPr>
                  </w:pPr>
                </w:p>
              </w:tc>
              <w:tc>
                <w:tcPr>
                  <w:tcW w:w="1600" w:type="pct"/>
                  <w:vAlign w:val="center"/>
                </w:tcPr>
                <w:p w14:paraId="7C243C81">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模拟量输入</w:t>
                  </w:r>
                </w:p>
              </w:tc>
              <w:tc>
                <w:tcPr>
                  <w:tcW w:w="2625" w:type="pct"/>
                  <w:vMerge w:val="restart"/>
                  <w:tcBorders>
                    <w:bottom w:val="nil"/>
                  </w:tcBorders>
                  <w:vAlign w:val="center"/>
                </w:tcPr>
                <w:p w14:paraId="2D3E4E9E">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16个</w:t>
                  </w:r>
                </w:p>
              </w:tc>
            </w:tr>
            <w:tr w14:paraId="15426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tcBorders>
                  <w:vAlign w:val="center"/>
                </w:tcPr>
                <w:p w14:paraId="42729308">
                  <w:pPr>
                    <w:snapToGrid w:val="0"/>
                    <w:jc w:val="center"/>
                    <w:rPr>
                      <w:rFonts w:hint="eastAsia" w:ascii="宋体" w:hAnsi="宋体" w:eastAsia="宋体" w:cs="宋体"/>
                      <w:spacing w:val="-5"/>
                      <w:sz w:val="24"/>
                      <w:szCs w:val="24"/>
                      <w:lang w:bidi="en-US"/>
                    </w:rPr>
                  </w:pPr>
                </w:p>
              </w:tc>
              <w:tc>
                <w:tcPr>
                  <w:tcW w:w="1600" w:type="pct"/>
                  <w:vAlign w:val="center"/>
                </w:tcPr>
                <w:p w14:paraId="30ECB09D">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（0-5V或4-20mA）</w:t>
                  </w:r>
                </w:p>
              </w:tc>
              <w:tc>
                <w:tcPr>
                  <w:tcW w:w="2625" w:type="pct"/>
                  <w:vMerge w:val="continue"/>
                  <w:tcBorders>
                    <w:top w:val="nil"/>
                  </w:tcBorders>
                  <w:vAlign w:val="center"/>
                </w:tcPr>
                <w:p w14:paraId="1403A10D">
                  <w:pPr>
                    <w:snapToGrid w:val="0"/>
                    <w:rPr>
                      <w:rFonts w:hint="eastAsia" w:ascii="宋体" w:hAnsi="宋体" w:eastAsia="宋体" w:cs="宋体"/>
                      <w:spacing w:val="-5"/>
                      <w:sz w:val="24"/>
                      <w:szCs w:val="24"/>
                      <w:lang w:bidi="en-US"/>
                    </w:rPr>
                  </w:pPr>
                </w:p>
              </w:tc>
            </w:tr>
            <w:tr w14:paraId="6EC7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restart"/>
                  <w:tcBorders>
                    <w:bottom w:val="nil"/>
                  </w:tcBorders>
                  <w:vAlign w:val="center"/>
                </w:tcPr>
                <w:p w14:paraId="5B92466C">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物联能力</w:t>
                  </w:r>
                </w:p>
              </w:tc>
              <w:tc>
                <w:tcPr>
                  <w:tcW w:w="1600" w:type="pct"/>
                  <w:vAlign w:val="center"/>
                </w:tcPr>
                <w:p w14:paraId="2684FC3C">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网闸</w:t>
                  </w:r>
                </w:p>
              </w:tc>
              <w:tc>
                <w:tcPr>
                  <w:tcW w:w="2625" w:type="pct"/>
                  <w:vAlign w:val="center"/>
                </w:tcPr>
                <w:p w14:paraId="224A3F63">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内置单向安全隔离模块</w:t>
                  </w:r>
                </w:p>
              </w:tc>
            </w:tr>
            <w:tr w14:paraId="11F02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1" w:hRule="atLeast"/>
              </w:trPr>
              <w:tc>
                <w:tcPr>
                  <w:tcW w:w="773" w:type="pct"/>
                  <w:vMerge w:val="continue"/>
                  <w:tcBorders>
                    <w:top w:val="nil"/>
                    <w:bottom w:val="nil"/>
                  </w:tcBorders>
                  <w:vAlign w:val="center"/>
                </w:tcPr>
                <w:p w14:paraId="216849E9">
                  <w:pPr>
                    <w:snapToGrid w:val="0"/>
                    <w:jc w:val="center"/>
                    <w:rPr>
                      <w:rFonts w:hint="eastAsia" w:ascii="宋体" w:hAnsi="宋体" w:eastAsia="宋体" w:cs="宋体"/>
                      <w:spacing w:val="-5"/>
                      <w:sz w:val="24"/>
                      <w:szCs w:val="24"/>
                      <w:lang w:bidi="en-US"/>
                    </w:rPr>
                  </w:pPr>
                </w:p>
              </w:tc>
              <w:tc>
                <w:tcPr>
                  <w:tcW w:w="1600" w:type="pct"/>
                  <w:vAlign w:val="center"/>
                </w:tcPr>
                <w:p w14:paraId="60E0E58A">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对下协议</w:t>
                  </w:r>
                </w:p>
              </w:tc>
              <w:tc>
                <w:tcPr>
                  <w:tcW w:w="2625" w:type="pct"/>
                  <w:vAlign w:val="center"/>
                </w:tcPr>
                <w:p w14:paraId="1874FCD8">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bidi="en-US"/>
                    </w:rPr>
                    <w:t>M</w:t>
                  </w:r>
                  <w:r>
                    <w:rPr>
                      <w:rFonts w:hint="eastAsia" w:ascii="宋体" w:hAnsi="宋体" w:eastAsia="宋体" w:cs="宋体"/>
                      <w:spacing w:val="-5"/>
                      <w:sz w:val="24"/>
                      <w:szCs w:val="24"/>
                      <w:lang w:eastAsia="en-US" w:bidi="en-US"/>
                    </w:rPr>
                    <w:t>odbus</w:t>
                  </w:r>
                  <w:r>
                    <w:rPr>
                      <w:rFonts w:hint="eastAsia" w:ascii="宋体" w:hAnsi="宋体" w:eastAsia="宋体" w:cs="宋体"/>
                      <w:spacing w:val="-5"/>
                      <w:sz w:val="24"/>
                      <w:szCs w:val="24"/>
                      <w:lang w:bidi="en-US"/>
                    </w:rPr>
                    <w:t xml:space="preserve"> </w:t>
                  </w:r>
                  <w:r>
                    <w:rPr>
                      <w:rFonts w:hint="eastAsia" w:ascii="宋体" w:hAnsi="宋体" w:eastAsia="宋体" w:cs="宋体"/>
                      <w:spacing w:val="-5"/>
                      <w:sz w:val="24"/>
                      <w:szCs w:val="24"/>
                      <w:lang w:eastAsia="en-US" w:bidi="en-US"/>
                    </w:rPr>
                    <w:t>TCP，Modbus</w:t>
                  </w:r>
                  <w:r>
                    <w:rPr>
                      <w:rFonts w:hint="eastAsia" w:ascii="宋体" w:hAnsi="宋体" w:eastAsia="宋体" w:cs="宋体"/>
                      <w:spacing w:val="-5"/>
                      <w:sz w:val="24"/>
                      <w:szCs w:val="24"/>
                      <w:lang w:bidi="en-US"/>
                    </w:rPr>
                    <w:t xml:space="preserve"> </w:t>
                  </w:r>
                  <w:r>
                    <w:rPr>
                      <w:rFonts w:hint="eastAsia" w:ascii="宋体" w:hAnsi="宋体" w:eastAsia="宋体" w:cs="宋体"/>
                      <w:spacing w:val="-5"/>
                      <w:sz w:val="24"/>
                      <w:szCs w:val="24"/>
                      <w:lang w:eastAsia="en-US" w:bidi="en-US"/>
                    </w:rPr>
                    <w:t>RTU，Modbus</w:t>
                  </w:r>
                  <w:r>
                    <w:rPr>
                      <w:rFonts w:hint="eastAsia" w:ascii="宋体" w:hAnsi="宋体" w:eastAsia="宋体" w:cs="宋体"/>
                      <w:spacing w:val="-5"/>
                      <w:sz w:val="24"/>
                      <w:szCs w:val="24"/>
                      <w:lang w:bidi="en-US"/>
                    </w:rPr>
                    <w:t xml:space="preserve"> </w:t>
                  </w:r>
                  <w:r>
                    <w:rPr>
                      <w:rFonts w:hint="eastAsia" w:ascii="宋体" w:hAnsi="宋体" w:eastAsia="宋体" w:cs="宋体"/>
                      <w:spacing w:val="-5"/>
                      <w:sz w:val="24"/>
                      <w:szCs w:val="24"/>
                      <w:lang w:eastAsia="en-US" w:bidi="en-US"/>
                    </w:rPr>
                    <w:t>RTU</w:t>
                  </w:r>
                  <w:r>
                    <w:rPr>
                      <w:rFonts w:hint="eastAsia" w:ascii="宋体" w:hAnsi="宋体" w:eastAsia="宋体" w:cs="宋体"/>
                      <w:spacing w:val="-5"/>
                      <w:sz w:val="24"/>
                      <w:szCs w:val="24"/>
                      <w:lang w:bidi="en-US"/>
                    </w:rPr>
                    <w:t xml:space="preserve"> </w:t>
                  </w:r>
                  <w:r>
                    <w:rPr>
                      <w:rFonts w:hint="eastAsia" w:ascii="宋体" w:hAnsi="宋体" w:eastAsia="宋体" w:cs="宋体"/>
                      <w:spacing w:val="-5"/>
                      <w:sz w:val="24"/>
                      <w:szCs w:val="24"/>
                      <w:lang w:eastAsia="en-US" w:bidi="en-US"/>
                    </w:rPr>
                    <w:t>over</w:t>
                  </w:r>
                  <w:r>
                    <w:rPr>
                      <w:rFonts w:hint="eastAsia" w:ascii="宋体" w:hAnsi="宋体" w:eastAsia="宋体" w:cs="宋体"/>
                      <w:spacing w:val="-5"/>
                      <w:sz w:val="24"/>
                      <w:szCs w:val="24"/>
                      <w:lang w:bidi="en-US"/>
                    </w:rPr>
                    <w:t>，</w:t>
                  </w:r>
                  <w:r>
                    <w:rPr>
                      <w:rFonts w:hint="eastAsia" w:ascii="宋体" w:hAnsi="宋体" w:eastAsia="宋体" w:cs="宋体"/>
                      <w:spacing w:val="-5"/>
                      <w:sz w:val="24"/>
                      <w:szCs w:val="24"/>
                      <w:lang w:eastAsia="en-US" w:bidi="en-US"/>
                    </w:rPr>
                    <w:t>TCP，OPC</w:t>
                  </w:r>
                  <w:r>
                    <w:rPr>
                      <w:rFonts w:hint="eastAsia" w:ascii="宋体" w:hAnsi="宋体" w:eastAsia="宋体" w:cs="宋体"/>
                      <w:spacing w:val="-5"/>
                      <w:sz w:val="24"/>
                      <w:szCs w:val="24"/>
                      <w:lang w:bidi="en-US"/>
                    </w:rPr>
                    <w:t xml:space="preserve"> </w:t>
                  </w:r>
                  <w:r>
                    <w:rPr>
                      <w:rFonts w:hint="eastAsia" w:ascii="宋体" w:hAnsi="宋体" w:eastAsia="宋体" w:cs="宋体"/>
                      <w:spacing w:val="-5"/>
                      <w:sz w:val="24"/>
                      <w:szCs w:val="24"/>
                      <w:lang w:eastAsia="en-US" w:bidi="en-US"/>
                    </w:rPr>
                    <w:t>DA(2.0)</w:t>
                  </w:r>
                </w:p>
              </w:tc>
            </w:tr>
            <w:tr w14:paraId="6A4D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3A8AD84E">
                  <w:pPr>
                    <w:snapToGrid w:val="0"/>
                    <w:jc w:val="center"/>
                    <w:rPr>
                      <w:rFonts w:hint="eastAsia" w:ascii="宋体" w:hAnsi="宋体" w:eastAsia="宋体" w:cs="宋体"/>
                      <w:spacing w:val="-5"/>
                      <w:sz w:val="24"/>
                      <w:szCs w:val="24"/>
                      <w:lang w:eastAsia="en-US" w:bidi="en-US"/>
                    </w:rPr>
                  </w:pPr>
                </w:p>
              </w:tc>
              <w:tc>
                <w:tcPr>
                  <w:tcW w:w="1600" w:type="pct"/>
                  <w:vAlign w:val="center"/>
                </w:tcPr>
                <w:p w14:paraId="4A88F990">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对上协议</w:t>
                  </w:r>
                </w:p>
              </w:tc>
              <w:tc>
                <w:tcPr>
                  <w:tcW w:w="2625" w:type="pct"/>
                  <w:vAlign w:val="center"/>
                </w:tcPr>
                <w:p w14:paraId="4EA5A5D3">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ISAPI，ISUP，SDK，GB28181（视频）</w:t>
                  </w:r>
                </w:p>
              </w:tc>
            </w:tr>
            <w:tr w14:paraId="72772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1731AB49">
                  <w:pPr>
                    <w:snapToGrid w:val="0"/>
                    <w:jc w:val="center"/>
                    <w:rPr>
                      <w:rFonts w:hint="eastAsia" w:ascii="宋体" w:hAnsi="宋体" w:eastAsia="宋体" w:cs="宋体"/>
                      <w:spacing w:val="-5"/>
                      <w:sz w:val="24"/>
                      <w:szCs w:val="24"/>
                      <w:lang w:eastAsia="en-US" w:bidi="en-US"/>
                    </w:rPr>
                  </w:pPr>
                </w:p>
              </w:tc>
              <w:tc>
                <w:tcPr>
                  <w:tcW w:w="1600" w:type="pct"/>
                  <w:vAlign w:val="center"/>
                </w:tcPr>
                <w:p w14:paraId="6BCD3A5C">
                  <w:pPr>
                    <w:pStyle w:val="56"/>
                    <w:snapToGrid w:val="0"/>
                    <w:jc w:val="center"/>
                    <w:rPr>
                      <w:rFonts w:hint="eastAsia" w:ascii="宋体" w:hAnsi="宋体" w:eastAsia="宋体" w:cs="宋体"/>
                      <w:spacing w:val="-5"/>
                      <w:sz w:val="24"/>
                      <w:szCs w:val="24"/>
                      <w:highlight w:val="none"/>
                      <w:lang w:eastAsia="en-US" w:bidi="en-US"/>
                    </w:rPr>
                  </w:pPr>
                  <w:r>
                    <w:rPr>
                      <w:rFonts w:hint="eastAsia" w:ascii="宋体" w:hAnsi="宋体" w:eastAsia="宋体" w:cs="宋体"/>
                      <w:spacing w:val="-5"/>
                      <w:sz w:val="24"/>
                      <w:szCs w:val="24"/>
                      <w:highlight w:val="none"/>
                      <w:lang w:eastAsia="en-US" w:bidi="en-US"/>
                    </w:rPr>
                    <w:t>站点数量</w:t>
                  </w:r>
                </w:p>
              </w:tc>
              <w:tc>
                <w:tcPr>
                  <w:tcW w:w="2625" w:type="pct"/>
                  <w:vAlign w:val="center"/>
                </w:tcPr>
                <w:p w14:paraId="2389001A">
                  <w:pPr>
                    <w:pStyle w:val="56"/>
                    <w:snapToGrid w:val="0"/>
                    <w:rPr>
                      <w:rFonts w:hint="eastAsia" w:ascii="宋体" w:hAnsi="宋体" w:eastAsia="宋体" w:cs="宋体"/>
                      <w:spacing w:val="-5"/>
                      <w:sz w:val="24"/>
                      <w:szCs w:val="24"/>
                      <w:highlight w:val="none"/>
                      <w:lang w:bidi="en-US"/>
                    </w:rPr>
                  </w:pPr>
                  <w:r>
                    <w:rPr>
                      <w:rFonts w:hint="eastAsia" w:ascii="宋体" w:hAnsi="宋体" w:eastAsia="宋体" w:cs="宋体"/>
                      <w:spacing w:val="-5"/>
                      <w:sz w:val="24"/>
                      <w:szCs w:val="24"/>
                      <w:highlight w:val="none"/>
                      <w:lang w:bidi="en-US"/>
                    </w:rPr>
                    <w:t>主控：20个；采集板：20个</w:t>
                  </w:r>
                </w:p>
              </w:tc>
            </w:tr>
            <w:tr w14:paraId="3F7EC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tcBorders>
                  <w:vAlign w:val="center"/>
                </w:tcPr>
                <w:p w14:paraId="1F523B2C">
                  <w:pPr>
                    <w:snapToGrid w:val="0"/>
                    <w:jc w:val="center"/>
                    <w:rPr>
                      <w:rFonts w:hint="eastAsia" w:ascii="宋体" w:hAnsi="宋体" w:eastAsia="宋体" w:cs="宋体"/>
                      <w:spacing w:val="-5"/>
                      <w:sz w:val="24"/>
                      <w:szCs w:val="24"/>
                      <w:lang w:bidi="en-US"/>
                    </w:rPr>
                  </w:pPr>
                </w:p>
              </w:tc>
              <w:tc>
                <w:tcPr>
                  <w:tcW w:w="1600" w:type="pct"/>
                  <w:vAlign w:val="center"/>
                </w:tcPr>
                <w:p w14:paraId="70CBA217">
                  <w:pPr>
                    <w:pStyle w:val="56"/>
                    <w:snapToGrid w:val="0"/>
                    <w:jc w:val="center"/>
                    <w:rPr>
                      <w:rFonts w:hint="eastAsia" w:ascii="宋体" w:hAnsi="宋体" w:eastAsia="宋体" w:cs="宋体"/>
                      <w:spacing w:val="-5"/>
                      <w:sz w:val="24"/>
                      <w:szCs w:val="24"/>
                      <w:highlight w:val="none"/>
                      <w:lang w:eastAsia="en-US" w:bidi="en-US"/>
                    </w:rPr>
                  </w:pPr>
                  <w:r>
                    <w:rPr>
                      <w:rFonts w:hint="eastAsia" w:ascii="宋体" w:hAnsi="宋体" w:eastAsia="宋体" w:cs="宋体"/>
                      <w:spacing w:val="-5"/>
                      <w:sz w:val="24"/>
                      <w:szCs w:val="24"/>
                      <w:highlight w:val="none"/>
                      <w:lang w:eastAsia="en-US" w:bidi="en-US"/>
                    </w:rPr>
                    <w:t>整机变量</w:t>
                  </w:r>
                </w:p>
              </w:tc>
              <w:tc>
                <w:tcPr>
                  <w:tcW w:w="2625" w:type="pct"/>
                  <w:vAlign w:val="center"/>
                </w:tcPr>
                <w:p w14:paraId="7318875E">
                  <w:pPr>
                    <w:pStyle w:val="56"/>
                    <w:snapToGrid w:val="0"/>
                    <w:rPr>
                      <w:rFonts w:hint="eastAsia" w:ascii="宋体" w:hAnsi="宋体" w:eastAsia="宋体" w:cs="宋体"/>
                      <w:spacing w:val="-5"/>
                      <w:sz w:val="24"/>
                      <w:szCs w:val="24"/>
                      <w:highlight w:val="none"/>
                      <w:lang w:eastAsia="en-US" w:bidi="en-US"/>
                    </w:rPr>
                  </w:pPr>
                  <w:r>
                    <w:rPr>
                      <w:rFonts w:hint="eastAsia" w:ascii="宋体" w:hAnsi="宋体" w:eastAsia="宋体" w:cs="宋体"/>
                      <w:spacing w:val="-5"/>
                      <w:sz w:val="24"/>
                      <w:szCs w:val="24"/>
                      <w:highlight w:val="none"/>
                      <w:lang w:eastAsia="en-US" w:bidi="en-US"/>
                    </w:rPr>
                    <w:t>5000个</w:t>
                  </w:r>
                </w:p>
              </w:tc>
            </w:tr>
            <w:tr w14:paraId="3BA9E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restart"/>
                  <w:vAlign w:val="center"/>
                </w:tcPr>
                <w:p w14:paraId="07B09CDD">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音视频能力</w:t>
                  </w:r>
                </w:p>
              </w:tc>
              <w:tc>
                <w:tcPr>
                  <w:tcW w:w="1600" w:type="pct"/>
                  <w:vAlign w:val="center"/>
                </w:tcPr>
                <w:p w14:paraId="40DA4351">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网络视频输入</w:t>
                  </w:r>
                </w:p>
              </w:tc>
              <w:tc>
                <w:tcPr>
                  <w:tcW w:w="2625" w:type="pct"/>
                  <w:vAlign w:val="center"/>
                </w:tcPr>
                <w:p w14:paraId="0B0210AA">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64路</w:t>
                  </w:r>
                </w:p>
              </w:tc>
            </w:tr>
            <w:tr w14:paraId="75E5C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114583BE">
                  <w:pPr>
                    <w:snapToGrid w:val="0"/>
                    <w:jc w:val="center"/>
                    <w:rPr>
                      <w:rFonts w:hint="eastAsia" w:ascii="宋体" w:hAnsi="宋体" w:eastAsia="宋体" w:cs="宋体"/>
                      <w:spacing w:val="-5"/>
                      <w:sz w:val="24"/>
                      <w:szCs w:val="24"/>
                      <w:lang w:eastAsia="en-US" w:bidi="en-US"/>
                    </w:rPr>
                  </w:pPr>
                </w:p>
              </w:tc>
              <w:tc>
                <w:tcPr>
                  <w:tcW w:w="1600" w:type="pct"/>
                  <w:vAlign w:val="center"/>
                </w:tcPr>
                <w:p w14:paraId="09843729">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网络视频接入协议</w:t>
                  </w:r>
                </w:p>
              </w:tc>
              <w:tc>
                <w:tcPr>
                  <w:tcW w:w="2625" w:type="pct"/>
                  <w:vAlign w:val="center"/>
                </w:tcPr>
                <w:p w14:paraId="20D693A6">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ONVIF，RTSP，GB28181</w:t>
                  </w:r>
                </w:p>
              </w:tc>
            </w:tr>
            <w:tr w14:paraId="40AC4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54D3F727">
                  <w:pPr>
                    <w:snapToGrid w:val="0"/>
                    <w:jc w:val="center"/>
                    <w:rPr>
                      <w:rFonts w:hint="eastAsia" w:ascii="宋体" w:hAnsi="宋体" w:eastAsia="宋体" w:cs="宋体"/>
                      <w:spacing w:val="-5"/>
                      <w:sz w:val="24"/>
                      <w:szCs w:val="24"/>
                      <w:lang w:eastAsia="en-US" w:bidi="en-US"/>
                    </w:rPr>
                  </w:pPr>
                </w:p>
              </w:tc>
              <w:tc>
                <w:tcPr>
                  <w:tcW w:w="1600" w:type="pct"/>
                  <w:vAlign w:val="center"/>
                </w:tcPr>
                <w:p w14:paraId="7218A459">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网络带（IN/OUT）</w:t>
                  </w:r>
                </w:p>
              </w:tc>
              <w:tc>
                <w:tcPr>
                  <w:tcW w:w="2625" w:type="pct"/>
                  <w:vAlign w:val="center"/>
                </w:tcPr>
                <w:p w14:paraId="439DA64A">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输入：320Mbps,输出：256Mbps</w:t>
                  </w:r>
                </w:p>
              </w:tc>
            </w:tr>
            <w:tr w14:paraId="7D421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773" w:type="pct"/>
                  <w:vMerge w:val="continue"/>
                  <w:vAlign w:val="center"/>
                </w:tcPr>
                <w:p w14:paraId="25004144">
                  <w:pPr>
                    <w:snapToGrid w:val="0"/>
                    <w:jc w:val="center"/>
                    <w:rPr>
                      <w:rFonts w:hint="eastAsia" w:ascii="宋体" w:hAnsi="宋体" w:eastAsia="宋体" w:cs="宋体"/>
                      <w:spacing w:val="-5"/>
                      <w:sz w:val="24"/>
                      <w:szCs w:val="24"/>
                      <w:lang w:eastAsia="en-US" w:bidi="en-US"/>
                    </w:rPr>
                  </w:pPr>
                </w:p>
              </w:tc>
              <w:tc>
                <w:tcPr>
                  <w:tcW w:w="1600" w:type="pct"/>
                  <w:vAlign w:val="center"/>
                </w:tcPr>
                <w:p w14:paraId="27529870">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网络摄像机接入分辨率</w:t>
                  </w:r>
                </w:p>
              </w:tc>
              <w:tc>
                <w:tcPr>
                  <w:tcW w:w="2625" w:type="pct"/>
                  <w:tcBorders>
                    <w:top w:val="single" w:color="000000" w:sz="6" w:space="0"/>
                  </w:tcBorders>
                  <w:vAlign w:val="center"/>
                </w:tcPr>
                <w:p w14:paraId="21062F3C">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8MP/6MP/5MP/4MP/3MP/1080p/UXGA/720p</w:t>
                  </w:r>
                </w:p>
              </w:tc>
            </w:tr>
            <w:tr w14:paraId="2FD88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46" w:hRule="atLeast"/>
              </w:trPr>
              <w:tc>
                <w:tcPr>
                  <w:tcW w:w="773" w:type="pct"/>
                  <w:vMerge w:val="continue"/>
                  <w:vAlign w:val="center"/>
                </w:tcPr>
                <w:p w14:paraId="0C607A76">
                  <w:pPr>
                    <w:snapToGrid w:val="0"/>
                    <w:jc w:val="center"/>
                    <w:rPr>
                      <w:rFonts w:hint="eastAsia" w:ascii="宋体" w:hAnsi="宋体" w:eastAsia="宋体" w:cs="宋体"/>
                      <w:spacing w:val="-5"/>
                      <w:sz w:val="24"/>
                      <w:szCs w:val="24"/>
                      <w:lang w:eastAsia="en-US" w:bidi="en-US"/>
                    </w:rPr>
                  </w:pPr>
                </w:p>
              </w:tc>
              <w:tc>
                <w:tcPr>
                  <w:tcW w:w="1600" w:type="pct"/>
                  <w:vAlign w:val="center"/>
                </w:tcPr>
                <w:p w14:paraId="6143A081">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智能分析算法</w:t>
                  </w:r>
                </w:p>
              </w:tc>
              <w:tc>
                <w:tcPr>
                  <w:tcW w:w="2625" w:type="pct"/>
                  <w:vAlign w:val="center"/>
                </w:tcPr>
                <w:p w14:paraId="6A568670">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内置算法：抽烟识别、接打电话识别、越界检测、区域入侵、进入区域、离开区域、烟火检测、目标识别、车牌和车型识别、油机提放枪识别等算法。</w:t>
                  </w:r>
                </w:p>
              </w:tc>
            </w:tr>
            <w:tr w14:paraId="20856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12658091">
                  <w:pPr>
                    <w:snapToGrid w:val="0"/>
                    <w:jc w:val="center"/>
                    <w:rPr>
                      <w:rFonts w:hint="eastAsia" w:ascii="宋体" w:hAnsi="宋体" w:eastAsia="宋体" w:cs="宋体"/>
                      <w:spacing w:val="-5"/>
                      <w:sz w:val="24"/>
                      <w:szCs w:val="24"/>
                      <w:lang w:bidi="en-US"/>
                    </w:rPr>
                  </w:pPr>
                </w:p>
              </w:tc>
              <w:tc>
                <w:tcPr>
                  <w:tcW w:w="1600" w:type="pct"/>
                  <w:vAlign w:val="center"/>
                </w:tcPr>
                <w:p w14:paraId="7BFCF705">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音频输入</w:t>
                  </w:r>
                </w:p>
              </w:tc>
              <w:tc>
                <w:tcPr>
                  <w:tcW w:w="2625" w:type="pct"/>
                  <w:vAlign w:val="center"/>
                </w:tcPr>
                <w:p w14:paraId="6515475F">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1个</w:t>
                  </w:r>
                </w:p>
              </w:tc>
            </w:tr>
            <w:tr w14:paraId="1089B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51162746">
                  <w:pPr>
                    <w:snapToGrid w:val="0"/>
                    <w:jc w:val="center"/>
                    <w:rPr>
                      <w:rFonts w:hint="eastAsia" w:ascii="宋体" w:hAnsi="宋体" w:eastAsia="宋体" w:cs="宋体"/>
                      <w:spacing w:val="-5"/>
                      <w:sz w:val="24"/>
                      <w:szCs w:val="24"/>
                      <w:lang w:eastAsia="en-US" w:bidi="en-US"/>
                    </w:rPr>
                  </w:pPr>
                </w:p>
              </w:tc>
              <w:tc>
                <w:tcPr>
                  <w:tcW w:w="1600" w:type="pct"/>
                  <w:vAlign w:val="center"/>
                </w:tcPr>
                <w:p w14:paraId="5959583F">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音频输出</w:t>
                  </w:r>
                </w:p>
              </w:tc>
              <w:tc>
                <w:tcPr>
                  <w:tcW w:w="2625" w:type="pct"/>
                  <w:vAlign w:val="center"/>
                </w:tcPr>
                <w:p w14:paraId="25068CFB">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1个</w:t>
                  </w:r>
                </w:p>
              </w:tc>
            </w:tr>
            <w:tr w14:paraId="397DC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2647DC93">
                  <w:pPr>
                    <w:snapToGrid w:val="0"/>
                    <w:jc w:val="center"/>
                    <w:rPr>
                      <w:rFonts w:hint="eastAsia" w:ascii="宋体" w:hAnsi="宋体" w:eastAsia="宋体" w:cs="宋体"/>
                      <w:spacing w:val="-5"/>
                      <w:sz w:val="24"/>
                      <w:szCs w:val="24"/>
                      <w:lang w:eastAsia="en-US" w:bidi="en-US"/>
                    </w:rPr>
                  </w:pPr>
                </w:p>
              </w:tc>
              <w:tc>
                <w:tcPr>
                  <w:tcW w:w="1600" w:type="pct"/>
                  <w:vAlign w:val="center"/>
                </w:tcPr>
                <w:p w14:paraId="66429013">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HDMI输出</w:t>
                  </w:r>
                </w:p>
              </w:tc>
              <w:tc>
                <w:tcPr>
                  <w:tcW w:w="2625" w:type="pct"/>
                  <w:vAlign w:val="center"/>
                </w:tcPr>
                <w:p w14:paraId="7EFF1AC1">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1个</w:t>
                  </w:r>
                </w:p>
              </w:tc>
            </w:tr>
            <w:tr w14:paraId="783B6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0" w:hRule="atLeast"/>
              </w:trPr>
              <w:tc>
                <w:tcPr>
                  <w:tcW w:w="773" w:type="pct"/>
                  <w:vMerge w:val="continue"/>
                  <w:vAlign w:val="center"/>
                </w:tcPr>
                <w:p w14:paraId="6E5285B4">
                  <w:pPr>
                    <w:snapToGrid w:val="0"/>
                    <w:jc w:val="center"/>
                    <w:rPr>
                      <w:rFonts w:hint="eastAsia" w:ascii="宋体" w:hAnsi="宋体" w:eastAsia="宋体" w:cs="宋体"/>
                      <w:spacing w:val="-5"/>
                      <w:sz w:val="24"/>
                      <w:szCs w:val="24"/>
                      <w:lang w:eastAsia="en-US" w:bidi="en-US"/>
                    </w:rPr>
                  </w:pPr>
                </w:p>
              </w:tc>
              <w:tc>
                <w:tcPr>
                  <w:tcW w:w="1600" w:type="pct"/>
                  <w:vMerge w:val="restart"/>
                  <w:tcBorders>
                    <w:bottom w:val="nil"/>
                  </w:tcBorders>
                  <w:vAlign w:val="center"/>
                </w:tcPr>
                <w:p w14:paraId="2B01CD78">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本地输出分辨率</w:t>
                  </w:r>
                </w:p>
              </w:tc>
              <w:tc>
                <w:tcPr>
                  <w:tcW w:w="2625" w:type="pct"/>
                  <w:vAlign w:val="center"/>
                </w:tcPr>
                <w:p w14:paraId="1356ED22">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1280×720/60Hz,1920×1080/60Hz,4K（3840×2160）/30Hz,1280x1024/60Hz,</w:t>
                  </w:r>
                </w:p>
              </w:tc>
            </w:tr>
            <w:tr w14:paraId="57209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1" w:hRule="atLeast"/>
              </w:trPr>
              <w:tc>
                <w:tcPr>
                  <w:tcW w:w="773" w:type="pct"/>
                  <w:vMerge w:val="continue"/>
                  <w:vAlign w:val="center"/>
                </w:tcPr>
                <w:p w14:paraId="0D3F86E1">
                  <w:pPr>
                    <w:snapToGrid w:val="0"/>
                    <w:jc w:val="center"/>
                    <w:rPr>
                      <w:rFonts w:hint="eastAsia" w:ascii="宋体" w:hAnsi="宋体" w:eastAsia="宋体" w:cs="宋体"/>
                      <w:spacing w:val="-5"/>
                      <w:sz w:val="24"/>
                      <w:szCs w:val="24"/>
                      <w:lang w:eastAsia="en-US" w:bidi="en-US"/>
                    </w:rPr>
                  </w:pPr>
                </w:p>
              </w:tc>
              <w:tc>
                <w:tcPr>
                  <w:tcW w:w="1600" w:type="pct"/>
                  <w:vMerge w:val="continue"/>
                  <w:tcBorders>
                    <w:top w:val="nil"/>
                  </w:tcBorders>
                  <w:vAlign w:val="center"/>
                </w:tcPr>
                <w:p w14:paraId="7981A7D0">
                  <w:pPr>
                    <w:snapToGrid w:val="0"/>
                    <w:jc w:val="center"/>
                    <w:rPr>
                      <w:rFonts w:hint="eastAsia" w:ascii="宋体" w:hAnsi="宋体" w:eastAsia="宋体" w:cs="宋体"/>
                      <w:spacing w:val="-5"/>
                      <w:sz w:val="24"/>
                      <w:szCs w:val="24"/>
                      <w:lang w:eastAsia="en-US" w:bidi="en-US"/>
                    </w:rPr>
                  </w:pPr>
                </w:p>
              </w:tc>
              <w:tc>
                <w:tcPr>
                  <w:tcW w:w="2625" w:type="pct"/>
                  <w:vAlign w:val="center"/>
                </w:tcPr>
                <w:p w14:paraId="71D64D98">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1600x1200/60Hz,2K（2560×1440/）60Hz</w:t>
                  </w:r>
                </w:p>
              </w:tc>
            </w:tr>
            <w:tr w14:paraId="5EEEC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5007209A">
                  <w:pPr>
                    <w:snapToGrid w:val="0"/>
                    <w:jc w:val="center"/>
                    <w:rPr>
                      <w:rFonts w:hint="eastAsia" w:ascii="宋体" w:hAnsi="宋体" w:eastAsia="宋体" w:cs="宋体"/>
                      <w:sz w:val="24"/>
                      <w:szCs w:val="24"/>
                    </w:rPr>
                  </w:pPr>
                </w:p>
              </w:tc>
              <w:tc>
                <w:tcPr>
                  <w:tcW w:w="1600" w:type="pct"/>
                  <w:vAlign w:val="center"/>
                </w:tcPr>
                <w:p w14:paraId="73A63FD3">
                  <w:pPr>
                    <w:pStyle w:val="56"/>
                    <w:snapToGrid w:val="0"/>
                    <w:jc w:val="center"/>
                    <w:rPr>
                      <w:rFonts w:hint="eastAsia" w:ascii="宋体" w:hAnsi="宋体" w:eastAsia="宋体" w:cs="宋体"/>
                      <w:spacing w:val="-5"/>
                      <w:sz w:val="24"/>
                      <w:szCs w:val="24"/>
                      <w:highlight w:val="none"/>
                      <w:lang w:eastAsia="en-US" w:bidi="en-US"/>
                    </w:rPr>
                  </w:pPr>
                  <w:r>
                    <w:rPr>
                      <w:rFonts w:hint="eastAsia" w:ascii="宋体" w:hAnsi="宋体" w:eastAsia="宋体" w:cs="宋体"/>
                      <w:spacing w:val="-5"/>
                      <w:sz w:val="24"/>
                      <w:szCs w:val="24"/>
                      <w:highlight w:val="none"/>
                      <w:lang w:eastAsia="en-US" w:bidi="en-US"/>
                    </w:rPr>
                    <w:t>本地输出解码能力</w:t>
                  </w:r>
                </w:p>
              </w:tc>
              <w:tc>
                <w:tcPr>
                  <w:tcW w:w="2625" w:type="pct"/>
                  <w:vAlign w:val="center"/>
                </w:tcPr>
                <w:p w14:paraId="30D3914A">
                  <w:pPr>
                    <w:pStyle w:val="56"/>
                    <w:snapToGrid w:val="0"/>
                    <w:rPr>
                      <w:rFonts w:hint="eastAsia" w:ascii="宋体" w:hAnsi="宋体" w:eastAsia="宋体" w:cs="宋体"/>
                      <w:spacing w:val="-5"/>
                      <w:sz w:val="24"/>
                      <w:szCs w:val="24"/>
                      <w:highlight w:val="none"/>
                      <w:lang w:eastAsia="en-US" w:bidi="en-US"/>
                    </w:rPr>
                  </w:pPr>
                  <w:r>
                    <w:rPr>
                      <w:rFonts w:hint="eastAsia" w:ascii="宋体" w:hAnsi="宋体" w:eastAsia="宋体" w:cs="宋体"/>
                      <w:spacing w:val="-5"/>
                      <w:sz w:val="24"/>
                      <w:szCs w:val="24"/>
                      <w:highlight w:val="none"/>
                      <w:lang w:eastAsia="en-US" w:bidi="en-US"/>
                    </w:rPr>
                    <w:t>16个1080P</w:t>
                  </w:r>
                </w:p>
              </w:tc>
            </w:tr>
            <w:tr w14:paraId="61F79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526C1361">
                  <w:pPr>
                    <w:snapToGrid w:val="0"/>
                    <w:jc w:val="center"/>
                    <w:rPr>
                      <w:rFonts w:hint="eastAsia" w:ascii="宋体" w:hAnsi="宋体" w:eastAsia="宋体" w:cs="宋体"/>
                      <w:sz w:val="24"/>
                      <w:szCs w:val="24"/>
                    </w:rPr>
                  </w:pPr>
                </w:p>
              </w:tc>
              <w:tc>
                <w:tcPr>
                  <w:tcW w:w="1600" w:type="pct"/>
                  <w:vAlign w:val="center"/>
                </w:tcPr>
                <w:p w14:paraId="50A08D8C">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WEB同步回放能力</w:t>
                  </w:r>
                </w:p>
              </w:tc>
              <w:tc>
                <w:tcPr>
                  <w:tcW w:w="2625" w:type="pct"/>
                  <w:vAlign w:val="center"/>
                </w:tcPr>
                <w:p w14:paraId="66B30F73">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16路</w:t>
                  </w:r>
                </w:p>
              </w:tc>
            </w:tr>
            <w:tr w14:paraId="6F32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1" w:hRule="atLeast"/>
              </w:trPr>
              <w:tc>
                <w:tcPr>
                  <w:tcW w:w="773" w:type="pct"/>
                  <w:vMerge w:val="restart"/>
                  <w:vAlign w:val="center"/>
                </w:tcPr>
                <w:p w14:paraId="4188806F">
                  <w:pPr>
                    <w:pStyle w:val="56"/>
                    <w:snapToGrid w:val="0"/>
                    <w:jc w:val="center"/>
                    <w:rPr>
                      <w:rFonts w:hint="eastAsia" w:ascii="宋体" w:hAnsi="宋体" w:eastAsia="宋体" w:cs="宋体"/>
                      <w:sz w:val="24"/>
                      <w:szCs w:val="24"/>
                    </w:rPr>
                  </w:pPr>
                  <w:r>
                    <w:rPr>
                      <w:rFonts w:hint="eastAsia" w:ascii="宋体" w:hAnsi="宋体" w:eastAsia="宋体" w:cs="宋体"/>
                      <w:spacing w:val="-5"/>
                      <w:sz w:val="24"/>
                      <w:szCs w:val="24"/>
                      <w:lang w:eastAsia="en-US" w:bidi="en-US"/>
                    </w:rPr>
                    <w:t>通用接口</w:t>
                  </w:r>
                </w:p>
              </w:tc>
              <w:tc>
                <w:tcPr>
                  <w:tcW w:w="1600" w:type="pct"/>
                  <w:vAlign w:val="center"/>
                </w:tcPr>
                <w:p w14:paraId="17F7EEA5">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硬盘接口</w:t>
                  </w:r>
                </w:p>
              </w:tc>
              <w:tc>
                <w:tcPr>
                  <w:tcW w:w="2625" w:type="pct"/>
                  <w:vAlign w:val="center"/>
                </w:tcPr>
                <w:p w14:paraId="5763D0D6">
                  <w:pPr>
                    <w:pStyle w:val="56"/>
                    <w:snapToGrid w:val="0"/>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2个SATA接口，单个SATA支持最大8TB</w:t>
                  </w:r>
                </w:p>
              </w:tc>
            </w:tr>
            <w:tr w14:paraId="66216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741BB31E">
                  <w:pPr>
                    <w:snapToGrid w:val="0"/>
                    <w:jc w:val="center"/>
                    <w:rPr>
                      <w:rFonts w:hint="eastAsia" w:ascii="宋体" w:hAnsi="宋体" w:eastAsia="宋体" w:cs="宋体"/>
                      <w:sz w:val="24"/>
                      <w:szCs w:val="24"/>
                    </w:rPr>
                  </w:pPr>
                </w:p>
              </w:tc>
              <w:tc>
                <w:tcPr>
                  <w:tcW w:w="1600" w:type="pct"/>
                  <w:vAlign w:val="center"/>
                </w:tcPr>
                <w:p w14:paraId="7DF8F352">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SSD</w:t>
                  </w:r>
                </w:p>
              </w:tc>
              <w:tc>
                <w:tcPr>
                  <w:tcW w:w="2625" w:type="pct"/>
                  <w:vAlign w:val="center"/>
                </w:tcPr>
                <w:p w14:paraId="021B4CD6">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1个，内置不小于128GB存储</w:t>
                  </w:r>
                </w:p>
              </w:tc>
            </w:tr>
            <w:tr w14:paraId="594D1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1" w:hRule="atLeast"/>
              </w:trPr>
              <w:tc>
                <w:tcPr>
                  <w:tcW w:w="773" w:type="pct"/>
                  <w:vMerge w:val="continue"/>
                  <w:vAlign w:val="center"/>
                </w:tcPr>
                <w:p w14:paraId="0DBCEA83">
                  <w:pPr>
                    <w:snapToGrid w:val="0"/>
                    <w:jc w:val="center"/>
                    <w:rPr>
                      <w:rFonts w:hint="eastAsia" w:ascii="宋体" w:hAnsi="宋体" w:eastAsia="宋体" w:cs="宋体"/>
                      <w:sz w:val="24"/>
                      <w:szCs w:val="24"/>
                    </w:rPr>
                  </w:pPr>
                </w:p>
              </w:tc>
              <w:tc>
                <w:tcPr>
                  <w:tcW w:w="1600" w:type="pct"/>
                  <w:vMerge w:val="restart"/>
                  <w:tcBorders>
                    <w:bottom w:val="nil"/>
                  </w:tcBorders>
                  <w:vAlign w:val="center"/>
                </w:tcPr>
                <w:p w14:paraId="6290F267">
                  <w:pPr>
                    <w:pStyle w:val="56"/>
                    <w:snapToGrid w:val="0"/>
                    <w:jc w:val="center"/>
                    <w:rPr>
                      <w:rFonts w:hint="eastAsia" w:ascii="宋体" w:hAnsi="宋体" w:eastAsia="宋体" w:cs="宋体"/>
                      <w:spacing w:val="-5"/>
                      <w:sz w:val="24"/>
                      <w:szCs w:val="24"/>
                      <w:lang w:eastAsia="en-US" w:bidi="en-US"/>
                    </w:rPr>
                  </w:pPr>
                  <w:r>
                    <w:rPr>
                      <w:rFonts w:hint="eastAsia" w:ascii="宋体" w:hAnsi="宋体" w:eastAsia="宋体" w:cs="宋体"/>
                      <w:spacing w:val="-5"/>
                      <w:sz w:val="24"/>
                      <w:szCs w:val="24"/>
                      <w:lang w:eastAsia="en-US" w:bidi="en-US"/>
                    </w:rPr>
                    <w:t>网口</w:t>
                  </w:r>
                </w:p>
              </w:tc>
              <w:tc>
                <w:tcPr>
                  <w:tcW w:w="2625" w:type="pct"/>
                  <w:vAlign w:val="center"/>
                </w:tcPr>
                <w:p w14:paraId="4D4F8506">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主控：6个千兆RJ4510M/100M/1000M自适应以太网口</w:t>
                  </w:r>
                </w:p>
              </w:tc>
            </w:tr>
            <w:tr w14:paraId="1F3D5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0" w:hRule="atLeast"/>
              </w:trPr>
              <w:tc>
                <w:tcPr>
                  <w:tcW w:w="773" w:type="pct"/>
                  <w:vMerge w:val="continue"/>
                  <w:vAlign w:val="center"/>
                </w:tcPr>
                <w:p w14:paraId="4B84D08A">
                  <w:pPr>
                    <w:snapToGrid w:val="0"/>
                    <w:jc w:val="center"/>
                    <w:rPr>
                      <w:rFonts w:hint="eastAsia" w:ascii="宋体" w:hAnsi="宋体" w:eastAsia="宋体" w:cs="宋体"/>
                      <w:sz w:val="24"/>
                      <w:szCs w:val="24"/>
                    </w:rPr>
                  </w:pPr>
                </w:p>
              </w:tc>
              <w:tc>
                <w:tcPr>
                  <w:tcW w:w="1600" w:type="pct"/>
                  <w:vMerge w:val="continue"/>
                  <w:tcBorders>
                    <w:top w:val="nil"/>
                    <w:bottom w:val="nil"/>
                  </w:tcBorders>
                  <w:vAlign w:val="center"/>
                </w:tcPr>
                <w:p w14:paraId="5486142B">
                  <w:pPr>
                    <w:snapToGrid w:val="0"/>
                    <w:jc w:val="center"/>
                    <w:rPr>
                      <w:rFonts w:hint="eastAsia" w:ascii="宋体" w:hAnsi="宋体" w:eastAsia="宋体" w:cs="宋体"/>
                      <w:spacing w:val="-5"/>
                      <w:sz w:val="24"/>
                      <w:szCs w:val="24"/>
                      <w:lang w:bidi="en-US"/>
                    </w:rPr>
                  </w:pPr>
                </w:p>
              </w:tc>
              <w:tc>
                <w:tcPr>
                  <w:tcW w:w="2625" w:type="pct"/>
                  <w:vAlign w:val="center"/>
                </w:tcPr>
                <w:p w14:paraId="5A59486C">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采集板：8个千兆RJ4510M/100M/1000M自适应以太网口</w:t>
                  </w:r>
                </w:p>
              </w:tc>
            </w:tr>
            <w:tr w14:paraId="05EE5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4CE4A182">
                  <w:pPr>
                    <w:snapToGrid w:val="0"/>
                    <w:jc w:val="center"/>
                    <w:rPr>
                      <w:rFonts w:hint="eastAsia" w:ascii="宋体" w:hAnsi="宋体" w:eastAsia="宋体" w:cs="宋体"/>
                      <w:sz w:val="24"/>
                      <w:szCs w:val="24"/>
                    </w:rPr>
                  </w:pPr>
                </w:p>
              </w:tc>
              <w:tc>
                <w:tcPr>
                  <w:tcW w:w="1600" w:type="pct"/>
                  <w:vMerge w:val="continue"/>
                  <w:tcBorders>
                    <w:top w:val="nil"/>
                  </w:tcBorders>
                  <w:vAlign w:val="center"/>
                </w:tcPr>
                <w:p w14:paraId="1E852F54">
                  <w:pPr>
                    <w:snapToGrid w:val="0"/>
                    <w:jc w:val="center"/>
                    <w:rPr>
                      <w:rFonts w:hint="eastAsia" w:ascii="宋体" w:hAnsi="宋体" w:eastAsia="宋体" w:cs="宋体"/>
                      <w:spacing w:val="-5"/>
                      <w:sz w:val="24"/>
                      <w:szCs w:val="24"/>
                      <w:lang w:bidi="en-US"/>
                    </w:rPr>
                  </w:pPr>
                </w:p>
              </w:tc>
              <w:tc>
                <w:tcPr>
                  <w:tcW w:w="2625" w:type="pct"/>
                  <w:vAlign w:val="center"/>
                </w:tcPr>
                <w:p w14:paraId="13069B84">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光口：1个千兆SFP光口</w:t>
                  </w:r>
                </w:p>
              </w:tc>
            </w:tr>
            <w:tr w14:paraId="4FC5B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5EE5CD7D">
                  <w:pPr>
                    <w:snapToGrid w:val="0"/>
                    <w:jc w:val="center"/>
                    <w:rPr>
                      <w:rFonts w:hint="eastAsia" w:ascii="宋体" w:hAnsi="宋体" w:eastAsia="宋体" w:cs="宋体"/>
                      <w:sz w:val="24"/>
                      <w:szCs w:val="24"/>
                    </w:rPr>
                  </w:pPr>
                </w:p>
              </w:tc>
              <w:tc>
                <w:tcPr>
                  <w:tcW w:w="1600" w:type="pct"/>
                  <w:vAlign w:val="center"/>
                </w:tcPr>
                <w:p w14:paraId="74DDBDB6">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USB接口</w:t>
                  </w:r>
                </w:p>
              </w:tc>
              <w:tc>
                <w:tcPr>
                  <w:tcW w:w="2625" w:type="pct"/>
                  <w:vAlign w:val="center"/>
                </w:tcPr>
                <w:p w14:paraId="1F17A37C">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3个</w:t>
                  </w:r>
                </w:p>
              </w:tc>
            </w:tr>
            <w:tr w14:paraId="656E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773" w:type="pct"/>
                  <w:vMerge w:val="continue"/>
                  <w:vAlign w:val="center"/>
                </w:tcPr>
                <w:p w14:paraId="538A8A59">
                  <w:pPr>
                    <w:snapToGrid w:val="0"/>
                    <w:jc w:val="center"/>
                    <w:rPr>
                      <w:rFonts w:hint="eastAsia" w:ascii="宋体" w:hAnsi="宋体" w:eastAsia="宋体" w:cs="宋体"/>
                      <w:sz w:val="24"/>
                      <w:szCs w:val="24"/>
                    </w:rPr>
                  </w:pPr>
                </w:p>
              </w:tc>
              <w:tc>
                <w:tcPr>
                  <w:tcW w:w="1600" w:type="pct"/>
                  <w:vAlign w:val="center"/>
                </w:tcPr>
                <w:p w14:paraId="217BA62D">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对外供电接口</w:t>
                  </w:r>
                </w:p>
              </w:tc>
              <w:tc>
                <w:tcPr>
                  <w:tcW w:w="2625" w:type="pct"/>
                  <w:tcBorders>
                    <w:top w:val="single" w:color="000000" w:sz="6" w:space="0"/>
                  </w:tcBorders>
                  <w:vAlign w:val="center"/>
                </w:tcPr>
                <w:p w14:paraId="48BCD849">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1个（DC12V 1A）</w:t>
                  </w:r>
                </w:p>
              </w:tc>
            </w:tr>
            <w:tr w14:paraId="407E3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vAlign w:val="center"/>
                </w:tcPr>
                <w:p w14:paraId="15718481">
                  <w:pPr>
                    <w:snapToGrid w:val="0"/>
                    <w:jc w:val="center"/>
                    <w:rPr>
                      <w:rFonts w:hint="eastAsia" w:ascii="宋体" w:hAnsi="宋体" w:eastAsia="宋体" w:cs="宋体"/>
                      <w:sz w:val="24"/>
                      <w:szCs w:val="24"/>
                    </w:rPr>
                  </w:pPr>
                </w:p>
              </w:tc>
              <w:tc>
                <w:tcPr>
                  <w:tcW w:w="1600" w:type="pct"/>
                  <w:vAlign w:val="center"/>
                </w:tcPr>
                <w:p w14:paraId="262F27DF">
                  <w:pPr>
                    <w:pStyle w:val="56"/>
                    <w:snapToGrid w:val="0"/>
                    <w:jc w:val="center"/>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RS232调试口</w:t>
                  </w:r>
                </w:p>
              </w:tc>
              <w:tc>
                <w:tcPr>
                  <w:tcW w:w="2625" w:type="pct"/>
                  <w:vAlign w:val="center"/>
                </w:tcPr>
                <w:p w14:paraId="61E78497">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1个</w:t>
                  </w:r>
                </w:p>
              </w:tc>
            </w:tr>
            <w:tr w14:paraId="1AB3B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restart"/>
                  <w:tcBorders>
                    <w:bottom w:val="nil"/>
                  </w:tcBorders>
                  <w:vAlign w:val="center"/>
                </w:tcPr>
                <w:p w14:paraId="574C33F6">
                  <w:pPr>
                    <w:pStyle w:val="56"/>
                    <w:snapToGrid w:val="0"/>
                    <w:jc w:val="center"/>
                    <w:rPr>
                      <w:rFonts w:hint="eastAsia" w:ascii="宋体" w:hAnsi="宋体" w:eastAsia="宋体" w:cs="宋体"/>
                      <w:spacing w:val="-7"/>
                      <w:sz w:val="24"/>
                      <w:szCs w:val="24"/>
                      <w:lang w:bidi="en-US"/>
                    </w:rPr>
                  </w:pPr>
                  <w:r>
                    <w:rPr>
                      <w:rFonts w:hint="eastAsia" w:ascii="宋体" w:hAnsi="宋体" w:eastAsia="宋体" w:cs="宋体"/>
                      <w:spacing w:val="-7"/>
                      <w:sz w:val="24"/>
                      <w:szCs w:val="24"/>
                      <w:lang w:bidi="en-US"/>
                    </w:rPr>
                    <w:t>一般规范</w:t>
                  </w:r>
                </w:p>
              </w:tc>
              <w:tc>
                <w:tcPr>
                  <w:tcW w:w="1600" w:type="pct"/>
                  <w:vAlign w:val="center"/>
                </w:tcPr>
                <w:p w14:paraId="203CE9CC">
                  <w:pPr>
                    <w:pStyle w:val="56"/>
                    <w:snapToGrid w:val="0"/>
                    <w:jc w:val="center"/>
                    <w:rPr>
                      <w:rFonts w:hint="eastAsia" w:ascii="宋体" w:hAnsi="宋体" w:eastAsia="宋体" w:cs="宋体"/>
                      <w:spacing w:val="-7"/>
                      <w:sz w:val="24"/>
                      <w:szCs w:val="24"/>
                      <w:lang w:bidi="en-US"/>
                    </w:rPr>
                  </w:pPr>
                  <w:r>
                    <w:rPr>
                      <w:rFonts w:hint="eastAsia" w:ascii="宋体" w:hAnsi="宋体" w:eastAsia="宋体" w:cs="宋体"/>
                      <w:spacing w:val="-7"/>
                      <w:sz w:val="24"/>
                      <w:szCs w:val="24"/>
                      <w:lang w:bidi="en-US"/>
                    </w:rPr>
                    <w:t>机箱</w:t>
                  </w:r>
                </w:p>
              </w:tc>
              <w:tc>
                <w:tcPr>
                  <w:tcW w:w="2625" w:type="pct"/>
                  <w:vAlign w:val="center"/>
                </w:tcPr>
                <w:p w14:paraId="71F61897">
                  <w:pPr>
                    <w:pStyle w:val="56"/>
                    <w:snapToGrid w:val="0"/>
                    <w:rPr>
                      <w:rFonts w:hint="eastAsia" w:ascii="宋体" w:hAnsi="宋体" w:eastAsia="宋体" w:cs="宋体"/>
                      <w:spacing w:val="-5"/>
                      <w:sz w:val="24"/>
                      <w:szCs w:val="24"/>
                      <w:lang w:bidi="en-US"/>
                    </w:rPr>
                  </w:pPr>
                  <w:r>
                    <w:rPr>
                      <w:rFonts w:hint="eastAsia" w:ascii="宋体" w:hAnsi="宋体" w:eastAsia="宋体" w:cs="宋体"/>
                      <w:spacing w:val="-5"/>
                      <w:sz w:val="24"/>
                      <w:szCs w:val="24"/>
                      <w:lang w:bidi="en-US"/>
                    </w:rPr>
                    <w:t>1U标准机箱</w:t>
                  </w:r>
                </w:p>
              </w:tc>
            </w:tr>
            <w:tr w14:paraId="4AE83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5374AC0C">
                  <w:pPr>
                    <w:snapToGrid w:val="0"/>
                    <w:jc w:val="center"/>
                    <w:rPr>
                      <w:rFonts w:hint="eastAsia" w:ascii="宋体" w:hAnsi="宋体" w:eastAsia="宋体" w:cs="宋体"/>
                      <w:spacing w:val="-7"/>
                      <w:sz w:val="24"/>
                      <w:szCs w:val="24"/>
                      <w:lang w:bidi="en-US"/>
                    </w:rPr>
                  </w:pPr>
                </w:p>
              </w:tc>
              <w:tc>
                <w:tcPr>
                  <w:tcW w:w="1600" w:type="pct"/>
                  <w:vAlign w:val="center"/>
                </w:tcPr>
                <w:p w14:paraId="6EAF602F">
                  <w:pPr>
                    <w:pStyle w:val="56"/>
                    <w:snapToGrid w:val="0"/>
                    <w:jc w:val="center"/>
                    <w:rPr>
                      <w:rFonts w:hint="eastAsia" w:ascii="宋体" w:hAnsi="宋体" w:eastAsia="宋体" w:cs="宋体"/>
                      <w:spacing w:val="-7"/>
                      <w:sz w:val="24"/>
                      <w:szCs w:val="24"/>
                      <w:lang w:bidi="en-US"/>
                    </w:rPr>
                  </w:pPr>
                  <w:r>
                    <w:rPr>
                      <w:rFonts w:hint="eastAsia" w:ascii="宋体" w:hAnsi="宋体" w:eastAsia="宋体" w:cs="宋体"/>
                      <w:spacing w:val="-7"/>
                      <w:sz w:val="24"/>
                      <w:szCs w:val="24"/>
                      <w:lang w:bidi="en-US"/>
                    </w:rPr>
                    <w:t>重量</w:t>
                  </w:r>
                </w:p>
              </w:tc>
              <w:tc>
                <w:tcPr>
                  <w:tcW w:w="2625" w:type="pct"/>
                  <w:vAlign w:val="center"/>
                </w:tcPr>
                <w:p w14:paraId="7761A32E">
                  <w:pPr>
                    <w:pStyle w:val="56"/>
                    <w:snapToGrid w:val="0"/>
                    <w:rPr>
                      <w:rFonts w:hint="eastAsia" w:ascii="宋体" w:hAnsi="宋体" w:eastAsia="宋体" w:cs="宋体"/>
                      <w:sz w:val="24"/>
                      <w:szCs w:val="24"/>
                    </w:rPr>
                  </w:pPr>
                  <w:r>
                    <w:rPr>
                      <w:rFonts w:hint="eastAsia" w:ascii="宋体" w:hAnsi="宋体" w:eastAsia="宋体" w:cs="宋体"/>
                      <w:spacing w:val="-6"/>
                      <w:sz w:val="24"/>
                      <w:szCs w:val="24"/>
                    </w:rPr>
                    <w:t>≤12kg</w:t>
                  </w:r>
                </w:p>
              </w:tc>
            </w:tr>
            <w:tr w14:paraId="10F58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3256718C">
                  <w:pPr>
                    <w:snapToGrid w:val="0"/>
                    <w:jc w:val="center"/>
                    <w:rPr>
                      <w:rFonts w:hint="eastAsia" w:ascii="宋体" w:hAnsi="宋体" w:eastAsia="宋体" w:cs="宋体"/>
                      <w:spacing w:val="-7"/>
                      <w:sz w:val="24"/>
                      <w:szCs w:val="24"/>
                      <w:lang w:bidi="en-US"/>
                    </w:rPr>
                  </w:pPr>
                </w:p>
              </w:tc>
              <w:tc>
                <w:tcPr>
                  <w:tcW w:w="1600" w:type="pct"/>
                  <w:vAlign w:val="center"/>
                </w:tcPr>
                <w:p w14:paraId="28560676">
                  <w:pPr>
                    <w:pStyle w:val="56"/>
                    <w:snapToGrid w:val="0"/>
                    <w:jc w:val="center"/>
                    <w:rPr>
                      <w:rFonts w:hint="eastAsia" w:ascii="宋体" w:hAnsi="宋体" w:eastAsia="宋体" w:cs="宋体"/>
                      <w:spacing w:val="-7"/>
                      <w:sz w:val="24"/>
                      <w:szCs w:val="24"/>
                      <w:lang w:bidi="en-US"/>
                    </w:rPr>
                  </w:pPr>
                  <w:r>
                    <w:rPr>
                      <w:rFonts w:hint="eastAsia" w:ascii="宋体" w:hAnsi="宋体" w:eastAsia="宋体" w:cs="宋体"/>
                      <w:spacing w:val="-7"/>
                      <w:sz w:val="24"/>
                      <w:szCs w:val="24"/>
                      <w:lang w:bidi="en-US"/>
                    </w:rPr>
                    <w:t>工作温度</w:t>
                  </w:r>
                </w:p>
              </w:tc>
              <w:tc>
                <w:tcPr>
                  <w:tcW w:w="2625" w:type="pct"/>
                  <w:vAlign w:val="center"/>
                </w:tcPr>
                <w:p w14:paraId="6080A277">
                  <w:pPr>
                    <w:pStyle w:val="56"/>
                    <w:snapToGrid w:val="0"/>
                    <w:rPr>
                      <w:rFonts w:hint="eastAsia" w:ascii="宋体" w:hAnsi="宋体" w:eastAsia="宋体" w:cs="宋体"/>
                      <w:sz w:val="24"/>
                      <w:szCs w:val="24"/>
                    </w:rPr>
                  </w:pPr>
                  <w:r>
                    <w:rPr>
                      <w:rFonts w:hint="eastAsia" w:ascii="宋体" w:hAnsi="宋体" w:eastAsia="宋体" w:cs="宋体"/>
                      <w:spacing w:val="-7"/>
                      <w:sz w:val="24"/>
                      <w:szCs w:val="24"/>
                    </w:rPr>
                    <w:t>-10°C--＋55°C</w:t>
                  </w:r>
                </w:p>
              </w:tc>
            </w:tr>
            <w:tr w14:paraId="131A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4223B552">
                  <w:pPr>
                    <w:snapToGrid w:val="0"/>
                    <w:jc w:val="center"/>
                    <w:rPr>
                      <w:rFonts w:hint="eastAsia" w:ascii="宋体" w:hAnsi="宋体" w:eastAsia="宋体" w:cs="宋体"/>
                      <w:spacing w:val="-7"/>
                      <w:sz w:val="24"/>
                      <w:szCs w:val="24"/>
                      <w:lang w:bidi="en-US"/>
                    </w:rPr>
                  </w:pPr>
                </w:p>
              </w:tc>
              <w:tc>
                <w:tcPr>
                  <w:tcW w:w="1600" w:type="pct"/>
                  <w:vAlign w:val="center"/>
                </w:tcPr>
                <w:p w14:paraId="3C80F73D">
                  <w:pPr>
                    <w:pStyle w:val="56"/>
                    <w:snapToGrid w:val="0"/>
                    <w:jc w:val="center"/>
                    <w:rPr>
                      <w:rFonts w:hint="eastAsia" w:ascii="宋体" w:hAnsi="宋体" w:eastAsia="宋体" w:cs="宋体"/>
                      <w:spacing w:val="-7"/>
                      <w:sz w:val="24"/>
                      <w:szCs w:val="24"/>
                      <w:lang w:bidi="en-US"/>
                    </w:rPr>
                  </w:pPr>
                  <w:r>
                    <w:rPr>
                      <w:rFonts w:hint="eastAsia" w:ascii="宋体" w:hAnsi="宋体" w:eastAsia="宋体" w:cs="宋体"/>
                      <w:spacing w:val="-7"/>
                      <w:sz w:val="24"/>
                      <w:szCs w:val="24"/>
                      <w:lang w:bidi="en-US"/>
                    </w:rPr>
                    <w:t>工作湿度</w:t>
                  </w:r>
                </w:p>
              </w:tc>
              <w:tc>
                <w:tcPr>
                  <w:tcW w:w="2625" w:type="pct"/>
                  <w:vAlign w:val="center"/>
                </w:tcPr>
                <w:p w14:paraId="5C278177">
                  <w:pPr>
                    <w:pStyle w:val="56"/>
                    <w:snapToGrid w:val="0"/>
                    <w:rPr>
                      <w:rFonts w:hint="eastAsia" w:ascii="宋体" w:hAnsi="宋体" w:eastAsia="宋体" w:cs="宋体"/>
                      <w:sz w:val="24"/>
                      <w:szCs w:val="24"/>
                    </w:rPr>
                  </w:pPr>
                  <w:r>
                    <w:rPr>
                      <w:rFonts w:hint="eastAsia" w:ascii="宋体" w:hAnsi="宋体" w:eastAsia="宋体" w:cs="宋体"/>
                      <w:spacing w:val="9"/>
                      <w:sz w:val="24"/>
                      <w:szCs w:val="24"/>
                    </w:rPr>
                    <w:t>10％--90%</w:t>
                  </w:r>
                </w:p>
              </w:tc>
            </w:tr>
            <w:tr w14:paraId="31BAA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 w:hRule="atLeast"/>
              </w:trPr>
              <w:tc>
                <w:tcPr>
                  <w:tcW w:w="773" w:type="pct"/>
                  <w:vMerge w:val="continue"/>
                  <w:tcBorders>
                    <w:top w:val="nil"/>
                    <w:bottom w:val="nil"/>
                  </w:tcBorders>
                  <w:vAlign w:val="center"/>
                </w:tcPr>
                <w:p w14:paraId="4D92B833">
                  <w:pPr>
                    <w:snapToGrid w:val="0"/>
                    <w:jc w:val="center"/>
                    <w:rPr>
                      <w:rFonts w:hint="eastAsia" w:ascii="宋体" w:hAnsi="宋体" w:eastAsia="宋体" w:cs="宋体"/>
                      <w:spacing w:val="-7"/>
                      <w:sz w:val="24"/>
                      <w:szCs w:val="24"/>
                      <w:lang w:bidi="en-US"/>
                    </w:rPr>
                  </w:pPr>
                </w:p>
              </w:tc>
              <w:tc>
                <w:tcPr>
                  <w:tcW w:w="1600" w:type="pct"/>
                  <w:vMerge w:val="restart"/>
                  <w:tcBorders>
                    <w:bottom w:val="nil"/>
                  </w:tcBorders>
                  <w:vAlign w:val="center"/>
                </w:tcPr>
                <w:p w14:paraId="4AB9601B">
                  <w:pPr>
                    <w:pStyle w:val="56"/>
                    <w:snapToGrid w:val="0"/>
                    <w:jc w:val="center"/>
                    <w:rPr>
                      <w:rFonts w:hint="eastAsia" w:ascii="宋体" w:hAnsi="宋体" w:eastAsia="宋体" w:cs="宋体"/>
                      <w:spacing w:val="-7"/>
                      <w:sz w:val="24"/>
                      <w:szCs w:val="24"/>
                      <w:lang w:bidi="en-US"/>
                    </w:rPr>
                  </w:pPr>
                  <w:r>
                    <w:rPr>
                      <w:rFonts w:hint="eastAsia" w:ascii="宋体" w:hAnsi="宋体" w:eastAsia="宋体" w:cs="宋体"/>
                      <w:spacing w:val="-7"/>
                      <w:sz w:val="24"/>
                      <w:szCs w:val="24"/>
                      <w:lang w:bidi="en-US"/>
                    </w:rPr>
                    <w:t>供电电源</w:t>
                  </w:r>
                </w:p>
              </w:tc>
              <w:tc>
                <w:tcPr>
                  <w:tcW w:w="2625" w:type="pct"/>
                  <w:vAlign w:val="center"/>
                </w:tcPr>
                <w:p w14:paraId="2D400F54">
                  <w:pPr>
                    <w:pStyle w:val="56"/>
                    <w:snapToGrid w:val="0"/>
                    <w:rPr>
                      <w:rFonts w:hint="eastAsia" w:ascii="宋体" w:hAnsi="宋体" w:eastAsia="宋体" w:cs="宋体"/>
                      <w:sz w:val="24"/>
                      <w:szCs w:val="24"/>
                    </w:rPr>
                  </w:pPr>
                  <w:r>
                    <w:rPr>
                      <w:rFonts w:hint="eastAsia" w:ascii="宋体" w:hAnsi="宋体" w:eastAsia="宋体" w:cs="宋体"/>
                      <w:spacing w:val="-2"/>
                      <w:sz w:val="24"/>
                      <w:szCs w:val="24"/>
                    </w:rPr>
                    <w:t>100~127VAC@3A,50/60Hz</w:t>
                  </w:r>
                </w:p>
              </w:tc>
            </w:tr>
            <w:tr w14:paraId="69DDF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773" w:type="pct"/>
                  <w:vMerge w:val="continue"/>
                  <w:tcBorders>
                    <w:top w:val="nil"/>
                    <w:bottom w:val="nil"/>
                  </w:tcBorders>
                  <w:vAlign w:val="center"/>
                </w:tcPr>
                <w:p w14:paraId="004FC99B">
                  <w:pPr>
                    <w:snapToGrid w:val="0"/>
                    <w:jc w:val="center"/>
                    <w:rPr>
                      <w:rFonts w:hint="eastAsia" w:ascii="宋体" w:hAnsi="宋体" w:eastAsia="宋体" w:cs="宋体"/>
                      <w:sz w:val="24"/>
                      <w:szCs w:val="24"/>
                    </w:rPr>
                  </w:pPr>
                </w:p>
              </w:tc>
              <w:tc>
                <w:tcPr>
                  <w:tcW w:w="1600" w:type="pct"/>
                  <w:vMerge w:val="continue"/>
                  <w:tcBorders>
                    <w:top w:val="nil"/>
                    <w:bottom w:val="nil"/>
                  </w:tcBorders>
                  <w:vAlign w:val="center"/>
                </w:tcPr>
                <w:p w14:paraId="1F6B1A52">
                  <w:pPr>
                    <w:snapToGrid w:val="0"/>
                    <w:jc w:val="center"/>
                    <w:rPr>
                      <w:rFonts w:hint="eastAsia" w:ascii="宋体" w:hAnsi="宋体" w:eastAsia="宋体" w:cs="宋体"/>
                      <w:sz w:val="24"/>
                      <w:szCs w:val="24"/>
                    </w:rPr>
                  </w:pPr>
                </w:p>
              </w:tc>
              <w:tc>
                <w:tcPr>
                  <w:tcW w:w="2625" w:type="pct"/>
                  <w:vAlign w:val="center"/>
                </w:tcPr>
                <w:p w14:paraId="24E31E43">
                  <w:pPr>
                    <w:pStyle w:val="56"/>
                    <w:snapToGrid w:val="0"/>
                    <w:rPr>
                      <w:rFonts w:hint="eastAsia" w:ascii="宋体" w:hAnsi="宋体" w:eastAsia="宋体" w:cs="宋体"/>
                      <w:sz w:val="24"/>
                      <w:szCs w:val="24"/>
                    </w:rPr>
                  </w:pPr>
                  <w:r>
                    <w:rPr>
                      <w:rFonts w:hint="eastAsia" w:ascii="宋体" w:hAnsi="宋体" w:eastAsia="宋体" w:cs="宋体"/>
                      <w:spacing w:val="6"/>
                      <w:position w:val="6"/>
                      <w:sz w:val="24"/>
                      <w:szCs w:val="24"/>
                    </w:rPr>
                    <w:t>200~240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"mailto:VAC@1.5" </w:instrText>
                  </w:r>
                  <w:r>
                    <w:rPr>
                      <w:rFonts w:hint="eastAsia" w:ascii="宋体" w:hAnsi="宋体" w:eastAsia="宋体" w:cs="宋体"/>
                      <w:sz w:val="24"/>
                      <w:szCs w:val="24"/>
                    </w:rPr>
                    <w:fldChar w:fldCharType="separate"/>
                  </w:r>
                  <w:r>
                    <w:rPr>
                      <w:rFonts w:hint="eastAsia" w:ascii="宋体" w:hAnsi="宋体" w:eastAsia="宋体" w:cs="宋体"/>
                      <w:position w:val="6"/>
                      <w:sz w:val="24"/>
                      <w:szCs w:val="24"/>
                    </w:rPr>
                    <w:t>VAC</w:t>
                  </w:r>
                  <w:r>
                    <w:rPr>
                      <w:rFonts w:hint="eastAsia" w:ascii="宋体" w:hAnsi="宋体" w:eastAsia="宋体" w:cs="宋体"/>
                      <w:spacing w:val="6"/>
                      <w:position w:val="6"/>
                      <w:sz w:val="24"/>
                      <w:szCs w:val="24"/>
                    </w:rPr>
                    <w:t>@1.5</w:t>
                  </w:r>
                  <w:r>
                    <w:rPr>
                      <w:rFonts w:hint="eastAsia" w:ascii="宋体" w:hAnsi="宋体" w:eastAsia="宋体" w:cs="宋体"/>
                      <w:spacing w:val="6"/>
                      <w:position w:val="6"/>
                      <w:sz w:val="24"/>
                      <w:szCs w:val="24"/>
                    </w:rPr>
                    <w:fldChar w:fldCharType="end"/>
                  </w:r>
                  <w:r>
                    <w:rPr>
                      <w:rFonts w:hint="eastAsia" w:ascii="宋体" w:hAnsi="宋体" w:eastAsia="宋体" w:cs="宋体"/>
                      <w:spacing w:val="6"/>
                      <w:position w:val="6"/>
                      <w:sz w:val="24"/>
                      <w:szCs w:val="24"/>
                    </w:rPr>
                    <w:t>A,50/60</w:t>
                  </w:r>
                  <w:r>
                    <w:rPr>
                      <w:rFonts w:hint="eastAsia" w:ascii="宋体" w:hAnsi="宋体" w:eastAsia="宋体" w:cs="宋体"/>
                      <w:position w:val="6"/>
                      <w:sz w:val="24"/>
                      <w:szCs w:val="24"/>
                    </w:rPr>
                    <w:t>Hz</w:t>
                  </w:r>
                  <w:r>
                    <w:rPr>
                      <w:rFonts w:hint="eastAsia" w:ascii="宋体" w:hAnsi="宋体" w:eastAsia="宋体" w:cs="宋体"/>
                      <w:spacing w:val="-8"/>
                      <w:sz w:val="24"/>
                      <w:szCs w:val="24"/>
                    </w:rPr>
                    <w:t>(支持宽压输入)</w:t>
                  </w:r>
                </w:p>
              </w:tc>
            </w:tr>
            <w:tr w14:paraId="07A89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773" w:type="pct"/>
                  <w:vMerge w:val="continue"/>
                  <w:tcBorders>
                    <w:top w:val="nil"/>
                  </w:tcBorders>
                  <w:vAlign w:val="center"/>
                </w:tcPr>
                <w:p w14:paraId="45B66A30">
                  <w:pPr>
                    <w:snapToGrid w:val="0"/>
                    <w:jc w:val="center"/>
                    <w:rPr>
                      <w:rFonts w:hint="eastAsia" w:ascii="宋体" w:hAnsi="宋体" w:eastAsia="宋体" w:cs="宋体"/>
                      <w:sz w:val="24"/>
                      <w:szCs w:val="24"/>
                    </w:rPr>
                  </w:pPr>
                </w:p>
              </w:tc>
              <w:tc>
                <w:tcPr>
                  <w:tcW w:w="1600" w:type="pct"/>
                  <w:vAlign w:val="center"/>
                </w:tcPr>
                <w:p w14:paraId="6CC2F141">
                  <w:pPr>
                    <w:pStyle w:val="56"/>
                    <w:snapToGrid w:val="0"/>
                    <w:jc w:val="center"/>
                    <w:rPr>
                      <w:rFonts w:hint="eastAsia" w:ascii="宋体" w:hAnsi="宋体" w:eastAsia="宋体" w:cs="宋体"/>
                      <w:sz w:val="24"/>
                      <w:szCs w:val="24"/>
                    </w:rPr>
                  </w:pPr>
                  <w:r>
                    <w:rPr>
                      <w:rFonts w:hint="eastAsia" w:ascii="宋体" w:hAnsi="宋体" w:eastAsia="宋体" w:cs="宋体"/>
                      <w:spacing w:val="-5"/>
                      <w:sz w:val="24"/>
                      <w:szCs w:val="24"/>
                    </w:rPr>
                    <w:t>整机功耗</w:t>
                  </w:r>
                </w:p>
              </w:tc>
              <w:tc>
                <w:tcPr>
                  <w:tcW w:w="2625" w:type="pct"/>
                  <w:vAlign w:val="center"/>
                </w:tcPr>
                <w:p w14:paraId="07C5E0A8">
                  <w:pPr>
                    <w:pStyle w:val="56"/>
                    <w:snapToGrid w:val="0"/>
                    <w:rPr>
                      <w:rFonts w:hint="eastAsia" w:ascii="宋体" w:hAnsi="宋体" w:eastAsia="宋体" w:cs="宋体"/>
                      <w:sz w:val="24"/>
                      <w:szCs w:val="24"/>
                    </w:rPr>
                  </w:pPr>
                  <w:r>
                    <w:rPr>
                      <w:rFonts w:hint="eastAsia" w:ascii="宋体" w:hAnsi="宋体" w:eastAsia="宋体" w:cs="宋体"/>
                      <w:spacing w:val="-7"/>
                      <w:sz w:val="24"/>
                      <w:szCs w:val="24"/>
                    </w:rPr>
                    <w:t>≤90W</w:t>
                  </w:r>
                </w:p>
              </w:tc>
            </w:tr>
          </w:tbl>
          <w:p w14:paraId="612E181E">
            <w:pPr>
              <w:widowControl/>
              <w:kinsoku w:val="0"/>
              <w:autoSpaceDE w:val="0"/>
              <w:autoSpaceDN w:val="0"/>
              <w:adjustRightInd w:val="0"/>
              <w:snapToGrid w:val="0"/>
              <w:textAlignment w:val="baseline"/>
              <w:rPr>
                <w:rFonts w:hint="eastAsia" w:ascii="宋体" w:hAnsi="宋体" w:eastAsia="宋体" w:cs="宋体"/>
                <w:b/>
                <w:bCs/>
                <w:spacing w:val="-1"/>
                <w:sz w:val="24"/>
                <w:szCs w:val="24"/>
              </w:rPr>
            </w:pPr>
            <w:r>
              <w:rPr>
                <w:rFonts w:hint="eastAsia" w:ascii="宋体" w:hAnsi="宋体" w:eastAsia="宋体" w:cs="宋体"/>
                <w:b/>
                <w:bCs/>
                <w:spacing w:val="-1"/>
                <w:sz w:val="24"/>
                <w:szCs w:val="24"/>
              </w:rPr>
              <w:t>4.接入省平台方式</w:t>
            </w:r>
          </w:p>
          <w:p w14:paraId="1624B52F">
            <w:pPr>
              <w:keepLines/>
              <w:widowControl/>
              <w:textAlignment w:val="center"/>
              <w:rPr>
                <w:rFonts w:hint="eastAsia" w:ascii="宋体" w:hAnsi="宋体" w:eastAsia="宋体" w:cs="宋体"/>
                <w:sz w:val="24"/>
                <w:szCs w:val="24"/>
              </w:rPr>
            </w:pPr>
            <w:r>
              <w:rPr>
                <w:rFonts w:hint="eastAsia" w:ascii="宋体" w:hAnsi="宋体" w:eastAsia="宋体" w:cs="宋体"/>
                <w:spacing w:val="-1"/>
                <w:sz w:val="24"/>
                <w:szCs w:val="24"/>
              </w:rPr>
              <w:t>为了有效保障数据传输路径的唯一性与可追溯性，极大降低数据被恶意拦</w:t>
            </w:r>
            <w:r>
              <w:rPr>
                <w:rFonts w:hint="eastAsia" w:ascii="宋体" w:hAnsi="宋体" w:eastAsia="宋体" w:cs="宋体"/>
                <w:spacing w:val="-2"/>
                <w:sz w:val="24"/>
                <w:szCs w:val="24"/>
              </w:rPr>
              <w:t>截、被第三方窃取或篡改的风险，智能AI视频分析服务须直连到山西省成品油流通</w:t>
            </w:r>
            <w:r>
              <w:rPr>
                <w:rFonts w:hint="eastAsia" w:ascii="宋体" w:hAnsi="宋体" w:eastAsia="宋体" w:cs="宋体"/>
                <w:spacing w:val="-1"/>
                <w:sz w:val="24"/>
                <w:szCs w:val="24"/>
              </w:rPr>
              <w:t>智慧监管平台，不得通过第三方软件的方式接入省平台。</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374F163">
            <w:pPr>
              <w:keepLines/>
              <w:widowControl/>
              <w:textAlignment w:val="center"/>
              <w:rPr>
                <w:rFonts w:hint="eastAsia" w:ascii="宋体" w:hAnsi="宋体" w:eastAsia="宋体" w:cs="宋体"/>
                <w:spacing w:val="-1"/>
                <w:sz w:val="24"/>
                <w:szCs w:val="24"/>
              </w:rPr>
            </w:pPr>
            <w:r>
              <w:rPr>
                <w:rFonts w:hint="eastAsia" w:ascii="宋体" w:hAnsi="宋体" w:eastAsia="宋体" w:cs="宋体"/>
                <w:spacing w:val="-1"/>
                <w:sz w:val="24"/>
                <w:szCs w:val="24"/>
              </w:rPr>
              <w:t>14套</w:t>
            </w:r>
          </w:p>
        </w:tc>
      </w:tr>
      <w:tr w14:paraId="514A1DF3">
        <w:trPr>
          <w:trHeight w:val="451" w:hRule="atLeast"/>
        </w:trPr>
        <w:tc>
          <w:tcPr>
            <w:tcW w:w="180" w:type="pct"/>
            <w:tcBorders>
              <w:top w:val="single" w:color="000000" w:sz="4" w:space="0"/>
              <w:left w:val="single" w:color="000000" w:sz="4" w:space="0"/>
              <w:bottom w:val="single" w:color="auto" w:sz="4" w:space="0"/>
              <w:right w:val="single" w:color="000000" w:sz="4" w:space="0"/>
            </w:tcBorders>
            <w:noWrap/>
            <w:vAlign w:val="center"/>
          </w:tcPr>
          <w:p w14:paraId="630FEA2A">
            <w:pPr>
              <w:keepLines/>
              <w:widowControl/>
              <w:numPr>
                <w:ilvl w:val="0"/>
                <w:numId w:val="2"/>
              </w:numPr>
              <w:jc w:val="center"/>
              <w:textAlignment w:val="bottom"/>
              <w:rPr>
                <w:rFonts w:hint="eastAsia" w:ascii="宋体" w:hAnsi="宋体" w:eastAsia="宋体" w:cs="宋体"/>
                <w:kern w:val="0"/>
                <w:sz w:val="24"/>
                <w:szCs w:val="24"/>
                <w:lang w:bidi="ar"/>
              </w:rPr>
            </w:pPr>
          </w:p>
        </w:tc>
        <w:tc>
          <w:tcPr>
            <w:tcW w:w="481" w:type="pct"/>
            <w:tcBorders>
              <w:top w:val="single" w:color="000000" w:sz="4" w:space="0"/>
              <w:left w:val="single" w:color="000000" w:sz="4" w:space="0"/>
              <w:bottom w:val="single" w:color="auto" w:sz="4" w:space="0"/>
              <w:right w:val="single" w:color="000000" w:sz="4" w:space="0"/>
            </w:tcBorders>
            <w:vAlign w:val="center"/>
          </w:tcPr>
          <w:p w14:paraId="5ABB903E">
            <w:pPr>
              <w:keepLines/>
              <w:widowControl/>
              <w:textAlignment w:val="center"/>
              <w:rPr>
                <w:rFonts w:hint="eastAsia" w:ascii="宋体" w:hAnsi="宋体" w:eastAsia="宋体" w:cs="宋体"/>
                <w:snapToGrid w:val="0"/>
                <w:spacing w:val="-1"/>
                <w:kern w:val="0"/>
                <w:sz w:val="24"/>
                <w:szCs w:val="24"/>
              </w:rPr>
            </w:pPr>
            <w:r>
              <w:rPr>
                <w:rFonts w:hint="eastAsia" w:ascii="宋体" w:hAnsi="宋体" w:eastAsia="宋体" w:cs="宋体"/>
                <w:kern w:val="0"/>
                <w:sz w:val="24"/>
                <w:szCs w:val="24"/>
                <w:lang w:bidi="ar"/>
              </w:rPr>
              <w:t>智能铅封采集服务</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5371113E">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（1）具备实时定位功能（GPS/DBS）</w:t>
            </w:r>
          </w:p>
          <w:p w14:paraId="5F6CE008">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（2）具备实时通信、上传功能（433MHz/4G）</w:t>
            </w:r>
          </w:p>
          <w:p w14:paraId="29C56FA8">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（3）具备预警功能（支持离线报警、跨区报警、掉线报警等）</w:t>
            </w:r>
            <w:r>
              <w:rPr>
                <w:rFonts w:hint="eastAsia" w:ascii="宋体" w:hAnsi="宋体" w:eastAsia="宋体" w:cs="宋体"/>
                <w:spacing w:val="-1"/>
                <w:sz w:val="24"/>
                <w:szCs w:val="24"/>
              </w:rPr>
              <w:t>。</w:t>
            </w:r>
          </w:p>
          <w:p w14:paraId="35C08648">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（4）具备离线数据存储功能</w:t>
            </w:r>
          </w:p>
          <w:p w14:paraId="72825A20">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（5）支持断电功能（内置有电池断电后正常工作4小时）</w:t>
            </w:r>
          </w:p>
          <w:p w14:paraId="763933CB">
            <w:pPr>
              <w:rPr>
                <w:rFonts w:hint="eastAsia" w:ascii="宋体" w:hAnsi="宋体" w:eastAsia="宋体" w:cs="宋体"/>
                <w:sz w:val="24"/>
                <w:szCs w:val="24"/>
              </w:rPr>
            </w:pPr>
            <w:r>
              <w:rPr>
                <w:rFonts w:hint="eastAsia" w:ascii="宋体" w:hAnsi="宋体" w:eastAsia="宋体" w:cs="宋体"/>
                <w:sz w:val="24"/>
                <w:szCs w:val="24"/>
              </w:rPr>
              <w:t>（6）支持通过远程监控平台实时查看加油机的铅封状态，包含：铅封完好、铅封破损、铅封被拆动等。</w:t>
            </w:r>
          </w:p>
          <w:p w14:paraId="705CDE7A">
            <w:pPr>
              <w:rPr>
                <w:rFonts w:hint="eastAsia" w:ascii="宋体" w:hAnsi="宋体" w:eastAsia="宋体" w:cs="宋体"/>
                <w:sz w:val="24"/>
                <w:szCs w:val="24"/>
              </w:rPr>
            </w:pPr>
            <w:r>
              <w:rPr>
                <w:rFonts w:hint="eastAsia" w:ascii="宋体" w:hAnsi="宋体" w:eastAsia="宋体" w:cs="宋体"/>
                <w:sz w:val="24"/>
                <w:szCs w:val="24"/>
              </w:rPr>
              <w:t>（7）结合配套监控平台，可对加油机从安装到拆除的全生命周期进行数字化记录，形成完整的数据链。</w:t>
            </w:r>
          </w:p>
        </w:tc>
        <w:tc>
          <w:tcPr>
            <w:tcW w:w="357" w:type="pct"/>
            <w:tcBorders>
              <w:top w:val="single" w:color="000000" w:sz="4" w:space="0"/>
              <w:left w:val="single" w:color="000000" w:sz="4" w:space="0"/>
              <w:bottom w:val="single" w:color="auto" w:sz="4" w:space="0"/>
              <w:right w:val="single" w:color="000000" w:sz="4" w:space="0"/>
            </w:tcBorders>
            <w:noWrap/>
            <w:vAlign w:val="center"/>
          </w:tcPr>
          <w:p w14:paraId="78F568FD">
            <w:pPr>
              <w:rPr>
                <w:rFonts w:hint="eastAsia" w:ascii="宋体" w:hAnsi="宋体" w:eastAsia="宋体" w:cs="宋体"/>
                <w:sz w:val="24"/>
                <w:szCs w:val="24"/>
              </w:rPr>
            </w:pPr>
            <w:r>
              <w:rPr>
                <w:rFonts w:hint="eastAsia" w:ascii="宋体" w:hAnsi="宋体" w:eastAsia="宋体" w:cs="宋体"/>
                <w:sz w:val="24"/>
                <w:szCs w:val="24"/>
              </w:rPr>
              <w:t>14套</w:t>
            </w:r>
          </w:p>
        </w:tc>
      </w:tr>
      <w:tr w14:paraId="767FA1F0">
        <w:trPr>
          <w:trHeight w:val="451" w:hRule="atLeast"/>
        </w:trPr>
        <w:tc>
          <w:tcPr>
            <w:tcW w:w="180" w:type="pct"/>
            <w:tcBorders>
              <w:top w:val="single" w:color="auto" w:sz="4" w:space="0"/>
              <w:left w:val="single" w:color="auto" w:sz="4" w:space="0"/>
              <w:bottom w:val="single" w:color="auto" w:sz="4" w:space="0"/>
              <w:right w:val="single" w:color="auto" w:sz="4" w:space="0"/>
            </w:tcBorders>
            <w:noWrap/>
            <w:vAlign w:val="center"/>
          </w:tcPr>
          <w:p w14:paraId="6D7CDB32">
            <w:pPr>
              <w:keepLines/>
              <w:widowControl/>
              <w:numPr>
                <w:ilvl w:val="0"/>
                <w:numId w:val="2"/>
              </w:numPr>
              <w:jc w:val="center"/>
              <w:textAlignment w:val="bottom"/>
              <w:rPr>
                <w:rFonts w:hint="eastAsia" w:ascii="宋体" w:hAnsi="宋体" w:eastAsia="宋体" w:cs="宋体"/>
                <w:kern w:val="0"/>
                <w:sz w:val="24"/>
                <w:szCs w:val="24"/>
                <w:lang w:bidi="ar"/>
              </w:rPr>
            </w:pPr>
          </w:p>
        </w:tc>
        <w:tc>
          <w:tcPr>
            <w:tcW w:w="481" w:type="pct"/>
            <w:tcBorders>
              <w:top w:val="single" w:color="000000" w:sz="4" w:space="0"/>
              <w:left w:val="single" w:color="auto" w:sz="4" w:space="0"/>
              <w:bottom w:val="single" w:color="auto" w:sz="4" w:space="0"/>
              <w:right w:val="single" w:color="000000" w:sz="4" w:space="0"/>
            </w:tcBorders>
            <w:vAlign w:val="center"/>
          </w:tcPr>
          <w:p w14:paraId="10BE859A">
            <w:pPr>
              <w:keepLines/>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IoT</w:t>
            </w:r>
            <w:r>
              <w:rPr>
                <w:rFonts w:hint="eastAsia" w:ascii="宋体" w:hAnsi="宋体" w:eastAsia="宋体" w:cs="宋体"/>
                <w:snapToGrid w:val="0"/>
                <w:spacing w:val="-1"/>
                <w:kern w:val="0"/>
                <w:sz w:val="24"/>
                <w:szCs w:val="24"/>
              </w:rPr>
              <w:t>智能铅封</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492BCC1E">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（1）具备实时监控功能（状态变化实时上传）智能铅封内置芯片，可以实时监控铅封开关状态</w:t>
            </w:r>
          </w:p>
          <w:p w14:paraId="211A4CB8">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（2）三码合一（物理编码、RFID编码、设备芯片编码)。</w:t>
            </w:r>
          </w:p>
          <w:p w14:paraId="4C93223D">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（3）安全性能高（无法复制、破坏留痕）</w:t>
            </w:r>
          </w:p>
          <w:p w14:paraId="2E833C11">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（4）支持重复使用，提供可重复的施封解封功能。</w:t>
            </w:r>
          </w:p>
          <w:p w14:paraId="0CA6A536">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（5）低功耗，能够稳定长时间可靠工作。</w:t>
            </w:r>
          </w:p>
          <w:p w14:paraId="1A8E4AEB">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（6）本安防爆防复制、防破坏，采用先进机械设计原理防破坏、防复制功能内置RFID芯片，方便巡检等各项目信息掌握。</w:t>
            </w:r>
          </w:p>
          <w:p w14:paraId="3B04ACDD">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（7）采用加密技术和唯一标识符，防止伪造或复制，有效堵塞通过更换铅封作弊的技术漏洞。</w:t>
            </w:r>
          </w:p>
        </w:tc>
        <w:tc>
          <w:tcPr>
            <w:tcW w:w="357" w:type="pct"/>
            <w:tcBorders>
              <w:top w:val="single" w:color="000000" w:sz="4" w:space="0"/>
              <w:left w:val="single" w:color="000000" w:sz="4" w:space="0"/>
              <w:bottom w:val="single" w:color="auto" w:sz="4" w:space="0"/>
              <w:right w:val="single" w:color="000000" w:sz="4" w:space="0"/>
            </w:tcBorders>
            <w:noWrap/>
            <w:vAlign w:val="center"/>
          </w:tcPr>
          <w:p w14:paraId="2BC90DF3">
            <w:pPr>
              <w:rPr>
                <w:rFonts w:hint="eastAsia" w:ascii="宋体" w:hAnsi="宋体" w:eastAsia="宋体" w:cs="宋体"/>
                <w:sz w:val="24"/>
                <w:szCs w:val="24"/>
              </w:rPr>
            </w:pPr>
            <w:r>
              <w:rPr>
                <w:rFonts w:hint="eastAsia" w:ascii="宋体" w:hAnsi="宋体" w:eastAsia="宋体" w:cs="宋体"/>
                <w:sz w:val="24"/>
                <w:szCs w:val="24"/>
              </w:rPr>
              <w:t>14套</w:t>
            </w:r>
          </w:p>
        </w:tc>
      </w:tr>
      <w:tr w14:paraId="3C629D85">
        <w:trPr>
          <w:trHeight w:val="451" w:hRule="atLeast"/>
        </w:trPr>
        <w:tc>
          <w:tcPr>
            <w:tcW w:w="180" w:type="pct"/>
            <w:tcBorders>
              <w:top w:val="single" w:color="000000" w:sz="4" w:space="0"/>
              <w:left w:val="single" w:color="000000" w:sz="4" w:space="0"/>
              <w:bottom w:val="single" w:color="000000" w:sz="4" w:space="0"/>
              <w:right w:val="single" w:color="000000" w:sz="4" w:space="0"/>
            </w:tcBorders>
            <w:noWrap/>
            <w:vAlign w:val="center"/>
          </w:tcPr>
          <w:p w14:paraId="4B7B5DD5">
            <w:pPr>
              <w:keepLines/>
              <w:widowControl/>
              <w:numPr>
                <w:ilvl w:val="0"/>
                <w:numId w:val="2"/>
              </w:numPr>
              <w:jc w:val="center"/>
              <w:textAlignment w:val="bottom"/>
              <w:rPr>
                <w:rFonts w:hint="eastAsia" w:ascii="宋体" w:hAnsi="宋体" w:eastAsia="宋体" w:cs="宋体"/>
                <w:sz w:val="24"/>
                <w:szCs w:val="24"/>
              </w:rPr>
            </w:pPr>
          </w:p>
        </w:tc>
        <w:tc>
          <w:tcPr>
            <w:tcW w:w="481" w:type="pct"/>
            <w:tcBorders>
              <w:top w:val="single" w:color="auto" w:sz="4" w:space="0"/>
              <w:left w:val="single" w:color="000000" w:sz="4" w:space="0"/>
              <w:bottom w:val="single" w:color="000000" w:sz="4" w:space="0"/>
              <w:right w:val="single" w:color="000000" w:sz="4" w:space="0"/>
            </w:tcBorders>
            <w:vAlign w:val="center"/>
          </w:tcPr>
          <w:p w14:paraId="7A7D5F8C">
            <w:pPr>
              <w:keepLines/>
              <w:widowControl/>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机柜及辅材</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16D126B8">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（1）设备安装所需机柜，规格不大于600*600*600（mm）</w:t>
            </w:r>
          </w:p>
          <w:p w14:paraId="7D2FB40A">
            <w:pPr>
              <w:pStyle w:val="29"/>
              <w:kinsoku w:val="0"/>
              <w:autoSpaceDE w:val="0"/>
              <w:autoSpaceDN w:val="0"/>
              <w:ind w:left="0" w:firstLine="0" w:firstLineChars="0"/>
              <w:textAlignment w:val="baseline"/>
              <w:rPr>
                <w:rFonts w:hint="eastAsia" w:ascii="宋体" w:hAnsi="宋体" w:eastAsia="宋体" w:cs="宋体"/>
                <w:sz w:val="24"/>
                <w:szCs w:val="24"/>
                <w:lang w:val="en-US"/>
              </w:rPr>
            </w:pPr>
            <w:r>
              <w:rPr>
                <w:rFonts w:hint="eastAsia" w:ascii="宋体" w:hAnsi="宋体" w:eastAsia="宋体" w:cs="宋体"/>
                <w:snapToGrid w:val="0"/>
                <w:spacing w:val="-1"/>
                <w:sz w:val="24"/>
                <w:szCs w:val="24"/>
                <w:lang w:val="en-US" w:bidi="ar-SA"/>
              </w:rPr>
              <w:t>（2）设备安装相关辅材、耗材等</w:t>
            </w:r>
          </w:p>
        </w:tc>
        <w:tc>
          <w:tcPr>
            <w:tcW w:w="357" w:type="pct"/>
            <w:tcBorders>
              <w:top w:val="single" w:color="auto" w:sz="4" w:space="0"/>
              <w:left w:val="single" w:color="000000" w:sz="4" w:space="0"/>
              <w:bottom w:val="single" w:color="000000" w:sz="4" w:space="0"/>
              <w:right w:val="single" w:color="000000" w:sz="4" w:space="0"/>
            </w:tcBorders>
            <w:noWrap/>
            <w:vAlign w:val="center"/>
          </w:tcPr>
          <w:p w14:paraId="2410021C">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z w:val="24"/>
                <w:szCs w:val="24"/>
                <w:lang w:val="en-US"/>
              </w:rPr>
              <w:t>14套</w:t>
            </w:r>
          </w:p>
        </w:tc>
      </w:tr>
      <w:tr w14:paraId="4A4BD17D">
        <w:trPr>
          <w:trHeight w:val="451" w:hRule="atLeast"/>
        </w:trPr>
        <w:tc>
          <w:tcPr>
            <w:tcW w:w="180" w:type="pct"/>
            <w:tcBorders>
              <w:top w:val="single" w:color="000000" w:sz="4" w:space="0"/>
              <w:left w:val="single" w:color="000000" w:sz="4" w:space="0"/>
              <w:bottom w:val="single" w:color="000000" w:sz="4" w:space="0"/>
              <w:right w:val="single" w:color="000000" w:sz="4" w:space="0"/>
            </w:tcBorders>
            <w:noWrap/>
            <w:vAlign w:val="center"/>
          </w:tcPr>
          <w:p w14:paraId="1B412B7B">
            <w:pPr>
              <w:keepLines/>
              <w:widowControl/>
              <w:numPr>
                <w:ilvl w:val="0"/>
                <w:numId w:val="2"/>
              </w:numPr>
              <w:jc w:val="center"/>
              <w:textAlignment w:val="bottom"/>
              <w:rPr>
                <w:rFonts w:hint="eastAsia" w:ascii="宋体" w:hAnsi="宋体" w:eastAsia="宋体" w:cs="宋体"/>
                <w:sz w:val="24"/>
                <w:szCs w:val="24"/>
              </w:rPr>
            </w:pPr>
          </w:p>
        </w:tc>
        <w:tc>
          <w:tcPr>
            <w:tcW w:w="481" w:type="pct"/>
            <w:vMerge w:val="restart"/>
            <w:tcBorders>
              <w:top w:val="single" w:color="000000" w:sz="4" w:space="0"/>
              <w:left w:val="single" w:color="000000" w:sz="4" w:space="0"/>
              <w:right w:val="single" w:color="000000" w:sz="4" w:space="0"/>
            </w:tcBorders>
            <w:vAlign w:val="center"/>
          </w:tcPr>
          <w:p w14:paraId="00AD32CF">
            <w:pPr>
              <w:keepLines/>
              <w:textAlignment w:val="center"/>
              <w:rPr>
                <w:rFonts w:hint="eastAsia" w:ascii="宋体" w:hAnsi="宋体" w:eastAsia="宋体" w:cs="宋体"/>
                <w:sz w:val="24"/>
                <w:szCs w:val="24"/>
              </w:rPr>
            </w:pPr>
            <w:r>
              <w:rPr>
                <w:rFonts w:hint="eastAsia" w:ascii="宋体" w:hAnsi="宋体" w:eastAsia="宋体" w:cs="宋体"/>
                <w:sz w:val="24"/>
                <w:szCs w:val="24"/>
              </w:rPr>
              <w:t>数据采集服务</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6A85DBEB">
            <w:pPr>
              <w:pStyle w:val="29"/>
              <w:kinsoku w:val="0"/>
              <w:autoSpaceDE w:val="0"/>
              <w:autoSpaceDN w:val="0"/>
              <w:ind w:left="0" w:firstLine="0" w:firstLineChars="0"/>
              <w:textAlignment w:val="baseline"/>
              <w:rPr>
                <w:rFonts w:hint="eastAsia" w:ascii="宋体" w:hAnsi="宋体" w:eastAsia="宋体" w:cs="宋体"/>
                <w:b/>
                <w:bCs/>
                <w:snapToGrid w:val="0"/>
                <w:spacing w:val="-1"/>
                <w:sz w:val="24"/>
                <w:szCs w:val="24"/>
                <w:lang w:val="en-US" w:bidi="ar-SA"/>
              </w:rPr>
            </w:pPr>
            <w:r>
              <w:rPr>
                <w:rFonts w:hint="eastAsia" w:ascii="宋体" w:hAnsi="宋体" w:eastAsia="宋体" w:cs="宋体"/>
                <w:b/>
                <w:bCs/>
                <w:snapToGrid w:val="0"/>
                <w:spacing w:val="-1"/>
                <w:sz w:val="24"/>
                <w:szCs w:val="24"/>
                <w:lang w:val="en-US" w:bidi="ar-SA"/>
              </w:rPr>
              <w:t>物联网卡</w:t>
            </w:r>
          </w:p>
          <w:p w14:paraId="63D371A0">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（1）支持3G/月物联网卡</w:t>
            </w:r>
          </w:p>
          <w:p w14:paraId="45284605">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（2）支持4G/5G信号</w:t>
            </w:r>
          </w:p>
          <w:p w14:paraId="2B6367CB">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（3）陶瓷材质</w:t>
            </w:r>
          </w:p>
          <w:p w14:paraId="6970660A">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（4）工作温度：-10度—50度</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6D23C35">
            <w:pPr>
              <w:pStyle w:val="29"/>
              <w:kinsoku w:val="0"/>
              <w:autoSpaceDE w:val="0"/>
              <w:autoSpaceDN w:val="0"/>
              <w:ind w:left="0" w:firstLine="0" w:firstLineChars="0"/>
              <w:textAlignment w:val="baseline"/>
              <w:rPr>
                <w:rFonts w:hint="eastAsia" w:ascii="宋体" w:hAnsi="宋体" w:eastAsia="宋体" w:cs="宋体"/>
                <w:snapToGrid w:val="0"/>
                <w:spacing w:val="-1"/>
                <w:sz w:val="24"/>
                <w:szCs w:val="24"/>
                <w:lang w:val="en-US" w:bidi="ar-SA"/>
              </w:rPr>
            </w:pPr>
            <w:r>
              <w:rPr>
                <w:rFonts w:hint="eastAsia" w:ascii="宋体" w:hAnsi="宋体" w:eastAsia="宋体" w:cs="宋体"/>
                <w:snapToGrid w:val="0"/>
                <w:spacing w:val="-1"/>
                <w:sz w:val="24"/>
                <w:szCs w:val="24"/>
                <w:lang w:val="en-US" w:bidi="ar-SA"/>
              </w:rPr>
              <w:t>42张/年</w:t>
            </w:r>
          </w:p>
        </w:tc>
      </w:tr>
      <w:tr w14:paraId="6D37BD8F">
        <w:trPr>
          <w:trHeight w:val="972" w:hRule="atLeast"/>
        </w:trPr>
        <w:tc>
          <w:tcPr>
            <w:tcW w:w="180" w:type="pct"/>
            <w:tcBorders>
              <w:top w:val="single" w:color="000000" w:sz="4" w:space="0"/>
              <w:left w:val="single" w:color="000000" w:sz="4" w:space="0"/>
              <w:bottom w:val="single" w:color="000000" w:sz="4" w:space="0"/>
              <w:right w:val="single" w:color="000000" w:sz="4" w:space="0"/>
            </w:tcBorders>
            <w:noWrap/>
            <w:vAlign w:val="center"/>
          </w:tcPr>
          <w:p w14:paraId="445CD346">
            <w:pPr>
              <w:keepLines/>
              <w:widowControl/>
              <w:numPr>
                <w:ilvl w:val="0"/>
                <w:numId w:val="2"/>
              </w:numPr>
              <w:jc w:val="center"/>
              <w:textAlignment w:val="bottom"/>
              <w:rPr>
                <w:rFonts w:hint="eastAsia" w:ascii="宋体" w:hAnsi="宋体" w:eastAsia="宋体" w:cs="宋体"/>
                <w:sz w:val="24"/>
                <w:szCs w:val="24"/>
              </w:rPr>
            </w:pPr>
          </w:p>
        </w:tc>
        <w:tc>
          <w:tcPr>
            <w:tcW w:w="481" w:type="pct"/>
            <w:vMerge w:val="continue"/>
            <w:tcBorders>
              <w:left w:val="single" w:color="000000" w:sz="4" w:space="0"/>
              <w:bottom w:val="single" w:color="000000" w:sz="4" w:space="0"/>
              <w:right w:val="single" w:color="000000" w:sz="4" w:space="0"/>
            </w:tcBorders>
            <w:vAlign w:val="center"/>
          </w:tcPr>
          <w:p w14:paraId="18D01554">
            <w:pPr>
              <w:keepLines/>
              <w:widowControl/>
              <w:textAlignment w:val="center"/>
              <w:rPr>
                <w:rFonts w:hint="eastAsia" w:ascii="宋体" w:hAnsi="宋体" w:eastAsia="宋体" w:cs="宋体"/>
                <w:kern w:val="0"/>
                <w:sz w:val="24"/>
                <w:szCs w:val="24"/>
                <w:lang w:bidi="ar"/>
              </w:rPr>
            </w:pP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1CF994D5">
            <w:pPr>
              <w:keepLines/>
              <w:widowControl/>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网络宽带</w:t>
            </w:r>
          </w:p>
          <w:p w14:paraId="5D67C029">
            <w:pPr>
              <w:keepLines/>
              <w:widowControl/>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数据安全、准确性高、传输速度高、传输稳定性高，上下行不低于50M</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283B27D">
            <w:pPr>
              <w:keepLines/>
              <w:widowControl/>
              <w:textAlignment w:val="center"/>
              <w:rPr>
                <w:rFonts w:hint="eastAsia" w:ascii="宋体" w:hAnsi="宋体" w:eastAsia="宋体" w:cs="宋体"/>
                <w:kern w:val="0"/>
                <w:sz w:val="24"/>
                <w:szCs w:val="24"/>
                <w:lang w:bidi="ar"/>
              </w:rPr>
            </w:pPr>
            <w:r>
              <w:rPr>
                <w:rFonts w:hint="eastAsia" w:ascii="宋体" w:hAnsi="宋体" w:eastAsia="宋体" w:cs="宋体"/>
                <w:sz w:val="24"/>
                <w:szCs w:val="24"/>
              </w:rPr>
              <w:t>14</w:t>
            </w:r>
            <w:r>
              <w:rPr>
                <w:rFonts w:hint="eastAsia" w:ascii="宋体" w:hAnsi="宋体" w:eastAsia="宋体" w:cs="宋体"/>
                <w:kern w:val="0"/>
                <w:sz w:val="24"/>
                <w:szCs w:val="24"/>
                <w:lang w:bidi="ar"/>
              </w:rPr>
              <w:t>条/年</w:t>
            </w:r>
          </w:p>
        </w:tc>
      </w:tr>
      <w:tr w14:paraId="2642C6A1">
        <w:trPr>
          <w:trHeight w:val="451" w:hRule="atLeast"/>
        </w:trPr>
        <w:tc>
          <w:tcPr>
            <w:tcW w:w="180" w:type="pct"/>
            <w:tcBorders>
              <w:top w:val="single" w:color="000000" w:sz="4" w:space="0"/>
              <w:left w:val="single" w:color="000000" w:sz="4" w:space="0"/>
              <w:bottom w:val="single" w:color="000000" w:sz="4" w:space="0"/>
              <w:right w:val="single" w:color="000000" w:sz="4" w:space="0"/>
            </w:tcBorders>
            <w:noWrap/>
            <w:vAlign w:val="center"/>
          </w:tcPr>
          <w:p w14:paraId="1F7CC51B">
            <w:pPr>
              <w:keepLines/>
              <w:widowControl/>
              <w:numPr>
                <w:ilvl w:val="0"/>
                <w:numId w:val="2"/>
              </w:numPr>
              <w:jc w:val="center"/>
              <w:textAlignment w:val="bottom"/>
              <w:rPr>
                <w:rFonts w:hint="eastAsia" w:ascii="宋体" w:hAnsi="宋体" w:eastAsia="宋体" w:cs="宋体"/>
                <w:kern w:val="0"/>
                <w:sz w:val="24"/>
                <w:szCs w:val="24"/>
                <w:lang w:bidi="ar"/>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6D9C8A7B">
            <w:pPr>
              <w:keepLines/>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项目集成服务</w:t>
            </w:r>
          </w:p>
        </w:tc>
        <w:tc>
          <w:tcPr>
            <w:tcW w:w="3980" w:type="pct"/>
            <w:tcBorders>
              <w:top w:val="single" w:color="000000" w:sz="4" w:space="0"/>
              <w:left w:val="single" w:color="000000" w:sz="4" w:space="0"/>
              <w:bottom w:val="single" w:color="000000" w:sz="4" w:space="0"/>
              <w:right w:val="single" w:color="000000" w:sz="4" w:space="0"/>
            </w:tcBorders>
            <w:noWrap/>
            <w:vAlign w:val="center"/>
          </w:tcPr>
          <w:p w14:paraId="6CD5E097">
            <w:pPr>
              <w:keepLines/>
              <w:widowControl/>
              <w:textAlignment w:val="center"/>
              <w:rPr>
                <w:rFonts w:hint="eastAsia" w:ascii="宋体" w:hAnsi="宋体" w:eastAsia="宋体" w:cs="宋体"/>
                <w:sz w:val="24"/>
                <w:szCs w:val="24"/>
              </w:rPr>
            </w:pPr>
            <w:r>
              <w:rPr>
                <w:rFonts w:hint="eastAsia" w:ascii="宋体" w:hAnsi="宋体" w:eastAsia="宋体" w:cs="宋体"/>
                <w:sz w:val="24"/>
                <w:szCs w:val="24"/>
              </w:rPr>
              <w:t>评估摸排,设备安装、调试、对接等实施工作</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A7DD0DE">
            <w:pPr>
              <w:keepLines/>
              <w:widowControl/>
              <w:textAlignment w:val="center"/>
              <w:rPr>
                <w:rFonts w:hint="eastAsia" w:ascii="宋体" w:hAnsi="宋体" w:eastAsia="宋体" w:cs="宋体"/>
                <w:sz w:val="24"/>
                <w:szCs w:val="24"/>
              </w:rPr>
            </w:pPr>
            <w:r>
              <w:rPr>
                <w:rFonts w:hint="eastAsia" w:ascii="宋体" w:hAnsi="宋体" w:eastAsia="宋体" w:cs="宋体"/>
                <w:sz w:val="24"/>
                <w:szCs w:val="24"/>
              </w:rPr>
              <w:t>14套</w:t>
            </w:r>
          </w:p>
        </w:tc>
      </w:tr>
    </w:tbl>
    <w:p w14:paraId="0A77FCBF">
      <w:pPr>
        <w:rPr>
          <w:rFonts w:hint="eastAsia" w:ascii="宋体" w:hAnsi="宋体" w:eastAsia="宋体" w:cs="宋体"/>
          <w:sz w:val="24"/>
          <w:szCs w:val="24"/>
        </w:rPr>
      </w:pPr>
    </w:p>
    <w:p w14:paraId="3A11312A">
      <w:pPr>
        <w:widowControl/>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整改设备</w:t>
      </w:r>
      <w:r>
        <w:rPr>
          <w:rFonts w:hint="eastAsia" w:ascii="宋体" w:hAnsi="宋体" w:eastAsia="宋体" w:cs="宋体"/>
          <w:b/>
          <w:bCs/>
          <w:sz w:val="24"/>
          <w:szCs w:val="24"/>
          <w:lang w:eastAsia="zh-CN"/>
        </w:rPr>
        <w:t>参数要求</w:t>
      </w:r>
    </w:p>
    <w:tbl>
      <w:tblPr>
        <w:tblStyle w:val="31"/>
        <w:tblW w:w="4998" w:type="pct"/>
        <w:tblInd w:w="0" w:type="dxa"/>
        <w:tblLayout w:type="autofit"/>
        <w:tblCellMar>
          <w:top w:w="0" w:type="dxa"/>
          <w:left w:w="108" w:type="dxa"/>
          <w:bottom w:w="0" w:type="dxa"/>
          <w:right w:w="108" w:type="dxa"/>
        </w:tblCellMar>
      </w:tblPr>
      <w:tblGrid>
        <w:gridCol w:w="395"/>
        <w:gridCol w:w="933"/>
        <w:gridCol w:w="1471"/>
        <w:gridCol w:w="5327"/>
        <w:gridCol w:w="396"/>
      </w:tblGrid>
      <w:tr w14:paraId="6CF4AFBE">
        <w:trPr>
          <w:trHeight w:val="270" w:hRule="atLeast"/>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0414291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99" w:type="pct"/>
            <w:tcBorders>
              <w:top w:val="single" w:color="auto" w:sz="4" w:space="0"/>
              <w:left w:val="nil"/>
              <w:bottom w:val="single" w:color="auto" w:sz="4" w:space="0"/>
              <w:right w:val="single" w:color="auto" w:sz="4" w:space="0"/>
            </w:tcBorders>
            <w:shd w:val="clear" w:color="auto" w:fill="auto"/>
            <w:noWrap/>
            <w:vAlign w:val="center"/>
          </w:tcPr>
          <w:p w14:paraId="317A10C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设备名称</w:t>
            </w:r>
          </w:p>
        </w:tc>
        <w:tc>
          <w:tcPr>
            <w:tcW w:w="747" w:type="pct"/>
            <w:tcBorders>
              <w:top w:val="single" w:color="auto" w:sz="4" w:space="0"/>
              <w:left w:val="nil"/>
              <w:bottom w:val="single" w:color="auto" w:sz="4" w:space="0"/>
              <w:right w:val="single" w:color="auto" w:sz="4" w:space="0"/>
            </w:tcBorders>
            <w:shd w:val="clear" w:color="auto" w:fill="auto"/>
            <w:noWrap/>
            <w:vAlign w:val="center"/>
          </w:tcPr>
          <w:p w14:paraId="049AF9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产品类型</w:t>
            </w:r>
          </w:p>
        </w:tc>
        <w:tc>
          <w:tcPr>
            <w:tcW w:w="2828" w:type="pct"/>
            <w:tcBorders>
              <w:top w:val="single" w:color="auto" w:sz="4" w:space="0"/>
              <w:left w:val="nil"/>
              <w:bottom w:val="single" w:color="auto" w:sz="4" w:space="0"/>
              <w:right w:val="single" w:color="auto" w:sz="4" w:space="0"/>
            </w:tcBorders>
            <w:shd w:val="clear" w:color="auto" w:fill="auto"/>
            <w:noWrap/>
            <w:vAlign w:val="center"/>
          </w:tcPr>
          <w:p w14:paraId="0B44C0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参数</w:t>
            </w:r>
          </w:p>
        </w:tc>
        <w:tc>
          <w:tcPr>
            <w:tcW w:w="444" w:type="pct"/>
            <w:tcBorders>
              <w:top w:val="single" w:color="auto" w:sz="4" w:space="0"/>
              <w:left w:val="nil"/>
              <w:bottom w:val="single" w:color="auto" w:sz="4" w:space="0"/>
              <w:right w:val="single" w:color="auto" w:sz="4" w:space="0"/>
            </w:tcBorders>
            <w:shd w:val="clear" w:color="auto" w:fill="auto"/>
            <w:vAlign w:val="center"/>
          </w:tcPr>
          <w:p w14:paraId="111ACC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r>
      <w:tr w14:paraId="528F5B81">
        <w:trPr>
          <w:trHeight w:val="1680" w:hRule="atLeast"/>
        </w:trPr>
        <w:tc>
          <w:tcPr>
            <w:tcW w:w="479" w:type="pct"/>
            <w:vMerge w:val="restart"/>
            <w:tcBorders>
              <w:top w:val="nil"/>
              <w:left w:val="single" w:color="auto" w:sz="4" w:space="0"/>
              <w:bottom w:val="single" w:color="auto" w:sz="4" w:space="0"/>
              <w:right w:val="single" w:color="auto" w:sz="4" w:space="0"/>
            </w:tcBorders>
            <w:shd w:val="clear" w:color="auto" w:fill="auto"/>
            <w:vAlign w:val="center"/>
          </w:tcPr>
          <w:p w14:paraId="5BE398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99" w:type="pct"/>
            <w:vMerge w:val="restart"/>
            <w:tcBorders>
              <w:top w:val="nil"/>
              <w:left w:val="single" w:color="auto" w:sz="4" w:space="0"/>
              <w:bottom w:val="single" w:color="auto" w:sz="4" w:space="0"/>
              <w:right w:val="single" w:color="auto" w:sz="4" w:space="0"/>
            </w:tcBorders>
            <w:shd w:val="clear" w:color="auto" w:fill="auto"/>
            <w:noWrap/>
            <w:vAlign w:val="center"/>
          </w:tcPr>
          <w:p w14:paraId="3A4E26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液位仪</w:t>
            </w:r>
          </w:p>
        </w:tc>
        <w:tc>
          <w:tcPr>
            <w:tcW w:w="747" w:type="pct"/>
            <w:tcBorders>
              <w:top w:val="nil"/>
              <w:left w:val="nil"/>
              <w:bottom w:val="single" w:color="auto" w:sz="4" w:space="0"/>
              <w:right w:val="single" w:color="auto" w:sz="4" w:space="0"/>
            </w:tcBorders>
            <w:shd w:val="clear" w:color="auto" w:fill="auto"/>
            <w:vAlign w:val="center"/>
          </w:tcPr>
          <w:p w14:paraId="594381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高精度加密型液位仪控制器</w:t>
            </w:r>
          </w:p>
        </w:tc>
        <w:tc>
          <w:tcPr>
            <w:tcW w:w="2828" w:type="pct"/>
            <w:tcBorders>
              <w:top w:val="nil"/>
              <w:left w:val="nil"/>
              <w:bottom w:val="single" w:color="auto" w:sz="4" w:space="0"/>
              <w:right w:val="single" w:color="auto" w:sz="4" w:space="0"/>
            </w:tcBorders>
            <w:shd w:val="clear" w:color="auto" w:fill="auto"/>
            <w:vAlign w:val="center"/>
          </w:tcPr>
          <w:p w14:paraId="1E67A5F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1、供电电源： AC220V±10%,50HZ、工作温度： -20℃~60℃。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2、相对湿度：0~90%RHo</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3、显示方式：具备图形显示及中文文字显示、尺寸≥8寸。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4、显示操作：触摸屏、可支持12个罐。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5、诊断能力：支持控制台具有硬件的故障自我诊断功能。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6、系统升级能力：支持控制台内置软件升级能力。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7、库存检测：支持检测每个油罐的实时库存数据变化。</w:t>
            </w:r>
          </w:p>
        </w:tc>
        <w:tc>
          <w:tcPr>
            <w:tcW w:w="444" w:type="pct"/>
            <w:vMerge w:val="restart"/>
            <w:tcBorders>
              <w:top w:val="nil"/>
              <w:left w:val="single" w:color="auto" w:sz="4" w:space="0"/>
              <w:bottom w:val="single" w:color="auto" w:sz="4" w:space="0"/>
              <w:right w:val="single" w:color="auto" w:sz="4" w:space="0"/>
            </w:tcBorders>
            <w:shd w:val="clear" w:color="auto" w:fill="auto"/>
            <w:vAlign w:val="center"/>
          </w:tcPr>
          <w:p w14:paraId="4B96982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2项</w:t>
            </w:r>
          </w:p>
        </w:tc>
      </w:tr>
      <w:tr w14:paraId="6E30C7A6">
        <w:trPr>
          <w:trHeight w:val="960" w:hRule="atLeast"/>
        </w:trPr>
        <w:tc>
          <w:tcPr>
            <w:tcW w:w="479" w:type="pct"/>
            <w:vMerge w:val="continue"/>
            <w:tcBorders>
              <w:top w:val="nil"/>
              <w:left w:val="single" w:color="auto" w:sz="4" w:space="0"/>
              <w:bottom w:val="single" w:color="auto" w:sz="4" w:space="0"/>
              <w:right w:val="single" w:color="auto" w:sz="4" w:space="0"/>
            </w:tcBorders>
            <w:vAlign w:val="center"/>
          </w:tcPr>
          <w:p w14:paraId="4481E402">
            <w:pPr>
              <w:widowControl/>
              <w:jc w:val="left"/>
              <w:rPr>
                <w:rFonts w:hint="eastAsia" w:ascii="宋体" w:hAnsi="宋体" w:eastAsia="宋体" w:cs="宋体"/>
                <w:color w:val="000000"/>
                <w:kern w:val="0"/>
                <w:sz w:val="24"/>
                <w:szCs w:val="24"/>
              </w:rPr>
            </w:pPr>
          </w:p>
        </w:tc>
        <w:tc>
          <w:tcPr>
            <w:tcW w:w="499" w:type="pct"/>
            <w:vMerge w:val="continue"/>
            <w:tcBorders>
              <w:top w:val="nil"/>
              <w:left w:val="single" w:color="auto" w:sz="4" w:space="0"/>
              <w:bottom w:val="single" w:color="auto" w:sz="4" w:space="0"/>
              <w:right w:val="single" w:color="auto" w:sz="4" w:space="0"/>
            </w:tcBorders>
            <w:vAlign w:val="center"/>
          </w:tcPr>
          <w:p w14:paraId="1288DF9B">
            <w:pPr>
              <w:widowControl/>
              <w:jc w:val="left"/>
              <w:rPr>
                <w:rFonts w:hint="eastAsia" w:ascii="宋体" w:hAnsi="宋体" w:eastAsia="宋体" w:cs="宋体"/>
                <w:color w:val="000000"/>
                <w:kern w:val="0"/>
                <w:sz w:val="24"/>
                <w:szCs w:val="24"/>
              </w:rPr>
            </w:pPr>
          </w:p>
        </w:tc>
        <w:tc>
          <w:tcPr>
            <w:tcW w:w="747" w:type="pct"/>
            <w:tcBorders>
              <w:top w:val="nil"/>
              <w:left w:val="nil"/>
              <w:bottom w:val="single" w:color="auto" w:sz="4" w:space="0"/>
              <w:right w:val="single" w:color="auto" w:sz="4" w:space="0"/>
            </w:tcBorders>
            <w:shd w:val="clear" w:color="auto" w:fill="auto"/>
            <w:noWrap/>
            <w:vAlign w:val="center"/>
          </w:tcPr>
          <w:p w14:paraId="612290C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磁致伸缩液位计</w:t>
            </w:r>
          </w:p>
        </w:tc>
        <w:tc>
          <w:tcPr>
            <w:tcW w:w="2828" w:type="pct"/>
            <w:tcBorders>
              <w:top w:val="nil"/>
              <w:left w:val="nil"/>
              <w:bottom w:val="single" w:color="auto" w:sz="4" w:space="0"/>
              <w:right w:val="single" w:color="auto" w:sz="4" w:space="0"/>
            </w:tcBorders>
            <w:shd w:val="clear" w:color="auto" w:fill="auto"/>
            <w:vAlign w:val="center"/>
          </w:tcPr>
          <w:p w14:paraId="02515EC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1、适用介质：乙醇汽油、柴油、轻油、重油、酒精混合物等液体。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2、测量形式：磁致伸缩。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3、测量参数：油位、水位、5点温度及平均温度。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4、工作温度范围：-40℃~60℃、油位准确度：±0.5mm。</w:t>
            </w:r>
          </w:p>
        </w:tc>
        <w:tc>
          <w:tcPr>
            <w:tcW w:w="444" w:type="pct"/>
            <w:vMerge w:val="continue"/>
            <w:tcBorders>
              <w:top w:val="nil"/>
              <w:left w:val="single" w:color="auto" w:sz="4" w:space="0"/>
              <w:bottom w:val="single" w:color="auto" w:sz="4" w:space="0"/>
              <w:right w:val="single" w:color="auto" w:sz="4" w:space="0"/>
            </w:tcBorders>
            <w:vAlign w:val="center"/>
          </w:tcPr>
          <w:p w14:paraId="25212CD0">
            <w:pPr>
              <w:widowControl/>
              <w:jc w:val="center"/>
              <w:rPr>
                <w:rFonts w:hint="eastAsia" w:ascii="宋体" w:hAnsi="宋体" w:eastAsia="宋体" w:cs="宋体"/>
                <w:color w:val="000000"/>
                <w:kern w:val="0"/>
                <w:sz w:val="24"/>
                <w:szCs w:val="24"/>
              </w:rPr>
            </w:pPr>
          </w:p>
        </w:tc>
      </w:tr>
      <w:tr w14:paraId="0DCB2B94">
        <w:trPr>
          <w:trHeight w:val="960" w:hRule="atLeast"/>
        </w:trPr>
        <w:tc>
          <w:tcPr>
            <w:tcW w:w="479" w:type="pct"/>
            <w:tcBorders>
              <w:top w:val="nil"/>
              <w:left w:val="single" w:color="auto" w:sz="4" w:space="0"/>
              <w:bottom w:val="single" w:color="auto" w:sz="4" w:space="0"/>
              <w:right w:val="single" w:color="auto" w:sz="4" w:space="0"/>
            </w:tcBorders>
            <w:shd w:val="clear" w:color="auto" w:fill="auto"/>
            <w:vAlign w:val="center"/>
          </w:tcPr>
          <w:p w14:paraId="46EC1D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99" w:type="pct"/>
            <w:tcBorders>
              <w:top w:val="nil"/>
              <w:left w:val="nil"/>
              <w:bottom w:val="single" w:color="auto" w:sz="4" w:space="0"/>
              <w:right w:val="single" w:color="auto" w:sz="4" w:space="0"/>
            </w:tcBorders>
            <w:shd w:val="clear" w:color="auto" w:fill="auto"/>
            <w:noWrap/>
            <w:vAlign w:val="center"/>
          </w:tcPr>
          <w:p w14:paraId="73A3E5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零管系统</w:t>
            </w:r>
          </w:p>
        </w:tc>
        <w:tc>
          <w:tcPr>
            <w:tcW w:w="747" w:type="pct"/>
            <w:tcBorders>
              <w:top w:val="nil"/>
              <w:left w:val="nil"/>
              <w:bottom w:val="single" w:color="auto" w:sz="4" w:space="0"/>
              <w:right w:val="single" w:color="auto" w:sz="4" w:space="0"/>
            </w:tcBorders>
            <w:shd w:val="clear" w:color="auto" w:fill="auto"/>
            <w:noWrap/>
            <w:vAlign w:val="center"/>
          </w:tcPr>
          <w:p w14:paraId="439CE73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零管系统</w:t>
            </w:r>
          </w:p>
        </w:tc>
        <w:tc>
          <w:tcPr>
            <w:tcW w:w="2828" w:type="pct"/>
            <w:tcBorders>
              <w:top w:val="nil"/>
              <w:left w:val="nil"/>
              <w:bottom w:val="single" w:color="auto" w:sz="4" w:space="0"/>
              <w:right w:val="single" w:color="auto" w:sz="4" w:space="0"/>
            </w:tcBorders>
            <w:shd w:val="clear" w:color="auto" w:fill="auto"/>
            <w:vAlign w:val="center"/>
          </w:tcPr>
          <w:p w14:paraId="7BAACD5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1、网络协议：TCP，UDP，IP、ARP，HTTP。</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2、油气机协议：卡机联动及私有协议。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3、支持云端部署与本地化部署。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4、通过 WEB 平台操作配置，支持远程升级。</w:t>
            </w:r>
          </w:p>
        </w:tc>
        <w:tc>
          <w:tcPr>
            <w:tcW w:w="444" w:type="pct"/>
            <w:tcBorders>
              <w:top w:val="nil"/>
              <w:left w:val="nil"/>
              <w:bottom w:val="single" w:color="auto" w:sz="4" w:space="0"/>
              <w:right w:val="single" w:color="auto" w:sz="4" w:space="0"/>
            </w:tcBorders>
            <w:shd w:val="clear" w:color="auto" w:fill="auto"/>
            <w:vAlign w:val="center"/>
          </w:tcPr>
          <w:p w14:paraId="51DDD0F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4项</w:t>
            </w:r>
          </w:p>
        </w:tc>
      </w:tr>
      <w:tr w14:paraId="469B7ECE">
        <w:trPr>
          <w:trHeight w:val="270" w:hRule="atLeast"/>
        </w:trPr>
        <w:tc>
          <w:tcPr>
            <w:tcW w:w="479" w:type="pct"/>
            <w:tcBorders>
              <w:top w:val="nil"/>
              <w:left w:val="single" w:color="auto" w:sz="4" w:space="0"/>
              <w:bottom w:val="single" w:color="auto" w:sz="4" w:space="0"/>
              <w:right w:val="single" w:color="auto" w:sz="4" w:space="0"/>
            </w:tcBorders>
            <w:shd w:val="clear" w:color="auto" w:fill="auto"/>
            <w:vAlign w:val="center"/>
          </w:tcPr>
          <w:p w14:paraId="7FF35E7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99" w:type="pct"/>
            <w:tcBorders>
              <w:top w:val="nil"/>
              <w:left w:val="nil"/>
              <w:bottom w:val="single" w:color="auto" w:sz="4" w:space="0"/>
              <w:right w:val="single" w:color="auto" w:sz="4" w:space="0"/>
            </w:tcBorders>
            <w:shd w:val="clear" w:color="auto" w:fill="auto"/>
            <w:noWrap/>
            <w:vAlign w:val="center"/>
          </w:tcPr>
          <w:p w14:paraId="69BE1C5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通讯板</w:t>
            </w:r>
          </w:p>
        </w:tc>
        <w:tc>
          <w:tcPr>
            <w:tcW w:w="747" w:type="pct"/>
            <w:tcBorders>
              <w:top w:val="nil"/>
              <w:left w:val="nil"/>
              <w:bottom w:val="single" w:color="auto" w:sz="4" w:space="0"/>
              <w:right w:val="single" w:color="auto" w:sz="4" w:space="0"/>
            </w:tcBorders>
            <w:shd w:val="clear" w:color="auto" w:fill="auto"/>
            <w:noWrap/>
            <w:vAlign w:val="center"/>
          </w:tcPr>
          <w:p w14:paraId="33487E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通讯板</w:t>
            </w:r>
          </w:p>
        </w:tc>
        <w:tc>
          <w:tcPr>
            <w:tcW w:w="2828" w:type="pct"/>
            <w:tcBorders>
              <w:top w:val="nil"/>
              <w:left w:val="nil"/>
              <w:bottom w:val="single" w:color="auto" w:sz="4" w:space="0"/>
              <w:right w:val="single" w:color="auto" w:sz="4" w:space="0"/>
            </w:tcBorders>
            <w:shd w:val="clear" w:color="auto" w:fill="auto"/>
            <w:noWrap/>
            <w:vAlign w:val="center"/>
          </w:tcPr>
          <w:p w14:paraId="0681C13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使用油机品牌原厂标配的通讯板，确保与加油机硬件100%兼容。</w:t>
            </w:r>
          </w:p>
        </w:tc>
        <w:tc>
          <w:tcPr>
            <w:tcW w:w="444" w:type="pct"/>
            <w:tcBorders>
              <w:top w:val="nil"/>
              <w:left w:val="nil"/>
              <w:bottom w:val="single" w:color="auto" w:sz="4" w:space="0"/>
              <w:right w:val="single" w:color="auto" w:sz="4" w:space="0"/>
            </w:tcBorders>
            <w:shd w:val="clear" w:color="auto" w:fill="auto"/>
            <w:vAlign w:val="center"/>
          </w:tcPr>
          <w:p w14:paraId="0EE4066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4项</w:t>
            </w:r>
          </w:p>
        </w:tc>
      </w:tr>
      <w:tr w14:paraId="3F81412E">
        <w:trPr>
          <w:trHeight w:val="270" w:hRule="atLeast"/>
        </w:trPr>
        <w:tc>
          <w:tcPr>
            <w:tcW w:w="479" w:type="pct"/>
            <w:tcBorders>
              <w:top w:val="nil"/>
              <w:left w:val="single" w:color="auto" w:sz="4" w:space="0"/>
              <w:bottom w:val="single" w:color="auto" w:sz="4" w:space="0"/>
              <w:right w:val="single" w:color="auto" w:sz="4" w:space="0"/>
            </w:tcBorders>
            <w:shd w:val="clear" w:color="auto" w:fill="auto"/>
            <w:vAlign w:val="center"/>
          </w:tcPr>
          <w:p w14:paraId="5E3E802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99" w:type="pct"/>
            <w:tcBorders>
              <w:top w:val="nil"/>
              <w:left w:val="nil"/>
              <w:bottom w:val="single" w:color="auto" w:sz="4" w:space="0"/>
              <w:right w:val="single" w:color="auto" w:sz="4" w:space="0"/>
            </w:tcBorders>
            <w:shd w:val="clear" w:color="auto" w:fill="auto"/>
            <w:noWrap/>
            <w:vAlign w:val="center"/>
          </w:tcPr>
          <w:p w14:paraId="58F18A5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通讯线</w:t>
            </w:r>
          </w:p>
        </w:tc>
        <w:tc>
          <w:tcPr>
            <w:tcW w:w="747" w:type="pct"/>
            <w:tcBorders>
              <w:top w:val="nil"/>
              <w:left w:val="nil"/>
              <w:bottom w:val="single" w:color="auto" w:sz="4" w:space="0"/>
              <w:right w:val="single" w:color="auto" w:sz="4" w:space="0"/>
            </w:tcBorders>
            <w:shd w:val="clear" w:color="auto" w:fill="auto"/>
            <w:noWrap/>
            <w:vAlign w:val="center"/>
          </w:tcPr>
          <w:p w14:paraId="3863A7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通讯线</w:t>
            </w:r>
          </w:p>
        </w:tc>
        <w:tc>
          <w:tcPr>
            <w:tcW w:w="2828" w:type="pct"/>
            <w:tcBorders>
              <w:top w:val="nil"/>
              <w:left w:val="nil"/>
              <w:bottom w:val="single" w:color="auto" w:sz="4" w:space="0"/>
              <w:right w:val="single" w:color="auto" w:sz="4" w:space="0"/>
            </w:tcBorders>
            <w:shd w:val="clear" w:color="auto" w:fill="auto"/>
            <w:noWrap/>
            <w:vAlign w:val="center"/>
          </w:tcPr>
          <w:p w14:paraId="0781975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采用国标（GB/T）电线电缆，按油站相关施工规范实施。</w:t>
            </w:r>
          </w:p>
        </w:tc>
        <w:tc>
          <w:tcPr>
            <w:tcW w:w="444" w:type="pct"/>
            <w:tcBorders>
              <w:top w:val="nil"/>
              <w:left w:val="nil"/>
              <w:bottom w:val="single" w:color="auto" w:sz="4" w:space="0"/>
              <w:right w:val="single" w:color="auto" w:sz="4" w:space="0"/>
            </w:tcBorders>
            <w:shd w:val="clear" w:color="auto" w:fill="auto"/>
            <w:vAlign w:val="center"/>
          </w:tcPr>
          <w:p w14:paraId="4D1DFF7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8项</w:t>
            </w:r>
          </w:p>
        </w:tc>
      </w:tr>
    </w:tbl>
    <w:p w14:paraId="4EB43F2F">
      <w:pPr>
        <w:rPr>
          <w:rFonts w:hint="eastAsia" w:ascii="宋体" w:hAnsi="宋体" w:eastAsia="宋体" w:cs="宋体"/>
          <w:sz w:val="24"/>
          <w:szCs w:val="24"/>
        </w:rPr>
      </w:pPr>
    </w:p>
    <w:p w14:paraId="7ED25B4D">
      <w:pPr>
        <w:pStyle w:val="4"/>
        <w:tabs>
          <w:tab w:val="left" w:pos="0"/>
        </w:tabs>
        <w:rPr>
          <w:rFonts w:hint="eastAsia" w:ascii="宋体" w:hAnsi="宋体" w:eastAsia="宋体" w:cs="宋体"/>
          <w:sz w:val="24"/>
          <w:szCs w:val="24"/>
          <w:lang w:eastAsia="zh-CN"/>
        </w:rPr>
      </w:pPr>
      <w:bookmarkStart w:id="70" w:name="_Toc3049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加油站基础信息采集规范</w:t>
      </w:r>
      <w:bookmarkEnd w:id="70"/>
    </w:p>
    <w:p w14:paraId="2337D776">
      <w:pPr>
        <w:pStyle w:val="11"/>
        <w:spacing w:line="360" w:lineRule="auto"/>
        <w:ind w:left="23" w:firstLine="482"/>
        <w:rPr>
          <w:rFonts w:hint="eastAsia" w:ascii="宋体" w:hAnsi="宋体" w:eastAsia="宋体" w:cs="宋体"/>
          <w:snapToGrid w:val="0"/>
          <w:spacing w:val="-1"/>
          <w:kern w:val="0"/>
          <w:sz w:val="24"/>
          <w:szCs w:val="24"/>
          <w:lang w:val="en-US" w:eastAsia="zh-CN" w:bidi="ar-SA"/>
        </w:rPr>
      </w:pPr>
      <w:r>
        <w:rPr>
          <w:rFonts w:hint="eastAsia" w:ascii="宋体" w:hAnsi="宋体" w:eastAsia="宋体" w:cs="宋体"/>
          <w:snapToGrid w:val="0"/>
          <w:spacing w:val="-1"/>
          <w:kern w:val="0"/>
          <w:sz w:val="24"/>
          <w:szCs w:val="24"/>
          <w:lang w:val="en-US" w:bidi="ar-SA"/>
        </w:rPr>
        <w:t>需通过山西省成品油流通智慧监管平台，登陆相关账号，使用油站档案库功能上报成品油企业的静态数据，包括成品油企业基本信息、成品油企业经营信息、成品油企业资质信息、成品油企业投资/经营人信息。通过全面、准确的静态数据采集，加油站的基本运营信息将得到有效记录，为后续的动态数据分析、实时监测和智慧监管提供可靠的数据支持</w:t>
      </w:r>
      <w:r>
        <w:rPr>
          <w:rFonts w:hint="eastAsia" w:ascii="宋体" w:hAnsi="宋体" w:eastAsia="宋体" w:cs="宋体"/>
          <w:snapToGrid w:val="0"/>
          <w:spacing w:val="-1"/>
          <w:kern w:val="0"/>
          <w:sz w:val="24"/>
          <w:szCs w:val="24"/>
          <w:lang w:val="en-US" w:eastAsia="zh-CN" w:bidi="ar-SA"/>
        </w:rPr>
        <w:t>。</w:t>
      </w:r>
    </w:p>
    <w:p w14:paraId="5C45E5C3">
      <w:pPr>
        <w:pStyle w:val="11"/>
        <w:spacing w:line="360" w:lineRule="auto"/>
        <w:ind w:left="23" w:firstLine="482"/>
        <w:rPr>
          <w:rFonts w:hint="eastAsia" w:ascii="宋体" w:hAnsi="宋体" w:eastAsia="宋体" w:cs="宋体"/>
          <w:snapToGrid w:val="0"/>
          <w:spacing w:val="-1"/>
          <w:kern w:val="0"/>
          <w:sz w:val="24"/>
          <w:szCs w:val="24"/>
          <w:lang w:val="en-US" w:bidi="ar-SA"/>
        </w:rPr>
      </w:pPr>
      <w:r>
        <w:rPr>
          <w:rFonts w:hint="eastAsia" w:ascii="宋体" w:hAnsi="宋体" w:eastAsia="宋体" w:cs="宋体"/>
          <w:snapToGrid w:val="0"/>
          <w:spacing w:val="-1"/>
          <w:kern w:val="0"/>
          <w:sz w:val="24"/>
          <w:szCs w:val="24"/>
          <w:lang w:val="en-US" w:bidi="ar-SA"/>
        </w:rPr>
        <w:t>1.基础信息</w:t>
      </w:r>
    </w:p>
    <w:p w14:paraId="13694753">
      <w:pPr>
        <w:pStyle w:val="11"/>
        <w:spacing w:line="360" w:lineRule="auto"/>
        <w:ind w:left="23" w:firstLine="482"/>
        <w:rPr>
          <w:rFonts w:hint="eastAsia" w:ascii="宋体" w:hAnsi="宋体" w:eastAsia="宋体" w:cs="宋体"/>
          <w:snapToGrid w:val="0"/>
          <w:spacing w:val="-1"/>
          <w:kern w:val="0"/>
          <w:sz w:val="24"/>
          <w:szCs w:val="24"/>
          <w:lang w:val="en-US" w:bidi="ar-SA"/>
        </w:rPr>
      </w:pPr>
      <w:r>
        <w:rPr>
          <w:rFonts w:hint="eastAsia" w:ascii="宋体" w:hAnsi="宋体" w:eastAsia="宋体" w:cs="宋体"/>
          <w:snapToGrid w:val="0"/>
          <w:spacing w:val="-1"/>
          <w:kern w:val="0"/>
          <w:sz w:val="24"/>
          <w:szCs w:val="24"/>
          <w:lang w:val="en-US" w:bidi="ar-SA"/>
        </w:rPr>
        <w:t>包括:加油站名称、加油站社会信用代码、经营证书编号、加油站类型、位置分类、品牌连锁、所属行政区域(市、区县)、建站地址、法定代表人（负责人）、法人（负责人）身份证号、加油站联系电话、营业状态、经营方式、加油站经纬度。</w:t>
      </w:r>
    </w:p>
    <w:p w14:paraId="01963145">
      <w:pPr>
        <w:pStyle w:val="11"/>
        <w:spacing w:line="360" w:lineRule="auto"/>
        <w:ind w:left="23" w:firstLine="482"/>
        <w:rPr>
          <w:rFonts w:hint="eastAsia" w:ascii="宋体" w:hAnsi="宋体" w:eastAsia="宋体" w:cs="宋体"/>
          <w:snapToGrid w:val="0"/>
          <w:spacing w:val="-1"/>
          <w:kern w:val="0"/>
          <w:sz w:val="24"/>
          <w:szCs w:val="24"/>
          <w:lang w:val="en-US" w:bidi="ar-SA"/>
        </w:rPr>
      </w:pPr>
      <w:r>
        <w:rPr>
          <w:rFonts w:hint="eastAsia" w:ascii="宋体" w:hAnsi="宋体" w:eastAsia="宋体" w:cs="宋体"/>
          <w:snapToGrid w:val="0"/>
          <w:spacing w:val="-1"/>
          <w:kern w:val="0"/>
          <w:sz w:val="24"/>
          <w:szCs w:val="24"/>
          <w:lang w:val="en-US" w:bidi="ar-SA"/>
        </w:rPr>
        <w:t>2.经营信息</w:t>
      </w:r>
    </w:p>
    <w:p w14:paraId="6FF70E21">
      <w:pPr>
        <w:pStyle w:val="11"/>
        <w:spacing w:line="360" w:lineRule="auto"/>
        <w:ind w:left="23" w:firstLine="482"/>
        <w:rPr>
          <w:rFonts w:hint="eastAsia" w:ascii="宋体" w:hAnsi="宋体" w:eastAsia="宋体" w:cs="宋体"/>
          <w:snapToGrid w:val="0"/>
          <w:spacing w:val="-1"/>
          <w:kern w:val="0"/>
          <w:sz w:val="24"/>
          <w:szCs w:val="24"/>
          <w:lang w:val="en-US" w:bidi="ar-SA"/>
        </w:rPr>
      </w:pPr>
      <w:r>
        <w:rPr>
          <w:rFonts w:hint="eastAsia" w:ascii="宋体" w:hAnsi="宋体" w:eastAsia="宋体" w:cs="宋体"/>
          <w:snapToGrid w:val="0"/>
          <w:spacing w:val="-1"/>
          <w:kern w:val="0"/>
          <w:sz w:val="24"/>
          <w:szCs w:val="24"/>
          <w:lang w:val="en-US" w:bidi="ar-SA"/>
        </w:rPr>
        <w:t>包括:占地面积、罩棚面积、加油机数量、加油枪数量、汽油罐数量、汽油罐总容量、柴油罐数量、柴油罐总容量、年检记录与结果、年销售额、年进油量。</w:t>
      </w:r>
    </w:p>
    <w:p w14:paraId="37FE7C00">
      <w:pPr>
        <w:pStyle w:val="11"/>
        <w:spacing w:line="360" w:lineRule="auto"/>
        <w:ind w:left="23" w:firstLine="482"/>
        <w:rPr>
          <w:rFonts w:hint="eastAsia" w:ascii="宋体" w:hAnsi="宋体" w:eastAsia="宋体" w:cs="宋体"/>
          <w:snapToGrid w:val="0"/>
          <w:spacing w:val="-1"/>
          <w:kern w:val="0"/>
          <w:sz w:val="24"/>
          <w:szCs w:val="24"/>
          <w:lang w:val="en-US" w:bidi="ar-SA"/>
        </w:rPr>
      </w:pPr>
      <w:r>
        <w:rPr>
          <w:rFonts w:hint="eastAsia" w:ascii="宋体" w:hAnsi="宋体" w:eastAsia="宋体" w:cs="宋体"/>
          <w:snapToGrid w:val="0"/>
          <w:spacing w:val="-1"/>
          <w:kern w:val="0"/>
          <w:sz w:val="24"/>
          <w:szCs w:val="24"/>
          <w:lang w:val="en-US" w:bidi="ar-SA"/>
        </w:rPr>
        <w:t>3.资质信息</w:t>
      </w:r>
    </w:p>
    <w:p w14:paraId="2B106A61">
      <w:pPr>
        <w:pStyle w:val="11"/>
        <w:spacing w:line="360" w:lineRule="auto"/>
        <w:ind w:left="23" w:firstLine="482"/>
        <w:rPr>
          <w:rFonts w:hint="eastAsia" w:ascii="宋体" w:hAnsi="宋体" w:eastAsia="宋体" w:cs="宋体"/>
          <w:snapToGrid w:val="0"/>
          <w:spacing w:val="-1"/>
          <w:kern w:val="0"/>
          <w:sz w:val="24"/>
          <w:szCs w:val="24"/>
          <w:lang w:val="en-US" w:bidi="ar-SA"/>
        </w:rPr>
      </w:pPr>
      <w:r>
        <w:rPr>
          <w:rFonts w:hint="eastAsia" w:ascii="宋体" w:hAnsi="宋体" w:eastAsia="宋体" w:cs="宋体"/>
          <w:snapToGrid w:val="0"/>
          <w:spacing w:val="-1"/>
          <w:kern w:val="0"/>
          <w:sz w:val="24"/>
          <w:szCs w:val="24"/>
          <w:lang w:val="en-US" w:bidi="ar-SA"/>
        </w:rPr>
        <w:t>包括:发证日期、证书到期日期、规划确认批复文号、受理单号、规划年度、土地信息、工程规划许可证号、用地规划许可证号、危化品经营许可证号、工程施工许可证号、进油渠道</w:t>
      </w:r>
    </w:p>
    <w:p w14:paraId="7900384F">
      <w:pPr>
        <w:pStyle w:val="11"/>
        <w:spacing w:line="360" w:lineRule="auto"/>
        <w:ind w:left="23" w:firstLine="482"/>
        <w:rPr>
          <w:rFonts w:hint="eastAsia" w:ascii="宋体" w:hAnsi="宋体" w:eastAsia="宋体" w:cs="宋体"/>
          <w:snapToGrid w:val="0"/>
          <w:spacing w:val="-1"/>
          <w:kern w:val="0"/>
          <w:sz w:val="24"/>
          <w:szCs w:val="24"/>
          <w:lang w:val="en-US" w:bidi="ar-SA"/>
        </w:rPr>
      </w:pPr>
      <w:r>
        <w:rPr>
          <w:rFonts w:hint="eastAsia" w:ascii="宋体" w:hAnsi="宋体" w:eastAsia="宋体" w:cs="宋体"/>
          <w:snapToGrid w:val="0"/>
          <w:spacing w:val="-1"/>
          <w:kern w:val="0"/>
          <w:sz w:val="24"/>
          <w:szCs w:val="24"/>
          <w:lang w:val="en-US" w:bidi="ar-SA"/>
        </w:rPr>
        <w:t>4.投资/经营人信息</w:t>
      </w:r>
    </w:p>
    <w:p w14:paraId="0CEC76E8">
      <w:pPr>
        <w:pStyle w:val="11"/>
        <w:spacing w:line="360" w:lineRule="auto"/>
        <w:ind w:left="23" w:firstLine="482"/>
        <w:rPr>
          <w:rFonts w:hint="eastAsia" w:ascii="宋体" w:hAnsi="宋体" w:eastAsia="宋体" w:cs="宋体"/>
          <w:snapToGrid w:val="0"/>
          <w:spacing w:val="-1"/>
          <w:kern w:val="0"/>
          <w:sz w:val="24"/>
          <w:szCs w:val="24"/>
          <w:lang w:val="en-US" w:bidi="ar-SA"/>
        </w:rPr>
      </w:pPr>
      <w:r>
        <w:rPr>
          <w:rFonts w:hint="eastAsia" w:ascii="宋体" w:hAnsi="宋体" w:eastAsia="宋体" w:cs="宋体"/>
          <w:snapToGrid w:val="0"/>
          <w:spacing w:val="-1"/>
          <w:kern w:val="0"/>
          <w:sz w:val="24"/>
          <w:szCs w:val="24"/>
          <w:lang w:val="en-US" w:bidi="ar-SA"/>
        </w:rPr>
        <w:t>包括:企业名称/自然人姓名、注册地址、法定代表人(负责人)、身份证号、经济类型、企业社会信用代码、预核准证书、联系人、联系电话、注册资金、从业人员、专业人员、投资/经营人简称。</w:t>
      </w:r>
    </w:p>
    <w:p w14:paraId="29B6A38B">
      <w:pPr>
        <w:pStyle w:val="4"/>
        <w:tabs>
          <w:tab w:val="left" w:pos="0"/>
        </w:tabs>
        <w:rPr>
          <w:rFonts w:hint="eastAsia" w:ascii="宋体" w:hAnsi="宋体" w:eastAsia="宋体" w:cs="宋体"/>
          <w:sz w:val="24"/>
          <w:szCs w:val="24"/>
          <w:lang w:eastAsia="zh-CN"/>
        </w:rPr>
      </w:pPr>
      <w:bookmarkStart w:id="71" w:name="_Toc2333"/>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服务要求</w:t>
      </w:r>
      <w:bookmarkEnd w:id="71"/>
    </w:p>
    <w:p w14:paraId="787306C8">
      <w:pPr>
        <w:pStyle w:val="11"/>
        <w:spacing w:line="360" w:lineRule="auto"/>
        <w:ind w:left="0" w:firstLine="476" w:firstLineChars="200"/>
        <w:rPr>
          <w:rFonts w:hint="eastAsia" w:ascii="宋体" w:hAnsi="宋体" w:eastAsia="宋体" w:cs="宋体"/>
          <w:sz w:val="24"/>
          <w:szCs w:val="24"/>
        </w:rPr>
      </w:pPr>
      <w:r>
        <w:rPr>
          <w:rFonts w:hint="eastAsia" w:ascii="宋体" w:hAnsi="宋体" w:eastAsia="宋体" w:cs="宋体"/>
          <w:spacing w:val="-1"/>
          <w:sz w:val="24"/>
          <w:szCs w:val="24"/>
        </w:rPr>
        <w:t>1、质保期一年，质保期内提供免费上门服务，免费技术服务支持和维保。</w:t>
      </w:r>
    </w:p>
    <w:p w14:paraId="5E83F8E6">
      <w:pPr>
        <w:pStyle w:val="11"/>
        <w:spacing w:line="360" w:lineRule="auto"/>
        <w:ind w:left="0" w:firstLine="461"/>
        <w:rPr>
          <w:rFonts w:hint="eastAsia" w:ascii="宋体" w:hAnsi="宋体" w:eastAsia="宋体" w:cs="宋体"/>
          <w:sz w:val="24"/>
          <w:szCs w:val="24"/>
        </w:rPr>
      </w:pPr>
      <w:r>
        <w:rPr>
          <w:rFonts w:hint="eastAsia" w:ascii="宋体" w:hAnsi="宋体" w:eastAsia="宋体" w:cs="宋体"/>
          <w:b/>
          <w:bCs/>
          <w:spacing w:val="-2"/>
          <w:sz w:val="24"/>
          <w:szCs w:val="24"/>
        </w:rPr>
        <w:t>2、按照省平台建设专班《关于加快推进省成品油流通智慧监管平台建设应用工作的通知》要求，数据采集设备招标完成后、组</w:t>
      </w:r>
      <w:r>
        <w:rPr>
          <w:rFonts w:hint="eastAsia" w:ascii="宋体" w:hAnsi="宋体" w:eastAsia="宋体" w:cs="宋体"/>
          <w:b/>
          <w:bCs/>
          <w:spacing w:val="-3"/>
          <w:sz w:val="24"/>
          <w:szCs w:val="24"/>
        </w:rPr>
        <w:t>织安装前需与省平台进行兼容性测试。</w:t>
      </w:r>
    </w:p>
    <w:p w14:paraId="07DA028F">
      <w:pPr>
        <w:pStyle w:val="11"/>
        <w:spacing w:line="360" w:lineRule="auto"/>
        <w:ind w:left="0" w:firstLine="478"/>
        <w:rPr>
          <w:rFonts w:hint="eastAsia" w:ascii="宋体" w:hAnsi="宋体" w:eastAsia="宋体" w:cs="宋体"/>
          <w:sz w:val="24"/>
          <w:szCs w:val="24"/>
        </w:rPr>
      </w:pPr>
      <w:r>
        <w:rPr>
          <w:rFonts w:hint="eastAsia" w:ascii="宋体" w:hAnsi="宋体" w:eastAsia="宋体" w:cs="宋体"/>
          <w:sz w:val="24"/>
          <w:szCs w:val="24"/>
        </w:rPr>
        <w:t>3、提供本项目采购设备的定期检查、故障分析</w:t>
      </w:r>
      <w:r>
        <w:rPr>
          <w:rFonts w:hint="eastAsia" w:ascii="宋体" w:hAnsi="宋体" w:eastAsia="宋体" w:cs="宋体"/>
          <w:spacing w:val="-1"/>
          <w:sz w:val="24"/>
          <w:szCs w:val="24"/>
        </w:rPr>
        <w:t>、排除和调试修复工作，确保设备</w:t>
      </w:r>
      <w:r>
        <w:rPr>
          <w:rFonts w:hint="eastAsia" w:ascii="宋体" w:hAnsi="宋体" w:eastAsia="宋体" w:cs="宋体"/>
          <w:spacing w:val="-2"/>
          <w:sz w:val="24"/>
          <w:szCs w:val="24"/>
        </w:rPr>
        <w:t>正常运行；除设备丢失、人为损坏、不可抗力等原因所引起的故障外，所有故障均由中标供应商负责修复。</w:t>
      </w:r>
    </w:p>
    <w:p w14:paraId="2948F93E">
      <w:pPr>
        <w:pStyle w:val="11"/>
        <w:spacing w:line="360" w:lineRule="auto"/>
        <w:ind w:left="0" w:firstLine="478"/>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z w:val="24"/>
          <w:szCs w:val="24"/>
        </w:rPr>
        <w:t>提供7*24小时电话技术支持服务，接到报修信息后，30分钟内响应，6个小时内到达维修现场并将故障排除初步情况反馈给采购人，2小时内修复,特殊情况在2小时内无法修复的，说明情况并免费提供备用设备（同规格型号）,不影响采购人正常使用。</w:t>
      </w:r>
    </w:p>
    <w:p w14:paraId="680DBBC9">
      <w:pPr>
        <w:pStyle w:val="11"/>
        <w:spacing w:line="360" w:lineRule="auto"/>
        <w:ind w:left="0" w:firstLine="478"/>
        <w:rPr>
          <w:rFonts w:hint="eastAsia" w:ascii="宋体" w:hAnsi="宋体" w:eastAsia="宋体" w:cs="宋体"/>
          <w:sz w:val="24"/>
          <w:szCs w:val="24"/>
        </w:rPr>
      </w:pPr>
      <w:r>
        <w:rPr>
          <w:rFonts w:hint="eastAsia" w:ascii="宋体" w:hAnsi="宋体" w:eastAsia="宋体" w:cs="宋体"/>
          <w:sz w:val="24"/>
          <w:szCs w:val="24"/>
        </w:rPr>
        <w:t>5、中标产品交付标准必须以投标文件中技术参数为准，如发现供应商提供产品与投标文件不符，招标人</w:t>
      </w:r>
      <w:r>
        <w:rPr>
          <w:rFonts w:hint="eastAsia" w:ascii="宋体" w:hAnsi="宋体" w:eastAsia="宋体" w:cs="宋体"/>
          <w:spacing w:val="-1"/>
          <w:sz w:val="24"/>
          <w:szCs w:val="24"/>
        </w:rPr>
        <w:t>认定该供应商提供虚假材料谋取中标。</w:t>
      </w:r>
    </w:p>
    <w:p w14:paraId="3B84B032">
      <w:pPr>
        <w:pStyle w:val="11"/>
        <w:spacing w:line="360" w:lineRule="auto"/>
        <w:ind w:left="0" w:firstLine="472" w:firstLineChars="200"/>
        <w:rPr>
          <w:rFonts w:hint="eastAsia" w:ascii="宋体" w:hAnsi="宋体" w:eastAsia="宋体" w:cs="宋体"/>
          <w:sz w:val="24"/>
          <w:szCs w:val="24"/>
        </w:rPr>
      </w:pPr>
      <w:r>
        <w:rPr>
          <w:rFonts w:hint="eastAsia" w:ascii="宋体" w:hAnsi="宋体" w:eastAsia="宋体" w:cs="宋体"/>
          <w:spacing w:val="-2"/>
          <w:sz w:val="24"/>
          <w:szCs w:val="24"/>
        </w:rPr>
        <w:t>6、项目验收：</w:t>
      </w:r>
    </w:p>
    <w:p w14:paraId="0ADB0E68">
      <w:pPr>
        <w:pStyle w:val="11"/>
        <w:spacing w:line="360" w:lineRule="auto"/>
        <w:ind w:left="0" w:firstLine="478"/>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z w:val="24"/>
          <w:szCs w:val="24"/>
        </w:rPr>
        <w:t>项目建设完成后，由采购人按“山西省成品油流通智慧监管平台数据接入规范”进行验收。</w:t>
      </w:r>
    </w:p>
    <w:p w14:paraId="374EB0C9">
      <w:pPr>
        <w:pStyle w:val="11"/>
        <w:spacing w:line="360" w:lineRule="auto"/>
        <w:ind w:left="0" w:firstLine="478"/>
        <w:rPr>
          <w:rFonts w:hint="eastAsia" w:ascii="宋体" w:hAnsi="宋体" w:eastAsia="宋体" w:cs="宋体"/>
          <w:sz w:val="24"/>
          <w:szCs w:val="24"/>
        </w:rPr>
      </w:pPr>
      <w:r>
        <w:rPr>
          <w:rFonts w:hint="eastAsia" w:ascii="宋体" w:hAnsi="宋体" w:eastAsia="宋体" w:cs="宋体"/>
          <w:sz w:val="24"/>
          <w:szCs w:val="24"/>
        </w:rPr>
        <w:t>（2）项目验收不合格，由成交供应商返工直至合格，有关返工、再行验收，以及给采购人造成的损失等费用由成交供应商承担。连续两次项目验收不合格的，采购人可终止合同，另行按规定选择其他供应商采购，由</w:t>
      </w:r>
      <w:r>
        <w:rPr>
          <w:rFonts w:hint="eastAsia" w:ascii="宋体" w:hAnsi="宋体" w:eastAsia="宋体" w:cs="宋体"/>
          <w:spacing w:val="-1"/>
          <w:sz w:val="24"/>
          <w:szCs w:val="24"/>
        </w:rPr>
        <w:t>此带来的一切损失由成交供应商承担。</w:t>
      </w:r>
    </w:p>
    <w:p w14:paraId="78AD2173">
      <w:pPr>
        <w:pStyle w:val="11"/>
        <w:spacing w:line="360" w:lineRule="auto"/>
        <w:ind w:left="0" w:firstLine="478"/>
        <w:rPr>
          <w:rFonts w:hint="eastAsia" w:ascii="宋体" w:hAnsi="宋体" w:eastAsia="宋体" w:cs="宋体"/>
          <w:sz w:val="24"/>
          <w:szCs w:val="24"/>
        </w:rPr>
      </w:pPr>
      <w:r>
        <w:rPr>
          <w:rFonts w:hint="eastAsia" w:ascii="宋体" w:hAnsi="宋体" w:eastAsia="宋体" w:cs="宋体"/>
          <w:sz w:val="24"/>
          <w:szCs w:val="24"/>
        </w:rPr>
        <w:t>（3）供应商应保证针对本项目的服务（或货物）所涉及到的知识产权和所提供的相关技术资料是合法取得，并享有完整的知识产权，不会因为采购人的使用而被责令停止使用、追偿或要求赔偿损失，如出现此情况，一切经济和法律责任均由供应商承担。</w:t>
      </w:r>
    </w:p>
    <w:p w14:paraId="24A93CD0">
      <w:pPr>
        <w:pStyle w:val="11"/>
        <w:spacing w:line="360" w:lineRule="auto"/>
        <w:ind w:left="0" w:firstLine="478"/>
        <w:rPr>
          <w:rFonts w:hint="eastAsia" w:ascii="宋体" w:hAnsi="宋体" w:eastAsia="宋体" w:cs="宋体"/>
          <w:sz w:val="24"/>
          <w:szCs w:val="24"/>
        </w:rPr>
      </w:pPr>
      <w:r>
        <w:rPr>
          <w:rFonts w:hint="eastAsia" w:ascii="宋体" w:hAnsi="宋体" w:eastAsia="宋体" w:cs="宋体"/>
          <w:sz w:val="24"/>
          <w:szCs w:val="24"/>
        </w:rPr>
        <w:t>（4）为保障本项目高效开展，数据采集设备招标完成后、组织安装前需与省平台进行兼容性测试，确保采购的相关设备能按规范要求直联省平台。如五个工作日内与省平台进行兼容性测试未通过，将按不满足招标需求，</w:t>
      </w:r>
      <w:r>
        <w:rPr>
          <w:rFonts w:hint="eastAsia" w:ascii="宋体" w:hAnsi="宋体" w:eastAsia="宋体" w:cs="宋体"/>
          <w:sz w:val="24"/>
          <w:szCs w:val="24"/>
          <w:lang w:val="en-US"/>
        </w:rPr>
        <w:t>取消中标资格</w:t>
      </w:r>
      <w:r>
        <w:rPr>
          <w:rFonts w:hint="eastAsia" w:ascii="宋体" w:hAnsi="宋体" w:eastAsia="宋体" w:cs="宋体"/>
          <w:sz w:val="24"/>
          <w:szCs w:val="24"/>
        </w:rPr>
        <w:t>处理。</w:t>
      </w:r>
    </w:p>
    <w:p w14:paraId="159B35EC">
      <w:pPr>
        <w:rPr>
          <w:rFonts w:hint="default"/>
          <w:lang w:val="en-US" w:eastAsia="zh-CN"/>
        </w:rPr>
      </w:pPr>
    </w:p>
    <w:p w14:paraId="5FF9826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41E5A4A1">
      <w:pPr>
        <w:pStyle w:val="27"/>
        <w:widowControl w:val="0"/>
        <w:shd w:val="clear"/>
        <w:spacing w:before="120" w:beforeLines="50" w:after="120" w:afterLines="50" w:line="440" w:lineRule="exact"/>
        <w:jc w:val="center"/>
        <w:outlineLvl w:val="0"/>
        <w:rPr>
          <w:rFonts w:hint="eastAsia" w:ascii="宋体" w:hAnsi="宋体" w:eastAsia="宋体" w:cs="宋体"/>
          <w:b/>
          <w:sz w:val="32"/>
          <w:szCs w:val="32"/>
          <w:highlight w:val="none"/>
        </w:rPr>
      </w:pPr>
      <w:bookmarkStart w:id="72" w:name="_Toc11340"/>
      <w:r>
        <w:rPr>
          <w:rFonts w:hint="eastAsia" w:ascii="宋体" w:hAnsi="宋体" w:eastAsia="宋体" w:cs="宋体"/>
          <w:b/>
          <w:sz w:val="32"/>
          <w:szCs w:val="32"/>
          <w:highlight w:val="none"/>
        </w:rPr>
        <w:t xml:space="preserve">第六部分  </w:t>
      </w:r>
      <w:bookmarkEnd w:id="66"/>
      <w:r>
        <w:rPr>
          <w:rFonts w:hint="eastAsia" w:ascii="宋体" w:hAnsi="宋体" w:eastAsia="宋体" w:cs="宋体"/>
          <w:b/>
          <w:sz w:val="32"/>
          <w:szCs w:val="32"/>
          <w:highlight w:val="none"/>
        </w:rPr>
        <w:t>拟签订的合同文本</w:t>
      </w:r>
      <w:bookmarkEnd w:id="67"/>
      <w:bookmarkEnd w:id="68"/>
      <w:bookmarkEnd w:id="72"/>
    </w:p>
    <w:p w14:paraId="6CF699EC">
      <w:pPr>
        <w:pStyle w:val="11"/>
        <w:spacing w:after="0"/>
        <w:jc w:val="center"/>
        <w:rPr>
          <w:rFonts w:ascii="宋体" w:hAnsi="宋体" w:cs="宋体"/>
          <w:b/>
          <w:bCs/>
          <w:spacing w:val="-20"/>
          <w:kern w:val="44"/>
          <w:sz w:val="48"/>
          <w:szCs w:val="48"/>
        </w:rPr>
      </w:pPr>
      <w:bookmarkStart w:id="73" w:name="_Toc3995"/>
    </w:p>
    <w:p w14:paraId="06937E1B">
      <w:pPr>
        <w:pStyle w:val="11"/>
        <w:spacing w:after="0"/>
        <w:jc w:val="center"/>
        <w:rPr>
          <w:rFonts w:ascii="宋体" w:hAnsi="宋体" w:cs="宋体"/>
          <w:b/>
          <w:bCs/>
          <w:spacing w:val="-20"/>
          <w:kern w:val="44"/>
          <w:sz w:val="48"/>
          <w:szCs w:val="48"/>
        </w:rPr>
      </w:pPr>
    </w:p>
    <w:p w14:paraId="4DCF7002">
      <w:pPr>
        <w:pStyle w:val="11"/>
        <w:spacing w:after="0"/>
        <w:jc w:val="center"/>
        <w:rPr>
          <w:rFonts w:ascii="宋体" w:hAnsi="宋体" w:cs="宋体"/>
          <w:b/>
          <w:bCs/>
          <w:spacing w:val="-20"/>
          <w:kern w:val="44"/>
          <w:sz w:val="48"/>
          <w:szCs w:val="48"/>
        </w:rPr>
      </w:pPr>
    </w:p>
    <w:p w14:paraId="49FA752D">
      <w:pPr>
        <w:pStyle w:val="11"/>
        <w:spacing w:after="0"/>
        <w:jc w:val="center"/>
        <w:rPr>
          <w:rFonts w:ascii="宋体" w:hAnsi="宋体" w:cs="宋体"/>
          <w:b/>
          <w:bCs/>
          <w:spacing w:val="-20"/>
          <w:kern w:val="44"/>
          <w:sz w:val="48"/>
          <w:szCs w:val="48"/>
        </w:rPr>
      </w:pPr>
    </w:p>
    <w:p w14:paraId="6EA74123">
      <w:pPr>
        <w:pStyle w:val="11"/>
        <w:spacing w:after="0"/>
        <w:jc w:val="center"/>
        <w:rPr>
          <w:rFonts w:ascii="宋体" w:hAnsi="宋体" w:cs="宋体"/>
          <w:b/>
          <w:bCs/>
          <w:spacing w:val="-20"/>
          <w:kern w:val="44"/>
          <w:sz w:val="48"/>
          <w:szCs w:val="48"/>
        </w:rPr>
      </w:pPr>
    </w:p>
    <w:p w14:paraId="0B58CC82">
      <w:pPr>
        <w:pStyle w:val="11"/>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A1634E5">
      <w:pPr>
        <w:pStyle w:val="11"/>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FCE9D8E">
      <w:pPr>
        <w:rPr>
          <w:rFonts w:ascii="宋体" w:hAnsi="宋体" w:cs="宋体"/>
          <w:b/>
          <w:bCs/>
          <w:spacing w:val="-20"/>
          <w:kern w:val="44"/>
          <w:sz w:val="40"/>
          <w:szCs w:val="40"/>
        </w:rPr>
      </w:pPr>
    </w:p>
    <w:p w14:paraId="2AEECA4F">
      <w:pPr>
        <w:rPr>
          <w:rFonts w:ascii="宋体" w:hAnsi="宋体" w:cs="宋体"/>
          <w:b/>
          <w:bCs/>
          <w:spacing w:val="-20"/>
          <w:kern w:val="44"/>
          <w:sz w:val="40"/>
          <w:szCs w:val="40"/>
        </w:rPr>
      </w:pPr>
    </w:p>
    <w:p w14:paraId="0B31E25C">
      <w:pPr>
        <w:rPr>
          <w:rFonts w:ascii="宋体" w:hAnsi="宋体" w:cs="宋体"/>
          <w:b/>
          <w:bCs/>
          <w:spacing w:val="-20"/>
          <w:kern w:val="44"/>
          <w:sz w:val="40"/>
          <w:szCs w:val="40"/>
        </w:rPr>
      </w:pPr>
    </w:p>
    <w:p w14:paraId="0AACA70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6597EA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6FEB1FB5">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9FD30A3">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5AEFB98">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AD5FC98"/>
    <w:p w14:paraId="1FB97A7A">
      <w:pPr>
        <w:rPr>
          <w:rFonts w:eastAsia="黑体"/>
          <w:sz w:val="44"/>
          <w:szCs w:val="44"/>
        </w:rPr>
      </w:pPr>
      <w:r>
        <w:rPr>
          <w:rFonts w:eastAsia="黑体"/>
          <w:sz w:val="44"/>
          <w:szCs w:val="44"/>
        </w:rPr>
        <w:br w:type="page"/>
      </w:r>
    </w:p>
    <w:p w14:paraId="54AC27FD">
      <w:pPr>
        <w:rPr>
          <w:rFonts w:eastAsia="黑体"/>
          <w:sz w:val="44"/>
          <w:szCs w:val="44"/>
        </w:rPr>
      </w:pPr>
    </w:p>
    <w:p w14:paraId="7987960C">
      <w:pPr>
        <w:rPr>
          <w:rFonts w:eastAsia="黑体"/>
          <w:sz w:val="44"/>
          <w:szCs w:val="44"/>
        </w:rPr>
      </w:pPr>
    </w:p>
    <w:p w14:paraId="592A2447">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0FE9449">
      <w:pPr>
        <w:ind w:firstLine="640" w:firstLineChars="200"/>
        <w:rPr>
          <w:rFonts w:hint="eastAsia" w:ascii="仿宋_GB2312" w:hAnsi="仿宋_GB2312" w:eastAsia="仿宋_GB2312" w:cs="仿宋_GB2312"/>
          <w:sz w:val="32"/>
          <w:szCs w:val="32"/>
          <w:lang w:val="en-US" w:eastAsia="zh-CN"/>
        </w:rPr>
      </w:pPr>
    </w:p>
    <w:p w14:paraId="2FDA82B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C273BC7">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842857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3E07F08">
      <w:pPr>
        <w:ind w:firstLine="880" w:firstLineChars="200"/>
        <w:jc w:val="both"/>
        <w:rPr>
          <w:rFonts w:eastAsia="黑体"/>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3"/>
    <w:p w14:paraId="0F3A689A">
      <w:pPr>
        <w:pStyle w:val="4"/>
        <w:adjustRightInd w:val="0"/>
        <w:snapToGrid w:val="0"/>
        <w:spacing w:beforeLines="0" w:line="400" w:lineRule="exact"/>
        <w:jc w:val="center"/>
        <w:rPr>
          <w:rFonts w:hint="eastAsia" w:ascii="黑体" w:hAnsi="黑体" w:eastAsia="黑体"/>
          <w:sz w:val="28"/>
          <w:szCs w:val="28"/>
        </w:rPr>
      </w:pPr>
      <w:bookmarkStart w:id="74" w:name="_Toc22209"/>
    </w:p>
    <w:p w14:paraId="3E2BD878">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74"/>
    </w:p>
    <w:p w14:paraId="09E56593">
      <w:pPr>
        <w:pStyle w:val="4"/>
        <w:adjustRightInd w:val="0"/>
        <w:snapToGrid w:val="0"/>
        <w:spacing w:beforeLines="0" w:line="400" w:lineRule="exact"/>
        <w:jc w:val="center"/>
        <w:rPr>
          <w:rFonts w:hint="eastAsia" w:ascii="黑体" w:hAnsi="华文中宋" w:eastAsia="黑体"/>
          <w:b w:val="0"/>
          <w:bCs w:val="0"/>
          <w:sz w:val="28"/>
          <w:szCs w:val="28"/>
        </w:rPr>
      </w:pPr>
    </w:p>
    <w:p w14:paraId="568845B3">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F0EB9E4">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ACCF671">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155DE7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E7771BC">
      <w:pPr>
        <w:spacing w:beforeLines="0" w:line="400" w:lineRule="exact"/>
        <w:rPr>
          <w:rFonts w:hint="default" w:eastAsia="宋体"/>
          <w:lang w:val="en-US" w:eastAsia="zh-CN"/>
        </w:rPr>
      </w:pPr>
    </w:p>
    <w:p w14:paraId="54FF84F9">
      <w:pPr>
        <w:pStyle w:val="12"/>
        <w:adjustRightInd w:val="0"/>
        <w:snapToGrid w:val="0"/>
        <w:spacing w:before="0" w:beforeLines="0" w:after="0" w:line="400" w:lineRule="exact"/>
        <w:ind w:left="0" w:leftChars="0" w:firstLine="56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2432B09">
      <w:pPr>
        <w:numPr>
          <w:ilvl w:val="0"/>
          <w:numId w:val="3"/>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6BB6B556">
      <w:pPr>
        <w:pStyle w:val="12"/>
        <w:numPr>
          <w:ilvl w:val="0"/>
          <w:numId w:val="4"/>
        </w:numPr>
        <w:adjustRightInd w:val="0"/>
        <w:snapToGrid w:val="0"/>
        <w:spacing w:before="0" w:beforeLines="0" w:after="0" w:line="400" w:lineRule="exact"/>
        <w:ind w:left="0" w:leftChars="0" w:firstLine="56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5BD56410">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922C0B0">
      <w:pPr>
        <w:pStyle w:val="12"/>
        <w:adjustRightInd w:val="0"/>
        <w:snapToGrid w:val="0"/>
        <w:spacing w:before="0" w:beforeLines="0" w:after="0" w:line="400" w:lineRule="exact"/>
        <w:ind w:left="0" w:leftChars="0" w:firstLine="56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16B131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07835080">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9D0146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6B669920">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E9F589C">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BA5B371">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BB9F3BE">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E1FB4CF">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D5D4A6B">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7BF3938">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1C9AEEC">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B17F399">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DE5B268">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EF15978">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5B32024">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43DB4132">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0072205C">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3996EA0">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E44FC43">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A1150A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963CAB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B0901D7">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D1CA05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3C09C59">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A01EB0">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9B6A883">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198FD69">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3A656A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C8EE734">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3BF8B9E">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80330D4">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2371A991">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DF4B85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CB399EB">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E1ECD28">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4FEB23E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2F3FE39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488D91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97E9B2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1A5BE6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E843938">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A4A27C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3E00CB6">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6BDF303">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80296B3">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BE2BE4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69A4F6">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B41D8A3">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3405DA8A">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49707B4">
      <w:pPr>
        <w:numPr>
          <w:ilvl w:val="0"/>
          <w:numId w:val="3"/>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6EBFB06A">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8F3C877">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0F453B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13C7D6B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BA43D3D">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8DA96EA">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83A58BD">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4077ED6B">
      <w:pPr>
        <w:pStyle w:val="4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675D6F5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0926914">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C9247D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568E37C">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94248F3">
      <w:pPr>
        <w:numPr>
          <w:ilvl w:val="0"/>
          <w:numId w:val="3"/>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62E3CB05">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FD9AFB7">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CA64C43">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158689E">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1C0FF26">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C8BFA5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93C4EBE">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7AE5708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0F34018">
      <w:pPr>
        <w:numPr>
          <w:ilvl w:val="0"/>
          <w:numId w:val="3"/>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002AD068">
      <w:pPr>
        <w:numPr>
          <w:ilvl w:val="0"/>
          <w:numId w:val="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01D8D41">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33F5E8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184019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346CD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86F83A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133F95A">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3BD3A29">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D84AEFA">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E4DAE33">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162E80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2F14856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55DB32E">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8680DB3">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FD2A50D">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951ACE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9BDB2B3">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9E832A7">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57953C4">
      <w:pPr>
        <w:numPr>
          <w:ilvl w:val="0"/>
          <w:numId w:val="3"/>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08E87EF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999FE09">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0FD0E5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9F43A5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295F934">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30932EA">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307440E">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913425B">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7C9FB3B">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0F1C786">
      <w:pPr>
        <w:numPr>
          <w:ilvl w:val="0"/>
          <w:numId w:val="3"/>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4A9C7E2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E9B9E7A">
      <w:pPr>
        <w:numPr>
          <w:ilvl w:val="0"/>
          <w:numId w:val="3"/>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131B50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0C95CE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73F67D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47130B2">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4977813D">
      <w:pPr>
        <w:pStyle w:val="41"/>
        <w:spacing w:beforeLines="0" w:line="400" w:lineRule="exact"/>
      </w:pPr>
    </w:p>
    <w:p w14:paraId="0D154735">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44F8B86">
      <w:pPr>
        <w:rPr>
          <w:rFonts w:hint="eastAsia"/>
        </w:rPr>
      </w:pPr>
      <w:r>
        <w:rPr>
          <w:rFonts w:hint="eastAsia"/>
        </w:rPr>
        <w:br w:type="page"/>
      </w:r>
    </w:p>
    <w:p w14:paraId="4F404264">
      <w:pPr>
        <w:pStyle w:val="41"/>
        <w:rPr>
          <w:rFonts w:hint="eastAsia"/>
        </w:rPr>
      </w:pPr>
    </w:p>
    <w:tbl>
      <w:tblPr>
        <w:tblStyle w:val="3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0"/>
        <w:gridCol w:w="2589"/>
        <w:gridCol w:w="2124"/>
        <w:gridCol w:w="2273"/>
      </w:tblGrid>
      <w:tr w14:paraId="28BCCB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5ED4430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5229E2C">
            <w:pPr>
              <w:adjustRightInd w:val="0"/>
              <w:snapToGrid w:val="0"/>
              <w:spacing w:line="300" w:lineRule="exact"/>
              <w:jc w:val="center"/>
            </w:pPr>
            <w:r>
              <w:rPr>
                <w:szCs w:val="21"/>
              </w:rPr>
              <w:t>乙方</w:t>
            </w:r>
            <w:r>
              <w:rPr>
                <w:rFonts w:hint="eastAsia"/>
                <w:szCs w:val="21"/>
              </w:rPr>
              <w:t>（供应商）</w:t>
            </w:r>
          </w:p>
        </w:tc>
      </w:tr>
      <w:tr w14:paraId="40058B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917" w:hRule="atLeast"/>
        </w:trPr>
        <w:tc>
          <w:tcPr>
            <w:tcW w:w="1126" w:type="pct"/>
            <w:tcBorders>
              <w:top w:val="single" w:color="auto" w:sz="2" w:space="0"/>
              <w:bottom w:val="single" w:color="auto" w:sz="2" w:space="0"/>
              <w:right w:val="single" w:color="auto" w:sz="2" w:space="0"/>
            </w:tcBorders>
            <w:vAlign w:val="center"/>
          </w:tcPr>
          <w:p w14:paraId="2B676BE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717FB30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BE7D5A">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7A7FC4E5">
            <w:pPr>
              <w:adjustRightInd w:val="0"/>
              <w:snapToGrid w:val="0"/>
              <w:spacing w:line="300" w:lineRule="exact"/>
              <w:jc w:val="center"/>
              <w:rPr>
                <w:spacing w:val="20"/>
                <w:szCs w:val="21"/>
              </w:rPr>
            </w:pPr>
          </w:p>
        </w:tc>
      </w:tr>
      <w:tr w14:paraId="3EC5D0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1171" w:hRule="atLeast"/>
        </w:trPr>
        <w:tc>
          <w:tcPr>
            <w:tcW w:w="1126" w:type="pct"/>
            <w:vMerge w:val="restart"/>
            <w:tcBorders>
              <w:top w:val="single" w:color="auto" w:sz="2" w:space="0"/>
              <w:right w:val="single" w:color="auto" w:sz="2" w:space="0"/>
            </w:tcBorders>
            <w:vAlign w:val="center"/>
          </w:tcPr>
          <w:p w14:paraId="6F7048AA">
            <w:pPr>
              <w:adjustRightInd w:val="0"/>
              <w:snapToGrid w:val="0"/>
              <w:spacing w:line="300" w:lineRule="exact"/>
              <w:jc w:val="center"/>
              <w:rPr>
                <w:szCs w:val="21"/>
              </w:rPr>
            </w:pPr>
            <w:r>
              <w:rPr>
                <w:szCs w:val="21"/>
              </w:rPr>
              <w:t>法定代表人</w:t>
            </w:r>
          </w:p>
          <w:p w14:paraId="1CF04CCC">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71A83B4">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2088A5D">
            <w:pPr>
              <w:adjustRightInd w:val="0"/>
              <w:snapToGrid w:val="0"/>
              <w:spacing w:line="300" w:lineRule="exact"/>
              <w:jc w:val="center"/>
              <w:rPr>
                <w:szCs w:val="21"/>
              </w:rPr>
            </w:pPr>
            <w:r>
              <w:rPr>
                <w:szCs w:val="21"/>
              </w:rPr>
              <w:t>法定代表人</w:t>
            </w:r>
          </w:p>
          <w:p w14:paraId="0886C18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4F6F3B5B">
            <w:pPr>
              <w:adjustRightInd w:val="0"/>
              <w:snapToGrid w:val="0"/>
              <w:spacing w:line="300" w:lineRule="exact"/>
              <w:jc w:val="center"/>
              <w:rPr>
                <w:szCs w:val="21"/>
              </w:rPr>
            </w:pPr>
          </w:p>
        </w:tc>
      </w:tr>
      <w:tr w14:paraId="21527F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vMerge w:val="continue"/>
            <w:tcBorders>
              <w:bottom w:val="single" w:color="auto" w:sz="2" w:space="0"/>
              <w:right w:val="single" w:color="auto" w:sz="2" w:space="0"/>
            </w:tcBorders>
            <w:vAlign w:val="center"/>
          </w:tcPr>
          <w:p w14:paraId="54411389">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23F57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BC309B">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CA8AB61">
            <w:pPr>
              <w:adjustRightInd w:val="0"/>
              <w:snapToGrid w:val="0"/>
              <w:spacing w:line="300" w:lineRule="exact"/>
              <w:jc w:val="center"/>
              <w:rPr>
                <w:spacing w:val="20"/>
                <w:szCs w:val="21"/>
              </w:rPr>
            </w:pPr>
          </w:p>
        </w:tc>
      </w:tr>
      <w:tr w14:paraId="0F54CE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4D11AC53">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764C51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B59AA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411D8EAA">
            <w:pPr>
              <w:adjustRightInd w:val="0"/>
              <w:snapToGrid w:val="0"/>
              <w:spacing w:line="300" w:lineRule="exact"/>
              <w:jc w:val="center"/>
              <w:rPr>
                <w:spacing w:val="20"/>
                <w:szCs w:val="21"/>
              </w:rPr>
            </w:pPr>
          </w:p>
        </w:tc>
      </w:tr>
      <w:tr w14:paraId="4EC4D2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1F0438B">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725ED5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883E06">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3707EBB">
            <w:pPr>
              <w:adjustRightInd w:val="0"/>
              <w:snapToGrid w:val="0"/>
              <w:spacing w:line="300" w:lineRule="exact"/>
              <w:jc w:val="center"/>
              <w:rPr>
                <w:spacing w:val="20"/>
                <w:szCs w:val="21"/>
              </w:rPr>
            </w:pPr>
          </w:p>
        </w:tc>
      </w:tr>
      <w:tr w14:paraId="4CBE42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23457068">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BCB393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DDDB62">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8F509AC">
            <w:pPr>
              <w:adjustRightInd w:val="0"/>
              <w:snapToGrid w:val="0"/>
              <w:spacing w:line="300" w:lineRule="exact"/>
              <w:jc w:val="center"/>
              <w:rPr>
                <w:spacing w:val="20"/>
                <w:szCs w:val="21"/>
              </w:rPr>
            </w:pPr>
          </w:p>
        </w:tc>
      </w:tr>
      <w:tr w14:paraId="1A1006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6DC4B15D">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7AD80B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346CDD">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F4D6F53">
            <w:pPr>
              <w:adjustRightInd w:val="0"/>
              <w:snapToGrid w:val="0"/>
              <w:spacing w:line="300" w:lineRule="exact"/>
              <w:jc w:val="center"/>
              <w:rPr>
                <w:spacing w:val="20"/>
                <w:szCs w:val="21"/>
              </w:rPr>
            </w:pPr>
          </w:p>
        </w:tc>
      </w:tr>
      <w:tr w14:paraId="496F12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57F427C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A9B8D3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886698">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06723B86">
            <w:pPr>
              <w:adjustRightInd w:val="0"/>
              <w:snapToGrid w:val="0"/>
              <w:spacing w:line="300" w:lineRule="exact"/>
              <w:jc w:val="center"/>
              <w:rPr>
                <w:spacing w:val="20"/>
                <w:szCs w:val="21"/>
              </w:rPr>
            </w:pPr>
          </w:p>
        </w:tc>
      </w:tr>
      <w:tr w14:paraId="260E37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2C354BA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CDA151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D7BAF0">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8008FF5">
            <w:pPr>
              <w:adjustRightInd w:val="0"/>
              <w:snapToGrid w:val="0"/>
              <w:spacing w:line="300" w:lineRule="exact"/>
              <w:jc w:val="center"/>
              <w:rPr>
                <w:spacing w:val="20"/>
                <w:szCs w:val="21"/>
              </w:rPr>
            </w:pPr>
          </w:p>
        </w:tc>
      </w:tr>
      <w:tr w14:paraId="3D2B93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44C80B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759123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EAF1F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2524BEF6">
            <w:pPr>
              <w:adjustRightInd w:val="0"/>
              <w:snapToGrid w:val="0"/>
              <w:spacing w:line="300" w:lineRule="exact"/>
              <w:jc w:val="center"/>
              <w:rPr>
                <w:spacing w:val="20"/>
                <w:szCs w:val="21"/>
              </w:rPr>
            </w:pPr>
          </w:p>
        </w:tc>
      </w:tr>
      <w:tr w14:paraId="210900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17D7D9A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80001A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F17C8C">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2F4B79DA">
            <w:pPr>
              <w:adjustRightInd w:val="0"/>
              <w:snapToGrid w:val="0"/>
              <w:spacing w:line="300" w:lineRule="exact"/>
              <w:jc w:val="center"/>
              <w:rPr>
                <w:spacing w:val="20"/>
                <w:szCs w:val="21"/>
              </w:rPr>
            </w:pPr>
          </w:p>
        </w:tc>
      </w:tr>
      <w:tr w14:paraId="0AB189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77B06D5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855B1B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F1F40B">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6ADD3C6D">
            <w:pPr>
              <w:adjustRightInd w:val="0"/>
              <w:snapToGrid w:val="0"/>
              <w:spacing w:line="300" w:lineRule="exact"/>
              <w:jc w:val="center"/>
              <w:rPr>
                <w:spacing w:val="20"/>
                <w:szCs w:val="21"/>
              </w:rPr>
            </w:pPr>
          </w:p>
        </w:tc>
      </w:tr>
      <w:tr w14:paraId="63B5F7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7F0680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0ECDF8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D031F2">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271B42CC">
            <w:pPr>
              <w:adjustRightInd w:val="0"/>
              <w:snapToGrid w:val="0"/>
              <w:spacing w:line="300" w:lineRule="exact"/>
              <w:jc w:val="center"/>
              <w:rPr>
                <w:spacing w:val="20"/>
                <w:szCs w:val="21"/>
              </w:rPr>
            </w:pPr>
          </w:p>
        </w:tc>
      </w:tr>
      <w:tr w14:paraId="6BE3E0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86" w:hRule="atLeast"/>
        </w:trPr>
        <w:tc>
          <w:tcPr>
            <w:tcW w:w="5000" w:type="pct"/>
            <w:gridSpan w:val="4"/>
            <w:tcBorders>
              <w:top w:val="single" w:color="auto" w:sz="2" w:space="0"/>
            </w:tcBorders>
            <w:vAlign w:val="center"/>
          </w:tcPr>
          <w:p w14:paraId="79861A7A">
            <w:pPr>
              <w:pStyle w:val="1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4F159A3">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75" w:name="_Toc27624"/>
      <w:r>
        <w:rPr>
          <w:rFonts w:hint="eastAsia" w:ascii="黑体" w:hAnsi="黑体" w:eastAsia="黑体"/>
          <w:b w:val="0"/>
          <w:bCs w:val="0"/>
          <w:sz w:val="28"/>
          <w:szCs w:val="28"/>
        </w:rPr>
        <w:t>第二节 政府采购合同通用条款</w:t>
      </w:r>
      <w:bookmarkEnd w:id="75"/>
    </w:p>
    <w:p w14:paraId="59C7E61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5C3E59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CBF87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C4D16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2F147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06760C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4F0316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FC58D8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4D2893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2B8D5B0">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0F62243">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FBF9D4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87D705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D576887">
      <w:pPr>
        <w:numPr>
          <w:ilvl w:val="0"/>
          <w:numId w:val="6"/>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C1C5A4D">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97A49D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2EB9E5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69B0D3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16B823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E11D15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3FF77F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0793A9E1">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0AB58B4">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7FA41D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789E2B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D29F99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F483B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52FF3434">
      <w:pPr>
        <w:pStyle w:val="11"/>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7144815">
      <w:pPr>
        <w:pStyle w:val="11"/>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C6EA42F">
      <w:pPr>
        <w:numPr>
          <w:ilvl w:val="0"/>
          <w:numId w:val="7"/>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111FBFA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F422239">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1456D98">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E2FB38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B01EAC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8C8A4B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FE36AD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3863E2E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1F6A8D3">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A959446">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1C2EEBD">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736A94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F45FB34">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EA7D5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943D28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F1F74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58BA5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FFDA5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03FCB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73207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4D76F57">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7EACE0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07930B8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158512B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3B9D5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67B80E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CBFFA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7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76"/>
      <w:r>
        <w:rPr>
          <w:rFonts w:hint="eastAsia" w:ascii="宋体" w:hAnsi="宋体"/>
          <w:color w:val="auto"/>
          <w:szCs w:val="21"/>
          <w:highlight w:val="none"/>
        </w:rPr>
        <w:t>。</w:t>
      </w:r>
    </w:p>
    <w:p w14:paraId="0954A5B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FADD9CB">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763E11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E20522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BB9D888">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81AEC4D">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307CF2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44673E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026DE09">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C41751D">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FBAA3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98DB1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5E25D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DCCA6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73DF56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75BBE72">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5343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FA576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DFF65D7">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B73788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C5643A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65DB41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E4428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22973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11CBA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4921A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9E2AD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1B8A110">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6B450D1">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D2A23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4AF655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BB85E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B5407B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9888FAB">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4378273">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B13AAE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52F84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2939FC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06DD6518">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DE41C11">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97FE22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6794B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9DF31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BC0F88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4A150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74A68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50756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19D94A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02CECE5">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B09C4EB">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7EFC6B1">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4D2CEAB">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7625E6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3719A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5D30EEA">
      <w:pPr>
        <w:pStyle w:val="11"/>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5D434E8">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3F85DAC">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2D274FB">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3711AB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B360029">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9DECA8E">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D363D0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BC9260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0504E6C">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27C2F5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88FA27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77" w:name="_Toc20313"/>
    </w:p>
    <w:p w14:paraId="63FE1E2C">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A6F18C7">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77"/>
    </w:p>
    <w:tbl>
      <w:tblPr>
        <w:tblStyle w:val="3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6859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7A90E405">
            <w:pPr>
              <w:adjustRightInd w:val="0"/>
              <w:snapToGrid w:val="0"/>
              <w:jc w:val="center"/>
              <w:rPr>
                <w:rFonts w:ascii="宋体" w:hAnsi="宋体"/>
                <w:szCs w:val="21"/>
              </w:rPr>
            </w:pPr>
            <w:r>
              <w:rPr>
                <w:rFonts w:hint="eastAsia" w:ascii="宋体" w:hAnsi="宋体"/>
                <w:szCs w:val="21"/>
              </w:rPr>
              <w:t>第二节</w:t>
            </w:r>
          </w:p>
          <w:p w14:paraId="47570299">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366609C">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2C7F225E">
            <w:pPr>
              <w:adjustRightInd w:val="0"/>
              <w:snapToGrid w:val="0"/>
              <w:jc w:val="left"/>
              <w:rPr>
                <w:rFonts w:ascii="宋体" w:hAnsi="宋体"/>
                <w:szCs w:val="21"/>
              </w:rPr>
            </w:pPr>
          </w:p>
        </w:tc>
      </w:tr>
      <w:tr w14:paraId="77E2A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04" w:hRule="atLeast"/>
        </w:trPr>
        <w:tc>
          <w:tcPr>
            <w:tcW w:w="1607" w:type="dxa"/>
            <w:vAlign w:val="center"/>
          </w:tcPr>
          <w:p w14:paraId="2C91B8B0">
            <w:pPr>
              <w:adjustRightInd w:val="0"/>
              <w:snapToGrid w:val="0"/>
              <w:jc w:val="center"/>
              <w:rPr>
                <w:rFonts w:ascii="宋体" w:hAnsi="宋体"/>
                <w:szCs w:val="21"/>
              </w:rPr>
            </w:pPr>
            <w:r>
              <w:rPr>
                <w:rFonts w:hint="eastAsia" w:ascii="宋体" w:hAnsi="宋体"/>
                <w:szCs w:val="21"/>
              </w:rPr>
              <w:t>第二节</w:t>
            </w:r>
          </w:p>
          <w:p w14:paraId="5D257DA2">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CEC49B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A0D44A9">
            <w:pPr>
              <w:adjustRightInd w:val="0"/>
              <w:snapToGrid w:val="0"/>
              <w:jc w:val="left"/>
              <w:rPr>
                <w:rFonts w:ascii="宋体" w:hAnsi="宋体" w:eastAsia="宋体" w:cs="Times New Roman"/>
                <w:kern w:val="2"/>
                <w:sz w:val="21"/>
                <w:szCs w:val="21"/>
                <w:lang w:val="en-US" w:eastAsia="zh-CN" w:bidi="ar-SA"/>
              </w:rPr>
            </w:pPr>
          </w:p>
        </w:tc>
      </w:tr>
      <w:tr w14:paraId="6766A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6A213994">
            <w:pPr>
              <w:adjustRightInd w:val="0"/>
              <w:snapToGrid w:val="0"/>
              <w:jc w:val="center"/>
              <w:rPr>
                <w:rFonts w:ascii="宋体" w:hAnsi="宋体"/>
                <w:szCs w:val="21"/>
              </w:rPr>
            </w:pPr>
            <w:r>
              <w:rPr>
                <w:rFonts w:hint="eastAsia" w:ascii="宋体" w:hAnsi="宋体"/>
                <w:szCs w:val="21"/>
              </w:rPr>
              <w:t>第二节</w:t>
            </w:r>
          </w:p>
          <w:p w14:paraId="2EFD4C0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7BBD4E0">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3EEB1C5">
            <w:pPr>
              <w:adjustRightInd w:val="0"/>
              <w:snapToGrid w:val="0"/>
              <w:jc w:val="left"/>
              <w:rPr>
                <w:rFonts w:ascii="宋体" w:hAnsi="宋体" w:eastAsia="宋体" w:cs="Times New Roman"/>
                <w:kern w:val="2"/>
                <w:sz w:val="21"/>
                <w:szCs w:val="21"/>
                <w:lang w:val="en-US" w:eastAsia="zh-CN" w:bidi="ar-SA"/>
              </w:rPr>
            </w:pPr>
          </w:p>
        </w:tc>
      </w:tr>
      <w:tr w14:paraId="05DC38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4A578DB8">
            <w:pPr>
              <w:adjustRightInd w:val="0"/>
              <w:snapToGrid w:val="0"/>
              <w:jc w:val="center"/>
              <w:rPr>
                <w:rFonts w:ascii="宋体" w:hAnsi="宋体"/>
                <w:szCs w:val="21"/>
              </w:rPr>
            </w:pPr>
            <w:r>
              <w:rPr>
                <w:rFonts w:hint="eastAsia" w:ascii="宋体" w:hAnsi="宋体"/>
                <w:szCs w:val="21"/>
              </w:rPr>
              <w:t>第二节</w:t>
            </w:r>
          </w:p>
          <w:p w14:paraId="4BA28499">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A93D1E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0671640">
            <w:pPr>
              <w:adjustRightInd w:val="0"/>
              <w:snapToGrid w:val="0"/>
              <w:jc w:val="left"/>
              <w:rPr>
                <w:rFonts w:ascii="宋体" w:hAnsi="宋体" w:eastAsia="宋体" w:cs="Times New Roman"/>
                <w:kern w:val="2"/>
                <w:sz w:val="21"/>
                <w:szCs w:val="21"/>
                <w:lang w:val="en-US" w:eastAsia="zh-CN" w:bidi="ar-SA"/>
              </w:rPr>
            </w:pPr>
          </w:p>
        </w:tc>
      </w:tr>
      <w:tr w14:paraId="52FC02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398F7EB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83ACA3D">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A2A7045">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64DD93A">
            <w:pPr>
              <w:adjustRightInd w:val="0"/>
              <w:snapToGrid w:val="0"/>
              <w:jc w:val="left"/>
              <w:rPr>
                <w:rFonts w:ascii="宋体" w:hAnsi="宋体" w:eastAsia="宋体" w:cs="Times New Roman"/>
                <w:kern w:val="2"/>
                <w:sz w:val="21"/>
                <w:szCs w:val="21"/>
                <w:lang w:val="en-US" w:eastAsia="zh-CN" w:bidi="ar-SA"/>
              </w:rPr>
            </w:pPr>
          </w:p>
        </w:tc>
      </w:tr>
      <w:tr w14:paraId="1C13E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3B1EEEE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BFEC124">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6D57E1D7">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BEFAA86">
            <w:pPr>
              <w:adjustRightInd w:val="0"/>
              <w:snapToGrid w:val="0"/>
              <w:jc w:val="left"/>
              <w:rPr>
                <w:rFonts w:ascii="宋体" w:hAnsi="宋体" w:eastAsia="宋体" w:cs="Times New Roman"/>
                <w:kern w:val="2"/>
                <w:sz w:val="21"/>
                <w:szCs w:val="21"/>
                <w:lang w:val="en-US" w:eastAsia="zh-CN" w:bidi="ar-SA"/>
              </w:rPr>
            </w:pPr>
          </w:p>
        </w:tc>
      </w:tr>
      <w:tr w14:paraId="43B299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vAlign w:val="center"/>
          </w:tcPr>
          <w:p w14:paraId="6FB5C8BC">
            <w:pPr>
              <w:adjustRightInd w:val="0"/>
              <w:snapToGrid w:val="0"/>
              <w:jc w:val="center"/>
              <w:rPr>
                <w:rFonts w:ascii="宋体" w:hAnsi="宋体"/>
                <w:szCs w:val="21"/>
              </w:rPr>
            </w:pPr>
            <w:r>
              <w:rPr>
                <w:rFonts w:hint="eastAsia" w:ascii="宋体" w:hAnsi="宋体"/>
                <w:szCs w:val="21"/>
              </w:rPr>
              <w:t>第二节</w:t>
            </w:r>
          </w:p>
          <w:p w14:paraId="136A494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7D99EED">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E93CAE7"/>
        </w:tc>
      </w:tr>
      <w:tr w14:paraId="5BE1D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vAlign w:val="center"/>
          </w:tcPr>
          <w:p w14:paraId="1F2F07A7">
            <w:pPr>
              <w:adjustRightInd w:val="0"/>
              <w:snapToGrid w:val="0"/>
              <w:jc w:val="center"/>
              <w:rPr>
                <w:rFonts w:hint="eastAsia" w:ascii="宋体" w:hAnsi="宋体"/>
                <w:szCs w:val="21"/>
              </w:rPr>
            </w:pPr>
          </w:p>
        </w:tc>
        <w:tc>
          <w:tcPr>
            <w:tcW w:w="1742" w:type="dxa"/>
            <w:vAlign w:val="center"/>
          </w:tcPr>
          <w:p w14:paraId="5F8023A4">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A742F36">
            <w:pPr>
              <w:rPr>
                <w:rFonts w:hint="eastAsia"/>
              </w:rPr>
            </w:pPr>
          </w:p>
        </w:tc>
      </w:tr>
      <w:tr w14:paraId="049FE8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2" w:hRule="atLeast"/>
        </w:trPr>
        <w:tc>
          <w:tcPr>
            <w:tcW w:w="1607" w:type="dxa"/>
            <w:vAlign w:val="center"/>
          </w:tcPr>
          <w:p w14:paraId="67D57F5A">
            <w:pPr>
              <w:adjustRightInd w:val="0"/>
              <w:snapToGrid w:val="0"/>
              <w:jc w:val="center"/>
              <w:rPr>
                <w:rFonts w:ascii="宋体" w:hAnsi="宋体"/>
                <w:szCs w:val="21"/>
              </w:rPr>
            </w:pPr>
            <w:r>
              <w:rPr>
                <w:rFonts w:hint="eastAsia" w:ascii="宋体" w:hAnsi="宋体"/>
                <w:szCs w:val="21"/>
              </w:rPr>
              <w:t>第二节</w:t>
            </w:r>
          </w:p>
          <w:p w14:paraId="712E8B9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31557F0">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391AF4B2">
            <w:pPr>
              <w:rPr>
                <w:rFonts w:hint="eastAsia"/>
              </w:rPr>
            </w:pPr>
          </w:p>
        </w:tc>
      </w:tr>
      <w:tr w14:paraId="5FE2E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Align w:val="center"/>
          </w:tcPr>
          <w:p w14:paraId="3D552F23">
            <w:pPr>
              <w:adjustRightInd w:val="0"/>
              <w:snapToGrid w:val="0"/>
              <w:jc w:val="center"/>
              <w:rPr>
                <w:rFonts w:ascii="宋体" w:hAnsi="宋体"/>
                <w:szCs w:val="21"/>
              </w:rPr>
            </w:pPr>
            <w:r>
              <w:rPr>
                <w:rFonts w:hint="eastAsia" w:ascii="宋体" w:hAnsi="宋体"/>
                <w:szCs w:val="21"/>
              </w:rPr>
              <w:t>第二节</w:t>
            </w:r>
          </w:p>
          <w:p w14:paraId="0E6C8FD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D096CE1">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1EF0C330">
            <w:pPr>
              <w:rPr>
                <w:rFonts w:hint="eastAsia"/>
              </w:rPr>
            </w:pPr>
          </w:p>
        </w:tc>
      </w:tr>
      <w:tr w14:paraId="39569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1E1BDCD0">
            <w:pPr>
              <w:adjustRightInd w:val="0"/>
              <w:snapToGrid w:val="0"/>
              <w:jc w:val="center"/>
              <w:rPr>
                <w:rFonts w:ascii="宋体" w:hAnsi="宋体"/>
                <w:szCs w:val="21"/>
              </w:rPr>
            </w:pPr>
            <w:r>
              <w:rPr>
                <w:rFonts w:hint="eastAsia" w:ascii="宋体" w:hAnsi="宋体"/>
                <w:szCs w:val="21"/>
              </w:rPr>
              <w:t>第二节</w:t>
            </w:r>
          </w:p>
          <w:p w14:paraId="7620244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8F37690">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BC74F5A">
            <w:pPr>
              <w:autoSpaceDE w:val="0"/>
              <w:autoSpaceDN w:val="0"/>
              <w:adjustRightInd w:val="0"/>
              <w:snapToGrid w:val="0"/>
              <w:ind w:firstLine="420" w:firstLineChars="200"/>
              <w:jc w:val="left"/>
              <w:rPr>
                <w:rFonts w:ascii="宋体" w:hAnsi="宋体"/>
                <w:szCs w:val="21"/>
              </w:rPr>
            </w:pPr>
          </w:p>
        </w:tc>
      </w:tr>
      <w:tr w14:paraId="1B7D3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7239DCB7">
            <w:pPr>
              <w:adjustRightInd w:val="0"/>
              <w:snapToGrid w:val="0"/>
              <w:jc w:val="center"/>
              <w:rPr>
                <w:rFonts w:ascii="宋体" w:hAnsi="宋体"/>
                <w:szCs w:val="21"/>
              </w:rPr>
            </w:pPr>
            <w:r>
              <w:rPr>
                <w:rFonts w:hint="eastAsia" w:ascii="宋体" w:hAnsi="宋体"/>
                <w:szCs w:val="21"/>
              </w:rPr>
              <w:t>第二节</w:t>
            </w:r>
          </w:p>
          <w:p w14:paraId="1C5BE4B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F8C178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07B8770">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B53439C">
            <w:pPr>
              <w:adjustRightInd w:val="0"/>
              <w:snapToGrid w:val="0"/>
              <w:jc w:val="left"/>
              <w:rPr>
                <w:rFonts w:ascii="宋体" w:hAnsi="宋体"/>
                <w:szCs w:val="21"/>
              </w:rPr>
            </w:pPr>
          </w:p>
        </w:tc>
      </w:tr>
      <w:tr w14:paraId="15D7F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125F7990">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63B38942">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83F05C5">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2C1CF58A">
            <w:pPr>
              <w:adjustRightInd w:val="0"/>
              <w:snapToGrid w:val="0"/>
              <w:jc w:val="left"/>
              <w:rPr>
                <w:rFonts w:ascii="宋体" w:hAnsi="宋体"/>
                <w:szCs w:val="21"/>
              </w:rPr>
            </w:pPr>
          </w:p>
        </w:tc>
      </w:tr>
      <w:tr w14:paraId="1240D0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vAlign w:val="center"/>
          </w:tcPr>
          <w:p w14:paraId="5E8444DD">
            <w:pPr>
              <w:adjustRightInd w:val="0"/>
              <w:snapToGrid w:val="0"/>
              <w:jc w:val="center"/>
              <w:rPr>
                <w:rFonts w:ascii="宋体" w:hAnsi="宋体"/>
                <w:szCs w:val="21"/>
              </w:rPr>
            </w:pPr>
            <w:r>
              <w:rPr>
                <w:rFonts w:hint="eastAsia" w:ascii="宋体" w:hAnsi="宋体"/>
                <w:szCs w:val="21"/>
              </w:rPr>
              <w:t>第二节</w:t>
            </w:r>
          </w:p>
          <w:p w14:paraId="1EB0C2C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9B487E8">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C70C63D">
            <w:pPr>
              <w:adjustRightInd w:val="0"/>
              <w:snapToGrid w:val="0"/>
              <w:jc w:val="left"/>
              <w:rPr>
                <w:rFonts w:ascii="宋体" w:hAnsi="宋体"/>
                <w:szCs w:val="21"/>
              </w:rPr>
            </w:pPr>
          </w:p>
        </w:tc>
      </w:tr>
      <w:tr w14:paraId="1C18E8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trPr>
        <w:tc>
          <w:tcPr>
            <w:tcW w:w="1607" w:type="dxa"/>
            <w:vAlign w:val="center"/>
          </w:tcPr>
          <w:p w14:paraId="713435B0">
            <w:pPr>
              <w:adjustRightInd w:val="0"/>
              <w:snapToGrid w:val="0"/>
              <w:jc w:val="center"/>
              <w:rPr>
                <w:rFonts w:hint="eastAsia" w:ascii="宋体" w:hAnsi="宋体"/>
                <w:szCs w:val="21"/>
              </w:rPr>
            </w:pPr>
            <w:r>
              <w:rPr>
                <w:rFonts w:hint="eastAsia" w:ascii="宋体" w:hAnsi="宋体"/>
                <w:szCs w:val="21"/>
              </w:rPr>
              <w:t>第二节</w:t>
            </w:r>
          </w:p>
          <w:p w14:paraId="36D51B5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58696D4D">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3816CB0">
            <w:pPr>
              <w:adjustRightInd w:val="0"/>
              <w:snapToGrid w:val="0"/>
              <w:jc w:val="left"/>
              <w:rPr>
                <w:rFonts w:ascii="宋体" w:hAnsi="宋体"/>
                <w:szCs w:val="21"/>
              </w:rPr>
            </w:pPr>
          </w:p>
        </w:tc>
      </w:tr>
      <w:tr w14:paraId="385540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571014DA">
            <w:pPr>
              <w:adjustRightInd w:val="0"/>
              <w:snapToGrid w:val="0"/>
              <w:jc w:val="center"/>
              <w:rPr>
                <w:rFonts w:hint="eastAsia" w:ascii="宋体" w:hAnsi="宋体"/>
                <w:szCs w:val="21"/>
              </w:rPr>
            </w:pPr>
            <w:r>
              <w:rPr>
                <w:rFonts w:hint="eastAsia" w:ascii="宋体" w:hAnsi="宋体"/>
                <w:szCs w:val="21"/>
              </w:rPr>
              <w:t>第二节</w:t>
            </w:r>
          </w:p>
          <w:p w14:paraId="11605E3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B62678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6F3834E">
            <w:pPr>
              <w:adjustRightInd w:val="0"/>
              <w:snapToGrid w:val="0"/>
              <w:jc w:val="left"/>
              <w:rPr>
                <w:rFonts w:ascii="宋体" w:hAnsi="宋体"/>
                <w:szCs w:val="21"/>
              </w:rPr>
            </w:pPr>
          </w:p>
        </w:tc>
      </w:tr>
      <w:tr w14:paraId="63931D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vAlign w:val="center"/>
          </w:tcPr>
          <w:p w14:paraId="4D6D78C6">
            <w:pPr>
              <w:adjustRightInd w:val="0"/>
              <w:snapToGrid w:val="0"/>
              <w:jc w:val="center"/>
              <w:rPr>
                <w:rFonts w:ascii="宋体" w:hAnsi="宋体"/>
                <w:szCs w:val="21"/>
              </w:rPr>
            </w:pPr>
            <w:r>
              <w:rPr>
                <w:rFonts w:hint="eastAsia" w:ascii="宋体" w:hAnsi="宋体"/>
                <w:szCs w:val="21"/>
              </w:rPr>
              <w:t>第二节</w:t>
            </w:r>
          </w:p>
          <w:p w14:paraId="114C550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784C831B">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762331F2">
            <w:pPr>
              <w:adjustRightInd w:val="0"/>
              <w:snapToGrid w:val="0"/>
              <w:jc w:val="left"/>
              <w:rPr>
                <w:rFonts w:ascii="宋体" w:hAnsi="宋体"/>
                <w:szCs w:val="21"/>
              </w:rPr>
            </w:pPr>
          </w:p>
        </w:tc>
      </w:tr>
      <w:tr w14:paraId="4C627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vAlign w:val="center"/>
          </w:tcPr>
          <w:p w14:paraId="174265FD">
            <w:pPr>
              <w:adjustRightInd w:val="0"/>
              <w:snapToGrid w:val="0"/>
              <w:jc w:val="center"/>
              <w:rPr>
                <w:rFonts w:ascii="宋体" w:hAnsi="宋体"/>
                <w:szCs w:val="21"/>
              </w:rPr>
            </w:pPr>
            <w:r>
              <w:rPr>
                <w:rFonts w:hint="eastAsia" w:ascii="宋体" w:hAnsi="宋体"/>
                <w:szCs w:val="21"/>
              </w:rPr>
              <w:t>第二节</w:t>
            </w:r>
          </w:p>
          <w:p w14:paraId="078581A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FE6619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A70C098">
            <w:pPr>
              <w:adjustRightInd w:val="0"/>
              <w:snapToGrid w:val="0"/>
              <w:jc w:val="left"/>
              <w:rPr>
                <w:rFonts w:ascii="宋体" w:hAnsi="宋体"/>
                <w:szCs w:val="21"/>
              </w:rPr>
            </w:pPr>
          </w:p>
        </w:tc>
      </w:tr>
      <w:tr w14:paraId="40980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724916FA">
            <w:pPr>
              <w:adjustRightInd w:val="0"/>
              <w:snapToGrid w:val="0"/>
              <w:jc w:val="center"/>
              <w:rPr>
                <w:rFonts w:ascii="宋体" w:hAnsi="宋体"/>
                <w:szCs w:val="21"/>
              </w:rPr>
            </w:pPr>
            <w:r>
              <w:rPr>
                <w:rFonts w:hint="eastAsia" w:ascii="宋体" w:hAnsi="宋体"/>
                <w:szCs w:val="21"/>
              </w:rPr>
              <w:t>第二节</w:t>
            </w:r>
          </w:p>
          <w:p w14:paraId="0A50F5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33E09E6">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887B1EB">
            <w:pPr>
              <w:adjustRightInd w:val="0"/>
              <w:snapToGrid w:val="0"/>
              <w:jc w:val="left"/>
              <w:rPr>
                <w:rFonts w:ascii="宋体" w:hAnsi="宋体"/>
                <w:szCs w:val="21"/>
              </w:rPr>
            </w:pPr>
          </w:p>
        </w:tc>
      </w:tr>
      <w:tr w14:paraId="60038D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5EB0B957">
            <w:pPr>
              <w:adjustRightInd w:val="0"/>
              <w:snapToGrid w:val="0"/>
              <w:jc w:val="center"/>
              <w:rPr>
                <w:rFonts w:ascii="宋体" w:hAnsi="宋体"/>
                <w:szCs w:val="21"/>
              </w:rPr>
            </w:pPr>
            <w:r>
              <w:rPr>
                <w:rFonts w:hint="eastAsia" w:ascii="宋体" w:hAnsi="宋体"/>
                <w:szCs w:val="21"/>
              </w:rPr>
              <w:t>第二节</w:t>
            </w:r>
          </w:p>
          <w:p w14:paraId="08AD201F">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0F0419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4436524">
            <w:pPr>
              <w:adjustRightInd w:val="0"/>
              <w:snapToGrid w:val="0"/>
              <w:jc w:val="left"/>
              <w:rPr>
                <w:rFonts w:ascii="宋体" w:hAnsi="宋体"/>
                <w:szCs w:val="21"/>
              </w:rPr>
            </w:pPr>
          </w:p>
        </w:tc>
      </w:tr>
      <w:tr w14:paraId="3054BF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4B1D87EF">
            <w:pPr>
              <w:adjustRightInd w:val="0"/>
              <w:snapToGrid w:val="0"/>
              <w:jc w:val="center"/>
              <w:rPr>
                <w:rFonts w:ascii="宋体" w:hAnsi="宋体"/>
                <w:szCs w:val="21"/>
              </w:rPr>
            </w:pPr>
            <w:r>
              <w:rPr>
                <w:rFonts w:hint="eastAsia" w:ascii="宋体" w:hAnsi="宋体"/>
                <w:szCs w:val="21"/>
              </w:rPr>
              <w:t>第二节</w:t>
            </w:r>
          </w:p>
          <w:p w14:paraId="771FDDA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25F649ED">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5E78AB7">
            <w:pPr>
              <w:adjustRightInd w:val="0"/>
              <w:snapToGrid w:val="0"/>
              <w:jc w:val="left"/>
              <w:rPr>
                <w:rFonts w:ascii="宋体" w:hAnsi="宋体"/>
                <w:szCs w:val="21"/>
                <w:u w:val="single"/>
              </w:rPr>
            </w:pPr>
          </w:p>
        </w:tc>
      </w:tr>
      <w:tr w14:paraId="534C4A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68415666">
            <w:pPr>
              <w:adjustRightInd w:val="0"/>
              <w:snapToGrid w:val="0"/>
              <w:jc w:val="center"/>
              <w:rPr>
                <w:rFonts w:ascii="宋体" w:hAnsi="宋体"/>
                <w:szCs w:val="21"/>
              </w:rPr>
            </w:pPr>
            <w:r>
              <w:rPr>
                <w:rFonts w:hint="eastAsia" w:ascii="宋体" w:hAnsi="宋体"/>
                <w:szCs w:val="21"/>
              </w:rPr>
              <w:t>第二节</w:t>
            </w:r>
          </w:p>
          <w:p w14:paraId="2969723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0612997">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58FB33A1">
            <w:pPr>
              <w:adjustRightInd w:val="0"/>
              <w:snapToGrid w:val="0"/>
              <w:jc w:val="left"/>
              <w:rPr>
                <w:rFonts w:ascii="宋体" w:hAnsi="宋体"/>
                <w:szCs w:val="21"/>
                <w:u w:val="single"/>
              </w:rPr>
            </w:pPr>
          </w:p>
        </w:tc>
      </w:tr>
      <w:tr w14:paraId="36CC2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76" w:hRule="atLeast"/>
        </w:trPr>
        <w:tc>
          <w:tcPr>
            <w:tcW w:w="1607" w:type="dxa"/>
            <w:tcBorders>
              <w:bottom w:val="single" w:color="auto" w:sz="2" w:space="0"/>
              <w:right w:val="single" w:color="auto" w:sz="2" w:space="0"/>
            </w:tcBorders>
            <w:vAlign w:val="center"/>
          </w:tcPr>
          <w:p w14:paraId="1DE6F5CF">
            <w:pPr>
              <w:adjustRightInd w:val="0"/>
              <w:snapToGrid w:val="0"/>
              <w:jc w:val="center"/>
              <w:rPr>
                <w:rFonts w:ascii="宋体" w:hAnsi="宋体"/>
                <w:szCs w:val="21"/>
              </w:rPr>
            </w:pPr>
            <w:r>
              <w:rPr>
                <w:rFonts w:hint="eastAsia" w:ascii="宋体" w:hAnsi="宋体"/>
                <w:szCs w:val="21"/>
              </w:rPr>
              <w:t>第二节</w:t>
            </w:r>
          </w:p>
          <w:p w14:paraId="285C369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065C994">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8BD66AF">
            <w:pPr>
              <w:adjustRightInd w:val="0"/>
              <w:snapToGrid w:val="0"/>
              <w:jc w:val="left"/>
              <w:rPr>
                <w:rFonts w:ascii="宋体" w:hAnsi="宋体"/>
                <w:szCs w:val="21"/>
                <w:u w:val="single"/>
              </w:rPr>
            </w:pPr>
          </w:p>
        </w:tc>
      </w:tr>
      <w:tr w14:paraId="409ACA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1607" w:type="dxa"/>
            <w:tcBorders>
              <w:top w:val="single" w:color="auto" w:sz="2" w:space="0"/>
              <w:right w:val="single" w:color="auto" w:sz="2" w:space="0"/>
            </w:tcBorders>
            <w:vAlign w:val="center"/>
          </w:tcPr>
          <w:p w14:paraId="1D2E42E5">
            <w:pPr>
              <w:adjustRightInd w:val="0"/>
              <w:snapToGrid w:val="0"/>
              <w:jc w:val="center"/>
              <w:rPr>
                <w:rFonts w:ascii="宋体" w:hAnsi="宋体"/>
                <w:szCs w:val="21"/>
              </w:rPr>
            </w:pPr>
            <w:r>
              <w:rPr>
                <w:rFonts w:hint="eastAsia" w:ascii="宋体" w:hAnsi="宋体"/>
                <w:szCs w:val="21"/>
              </w:rPr>
              <w:t>第二节</w:t>
            </w:r>
          </w:p>
          <w:p w14:paraId="169CF84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A82251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49BFFFE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3084796">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2687A6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C450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0" w:hRule="atLeast"/>
        </w:trPr>
        <w:tc>
          <w:tcPr>
            <w:tcW w:w="1607" w:type="dxa"/>
            <w:vAlign w:val="center"/>
          </w:tcPr>
          <w:p w14:paraId="4043E60D">
            <w:pPr>
              <w:adjustRightInd w:val="0"/>
              <w:snapToGrid w:val="0"/>
              <w:jc w:val="center"/>
              <w:rPr>
                <w:rFonts w:ascii="宋体" w:hAnsi="宋体"/>
                <w:szCs w:val="21"/>
              </w:rPr>
            </w:pPr>
            <w:r>
              <w:rPr>
                <w:rFonts w:hint="eastAsia" w:ascii="宋体" w:hAnsi="宋体"/>
                <w:szCs w:val="21"/>
              </w:rPr>
              <w:t>第二节</w:t>
            </w:r>
          </w:p>
          <w:p w14:paraId="13C4EA5A">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308242B">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9CDA6F3">
            <w:pPr>
              <w:adjustRightInd w:val="0"/>
              <w:snapToGrid w:val="0"/>
              <w:jc w:val="left"/>
              <w:rPr>
                <w:rFonts w:hint="default" w:ascii="宋体" w:hAnsi="宋体" w:eastAsia="宋体"/>
                <w:szCs w:val="21"/>
                <w:lang w:val="en-US" w:eastAsia="zh-CN"/>
              </w:rPr>
            </w:pPr>
          </w:p>
        </w:tc>
      </w:tr>
    </w:tbl>
    <w:p w14:paraId="2F47B427"/>
    <w:p w14:paraId="4EC74120"/>
    <w:p w14:paraId="581D30B8">
      <w:pPr>
        <w:shd w:val="clear"/>
        <w:tabs>
          <w:tab w:val="left" w:pos="900"/>
        </w:tabs>
        <w:spacing w:after="120" w:afterLines="50"/>
        <w:rPr>
          <w:rFonts w:hint="eastAsia" w:ascii="宋体" w:hAnsi="宋体" w:eastAsia="宋体" w:cs="宋体"/>
          <w:b/>
          <w:sz w:val="32"/>
          <w:szCs w:val="32"/>
          <w:highlight w:val="none"/>
        </w:rPr>
      </w:pPr>
    </w:p>
    <w:p w14:paraId="02670933">
      <w:pPr>
        <w:shd w:val="clear"/>
        <w:snapToGrid w:val="0"/>
        <w:spacing w:line="360" w:lineRule="auto"/>
        <w:jc w:val="center"/>
        <w:rPr>
          <w:rFonts w:hint="eastAsia" w:ascii="宋体" w:hAnsi="宋体" w:eastAsia="宋体" w:cs="宋体"/>
          <w:b/>
          <w:bCs/>
          <w:sz w:val="32"/>
          <w:szCs w:val="32"/>
          <w:highlight w:val="none"/>
        </w:rPr>
      </w:pPr>
    </w:p>
    <w:p w14:paraId="4E69CCD5">
      <w:pPr>
        <w:shd w:val="clear"/>
        <w:snapToGrid w:val="0"/>
        <w:spacing w:line="360" w:lineRule="auto"/>
        <w:jc w:val="center"/>
        <w:rPr>
          <w:rFonts w:hint="eastAsia" w:ascii="宋体" w:hAnsi="宋体" w:eastAsia="宋体" w:cs="宋体"/>
          <w:b/>
          <w:bCs/>
          <w:sz w:val="32"/>
          <w:szCs w:val="32"/>
          <w:highlight w:val="none"/>
        </w:rPr>
      </w:pPr>
    </w:p>
    <w:p w14:paraId="45B280F6">
      <w:pPr>
        <w:rPr>
          <w:rFonts w:hint="eastAsia" w:ascii="宋体" w:hAnsi="宋体" w:eastAsia="宋体" w:cs="宋体"/>
          <w:b/>
          <w:sz w:val="32"/>
          <w:szCs w:val="32"/>
          <w:highlight w:val="none"/>
        </w:rPr>
      </w:pPr>
      <w:bookmarkStart w:id="78" w:name="_Toc117270093"/>
      <w:bookmarkStart w:id="79" w:name="_Toc21169"/>
      <w:r>
        <w:rPr>
          <w:rFonts w:hint="eastAsia" w:ascii="宋体" w:hAnsi="宋体" w:eastAsia="宋体" w:cs="宋体"/>
          <w:b/>
          <w:sz w:val="32"/>
          <w:szCs w:val="32"/>
          <w:highlight w:val="none"/>
        </w:rPr>
        <w:br w:type="page"/>
      </w:r>
    </w:p>
    <w:p w14:paraId="74824076">
      <w:pPr>
        <w:pStyle w:val="27"/>
        <w:widowControl w:val="0"/>
        <w:shd w:val="clear"/>
        <w:spacing w:before="120" w:beforeLines="50" w:after="120" w:afterLines="50" w:line="440" w:lineRule="exact"/>
        <w:jc w:val="center"/>
        <w:outlineLvl w:val="0"/>
        <w:rPr>
          <w:rFonts w:hint="eastAsia" w:ascii="宋体" w:hAnsi="宋体" w:eastAsia="宋体" w:cs="宋体"/>
          <w:b/>
          <w:sz w:val="32"/>
          <w:szCs w:val="32"/>
          <w:highlight w:val="none"/>
        </w:rPr>
      </w:pPr>
      <w:bookmarkStart w:id="80" w:name="_Toc17118"/>
      <w:r>
        <w:rPr>
          <w:rFonts w:hint="eastAsia" w:ascii="宋体" w:hAnsi="宋体" w:eastAsia="宋体" w:cs="宋体"/>
          <w:b/>
          <w:sz w:val="32"/>
          <w:szCs w:val="32"/>
          <w:highlight w:val="none"/>
        </w:rPr>
        <w:t>第七部分  投标文件格式</w:t>
      </w:r>
      <w:bookmarkEnd w:id="78"/>
      <w:bookmarkEnd w:id="79"/>
      <w:bookmarkEnd w:id="80"/>
    </w:p>
    <w:p w14:paraId="2F8C873D">
      <w:pPr>
        <w:shd w:val="clear"/>
        <w:snapToGrid w:val="0"/>
        <w:spacing w:line="360" w:lineRule="auto"/>
        <w:jc w:val="left"/>
        <w:rPr>
          <w:rFonts w:hint="eastAsia" w:ascii="宋体" w:hAnsi="宋体" w:eastAsia="宋体" w:cs="宋体"/>
          <w:kern w:val="0"/>
          <w:sz w:val="28"/>
          <w:highlight w:val="none"/>
        </w:rPr>
      </w:pPr>
    </w:p>
    <w:p w14:paraId="72CD8F08">
      <w:pPr>
        <w:shd w:val="clear"/>
        <w:tabs>
          <w:tab w:val="left" w:pos="-737"/>
        </w:tabs>
        <w:snapToGrid w:val="0"/>
        <w:spacing w:line="360" w:lineRule="auto"/>
        <w:ind w:firstLine="180"/>
        <w:jc w:val="left"/>
        <w:rPr>
          <w:rFonts w:hint="eastAsia" w:ascii="宋体" w:hAnsi="宋体" w:eastAsia="宋体" w:cs="宋体"/>
          <w:kern w:val="0"/>
          <w:sz w:val="24"/>
          <w:highlight w:val="none"/>
        </w:rPr>
      </w:pPr>
      <w:r>
        <w:rPr>
          <w:rFonts w:hint="eastAsia" w:ascii="宋体" w:hAnsi="宋体" w:eastAsia="宋体" w:cs="宋体"/>
          <w:b/>
          <w:kern w:val="0"/>
          <w:sz w:val="24"/>
          <w:highlight w:val="none"/>
        </w:rPr>
        <w:t>一、投标人提交投标文件须知</w:t>
      </w:r>
    </w:p>
    <w:p w14:paraId="2F17882C">
      <w:pPr>
        <w:shd w:val="clear"/>
        <w:tabs>
          <w:tab w:val="left" w:pos="0"/>
        </w:tabs>
        <w:snapToGrid w:val="0"/>
        <w:spacing w:line="360" w:lineRule="auto"/>
        <w:ind w:firstLine="624"/>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1.投标人应严格按照以下顺序填写和提交下述规定的全部格式文件以及其他有关资料，混乱的编排导致投标文件被误读或查找不到，后果由投标人承担。</w:t>
      </w:r>
    </w:p>
    <w:p w14:paraId="5B0399A9">
      <w:pPr>
        <w:shd w:val="clear"/>
        <w:tabs>
          <w:tab w:val="left" w:pos="0"/>
        </w:tabs>
        <w:snapToGrid w:val="0"/>
        <w:spacing w:line="360" w:lineRule="auto"/>
        <w:ind w:firstLine="624"/>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2.所附表格中要求回答的全部问题和信息都必须正面回答。</w:t>
      </w:r>
    </w:p>
    <w:p w14:paraId="69087260">
      <w:pPr>
        <w:shd w:val="clear"/>
        <w:tabs>
          <w:tab w:val="left" w:pos="0"/>
        </w:tabs>
        <w:snapToGrid w:val="0"/>
        <w:spacing w:line="360" w:lineRule="auto"/>
        <w:ind w:firstLine="624"/>
        <w:jc w:val="left"/>
        <w:rPr>
          <w:rFonts w:hint="eastAsia" w:ascii="宋体" w:hAnsi="宋体" w:eastAsia="宋体" w:cs="宋体"/>
          <w:kern w:val="0"/>
          <w:sz w:val="24"/>
          <w:highlight w:val="none"/>
        </w:rPr>
      </w:pPr>
      <w:r>
        <w:rPr>
          <w:rFonts w:hint="eastAsia" w:ascii="宋体" w:hAnsi="宋体" w:eastAsia="宋体" w:cs="宋体"/>
          <w:kern w:val="0"/>
          <w:sz w:val="24"/>
          <w:highlight w:val="none"/>
        </w:rPr>
        <w:t>3.资格声明的签字人应保证全部声明和问题的回答是真实的和准确的。</w:t>
      </w:r>
    </w:p>
    <w:p w14:paraId="1FA779A1">
      <w:pPr>
        <w:shd w:val="clear"/>
        <w:tabs>
          <w:tab w:val="left" w:pos="0"/>
        </w:tabs>
        <w:snapToGrid w:val="0"/>
        <w:spacing w:line="360" w:lineRule="auto"/>
        <w:ind w:firstLine="624"/>
        <w:jc w:val="left"/>
        <w:rPr>
          <w:rFonts w:hint="eastAsia" w:ascii="宋体" w:hAnsi="宋体" w:eastAsia="宋体" w:cs="宋体"/>
          <w:kern w:val="0"/>
          <w:sz w:val="24"/>
          <w:highlight w:val="none"/>
        </w:rPr>
      </w:pPr>
      <w:r>
        <w:rPr>
          <w:rFonts w:hint="eastAsia" w:ascii="宋体" w:hAnsi="宋体" w:eastAsia="宋体" w:cs="宋体"/>
          <w:kern w:val="0"/>
          <w:sz w:val="24"/>
          <w:highlight w:val="none"/>
        </w:rPr>
        <w:t>4.评标委员会将应用投标人提交的资料并根据自己的判断，决定投标人履行合同的合格性及能力。</w:t>
      </w:r>
    </w:p>
    <w:p w14:paraId="261066CB">
      <w:pPr>
        <w:shd w:val="clear"/>
        <w:tabs>
          <w:tab w:val="left" w:pos="0"/>
        </w:tabs>
        <w:snapToGrid w:val="0"/>
        <w:spacing w:line="360" w:lineRule="auto"/>
        <w:ind w:firstLine="624"/>
        <w:jc w:val="left"/>
        <w:rPr>
          <w:rFonts w:hint="eastAsia" w:ascii="宋体" w:hAnsi="宋体" w:eastAsia="宋体" w:cs="宋体"/>
          <w:kern w:val="0"/>
          <w:sz w:val="24"/>
          <w:highlight w:val="none"/>
        </w:rPr>
      </w:pPr>
      <w:r>
        <w:rPr>
          <w:rFonts w:hint="eastAsia" w:ascii="宋体" w:hAnsi="宋体" w:eastAsia="宋体" w:cs="宋体"/>
          <w:kern w:val="0"/>
          <w:sz w:val="24"/>
          <w:highlight w:val="none"/>
        </w:rPr>
        <w:t>5.投标人提交的材料将被妥善保存，但不退还。</w:t>
      </w:r>
    </w:p>
    <w:p w14:paraId="0A0825D3">
      <w:pPr>
        <w:shd w:val="clear"/>
        <w:tabs>
          <w:tab w:val="left" w:pos="0"/>
        </w:tabs>
        <w:snapToGrid w:val="0"/>
        <w:spacing w:line="360" w:lineRule="auto"/>
        <w:ind w:firstLine="624"/>
        <w:jc w:val="left"/>
        <w:rPr>
          <w:rFonts w:hint="eastAsia" w:ascii="宋体" w:hAnsi="宋体" w:eastAsia="宋体" w:cs="宋体"/>
          <w:kern w:val="0"/>
          <w:sz w:val="24"/>
          <w:highlight w:val="none"/>
        </w:rPr>
      </w:pPr>
      <w:r>
        <w:rPr>
          <w:rFonts w:hint="eastAsia" w:ascii="宋体" w:hAnsi="宋体" w:eastAsia="宋体" w:cs="宋体"/>
          <w:kern w:val="0"/>
          <w:sz w:val="24"/>
          <w:highlight w:val="none"/>
        </w:rPr>
        <w:t>6.全部文件应按投标人须知中规定的语言和份数提交。</w:t>
      </w:r>
    </w:p>
    <w:p w14:paraId="72C5A476">
      <w:pPr>
        <w:shd w:val="clear"/>
        <w:snapToGrid w:val="0"/>
        <w:spacing w:line="360" w:lineRule="auto"/>
        <w:rPr>
          <w:rFonts w:hint="eastAsia" w:ascii="宋体" w:hAnsi="宋体" w:eastAsia="宋体" w:cs="宋体"/>
          <w:kern w:val="0"/>
          <w:sz w:val="24"/>
          <w:highlight w:val="none"/>
        </w:rPr>
      </w:pPr>
    </w:p>
    <w:p w14:paraId="10163612">
      <w:pPr>
        <w:shd w:val="clear"/>
        <w:snapToGrid w:val="0"/>
        <w:spacing w:line="360" w:lineRule="auto"/>
        <w:rPr>
          <w:rFonts w:hint="eastAsia" w:ascii="宋体" w:hAnsi="宋体" w:eastAsia="宋体" w:cs="宋体"/>
          <w:kern w:val="0"/>
          <w:sz w:val="28"/>
          <w:szCs w:val="28"/>
          <w:highlight w:val="none"/>
        </w:rPr>
      </w:pPr>
    </w:p>
    <w:p w14:paraId="3CF695ED">
      <w:pPr>
        <w:shd w:val="clear"/>
        <w:snapToGrid w:val="0"/>
        <w:spacing w:line="360" w:lineRule="auto"/>
        <w:rPr>
          <w:rFonts w:hint="eastAsia" w:ascii="宋体" w:hAnsi="宋体" w:eastAsia="宋体" w:cs="宋体"/>
          <w:kern w:val="0"/>
          <w:sz w:val="28"/>
          <w:szCs w:val="28"/>
          <w:highlight w:val="none"/>
        </w:rPr>
      </w:pPr>
    </w:p>
    <w:p w14:paraId="678B3369">
      <w:pPr>
        <w:shd w:val="clear"/>
        <w:snapToGrid w:val="0"/>
        <w:spacing w:line="360" w:lineRule="auto"/>
        <w:rPr>
          <w:rFonts w:hint="eastAsia" w:ascii="宋体" w:hAnsi="宋体" w:eastAsia="宋体" w:cs="宋体"/>
          <w:kern w:val="0"/>
          <w:sz w:val="28"/>
          <w:szCs w:val="28"/>
          <w:highlight w:val="none"/>
        </w:rPr>
      </w:pPr>
    </w:p>
    <w:p w14:paraId="6E26F440">
      <w:pPr>
        <w:shd w:val="clear"/>
        <w:snapToGrid w:val="0"/>
        <w:spacing w:line="360" w:lineRule="auto"/>
        <w:rPr>
          <w:rFonts w:hint="eastAsia" w:ascii="宋体" w:hAnsi="宋体" w:eastAsia="宋体" w:cs="宋体"/>
          <w:kern w:val="0"/>
          <w:sz w:val="28"/>
          <w:szCs w:val="28"/>
          <w:highlight w:val="none"/>
        </w:rPr>
      </w:pPr>
    </w:p>
    <w:p w14:paraId="59364A6A">
      <w:pPr>
        <w:shd w:val="clear"/>
        <w:snapToGrid w:val="0"/>
        <w:spacing w:line="360" w:lineRule="auto"/>
        <w:rPr>
          <w:rFonts w:hint="eastAsia" w:ascii="宋体" w:hAnsi="宋体" w:eastAsia="宋体" w:cs="宋体"/>
          <w:kern w:val="0"/>
          <w:sz w:val="28"/>
          <w:szCs w:val="28"/>
          <w:highlight w:val="none"/>
        </w:rPr>
      </w:pPr>
    </w:p>
    <w:p w14:paraId="6633A2F5">
      <w:pPr>
        <w:shd w:val="clear"/>
        <w:snapToGrid w:val="0"/>
        <w:spacing w:line="360" w:lineRule="auto"/>
        <w:rPr>
          <w:rFonts w:hint="eastAsia" w:ascii="宋体" w:hAnsi="宋体" w:eastAsia="宋体" w:cs="宋体"/>
          <w:kern w:val="0"/>
          <w:sz w:val="28"/>
          <w:szCs w:val="28"/>
          <w:highlight w:val="none"/>
        </w:rPr>
      </w:pPr>
    </w:p>
    <w:p w14:paraId="5D9D01EA">
      <w:pPr>
        <w:shd w:val="clear"/>
        <w:snapToGrid w:val="0"/>
        <w:spacing w:line="360" w:lineRule="auto"/>
        <w:rPr>
          <w:rFonts w:hint="eastAsia" w:ascii="宋体" w:hAnsi="宋体" w:eastAsia="宋体" w:cs="宋体"/>
          <w:kern w:val="0"/>
          <w:sz w:val="28"/>
          <w:szCs w:val="28"/>
          <w:highlight w:val="none"/>
        </w:rPr>
      </w:pPr>
    </w:p>
    <w:p w14:paraId="6B35A825">
      <w:pPr>
        <w:shd w:val="clear"/>
        <w:snapToGrid w:val="0"/>
        <w:spacing w:line="360" w:lineRule="auto"/>
        <w:rPr>
          <w:rFonts w:hint="eastAsia" w:ascii="宋体" w:hAnsi="宋体" w:eastAsia="宋体" w:cs="宋体"/>
          <w:kern w:val="0"/>
          <w:sz w:val="28"/>
          <w:szCs w:val="28"/>
          <w:highlight w:val="none"/>
        </w:rPr>
      </w:pPr>
    </w:p>
    <w:p w14:paraId="27D5AA03">
      <w:pPr>
        <w:shd w:val="clear"/>
        <w:snapToGrid w:val="0"/>
        <w:spacing w:line="360" w:lineRule="auto"/>
        <w:rPr>
          <w:rFonts w:hint="eastAsia" w:ascii="宋体" w:hAnsi="宋体" w:eastAsia="宋体" w:cs="宋体"/>
          <w:kern w:val="0"/>
          <w:sz w:val="28"/>
          <w:szCs w:val="28"/>
          <w:highlight w:val="none"/>
        </w:rPr>
      </w:pPr>
    </w:p>
    <w:p w14:paraId="166285DF">
      <w:pPr>
        <w:shd w:val="clear"/>
        <w:snapToGrid w:val="0"/>
        <w:spacing w:line="360" w:lineRule="auto"/>
        <w:rPr>
          <w:rFonts w:hint="eastAsia" w:ascii="宋体" w:hAnsi="宋体" w:eastAsia="宋体" w:cs="宋体"/>
          <w:kern w:val="0"/>
          <w:sz w:val="28"/>
          <w:szCs w:val="28"/>
          <w:highlight w:val="none"/>
        </w:rPr>
      </w:pPr>
    </w:p>
    <w:p w14:paraId="32CD763D">
      <w:pPr>
        <w:pStyle w:val="27"/>
        <w:widowControl w:val="0"/>
        <w:shd w:val="clear"/>
        <w:rPr>
          <w:rFonts w:hint="eastAsia" w:ascii="宋体" w:hAnsi="宋体" w:eastAsia="宋体" w:cs="宋体"/>
          <w:highlight w:val="none"/>
        </w:rPr>
      </w:pPr>
    </w:p>
    <w:p w14:paraId="03582499">
      <w:pPr>
        <w:pStyle w:val="27"/>
        <w:widowControl w:val="0"/>
        <w:shd w:val="clear"/>
        <w:rPr>
          <w:rFonts w:hint="eastAsia" w:ascii="宋体" w:hAnsi="宋体" w:eastAsia="宋体" w:cs="宋体"/>
          <w:highlight w:val="none"/>
        </w:rPr>
      </w:pPr>
    </w:p>
    <w:p w14:paraId="77E5A4F5">
      <w:pPr>
        <w:pStyle w:val="8"/>
        <w:shd w:val="clear"/>
        <w:ind w:firstLine="0"/>
        <w:rPr>
          <w:rFonts w:hint="eastAsia" w:ascii="宋体" w:hAnsi="宋体" w:eastAsia="宋体" w:cs="宋体"/>
          <w:highlight w:val="none"/>
        </w:rPr>
      </w:pPr>
    </w:p>
    <w:p w14:paraId="633E5278">
      <w:pPr>
        <w:pStyle w:val="8"/>
        <w:shd w:val="clear"/>
        <w:ind w:firstLine="0"/>
        <w:rPr>
          <w:rFonts w:hint="eastAsia" w:ascii="宋体" w:hAnsi="宋体" w:eastAsia="宋体" w:cs="宋体"/>
          <w:highlight w:val="none"/>
        </w:rPr>
      </w:pPr>
    </w:p>
    <w:p w14:paraId="23322682">
      <w:pPr>
        <w:pStyle w:val="8"/>
        <w:shd w:val="clear"/>
        <w:ind w:firstLine="0"/>
        <w:rPr>
          <w:rFonts w:hint="eastAsia" w:ascii="宋体" w:hAnsi="宋体" w:eastAsia="宋体" w:cs="宋体"/>
          <w:highlight w:val="none"/>
        </w:rPr>
      </w:pPr>
    </w:p>
    <w:p w14:paraId="7FFB7067">
      <w:pPr>
        <w:pStyle w:val="8"/>
        <w:shd w:val="clear"/>
        <w:ind w:firstLine="0"/>
        <w:rPr>
          <w:rFonts w:hint="eastAsia" w:ascii="宋体" w:hAnsi="宋体" w:eastAsia="宋体" w:cs="宋体"/>
          <w:highlight w:val="none"/>
        </w:rPr>
      </w:pPr>
    </w:p>
    <w:p w14:paraId="178A4709">
      <w:pPr>
        <w:pStyle w:val="27"/>
        <w:widowControl w:val="0"/>
        <w:shd w:val="clear"/>
        <w:rPr>
          <w:rFonts w:hint="eastAsia" w:ascii="宋体" w:hAnsi="宋体" w:eastAsia="宋体" w:cs="宋体"/>
          <w:sz w:val="28"/>
          <w:szCs w:val="28"/>
          <w:highlight w:val="none"/>
        </w:rPr>
      </w:pPr>
    </w:p>
    <w:p w14:paraId="060C11C4">
      <w:pPr>
        <w:shd w:val="clear"/>
        <w:rPr>
          <w:rFonts w:hint="eastAsia" w:ascii="宋体" w:hAnsi="宋体" w:eastAsia="宋体" w:cs="宋体"/>
          <w:highlight w:val="none"/>
        </w:rPr>
      </w:pPr>
    </w:p>
    <w:p w14:paraId="72FF3EE7">
      <w:pPr>
        <w:shd w:val="clear"/>
        <w:tabs>
          <w:tab w:val="left" w:pos="4000"/>
        </w:tabs>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投标文件（资格证明文件）封面格式</w:t>
      </w:r>
    </w:p>
    <w:p w14:paraId="4B0F32E8">
      <w:pPr>
        <w:shd w:val="clear"/>
        <w:snapToGrid w:val="0"/>
        <w:spacing w:line="360" w:lineRule="auto"/>
        <w:jc w:val="right"/>
        <w:rPr>
          <w:rFonts w:hint="eastAsia" w:ascii="宋体" w:hAnsi="宋体" w:eastAsia="宋体" w:cs="宋体"/>
          <w:kern w:val="0"/>
          <w:sz w:val="28"/>
          <w:szCs w:val="32"/>
          <w:highlight w:val="none"/>
        </w:rPr>
      </w:pPr>
    </w:p>
    <w:p w14:paraId="455144C5">
      <w:pPr>
        <w:pStyle w:val="13"/>
        <w:shd w:val="clear"/>
        <w:rPr>
          <w:rFonts w:hint="eastAsia" w:ascii="宋体" w:hAnsi="宋体" w:eastAsia="宋体" w:cs="宋体"/>
          <w:highlight w:val="none"/>
        </w:rPr>
      </w:pPr>
    </w:p>
    <w:p w14:paraId="26CEA225">
      <w:pPr>
        <w:shd w:val="clear"/>
        <w:snapToGrid w:val="0"/>
        <w:spacing w:line="360" w:lineRule="auto"/>
        <w:jc w:val="right"/>
        <w:rPr>
          <w:rFonts w:hint="eastAsia" w:ascii="宋体" w:hAnsi="宋体" w:eastAsia="宋体" w:cs="宋体"/>
          <w:kern w:val="0"/>
          <w:sz w:val="24"/>
          <w:highlight w:val="none"/>
        </w:rPr>
      </w:pPr>
      <w:r>
        <w:rPr>
          <w:rFonts w:hint="eastAsia" w:ascii="宋体" w:hAnsi="宋体" w:eastAsia="宋体" w:cs="宋体"/>
          <w:kern w:val="0"/>
          <w:sz w:val="24"/>
          <w:highlight w:val="none"/>
        </w:rPr>
        <w:t>（正/副）本</w:t>
      </w:r>
    </w:p>
    <w:p w14:paraId="63E201C5">
      <w:pPr>
        <w:shd w:val="clear"/>
        <w:snapToGrid w:val="0"/>
        <w:spacing w:line="360" w:lineRule="auto"/>
        <w:jc w:val="right"/>
        <w:rPr>
          <w:rFonts w:hint="eastAsia" w:ascii="宋体" w:hAnsi="宋体" w:eastAsia="宋体" w:cs="宋体"/>
          <w:kern w:val="0"/>
          <w:sz w:val="28"/>
          <w:szCs w:val="32"/>
          <w:highlight w:val="none"/>
        </w:rPr>
      </w:pPr>
    </w:p>
    <w:p w14:paraId="0DF86916">
      <w:pPr>
        <w:shd w:val="clear"/>
        <w:snapToGrid w:val="0"/>
        <w:spacing w:line="360" w:lineRule="auto"/>
        <w:jc w:val="center"/>
        <w:rPr>
          <w:rFonts w:hint="eastAsia" w:ascii="宋体" w:hAnsi="宋体" w:eastAsia="宋体" w:cs="宋体"/>
          <w:b/>
          <w:kern w:val="0"/>
          <w:sz w:val="72"/>
          <w:szCs w:val="72"/>
          <w:highlight w:val="none"/>
        </w:rPr>
      </w:pPr>
      <w:r>
        <w:rPr>
          <w:rFonts w:hint="eastAsia" w:ascii="宋体" w:hAnsi="宋体" w:eastAsia="宋体" w:cs="宋体"/>
          <w:b/>
          <w:kern w:val="0"/>
          <w:sz w:val="72"/>
          <w:szCs w:val="72"/>
          <w:highlight w:val="none"/>
        </w:rPr>
        <w:t>投  标  文  件</w:t>
      </w:r>
    </w:p>
    <w:p w14:paraId="24D458FB">
      <w:pPr>
        <w:shd w:val="clear"/>
        <w:snapToGrid w:val="0"/>
        <w:spacing w:line="360" w:lineRule="auto"/>
        <w:jc w:val="center"/>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（资格证明文件）</w:t>
      </w:r>
    </w:p>
    <w:p w14:paraId="37482555">
      <w:pPr>
        <w:shd w:val="clear"/>
        <w:snapToGrid w:val="0"/>
        <w:spacing w:line="360" w:lineRule="auto"/>
        <w:jc w:val="left"/>
        <w:rPr>
          <w:rFonts w:hint="eastAsia" w:ascii="宋体" w:hAnsi="宋体" w:eastAsia="宋体" w:cs="宋体"/>
          <w:kern w:val="0"/>
          <w:sz w:val="28"/>
          <w:szCs w:val="30"/>
          <w:highlight w:val="none"/>
        </w:rPr>
      </w:pPr>
    </w:p>
    <w:p w14:paraId="77C9F2EA">
      <w:pPr>
        <w:shd w:val="clear"/>
        <w:snapToGrid w:val="0"/>
        <w:spacing w:line="360" w:lineRule="auto"/>
        <w:ind w:firstLine="560" w:firstLineChars="200"/>
        <w:jc w:val="left"/>
        <w:rPr>
          <w:rFonts w:hint="eastAsia" w:ascii="宋体" w:hAnsi="宋体" w:eastAsia="宋体" w:cs="宋体"/>
          <w:kern w:val="0"/>
          <w:sz w:val="28"/>
          <w:szCs w:val="30"/>
          <w:highlight w:val="none"/>
        </w:rPr>
      </w:pPr>
      <w:r>
        <w:rPr>
          <w:rFonts w:hint="eastAsia" w:ascii="宋体" w:hAnsi="宋体" w:eastAsia="宋体" w:cs="宋体"/>
          <w:kern w:val="0"/>
          <w:sz w:val="28"/>
          <w:szCs w:val="30"/>
          <w:highlight w:val="none"/>
        </w:rPr>
        <w:t>项目名称：</w:t>
      </w:r>
    </w:p>
    <w:p w14:paraId="716F293B">
      <w:pPr>
        <w:shd w:val="clear"/>
        <w:snapToGrid w:val="0"/>
        <w:spacing w:line="360" w:lineRule="auto"/>
        <w:ind w:firstLine="560" w:firstLineChars="200"/>
        <w:jc w:val="left"/>
        <w:rPr>
          <w:rFonts w:hint="eastAsia" w:ascii="宋体" w:hAnsi="宋体" w:eastAsia="宋体" w:cs="宋体"/>
          <w:kern w:val="0"/>
          <w:sz w:val="28"/>
          <w:szCs w:val="30"/>
          <w:highlight w:val="none"/>
        </w:rPr>
      </w:pPr>
      <w:r>
        <w:rPr>
          <w:rFonts w:hint="eastAsia" w:ascii="宋体" w:hAnsi="宋体" w:eastAsia="宋体" w:cs="宋体"/>
          <w:kern w:val="0"/>
          <w:sz w:val="28"/>
          <w:szCs w:val="30"/>
          <w:highlight w:val="none"/>
        </w:rPr>
        <w:t>项目编号：</w:t>
      </w:r>
    </w:p>
    <w:p w14:paraId="5D929164">
      <w:pPr>
        <w:pStyle w:val="8"/>
        <w:shd w:val="clear"/>
        <w:rPr>
          <w:rFonts w:hint="eastAsia" w:ascii="宋体" w:hAnsi="宋体" w:eastAsia="宋体" w:cs="宋体"/>
          <w:highlight w:val="none"/>
        </w:rPr>
      </w:pPr>
    </w:p>
    <w:p w14:paraId="2D4F514B">
      <w:pPr>
        <w:pStyle w:val="8"/>
        <w:shd w:val="clear"/>
        <w:rPr>
          <w:rFonts w:hint="eastAsia" w:ascii="宋体" w:hAnsi="宋体" w:eastAsia="宋体" w:cs="宋体"/>
          <w:highlight w:val="none"/>
        </w:rPr>
      </w:pPr>
    </w:p>
    <w:p w14:paraId="6691CA42">
      <w:pPr>
        <w:pStyle w:val="8"/>
        <w:shd w:val="clear"/>
        <w:rPr>
          <w:rFonts w:hint="eastAsia" w:ascii="宋体" w:hAnsi="宋体" w:eastAsia="宋体" w:cs="宋体"/>
          <w:highlight w:val="none"/>
        </w:rPr>
      </w:pPr>
    </w:p>
    <w:p w14:paraId="7ED71A86">
      <w:pPr>
        <w:pStyle w:val="8"/>
        <w:shd w:val="clear"/>
        <w:rPr>
          <w:rFonts w:hint="eastAsia" w:ascii="宋体" w:hAnsi="宋体" w:eastAsia="宋体" w:cs="宋体"/>
          <w:highlight w:val="none"/>
        </w:rPr>
      </w:pPr>
    </w:p>
    <w:p w14:paraId="01137958">
      <w:pPr>
        <w:pStyle w:val="8"/>
        <w:shd w:val="clear"/>
        <w:rPr>
          <w:rFonts w:hint="eastAsia" w:ascii="宋体" w:hAnsi="宋体" w:eastAsia="宋体" w:cs="宋体"/>
          <w:highlight w:val="none"/>
        </w:rPr>
      </w:pPr>
    </w:p>
    <w:p w14:paraId="3BC13035">
      <w:pPr>
        <w:pStyle w:val="27"/>
        <w:widowControl w:val="0"/>
        <w:shd w:val="clear"/>
        <w:rPr>
          <w:rFonts w:hint="eastAsia" w:ascii="宋体" w:hAnsi="宋体" w:eastAsia="宋体" w:cs="宋体"/>
          <w:highlight w:val="none"/>
        </w:rPr>
      </w:pPr>
    </w:p>
    <w:p w14:paraId="32CA449C">
      <w:pPr>
        <w:shd w:val="clear"/>
        <w:snapToGrid w:val="0"/>
        <w:spacing w:line="360" w:lineRule="auto"/>
        <w:jc w:val="left"/>
        <w:rPr>
          <w:rFonts w:hint="eastAsia" w:ascii="宋体" w:hAnsi="宋体" w:eastAsia="宋体" w:cs="宋体"/>
          <w:kern w:val="0"/>
          <w:sz w:val="28"/>
          <w:highlight w:val="none"/>
        </w:rPr>
      </w:pPr>
    </w:p>
    <w:p w14:paraId="47FFA1E4">
      <w:pPr>
        <w:shd w:val="clear"/>
        <w:snapToGrid w:val="0"/>
        <w:spacing w:line="360" w:lineRule="auto"/>
        <w:jc w:val="left"/>
        <w:rPr>
          <w:rFonts w:hint="eastAsia" w:ascii="宋体" w:hAnsi="宋体" w:eastAsia="宋体" w:cs="宋体"/>
          <w:kern w:val="0"/>
          <w:sz w:val="28"/>
          <w:highlight w:val="none"/>
        </w:rPr>
      </w:pPr>
    </w:p>
    <w:p w14:paraId="638C9005">
      <w:pPr>
        <w:shd w:val="clear"/>
        <w:snapToGrid w:val="0"/>
        <w:spacing w:line="360" w:lineRule="auto"/>
        <w:rPr>
          <w:rFonts w:hint="eastAsia" w:ascii="宋体" w:hAnsi="宋体" w:eastAsia="宋体" w:cs="宋体"/>
          <w:kern w:val="0"/>
          <w:sz w:val="28"/>
          <w:szCs w:val="28"/>
          <w:highlight w:val="none"/>
          <w:u w:val="single"/>
        </w:rPr>
      </w:pPr>
      <w:r>
        <w:rPr>
          <w:rFonts w:hint="eastAsia" w:ascii="宋体" w:hAnsi="宋体" w:eastAsia="宋体" w:cs="宋体"/>
          <w:kern w:val="0"/>
          <w:sz w:val="28"/>
          <w:szCs w:val="32"/>
          <w:highlight w:val="none"/>
        </w:rPr>
        <w:t xml:space="preserve">                    </w:t>
      </w:r>
      <w:r>
        <w:rPr>
          <w:rFonts w:hint="eastAsia" w:ascii="宋体" w:hAnsi="宋体" w:eastAsia="宋体" w:cs="宋体"/>
          <w:kern w:val="0"/>
          <w:sz w:val="28"/>
          <w:szCs w:val="28"/>
          <w:highlight w:val="none"/>
        </w:rPr>
        <w:t xml:space="preserve">投标人全称： </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（盖章）</w:t>
      </w:r>
    </w:p>
    <w:p w14:paraId="00BA5DB8">
      <w:pPr>
        <w:shd w:val="clear"/>
        <w:snapToGrid w:val="0"/>
        <w:spacing w:line="360" w:lineRule="auto"/>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法定代表人（负责人）或授权代表：</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（签字或盖章）</w:t>
      </w:r>
    </w:p>
    <w:p w14:paraId="37158B51">
      <w:pPr>
        <w:shd w:val="clear"/>
        <w:snapToGrid w:val="0"/>
        <w:spacing w:line="360" w:lineRule="auto"/>
        <w:rPr>
          <w:rFonts w:hint="eastAsia" w:ascii="宋体" w:hAnsi="宋体" w:eastAsia="宋体" w:cs="宋体"/>
          <w:kern w:val="0"/>
          <w:sz w:val="28"/>
          <w:szCs w:val="28"/>
          <w:highlight w:val="none"/>
          <w:u w:val="single"/>
        </w:rPr>
      </w:pPr>
    </w:p>
    <w:p w14:paraId="0CCEC01F">
      <w:pPr>
        <w:shd w:val="clear"/>
        <w:snapToGrid w:val="0"/>
        <w:spacing w:line="360" w:lineRule="auto"/>
        <w:jc w:val="center"/>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二〇二</w:t>
      </w:r>
      <w:r>
        <w:rPr>
          <w:rFonts w:hint="eastAsia" w:ascii="宋体" w:hAnsi="宋体" w:cs="宋体"/>
          <w:kern w:val="0"/>
          <w:sz w:val="30"/>
          <w:szCs w:val="30"/>
          <w:highlight w:val="none"/>
          <w:lang w:val="en-US" w:eastAsia="zh-CN"/>
        </w:rPr>
        <w:t>五</w:t>
      </w:r>
      <w:r>
        <w:rPr>
          <w:rFonts w:hint="eastAsia" w:ascii="宋体" w:hAnsi="宋体" w:eastAsia="宋体" w:cs="宋体"/>
          <w:kern w:val="0"/>
          <w:sz w:val="30"/>
          <w:szCs w:val="30"/>
          <w:highlight w:val="none"/>
        </w:rPr>
        <w:t>年   月   日</w:t>
      </w:r>
    </w:p>
    <w:p w14:paraId="3845D325">
      <w:pPr>
        <w:shd w:val="clear"/>
        <w:spacing w:line="360" w:lineRule="auto"/>
        <w:rPr>
          <w:rFonts w:hint="eastAsia" w:ascii="宋体" w:hAnsi="宋体" w:eastAsia="宋体" w:cs="宋体"/>
          <w:bCs/>
          <w:szCs w:val="21"/>
          <w:highlight w:val="none"/>
        </w:rPr>
      </w:pPr>
    </w:p>
    <w:p w14:paraId="030398F0">
      <w:pPr>
        <w:rPr>
          <w:rFonts w:hint="eastAsia" w:ascii="宋体" w:hAnsi="宋体" w:eastAsia="宋体" w:cs="宋体"/>
          <w:bCs/>
          <w:sz w:val="24"/>
          <w:highlight w:val="none"/>
        </w:rPr>
      </w:pPr>
      <w:r>
        <w:rPr>
          <w:rFonts w:hint="eastAsia" w:ascii="宋体" w:hAnsi="宋体" w:eastAsia="宋体" w:cs="宋体"/>
          <w:bCs/>
          <w:sz w:val="24"/>
          <w:highlight w:val="none"/>
        </w:rPr>
        <w:br w:type="page"/>
      </w:r>
    </w:p>
    <w:p w14:paraId="1C73BB79">
      <w:pPr>
        <w:shd w:val="clea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目录格式</w:t>
      </w:r>
    </w:p>
    <w:p w14:paraId="7B152D79">
      <w:pPr>
        <w:shd w:val="clear"/>
        <w:spacing w:line="360" w:lineRule="auto"/>
        <w:jc w:val="center"/>
        <w:rPr>
          <w:rFonts w:hint="eastAsia" w:ascii="宋体" w:hAnsi="宋体" w:eastAsia="宋体" w:cs="宋体"/>
          <w:b/>
          <w:bCs/>
          <w:sz w:val="24"/>
          <w:highlight w:val="none"/>
        </w:rPr>
      </w:pPr>
    </w:p>
    <w:p w14:paraId="6C6A8768">
      <w:pPr>
        <w:pStyle w:val="13"/>
        <w:shd w:val="clear"/>
        <w:rPr>
          <w:rFonts w:hint="eastAsia" w:ascii="宋体" w:hAnsi="宋体" w:eastAsia="宋体" w:cs="宋体"/>
          <w:highlight w:val="none"/>
        </w:rPr>
      </w:pPr>
    </w:p>
    <w:p w14:paraId="2EA23440">
      <w:pPr>
        <w:shd w:val="clea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14:paraId="75CCEB31">
      <w:pPr>
        <w:shd w:val="clear"/>
        <w:spacing w:before="120" w:beforeLines="50" w:after="120" w:afterLines="5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资格证明文件部分</w:t>
      </w:r>
    </w:p>
    <w:p w14:paraId="751FADA5">
      <w:pPr>
        <w:pStyle w:val="16"/>
        <w:shd w:val="clear"/>
        <w:snapToGrid w:val="0"/>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1.具有独立承担民事责任的能力的承诺函</w:t>
      </w:r>
      <w:r>
        <w:rPr>
          <w:rFonts w:hint="eastAsia" w:ascii="宋体" w:hAnsi="宋体" w:eastAsia="宋体" w:cs="宋体"/>
          <w:kern w:val="0"/>
          <w:sz w:val="24"/>
          <w:szCs w:val="24"/>
          <w:highlight w:val="none"/>
        </w:rPr>
        <w:t>……………………………………</w:t>
      </w:r>
    </w:p>
    <w:p w14:paraId="3F55E73D">
      <w:pPr>
        <w:pStyle w:val="16"/>
        <w:shd w:val="clear"/>
        <w:snapToGrid w:val="0"/>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具有良好的商业信誉和健全的财务会计制度的承诺函</w:t>
      </w:r>
      <w:r>
        <w:rPr>
          <w:rFonts w:hint="eastAsia" w:ascii="宋体" w:hAnsi="宋体" w:eastAsia="宋体" w:cs="宋体"/>
          <w:kern w:val="0"/>
          <w:sz w:val="24"/>
          <w:szCs w:val="24"/>
          <w:highlight w:val="none"/>
        </w:rPr>
        <w:t>……………………</w:t>
      </w:r>
    </w:p>
    <w:p w14:paraId="7A15E193">
      <w:pPr>
        <w:pStyle w:val="16"/>
        <w:shd w:val="clear"/>
        <w:snapToGrid w:val="0"/>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3.具有履行合同所必需的设备和专业技术能力的承诺函</w:t>
      </w:r>
      <w:r>
        <w:rPr>
          <w:rFonts w:hint="eastAsia" w:ascii="宋体" w:hAnsi="宋体" w:eastAsia="宋体" w:cs="宋体"/>
          <w:kern w:val="0"/>
          <w:sz w:val="24"/>
          <w:szCs w:val="24"/>
          <w:highlight w:val="none"/>
        </w:rPr>
        <w:t>………………………</w:t>
      </w:r>
    </w:p>
    <w:p w14:paraId="06F22D53">
      <w:pPr>
        <w:pStyle w:val="16"/>
        <w:shd w:val="clear"/>
        <w:snapToGrid w:val="0"/>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4.有依法缴纳税收和社会保障资金的良好记录的承诺函</w:t>
      </w:r>
      <w:r>
        <w:rPr>
          <w:rFonts w:hint="eastAsia" w:ascii="宋体" w:hAnsi="宋体" w:eastAsia="宋体" w:cs="宋体"/>
          <w:kern w:val="0"/>
          <w:sz w:val="24"/>
          <w:szCs w:val="24"/>
          <w:highlight w:val="none"/>
        </w:rPr>
        <w:t>………………………</w:t>
      </w:r>
    </w:p>
    <w:p w14:paraId="3908845F">
      <w:pPr>
        <w:pStyle w:val="16"/>
        <w:keepNext/>
        <w:keepLines/>
        <w:pageBreakBefore w:val="0"/>
        <w:widowControl w:val="0"/>
        <w:shd w:val="clear"/>
        <w:kinsoku/>
        <w:wordWrap w:val="0"/>
        <w:overflowPunct/>
        <w:topLinePunct/>
        <w:autoSpaceDE/>
        <w:autoSpaceDN/>
        <w:bidi w:val="0"/>
        <w:adjustRightInd/>
        <w:snapToGrid w:val="0"/>
        <w:spacing w:line="360" w:lineRule="auto"/>
        <w:ind w:left="482"/>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5.</w:t>
      </w:r>
      <w:r>
        <w:rPr>
          <w:rFonts w:hint="eastAsia" w:ascii="宋体" w:hAnsi="宋体" w:eastAsia="宋体" w:cs="宋体"/>
          <w:w w:val="90"/>
          <w:sz w:val="24"/>
          <w:szCs w:val="24"/>
          <w:highlight w:val="none"/>
        </w:rPr>
        <w:t>参加本次采购活动前三年内，在经营活动中没有重大违法记录的承诺函</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w:t>
      </w:r>
    </w:p>
    <w:p w14:paraId="3529178C">
      <w:pPr>
        <w:pStyle w:val="16"/>
        <w:shd w:val="clear"/>
        <w:snapToGrid w:val="0"/>
        <w:spacing w:line="360" w:lineRule="auto"/>
        <w:ind w:left="480"/>
        <w:rPr>
          <w:rFonts w:hint="eastAsia" w:ascii="宋体" w:hAnsi="宋体" w:eastAsia="宋体" w:cs="宋体"/>
          <w:sz w:val="24"/>
          <w:szCs w:val="24"/>
          <w:highlight w:val="none"/>
        </w:rPr>
      </w:pPr>
      <w:r>
        <w:rPr>
          <w:rFonts w:hint="eastAsia" w:ascii="宋体" w:hAnsi="宋体" w:eastAsia="宋体" w:cs="宋体"/>
          <w:color w:val="000000" w:themeColor="text1"/>
          <w:sz w:val="24"/>
          <w:highlight w:val="none"/>
          <w14:textFill>
            <w14:solidFill>
              <w14:schemeClr w14:val="tx1"/>
            </w14:solidFill>
          </w14:textFill>
        </w:rPr>
        <w:t>6.单位负责人为同一人或者存在直接控股、管理关系的不同投标人，不得参加同一合同项下的采购活动的承诺函</w:t>
      </w:r>
      <w:r>
        <w:rPr>
          <w:rFonts w:hint="eastAsia" w:ascii="宋体" w:hAnsi="宋体" w:eastAsia="宋体" w:cs="宋体"/>
          <w:sz w:val="24"/>
          <w:szCs w:val="24"/>
          <w:highlight w:val="none"/>
        </w:rPr>
        <w:t>…………………………………………………</w:t>
      </w:r>
    </w:p>
    <w:p w14:paraId="1A65B9AD">
      <w:pPr>
        <w:pStyle w:val="16"/>
        <w:shd w:val="clear"/>
        <w:snapToGrid w:val="0"/>
        <w:spacing w:line="360" w:lineRule="auto"/>
        <w:ind w:left="480"/>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.投标人廉洁自律承诺书………………………………………………………</w:t>
      </w:r>
      <w:r>
        <w:rPr>
          <w:rFonts w:hint="eastAsia" w:ascii="宋体" w:hAnsi="宋体" w:eastAsia="宋体" w:cs="宋体"/>
          <w:kern w:val="0"/>
          <w:sz w:val="24"/>
          <w:szCs w:val="24"/>
          <w:highlight w:val="none"/>
        </w:rPr>
        <w:t>……</w:t>
      </w:r>
    </w:p>
    <w:p w14:paraId="30664228">
      <w:pPr>
        <w:pStyle w:val="16"/>
        <w:shd w:val="clear"/>
        <w:snapToGrid w:val="0"/>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落实政府采购政策需满足的资格要求</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w:t>
      </w:r>
    </w:p>
    <w:p w14:paraId="64821E27">
      <w:pPr>
        <w:shd w:val="clea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.本项目的特定资格要求…………………………………………</w:t>
      </w:r>
      <w:r>
        <w:rPr>
          <w:rFonts w:hint="eastAsia" w:ascii="宋体" w:hAnsi="宋体" w:eastAsia="宋体" w:cs="宋体"/>
          <w:kern w:val="0"/>
          <w:sz w:val="24"/>
          <w:szCs w:val="24"/>
          <w:highlight w:val="none"/>
        </w:rPr>
        <w:t>…………………</w:t>
      </w:r>
    </w:p>
    <w:p w14:paraId="2086E6AB">
      <w:pPr>
        <w:shd w:val="clea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w:t>
      </w:r>
      <w:r>
        <w:rPr>
          <w:rFonts w:hint="eastAsia" w:ascii="宋体" w:hAnsi="宋体" w:eastAsia="宋体" w:cs="宋体"/>
          <w:kern w:val="0"/>
          <w:sz w:val="24"/>
          <w:highlight w:val="none"/>
        </w:rPr>
        <w:t>投标保证金提交凭证……………………………………………………………</w:t>
      </w:r>
    </w:p>
    <w:p w14:paraId="55A93A67">
      <w:pPr>
        <w:shd w:val="clear"/>
        <w:spacing w:line="360" w:lineRule="auto"/>
        <w:rPr>
          <w:rFonts w:hint="eastAsia" w:ascii="宋体" w:hAnsi="宋体" w:eastAsia="宋体" w:cs="宋体"/>
          <w:b/>
          <w:bCs/>
          <w:kern w:val="44"/>
          <w:sz w:val="24"/>
          <w:highlight w:val="none"/>
        </w:rPr>
      </w:pPr>
    </w:p>
    <w:p w14:paraId="215D3ED5">
      <w:pPr>
        <w:shd w:val="clear"/>
        <w:spacing w:line="360" w:lineRule="auto"/>
        <w:rPr>
          <w:rFonts w:hint="eastAsia" w:ascii="宋体" w:hAnsi="宋体" w:eastAsia="宋体" w:cs="宋体"/>
          <w:b/>
          <w:bCs/>
          <w:kern w:val="44"/>
          <w:sz w:val="24"/>
          <w:highlight w:val="none"/>
        </w:rPr>
      </w:pPr>
    </w:p>
    <w:p w14:paraId="6F3D9AD4">
      <w:pPr>
        <w:shd w:val="clear"/>
        <w:spacing w:line="360" w:lineRule="auto"/>
        <w:rPr>
          <w:rFonts w:hint="eastAsia" w:ascii="宋体" w:hAnsi="宋体" w:eastAsia="宋体" w:cs="宋体"/>
          <w:b/>
          <w:bCs/>
          <w:kern w:val="44"/>
          <w:sz w:val="24"/>
          <w:highlight w:val="none"/>
        </w:rPr>
      </w:pPr>
    </w:p>
    <w:p w14:paraId="705A3474">
      <w:pPr>
        <w:shd w:val="clear"/>
        <w:spacing w:line="360" w:lineRule="auto"/>
        <w:rPr>
          <w:rFonts w:hint="eastAsia" w:ascii="宋体" w:hAnsi="宋体" w:eastAsia="宋体" w:cs="宋体"/>
          <w:b/>
          <w:bCs/>
          <w:kern w:val="44"/>
          <w:sz w:val="24"/>
          <w:highlight w:val="none"/>
        </w:rPr>
      </w:pPr>
    </w:p>
    <w:p w14:paraId="3DA1BDEE">
      <w:pPr>
        <w:shd w:val="clear"/>
        <w:spacing w:line="360" w:lineRule="auto"/>
        <w:rPr>
          <w:rFonts w:hint="eastAsia" w:ascii="宋体" w:hAnsi="宋体" w:eastAsia="宋体" w:cs="宋体"/>
          <w:b/>
          <w:bCs/>
          <w:kern w:val="44"/>
          <w:sz w:val="24"/>
          <w:highlight w:val="none"/>
        </w:rPr>
      </w:pPr>
    </w:p>
    <w:p w14:paraId="7DEDE3D7">
      <w:pPr>
        <w:shd w:val="clear"/>
        <w:spacing w:line="360" w:lineRule="auto"/>
        <w:rPr>
          <w:rFonts w:hint="eastAsia" w:ascii="宋体" w:hAnsi="宋体" w:eastAsia="宋体" w:cs="宋体"/>
          <w:b/>
          <w:bCs/>
          <w:kern w:val="44"/>
          <w:sz w:val="24"/>
          <w:highlight w:val="none"/>
        </w:rPr>
      </w:pPr>
    </w:p>
    <w:p w14:paraId="215AC0F0">
      <w:pPr>
        <w:shd w:val="clear"/>
        <w:spacing w:line="360" w:lineRule="auto"/>
        <w:rPr>
          <w:rFonts w:hint="eastAsia" w:ascii="宋体" w:hAnsi="宋体" w:eastAsia="宋体" w:cs="宋体"/>
          <w:b/>
          <w:bCs/>
          <w:kern w:val="44"/>
          <w:sz w:val="24"/>
          <w:highlight w:val="none"/>
        </w:rPr>
      </w:pPr>
    </w:p>
    <w:p w14:paraId="19B87224">
      <w:pPr>
        <w:pStyle w:val="27"/>
        <w:widowControl w:val="0"/>
        <w:shd w:val="clear"/>
        <w:rPr>
          <w:rFonts w:hint="eastAsia" w:ascii="宋体" w:hAnsi="宋体" w:eastAsia="宋体" w:cs="宋体"/>
          <w:b/>
          <w:bCs/>
          <w:kern w:val="44"/>
          <w:sz w:val="24"/>
          <w:szCs w:val="24"/>
          <w:highlight w:val="none"/>
        </w:rPr>
      </w:pPr>
    </w:p>
    <w:p w14:paraId="2C7119FB">
      <w:pPr>
        <w:pStyle w:val="27"/>
        <w:widowControl w:val="0"/>
        <w:shd w:val="clear"/>
        <w:rPr>
          <w:rFonts w:hint="eastAsia" w:ascii="宋体" w:hAnsi="宋体" w:eastAsia="宋体" w:cs="宋体"/>
          <w:b/>
          <w:bCs/>
          <w:kern w:val="44"/>
          <w:sz w:val="24"/>
          <w:szCs w:val="24"/>
          <w:highlight w:val="none"/>
        </w:rPr>
      </w:pPr>
    </w:p>
    <w:p w14:paraId="08A886D0">
      <w:pPr>
        <w:shd w:val="clear"/>
        <w:rPr>
          <w:rFonts w:hint="eastAsia" w:ascii="宋体" w:hAnsi="宋体" w:eastAsia="宋体" w:cs="宋体"/>
          <w:highlight w:val="none"/>
        </w:rPr>
      </w:pPr>
    </w:p>
    <w:p w14:paraId="49B9F120">
      <w:pPr>
        <w:pStyle w:val="27"/>
        <w:widowControl w:val="0"/>
        <w:shd w:val="clear"/>
        <w:rPr>
          <w:rFonts w:hint="eastAsia" w:ascii="宋体" w:hAnsi="宋体" w:eastAsia="宋体" w:cs="宋体"/>
          <w:b/>
          <w:bCs/>
          <w:kern w:val="44"/>
          <w:sz w:val="24"/>
          <w:szCs w:val="24"/>
          <w:highlight w:val="none"/>
        </w:rPr>
      </w:pPr>
    </w:p>
    <w:p w14:paraId="29A7478B">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1DFA88EB">
      <w:pPr>
        <w:shd w:val="clear"/>
        <w:spacing w:before="240" w:beforeLines="100" w:after="240" w:afterLines="100" w:line="360" w:lineRule="auto"/>
        <w:jc w:val="center"/>
        <w:rPr>
          <w:rFonts w:hint="eastAsia" w:ascii="宋体" w:hAnsi="宋体" w:eastAsia="宋体" w:cs="宋体"/>
          <w:b/>
          <w:kern w:val="0"/>
          <w:sz w:val="24"/>
          <w:highlight w:val="none"/>
        </w:rPr>
      </w:pPr>
      <w:r>
        <w:rPr>
          <w:rFonts w:hint="eastAsia" w:ascii="宋体" w:hAnsi="宋体" w:eastAsia="宋体" w:cs="宋体"/>
          <w:b/>
          <w:sz w:val="28"/>
          <w:szCs w:val="28"/>
          <w:highlight w:val="none"/>
        </w:rPr>
        <w:t>资格证明文件</w:t>
      </w:r>
    </w:p>
    <w:p w14:paraId="0156AB02">
      <w:pPr>
        <w:shd w:val="clear"/>
        <w:snapToGrid w:val="0"/>
        <w:spacing w:line="360" w:lineRule="auto"/>
        <w:rPr>
          <w:rFonts w:hint="eastAsia" w:ascii="宋体" w:hAnsi="宋体" w:eastAsia="宋体" w:cs="宋体"/>
          <w:b/>
          <w:sz w:val="24"/>
          <w:highlight w:val="none"/>
        </w:rPr>
      </w:pPr>
      <w:r>
        <w:rPr>
          <w:rFonts w:hint="eastAsia" w:ascii="宋体" w:hAnsi="宋体" w:eastAsia="宋体" w:cs="宋体"/>
          <w:b/>
          <w:color w:val="000000"/>
          <w:kern w:val="0"/>
          <w:sz w:val="24"/>
          <w:highlight w:val="none"/>
        </w:rPr>
        <w:t>1．具有</w:t>
      </w:r>
      <w:r>
        <w:rPr>
          <w:rFonts w:hint="eastAsia" w:ascii="宋体" w:hAnsi="宋体" w:eastAsia="宋体" w:cs="宋体"/>
          <w:b/>
          <w:sz w:val="24"/>
          <w:highlight w:val="none"/>
        </w:rPr>
        <w:t>独立承担民事责任的能力的承诺函</w:t>
      </w:r>
    </w:p>
    <w:p w14:paraId="13FD40AF">
      <w:pPr>
        <w:shd w:val="clear"/>
        <w:snapToGrid w:val="0"/>
        <w:spacing w:line="360" w:lineRule="auto"/>
        <w:jc w:val="center"/>
        <w:rPr>
          <w:rFonts w:hint="eastAsia" w:ascii="宋体" w:hAnsi="宋体" w:eastAsia="宋体" w:cs="宋体"/>
          <w:b/>
          <w:color w:val="000000"/>
          <w:kern w:val="0"/>
          <w:sz w:val="24"/>
          <w:highlight w:val="none"/>
        </w:rPr>
      </w:pPr>
    </w:p>
    <w:p w14:paraId="07B23C9B">
      <w:pPr>
        <w:shd w:val="clear"/>
        <w:snapToGrid w:val="0"/>
        <w:spacing w:line="360" w:lineRule="auto"/>
        <w:jc w:val="center"/>
        <w:rPr>
          <w:rFonts w:hint="eastAsia" w:ascii="宋体" w:hAnsi="宋体" w:eastAsia="宋体" w:cs="宋体"/>
          <w:sz w:val="24"/>
          <w:highlight w:val="none"/>
          <w:u w:val="single"/>
        </w:rPr>
      </w:pPr>
      <w:r>
        <w:rPr>
          <w:rFonts w:hint="eastAsia" w:ascii="宋体" w:hAnsi="宋体" w:eastAsia="宋体" w:cs="宋体"/>
          <w:b/>
          <w:color w:val="000000"/>
          <w:kern w:val="0"/>
          <w:sz w:val="24"/>
          <w:highlight w:val="none"/>
        </w:rPr>
        <w:t>投标人具有</w:t>
      </w:r>
      <w:r>
        <w:rPr>
          <w:rFonts w:hint="eastAsia" w:ascii="宋体" w:hAnsi="宋体" w:eastAsia="宋体" w:cs="宋体"/>
          <w:b/>
          <w:sz w:val="24"/>
          <w:highlight w:val="none"/>
        </w:rPr>
        <w:t>独立承担民事责任的能力的承诺函</w:t>
      </w:r>
    </w:p>
    <w:p w14:paraId="74126ADD">
      <w:pPr>
        <w:shd w:val="clear"/>
        <w:rPr>
          <w:rFonts w:hint="eastAsia" w:ascii="宋体" w:hAnsi="宋体" w:eastAsia="宋体" w:cs="宋体"/>
          <w:sz w:val="24"/>
          <w:highlight w:val="none"/>
          <w:u w:val="single"/>
        </w:rPr>
      </w:pPr>
    </w:p>
    <w:p w14:paraId="4F376BB4">
      <w:pPr>
        <w:shd w:val="clea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采购代理机构名称  ：</w:t>
      </w:r>
    </w:p>
    <w:p w14:paraId="1E955982">
      <w:pPr>
        <w:shd w:val="clear"/>
        <w:snapToGrid w:val="0"/>
        <w:spacing w:line="360" w:lineRule="auto"/>
        <w:ind w:firstLine="480" w:firstLineChars="200"/>
        <w:rPr>
          <w:rFonts w:hint="eastAsia" w:ascii="宋体" w:hAnsi="宋体" w:eastAsia="宋体" w:cs="宋体"/>
          <w:sz w:val="24"/>
          <w:highlight w:val="none"/>
        </w:rPr>
      </w:pPr>
    </w:p>
    <w:p w14:paraId="018F090C">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本投标人现参与贵公司组织的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）的采购活动。依据招标文件相关规定，现郑重承诺：我方具有有效的营业执照或事业单位法人证书或自然人身份证明或其他非企业组织证明文件及有效的开户许可证，能独立承担民事责任的能力。</w:t>
      </w:r>
    </w:p>
    <w:p w14:paraId="1AB5BA85">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基本信息如下：</w:t>
      </w:r>
    </w:p>
    <w:p w14:paraId="0B6D2F95">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，统一社会信用代码为：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；法定代表人（负责人）为：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；营业期限为: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；基本开户银行为：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；账号为：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D4AB719">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以上承诺信息如有虚假或隐瞒，我方愿意承担一切后果，并不再寻求任何旨在减轻或免除法律责任的辩解。 </w:t>
      </w:r>
    </w:p>
    <w:p w14:paraId="3DF14401">
      <w:pPr>
        <w:shd w:val="clea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特此承诺。</w:t>
      </w:r>
    </w:p>
    <w:p w14:paraId="7AE6CF0E">
      <w:pPr>
        <w:shd w:val="clear"/>
        <w:snapToGrid w:val="0"/>
        <w:spacing w:line="360" w:lineRule="auto"/>
        <w:ind w:firstLine="480" w:firstLineChars="200"/>
        <w:rPr>
          <w:rFonts w:hint="eastAsia" w:ascii="宋体" w:hAnsi="宋体" w:eastAsia="宋体" w:cs="宋体"/>
          <w:sz w:val="24"/>
          <w:highlight w:val="none"/>
        </w:rPr>
      </w:pPr>
    </w:p>
    <w:p w14:paraId="5BFA99EB">
      <w:pPr>
        <w:shd w:val="clear"/>
        <w:snapToGrid w:val="0"/>
        <w:spacing w:line="360" w:lineRule="auto"/>
        <w:ind w:firstLine="480" w:firstLineChars="200"/>
        <w:rPr>
          <w:rFonts w:hint="eastAsia" w:ascii="宋体" w:hAnsi="宋体" w:eastAsia="宋体" w:cs="宋体"/>
          <w:sz w:val="24"/>
          <w:highlight w:val="none"/>
        </w:rPr>
      </w:pPr>
    </w:p>
    <w:p w14:paraId="4C1D4D90">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272BEEB8">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法定代表人（负责人）：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（签字或盖章）  </w:t>
      </w:r>
    </w:p>
    <w:p w14:paraId="0EC9A276">
      <w:pPr>
        <w:shd w:val="clea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12F1B4A8">
      <w:pPr>
        <w:shd w:val="clear"/>
        <w:spacing w:line="360" w:lineRule="auto"/>
        <w:ind w:firstLine="240" w:firstLineChars="100"/>
        <w:rPr>
          <w:rFonts w:hint="eastAsia" w:ascii="宋体" w:hAnsi="宋体" w:eastAsia="宋体" w:cs="宋体"/>
          <w:sz w:val="24"/>
          <w:highlight w:val="none"/>
        </w:rPr>
      </w:pPr>
    </w:p>
    <w:p w14:paraId="6E6E4B7F">
      <w:pPr>
        <w:shd w:val="clear"/>
        <w:snapToGrid w:val="0"/>
        <w:spacing w:line="360" w:lineRule="auto"/>
        <w:rPr>
          <w:rFonts w:hint="eastAsia" w:ascii="宋体" w:hAnsi="宋体" w:eastAsia="宋体" w:cs="宋体"/>
          <w:color w:val="000000"/>
          <w:kern w:val="0"/>
          <w:sz w:val="24"/>
          <w:highlight w:val="none"/>
        </w:rPr>
      </w:pPr>
    </w:p>
    <w:p w14:paraId="31FD94AC">
      <w:pPr>
        <w:shd w:val="clea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br w:type="page"/>
      </w:r>
      <w:r>
        <w:rPr>
          <w:rFonts w:hint="eastAsia" w:ascii="宋体" w:hAnsi="宋体" w:eastAsia="宋体" w:cs="宋体"/>
          <w:b/>
          <w:color w:val="000000"/>
          <w:kern w:val="0"/>
          <w:sz w:val="24"/>
          <w:highlight w:val="none"/>
        </w:rPr>
        <w:t>2．具有良好的商业信誉和</w:t>
      </w:r>
      <w:r>
        <w:rPr>
          <w:rFonts w:hint="eastAsia" w:ascii="宋体" w:hAnsi="宋体" w:eastAsia="宋体" w:cs="宋体"/>
          <w:b/>
          <w:sz w:val="24"/>
          <w:highlight w:val="none"/>
        </w:rPr>
        <w:t>健全的财务会计制度的承诺函</w:t>
      </w:r>
    </w:p>
    <w:p w14:paraId="3A377444">
      <w:pPr>
        <w:shd w:val="clear"/>
        <w:jc w:val="center"/>
        <w:rPr>
          <w:rFonts w:hint="eastAsia" w:ascii="宋体" w:hAnsi="宋体" w:eastAsia="宋体" w:cs="宋体"/>
          <w:b/>
          <w:color w:val="000000"/>
          <w:kern w:val="0"/>
          <w:sz w:val="24"/>
          <w:highlight w:val="none"/>
        </w:rPr>
      </w:pPr>
    </w:p>
    <w:p w14:paraId="0B250E31">
      <w:pPr>
        <w:shd w:val="clear"/>
        <w:jc w:val="center"/>
        <w:rPr>
          <w:rFonts w:hint="eastAsia" w:ascii="宋体" w:hAnsi="宋体" w:eastAsia="宋体" w:cs="宋体"/>
          <w:sz w:val="24"/>
          <w:highlight w:val="none"/>
          <w:u w:val="single"/>
        </w:rPr>
      </w:pPr>
      <w:r>
        <w:rPr>
          <w:rFonts w:hint="eastAsia" w:ascii="宋体" w:hAnsi="宋体" w:eastAsia="宋体" w:cs="宋体"/>
          <w:b/>
          <w:color w:val="000000"/>
          <w:kern w:val="0"/>
          <w:sz w:val="24"/>
          <w:highlight w:val="none"/>
        </w:rPr>
        <w:t>投标人具有良好的商业信誉和</w:t>
      </w:r>
      <w:r>
        <w:rPr>
          <w:rFonts w:hint="eastAsia" w:ascii="宋体" w:hAnsi="宋体" w:eastAsia="宋体" w:cs="宋体"/>
          <w:b/>
          <w:sz w:val="24"/>
          <w:highlight w:val="none"/>
        </w:rPr>
        <w:t>健全的财务会计制度的承诺函</w:t>
      </w:r>
    </w:p>
    <w:p w14:paraId="199B3211">
      <w:pPr>
        <w:shd w:val="clear"/>
        <w:rPr>
          <w:rFonts w:hint="eastAsia" w:ascii="宋体" w:hAnsi="宋体" w:eastAsia="宋体" w:cs="宋体"/>
          <w:sz w:val="24"/>
          <w:highlight w:val="none"/>
          <w:u w:val="single"/>
        </w:rPr>
      </w:pPr>
    </w:p>
    <w:p w14:paraId="7C4A3B7A">
      <w:pPr>
        <w:shd w:val="clea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采购代理机构名称  ：</w:t>
      </w:r>
    </w:p>
    <w:p w14:paraId="16FB11D8">
      <w:pPr>
        <w:shd w:val="clear"/>
        <w:snapToGrid w:val="0"/>
        <w:spacing w:line="360" w:lineRule="auto"/>
        <w:ind w:firstLine="480" w:firstLineChars="200"/>
        <w:rPr>
          <w:rFonts w:hint="eastAsia" w:ascii="宋体" w:hAnsi="宋体" w:eastAsia="宋体" w:cs="宋体"/>
          <w:sz w:val="24"/>
          <w:highlight w:val="none"/>
        </w:rPr>
      </w:pPr>
    </w:p>
    <w:p w14:paraId="0BC37CAF">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本投标人现参与贵公司组织的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）的采购活动。依据招标文件相关规定，现郑重承诺：我方具有通过具备审计资格的第三方出具的202</w:t>
      </w:r>
      <w:r>
        <w:rPr>
          <w:rFonts w:hint="eastAsia" w:ascii="宋体" w:hAnsi="宋体" w:cs="宋体"/>
          <w:sz w:val="24"/>
          <w:highlight w:val="none"/>
          <w:lang w:val="en-US" w:eastAsia="zh-CN"/>
        </w:rPr>
        <w:t>4</w:t>
      </w:r>
      <w:r>
        <w:rPr>
          <w:rFonts w:hint="eastAsia" w:ascii="宋体" w:hAnsi="宋体" w:eastAsia="宋体" w:cs="宋体"/>
          <w:sz w:val="24"/>
          <w:highlight w:val="none"/>
        </w:rPr>
        <w:t>年度合格且有效的财务审计报告或在基本户开户银行出具的无不良记录资信证明等文件。商业信誉良好，财务制度健全。</w:t>
      </w:r>
    </w:p>
    <w:p w14:paraId="20D9EC3B">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以上承诺信息如有虚假或隐瞒，我方愿意承担一切后果，并不再寻求任何旨在减轻或免除法律责任的辩解。 </w:t>
      </w:r>
    </w:p>
    <w:p w14:paraId="73428124">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1420FD9">
      <w:pPr>
        <w:shd w:val="clea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特此承诺。</w:t>
      </w:r>
    </w:p>
    <w:p w14:paraId="10086F12">
      <w:pPr>
        <w:shd w:val="clear"/>
        <w:snapToGrid w:val="0"/>
        <w:spacing w:line="360" w:lineRule="auto"/>
        <w:ind w:firstLine="480" w:firstLineChars="200"/>
        <w:rPr>
          <w:rFonts w:hint="eastAsia" w:ascii="宋体" w:hAnsi="宋体" w:eastAsia="宋体" w:cs="宋体"/>
          <w:sz w:val="24"/>
          <w:highlight w:val="none"/>
        </w:rPr>
      </w:pPr>
    </w:p>
    <w:p w14:paraId="36F7FF70">
      <w:pPr>
        <w:shd w:val="clear"/>
        <w:snapToGrid w:val="0"/>
        <w:spacing w:line="360" w:lineRule="auto"/>
        <w:ind w:firstLine="480" w:firstLineChars="200"/>
        <w:rPr>
          <w:rFonts w:hint="eastAsia" w:ascii="宋体" w:hAnsi="宋体" w:eastAsia="宋体" w:cs="宋体"/>
          <w:sz w:val="24"/>
          <w:highlight w:val="none"/>
        </w:rPr>
      </w:pPr>
    </w:p>
    <w:p w14:paraId="0A0193DE">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09260FB4">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法定代表人（负责人）：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（签字或盖章）  </w:t>
      </w:r>
    </w:p>
    <w:p w14:paraId="1104327C">
      <w:pPr>
        <w:shd w:val="clea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6140B66D">
      <w:pPr>
        <w:shd w:val="clear"/>
        <w:spacing w:line="480" w:lineRule="exact"/>
        <w:rPr>
          <w:rFonts w:hint="eastAsia" w:ascii="宋体" w:hAnsi="宋体" w:eastAsia="宋体" w:cs="宋体"/>
          <w:sz w:val="24"/>
          <w:highlight w:val="none"/>
        </w:rPr>
      </w:pPr>
    </w:p>
    <w:p w14:paraId="3977468E">
      <w:pPr>
        <w:shd w:val="clear"/>
        <w:snapToGrid w:val="0"/>
        <w:spacing w:line="360" w:lineRule="auto"/>
        <w:rPr>
          <w:rFonts w:hint="eastAsia" w:ascii="宋体" w:hAnsi="宋体" w:eastAsia="宋体" w:cs="宋体"/>
          <w:b/>
          <w:color w:val="000000"/>
          <w:kern w:val="0"/>
          <w:sz w:val="24"/>
          <w:highlight w:val="none"/>
        </w:rPr>
      </w:pPr>
    </w:p>
    <w:p w14:paraId="7862DFB0">
      <w:pPr>
        <w:shd w:val="clear"/>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br w:type="page"/>
      </w:r>
      <w:r>
        <w:rPr>
          <w:rFonts w:hint="eastAsia" w:ascii="宋体" w:hAnsi="宋体" w:eastAsia="宋体" w:cs="宋体"/>
          <w:b/>
          <w:color w:val="000000"/>
          <w:kern w:val="0"/>
          <w:sz w:val="24"/>
          <w:highlight w:val="none"/>
        </w:rPr>
        <w:t>3. 具有履行合同所必需的设备和专业技术能力承诺函</w:t>
      </w:r>
    </w:p>
    <w:p w14:paraId="22F9216A">
      <w:pPr>
        <w:shd w:val="clear"/>
        <w:spacing w:line="330" w:lineRule="atLeast"/>
        <w:jc w:val="left"/>
        <w:rPr>
          <w:rFonts w:hint="eastAsia" w:ascii="宋体" w:hAnsi="宋体" w:eastAsia="宋体" w:cs="宋体"/>
          <w:kern w:val="0"/>
          <w:szCs w:val="21"/>
          <w:highlight w:val="none"/>
        </w:rPr>
      </w:pPr>
    </w:p>
    <w:p w14:paraId="0E3C3B2E">
      <w:pPr>
        <w:shd w:val="clear"/>
        <w:jc w:val="center"/>
        <w:rPr>
          <w:rFonts w:hint="eastAsia" w:ascii="宋体" w:hAnsi="宋体" w:eastAsia="宋体" w:cs="宋体"/>
          <w:b/>
          <w:spacing w:val="20"/>
          <w:sz w:val="24"/>
          <w:highlight w:val="none"/>
        </w:rPr>
      </w:pPr>
      <w:r>
        <w:rPr>
          <w:rFonts w:hint="eastAsia" w:ascii="宋体" w:hAnsi="宋体" w:eastAsia="宋体" w:cs="宋体"/>
          <w:b/>
          <w:spacing w:val="20"/>
          <w:sz w:val="24"/>
          <w:highlight w:val="none"/>
        </w:rPr>
        <w:t>投标人</w:t>
      </w:r>
      <w:r>
        <w:rPr>
          <w:rFonts w:hint="eastAsia" w:ascii="宋体" w:hAnsi="宋体" w:eastAsia="宋体" w:cs="宋体"/>
          <w:b/>
          <w:color w:val="000000"/>
          <w:kern w:val="0"/>
          <w:sz w:val="24"/>
          <w:highlight w:val="none"/>
        </w:rPr>
        <w:t>具有履行合同所必需的设备和专业技术能力承诺函</w:t>
      </w:r>
    </w:p>
    <w:p w14:paraId="5D6DF288">
      <w:pPr>
        <w:shd w:val="clear"/>
        <w:rPr>
          <w:rFonts w:hint="eastAsia" w:ascii="宋体" w:hAnsi="宋体" w:eastAsia="宋体" w:cs="宋体"/>
          <w:sz w:val="24"/>
          <w:highlight w:val="none"/>
        </w:rPr>
      </w:pPr>
    </w:p>
    <w:p w14:paraId="5F999907">
      <w:pPr>
        <w:shd w:val="clear"/>
        <w:spacing w:line="330" w:lineRule="atLeast"/>
        <w:jc w:val="left"/>
        <w:rPr>
          <w:rFonts w:hint="eastAsia" w:ascii="宋体" w:hAnsi="宋体" w:eastAsia="宋体" w:cs="宋体"/>
          <w:kern w:val="0"/>
          <w:szCs w:val="21"/>
          <w:highlight w:val="none"/>
        </w:rPr>
      </w:pPr>
    </w:p>
    <w:p w14:paraId="5A2CB8B6">
      <w:pPr>
        <w:shd w:val="clea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采购代理机构名称  ：</w:t>
      </w:r>
    </w:p>
    <w:p w14:paraId="5E46A8EC">
      <w:pPr>
        <w:shd w:val="clear"/>
        <w:spacing w:line="330" w:lineRule="atLeast"/>
        <w:jc w:val="left"/>
        <w:rPr>
          <w:rFonts w:hint="eastAsia" w:ascii="宋体" w:hAnsi="宋体" w:eastAsia="宋体" w:cs="宋体"/>
          <w:kern w:val="0"/>
          <w:szCs w:val="21"/>
          <w:highlight w:val="none"/>
        </w:rPr>
      </w:pPr>
    </w:p>
    <w:p w14:paraId="6CCEE7FA">
      <w:pPr>
        <w:shd w:val="clea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本投标人现参与贵公司组织的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）的采购活动。依据招标文件相关规定，现郑重承诺：我方具备履行合同所必需的设备和专业技术能力。</w:t>
      </w:r>
    </w:p>
    <w:p w14:paraId="62AAF6C1">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以上承诺信息如有虚假或隐瞒，我方愿意承担一切后果，并不再寻求任何旨在减轻或免除法律责任的辩解。 </w:t>
      </w:r>
    </w:p>
    <w:p w14:paraId="2D501821">
      <w:pPr>
        <w:shd w:val="clea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14:paraId="2B026954">
      <w:pPr>
        <w:shd w:val="clear"/>
        <w:ind w:firstLine="3369" w:firstLineChars="1404"/>
        <w:rPr>
          <w:rFonts w:hint="eastAsia" w:ascii="宋体" w:hAnsi="宋体" w:eastAsia="宋体" w:cs="宋体"/>
          <w:sz w:val="24"/>
          <w:highlight w:val="none"/>
        </w:rPr>
      </w:pPr>
    </w:p>
    <w:p w14:paraId="152E264F">
      <w:pPr>
        <w:shd w:val="clear"/>
        <w:ind w:firstLine="3369" w:firstLineChars="1404"/>
        <w:rPr>
          <w:rFonts w:hint="eastAsia" w:ascii="宋体" w:hAnsi="宋体" w:eastAsia="宋体" w:cs="宋体"/>
          <w:sz w:val="24"/>
          <w:highlight w:val="none"/>
        </w:rPr>
      </w:pPr>
    </w:p>
    <w:p w14:paraId="67C27117">
      <w:pPr>
        <w:shd w:val="clear"/>
        <w:ind w:firstLine="3369" w:firstLineChars="1404"/>
        <w:rPr>
          <w:rFonts w:hint="eastAsia" w:ascii="宋体" w:hAnsi="宋体" w:eastAsia="宋体" w:cs="宋体"/>
          <w:sz w:val="24"/>
          <w:highlight w:val="none"/>
        </w:rPr>
      </w:pPr>
    </w:p>
    <w:p w14:paraId="6530250B">
      <w:pPr>
        <w:shd w:val="clear"/>
        <w:spacing w:line="330" w:lineRule="atLeast"/>
        <w:jc w:val="left"/>
        <w:rPr>
          <w:rFonts w:hint="eastAsia" w:ascii="宋体" w:hAnsi="宋体" w:eastAsia="宋体" w:cs="宋体"/>
          <w:kern w:val="0"/>
          <w:szCs w:val="21"/>
          <w:highlight w:val="none"/>
        </w:rPr>
      </w:pPr>
    </w:p>
    <w:p w14:paraId="369D3B44">
      <w:pPr>
        <w:shd w:val="clear"/>
        <w:spacing w:line="330" w:lineRule="atLeast"/>
        <w:jc w:val="left"/>
        <w:rPr>
          <w:rFonts w:hint="eastAsia" w:ascii="宋体" w:hAnsi="宋体" w:eastAsia="宋体" w:cs="宋体"/>
          <w:kern w:val="0"/>
          <w:szCs w:val="21"/>
          <w:highlight w:val="none"/>
        </w:rPr>
      </w:pPr>
    </w:p>
    <w:p w14:paraId="4CFA0062">
      <w:pPr>
        <w:shd w:val="clear"/>
        <w:ind w:firstLine="3369" w:firstLineChars="1404"/>
        <w:rPr>
          <w:rFonts w:hint="eastAsia" w:ascii="宋体" w:hAnsi="宋体" w:eastAsia="宋体" w:cs="宋体"/>
          <w:sz w:val="24"/>
          <w:highlight w:val="none"/>
        </w:rPr>
      </w:pPr>
    </w:p>
    <w:p w14:paraId="7FB958CE">
      <w:pPr>
        <w:shd w:val="clear"/>
        <w:ind w:firstLine="3369" w:firstLineChars="1404"/>
        <w:rPr>
          <w:rFonts w:hint="eastAsia" w:ascii="宋体" w:hAnsi="宋体" w:eastAsia="宋体" w:cs="宋体"/>
          <w:sz w:val="24"/>
          <w:highlight w:val="none"/>
        </w:rPr>
      </w:pPr>
    </w:p>
    <w:p w14:paraId="3378C2CD">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58B45CAF">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法定代表人（负责人）：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（签字或盖章）  </w:t>
      </w:r>
    </w:p>
    <w:p w14:paraId="67C1254C">
      <w:pPr>
        <w:shd w:val="clea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5486CA4F">
      <w:pPr>
        <w:shd w:val="clear"/>
        <w:snapToGrid w:val="0"/>
        <w:spacing w:line="360" w:lineRule="auto"/>
        <w:rPr>
          <w:rFonts w:hint="eastAsia" w:ascii="宋体" w:hAnsi="宋体" w:eastAsia="宋体" w:cs="宋体"/>
          <w:b/>
          <w:color w:val="000000"/>
          <w:kern w:val="0"/>
          <w:sz w:val="24"/>
          <w:highlight w:val="none"/>
        </w:rPr>
      </w:pPr>
    </w:p>
    <w:p w14:paraId="2DA33677">
      <w:pPr>
        <w:shd w:val="clear"/>
        <w:snapToGrid w:val="0"/>
        <w:spacing w:line="360" w:lineRule="auto"/>
        <w:rPr>
          <w:rFonts w:hint="eastAsia" w:ascii="宋体" w:hAnsi="宋体" w:eastAsia="宋体" w:cs="宋体"/>
          <w:b/>
          <w:kern w:val="0"/>
          <w:sz w:val="24"/>
          <w:highlight w:val="none"/>
        </w:rPr>
      </w:pPr>
      <w:r>
        <w:rPr>
          <w:rFonts w:hint="eastAsia" w:ascii="宋体" w:hAnsi="宋体" w:eastAsia="宋体" w:cs="宋体"/>
          <w:b/>
          <w:color w:val="000000"/>
          <w:kern w:val="0"/>
          <w:sz w:val="24"/>
          <w:highlight w:val="none"/>
        </w:rPr>
        <w:br w:type="page"/>
      </w:r>
      <w:r>
        <w:rPr>
          <w:rFonts w:hint="eastAsia" w:ascii="宋体" w:hAnsi="宋体" w:eastAsia="宋体" w:cs="宋体"/>
          <w:b/>
          <w:color w:val="000000"/>
          <w:kern w:val="0"/>
          <w:sz w:val="24"/>
          <w:highlight w:val="none"/>
        </w:rPr>
        <w:t>4.</w:t>
      </w:r>
      <w:r>
        <w:rPr>
          <w:rFonts w:hint="eastAsia" w:ascii="宋体" w:hAnsi="宋体" w:eastAsia="宋体" w:cs="宋体"/>
          <w:b/>
          <w:kern w:val="0"/>
          <w:sz w:val="24"/>
          <w:highlight w:val="none"/>
        </w:rPr>
        <w:t>具有依法缴纳税收和社会保障资金的良好记录的承诺函</w:t>
      </w:r>
    </w:p>
    <w:p w14:paraId="150958E1">
      <w:pPr>
        <w:shd w:val="clear"/>
        <w:jc w:val="center"/>
        <w:rPr>
          <w:rFonts w:hint="eastAsia" w:ascii="宋体" w:hAnsi="宋体" w:eastAsia="宋体" w:cs="宋体"/>
          <w:b/>
          <w:color w:val="000000"/>
          <w:kern w:val="0"/>
          <w:sz w:val="24"/>
          <w:highlight w:val="none"/>
        </w:rPr>
      </w:pPr>
    </w:p>
    <w:p w14:paraId="56659237">
      <w:pPr>
        <w:shd w:val="clear"/>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投标人</w:t>
      </w:r>
      <w:r>
        <w:rPr>
          <w:rFonts w:hint="eastAsia" w:ascii="宋体" w:hAnsi="宋体" w:eastAsia="宋体" w:cs="宋体"/>
          <w:b/>
          <w:kern w:val="0"/>
          <w:sz w:val="24"/>
          <w:highlight w:val="none"/>
        </w:rPr>
        <w:t>具有依法缴纳税收和社会保障资金的良好记录的承诺函</w:t>
      </w:r>
    </w:p>
    <w:p w14:paraId="4B2DDFF0">
      <w:pPr>
        <w:shd w:val="clear"/>
        <w:rPr>
          <w:rFonts w:hint="eastAsia" w:ascii="宋体" w:hAnsi="宋体" w:eastAsia="宋体" w:cs="宋体"/>
          <w:highlight w:val="none"/>
        </w:rPr>
      </w:pPr>
    </w:p>
    <w:p w14:paraId="3AC86C1D">
      <w:pPr>
        <w:shd w:val="clea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采购代理机构名称  ：</w:t>
      </w:r>
    </w:p>
    <w:p w14:paraId="45BEDA0A">
      <w:pPr>
        <w:shd w:val="clear"/>
        <w:snapToGrid w:val="0"/>
        <w:spacing w:line="360" w:lineRule="auto"/>
        <w:ind w:firstLine="480" w:firstLineChars="200"/>
        <w:rPr>
          <w:rFonts w:hint="eastAsia" w:ascii="宋体" w:hAnsi="宋体" w:eastAsia="宋体" w:cs="宋体"/>
          <w:sz w:val="24"/>
          <w:highlight w:val="none"/>
        </w:rPr>
      </w:pPr>
    </w:p>
    <w:p w14:paraId="657696C7">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本投标人现参与贵公司组织的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）的采购活动。依据招标文件相关规定，现郑重承诺：我方在参加本次采购活动前严格依法缴纳税收或依法享受国家免税优惠政策，并依法给单位职工缴纳社会保障金或依法不需要缴纳社会保障资金的证明文件。</w:t>
      </w:r>
    </w:p>
    <w:p w14:paraId="6E587C8A">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以上承诺信息如有虚假或隐瞒，我方愿意承担一切后果，并不再寻求任何旨在减轻或免除法律责任的辩解。 </w:t>
      </w:r>
    </w:p>
    <w:p w14:paraId="15EF2C43">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E65BA89">
      <w:pPr>
        <w:shd w:val="clea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特此承诺。</w:t>
      </w:r>
    </w:p>
    <w:p w14:paraId="0E0E1E02">
      <w:pPr>
        <w:shd w:val="clear"/>
        <w:snapToGrid w:val="0"/>
        <w:spacing w:line="360" w:lineRule="auto"/>
        <w:ind w:firstLine="480" w:firstLineChars="200"/>
        <w:rPr>
          <w:rFonts w:hint="eastAsia" w:ascii="宋体" w:hAnsi="宋体" w:eastAsia="宋体" w:cs="宋体"/>
          <w:sz w:val="24"/>
          <w:highlight w:val="none"/>
        </w:rPr>
      </w:pPr>
    </w:p>
    <w:p w14:paraId="530B16B1">
      <w:pPr>
        <w:shd w:val="clear"/>
        <w:snapToGrid w:val="0"/>
        <w:spacing w:line="360" w:lineRule="auto"/>
        <w:ind w:firstLine="480" w:firstLineChars="200"/>
        <w:rPr>
          <w:rFonts w:hint="eastAsia" w:ascii="宋体" w:hAnsi="宋体" w:eastAsia="宋体" w:cs="宋体"/>
          <w:sz w:val="24"/>
          <w:highlight w:val="none"/>
        </w:rPr>
      </w:pPr>
    </w:p>
    <w:p w14:paraId="379DD1B9">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7ED52E78">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法定代表人（负责人）：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（签字或盖章）  </w:t>
      </w:r>
    </w:p>
    <w:p w14:paraId="26B111CA">
      <w:pPr>
        <w:shd w:val="clea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56B3DB6A">
      <w:pPr>
        <w:shd w:val="clear"/>
        <w:spacing w:line="480" w:lineRule="exact"/>
        <w:rPr>
          <w:rFonts w:hint="eastAsia" w:ascii="宋体" w:hAnsi="宋体" w:eastAsia="宋体" w:cs="宋体"/>
          <w:sz w:val="24"/>
          <w:highlight w:val="none"/>
        </w:rPr>
      </w:pPr>
    </w:p>
    <w:p w14:paraId="126CB8F2">
      <w:pPr>
        <w:shd w:val="clear"/>
        <w:snapToGrid w:val="0"/>
        <w:spacing w:line="360" w:lineRule="auto"/>
        <w:rPr>
          <w:rFonts w:hint="eastAsia" w:ascii="宋体" w:hAnsi="宋体" w:eastAsia="宋体" w:cs="宋体"/>
          <w:kern w:val="0"/>
          <w:szCs w:val="21"/>
          <w:highlight w:val="none"/>
        </w:rPr>
      </w:pPr>
    </w:p>
    <w:p w14:paraId="09648755">
      <w:pPr>
        <w:shd w:val="clear"/>
        <w:snapToGrid w:val="0"/>
        <w:spacing w:line="360" w:lineRule="auto"/>
        <w:rPr>
          <w:rFonts w:hint="eastAsia" w:ascii="宋体" w:hAnsi="宋体" w:eastAsia="宋体" w:cs="宋体"/>
          <w:sz w:val="24"/>
          <w:highlight w:val="none"/>
        </w:rPr>
      </w:pPr>
      <w:r>
        <w:rPr>
          <w:rFonts w:hint="eastAsia" w:ascii="宋体" w:hAnsi="宋体" w:eastAsia="宋体" w:cs="宋体"/>
          <w:b/>
          <w:color w:val="000000"/>
          <w:kern w:val="0"/>
          <w:sz w:val="24"/>
          <w:highlight w:val="none"/>
        </w:rPr>
        <w:br w:type="page"/>
      </w:r>
      <w:r>
        <w:rPr>
          <w:rFonts w:hint="eastAsia" w:ascii="宋体" w:hAnsi="宋体" w:eastAsia="宋体" w:cs="宋体"/>
          <w:b/>
          <w:color w:val="000000"/>
          <w:kern w:val="0"/>
          <w:sz w:val="24"/>
          <w:highlight w:val="none"/>
        </w:rPr>
        <w:t>5．</w:t>
      </w:r>
      <w:r>
        <w:rPr>
          <w:rFonts w:hint="eastAsia" w:ascii="宋体" w:hAnsi="宋体" w:eastAsia="宋体" w:cs="宋体"/>
          <w:b/>
          <w:bCs/>
          <w:sz w:val="24"/>
          <w:highlight w:val="none"/>
        </w:rPr>
        <w:t>参加本次采购活动前三年内，在经营活动中没有重大违法记录承诺函</w:t>
      </w:r>
    </w:p>
    <w:p w14:paraId="2DF8403E">
      <w:pPr>
        <w:shd w:val="clear"/>
        <w:jc w:val="center"/>
        <w:rPr>
          <w:rFonts w:hint="eastAsia" w:ascii="宋体" w:hAnsi="宋体" w:eastAsia="宋体" w:cs="宋体"/>
          <w:b/>
          <w:sz w:val="24"/>
          <w:highlight w:val="none"/>
        </w:rPr>
      </w:pPr>
    </w:p>
    <w:p w14:paraId="36A702AC">
      <w:pPr>
        <w:shd w:val="clear"/>
        <w:jc w:val="center"/>
        <w:rPr>
          <w:rFonts w:hint="eastAsia" w:ascii="宋体" w:hAnsi="宋体" w:eastAsia="宋体" w:cs="宋体"/>
          <w:b/>
          <w:spacing w:val="20"/>
          <w:sz w:val="24"/>
          <w:highlight w:val="none"/>
        </w:rPr>
      </w:pPr>
      <w:r>
        <w:rPr>
          <w:rFonts w:hint="eastAsia" w:ascii="宋体" w:hAnsi="宋体" w:eastAsia="宋体" w:cs="宋体"/>
          <w:b/>
          <w:sz w:val="24"/>
          <w:highlight w:val="none"/>
        </w:rPr>
        <w:t>投标人</w:t>
      </w:r>
      <w:r>
        <w:rPr>
          <w:rFonts w:hint="eastAsia" w:ascii="宋体" w:hAnsi="宋体" w:eastAsia="宋体" w:cs="宋体"/>
          <w:b/>
          <w:bCs/>
          <w:sz w:val="24"/>
          <w:highlight w:val="none"/>
        </w:rPr>
        <w:t>参加本次采购活动前三年内，在经营活动中没有重大违法记录承诺函</w:t>
      </w:r>
    </w:p>
    <w:p w14:paraId="337EF36B">
      <w:pPr>
        <w:shd w:val="clear"/>
        <w:spacing w:line="330" w:lineRule="atLeast"/>
        <w:jc w:val="left"/>
        <w:rPr>
          <w:rFonts w:hint="eastAsia" w:ascii="宋体" w:hAnsi="宋体" w:eastAsia="宋体" w:cs="宋体"/>
          <w:kern w:val="0"/>
          <w:szCs w:val="21"/>
          <w:highlight w:val="none"/>
        </w:rPr>
      </w:pPr>
    </w:p>
    <w:p w14:paraId="4D90DD02">
      <w:pPr>
        <w:shd w:val="clear"/>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采购代理机构名称  ：</w:t>
      </w:r>
    </w:p>
    <w:p w14:paraId="3EA12B7A">
      <w:pPr>
        <w:shd w:val="clear"/>
        <w:snapToGrid w:val="0"/>
        <w:spacing w:line="5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本投标人现参与贵公司组织的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szCs w:val="28"/>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）的采购活动。依据</w:t>
      </w:r>
      <w:r>
        <w:rPr>
          <w:rFonts w:hint="eastAsia" w:ascii="宋体" w:hAnsi="宋体" w:eastAsia="宋体" w:cs="宋体"/>
          <w:sz w:val="24"/>
          <w:szCs w:val="28"/>
          <w:highlight w:val="none"/>
        </w:rPr>
        <w:t>招标文件</w:t>
      </w:r>
      <w:r>
        <w:rPr>
          <w:rFonts w:hint="eastAsia" w:ascii="宋体" w:hAnsi="宋体" w:eastAsia="宋体" w:cs="宋体"/>
          <w:sz w:val="24"/>
          <w:highlight w:val="none"/>
        </w:rPr>
        <w:t>相关规定，现郑重承诺：我方在参加本次采购活动前三年内，在经营活动中无重大违法记录（因违法经营受到刑事处罚或者责令停产停业、吊销许可证或者执照、较大数额罚款等行政处罚。）；经查证，本公司在信用中国网（http://www.creditchina.gov.cn）的信用信息中失信被执行人、重大税收违法案件当事人名单均为0记录；在中国政府采购网（http://www.ccgp.gov.cn）中的政府采购严重违法失信行为信息记录也为0记录。</w:t>
      </w:r>
    </w:p>
    <w:p w14:paraId="406F5D2B">
      <w:pPr>
        <w:shd w:val="clea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以上承诺信息如有虚假或隐瞒，我方愿意承担一切后果，并不再寻求任何旨在减轻或免除法律责任的辩解。 </w:t>
      </w:r>
    </w:p>
    <w:p w14:paraId="149B4E3B">
      <w:pPr>
        <w:shd w:val="clear"/>
        <w:snapToGrid w:val="0"/>
        <w:spacing w:line="5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特此承诺</w:t>
      </w:r>
    </w:p>
    <w:p w14:paraId="2A380F3B">
      <w:pPr>
        <w:shd w:val="clear"/>
        <w:snapToGrid w:val="0"/>
        <w:spacing w:line="520" w:lineRule="exact"/>
        <w:ind w:firstLine="480" w:firstLineChars="200"/>
        <w:jc w:val="center"/>
        <w:rPr>
          <w:rFonts w:hint="eastAsia" w:ascii="宋体" w:hAnsi="宋体" w:eastAsia="宋体" w:cs="宋体"/>
          <w:sz w:val="24"/>
          <w:highlight w:val="none"/>
        </w:rPr>
      </w:pPr>
    </w:p>
    <w:p w14:paraId="13799357">
      <w:pPr>
        <w:shd w:val="clear"/>
        <w:snapToGrid w:val="0"/>
        <w:spacing w:line="520" w:lineRule="exact"/>
        <w:ind w:firstLine="480" w:firstLineChars="200"/>
        <w:jc w:val="center"/>
        <w:rPr>
          <w:rFonts w:hint="eastAsia" w:ascii="宋体" w:hAnsi="宋体" w:eastAsia="宋体" w:cs="宋体"/>
          <w:sz w:val="24"/>
          <w:highlight w:val="none"/>
        </w:rPr>
      </w:pPr>
    </w:p>
    <w:p w14:paraId="1769F490">
      <w:pPr>
        <w:shd w:val="clear"/>
        <w:snapToGrid w:val="0"/>
        <w:spacing w:line="520" w:lineRule="exact"/>
        <w:ind w:firstLine="480" w:firstLineChars="200"/>
        <w:jc w:val="center"/>
        <w:rPr>
          <w:rFonts w:hint="eastAsia" w:ascii="宋体" w:hAnsi="宋体" w:eastAsia="宋体" w:cs="宋体"/>
          <w:sz w:val="24"/>
          <w:highlight w:val="none"/>
        </w:rPr>
      </w:pPr>
    </w:p>
    <w:p w14:paraId="2B0CBAB4">
      <w:pPr>
        <w:shd w:val="clear"/>
        <w:snapToGrid w:val="0"/>
        <w:spacing w:line="520" w:lineRule="exact"/>
        <w:ind w:firstLine="480" w:firstLineChars="200"/>
        <w:jc w:val="center"/>
        <w:rPr>
          <w:rFonts w:hint="eastAsia" w:ascii="宋体" w:hAnsi="宋体" w:eastAsia="宋体" w:cs="宋体"/>
          <w:sz w:val="24"/>
          <w:highlight w:val="none"/>
        </w:rPr>
      </w:pPr>
    </w:p>
    <w:p w14:paraId="2B95BFA2">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67925FF8">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法定代表人（负责人）：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（签字或盖章）  </w:t>
      </w:r>
    </w:p>
    <w:p w14:paraId="505EF6AB">
      <w:pPr>
        <w:shd w:val="clea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68D12AFE">
      <w:pPr>
        <w:shd w:val="clear"/>
        <w:snapToGrid w:val="0"/>
        <w:spacing w:line="360" w:lineRule="auto"/>
        <w:rPr>
          <w:rFonts w:hint="eastAsia" w:ascii="宋体" w:hAnsi="宋体" w:eastAsia="宋体" w:cs="宋体"/>
          <w:sz w:val="24"/>
          <w:highlight w:val="none"/>
        </w:rPr>
      </w:pPr>
    </w:p>
    <w:p w14:paraId="0A327867">
      <w:pPr>
        <w:shd w:val="clear"/>
        <w:snapToGrid w:val="0"/>
        <w:spacing w:line="360" w:lineRule="auto"/>
        <w:rPr>
          <w:rFonts w:hint="eastAsia" w:ascii="宋体" w:hAnsi="宋体" w:eastAsia="宋体" w:cs="宋体"/>
          <w:sz w:val="24"/>
          <w:highlight w:val="none"/>
        </w:rPr>
      </w:pPr>
    </w:p>
    <w:p w14:paraId="0F9AE167">
      <w:pPr>
        <w:shd w:val="clear"/>
        <w:spacing w:line="330" w:lineRule="atLeast"/>
        <w:jc w:val="left"/>
        <w:rPr>
          <w:rFonts w:hint="eastAsia" w:ascii="宋体" w:hAnsi="宋体" w:eastAsia="宋体" w:cs="宋体"/>
          <w:kern w:val="0"/>
          <w:szCs w:val="21"/>
          <w:highlight w:val="none"/>
        </w:rPr>
      </w:pPr>
    </w:p>
    <w:p w14:paraId="00623A81">
      <w:pPr>
        <w:shd w:val="clear"/>
        <w:spacing w:line="330" w:lineRule="atLeast"/>
        <w:jc w:val="left"/>
        <w:rPr>
          <w:rFonts w:hint="eastAsia" w:ascii="宋体" w:hAnsi="宋体" w:eastAsia="宋体" w:cs="宋体"/>
          <w:kern w:val="0"/>
          <w:szCs w:val="21"/>
          <w:highlight w:val="none"/>
        </w:rPr>
      </w:pPr>
    </w:p>
    <w:p w14:paraId="500F4B51">
      <w:pPr>
        <w:shd w:val="clear"/>
        <w:spacing w:line="330" w:lineRule="atLeast"/>
        <w:jc w:val="left"/>
        <w:rPr>
          <w:rFonts w:hint="eastAsia" w:ascii="宋体" w:hAnsi="宋体" w:eastAsia="宋体" w:cs="宋体"/>
          <w:kern w:val="0"/>
          <w:szCs w:val="21"/>
          <w:highlight w:val="none"/>
        </w:rPr>
      </w:pPr>
    </w:p>
    <w:p w14:paraId="1E43A531">
      <w:pPr>
        <w:shd w:val="clear"/>
        <w:spacing w:line="330" w:lineRule="atLeast"/>
        <w:jc w:val="left"/>
        <w:rPr>
          <w:rFonts w:hint="eastAsia" w:ascii="宋体" w:hAnsi="宋体" w:eastAsia="宋体" w:cs="宋体"/>
          <w:kern w:val="0"/>
          <w:szCs w:val="21"/>
          <w:highlight w:val="none"/>
        </w:rPr>
      </w:pPr>
    </w:p>
    <w:p w14:paraId="118EFEC2">
      <w:pPr>
        <w:shd w:val="clear"/>
        <w:spacing w:line="330" w:lineRule="atLeast"/>
        <w:jc w:val="left"/>
        <w:rPr>
          <w:rFonts w:hint="eastAsia" w:ascii="宋体" w:hAnsi="宋体" w:eastAsia="宋体" w:cs="宋体"/>
          <w:kern w:val="0"/>
          <w:szCs w:val="21"/>
          <w:highlight w:val="none"/>
        </w:rPr>
      </w:pPr>
    </w:p>
    <w:p w14:paraId="7D0CC078">
      <w:pPr>
        <w:shd w:val="clear"/>
        <w:spacing w:line="330" w:lineRule="atLeast"/>
        <w:jc w:val="left"/>
        <w:rPr>
          <w:rFonts w:hint="eastAsia" w:ascii="宋体" w:hAnsi="宋体" w:eastAsia="宋体" w:cs="宋体"/>
          <w:kern w:val="0"/>
          <w:szCs w:val="21"/>
          <w:highlight w:val="none"/>
        </w:rPr>
      </w:pPr>
    </w:p>
    <w:p w14:paraId="1A0083E3">
      <w:pPr>
        <w:shd w:val="clear"/>
        <w:spacing w:line="330" w:lineRule="atLeast"/>
        <w:jc w:val="left"/>
        <w:rPr>
          <w:rFonts w:hint="eastAsia" w:ascii="宋体" w:hAnsi="宋体" w:eastAsia="宋体" w:cs="宋体"/>
          <w:kern w:val="0"/>
          <w:szCs w:val="21"/>
          <w:highlight w:val="none"/>
        </w:rPr>
      </w:pPr>
    </w:p>
    <w:p w14:paraId="3A1C1626">
      <w:pPr>
        <w:shd w:val="clear"/>
        <w:rPr>
          <w:rFonts w:hint="eastAsia" w:ascii="宋体" w:hAnsi="宋体" w:eastAsia="宋体" w:cs="宋体"/>
          <w:b/>
          <w:color w:val="000000"/>
          <w:kern w:val="0"/>
          <w:sz w:val="24"/>
          <w:highlight w:val="none"/>
        </w:rPr>
      </w:pPr>
    </w:p>
    <w:p w14:paraId="4BB8B6E3">
      <w:pPr>
        <w:shd w:val="clear"/>
        <w:spacing w:line="330" w:lineRule="atLeast"/>
        <w:jc w:val="left"/>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en-US" w:eastAsia="zh-CN"/>
        </w:rPr>
        <w:t>6.单位负责人为同一人或者存在直接控股、管理关系的不同投标人，不得参加同一合同项下的采购活动的承诺函</w:t>
      </w:r>
    </w:p>
    <w:p w14:paraId="3391A9C3">
      <w:pPr>
        <w:pStyle w:val="30"/>
        <w:shd w:val="clear"/>
        <w:ind w:left="199" w:firstLine="0" w:firstLineChars="0"/>
        <w:jc w:val="center"/>
        <w:rPr>
          <w:rFonts w:hint="eastAsia" w:ascii="宋体" w:hAnsi="宋体" w:eastAsia="宋体" w:cs="宋体"/>
          <w:b/>
          <w:bCs/>
          <w:color w:val="auto"/>
          <w:sz w:val="24"/>
          <w:highlight w:val="none"/>
        </w:rPr>
      </w:pPr>
    </w:p>
    <w:p w14:paraId="6E5033F1">
      <w:pPr>
        <w:shd w:val="clear"/>
        <w:snapToGri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rPr>
        <w:t>单位负责人为同一人或者存在直接控股、管理关系的不同投标人，不得参加同一合同项下的采购活动的承诺函</w:t>
      </w:r>
    </w:p>
    <w:p w14:paraId="41969F98">
      <w:pPr>
        <w:shd w:val="clear"/>
        <w:spacing w:line="360" w:lineRule="auto"/>
        <w:rPr>
          <w:rFonts w:hint="eastAsia" w:ascii="宋体" w:hAnsi="宋体" w:eastAsia="宋体" w:cs="宋体"/>
          <w:color w:val="auto"/>
          <w:sz w:val="24"/>
          <w:highlight w:val="none"/>
          <w:u w:val="single"/>
        </w:rPr>
      </w:pPr>
    </w:p>
    <w:p w14:paraId="75E91604">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采购代理机构名称  ：</w:t>
      </w:r>
    </w:p>
    <w:p w14:paraId="2543C90B">
      <w:pPr>
        <w:shd w:val="clear"/>
        <w:snapToGrid w:val="0"/>
        <w:spacing w:line="360" w:lineRule="auto"/>
        <w:rPr>
          <w:rFonts w:hint="eastAsia" w:ascii="宋体" w:hAnsi="宋体" w:eastAsia="宋体" w:cs="宋体"/>
          <w:b/>
          <w:color w:val="auto"/>
          <w:kern w:val="0"/>
          <w:sz w:val="24"/>
          <w:highlight w:val="none"/>
        </w:rPr>
      </w:pPr>
    </w:p>
    <w:p w14:paraId="2441D2F3">
      <w:pPr>
        <w:shd w:val="clea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现参与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）的采购活动，现承诺本</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不存在单位负责人为同一人或者存在直接控股、管理关系的不同</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参加同一合同项下的采购活动的情形。</w:t>
      </w:r>
    </w:p>
    <w:p w14:paraId="61F77CCD">
      <w:pPr>
        <w:shd w:val="clea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以上承诺信息如有虚假或隐瞒，我方愿意承担一切后果，并不再寻求任何旨在减轻或免除法律责任的辩解。</w:t>
      </w:r>
    </w:p>
    <w:p w14:paraId="0B79F10E">
      <w:pPr>
        <w:shd w:val="clea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56E6978">
      <w:pPr>
        <w:shd w:val="clear"/>
        <w:snapToGrid w:val="0"/>
        <w:spacing w:line="360" w:lineRule="auto"/>
        <w:ind w:firstLine="480" w:firstLineChars="200"/>
        <w:rPr>
          <w:rFonts w:hint="eastAsia" w:ascii="宋体" w:hAnsi="宋体" w:eastAsia="宋体" w:cs="宋体"/>
          <w:color w:val="auto"/>
          <w:sz w:val="24"/>
          <w:highlight w:val="none"/>
        </w:rPr>
      </w:pPr>
    </w:p>
    <w:p w14:paraId="6D434626">
      <w:pPr>
        <w:shd w:val="clear"/>
        <w:snapToGrid w:val="0"/>
        <w:spacing w:line="360" w:lineRule="auto"/>
        <w:ind w:firstLine="480" w:firstLineChars="200"/>
        <w:rPr>
          <w:rFonts w:hint="eastAsia" w:ascii="宋体" w:hAnsi="宋体" w:eastAsia="宋体" w:cs="宋体"/>
          <w:color w:val="auto"/>
          <w:sz w:val="24"/>
          <w:highlight w:val="none"/>
        </w:rPr>
      </w:pPr>
    </w:p>
    <w:p w14:paraId="3EB453D3">
      <w:pPr>
        <w:shd w:val="clear"/>
        <w:snapToGrid w:val="0"/>
        <w:spacing w:line="360" w:lineRule="auto"/>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3B9C8E15">
      <w:pPr>
        <w:shd w:val="clear"/>
        <w:snapToGrid w:val="0"/>
        <w:spacing w:line="360" w:lineRule="auto"/>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法定代表人（负责人）：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（签字或盖章）  </w:t>
      </w:r>
    </w:p>
    <w:p w14:paraId="6F4D5A10">
      <w:pPr>
        <w:shd w:val="clear"/>
        <w:spacing w:line="360" w:lineRule="auto"/>
        <w:rPr>
          <w:rFonts w:hint="eastAsia" w:ascii="宋体" w:hAnsi="宋体" w:eastAsia="宋体" w:cs="宋体"/>
          <w:b/>
          <w:color w:val="000000"/>
          <w:kern w:val="0"/>
          <w:sz w:val="24"/>
          <w:highlight w:val="none"/>
          <w:lang w:val="en-US" w:eastAsia="zh-CN"/>
        </w:rPr>
      </w:pPr>
      <w:r>
        <w:rPr>
          <w:rFonts w:hint="eastAsia" w:ascii="宋体" w:hAnsi="宋体" w:eastAsia="宋体" w:cs="宋体"/>
          <w:sz w:val="24"/>
          <w:highlight w:val="none"/>
        </w:rPr>
        <w:t xml:space="preserve">                        日      期：</w:t>
      </w:r>
    </w:p>
    <w:p w14:paraId="739AA438">
      <w:pPr>
        <w:shd w:val="clear"/>
        <w:spacing w:line="360" w:lineRule="auto"/>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en-US" w:eastAsia="zh-CN"/>
        </w:rPr>
        <w:br w:type="page"/>
      </w:r>
    </w:p>
    <w:p w14:paraId="2481FA4B">
      <w:pPr>
        <w:shd w:val="clear"/>
        <w:spacing w:line="330" w:lineRule="atLeast"/>
        <w:jc w:val="left"/>
        <w:rPr>
          <w:rFonts w:hint="eastAsia" w:ascii="宋体" w:hAnsi="宋体" w:eastAsia="宋体" w:cs="宋体"/>
          <w:kern w:val="0"/>
          <w:sz w:val="24"/>
          <w:szCs w:val="21"/>
          <w:highlight w:val="none"/>
        </w:rPr>
      </w:pPr>
      <w:r>
        <w:rPr>
          <w:rFonts w:hint="eastAsia" w:ascii="宋体" w:hAnsi="宋体" w:eastAsia="宋体" w:cs="宋体"/>
          <w:b/>
          <w:color w:val="000000"/>
          <w:kern w:val="0"/>
          <w:sz w:val="24"/>
          <w:highlight w:val="none"/>
          <w:lang w:val="en-US" w:eastAsia="zh-CN"/>
        </w:rPr>
        <w:t>7</w:t>
      </w:r>
      <w:r>
        <w:rPr>
          <w:rFonts w:hint="eastAsia" w:ascii="宋体" w:hAnsi="宋体" w:eastAsia="宋体" w:cs="宋体"/>
          <w:b/>
          <w:color w:val="000000"/>
          <w:kern w:val="0"/>
          <w:sz w:val="24"/>
          <w:highlight w:val="none"/>
        </w:rPr>
        <w:t>．投标人</w:t>
      </w:r>
      <w:r>
        <w:rPr>
          <w:rFonts w:hint="eastAsia" w:ascii="宋体" w:hAnsi="宋体" w:eastAsia="宋体" w:cs="宋体"/>
          <w:b/>
          <w:color w:val="000000"/>
          <w:kern w:val="0"/>
          <w:sz w:val="24"/>
          <w:szCs w:val="21"/>
          <w:highlight w:val="none"/>
        </w:rPr>
        <w:t>廉洁自律承诺书</w:t>
      </w:r>
    </w:p>
    <w:p w14:paraId="09B0A883">
      <w:pPr>
        <w:shd w:val="clear"/>
        <w:jc w:val="center"/>
        <w:rPr>
          <w:rFonts w:hint="eastAsia" w:ascii="宋体" w:hAnsi="宋体" w:eastAsia="宋体" w:cs="宋体"/>
          <w:b/>
          <w:spacing w:val="20"/>
          <w:sz w:val="24"/>
          <w:highlight w:val="none"/>
        </w:rPr>
      </w:pPr>
    </w:p>
    <w:p w14:paraId="7B0FFA14">
      <w:pPr>
        <w:shd w:val="clear"/>
        <w:jc w:val="center"/>
        <w:rPr>
          <w:rFonts w:hint="eastAsia" w:ascii="宋体" w:hAnsi="宋体" w:eastAsia="宋体" w:cs="宋体"/>
          <w:b/>
          <w:spacing w:val="20"/>
          <w:sz w:val="24"/>
          <w:highlight w:val="none"/>
        </w:rPr>
      </w:pPr>
      <w:r>
        <w:rPr>
          <w:rFonts w:hint="eastAsia" w:ascii="宋体" w:hAnsi="宋体" w:eastAsia="宋体" w:cs="宋体"/>
          <w:b/>
          <w:spacing w:val="20"/>
          <w:sz w:val="24"/>
          <w:highlight w:val="none"/>
        </w:rPr>
        <w:t>投标人廉洁自律承诺书</w:t>
      </w:r>
    </w:p>
    <w:p w14:paraId="14731481">
      <w:pPr>
        <w:shd w:val="clear"/>
        <w:spacing w:line="360" w:lineRule="auto"/>
        <w:rPr>
          <w:rFonts w:hint="eastAsia" w:ascii="宋体" w:hAnsi="宋体" w:eastAsia="宋体" w:cs="宋体"/>
          <w:sz w:val="24"/>
          <w:highlight w:val="none"/>
          <w:u w:val="single"/>
        </w:rPr>
      </w:pPr>
    </w:p>
    <w:p w14:paraId="2E9CF338">
      <w:pPr>
        <w:shd w:val="clea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采购代理机构名称  ：</w:t>
      </w:r>
    </w:p>
    <w:p w14:paraId="16E259E8">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为维护本次招标工作的正常秩序，本公司特郑重承诺如下： </w:t>
      </w:r>
    </w:p>
    <w:p w14:paraId="657E6DED">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一、严格按照采购人的有关规定及招标文件的规定，规范本公司的行为，保证做到合法参与本次采购活动、正当竞争、廉洁经营。</w:t>
      </w:r>
    </w:p>
    <w:p w14:paraId="71E53533">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二、本公司保证在本次采购工作中做到： </w:t>
      </w:r>
    </w:p>
    <w:p w14:paraId="7D920D7C">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1．不与其他投标人相互串通参与本采购项目、陪标，损害贵单位的合法权益； </w:t>
      </w:r>
    </w:p>
    <w:p w14:paraId="1B79E651">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2．不与用户串通参与本采购项目，损害</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利益或他人的合法权益；</w:t>
      </w:r>
    </w:p>
    <w:p w14:paraId="047D8F3C">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3．不以向用户、采购代理机构或者评审组成员行贿的手段谋取</w:t>
      </w:r>
      <w:r>
        <w:rPr>
          <w:rFonts w:hint="eastAsia" w:ascii="宋体" w:hAnsi="宋体" w:eastAsia="宋体" w:cs="宋体"/>
          <w:sz w:val="24"/>
          <w:highlight w:val="none"/>
          <w:lang w:val="en-US" w:eastAsia="zh-CN"/>
        </w:rPr>
        <w:t>中标</w:t>
      </w:r>
      <w:r>
        <w:rPr>
          <w:rFonts w:hint="eastAsia" w:ascii="宋体" w:hAnsi="宋体" w:eastAsia="宋体" w:cs="宋体"/>
          <w:sz w:val="24"/>
          <w:highlight w:val="none"/>
        </w:rPr>
        <w:t>；（包括送礼金礼品、有价证券、购物券、回扣、佣金、咨询费、劳务费、赞助费、宣传费、支付旅游费用、报销各种消费凭证、宴请、娱乐等）；</w:t>
      </w:r>
    </w:p>
    <w:p w14:paraId="20A4E07B">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4．不利用他人名义参与本采购项目或者以其他方式弄虚作假，谋取</w:t>
      </w:r>
      <w:r>
        <w:rPr>
          <w:rFonts w:hint="eastAsia" w:ascii="宋体" w:hAnsi="宋体" w:eastAsia="宋体" w:cs="宋体"/>
          <w:sz w:val="24"/>
          <w:highlight w:val="none"/>
          <w:lang w:val="en-US" w:eastAsia="zh-CN"/>
        </w:rPr>
        <w:t>中标</w:t>
      </w:r>
      <w:r>
        <w:rPr>
          <w:rFonts w:hint="eastAsia" w:ascii="宋体" w:hAnsi="宋体" w:eastAsia="宋体" w:cs="宋体"/>
          <w:sz w:val="24"/>
          <w:highlight w:val="none"/>
        </w:rPr>
        <w:t>；</w:t>
      </w:r>
    </w:p>
    <w:p w14:paraId="7C5D88C1">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5．保证不以其他任何方式扰乱本次采购工作；</w:t>
      </w:r>
    </w:p>
    <w:p w14:paraId="7B8BFE95">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6．保证严格遵守采购会议纪律。</w:t>
      </w:r>
    </w:p>
    <w:p w14:paraId="35690379">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三、我公司承诺在本次采购活动中，如有违反以上第二条中的行为，同意贵方上报主管部门，按</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有关规定和招标文件之规定，给予进入不良信誉记录、扣除保证金等惩罚，我公司及项目参与人员完全接受。</w:t>
      </w:r>
    </w:p>
    <w:p w14:paraId="3F6676D2">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2F20B65">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14846876">
      <w:pPr>
        <w:shd w:val="clear"/>
        <w:snapToGrid w:val="0"/>
        <w:spacing w:line="480" w:lineRule="exact"/>
        <w:ind w:firstLine="2880" w:firstLineChars="1200"/>
        <w:rPr>
          <w:rFonts w:hint="eastAsia" w:ascii="宋体" w:hAnsi="宋体" w:eastAsia="宋体" w:cs="宋体"/>
          <w:sz w:val="24"/>
          <w:highlight w:val="none"/>
        </w:rPr>
      </w:pPr>
      <w:r>
        <w:rPr>
          <w:rFonts w:hint="eastAsia" w:ascii="宋体" w:hAnsi="宋体" w:eastAsia="宋体" w:cs="宋体"/>
          <w:sz w:val="24"/>
          <w:highlight w:val="none"/>
        </w:rPr>
        <w:t>法定代表人（负责人）：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（签字或盖章）  </w:t>
      </w:r>
    </w:p>
    <w:p w14:paraId="2E37A64F">
      <w:pPr>
        <w:shd w:val="clea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1B1509A5">
      <w:pPr>
        <w:shd w:val="clear"/>
        <w:snapToGrid w:val="0"/>
        <w:spacing w:line="360" w:lineRule="auto"/>
        <w:rPr>
          <w:rFonts w:hint="eastAsia" w:ascii="宋体" w:hAnsi="宋体" w:eastAsia="宋体" w:cs="宋体"/>
          <w:b/>
          <w:bCs/>
          <w:kern w:val="0"/>
          <w:sz w:val="24"/>
          <w:highlight w:val="none"/>
        </w:rPr>
      </w:pPr>
      <w:r>
        <w:rPr>
          <w:rFonts w:hint="eastAsia" w:ascii="宋体" w:hAnsi="宋体" w:eastAsia="宋体" w:cs="宋体"/>
          <w:kern w:val="0"/>
          <w:sz w:val="24"/>
          <w:szCs w:val="21"/>
          <w:highlight w:val="none"/>
        </w:rPr>
        <w:br w:type="page"/>
      </w:r>
      <w:r>
        <w:rPr>
          <w:rFonts w:hint="eastAsia" w:ascii="宋体" w:hAnsi="宋体" w:eastAsia="宋体" w:cs="宋体"/>
          <w:b/>
          <w:bCs/>
          <w:color w:val="000000"/>
          <w:kern w:val="0"/>
          <w:sz w:val="24"/>
          <w:szCs w:val="21"/>
          <w:highlight w:val="none"/>
          <w:lang w:val="en-US" w:eastAsia="zh-CN"/>
        </w:rPr>
        <w:t>8</w:t>
      </w:r>
      <w:r>
        <w:rPr>
          <w:rFonts w:hint="eastAsia" w:ascii="宋体" w:hAnsi="宋体" w:eastAsia="宋体" w:cs="宋体"/>
          <w:b/>
          <w:bCs/>
          <w:color w:val="000000"/>
          <w:kern w:val="0"/>
          <w:sz w:val="24"/>
          <w:szCs w:val="21"/>
          <w:highlight w:val="none"/>
        </w:rPr>
        <w:t>.</w:t>
      </w:r>
      <w:r>
        <w:rPr>
          <w:rFonts w:hint="eastAsia" w:ascii="宋体" w:hAnsi="宋体" w:eastAsia="宋体" w:cs="宋体"/>
          <w:b/>
          <w:bCs/>
          <w:color w:val="000000"/>
          <w:kern w:val="0"/>
          <w:sz w:val="24"/>
          <w:szCs w:val="21"/>
          <w:highlight w:val="none"/>
          <w:lang w:val="en-US" w:eastAsia="zh-CN"/>
        </w:rPr>
        <w:t>落实政府采购政策需满足的资格要求的</w:t>
      </w:r>
      <w:r>
        <w:rPr>
          <w:rFonts w:hint="eastAsia" w:ascii="宋体" w:hAnsi="宋体" w:eastAsia="宋体" w:cs="宋体"/>
          <w:b/>
          <w:bCs/>
          <w:color w:val="000000"/>
          <w:sz w:val="24"/>
          <w:highlight w:val="none"/>
        </w:rPr>
        <w:t>证明文件</w:t>
      </w:r>
    </w:p>
    <w:p w14:paraId="61C415C3">
      <w:pPr>
        <w:shd w:val="clear"/>
        <w:snapToGrid w:val="0"/>
        <w:spacing w:line="360" w:lineRule="auto"/>
        <w:rPr>
          <w:rFonts w:hint="eastAsia" w:ascii="宋体" w:hAnsi="宋体" w:eastAsia="宋体" w:cs="宋体"/>
          <w:b/>
          <w:bCs/>
          <w:kern w:val="0"/>
          <w:sz w:val="24"/>
          <w:highlight w:val="none"/>
        </w:rPr>
      </w:pPr>
    </w:p>
    <w:p w14:paraId="1F7C0F5F">
      <w:pPr>
        <w:shd w:val="clear"/>
        <w:rPr>
          <w:rFonts w:hint="eastAsia" w:ascii="宋体" w:hAnsi="宋体" w:eastAsia="宋体" w:cs="宋体"/>
          <w:highlight w:val="none"/>
        </w:rPr>
      </w:pPr>
    </w:p>
    <w:p w14:paraId="0442AFA6">
      <w:pPr>
        <w:shd w:val="clear"/>
        <w:rPr>
          <w:rFonts w:hint="eastAsia" w:ascii="宋体" w:hAnsi="宋体" w:eastAsia="宋体" w:cs="宋体"/>
          <w:highlight w:val="none"/>
        </w:rPr>
      </w:pPr>
    </w:p>
    <w:p w14:paraId="0B1B4CE9">
      <w:pPr>
        <w:shd w:val="clear"/>
        <w:rPr>
          <w:rFonts w:hint="eastAsia" w:ascii="宋体" w:hAnsi="宋体" w:eastAsia="宋体" w:cs="宋体"/>
          <w:highlight w:val="none"/>
        </w:rPr>
      </w:pPr>
    </w:p>
    <w:p w14:paraId="3AC8A915">
      <w:pPr>
        <w:shd w:val="clear"/>
        <w:rPr>
          <w:rFonts w:hint="eastAsia" w:ascii="宋体" w:hAnsi="宋体" w:eastAsia="宋体" w:cs="宋体"/>
          <w:highlight w:val="none"/>
        </w:rPr>
      </w:pPr>
    </w:p>
    <w:p w14:paraId="78E18694">
      <w:pPr>
        <w:shd w:val="clear"/>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9</w:t>
      </w:r>
      <w:r>
        <w:rPr>
          <w:rFonts w:hint="eastAsia" w:ascii="宋体" w:hAnsi="宋体" w:eastAsia="宋体" w:cs="宋体"/>
          <w:b/>
          <w:bCs/>
          <w:color w:val="000000"/>
          <w:sz w:val="24"/>
          <w:highlight w:val="none"/>
        </w:rPr>
        <w:t>.本项目的特定资格要求</w:t>
      </w:r>
    </w:p>
    <w:p w14:paraId="7B7633C5">
      <w:pPr>
        <w:shd w:val="clear"/>
        <w:snapToGrid w:val="0"/>
        <w:spacing w:line="360" w:lineRule="auto"/>
        <w:rPr>
          <w:rFonts w:hint="eastAsia" w:ascii="宋体" w:hAnsi="宋体" w:eastAsia="宋体" w:cs="宋体"/>
          <w:b/>
          <w:bCs/>
          <w:color w:val="000000"/>
          <w:sz w:val="24"/>
          <w:highlight w:val="none"/>
        </w:rPr>
      </w:pPr>
    </w:p>
    <w:p w14:paraId="2C34FF53">
      <w:pPr>
        <w:shd w:val="clear"/>
        <w:snapToGrid w:val="0"/>
        <w:spacing w:line="360" w:lineRule="auto"/>
        <w:rPr>
          <w:rFonts w:hint="eastAsia" w:ascii="宋体" w:hAnsi="宋体" w:eastAsia="宋体" w:cs="宋体"/>
          <w:b/>
          <w:bCs/>
          <w:color w:val="000000"/>
          <w:sz w:val="24"/>
          <w:highlight w:val="none"/>
        </w:rPr>
      </w:pPr>
    </w:p>
    <w:p w14:paraId="35CBFBA7">
      <w:pPr>
        <w:shd w:val="clear"/>
        <w:snapToGrid w:val="0"/>
        <w:spacing w:line="360" w:lineRule="auto"/>
        <w:rPr>
          <w:rFonts w:hint="eastAsia" w:ascii="宋体" w:hAnsi="宋体" w:eastAsia="宋体" w:cs="宋体"/>
          <w:b/>
          <w:bCs/>
          <w:color w:val="000000"/>
          <w:sz w:val="24"/>
          <w:highlight w:val="none"/>
        </w:rPr>
      </w:pPr>
    </w:p>
    <w:p w14:paraId="2D463769">
      <w:pPr>
        <w:shd w:val="clear"/>
        <w:snapToGrid w:val="0"/>
        <w:spacing w:line="360" w:lineRule="auto"/>
        <w:rPr>
          <w:rFonts w:hint="eastAsia" w:ascii="宋体" w:hAnsi="宋体" w:eastAsia="宋体" w:cs="宋体"/>
          <w:b/>
          <w:bCs/>
          <w:color w:val="000000"/>
          <w:sz w:val="24"/>
          <w:highlight w:val="none"/>
        </w:rPr>
      </w:pPr>
    </w:p>
    <w:p w14:paraId="10E804F9">
      <w:pPr>
        <w:shd w:val="clear"/>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10.投标保证金提交凭证（影印件或扫描件须加盖投标人公章）。</w:t>
      </w:r>
    </w:p>
    <w:p w14:paraId="7C76C11B">
      <w:pPr>
        <w:shd w:val="clear"/>
        <w:snapToGrid w:val="0"/>
        <w:spacing w:line="360" w:lineRule="auto"/>
        <w:rPr>
          <w:rFonts w:hint="eastAsia" w:ascii="宋体" w:hAnsi="宋体" w:eastAsia="宋体" w:cs="宋体"/>
          <w:b/>
          <w:bCs/>
          <w:color w:val="000000"/>
          <w:sz w:val="24"/>
          <w:highlight w:val="none"/>
        </w:rPr>
      </w:pPr>
    </w:p>
    <w:p w14:paraId="64C72C66">
      <w:pPr>
        <w:shd w:val="clear"/>
        <w:snapToGrid w:val="0"/>
        <w:spacing w:line="360" w:lineRule="auto"/>
        <w:rPr>
          <w:rFonts w:hint="eastAsia" w:ascii="宋体" w:hAnsi="宋体" w:eastAsia="宋体" w:cs="宋体"/>
          <w:b/>
          <w:bCs/>
          <w:color w:val="000000"/>
          <w:sz w:val="24"/>
          <w:highlight w:val="none"/>
        </w:rPr>
      </w:pPr>
    </w:p>
    <w:p w14:paraId="2E54D1E4">
      <w:pPr>
        <w:shd w:val="clear"/>
        <w:snapToGrid w:val="0"/>
        <w:spacing w:line="360" w:lineRule="auto"/>
        <w:rPr>
          <w:rFonts w:hint="eastAsia" w:ascii="宋体" w:hAnsi="宋体" w:eastAsia="宋体" w:cs="宋体"/>
          <w:b/>
          <w:bCs/>
          <w:color w:val="000000"/>
          <w:sz w:val="24"/>
          <w:highlight w:val="none"/>
        </w:rPr>
      </w:pPr>
    </w:p>
    <w:p w14:paraId="1ABB32EE">
      <w:pPr>
        <w:shd w:val="clear"/>
        <w:snapToGrid w:val="0"/>
        <w:spacing w:line="360" w:lineRule="auto"/>
        <w:rPr>
          <w:rFonts w:hint="eastAsia" w:ascii="宋体" w:hAnsi="宋体" w:eastAsia="宋体" w:cs="宋体"/>
          <w:b/>
          <w:bCs/>
          <w:color w:val="000000"/>
          <w:sz w:val="24"/>
          <w:highlight w:val="none"/>
        </w:rPr>
      </w:pPr>
    </w:p>
    <w:p w14:paraId="3E117A42">
      <w:pPr>
        <w:shd w:val="clear"/>
        <w:snapToGrid w:val="0"/>
        <w:spacing w:line="360" w:lineRule="auto"/>
        <w:rPr>
          <w:rFonts w:hint="eastAsia" w:ascii="宋体" w:hAnsi="宋体" w:eastAsia="宋体" w:cs="宋体"/>
          <w:b/>
          <w:bCs/>
          <w:color w:val="000000"/>
          <w:sz w:val="24"/>
          <w:highlight w:val="none"/>
        </w:rPr>
      </w:pPr>
    </w:p>
    <w:p w14:paraId="2C02579A">
      <w:pPr>
        <w:widowControl/>
        <w:shd w:val="clear"/>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br w:type="page"/>
      </w:r>
    </w:p>
    <w:p w14:paraId="76F35F32">
      <w:pPr>
        <w:shd w:val="clear"/>
        <w:spacing w:line="520" w:lineRule="atLeast"/>
        <w:rPr>
          <w:rFonts w:hint="eastAsia" w:ascii="宋体" w:hAnsi="宋体" w:eastAsia="宋体" w:cs="宋体"/>
          <w:kern w:val="0"/>
          <w:sz w:val="24"/>
          <w:highlight w:val="none"/>
        </w:rPr>
      </w:pPr>
      <w:r>
        <w:rPr>
          <w:rFonts w:hint="eastAsia" w:ascii="宋体" w:hAnsi="宋体" w:eastAsia="宋体" w:cs="宋体"/>
          <w:kern w:val="0"/>
          <w:sz w:val="24"/>
          <w:highlight w:val="none"/>
        </w:rPr>
        <w:t>投标文件（商务技术文件）封面格式</w:t>
      </w:r>
    </w:p>
    <w:p w14:paraId="08D9F6A0">
      <w:pPr>
        <w:shd w:val="clear"/>
        <w:snapToGrid w:val="0"/>
        <w:spacing w:line="360" w:lineRule="auto"/>
        <w:rPr>
          <w:rFonts w:hint="eastAsia" w:ascii="宋体" w:hAnsi="宋体" w:eastAsia="宋体" w:cs="宋体"/>
          <w:kern w:val="0"/>
          <w:sz w:val="28"/>
          <w:szCs w:val="32"/>
          <w:highlight w:val="none"/>
        </w:rPr>
      </w:pPr>
    </w:p>
    <w:p w14:paraId="7CF63337">
      <w:pPr>
        <w:shd w:val="clear"/>
        <w:snapToGrid w:val="0"/>
        <w:spacing w:line="360" w:lineRule="auto"/>
        <w:jc w:val="right"/>
        <w:rPr>
          <w:rFonts w:hint="eastAsia" w:ascii="宋体" w:hAnsi="宋体" w:eastAsia="宋体" w:cs="宋体"/>
          <w:kern w:val="0"/>
          <w:sz w:val="28"/>
          <w:szCs w:val="32"/>
          <w:highlight w:val="none"/>
        </w:rPr>
      </w:pPr>
      <w:r>
        <w:rPr>
          <w:rFonts w:hint="eastAsia" w:ascii="宋体" w:hAnsi="宋体" w:eastAsia="宋体" w:cs="宋体"/>
          <w:kern w:val="0"/>
          <w:sz w:val="28"/>
          <w:szCs w:val="32"/>
          <w:highlight w:val="none"/>
        </w:rPr>
        <w:t>（正</w:t>
      </w:r>
      <w:r>
        <w:rPr>
          <w:rFonts w:hint="eastAsia" w:ascii="宋体" w:hAnsi="宋体" w:eastAsia="宋体" w:cs="宋体"/>
          <w:kern w:val="0"/>
          <w:sz w:val="28"/>
          <w:szCs w:val="36"/>
          <w:highlight w:val="none"/>
        </w:rPr>
        <w:t>/</w:t>
      </w:r>
      <w:r>
        <w:rPr>
          <w:rFonts w:hint="eastAsia" w:ascii="宋体" w:hAnsi="宋体" w:eastAsia="宋体" w:cs="宋体"/>
          <w:kern w:val="0"/>
          <w:sz w:val="28"/>
          <w:szCs w:val="32"/>
          <w:highlight w:val="none"/>
        </w:rPr>
        <w:t>副）本</w:t>
      </w:r>
    </w:p>
    <w:p w14:paraId="01123900">
      <w:pPr>
        <w:shd w:val="clear"/>
        <w:snapToGrid w:val="0"/>
        <w:spacing w:line="360" w:lineRule="auto"/>
        <w:jc w:val="right"/>
        <w:rPr>
          <w:rFonts w:hint="eastAsia" w:ascii="宋体" w:hAnsi="宋体" w:eastAsia="宋体" w:cs="宋体"/>
          <w:kern w:val="0"/>
          <w:sz w:val="28"/>
          <w:szCs w:val="32"/>
          <w:highlight w:val="none"/>
        </w:rPr>
      </w:pPr>
    </w:p>
    <w:p w14:paraId="692A9A83">
      <w:pPr>
        <w:shd w:val="clear"/>
        <w:snapToGrid w:val="0"/>
        <w:spacing w:line="360" w:lineRule="auto"/>
        <w:jc w:val="right"/>
        <w:rPr>
          <w:rFonts w:hint="eastAsia" w:ascii="宋体" w:hAnsi="宋体" w:eastAsia="宋体" w:cs="宋体"/>
          <w:kern w:val="0"/>
          <w:sz w:val="28"/>
          <w:szCs w:val="32"/>
          <w:highlight w:val="none"/>
        </w:rPr>
      </w:pPr>
    </w:p>
    <w:p w14:paraId="3FB97A3B">
      <w:pPr>
        <w:shd w:val="clear"/>
        <w:snapToGrid w:val="0"/>
        <w:spacing w:line="360" w:lineRule="auto"/>
        <w:jc w:val="center"/>
        <w:rPr>
          <w:rFonts w:hint="eastAsia" w:ascii="宋体" w:hAnsi="宋体" w:eastAsia="宋体" w:cs="宋体"/>
          <w:b/>
          <w:kern w:val="0"/>
          <w:sz w:val="72"/>
          <w:szCs w:val="72"/>
          <w:highlight w:val="none"/>
        </w:rPr>
      </w:pPr>
      <w:r>
        <w:rPr>
          <w:rFonts w:hint="eastAsia" w:ascii="宋体" w:hAnsi="宋体" w:eastAsia="宋体" w:cs="宋体"/>
          <w:b/>
          <w:kern w:val="0"/>
          <w:sz w:val="72"/>
          <w:szCs w:val="72"/>
          <w:highlight w:val="none"/>
        </w:rPr>
        <w:t>投  标  文  件</w:t>
      </w:r>
    </w:p>
    <w:p w14:paraId="4052DC41">
      <w:pPr>
        <w:shd w:val="clear"/>
        <w:snapToGrid w:val="0"/>
        <w:spacing w:line="360" w:lineRule="auto"/>
        <w:jc w:val="center"/>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（商务技术文件）</w:t>
      </w:r>
    </w:p>
    <w:p w14:paraId="62D3965D">
      <w:pPr>
        <w:shd w:val="clear"/>
        <w:snapToGrid w:val="0"/>
        <w:spacing w:line="360" w:lineRule="auto"/>
        <w:jc w:val="left"/>
        <w:rPr>
          <w:rFonts w:hint="eastAsia" w:ascii="宋体" w:hAnsi="宋体" w:eastAsia="宋体" w:cs="宋体"/>
          <w:kern w:val="0"/>
          <w:sz w:val="28"/>
          <w:szCs w:val="30"/>
          <w:highlight w:val="none"/>
        </w:rPr>
      </w:pPr>
    </w:p>
    <w:p w14:paraId="39AFDDD2">
      <w:pPr>
        <w:shd w:val="clear"/>
        <w:snapToGrid w:val="0"/>
        <w:spacing w:line="360" w:lineRule="auto"/>
        <w:ind w:firstLine="560" w:firstLineChars="200"/>
        <w:jc w:val="left"/>
        <w:rPr>
          <w:rFonts w:hint="eastAsia" w:ascii="宋体" w:hAnsi="宋体" w:eastAsia="宋体" w:cs="宋体"/>
          <w:kern w:val="0"/>
          <w:sz w:val="28"/>
          <w:szCs w:val="30"/>
          <w:highlight w:val="none"/>
        </w:rPr>
      </w:pPr>
      <w:r>
        <w:rPr>
          <w:rFonts w:hint="eastAsia" w:ascii="宋体" w:hAnsi="宋体" w:eastAsia="宋体" w:cs="宋体"/>
          <w:kern w:val="0"/>
          <w:sz w:val="28"/>
          <w:szCs w:val="30"/>
          <w:highlight w:val="none"/>
        </w:rPr>
        <w:t>项目名称：</w:t>
      </w:r>
    </w:p>
    <w:p w14:paraId="3978DB90">
      <w:pPr>
        <w:shd w:val="clear"/>
        <w:snapToGrid w:val="0"/>
        <w:spacing w:line="360" w:lineRule="auto"/>
        <w:ind w:firstLine="560" w:firstLineChars="200"/>
        <w:jc w:val="left"/>
        <w:rPr>
          <w:rFonts w:hint="eastAsia" w:ascii="宋体" w:hAnsi="宋体" w:eastAsia="宋体" w:cs="宋体"/>
          <w:kern w:val="0"/>
          <w:sz w:val="28"/>
          <w:szCs w:val="30"/>
          <w:highlight w:val="none"/>
        </w:rPr>
      </w:pPr>
      <w:r>
        <w:rPr>
          <w:rFonts w:hint="eastAsia" w:ascii="宋体" w:hAnsi="宋体" w:eastAsia="宋体" w:cs="宋体"/>
          <w:kern w:val="0"/>
          <w:sz w:val="28"/>
          <w:szCs w:val="30"/>
          <w:highlight w:val="none"/>
        </w:rPr>
        <w:t>项目编号：</w:t>
      </w:r>
    </w:p>
    <w:p w14:paraId="5F15D59C">
      <w:pPr>
        <w:pStyle w:val="8"/>
        <w:shd w:val="clear"/>
        <w:rPr>
          <w:rFonts w:hint="eastAsia" w:ascii="宋体" w:hAnsi="宋体" w:eastAsia="宋体" w:cs="宋体"/>
          <w:highlight w:val="none"/>
        </w:rPr>
      </w:pPr>
    </w:p>
    <w:p w14:paraId="7022DBCE">
      <w:pPr>
        <w:pStyle w:val="8"/>
        <w:shd w:val="clear"/>
        <w:rPr>
          <w:rFonts w:hint="eastAsia" w:ascii="宋体" w:hAnsi="宋体" w:eastAsia="宋体" w:cs="宋体"/>
          <w:highlight w:val="none"/>
        </w:rPr>
      </w:pPr>
    </w:p>
    <w:p w14:paraId="2B9657DE">
      <w:pPr>
        <w:pStyle w:val="8"/>
        <w:shd w:val="clear"/>
        <w:rPr>
          <w:rFonts w:hint="eastAsia" w:ascii="宋体" w:hAnsi="宋体" w:eastAsia="宋体" w:cs="宋体"/>
          <w:highlight w:val="none"/>
        </w:rPr>
      </w:pPr>
    </w:p>
    <w:p w14:paraId="30C0B0A1">
      <w:pPr>
        <w:pStyle w:val="8"/>
        <w:shd w:val="clear"/>
        <w:rPr>
          <w:rFonts w:hint="eastAsia" w:ascii="宋体" w:hAnsi="宋体" w:eastAsia="宋体" w:cs="宋体"/>
          <w:highlight w:val="none"/>
        </w:rPr>
      </w:pPr>
    </w:p>
    <w:p w14:paraId="0D67FC93">
      <w:pPr>
        <w:pStyle w:val="8"/>
        <w:shd w:val="clear"/>
        <w:rPr>
          <w:rFonts w:hint="eastAsia" w:ascii="宋体" w:hAnsi="宋体" w:eastAsia="宋体" w:cs="宋体"/>
          <w:highlight w:val="none"/>
        </w:rPr>
      </w:pPr>
    </w:p>
    <w:p w14:paraId="03AF1C63">
      <w:pPr>
        <w:shd w:val="clear"/>
        <w:snapToGrid w:val="0"/>
        <w:spacing w:line="360" w:lineRule="auto"/>
        <w:jc w:val="left"/>
        <w:rPr>
          <w:rFonts w:hint="eastAsia" w:ascii="宋体" w:hAnsi="宋体" w:eastAsia="宋体" w:cs="宋体"/>
          <w:kern w:val="0"/>
          <w:sz w:val="28"/>
          <w:highlight w:val="none"/>
        </w:rPr>
      </w:pPr>
    </w:p>
    <w:p w14:paraId="547984EE">
      <w:pPr>
        <w:shd w:val="clear"/>
        <w:snapToGrid w:val="0"/>
        <w:spacing w:line="360" w:lineRule="auto"/>
        <w:jc w:val="left"/>
        <w:rPr>
          <w:rFonts w:hint="eastAsia" w:ascii="宋体" w:hAnsi="宋体" w:eastAsia="宋体" w:cs="宋体"/>
          <w:kern w:val="0"/>
          <w:sz w:val="28"/>
          <w:highlight w:val="none"/>
        </w:rPr>
      </w:pPr>
    </w:p>
    <w:p w14:paraId="43711CA0">
      <w:pPr>
        <w:shd w:val="clear"/>
        <w:snapToGrid w:val="0"/>
        <w:spacing w:line="360" w:lineRule="auto"/>
        <w:rPr>
          <w:rFonts w:hint="eastAsia" w:ascii="宋体" w:hAnsi="宋体" w:eastAsia="宋体" w:cs="宋体"/>
          <w:kern w:val="0"/>
          <w:sz w:val="28"/>
          <w:szCs w:val="28"/>
          <w:highlight w:val="none"/>
          <w:u w:val="single"/>
        </w:rPr>
      </w:pPr>
      <w:r>
        <w:rPr>
          <w:rFonts w:hint="eastAsia" w:ascii="宋体" w:hAnsi="宋体" w:eastAsia="宋体" w:cs="宋体"/>
          <w:kern w:val="0"/>
          <w:sz w:val="28"/>
          <w:szCs w:val="32"/>
          <w:highlight w:val="none"/>
        </w:rPr>
        <w:t xml:space="preserve">                   </w:t>
      </w:r>
      <w:r>
        <w:rPr>
          <w:rFonts w:hint="eastAsia" w:ascii="宋体" w:hAnsi="宋体" w:eastAsia="宋体" w:cs="宋体"/>
          <w:kern w:val="0"/>
          <w:sz w:val="28"/>
          <w:szCs w:val="28"/>
          <w:highlight w:val="none"/>
        </w:rPr>
        <w:t xml:space="preserve"> 投标人全称： </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（盖章）</w:t>
      </w:r>
    </w:p>
    <w:p w14:paraId="7C66917C">
      <w:pPr>
        <w:shd w:val="clear"/>
        <w:snapToGrid w:val="0"/>
        <w:spacing w:line="360" w:lineRule="auto"/>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法定代表人（负责人）或授权代表：</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（签字或盖章）</w:t>
      </w:r>
    </w:p>
    <w:p w14:paraId="2FFC3190">
      <w:pPr>
        <w:shd w:val="clear"/>
        <w:snapToGrid w:val="0"/>
        <w:spacing w:line="360" w:lineRule="auto"/>
        <w:rPr>
          <w:rFonts w:hint="eastAsia" w:ascii="宋体" w:hAnsi="宋体" w:eastAsia="宋体" w:cs="宋体"/>
          <w:kern w:val="0"/>
          <w:sz w:val="30"/>
          <w:szCs w:val="30"/>
          <w:highlight w:val="none"/>
          <w:u w:val="single"/>
        </w:rPr>
      </w:pPr>
    </w:p>
    <w:p w14:paraId="30B0B6B4">
      <w:pPr>
        <w:shd w:val="clear"/>
        <w:snapToGrid w:val="0"/>
        <w:spacing w:line="360" w:lineRule="auto"/>
        <w:rPr>
          <w:rFonts w:hint="eastAsia" w:ascii="宋体" w:hAnsi="宋体" w:eastAsia="宋体" w:cs="宋体"/>
          <w:kern w:val="0"/>
          <w:sz w:val="30"/>
          <w:szCs w:val="30"/>
          <w:highlight w:val="none"/>
          <w:u w:val="single"/>
        </w:rPr>
      </w:pPr>
    </w:p>
    <w:p w14:paraId="67F55DCD">
      <w:pPr>
        <w:shd w:val="clear"/>
        <w:snapToGrid w:val="0"/>
        <w:spacing w:line="360" w:lineRule="auto"/>
        <w:rPr>
          <w:rFonts w:hint="eastAsia" w:ascii="宋体" w:hAnsi="宋体" w:eastAsia="宋体" w:cs="宋体"/>
          <w:kern w:val="0"/>
          <w:sz w:val="30"/>
          <w:szCs w:val="30"/>
          <w:highlight w:val="none"/>
          <w:u w:val="single"/>
        </w:rPr>
      </w:pPr>
    </w:p>
    <w:p w14:paraId="09EABE44">
      <w:pPr>
        <w:shd w:val="clear"/>
        <w:snapToGrid w:val="0"/>
        <w:spacing w:line="360" w:lineRule="auto"/>
        <w:jc w:val="center"/>
        <w:rPr>
          <w:rFonts w:hint="eastAsia" w:ascii="宋体" w:hAnsi="宋体" w:eastAsia="宋体" w:cs="宋体"/>
          <w:bCs/>
          <w:sz w:val="24"/>
          <w:highlight w:val="none"/>
        </w:rPr>
      </w:pPr>
      <w:r>
        <w:rPr>
          <w:rFonts w:hint="eastAsia" w:ascii="宋体" w:hAnsi="宋体" w:eastAsia="宋体" w:cs="宋体"/>
          <w:kern w:val="0"/>
          <w:sz w:val="30"/>
          <w:szCs w:val="30"/>
          <w:highlight w:val="none"/>
        </w:rPr>
        <w:t>二〇二</w:t>
      </w:r>
      <w:r>
        <w:rPr>
          <w:rFonts w:hint="eastAsia" w:ascii="宋体" w:hAnsi="宋体" w:cs="宋体"/>
          <w:kern w:val="0"/>
          <w:sz w:val="30"/>
          <w:szCs w:val="30"/>
          <w:highlight w:val="none"/>
          <w:lang w:val="en-US" w:eastAsia="zh-CN"/>
        </w:rPr>
        <w:t>五</w:t>
      </w:r>
      <w:r>
        <w:rPr>
          <w:rFonts w:hint="eastAsia" w:ascii="宋体" w:hAnsi="宋体" w:eastAsia="宋体" w:cs="宋体"/>
          <w:kern w:val="0"/>
          <w:sz w:val="30"/>
          <w:szCs w:val="30"/>
          <w:highlight w:val="none"/>
        </w:rPr>
        <w:t>年   月   日</w:t>
      </w:r>
    </w:p>
    <w:p w14:paraId="168DCE08">
      <w:pPr>
        <w:pStyle w:val="27"/>
        <w:widowControl w:val="0"/>
        <w:shd w:val="clear"/>
        <w:rPr>
          <w:rFonts w:hint="eastAsia" w:ascii="宋体" w:hAnsi="宋体" w:eastAsia="宋体" w:cs="宋体"/>
          <w:highlight w:val="none"/>
        </w:rPr>
      </w:pPr>
    </w:p>
    <w:p w14:paraId="2C9A00C9">
      <w:pPr>
        <w:pStyle w:val="27"/>
        <w:widowControl w:val="0"/>
        <w:shd w:val="clear"/>
        <w:rPr>
          <w:rFonts w:hint="eastAsia" w:ascii="宋体" w:hAnsi="宋体" w:eastAsia="宋体" w:cs="宋体"/>
          <w:highlight w:val="none"/>
        </w:rPr>
      </w:pPr>
    </w:p>
    <w:p w14:paraId="764185B5">
      <w:pPr>
        <w:shd w:val="clea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目录格式</w:t>
      </w:r>
    </w:p>
    <w:p w14:paraId="246D33AB">
      <w:pPr>
        <w:shd w:val="clea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28"/>
          <w:szCs w:val="28"/>
          <w:highlight w:val="none"/>
        </w:rPr>
        <w:t>目     录</w:t>
      </w:r>
    </w:p>
    <w:p w14:paraId="1D2EB4E7">
      <w:pPr>
        <w:shd w:val="clear"/>
        <w:spacing w:line="360" w:lineRule="auto"/>
        <w:jc w:val="center"/>
        <w:rPr>
          <w:rFonts w:hint="eastAsia" w:ascii="宋体" w:hAnsi="宋体" w:eastAsia="宋体" w:cs="宋体"/>
          <w:b/>
          <w:spacing w:val="6"/>
          <w:sz w:val="24"/>
          <w:highlight w:val="none"/>
        </w:rPr>
      </w:pPr>
      <w:r>
        <w:rPr>
          <w:rFonts w:hint="eastAsia" w:ascii="宋体" w:hAnsi="宋体" w:eastAsia="宋体" w:cs="宋体"/>
          <w:b/>
          <w:sz w:val="28"/>
          <w:szCs w:val="28"/>
          <w:highlight w:val="none"/>
        </w:rPr>
        <w:t>商务、技术文件部分</w:t>
      </w:r>
    </w:p>
    <w:p w14:paraId="65869414">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1</w:t>
      </w:r>
      <w:r>
        <w:rPr>
          <w:rFonts w:hint="eastAsia" w:asciiTheme="minorEastAsia" w:hAnsiTheme="minorEastAsia" w:eastAsiaTheme="minorEastAsia"/>
          <w:snapToGrid w:val="0"/>
          <w:kern w:val="0"/>
          <w:sz w:val="24"/>
          <w:szCs w:val="24"/>
        </w:rPr>
        <w:t>.</w:t>
      </w:r>
      <w:r>
        <w:rPr>
          <w:rFonts w:asciiTheme="minorEastAsia" w:hAnsiTheme="minorEastAsia" w:eastAsiaTheme="minorEastAsia"/>
          <w:snapToGrid w:val="0"/>
          <w:kern w:val="0"/>
          <w:sz w:val="24"/>
          <w:szCs w:val="24"/>
        </w:rPr>
        <w:t>法定代表人（负责人）身份证明书………………………………………………………</w:t>
      </w:r>
    </w:p>
    <w:p w14:paraId="76EBA5F2">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2</w:t>
      </w:r>
      <w:r>
        <w:rPr>
          <w:rFonts w:hint="eastAsia" w:asciiTheme="minorEastAsia" w:hAnsiTheme="minorEastAsia" w:eastAsiaTheme="minorEastAsia"/>
          <w:snapToGrid w:val="0"/>
          <w:kern w:val="0"/>
          <w:sz w:val="24"/>
          <w:szCs w:val="24"/>
        </w:rPr>
        <w:t>.</w:t>
      </w:r>
      <w:r>
        <w:rPr>
          <w:rFonts w:asciiTheme="minorEastAsia" w:hAnsiTheme="minorEastAsia" w:eastAsiaTheme="minorEastAsia"/>
          <w:snapToGrid w:val="0"/>
          <w:kern w:val="0"/>
          <w:sz w:val="24"/>
          <w:szCs w:val="24"/>
        </w:rPr>
        <w:t>法定代表人（负责人）授权委托书………………………………………………………</w:t>
      </w:r>
    </w:p>
    <w:p w14:paraId="494A22AF">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3</w:t>
      </w:r>
      <w:r>
        <w:rPr>
          <w:rFonts w:hint="eastAsia" w:asciiTheme="minorEastAsia" w:hAnsiTheme="minorEastAsia" w:eastAsiaTheme="minorEastAsia"/>
          <w:snapToGrid w:val="0"/>
          <w:kern w:val="0"/>
          <w:sz w:val="24"/>
          <w:szCs w:val="24"/>
        </w:rPr>
        <w:t>.投标</w:t>
      </w:r>
      <w:r>
        <w:rPr>
          <w:rFonts w:asciiTheme="minorEastAsia" w:hAnsiTheme="minorEastAsia" w:eastAsiaTheme="minorEastAsia"/>
          <w:snapToGrid w:val="0"/>
          <w:kern w:val="0"/>
          <w:sz w:val="24"/>
          <w:szCs w:val="24"/>
        </w:rPr>
        <w:t>函………………………………………………………………………………………</w:t>
      </w:r>
    </w:p>
    <w:p w14:paraId="3C217176">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4</w:t>
      </w:r>
      <w:r>
        <w:rPr>
          <w:rFonts w:hint="eastAsia" w:asciiTheme="minorEastAsia" w:hAnsiTheme="minorEastAsia" w:eastAsiaTheme="minorEastAsia"/>
          <w:snapToGrid w:val="0"/>
          <w:kern w:val="0"/>
          <w:sz w:val="24"/>
          <w:szCs w:val="24"/>
        </w:rPr>
        <w:t>.开标一览表</w:t>
      </w:r>
      <w:r>
        <w:rPr>
          <w:rFonts w:asciiTheme="minorEastAsia" w:hAnsiTheme="minorEastAsia" w:eastAsiaTheme="minorEastAsia"/>
          <w:snapToGrid w:val="0"/>
          <w:kern w:val="0"/>
          <w:sz w:val="24"/>
          <w:szCs w:val="24"/>
        </w:rPr>
        <w:t>…………………………………………………………………………………</w:t>
      </w:r>
    </w:p>
    <w:p w14:paraId="6A0A8632">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5</w:t>
      </w:r>
      <w:r>
        <w:rPr>
          <w:rFonts w:hint="eastAsia" w:asciiTheme="minorEastAsia" w:hAnsiTheme="minorEastAsia" w:eastAsiaTheme="minorEastAsia"/>
          <w:snapToGrid w:val="0"/>
          <w:kern w:val="0"/>
          <w:sz w:val="24"/>
          <w:szCs w:val="24"/>
        </w:rPr>
        <w:t>.</w:t>
      </w:r>
      <w:r>
        <w:rPr>
          <w:rFonts w:asciiTheme="minorEastAsia" w:hAnsiTheme="minorEastAsia" w:eastAsiaTheme="minorEastAsia"/>
          <w:snapToGrid w:val="0"/>
          <w:kern w:val="0"/>
          <w:sz w:val="24"/>
          <w:szCs w:val="24"/>
        </w:rPr>
        <w:t>商务条款响应表……………………………………………………………………………</w:t>
      </w:r>
    </w:p>
    <w:p w14:paraId="30CB0D33">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6</w:t>
      </w:r>
      <w:r>
        <w:rPr>
          <w:rFonts w:hint="eastAsia" w:asciiTheme="minorEastAsia" w:hAnsiTheme="minorEastAsia" w:eastAsiaTheme="minorEastAsia"/>
          <w:snapToGrid w:val="0"/>
          <w:kern w:val="0"/>
          <w:sz w:val="24"/>
          <w:szCs w:val="24"/>
        </w:rPr>
        <w:t>.</w:t>
      </w:r>
      <w:r>
        <w:rPr>
          <w:rFonts w:asciiTheme="minorEastAsia" w:hAnsiTheme="minorEastAsia" w:eastAsiaTheme="minorEastAsia"/>
          <w:snapToGrid w:val="0"/>
          <w:kern w:val="0"/>
          <w:sz w:val="24"/>
          <w:szCs w:val="24"/>
        </w:rPr>
        <w:t>技术规范响应及偏离表……………………………………………………………………</w:t>
      </w:r>
    </w:p>
    <w:p w14:paraId="78C6199E">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7</w:t>
      </w:r>
      <w:r>
        <w:rPr>
          <w:rFonts w:hint="eastAsia" w:asciiTheme="minorEastAsia" w:hAnsiTheme="minorEastAsia" w:eastAsiaTheme="minorEastAsia"/>
          <w:snapToGrid w:val="0"/>
          <w:kern w:val="0"/>
          <w:sz w:val="24"/>
          <w:szCs w:val="24"/>
        </w:rPr>
        <w:t>.采购货物主要技术指标和运行性能的详细描述或同投标货物型号一致的产品彩页</w:t>
      </w:r>
      <w:r>
        <w:rPr>
          <w:rFonts w:asciiTheme="minorEastAsia" w:hAnsiTheme="minorEastAsia" w:eastAsiaTheme="minorEastAsia"/>
          <w:snapToGrid w:val="0"/>
          <w:kern w:val="0"/>
          <w:sz w:val="24"/>
          <w:szCs w:val="24"/>
        </w:rPr>
        <w:t>………………………………………………………………………………………………</w:t>
      </w:r>
    </w:p>
    <w:p w14:paraId="62D1B629">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8</w:t>
      </w:r>
      <w:r>
        <w:rPr>
          <w:rFonts w:hint="eastAsia" w:asciiTheme="minorEastAsia" w:hAnsiTheme="minorEastAsia" w:eastAsiaTheme="minorEastAsia"/>
          <w:snapToGrid w:val="0"/>
          <w:kern w:val="0"/>
          <w:sz w:val="24"/>
          <w:szCs w:val="24"/>
        </w:rPr>
        <w:t>.投标文件提交截止时间前三年内同类项目合同案例列表及相关证明资料</w:t>
      </w:r>
      <w:r>
        <w:rPr>
          <w:rFonts w:asciiTheme="minorEastAsia" w:hAnsiTheme="minorEastAsia" w:eastAsiaTheme="minorEastAsia"/>
          <w:snapToGrid w:val="0"/>
          <w:kern w:val="0"/>
          <w:sz w:val="24"/>
          <w:szCs w:val="24"/>
        </w:rPr>
        <w:t>……………</w:t>
      </w:r>
    </w:p>
    <w:p w14:paraId="2246352A">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9</w:t>
      </w:r>
      <w:r>
        <w:rPr>
          <w:rFonts w:hint="eastAsia" w:asciiTheme="minorEastAsia" w:hAnsiTheme="minorEastAsia" w:eastAsiaTheme="minorEastAsia"/>
          <w:snapToGrid w:val="0"/>
          <w:kern w:val="0"/>
          <w:sz w:val="24"/>
          <w:szCs w:val="24"/>
        </w:rPr>
        <w:t>.</w:t>
      </w:r>
      <w:r>
        <w:rPr>
          <w:rFonts w:asciiTheme="minorEastAsia" w:hAnsiTheme="minorEastAsia" w:eastAsiaTheme="minorEastAsia"/>
          <w:snapToGrid w:val="0"/>
          <w:kern w:val="0"/>
          <w:sz w:val="24"/>
          <w:szCs w:val="24"/>
        </w:rPr>
        <w:t>企业信誉证明材料…………………………………………………………………………</w:t>
      </w:r>
    </w:p>
    <w:p w14:paraId="7A723FCE">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10.团队组成…………………………………………………………………………………</w:t>
      </w:r>
    </w:p>
    <w:p w14:paraId="7793EE8C">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11.投标人配套服务承诺书………………………………………………………</w:t>
      </w:r>
      <w:r>
        <w:rPr>
          <w:rFonts w:asciiTheme="minorEastAsia" w:hAnsiTheme="minorEastAsia" w:eastAsiaTheme="minorEastAsia"/>
          <w:snapToGrid w:val="0"/>
          <w:kern w:val="0"/>
          <w:sz w:val="24"/>
          <w:szCs w:val="24"/>
        </w:rPr>
        <w:t>…………</w:t>
      </w:r>
    </w:p>
    <w:p w14:paraId="57768A58">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1</w:t>
      </w:r>
      <w:r>
        <w:rPr>
          <w:rFonts w:hint="eastAsia" w:asciiTheme="minorEastAsia" w:hAnsiTheme="minorEastAsia" w:eastAsiaTheme="minorEastAsia"/>
          <w:snapToGrid w:val="0"/>
          <w:kern w:val="0"/>
          <w:sz w:val="24"/>
          <w:szCs w:val="24"/>
        </w:rPr>
        <w:t>2.</w:t>
      </w:r>
      <w:r>
        <w:rPr>
          <w:rFonts w:asciiTheme="minorEastAsia" w:hAnsiTheme="minorEastAsia" w:eastAsiaTheme="minorEastAsia"/>
          <w:snapToGrid w:val="0"/>
          <w:kern w:val="0"/>
          <w:sz w:val="24"/>
          <w:szCs w:val="24"/>
        </w:rPr>
        <w:t>实施时间进度表…………………………………………………………………………</w:t>
      </w:r>
    </w:p>
    <w:p w14:paraId="79A63C97">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1</w:t>
      </w:r>
      <w:r>
        <w:rPr>
          <w:rFonts w:hint="eastAsia" w:asciiTheme="minorEastAsia" w:hAnsiTheme="minorEastAsia" w:eastAsiaTheme="minorEastAsia"/>
          <w:snapToGrid w:val="0"/>
          <w:kern w:val="0"/>
          <w:sz w:val="24"/>
          <w:szCs w:val="24"/>
        </w:rPr>
        <w:t>3.投标人</w:t>
      </w:r>
      <w:r>
        <w:rPr>
          <w:rFonts w:asciiTheme="minorEastAsia" w:hAnsiTheme="minorEastAsia" w:eastAsiaTheme="minorEastAsia"/>
          <w:snapToGrid w:val="0"/>
          <w:kern w:val="0"/>
          <w:sz w:val="24"/>
          <w:szCs w:val="24"/>
        </w:rPr>
        <w:t>认为需要提供的其他商务、技术材料…………………………………………</w:t>
      </w:r>
    </w:p>
    <w:p w14:paraId="796F58E6">
      <w:pPr>
        <w:pStyle w:val="16"/>
        <w:keepNext/>
        <w:wordWrap w:val="0"/>
        <w:topLinePunct/>
        <w:adjustRightInd w:val="0"/>
        <w:snapToGrid w:val="0"/>
        <w:spacing w:line="360" w:lineRule="auto"/>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1</w:t>
      </w:r>
      <w:r>
        <w:rPr>
          <w:rFonts w:hint="eastAsia" w:asciiTheme="minorEastAsia" w:hAnsiTheme="minorEastAsia" w:eastAsiaTheme="minorEastAsia"/>
          <w:snapToGrid w:val="0"/>
          <w:kern w:val="0"/>
          <w:sz w:val="24"/>
          <w:szCs w:val="24"/>
        </w:rPr>
        <w:t>4</w:t>
      </w:r>
      <w:r>
        <w:rPr>
          <w:rFonts w:asciiTheme="minorEastAsia" w:hAnsiTheme="minorEastAsia" w:eastAsiaTheme="minorEastAsia"/>
          <w:snapToGrid w:val="0"/>
          <w:kern w:val="0"/>
          <w:sz w:val="24"/>
          <w:szCs w:val="24"/>
        </w:rPr>
        <w:t>.政府采购政策性要求</w:t>
      </w:r>
      <w:r>
        <w:rPr>
          <w:rFonts w:hint="eastAsia" w:asciiTheme="minorEastAsia" w:hAnsiTheme="minorEastAsia" w:eastAsiaTheme="minorEastAsia"/>
          <w:snapToGrid w:val="0"/>
          <w:kern w:val="0"/>
          <w:sz w:val="24"/>
          <w:szCs w:val="24"/>
        </w:rPr>
        <w:t>证明材料</w:t>
      </w:r>
      <w:r>
        <w:rPr>
          <w:rFonts w:asciiTheme="minorEastAsia" w:hAnsiTheme="minorEastAsia" w:eastAsiaTheme="minorEastAsia"/>
          <w:snapToGrid w:val="0"/>
          <w:kern w:val="0"/>
          <w:sz w:val="24"/>
          <w:szCs w:val="24"/>
        </w:rPr>
        <w:t>…………………………………………………………</w:t>
      </w:r>
    </w:p>
    <w:p w14:paraId="71CF1574">
      <w:pPr>
        <w:shd w:val="clear"/>
        <w:spacing w:line="360" w:lineRule="auto"/>
        <w:rPr>
          <w:rFonts w:hint="eastAsia" w:ascii="宋体" w:hAnsi="宋体" w:eastAsia="宋体" w:cs="宋体"/>
          <w:b/>
          <w:sz w:val="24"/>
          <w:highlight w:val="none"/>
        </w:rPr>
      </w:pPr>
    </w:p>
    <w:p w14:paraId="49043849">
      <w:pPr>
        <w:shd w:val="clear"/>
        <w:spacing w:line="360" w:lineRule="auto"/>
        <w:rPr>
          <w:rFonts w:hint="eastAsia" w:ascii="宋体" w:hAnsi="宋体" w:eastAsia="宋体" w:cs="宋体"/>
          <w:b/>
          <w:sz w:val="24"/>
          <w:highlight w:val="none"/>
        </w:rPr>
      </w:pPr>
    </w:p>
    <w:p w14:paraId="55F65925">
      <w:pPr>
        <w:shd w:val="clear"/>
        <w:spacing w:line="360" w:lineRule="auto"/>
        <w:rPr>
          <w:rFonts w:hint="eastAsia" w:ascii="宋体" w:hAnsi="宋体" w:eastAsia="宋体" w:cs="宋体"/>
          <w:b/>
          <w:bCs/>
          <w:kern w:val="44"/>
          <w:sz w:val="24"/>
          <w:highlight w:val="none"/>
        </w:rPr>
      </w:pPr>
    </w:p>
    <w:p w14:paraId="11D87B68">
      <w:pPr>
        <w:shd w:val="clear"/>
        <w:bidi w:val="0"/>
        <w:rPr>
          <w:rFonts w:hint="eastAsia" w:ascii="宋体" w:hAnsi="宋体" w:eastAsia="宋体" w:cs="宋体"/>
          <w:highlight w:val="none"/>
        </w:rPr>
      </w:pPr>
    </w:p>
    <w:p w14:paraId="58366C79">
      <w:pPr>
        <w:shd w:val="clear"/>
        <w:spacing w:line="360" w:lineRule="auto"/>
        <w:rPr>
          <w:rFonts w:hint="eastAsia" w:ascii="宋体" w:hAnsi="宋体" w:eastAsia="宋体" w:cs="宋体"/>
          <w:b/>
          <w:bCs/>
          <w:kern w:val="44"/>
          <w:sz w:val="24"/>
          <w:highlight w:val="none"/>
        </w:rPr>
      </w:pPr>
    </w:p>
    <w:p w14:paraId="3A292C60">
      <w:pPr>
        <w:pStyle w:val="27"/>
        <w:widowControl w:val="0"/>
        <w:shd w:val="clear"/>
        <w:rPr>
          <w:rFonts w:hint="eastAsia" w:ascii="宋体" w:hAnsi="宋体" w:eastAsia="宋体" w:cs="宋体"/>
          <w:b/>
          <w:bCs/>
          <w:kern w:val="44"/>
          <w:sz w:val="24"/>
          <w:highlight w:val="none"/>
        </w:rPr>
      </w:pPr>
    </w:p>
    <w:p w14:paraId="3F7602E7">
      <w:pPr>
        <w:pStyle w:val="27"/>
        <w:widowControl w:val="0"/>
        <w:shd w:val="clear"/>
        <w:rPr>
          <w:rFonts w:hint="eastAsia" w:ascii="宋体" w:hAnsi="宋体" w:eastAsia="宋体" w:cs="宋体"/>
          <w:b/>
          <w:bCs/>
          <w:kern w:val="44"/>
          <w:sz w:val="24"/>
          <w:highlight w:val="none"/>
        </w:rPr>
      </w:pPr>
    </w:p>
    <w:p w14:paraId="676D4057">
      <w:pPr>
        <w:pStyle w:val="27"/>
        <w:widowControl w:val="0"/>
        <w:shd w:val="clear"/>
        <w:rPr>
          <w:rFonts w:hint="eastAsia" w:ascii="宋体" w:hAnsi="宋体" w:eastAsia="宋体" w:cs="宋体"/>
          <w:b/>
          <w:bCs/>
          <w:kern w:val="44"/>
          <w:sz w:val="24"/>
          <w:highlight w:val="none"/>
        </w:rPr>
      </w:pPr>
    </w:p>
    <w:p w14:paraId="444E6E3D">
      <w:pPr>
        <w:shd w:val="clear"/>
        <w:spacing w:line="360" w:lineRule="auto"/>
        <w:rPr>
          <w:rFonts w:hint="eastAsia" w:ascii="宋体" w:hAnsi="宋体" w:eastAsia="宋体" w:cs="宋体"/>
          <w:b/>
          <w:bCs/>
          <w:kern w:val="44"/>
          <w:sz w:val="24"/>
          <w:highlight w:val="none"/>
        </w:rPr>
      </w:pPr>
    </w:p>
    <w:p w14:paraId="43912E03">
      <w:pPr>
        <w:shd w:val="clear"/>
        <w:bidi w:val="0"/>
        <w:rPr>
          <w:rFonts w:hint="eastAsia" w:ascii="宋体" w:hAnsi="宋体" w:eastAsia="宋体" w:cs="宋体"/>
          <w:highlight w:val="none"/>
        </w:rPr>
      </w:pPr>
    </w:p>
    <w:p w14:paraId="5D6223B6">
      <w:pPr>
        <w:pStyle w:val="27"/>
        <w:widowControl w:val="0"/>
        <w:shd w:val="clear"/>
        <w:rPr>
          <w:rFonts w:hint="eastAsia" w:ascii="宋体" w:hAnsi="宋体" w:eastAsia="宋体" w:cs="宋体"/>
          <w:b/>
          <w:bCs/>
          <w:kern w:val="44"/>
          <w:sz w:val="24"/>
          <w:highlight w:val="none"/>
        </w:rPr>
      </w:pPr>
    </w:p>
    <w:p w14:paraId="2ECD82B5">
      <w:pPr>
        <w:shd w:val="clear"/>
        <w:rPr>
          <w:rFonts w:hint="eastAsia" w:ascii="宋体" w:hAnsi="宋体" w:eastAsia="宋体" w:cs="宋体"/>
          <w:b/>
          <w:bCs/>
          <w:kern w:val="44"/>
          <w:sz w:val="24"/>
          <w:highlight w:val="none"/>
        </w:rPr>
      </w:pPr>
    </w:p>
    <w:p w14:paraId="3A67FDBF">
      <w:pPr>
        <w:shd w:val="clear"/>
        <w:snapToGrid w:val="0"/>
        <w:spacing w:line="360" w:lineRule="auto"/>
        <w:jc w:val="center"/>
        <w:rPr>
          <w:rFonts w:hint="eastAsia" w:ascii="宋体" w:hAnsi="宋体" w:eastAsia="宋体" w:cs="宋体"/>
          <w:b/>
          <w:sz w:val="28"/>
          <w:szCs w:val="28"/>
          <w:highlight w:val="none"/>
        </w:rPr>
      </w:pPr>
    </w:p>
    <w:p w14:paraId="352F05B8">
      <w:pPr>
        <w:shd w:val="clear"/>
        <w:snapToGrid w:val="0"/>
        <w:spacing w:line="360" w:lineRule="auto"/>
        <w:jc w:val="center"/>
        <w:rPr>
          <w:rFonts w:hint="eastAsia" w:ascii="宋体" w:hAnsi="宋体" w:eastAsia="宋体" w:cs="宋体"/>
          <w:b/>
          <w:kern w:val="0"/>
          <w:sz w:val="36"/>
          <w:szCs w:val="36"/>
          <w:highlight w:val="none"/>
        </w:rPr>
      </w:pPr>
      <w:r>
        <w:rPr>
          <w:rFonts w:hint="eastAsia" w:ascii="宋体" w:hAnsi="宋体" w:eastAsia="宋体" w:cs="宋体"/>
          <w:b/>
          <w:sz w:val="28"/>
          <w:szCs w:val="28"/>
          <w:highlight w:val="none"/>
        </w:rPr>
        <w:t>商务、技术部分</w:t>
      </w:r>
    </w:p>
    <w:p w14:paraId="2F30518D">
      <w:pPr>
        <w:shd w:val="clear"/>
        <w:tabs>
          <w:tab w:val="left" w:pos="567"/>
        </w:tabs>
        <w:snapToGrid w:val="0"/>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1．法定代表人（负责人）身份证明书</w:t>
      </w:r>
    </w:p>
    <w:p w14:paraId="16C59B76">
      <w:pPr>
        <w:shd w:val="clear"/>
        <w:snapToGrid w:val="0"/>
        <w:spacing w:line="360" w:lineRule="auto"/>
        <w:ind w:left="562" w:hanging="561" w:hangingChars="200"/>
        <w:jc w:val="center"/>
        <w:rPr>
          <w:rFonts w:hint="eastAsia" w:ascii="宋体" w:hAnsi="宋体" w:eastAsia="宋体" w:cs="宋体"/>
          <w:b/>
          <w:kern w:val="0"/>
          <w:sz w:val="28"/>
          <w:szCs w:val="28"/>
          <w:highlight w:val="none"/>
        </w:rPr>
      </w:pPr>
    </w:p>
    <w:p w14:paraId="30FC471D">
      <w:pPr>
        <w:shd w:val="clear"/>
        <w:snapToGrid w:val="0"/>
        <w:spacing w:line="360" w:lineRule="auto"/>
        <w:ind w:left="562" w:hanging="561" w:hangingChars="2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法定代表人（负责人）身份证明书 </w:t>
      </w:r>
    </w:p>
    <w:p w14:paraId="3A2C0BD6">
      <w:pPr>
        <w:shd w:val="clear"/>
        <w:snapToGrid w:val="0"/>
        <w:spacing w:line="360" w:lineRule="auto"/>
        <w:ind w:firstLine="420" w:firstLineChars="200"/>
        <w:jc w:val="left"/>
        <w:rPr>
          <w:rFonts w:hint="eastAsia" w:ascii="宋体" w:hAnsi="宋体" w:eastAsia="宋体" w:cs="宋体"/>
          <w:kern w:val="0"/>
          <w:sz w:val="24"/>
          <w:highlight w:val="none"/>
        </w:rPr>
      </w:pPr>
      <w:r>
        <w:rPr>
          <w:rFonts w:hint="eastAsia" w:ascii="宋体" w:hAnsi="宋体" w:eastAsia="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1231900</wp:posOffset>
                </wp:positionH>
                <wp:positionV relativeFrom="paragraph">
                  <wp:posOffset>193675</wp:posOffset>
                </wp:positionV>
                <wp:extent cx="4114800"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25pt;height:0pt;width:324pt;z-index:251663360;mso-width-relative:page;mso-height-relative:page;" filled="f" stroked="t" coordsize="21600,21600" o:gfxdata="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p41T7V&#10;AAAACQEAAA8AAAAAAAAAAQAgAAAAIgAAAGRycy9kb3ducmV2LnhtbFBLAQIUABQAAAAIAIdO4kAL&#10;dlDK6gEAALo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kern w:val="0"/>
          <w:sz w:val="24"/>
          <w:highlight w:val="none"/>
        </w:rPr>
        <w:t>单位名称：</w:t>
      </w:r>
    </w:p>
    <w:p w14:paraId="7393B2A7">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201295</wp:posOffset>
                </wp:positionV>
                <wp:extent cx="4114800"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85pt;height:0pt;width:324pt;z-index:251660288;mso-width-relative:page;mso-height-relative:page;" filled="f" stroked="t" coordsize="21600,21600" o:gfxdata="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85yn&#10;1gAAAAkBAAAPAAAAAAAAAAEAIAAAACIAAABkcnMvZG93bnJldi54bWxQSwECFAAUAAAACACHTuJA&#10;XY57Pe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highlight w:val="none"/>
        </w:rPr>
        <w:t xml:space="preserve">    </w:t>
      </w:r>
      <w:r>
        <w:rPr>
          <w:rFonts w:hint="eastAsia" w:ascii="宋体" w:hAnsi="宋体" w:eastAsia="宋体" w:cs="宋体"/>
          <w:kern w:val="0"/>
          <w:sz w:val="24"/>
          <w:highlight w:val="none"/>
        </w:rPr>
        <w:t>单位性质：</w:t>
      </w:r>
    </w:p>
    <w:p w14:paraId="54A1EA6F">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1231900</wp:posOffset>
                </wp:positionH>
                <wp:positionV relativeFrom="paragraph">
                  <wp:posOffset>201295</wp:posOffset>
                </wp:positionV>
                <wp:extent cx="411480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85pt;height:0pt;width:324pt;z-index:251661312;mso-width-relative:page;mso-height-relative:page;" filled="f" stroked="t" coordsize="21600,21600" o:gfxdata="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WZe&#10;1gAAAAkBAAAPAAAAAAAAAAEAIAAAACIAAABkcnMvZG93bnJldi54bWxQSwECFAAUAAAACACHTuJA&#10;D/OnPu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highlight w:val="none"/>
        </w:rPr>
        <w:t xml:space="preserve">    </w:t>
      </w:r>
      <w:r>
        <w:rPr>
          <w:rFonts w:hint="eastAsia" w:ascii="宋体" w:hAnsi="宋体" w:eastAsia="宋体" w:cs="宋体"/>
          <w:kern w:val="0"/>
          <w:sz w:val="24"/>
          <w:highlight w:val="none"/>
        </w:rPr>
        <w:t>地    址：</w:t>
      </w:r>
    </w:p>
    <w:p w14:paraId="6DD5DF6B">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203200</wp:posOffset>
                </wp:positionV>
                <wp:extent cx="411480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6pt;height:0pt;width:324pt;z-index:251662336;mso-width-relative:page;mso-height-relative:page;" filled="f" stroked="t" coordsize="21600,21600" o:gfxdata="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SnaRNQA&#10;AAAJAQAADwAAAAAAAAABACAAAAAiAAAAZHJzL2Rvd25yZXYueG1sUEsBAhQAFAAAAAgAh07iQKnq&#10;nHrqAQAAuAMAAA4AAAAAAAAAAQAgAAAAIw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highlight w:val="none"/>
        </w:rPr>
        <w:t xml:space="preserve">    </w:t>
      </w:r>
      <w:r>
        <w:rPr>
          <w:rFonts w:hint="eastAsia" w:ascii="宋体" w:hAnsi="宋体" w:eastAsia="宋体" w:cs="宋体"/>
          <w:kern w:val="0"/>
          <w:sz w:val="24"/>
          <w:highlight w:val="none"/>
        </w:rPr>
        <w:t>成立时间：               年    月    日</w:t>
      </w:r>
    </w:p>
    <w:p w14:paraId="49D639DF">
      <w:pPr>
        <w:shd w:val="clear"/>
        <w:snapToGrid w:val="0"/>
        <w:spacing w:line="360" w:lineRule="auto"/>
        <w:jc w:val="left"/>
        <w:rPr>
          <w:rFonts w:hint="eastAsia" w:ascii="宋体" w:hAnsi="宋体" w:eastAsia="宋体" w:cs="宋体"/>
          <w:kern w:val="0"/>
          <w:sz w:val="24"/>
          <w:highlight w:val="none"/>
          <w:u w:val="single"/>
        </w:rPr>
      </w:pPr>
      <w:r>
        <w:rPr>
          <w:rFonts w:hint="eastAsia" w:ascii="宋体" w:hAnsi="宋体" w:eastAsia="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193040</wp:posOffset>
                </wp:positionV>
                <wp:extent cx="411480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2pt;height:0pt;width:324pt;z-index:251664384;mso-width-relative:page;mso-height-relative:page;" filled="f" stroked="t" coordsize="21600,21600" o:gfxdata="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yK9hdUA&#10;AAAJAQAADwAAAAAAAAABACAAAAAiAAAAZHJzL2Rvd25yZXYueG1sUEsBAhQAFAAAAAgAh07iQGln&#10;BzHpAQAAu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highlight w:val="none"/>
        </w:rPr>
        <w:t xml:space="preserve">    </w:t>
      </w:r>
      <w:r>
        <w:rPr>
          <w:rFonts w:hint="eastAsia" w:ascii="宋体" w:hAnsi="宋体" w:eastAsia="宋体" w:cs="宋体"/>
          <w:kern w:val="0"/>
          <w:sz w:val="24"/>
          <w:highlight w:val="none"/>
        </w:rPr>
        <w:t>经营期限：</w:t>
      </w:r>
    </w:p>
    <w:p w14:paraId="560260BC">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姓    名：              性  别：         </w:t>
      </w:r>
    </w:p>
    <w:p w14:paraId="4050789B">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highlight w:val="none"/>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185420</wp:posOffset>
                </wp:positionV>
                <wp:extent cx="4114800" cy="0"/>
                <wp:effectExtent l="0" t="4445" r="0" b="508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4.6pt;height:0pt;width:324pt;z-index:251665408;mso-width-relative:page;mso-height-relative:page;" filled="f" stroked="t" coordsize="21600,21600" o:gfxdata="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H3GWfV&#10;AAAACQEAAA8AAAAAAAAAAQAgAAAAIgAAAGRycy9kb3ducmV2LnhtbFBLAQIUABQAAAAIAIdO4kDm&#10;gHb/6gEAALo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kern w:val="0"/>
          <w:sz w:val="24"/>
          <w:highlight w:val="none"/>
        </w:rPr>
        <w:t xml:space="preserve">    年    龄：              职  务： </w:t>
      </w:r>
    </w:p>
    <w:p w14:paraId="2A2454C1">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206375</wp:posOffset>
                </wp:positionV>
                <wp:extent cx="2400300"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5pt;margin-top:16.25pt;height:0pt;width:189pt;z-index:251659264;mso-width-relative:page;mso-height-relative:page;" filled="f" stroked="t" coordsize="21600,21600" o:gfxdata="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bOCm1QAA&#10;AAgBAAAPAAAAAAAAAAEAIAAAACIAAABkcnMvZG93bnJldi54bWxQSwECFAAUAAAACACHTuJAAq/2&#10;sugBAAC4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kern w:val="0"/>
          <w:sz w:val="24"/>
          <w:highlight w:val="none"/>
        </w:rPr>
        <w:t xml:space="preserve">    系       （投标人名称）          的法定代表人。</w:t>
      </w:r>
    </w:p>
    <w:p w14:paraId="08460B8C">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60C81D42">
      <w:pPr>
        <w:shd w:val="clear"/>
        <w:snapToGrid w:val="0"/>
        <w:spacing w:line="360" w:lineRule="auto"/>
        <w:ind w:firstLine="960" w:firstLineChars="4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特此证明。</w:t>
      </w:r>
    </w:p>
    <w:p w14:paraId="14A8E6D7">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2ACFE760">
      <w:pPr>
        <w:shd w:val="clear"/>
        <w:tabs>
          <w:tab w:val="left" w:pos="4000"/>
        </w:tabs>
        <w:snapToGrid w:val="0"/>
        <w:spacing w:line="480" w:lineRule="auto"/>
        <w:ind w:firstLine="2880" w:firstLineChars="1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（盖章）</w:t>
      </w:r>
    </w:p>
    <w:p w14:paraId="33533C4B">
      <w:pPr>
        <w:shd w:val="clear"/>
        <w:snapToGrid w:val="0"/>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rPr>
        <w:t>法定代表人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14:paraId="37363AE7">
      <w:pPr>
        <w:shd w:val="clear"/>
        <w:tabs>
          <w:tab w:val="left" w:pos="4000"/>
        </w:tabs>
        <w:snapToGrid w:val="0"/>
        <w:spacing w:line="480" w:lineRule="auto"/>
        <w:ind w:firstLine="2880" w:firstLineChars="1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日      期：</w:t>
      </w:r>
    </w:p>
    <w:p w14:paraId="0A3816F7">
      <w:pPr>
        <w:shd w:val="clear"/>
        <w:spacing w:line="360" w:lineRule="auto"/>
        <w:rPr>
          <w:rFonts w:hint="eastAsia" w:ascii="宋体" w:hAnsi="宋体" w:eastAsia="宋体" w:cs="宋体"/>
          <w:sz w:val="24"/>
          <w:highlight w:val="none"/>
        </w:rPr>
      </w:pPr>
      <w:r>
        <w:rPr>
          <w:rFonts w:hint="eastAsia" w:ascii="宋体" w:hAnsi="宋体" w:eastAsia="宋体" w:cs="宋体"/>
          <w:color w:val="000000"/>
          <w:kern w:val="0"/>
          <w:sz w:val="24"/>
          <w:highlight w:val="none"/>
        </w:rPr>
        <w:t>附法定代表人（负责人）身份证明正反面扫描件或影印件</w:t>
      </w:r>
      <w:r>
        <w:rPr>
          <w:rFonts w:hint="eastAsia" w:ascii="宋体" w:hAnsi="宋体" w:eastAsia="宋体" w:cs="宋体"/>
          <w:kern w:val="0"/>
          <w:sz w:val="24"/>
          <w:highlight w:val="none"/>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3653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9" w:hRule="atLeast"/>
        </w:trPr>
        <w:tc>
          <w:tcPr>
            <w:tcW w:w="4615" w:type="dxa"/>
          </w:tcPr>
          <w:p w14:paraId="79BC36A1">
            <w:pPr>
              <w:shd w:val="clear"/>
              <w:spacing w:line="360" w:lineRule="auto"/>
              <w:rPr>
                <w:rFonts w:hint="eastAsia" w:ascii="宋体" w:hAnsi="宋体" w:eastAsia="宋体" w:cs="宋体"/>
                <w:sz w:val="24"/>
                <w:highlight w:val="none"/>
              </w:rPr>
            </w:pPr>
          </w:p>
        </w:tc>
        <w:tc>
          <w:tcPr>
            <w:tcW w:w="4615" w:type="dxa"/>
          </w:tcPr>
          <w:p w14:paraId="26CC6B0A">
            <w:pPr>
              <w:shd w:val="clear"/>
              <w:spacing w:line="360" w:lineRule="auto"/>
              <w:rPr>
                <w:rFonts w:hint="eastAsia" w:ascii="宋体" w:hAnsi="宋体" w:eastAsia="宋体" w:cs="宋体"/>
                <w:sz w:val="24"/>
                <w:highlight w:val="none"/>
              </w:rPr>
            </w:pPr>
          </w:p>
        </w:tc>
      </w:tr>
    </w:tbl>
    <w:p w14:paraId="70F7C644">
      <w:pPr>
        <w:shd w:val="clear"/>
        <w:snapToGrid w:val="0"/>
        <w:spacing w:line="360" w:lineRule="auto"/>
        <w:rPr>
          <w:rFonts w:hint="eastAsia" w:ascii="宋体" w:hAnsi="宋体" w:eastAsia="宋体" w:cs="宋体"/>
          <w:sz w:val="24"/>
          <w:highlight w:val="none"/>
        </w:rPr>
      </w:pPr>
    </w:p>
    <w:p w14:paraId="1BD2C271">
      <w:pPr>
        <w:shd w:val="clea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b/>
          <w:kern w:val="0"/>
          <w:sz w:val="24"/>
          <w:highlight w:val="none"/>
        </w:rPr>
        <w:t>2．法定代表人（负责人）授权委托书</w:t>
      </w:r>
    </w:p>
    <w:p w14:paraId="36E40F75">
      <w:pPr>
        <w:shd w:val="clear"/>
        <w:snapToGrid w:val="0"/>
        <w:spacing w:line="360" w:lineRule="auto"/>
        <w:ind w:left="562" w:hanging="561" w:hangingChars="2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法定代表人（负责人）授权委托书</w:t>
      </w:r>
    </w:p>
    <w:p w14:paraId="7DB0395E">
      <w:pPr>
        <w:shd w:val="clear"/>
        <w:snapToGrid w:val="0"/>
        <w:spacing w:line="360" w:lineRule="auto"/>
        <w:jc w:val="left"/>
        <w:rPr>
          <w:rFonts w:hint="eastAsia" w:ascii="宋体" w:hAnsi="宋体" w:eastAsia="宋体" w:cs="宋体"/>
          <w:kern w:val="0"/>
          <w:sz w:val="28"/>
          <w:szCs w:val="21"/>
          <w:highlight w:val="none"/>
        </w:rPr>
      </w:pPr>
    </w:p>
    <w:p w14:paraId="3A365582">
      <w:pPr>
        <w:shd w:val="clear"/>
        <w:snapToGrid w:val="0"/>
        <w:spacing w:line="48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u w:val="single"/>
        </w:rPr>
        <w:t>采购代理机构名称</w:t>
      </w:r>
      <w:r>
        <w:rPr>
          <w:rFonts w:hint="eastAsia" w:ascii="宋体" w:hAnsi="宋体" w:eastAsia="宋体" w:cs="宋体"/>
          <w:kern w:val="0"/>
          <w:sz w:val="24"/>
          <w:highlight w:val="none"/>
        </w:rPr>
        <w:t>：</w:t>
      </w:r>
    </w:p>
    <w:p w14:paraId="667A51A5">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本授权书声明：注册于</w:t>
      </w:r>
      <w:r>
        <w:rPr>
          <w:rFonts w:hint="eastAsia" w:ascii="宋体" w:hAnsi="宋体" w:eastAsia="宋体" w:cs="宋体"/>
          <w:kern w:val="0"/>
          <w:sz w:val="24"/>
          <w:highlight w:val="none"/>
          <w:u w:val="single"/>
        </w:rPr>
        <w:t xml:space="preserve">             （投标人住址）</w:t>
      </w:r>
      <w:r>
        <w:rPr>
          <w:rFonts w:hint="eastAsia" w:ascii="宋体" w:hAnsi="宋体" w:eastAsia="宋体" w:cs="宋体"/>
          <w:kern w:val="0"/>
          <w:sz w:val="24"/>
          <w:highlight w:val="none"/>
        </w:rPr>
        <w:t>的</w:t>
      </w:r>
      <w:r>
        <w:rPr>
          <w:rFonts w:hint="eastAsia" w:ascii="宋体" w:hAnsi="宋体" w:eastAsia="宋体" w:cs="宋体"/>
          <w:kern w:val="0"/>
          <w:sz w:val="24"/>
          <w:highlight w:val="none"/>
          <w:u w:val="single"/>
        </w:rPr>
        <w:t xml:space="preserve">               （投标人名称）</w:t>
      </w:r>
      <w:r>
        <w:rPr>
          <w:rFonts w:hint="eastAsia" w:ascii="宋体" w:hAnsi="宋体" w:eastAsia="宋体" w:cs="宋体"/>
          <w:kern w:val="0"/>
          <w:sz w:val="24"/>
          <w:highlight w:val="none"/>
        </w:rPr>
        <w:t>法定代表人</w:t>
      </w:r>
      <w:r>
        <w:rPr>
          <w:rFonts w:hint="eastAsia" w:ascii="宋体" w:hAnsi="宋体" w:eastAsia="宋体" w:cs="宋体"/>
          <w:kern w:val="0"/>
          <w:sz w:val="24"/>
          <w:highlight w:val="none"/>
          <w:u w:val="single"/>
        </w:rPr>
        <w:t xml:space="preserve">        （法定代表人或负责人姓名、职务）</w:t>
      </w:r>
      <w:r>
        <w:rPr>
          <w:rFonts w:hint="eastAsia" w:ascii="宋体" w:hAnsi="宋体" w:eastAsia="宋体" w:cs="宋体"/>
          <w:kern w:val="0"/>
          <w:sz w:val="24"/>
          <w:highlight w:val="none"/>
        </w:rPr>
        <w:t>代表本公司授权</w:t>
      </w:r>
      <w:r>
        <w:rPr>
          <w:rFonts w:hint="eastAsia" w:ascii="宋体" w:hAnsi="宋体" w:eastAsia="宋体" w:cs="宋体"/>
          <w:kern w:val="0"/>
          <w:sz w:val="24"/>
          <w:highlight w:val="none"/>
          <w:u w:val="single"/>
        </w:rPr>
        <w:t xml:space="preserve">     （被授权人姓名、职务）</w:t>
      </w:r>
      <w:r>
        <w:rPr>
          <w:rFonts w:hint="eastAsia" w:ascii="宋体" w:hAnsi="宋体" w:eastAsia="宋体" w:cs="宋体"/>
          <w:kern w:val="0"/>
          <w:sz w:val="24"/>
          <w:highlight w:val="none"/>
        </w:rPr>
        <w:t>为本公司的合法代理人，就贵方组织的</w:t>
      </w:r>
      <w:r>
        <w:rPr>
          <w:rFonts w:hint="eastAsia" w:ascii="宋体" w:hAnsi="宋体" w:eastAsia="宋体" w:cs="宋体"/>
          <w:kern w:val="0"/>
          <w:sz w:val="24"/>
          <w:highlight w:val="none"/>
          <w:u w:val="single"/>
        </w:rPr>
        <w:t xml:space="preserve">             项目</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项目编号：                     </w:t>
      </w:r>
      <w:r>
        <w:rPr>
          <w:rFonts w:hint="eastAsia" w:ascii="宋体" w:hAnsi="宋体" w:eastAsia="宋体" w:cs="宋体"/>
          <w:kern w:val="0"/>
          <w:sz w:val="24"/>
          <w:highlight w:val="none"/>
        </w:rPr>
        <w:t>，以本公司名义处理一切与之有关的事务。</w:t>
      </w:r>
    </w:p>
    <w:p w14:paraId="060E4EA4">
      <w:pPr>
        <w:shd w:val="clear"/>
        <w:snapToGrid w:val="0"/>
        <w:spacing w:line="360" w:lineRule="auto"/>
        <w:ind w:firstLine="480"/>
        <w:jc w:val="left"/>
        <w:rPr>
          <w:rFonts w:hint="eastAsia" w:ascii="宋体" w:hAnsi="宋体" w:eastAsia="宋体" w:cs="宋体"/>
          <w:kern w:val="0"/>
          <w:sz w:val="24"/>
          <w:highlight w:val="none"/>
        </w:rPr>
      </w:pPr>
    </w:p>
    <w:p w14:paraId="56733400">
      <w:pPr>
        <w:shd w:val="clear"/>
        <w:snapToGrid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本授权书于    年  月  日起生效。</w:t>
      </w:r>
    </w:p>
    <w:p w14:paraId="635FE9F9">
      <w:pPr>
        <w:shd w:val="clear"/>
        <w:snapToGrid w:val="0"/>
        <w:spacing w:line="360" w:lineRule="auto"/>
        <w:ind w:firstLine="480"/>
        <w:jc w:val="left"/>
        <w:rPr>
          <w:rFonts w:hint="eastAsia" w:ascii="宋体" w:hAnsi="宋体" w:eastAsia="宋体" w:cs="宋体"/>
          <w:kern w:val="0"/>
          <w:sz w:val="24"/>
          <w:highlight w:val="none"/>
        </w:rPr>
      </w:pPr>
    </w:p>
    <w:p w14:paraId="2B2F1BFA">
      <w:pPr>
        <w:shd w:val="clear"/>
        <w:snapToGrid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特此声明</w:t>
      </w:r>
    </w:p>
    <w:p w14:paraId="057B4DC5">
      <w:pPr>
        <w:shd w:val="clear"/>
        <w:snapToGrid w:val="0"/>
        <w:spacing w:line="360" w:lineRule="auto"/>
        <w:rPr>
          <w:rFonts w:hint="eastAsia" w:ascii="宋体" w:hAnsi="宋体" w:eastAsia="宋体" w:cs="宋体"/>
          <w:kern w:val="0"/>
          <w:sz w:val="24"/>
          <w:highlight w:val="none"/>
        </w:rPr>
      </w:pPr>
    </w:p>
    <w:p w14:paraId="27E2970C">
      <w:pPr>
        <w:shd w:val="clear"/>
        <w:snapToGrid w:val="0"/>
        <w:spacing w:line="480" w:lineRule="auto"/>
        <w:ind w:firstLine="3684" w:firstLineChars="1535"/>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（盖章）</w:t>
      </w:r>
    </w:p>
    <w:p w14:paraId="165E1BEF">
      <w:pPr>
        <w:shd w:val="clear"/>
        <w:snapToGrid w:val="0"/>
        <w:spacing w:line="48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法定代表人：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（签字或盖章）</w:t>
      </w:r>
    </w:p>
    <w:p w14:paraId="329BB958">
      <w:pPr>
        <w:shd w:val="clear"/>
        <w:snapToGrid w:val="0"/>
        <w:spacing w:line="48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被授权人代表：</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（签字或盖章）</w:t>
      </w:r>
    </w:p>
    <w:p w14:paraId="43CDD032">
      <w:pPr>
        <w:shd w:val="clear"/>
        <w:tabs>
          <w:tab w:val="left" w:pos="730"/>
        </w:tabs>
        <w:snapToGrid w:val="0"/>
        <w:spacing w:line="360" w:lineRule="auto"/>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附法定代表人（负责人）身份证明</w:t>
      </w:r>
      <w:r>
        <w:rPr>
          <w:rFonts w:hint="eastAsia" w:ascii="宋体" w:hAnsi="宋体" w:eastAsia="宋体" w:cs="宋体"/>
          <w:color w:val="000000"/>
          <w:kern w:val="0"/>
          <w:sz w:val="24"/>
          <w:highlight w:val="none"/>
          <w:lang w:val="en-US" w:eastAsia="zh-CN"/>
        </w:rPr>
        <w:t>和被授权人</w:t>
      </w:r>
      <w:r>
        <w:rPr>
          <w:rFonts w:hint="eastAsia" w:ascii="宋体" w:hAnsi="宋体" w:eastAsia="宋体" w:cs="宋体"/>
          <w:color w:val="000000"/>
          <w:kern w:val="0"/>
          <w:sz w:val="24"/>
          <w:highlight w:val="none"/>
        </w:rPr>
        <w:t>正反面扫描件或影印件</w:t>
      </w:r>
      <w:r>
        <w:rPr>
          <w:rFonts w:hint="eastAsia" w:ascii="宋体" w:hAnsi="宋体" w:eastAsia="宋体" w:cs="宋体"/>
          <w:kern w:val="0"/>
          <w:sz w:val="24"/>
          <w:highlight w:val="none"/>
        </w:rPr>
        <w:t>。</w:t>
      </w:r>
    </w:p>
    <w:tbl>
      <w:tblPr>
        <w:tblStyle w:val="31"/>
        <w:tblW w:w="8000"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2"/>
        <w:gridCol w:w="4108"/>
      </w:tblGrid>
      <w:tr w14:paraId="60DB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1" w:hRule="atLeast"/>
        </w:trPr>
        <w:tc>
          <w:tcPr>
            <w:tcW w:w="3892" w:type="dxa"/>
          </w:tcPr>
          <w:p w14:paraId="3C3802D5">
            <w:pPr>
              <w:shd w:val="clear"/>
              <w:spacing w:line="360" w:lineRule="auto"/>
              <w:rPr>
                <w:rFonts w:hint="eastAsia" w:ascii="宋体" w:hAnsi="宋体" w:eastAsia="宋体" w:cs="宋体"/>
                <w:sz w:val="24"/>
                <w:highlight w:val="none"/>
              </w:rPr>
            </w:pPr>
          </w:p>
        </w:tc>
        <w:tc>
          <w:tcPr>
            <w:tcW w:w="4108" w:type="dxa"/>
          </w:tcPr>
          <w:p w14:paraId="2A027973">
            <w:pPr>
              <w:shd w:val="clear"/>
              <w:spacing w:line="360" w:lineRule="auto"/>
              <w:rPr>
                <w:rFonts w:hint="eastAsia" w:ascii="宋体" w:hAnsi="宋体" w:eastAsia="宋体" w:cs="宋体"/>
                <w:sz w:val="24"/>
                <w:highlight w:val="none"/>
              </w:rPr>
            </w:pPr>
          </w:p>
        </w:tc>
      </w:tr>
      <w:tr w14:paraId="61C8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trPr>
        <w:tc>
          <w:tcPr>
            <w:tcW w:w="3892" w:type="dxa"/>
          </w:tcPr>
          <w:p w14:paraId="3D4C3008">
            <w:pPr>
              <w:shd w:val="clear"/>
              <w:spacing w:line="360" w:lineRule="auto"/>
              <w:rPr>
                <w:rFonts w:hint="eastAsia" w:ascii="宋体" w:hAnsi="宋体" w:eastAsia="宋体" w:cs="宋体"/>
                <w:sz w:val="24"/>
                <w:highlight w:val="none"/>
              </w:rPr>
            </w:pPr>
          </w:p>
        </w:tc>
        <w:tc>
          <w:tcPr>
            <w:tcW w:w="4108" w:type="dxa"/>
          </w:tcPr>
          <w:p w14:paraId="4DBE4F36">
            <w:pPr>
              <w:shd w:val="clear"/>
              <w:spacing w:line="360" w:lineRule="auto"/>
              <w:rPr>
                <w:rFonts w:hint="eastAsia" w:ascii="宋体" w:hAnsi="宋体" w:eastAsia="宋体" w:cs="宋体"/>
                <w:sz w:val="24"/>
                <w:highlight w:val="none"/>
              </w:rPr>
            </w:pPr>
          </w:p>
        </w:tc>
      </w:tr>
    </w:tbl>
    <w:p w14:paraId="2577DF3D">
      <w:pPr>
        <w:shd w:val="clear"/>
        <w:snapToGrid w:val="0"/>
        <w:spacing w:line="360" w:lineRule="auto"/>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w:t>
      </w:r>
    </w:p>
    <w:p w14:paraId="112D8958">
      <w:pPr>
        <w:shd w:val="clear"/>
        <w:snapToGrid w:val="0"/>
        <w:spacing w:line="360" w:lineRule="auto"/>
        <w:ind w:firstLine="480"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1. 除可填报项目外，对本法定代表人授权委托书内容的任何修改将被视为未实质性响应，从而导致该投标文件被拒绝； </w:t>
      </w:r>
    </w:p>
    <w:p w14:paraId="6C45813C">
      <w:pPr>
        <w:shd w:val="clear"/>
        <w:tabs>
          <w:tab w:val="left" w:pos="567"/>
        </w:tabs>
        <w:snapToGrid w:val="0"/>
        <w:spacing w:line="360" w:lineRule="auto"/>
        <w:ind w:firstLine="480" w:firstLineChars="200"/>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2. 若投标人授权代表为法定代表人（负责人）的可不提供。</w:t>
      </w:r>
    </w:p>
    <w:p w14:paraId="1C271E1F">
      <w:pPr>
        <w:shd w:val="clear"/>
        <w:tabs>
          <w:tab w:val="left" w:pos="567"/>
        </w:tabs>
        <w:snapToGrid w:val="0"/>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br w:type="page"/>
      </w:r>
      <w:r>
        <w:rPr>
          <w:rFonts w:hint="eastAsia" w:ascii="宋体" w:hAnsi="宋体" w:eastAsia="宋体" w:cs="宋体"/>
          <w:b/>
          <w:kern w:val="0"/>
          <w:sz w:val="24"/>
          <w:highlight w:val="none"/>
        </w:rPr>
        <w:t>3．投标函</w:t>
      </w:r>
    </w:p>
    <w:p w14:paraId="27CED15F">
      <w:pPr>
        <w:shd w:val="clear"/>
        <w:spacing w:line="480" w:lineRule="exact"/>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投  标  函</w:t>
      </w:r>
    </w:p>
    <w:p w14:paraId="22749E08">
      <w:pPr>
        <w:shd w:val="clear"/>
        <w:tabs>
          <w:tab w:val="left" w:pos="4860"/>
        </w:tabs>
        <w:snapToGrid w:val="0"/>
        <w:spacing w:line="360" w:lineRule="auto"/>
        <w:rPr>
          <w:rFonts w:hint="eastAsia" w:ascii="宋体" w:hAnsi="宋体" w:eastAsia="宋体" w:cs="宋体"/>
          <w:kern w:val="0"/>
          <w:sz w:val="24"/>
          <w:highlight w:val="none"/>
          <w:u w:val="single"/>
        </w:rPr>
      </w:pPr>
    </w:p>
    <w:p w14:paraId="49257E38">
      <w:pPr>
        <w:shd w:val="clear"/>
        <w:snapToGrid w:val="0"/>
        <w:spacing w:line="48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u w:val="single"/>
        </w:rPr>
        <w:t>采购代理机构名称</w:t>
      </w:r>
      <w:r>
        <w:rPr>
          <w:rFonts w:hint="eastAsia" w:ascii="宋体" w:hAnsi="宋体" w:eastAsia="宋体" w:cs="宋体"/>
          <w:kern w:val="0"/>
          <w:sz w:val="24"/>
          <w:highlight w:val="none"/>
        </w:rPr>
        <w:t>：</w:t>
      </w:r>
    </w:p>
    <w:p w14:paraId="1AB9508B">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u w:val="single"/>
        </w:rPr>
        <w:t xml:space="preserve">                           （投标人全称）</w:t>
      </w:r>
      <w:r>
        <w:rPr>
          <w:rFonts w:hint="eastAsia" w:ascii="宋体" w:hAnsi="宋体" w:eastAsia="宋体" w:cs="宋体"/>
          <w:kern w:val="0"/>
          <w:sz w:val="24"/>
          <w:highlight w:val="none"/>
        </w:rPr>
        <w:t>授权</w:t>
      </w:r>
      <w:r>
        <w:rPr>
          <w:rFonts w:hint="eastAsia" w:ascii="宋体" w:hAnsi="宋体" w:eastAsia="宋体" w:cs="宋体"/>
          <w:kern w:val="0"/>
          <w:sz w:val="24"/>
          <w:highlight w:val="none"/>
          <w:u w:val="single"/>
        </w:rPr>
        <w:t xml:space="preserve">            （投标人授权代表姓名、职务)</w:t>
      </w:r>
      <w:r>
        <w:rPr>
          <w:rFonts w:hint="eastAsia" w:ascii="宋体" w:hAnsi="宋体" w:eastAsia="宋体" w:cs="宋体"/>
          <w:kern w:val="0"/>
          <w:sz w:val="24"/>
          <w:highlight w:val="none"/>
        </w:rPr>
        <w:t>为我方代表，参加贵方组织的</w:t>
      </w:r>
      <w:r>
        <w:rPr>
          <w:rFonts w:hint="eastAsia" w:ascii="宋体" w:hAnsi="宋体" w:eastAsia="宋体" w:cs="宋体"/>
          <w:kern w:val="0"/>
          <w:sz w:val="24"/>
          <w:highlight w:val="none"/>
          <w:u w:val="single"/>
        </w:rPr>
        <w:t xml:space="preserve">                 （项目名称）</w:t>
      </w:r>
      <w:r>
        <w:rPr>
          <w:rFonts w:hint="eastAsia" w:ascii="宋体" w:hAnsi="宋体" w:eastAsia="宋体" w:cs="宋体"/>
          <w:kern w:val="0"/>
          <w:sz w:val="24"/>
          <w:highlight w:val="none"/>
        </w:rPr>
        <w:t xml:space="preserve"> </w:t>
      </w:r>
    </w:p>
    <w:p w14:paraId="61CA98D3">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u w:val="single"/>
        </w:rPr>
        <w:t xml:space="preserve">（项目编号）       </w:t>
      </w:r>
      <w:r>
        <w:rPr>
          <w:rFonts w:hint="eastAsia" w:ascii="宋体" w:hAnsi="宋体" w:eastAsia="宋体" w:cs="宋体"/>
          <w:kern w:val="0"/>
          <w:sz w:val="24"/>
          <w:highlight w:val="none"/>
        </w:rPr>
        <w:t>投标的有关活动，并对此项目进行报价。为此：</w:t>
      </w:r>
    </w:p>
    <w:p w14:paraId="087CB2FA">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1．我方同意在本项目投标文件中规定的投标文件提交截止之日起90个日历天内遵守本投标文件中的承诺且在此期限期满之前均具有约束力。</w:t>
      </w:r>
    </w:p>
    <w:p w14:paraId="6FDF598D">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2．我方承诺已经具备本项目中规定的参加采购活动的投标人应当具备的全部条件。</w:t>
      </w:r>
    </w:p>
    <w:p w14:paraId="4849CA97">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3．提供投标人须知规定的全部投标文件。</w:t>
      </w:r>
    </w:p>
    <w:p w14:paraId="04FE43EE">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4．按投标文件要求提供和交付的货物和服务的报价详见报价一览表。</w:t>
      </w:r>
    </w:p>
    <w:p w14:paraId="47EE30DA">
      <w:pPr>
        <w:shd w:val="clear"/>
        <w:tabs>
          <w:tab w:val="left" w:pos="1680"/>
        </w:tabs>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5．保证忠实地执行双方所签订的合同，并承担合同规定的责任和义务。</w:t>
      </w:r>
    </w:p>
    <w:p w14:paraId="0E1461EA">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6．承诺完全满足和响应招标文件中的各项商务和技术要求，若有偏差，已在投标文件商务和技术条款偏离表中予以明确特别说明。</w:t>
      </w:r>
    </w:p>
    <w:p w14:paraId="7F6D5E52">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7．保证遵守招标文件的规定。</w:t>
      </w:r>
    </w:p>
    <w:p w14:paraId="27EC1A47">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8．如果在规定的投标文件有效期内撤回投标文件，我方的投标保证金可被贵方没收。</w:t>
      </w:r>
    </w:p>
    <w:p w14:paraId="71807219">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9．我方完全理解贵方不接受可选择性报价。</w:t>
      </w:r>
    </w:p>
    <w:p w14:paraId="79E244B9">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10．我方愿意向贵方提供任何与本项投标有关的数据、情况和技术资料。若贵方需要，我方愿意提供我方做出的一切承诺的证明材料。</w:t>
      </w:r>
    </w:p>
    <w:p w14:paraId="6C98C398">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11．我方已详细审核全部投标文件，包括投标文件修改书（如有的话）、参考资料及有关附件，确认无误。</w:t>
      </w:r>
    </w:p>
    <w:p w14:paraId="5259AE9B">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12．我方承诺：采购人若需追加采购本项目投标文件所列货物及相关服务的，在不改变合同其他实质性条款的前提下，按相同或更优惠的折扣并保证供货质量。</w:t>
      </w:r>
    </w:p>
    <w:p w14:paraId="2217BB67">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13．我方承诺接受招标文件中《采购合同范本》的全部条款且无任何异议。</w:t>
      </w:r>
    </w:p>
    <w:p w14:paraId="758FD5D3">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14．我方将严格遵守本项目的有关规定，若有下列情形之一的，将接受采购人的处罚，在1至三年内禁止参加采购人非政府采购项目的采购活动。情节严重的，有采购人上报上级部门进行处理：</w:t>
      </w:r>
    </w:p>
    <w:p w14:paraId="5E24269C">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（1）提供虚假材料谋取</w:t>
      </w:r>
      <w:r>
        <w:rPr>
          <w:rFonts w:hint="eastAsia" w:ascii="宋体" w:hAnsi="宋体" w:eastAsia="宋体" w:cs="宋体"/>
          <w:kern w:val="0"/>
          <w:sz w:val="24"/>
          <w:highlight w:val="none"/>
          <w:lang w:val="en-US" w:eastAsia="zh-CN"/>
        </w:rPr>
        <w:t>中标</w:t>
      </w:r>
      <w:r>
        <w:rPr>
          <w:rFonts w:hint="eastAsia" w:ascii="宋体" w:hAnsi="宋体" w:eastAsia="宋体" w:cs="宋体"/>
          <w:kern w:val="0"/>
          <w:sz w:val="24"/>
          <w:highlight w:val="none"/>
        </w:rPr>
        <w:t>的；</w:t>
      </w:r>
    </w:p>
    <w:p w14:paraId="00285D42">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（2）采取不正当手段诋毁、排挤其他投标人的；</w:t>
      </w:r>
    </w:p>
    <w:p w14:paraId="14A85CAC">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（3）与采购人、其它投标人或者采购代理机构工作人员恶意串通的；</w:t>
      </w:r>
    </w:p>
    <w:p w14:paraId="4039BC50">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（4）向采购人、采购代理机构工作人员行贿或者提供其他不正当利益的；</w:t>
      </w:r>
    </w:p>
    <w:p w14:paraId="088FAA01">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（5）投标文件提交截止时间后撤回投标文件的；</w:t>
      </w:r>
    </w:p>
    <w:p w14:paraId="3E8A8035">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（6）在投标期间，影响采购代理机构或评标委员会正常履行职责的；</w:t>
      </w:r>
    </w:p>
    <w:p w14:paraId="0A27837A">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（7）未经采购代理机构同意，在采购过程中与采购人进行协商投标的；</w:t>
      </w:r>
    </w:p>
    <w:p w14:paraId="1A872CA2">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（8）</w:t>
      </w:r>
      <w:r>
        <w:rPr>
          <w:rFonts w:hint="eastAsia" w:ascii="宋体" w:hAnsi="宋体" w:eastAsia="宋体" w:cs="宋体"/>
          <w:kern w:val="0"/>
          <w:sz w:val="24"/>
          <w:highlight w:val="none"/>
          <w:lang w:val="en-US" w:eastAsia="zh-CN"/>
        </w:rPr>
        <w:t>中标</w:t>
      </w:r>
      <w:r>
        <w:rPr>
          <w:rFonts w:hint="eastAsia" w:ascii="宋体" w:hAnsi="宋体" w:eastAsia="宋体" w:cs="宋体"/>
          <w:kern w:val="0"/>
          <w:sz w:val="24"/>
          <w:highlight w:val="none"/>
        </w:rPr>
        <w:t>后未按招标文件、投标文件及相关承诺规定签约或与采购人订立背离合同实质性内容的其它协议的；</w:t>
      </w:r>
    </w:p>
    <w:p w14:paraId="4907238A">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（9）未按招标文件规定和合同约定履行义务的；</w:t>
      </w:r>
    </w:p>
    <w:p w14:paraId="0F6F4074">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（10）拒绝有关部门监督检查或提供虚假情况的；</w:t>
      </w:r>
    </w:p>
    <w:p w14:paraId="75C71E8F">
      <w:pPr>
        <w:shd w:val="clea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（11）违犯采购人规定的其他行为。</w:t>
      </w:r>
    </w:p>
    <w:p w14:paraId="26E61D8A">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所有有关本投标项目的一切往来联系方式为：</w:t>
      </w:r>
    </w:p>
    <w:p w14:paraId="0BF9F8DA">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地址：</w:t>
      </w:r>
      <w:r>
        <w:rPr>
          <w:rFonts w:hint="eastAsia" w:ascii="宋体" w:hAnsi="宋体" w:eastAsia="宋体" w:cs="宋体"/>
          <w:kern w:val="0"/>
          <w:sz w:val="24"/>
          <w:highlight w:val="none"/>
        </w:rPr>
        <w:tab/>
      </w:r>
      <w:r>
        <w:rPr>
          <w:rFonts w:hint="eastAsia" w:ascii="宋体" w:hAnsi="宋体" w:eastAsia="宋体" w:cs="宋体"/>
          <w:kern w:val="0"/>
          <w:sz w:val="24"/>
          <w:highlight w:val="none"/>
        </w:rPr>
        <w:t xml:space="preserve">                            邮编：</w:t>
      </w:r>
      <w:r>
        <w:rPr>
          <w:rFonts w:hint="eastAsia" w:ascii="宋体" w:hAnsi="宋体" w:eastAsia="宋体" w:cs="宋体"/>
          <w:kern w:val="0"/>
          <w:sz w:val="24"/>
          <w:highlight w:val="none"/>
        </w:rPr>
        <w:tab/>
      </w:r>
    </w:p>
    <w:p w14:paraId="6E403BCA">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电话：</w:t>
      </w:r>
      <w:r>
        <w:rPr>
          <w:rFonts w:hint="eastAsia" w:ascii="宋体" w:hAnsi="宋体" w:eastAsia="宋体" w:cs="宋体"/>
          <w:kern w:val="0"/>
          <w:sz w:val="24"/>
          <w:highlight w:val="none"/>
        </w:rPr>
        <w:tab/>
      </w:r>
      <w:r>
        <w:rPr>
          <w:rFonts w:hint="eastAsia" w:ascii="宋体" w:hAnsi="宋体" w:eastAsia="宋体" w:cs="宋体"/>
          <w:kern w:val="0"/>
          <w:sz w:val="24"/>
          <w:highlight w:val="none"/>
        </w:rPr>
        <w:t xml:space="preserve">                            传真：</w:t>
      </w:r>
    </w:p>
    <w:p w14:paraId="144E63B6">
      <w:pPr>
        <w:shd w:val="clear"/>
        <w:tabs>
          <w:tab w:val="left" w:pos="480"/>
        </w:tabs>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投标人授权代表姓名：</w:t>
      </w:r>
    </w:p>
    <w:p w14:paraId="43C6AB2B">
      <w:pPr>
        <w:shd w:val="clear"/>
        <w:tabs>
          <w:tab w:val="left" w:pos="480"/>
        </w:tabs>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投标人授权代表联系电话：                （办公）         （移动）</w:t>
      </w:r>
    </w:p>
    <w:p w14:paraId="74916EBB">
      <w:pPr>
        <w:shd w:val="clear"/>
        <w:tabs>
          <w:tab w:val="left" w:pos="480"/>
        </w:tabs>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E-mail:</w:t>
      </w:r>
    </w:p>
    <w:p w14:paraId="061777D5">
      <w:pPr>
        <w:shd w:val="clear"/>
        <w:tabs>
          <w:tab w:val="left" w:pos="4000"/>
        </w:tabs>
        <w:snapToGrid w:val="0"/>
        <w:spacing w:line="480" w:lineRule="auto"/>
        <w:ind w:firstLine="2640" w:firstLineChars="1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(盖章)</w:t>
      </w:r>
    </w:p>
    <w:p w14:paraId="5B52C305">
      <w:pPr>
        <w:shd w:val="clear"/>
        <w:tabs>
          <w:tab w:val="left" w:pos="4000"/>
        </w:tabs>
        <w:snapToGrid w:val="0"/>
        <w:spacing w:line="480" w:lineRule="auto"/>
        <w:ind w:firstLine="2640" w:firstLineChars="1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投标人授权代表：</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(签字或盖章)</w:t>
      </w:r>
    </w:p>
    <w:p w14:paraId="1A9ABE5F">
      <w:pPr>
        <w:shd w:val="clear"/>
        <w:tabs>
          <w:tab w:val="left" w:pos="4000"/>
        </w:tabs>
        <w:snapToGrid w:val="0"/>
        <w:spacing w:line="480" w:lineRule="auto"/>
        <w:ind w:firstLine="2640" w:firstLineChars="1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日      期：</w:t>
      </w:r>
    </w:p>
    <w:p w14:paraId="01EEC603">
      <w:pPr>
        <w:shd w:val="clear"/>
        <w:snapToGrid w:val="0"/>
        <w:spacing w:line="360" w:lineRule="auto"/>
        <w:ind w:firstLine="480"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注：除可填报项目外，对本投标函内容的修改将被视为非实质性响应，从而导致该投标文件无效。</w:t>
      </w:r>
    </w:p>
    <w:p w14:paraId="65C7A082">
      <w:pPr>
        <w:shd w:val="clear"/>
        <w:tabs>
          <w:tab w:val="left" w:pos="567"/>
        </w:tabs>
        <w:snapToGrid w:val="0"/>
        <w:spacing w:line="360" w:lineRule="auto"/>
        <w:jc w:val="left"/>
        <w:rPr>
          <w:rFonts w:hint="eastAsia" w:ascii="宋体" w:hAnsi="宋体" w:eastAsia="宋体" w:cs="宋体"/>
          <w:b/>
          <w:kern w:val="0"/>
          <w:sz w:val="24"/>
          <w:highlight w:val="none"/>
        </w:rPr>
      </w:pPr>
    </w:p>
    <w:p w14:paraId="50BFCDFF">
      <w:pPr>
        <w:shd w:val="clear"/>
        <w:spacing w:line="330" w:lineRule="atLeast"/>
        <w:jc w:val="left"/>
        <w:rPr>
          <w:rFonts w:hint="eastAsia" w:ascii="宋体" w:hAnsi="宋体" w:eastAsia="宋体" w:cs="宋体"/>
          <w:kern w:val="0"/>
          <w:szCs w:val="21"/>
          <w:highlight w:val="none"/>
        </w:rPr>
      </w:pPr>
    </w:p>
    <w:p w14:paraId="05290792">
      <w:pPr>
        <w:shd w:val="clear"/>
        <w:tabs>
          <w:tab w:val="left" w:pos="567"/>
        </w:tabs>
        <w:snapToGrid w:val="0"/>
        <w:spacing w:line="360" w:lineRule="auto"/>
        <w:jc w:val="left"/>
        <w:rPr>
          <w:rFonts w:hint="eastAsia" w:ascii="宋体" w:hAnsi="宋体" w:eastAsia="宋体" w:cs="宋体"/>
          <w:b/>
          <w:kern w:val="0"/>
          <w:sz w:val="28"/>
          <w:szCs w:val="28"/>
          <w:highlight w:val="none"/>
        </w:rPr>
      </w:pPr>
      <w:r>
        <w:rPr>
          <w:rFonts w:hint="eastAsia" w:ascii="宋体" w:hAnsi="宋体" w:eastAsia="宋体" w:cs="宋体"/>
          <w:b/>
          <w:kern w:val="0"/>
          <w:sz w:val="24"/>
          <w:highlight w:val="none"/>
        </w:rPr>
        <w:br w:type="page"/>
      </w:r>
      <w:r>
        <w:rPr>
          <w:rFonts w:hint="eastAsia" w:ascii="宋体" w:hAnsi="宋体" w:eastAsia="宋体" w:cs="宋体"/>
          <w:b/>
          <w:kern w:val="0"/>
          <w:sz w:val="24"/>
          <w:highlight w:val="none"/>
        </w:rPr>
        <w:t>4．</w:t>
      </w:r>
      <w:r>
        <w:rPr>
          <w:rFonts w:hint="eastAsia" w:ascii="宋体" w:hAnsi="宋体" w:eastAsia="宋体" w:cs="宋体"/>
          <w:b/>
          <w:kern w:val="0"/>
          <w:sz w:val="24"/>
          <w:highlight w:val="none"/>
          <w:lang w:val="en-US" w:eastAsia="zh-CN"/>
        </w:rPr>
        <w:t>开标</w:t>
      </w:r>
      <w:r>
        <w:rPr>
          <w:rFonts w:hint="eastAsia" w:ascii="宋体" w:hAnsi="宋体" w:eastAsia="宋体" w:cs="宋体"/>
          <w:b/>
          <w:kern w:val="0"/>
          <w:sz w:val="24"/>
          <w:highlight w:val="none"/>
        </w:rPr>
        <w:t>一览表</w:t>
      </w:r>
    </w:p>
    <w:p w14:paraId="2FAD0B3E">
      <w:pPr>
        <w:shd w:val="clear"/>
        <w:spacing w:line="330" w:lineRule="atLeast"/>
        <w:jc w:val="left"/>
        <w:rPr>
          <w:rFonts w:hint="eastAsia" w:ascii="宋体" w:hAnsi="宋体" w:eastAsia="宋体" w:cs="宋体"/>
          <w:kern w:val="0"/>
          <w:szCs w:val="21"/>
          <w:highlight w:val="none"/>
        </w:rPr>
      </w:pPr>
    </w:p>
    <w:p w14:paraId="5CA4371B">
      <w:pPr>
        <w:shd w:val="clear"/>
        <w:snapToGrid w:val="0"/>
        <w:spacing w:line="360" w:lineRule="auto"/>
        <w:jc w:val="center"/>
        <w:rPr>
          <w:rFonts w:hint="eastAsia" w:ascii="宋体" w:hAnsi="宋体" w:eastAsia="宋体" w:cs="宋体"/>
          <w:kern w:val="0"/>
          <w:sz w:val="24"/>
          <w:highlight w:val="none"/>
        </w:rPr>
      </w:pPr>
      <w:r>
        <w:rPr>
          <w:rFonts w:hint="eastAsia" w:ascii="宋体" w:hAnsi="宋体" w:eastAsia="宋体" w:cs="宋体"/>
          <w:b/>
          <w:kern w:val="0"/>
          <w:sz w:val="28"/>
          <w:szCs w:val="28"/>
          <w:highlight w:val="none"/>
          <w:lang w:val="en-US" w:eastAsia="zh-CN"/>
        </w:rPr>
        <w:t>开标</w:t>
      </w:r>
      <w:r>
        <w:rPr>
          <w:rFonts w:hint="eastAsia" w:ascii="宋体" w:hAnsi="宋体" w:eastAsia="宋体" w:cs="宋体"/>
          <w:b/>
          <w:kern w:val="0"/>
          <w:sz w:val="28"/>
          <w:szCs w:val="28"/>
          <w:highlight w:val="none"/>
        </w:rPr>
        <w:t>一览表</w:t>
      </w:r>
    </w:p>
    <w:p w14:paraId="3F693810">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项目名称： </w:t>
      </w:r>
    </w:p>
    <w:p w14:paraId="3828578F">
      <w:pPr>
        <w:shd w:val="clear"/>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项目编号： </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534"/>
        <w:gridCol w:w="2455"/>
        <w:gridCol w:w="2605"/>
        <w:gridCol w:w="888"/>
      </w:tblGrid>
      <w:tr w14:paraId="57A8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63" w:type="pct"/>
            <w:vAlign w:val="center"/>
          </w:tcPr>
          <w:p w14:paraId="761AC720">
            <w:pPr>
              <w:keepNext/>
              <w:wordWrap w:val="0"/>
              <w:topLinePunct/>
              <w:adjustRightInd w:val="0"/>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序号</w:t>
            </w:r>
          </w:p>
        </w:tc>
        <w:tc>
          <w:tcPr>
            <w:tcW w:w="1385" w:type="pct"/>
            <w:vAlign w:val="center"/>
          </w:tcPr>
          <w:p w14:paraId="7C560E0F">
            <w:pPr>
              <w:keepNext/>
              <w:wordWrap w:val="0"/>
              <w:topLinePunct/>
              <w:adjustRightInd w:val="0"/>
              <w:snapToGrid w:val="0"/>
              <w:jc w:val="center"/>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lang w:val="en-US" w:eastAsia="zh-CN"/>
              </w:rPr>
              <w:t>标的名称</w:t>
            </w:r>
          </w:p>
        </w:tc>
        <w:tc>
          <w:tcPr>
            <w:tcW w:w="1342" w:type="pct"/>
            <w:vAlign w:val="center"/>
          </w:tcPr>
          <w:p w14:paraId="0C6643F9">
            <w:pPr>
              <w:keepNext/>
              <w:wordWrap w:val="0"/>
              <w:topLinePunct/>
              <w:adjustRightInd w:val="0"/>
              <w:snapToGrid w:val="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合同履</w:t>
            </w:r>
            <w:r>
              <w:rPr>
                <w:rFonts w:hint="eastAsia" w:asciiTheme="minorEastAsia" w:hAnsiTheme="minorEastAsia" w:eastAsiaTheme="minorEastAsia"/>
                <w:kern w:val="0"/>
                <w:sz w:val="24"/>
                <w:szCs w:val="24"/>
                <w:lang w:val="en-US" w:eastAsia="zh-CN"/>
              </w:rPr>
              <w:t>行</w:t>
            </w:r>
            <w:r>
              <w:rPr>
                <w:rFonts w:hint="eastAsia" w:asciiTheme="minorEastAsia" w:hAnsiTheme="minorEastAsia" w:eastAsiaTheme="minorEastAsia"/>
                <w:kern w:val="0"/>
                <w:sz w:val="24"/>
                <w:szCs w:val="24"/>
              </w:rPr>
              <w:t>期限</w:t>
            </w:r>
          </w:p>
        </w:tc>
        <w:tc>
          <w:tcPr>
            <w:tcW w:w="1424" w:type="pct"/>
            <w:vAlign w:val="center"/>
          </w:tcPr>
          <w:p w14:paraId="4A4A57EF">
            <w:pPr>
              <w:keepNext/>
              <w:wordWrap w:val="0"/>
              <w:topLinePunct/>
              <w:adjustRightInd w:val="0"/>
              <w:snapToGrid w:val="0"/>
              <w:jc w:val="center"/>
              <w:rPr>
                <w:rFonts w:asciiTheme="minorEastAsia" w:hAnsiTheme="minorEastAsia" w:eastAsiaTheme="minorEastAsia"/>
                <w:kern w:val="0"/>
                <w:sz w:val="24"/>
                <w:szCs w:val="24"/>
              </w:rPr>
            </w:pPr>
            <w:r>
              <w:rPr>
                <w:rFonts w:hint="eastAsia" w:ascii="宋体" w:hAnsi="宋体" w:eastAsia="宋体" w:cs="宋体"/>
                <w:color w:val="auto"/>
                <w:sz w:val="24"/>
                <w:highlight w:val="none"/>
                <w:u w:val="none"/>
                <w:lang w:val="en-US" w:eastAsia="zh-CN"/>
              </w:rPr>
              <w:t>交货地点</w:t>
            </w:r>
          </w:p>
        </w:tc>
        <w:tc>
          <w:tcPr>
            <w:tcW w:w="483" w:type="pct"/>
            <w:vAlign w:val="center"/>
          </w:tcPr>
          <w:p w14:paraId="211C59AC">
            <w:pPr>
              <w:keepNext/>
              <w:wordWrap w:val="0"/>
              <w:topLinePunct/>
              <w:adjustRightInd w:val="0"/>
              <w:snapToGrid w:val="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w:t>
            </w:r>
          </w:p>
        </w:tc>
      </w:tr>
      <w:tr w14:paraId="231D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63" w:type="pct"/>
            <w:vAlign w:val="center"/>
          </w:tcPr>
          <w:p w14:paraId="03BC3229">
            <w:pPr>
              <w:keepNext/>
              <w:wordWrap w:val="0"/>
              <w:topLinePunct/>
              <w:adjustRightInd w:val="0"/>
              <w:snapToGrid w:val="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p>
        </w:tc>
        <w:tc>
          <w:tcPr>
            <w:tcW w:w="1385" w:type="pct"/>
            <w:vAlign w:val="center"/>
          </w:tcPr>
          <w:p w14:paraId="65DD0E0F">
            <w:pPr>
              <w:keepNext/>
              <w:wordWrap w:val="0"/>
              <w:topLinePunct/>
              <w:adjustRightInd w:val="0"/>
              <w:snapToGrid w:val="0"/>
              <w:jc w:val="center"/>
              <w:rPr>
                <w:rFonts w:asciiTheme="minorEastAsia" w:hAnsiTheme="minorEastAsia" w:eastAsiaTheme="minorEastAsia"/>
                <w:kern w:val="0"/>
                <w:sz w:val="24"/>
                <w:szCs w:val="24"/>
              </w:rPr>
            </w:pPr>
          </w:p>
        </w:tc>
        <w:tc>
          <w:tcPr>
            <w:tcW w:w="1342" w:type="pct"/>
            <w:vAlign w:val="center"/>
          </w:tcPr>
          <w:p w14:paraId="6C713402">
            <w:pPr>
              <w:keepNext/>
              <w:wordWrap w:val="0"/>
              <w:topLinePunct/>
              <w:adjustRightInd w:val="0"/>
              <w:snapToGrid w:val="0"/>
              <w:jc w:val="center"/>
              <w:rPr>
                <w:rFonts w:asciiTheme="minorEastAsia" w:hAnsiTheme="minorEastAsia" w:eastAsiaTheme="minorEastAsia"/>
                <w:kern w:val="0"/>
                <w:sz w:val="24"/>
                <w:szCs w:val="24"/>
              </w:rPr>
            </w:pPr>
          </w:p>
        </w:tc>
        <w:tc>
          <w:tcPr>
            <w:tcW w:w="1424" w:type="pct"/>
            <w:vAlign w:val="center"/>
          </w:tcPr>
          <w:p w14:paraId="4DE51368">
            <w:pPr>
              <w:keepNext/>
              <w:wordWrap w:val="0"/>
              <w:topLinePunct/>
              <w:adjustRightInd w:val="0"/>
              <w:snapToGrid w:val="0"/>
              <w:jc w:val="center"/>
              <w:rPr>
                <w:rFonts w:asciiTheme="minorEastAsia" w:hAnsiTheme="minorEastAsia" w:eastAsiaTheme="minorEastAsia"/>
                <w:kern w:val="0"/>
                <w:sz w:val="24"/>
                <w:szCs w:val="24"/>
              </w:rPr>
            </w:pPr>
          </w:p>
        </w:tc>
        <w:tc>
          <w:tcPr>
            <w:tcW w:w="483" w:type="pct"/>
            <w:vAlign w:val="center"/>
          </w:tcPr>
          <w:p w14:paraId="68265F29">
            <w:pPr>
              <w:keepNext/>
              <w:wordWrap w:val="0"/>
              <w:topLinePunct/>
              <w:adjustRightInd w:val="0"/>
              <w:snapToGrid w:val="0"/>
              <w:jc w:val="center"/>
              <w:rPr>
                <w:rFonts w:asciiTheme="minorEastAsia" w:hAnsiTheme="minorEastAsia" w:eastAsiaTheme="minorEastAsia"/>
                <w:kern w:val="0"/>
                <w:sz w:val="24"/>
                <w:szCs w:val="24"/>
              </w:rPr>
            </w:pPr>
          </w:p>
        </w:tc>
      </w:tr>
      <w:tr w14:paraId="137A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63" w:type="pct"/>
            <w:vAlign w:val="center"/>
          </w:tcPr>
          <w:p w14:paraId="40DE1A40">
            <w:pPr>
              <w:keepNext/>
              <w:wordWrap w:val="0"/>
              <w:topLinePunct/>
              <w:adjustRightInd w:val="0"/>
              <w:snapToGrid w:val="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p>
        </w:tc>
        <w:tc>
          <w:tcPr>
            <w:tcW w:w="4636" w:type="pct"/>
            <w:gridSpan w:val="4"/>
            <w:vAlign w:val="center"/>
          </w:tcPr>
          <w:p w14:paraId="23A1DBD3">
            <w:pPr>
              <w:keepNext/>
              <w:wordWrap w:val="0"/>
              <w:topLinePunct/>
              <w:adjustRightInd w:val="0"/>
              <w:snapToGrid w:val="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大写：                              小写：</w:t>
            </w:r>
            <w:r>
              <w:rPr>
                <w:rFonts w:cs="Arial" w:asciiTheme="minorEastAsia" w:hAnsiTheme="minorEastAsia" w:eastAsiaTheme="minorEastAsia"/>
                <w:kern w:val="0"/>
                <w:sz w:val="24"/>
                <w:szCs w:val="24"/>
              </w:rPr>
              <w:t>¥</w:t>
            </w:r>
          </w:p>
        </w:tc>
      </w:tr>
    </w:tbl>
    <w:p w14:paraId="5EDDBD8D">
      <w:pPr>
        <w:pStyle w:val="30"/>
        <w:rPr>
          <w:rFonts w:hint="eastAsia" w:ascii="宋体" w:hAnsi="宋体" w:eastAsia="宋体" w:cs="宋体"/>
          <w:lang w:val="en-US" w:eastAsia="zh-CN"/>
        </w:rPr>
      </w:pPr>
    </w:p>
    <w:p w14:paraId="01CB3F63">
      <w:pPr>
        <w:shd w:val="clear"/>
        <w:snapToGrid w:val="0"/>
        <w:spacing w:line="360" w:lineRule="auto"/>
        <w:jc w:val="center"/>
        <w:rPr>
          <w:rFonts w:hint="eastAsia" w:ascii="宋体" w:hAnsi="宋体" w:eastAsia="宋体" w:cs="宋体"/>
          <w:b/>
          <w:kern w:val="0"/>
          <w:sz w:val="28"/>
          <w:szCs w:val="28"/>
          <w:highlight w:val="none"/>
          <w:lang w:val="en-US" w:eastAsia="zh-CN"/>
        </w:rPr>
      </w:pPr>
      <w:r>
        <w:rPr>
          <w:rFonts w:hint="eastAsia" w:ascii="宋体" w:hAnsi="宋体" w:eastAsia="宋体" w:cs="宋体"/>
          <w:b/>
          <w:kern w:val="0"/>
          <w:sz w:val="28"/>
          <w:szCs w:val="28"/>
          <w:highlight w:val="none"/>
          <w:lang w:val="en-US" w:eastAsia="zh-CN"/>
        </w:rPr>
        <w:t>分项报价表</w:t>
      </w:r>
    </w:p>
    <w:tbl>
      <w:tblPr>
        <w:tblStyle w:val="31"/>
        <w:tblpPr w:leftFromText="180" w:rightFromText="180" w:vertAnchor="text" w:horzAnchor="page" w:tblpX="1584" w:tblpY="32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61"/>
        <w:gridCol w:w="702"/>
        <w:gridCol w:w="567"/>
        <w:gridCol w:w="551"/>
        <w:gridCol w:w="1024"/>
        <w:gridCol w:w="1092"/>
        <w:gridCol w:w="456"/>
        <w:gridCol w:w="816"/>
        <w:gridCol w:w="1081"/>
        <w:gridCol w:w="909"/>
        <w:gridCol w:w="491"/>
      </w:tblGrid>
      <w:tr w14:paraId="25D8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80" w:type="pct"/>
            <w:vAlign w:val="center"/>
          </w:tcPr>
          <w:p w14:paraId="4F5B6355">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序号</w:t>
            </w:r>
          </w:p>
        </w:tc>
        <w:tc>
          <w:tcPr>
            <w:tcW w:w="416" w:type="pct"/>
            <w:vAlign w:val="center"/>
          </w:tcPr>
          <w:p w14:paraId="63C0D793">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货物名称</w:t>
            </w:r>
          </w:p>
        </w:tc>
        <w:tc>
          <w:tcPr>
            <w:tcW w:w="384" w:type="pct"/>
            <w:vAlign w:val="center"/>
          </w:tcPr>
          <w:p w14:paraId="019F8CBF">
            <w:pPr>
              <w:keepNext/>
              <w:wordWrap w:val="0"/>
              <w:topLinePunct/>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所属行业</w:t>
            </w:r>
          </w:p>
        </w:tc>
        <w:tc>
          <w:tcPr>
            <w:tcW w:w="310" w:type="pct"/>
            <w:vAlign w:val="center"/>
          </w:tcPr>
          <w:p w14:paraId="7EDE759D">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品牌</w:t>
            </w:r>
          </w:p>
        </w:tc>
        <w:tc>
          <w:tcPr>
            <w:tcW w:w="301" w:type="pct"/>
            <w:vAlign w:val="center"/>
          </w:tcPr>
          <w:p w14:paraId="327ADE14">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规格型号</w:t>
            </w:r>
          </w:p>
        </w:tc>
        <w:tc>
          <w:tcPr>
            <w:tcW w:w="560" w:type="pct"/>
            <w:vAlign w:val="center"/>
          </w:tcPr>
          <w:p w14:paraId="16E36D7A">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生产厂家（制造商）全称</w:t>
            </w:r>
          </w:p>
        </w:tc>
        <w:tc>
          <w:tcPr>
            <w:tcW w:w="597" w:type="pct"/>
            <w:vAlign w:val="center"/>
          </w:tcPr>
          <w:p w14:paraId="12CDBE48">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单价（元）</w:t>
            </w:r>
          </w:p>
        </w:tc>
        <w:tc>
          <w:tcPr>
            <w:tcW w:w="249" w:type="pct"/>
            <w:vAlign w:val="center"/>
          </w:tcPr>
          <w:p w14:paraId="37C56E0F">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数量</w:t>
            </w:r>
          </w:p>
        </w:tc>
        <w:tc>
          <w:tcPr>
            <w:tcW w:w="446" w:type="pct"/>
            <w:vAlign w:val="center"/>
          </w:tcPr>
          <w:p w14:paraId="5CDD40BF">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合价（元）</w:t>
            </w:r>
          </w:p>
        </w:tc>
        <w:tc>
          <w:tcPr>
            <w:tcW w:w="591" w:type="pct"/>
            <w:vAlign w:val="center"/>
          </w:tcPr>
          <w:p w14:paraId="0FF89E1F">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生产厂家（制造商）企业类型</w:t>
            </w:r>
          </w:p>
        </w:tc>
        <w:tc>
          <w:tcPr>
            <w:tcW w:w="497" w:type="pct"/>
            <w:vAlign w:val="center"/>
          </w:tcPr>
          <w:p w14:paraId="113656A3">
            <w:pPr>
              <w:keepNext/>
              <w:wordWrap w:val="0"/>
              <w:topLinePunct/>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是否节能环保产品</w:t>
            </w:r>
          </w:p>
        </w:tc>
        <w:tc>
          <w:tcPr>
            <w:tcW w:w="264" w:type="pct"/>
            <w:vAlign w:val="center"/>
          </w:tcPr>
          <w:p w14:paraId="3DA7A272">
            <w:pPr>
              <w:keepNext/>
              <w:wordWrap w:val="0"/>
              <w:topLinePunct/>
              <w:adjustRightInd w:val="0"/>
              <w:snapToGrid w:val="0"/>
              <w:jc w:val="center"/>
              <w:rPr>
                <w:rFonts w:asciiTheme="minorEastAsia" w:hAnsiTheme="minorEastAsia" w:eastAsiaTheme="minorEastAsia"/>
                <w:snapToGrid w:val="0"/>
                <w:kern w:val="0"/>
                <w:sz w:val="24"/>
                <w:szCs w:val="24"/>
              </w:rPr>
            </w:pPr>
            <w:r>
              <w:rPr>
                <w:rFonts w:asciiTheme="minorEastAsia" w:hAnsiTheme="minorEastAsia" w:eastAsiaTheme="minorEastAsia"/>
                <w:snapToGrid w:val="0"/>
                <w:kern w:val="0"/>
                <w:sz w:val="24"/>
                <w:szCs w:val="24"/>
              </w:rPr>
              <w:t>备注</w:t>
            </w:r>
          </w:p>
        </w:tc>
      </w:tr>
      <w:tr w14:paraId="0204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80" w:type="pct"/>
            <w:vAlign w:val="center"/>
          </w:tcPr>
          <w:p w14:paraId="3A829222">
            <w:pPr>
              <w:keepNext/>
              <w:wordWrap w:val="0"/>
              <w:topLinePunct/>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kern w:val="0"/>
                <w:sz w:val="24"/>
                <w:szCs w:val="24"/>
              </w:rPr>
              <w:t>1</w:t>
            </w:r>
          </w:p>
        </w:tc>
        <w:tc>
          <w:tcPr>
            <w:tcW w:w="416" w:type="pct"/>
          </w:tcPr>
          <w:p w14:paraId="0D53E960">
            <w:pPr>
              <w:keepNext/>
              <w:wordWrap w:val="0"/>
              <w:topLinePunct/>
              <w:adjustRightInd w:val="0"/>
              <w:snapToGrid w:val="0"/>
              <w:jc w:val="center"/>
              <w:rPr>
                <w:rFonts w:asciiTheme="minorEastAsia" w:hAnsiTheme="minorEastAsia" w:eastAsiaTheme="minorEastAsia"/>
                <w:kern w:val="0"/>
                <w:sz w:val="24"/>
                <w:szCs w:val="24"/>
              </w:rPr>
            </w:pPr>
          </w:p>
        </w:tc>
        <w:tc>
          <w:tcPr>
            <w:tcW w:w="384" w:type="pct"/>
          </w:tcPr>
          <w:p w14:paraId="54921BB3">
            <w:pPr>
              <w:keepNext/>
              <w:wordWrap w:val="0"/>
              <w:topLinePunct/>
              <w:adjustRightInd w:val="0"/>
              <w:snapToGrid w:val="0"/>
              <w:jc w:val="center"/>
              <w:rPr>
                <w:rFonts w:asciiTheme="minorEastAsia" w:hAnsiTheme="minorEastAsia" w:eastAsiaTheme="minorEastAsia"/>
                <w:kern w:val="0"/>
                <w:sz w:val="24"/>
                <w:szCs w:val="24"/>
              </w:rPr>
            </w:pPr>
          </w:p>
        </w:tc>
        <w:tc>
          <w:tcPr>
            <w:tcW w:w="310" w:type="pct"/>
          </w:tcPr>
          <w:p w14:paraId="77A6026F">
            <w:pPr>
              <w:keepNext/>
              <w:wordWrap w:val="0"/>
              <w:topLinePunct/>
              <w:adjustRightInd w:val="0"/>
              <w:snapToGrid w:val="0"/>
              <w:jc w:val="center"/>
              <w:rPr>
                <w:rFonts w:asciiTheme="minorEastAsia" w:hAnsiTheme="minorEastAsia" w:eastAsiaTheme="minorEastAsia"/>
                <w:kern w:val="0"/>
                <w:sz w:val="24"/>
                <w:szCs w:val="24"/>
              </w:rPr>
            </w:pPr>
          </w:p>
        </w:tc>
        <w:tc>
          <w:tcPr>
            <w:tcW w:w="301" w:type="pct"/>
          </w:tcPr>
          <w:p w14:paraId="3C36D672">
            <w:pPr>
              <w:keepNext/>
              <w:wordWrap w:val="0"/>
              <w:topLinePunct/>
              <w:adjustRightInd w:val="0"/>
              <w:snapToGrid w:val="0"/>
              <w:jc w:val="center"/>
              <w:rPr>
                <w:rFonts w:asciiTheme="minorEastAsia" w:hAnsiTheme="minorEastAsia" w:eastAsiaTheme="minorEastAsia"/>
                <w:kern w:val="0"/>
                <w:sz w:val="24"/>
                <w:szCs w:val="24"/>
              </w:rPr>
            </w:pPr>
          </w:p>
        </w:tc>
        <w:tc>
          <w:tcPr>
            <w:tcW w:w="560" w:type="pct"/>
          </w:tcPr>
          <w:p w14:paraId="2FED8BEE">
            <w:pPr>
              <w:keepNext/>
              <w:wordWrap w:val="0"/>
              <w:topLinePunct/>
              <w:adjustRightInd w:val="0"/>
              <w:snapToGrid w:val="0"/>
              <w:jc w:val="center"/>
              <w:rPr>
                <w:rFonts w:asciiTheme="minorEastAsia" w:hAnsiTheme="minorEastAsia" w:eastAsiaTheme="minorEastAsia"/>
                <w:kern w:val="0"/>
                <w:sz w:val="24"/>
                <w:szCs w:val="24"/>
              </w:rPr>
            </w:pPr>
          </w:p>
        </w:tc>
        <w:tc>
          <w:tcPr>
            <w:tcW w:w="597" w:type="pct"/>
          </w:tcPr>
          <w:p w14:paraId="700EB765">
            <w:pPr>
              <w:keepNext/>
              <w:wordWrap w:val="0"/>
              <w:topLinePunct/>
              <w:adjustRightInd w:val="0"/>
              <w:snapToGrid w:val="0"/>
              <w:jc w:val="center"/>
              <w:rPr>
                <w:rFonts w:asciiTheme="minorEastAsia" w:hAnsiTheme="minorEastAsia" w:eastAsiaTheme="minorEastAsia"/>
                <w:kern w:val="0"/>
                <w:sz w:val="24"/>
                <w:szCs w:val="24"/>
              </w:rPr>
            </w:pPr>
          </w:p>
        </w:tc>
        <w:tc>
          <w:tcPr>
            <w:tcW w:w="249" w:type="pct"/>
          </w:tcPr>
          <w:p w14:paraId="7E8F6D6F">
            <w:pPr>
              <w:keepNext/>
              <w:wordWrap w:val="0"/>
              <w:topLinePunct/>
              <w:adjustRightInd w:val="0"/>
              <w:snapToGrid w:val="0"/>
              <w:jc w:val="center"/>
              <w:rPr>
                <w:rFonts w:asciiTheme="minorEastAsia" w:hAnsiTheme="minorEastAsia" w:eastAsiaTheme="minorEastAsia"/>
                <w:kern w:val="0"/>
                <w:sz w:val="24"/>
                <w:szCs w:val="24"/>
              </w:rPr>
            </w:pPr>
          </w:p>
        </w:tc>
        <w:tc>
          <w:tcPr>
            <w:tcW w:w="446" w:type="pct"/>
          </w:tcPr>
          <w:p w14:paraId="030C4173">
            <w:pPr>
              <w:keepNext/>
              <w:wordWrap w:val="0"/>
              <w:topLinePunct/>
              <w:adjustRightInd w:val="0"/>
              <w:snapToGrid w:val="0"/>
              <w:jc w:val="center"/>
              <w:rPr>
                <w:rFonts w:asciiTheme="minorEastAsia" w:hAnsiTheme="minorEastAsia" w:eastAsiaTheme="minorEastAsia"/>
                <w:kern w:val="0"/>
                <w:sz w:val="24"/>
                <w:szCs w:val="24"/>
              </w:rPr>
            </w:pPr>
          </w:p>
        </w:tc>
        <w:tc>
          <w:tcPr>
            <w:tcW w:w="591" w:type="pct"/>
          </w:tcPr>
          <w:p w14:paraId="4DC34603">
            <w:pPr>
              <w:keepNext/>
              <w:wordWrap w:val="0"/>
              <w:topLinePunct/>
              <w:adjustRightInd w:val="0"/>
              <w:snapToGrid w:val="0"/>
              <w:jc w:val="center"/>
              <w:rPr>
                <w:rFonts w:asciiTheme="minorEastAsia" w:hAnsiTheme="minorEastAsia" w:eastAsiaTheme="minorEastAsia"/>
                <w:kern w:val="0"/>
                <w:sz w:val="24"/>
                <w:szCs w:val="24"/>
              </w:rPr>
            </w:pPr>
          </w:p>
        </w:tc>
        <w:tc>
          <w:tcPr>
            <w:tcW w:w="497" w:type="pct"/>
          </w:tcPr>
          <w:p w14:paraId="76A4687C">
            <w:pPr>
              <w:keepNext/>
              <w:wordWrap w:val="0"/>
              <w:topLinePunct/>
              <w:adjustRightInd w:val="0"/>
              <w:snapToGrid w:val="0"/>
              <w:jc w:val="center"/>
              <w:rPr>
                <w:rFonts w:asciiTheme="minorEastAsia" w:hAnsiTheme="minorEastAsia" w:eastAsiaTheme="minorEastAsia"/>
                <w:kern w:val="0"/>
                <w:sz w:val="24"/>
                <w:szCs w:val="24"/>
              </w:rPr>
            </w:pPr>
          </w:p>
        </w:tc>
        <w:tc>
          <w:tcPr>
            <w:tcW w:w="264" w:type="pct"/>
          </w:tcPr>
          <w:p w14:paraId="55801E13">
            <w:pPr>
              <w:keepNext/>
              <w:wordWrap w:val="0"/>
              <w:topLinePunct/>
              <w:adjustRightInd w:val="0"/>
              <w:snapToGrid w:val="0"/>
              <w:jc w:val="center"/>
              <w:rPr>
                <w:rFonts w:asciiTheme="minorEastAsia" w:hAnsiTheme="minorEastAsia" w:eastAsiaTheme="minorEastAsia"/>
                <w:kern w:val="0"/>
                <w:sz w:val="24"/>
                <w:szCs w:val="24"/>
              </w:rPr>
            </w:pPr>
          </w:p>
        </w:tc>
      </w:tr>
      <w:tr w14:paraId="3350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80" w:type="pct"/>
            <w:vAlign w:val="center"/>
          </w:tcPr>
          <w:p w14:paraId="2E4D9D73">
            <w:pPr>
              <w:keepNext/>
              <w:wordWrap w:val="0"/>
              <w:topLinePunct/>
              <w:adjustRightInd w:val="0"/>
              <w:snapToGrid w:val="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p>
        </w:tc>
        <w:tc>
          <w:tcPr>
            <w:tcW w:w="416" w:type="pct"/>
          </w:tcPr>
          <w:p w14:paraId="538D8A0D">
            <w:pPr>
              <w:keepNext/>
              <w:wordWrap w:val="0"/>
              <w:topLinePunct/>
              <w:adjustRightInd w:val="0"/>
              <w:snapToGrid w:val="0"/>
              <w:jc w:val="center"/>
              <w:rPr>
                <w:rFonts w:asciiTheme="minorEastAsia" w:hAnsiTheme="minorEastAsia" w:eastAsiaTheme="minorEastAsia"/>
                <w:kern w:val="0"/>
                <w:sz w:val="24"/>
                <w:szCs w:val="24"/>
              </w:rPr>
            </w:pPr>
          </w:p>
        </w:tc>
        <w:tc>
          <w:tcPr>
            <w:tcW w:w="384" w:type="pct"/>
          </w:tcPr>
          <w:p w14:paraId="7B242CF8">
            <w:pPr>
              <w:keepNext/>
              <w:wordWrap w:val="0"/>
              <w:topLinePunct/>
              <w:adjustRightInd w:val="0"/>
              <w:snapToGrid w:val="0"/>
              <w:jc w:val="center"/>
              <w:rPr>
                <w:rFonts w:asciiTheme="minorEastAsia" w:hAnsiTheme="minorEastAsia" w:eastAsiaTheme="minorEastAsia"/>
                <w:kern w:val="0"/>
                <w:sz w:val="24"/>
                <w:szCs w:val="24"/>
              </w:rPr>
            </w:pPr>
          </w:p>
        </w:tc>
        <w:tc>
          <w:tcPr>
            <w:tcW w:w="310" w:type="pct"/>
          </w:tcPr>
          <w:p w14:paraId="1FD90DA5">
            <w:pPr>
              <w:keepNext/>
              <w:wordWrap w:val="0"/>
              <w:topLinePunct/>
              <w:adjustRightInd w:val="0"/>
              <w:snapToGrid w:val="0"/>
              <w:jc w:val="center"/>
              <w:rPr>
                <w:rFonts w:asciiTheme="minorEastAsia" w:hAnsiTheme="minorEastAsia" w:eastAsiaTheme="minorEastAsia"/>
                <w:kern w:val="0"/>
                <w:sz w:val="24"/>
                <w:szCs w:val="24"/>
              </w:rPr>
            </w:pPr>
          </w:p>
        </w:tc>
        <w:tc>
          <w:tcPr>
            <w:tcW w:w="301" w:type="pct"/>
          </w:tcPr>
          <w:p w14:paraId="6C7C0E6F">
            <w:pPr>
              <w:keepNext/>
              <w:wordWrap w:val="0"/>
              <w:topLinePunct/>
              <w:adjustRightInd w:val="0"/>
              <w:snapToGrid w:val="0"/>
              <w:jc w:val="center"/>
              <w:rPr>
                <w:rFonts w:asciiTheme="minorEastAsia" w:hAnsiTheme="minorEastAsia" w:eastAsiaTheme="minorEastAsia"/>
                <w:kern w:val="0"/>
                <w:sz w:val="24"/>
                <w:szCs w:val="24"/>
              </w:rPr>
            </w:pPr>
          </w:p>
        </w:tc>
        <w:tc>
          <w:tcPr>
            <w:tcW w:w="560" w:type="pct"/>
          </w:tcPr>
          <w:p w14:paraId="104D29B1">
            <w:pPr>
              <w:keepNext/>
              <w:wordWrap w:val="0"/>
              <w:topLinePunct/>
              <w:adjustRightInd w:val="0"/>
              <w:snapToGrid w:val="0"/>
              <w:jc w:val="center"/>
              <w:rPr>
                <w:rFonts w:asciiTheme="minorEastAsia" w:hAnsiTheme="minorEastAsia" w:eastAsiaTheme="minorEastAsia"/>
                <w:kern w:val="0"/>
                <w:sz w:val="24"/>
                <w:szCs w:val="24"/>
              </w:rPr>
            </w:pPr>
          </w:p>
        </w:tc>
        <w:tc>
          <w:tcPr>
            <w:tcW w:w="597" w:type="pct"/>
          </w:tcPr>
          <w:p w14:paraId="4BF924A7">
            <w:pPr>
              <w:keepNext/>
              <w:wordWrap w:val="0"/>
              <w:topLinePunct/>
              <w:adjustRightInd w:val="0"/>
              <w:snapToGrid w:val="0"/>
              <w:jc w:val="center"/>
              <w:rPr>
                <w:rFonts w:asciiTheme="minorEastAsia" w:hAnsiTheme="minorEastAsia" w:eastAsiaTheme="minorEastAsia"/>
                <w:kern w:val="0"/>
                <w:sz w:val="24"/>
                <w:szCs w:val="24"/>
              </w:rPr>
            </w:pPr>
          </w:p>
        </w:tc>
        <w:tc>
          <w:tcPr>
            <w:tcW w:w="249" w:type="pct"/>
          </w:tcPr>
          <w:p w14:paraId="77213C82">
            <w:pPr>
              <w:keepNext/>
              <w:wordWrap w:val="0"/>
              <w:topLinePunct/>
              <w:adjustRightInd w:val="0"/>
              <w:snapToGrid w:val="0"/>
              <w:jc w:val="center"/>
              <w:rPr>
                <w:rFonts w:asciiTheme="minorEastAsia" w:hAnsiTheme="minorEastAsia" w:eastAsiaTheme="minorEastAsia"/>
                <w:kern w:val="0"/>
                <w:sz w:val="24"/>
                <w:szCs w:val="24"/>
              </w:rPr>
            </w:pPr>
          </w:p>
        </w:tc>
        <w:tc>
          <w:tcPr>
            <w:tcW w:w="446" w:type="pct"/>
          </w:tcPr>
          <w:p w14:paraId="5AAC6ABD">
            <w:pPr>
              <w:keepNext/>
              <w:wordWrap w:val="0"/>
              <w:topLinePunct/>
              <w:adjustRightInd w:val="0"/>
              <w:snapToGrid w:val="0"/>
              <w:jc w:val="center"/>
              <w:rPr>
                <w:rFonts w:asciiTheme="minorEastAsia" w:hAnsiTheme="minorEastAsia" w:eastAsiaTheme="minorEastAsia"/>
                <w:kern w:val="0"/>
                <w:sz w:val="24"/>
                <w:szCs w:val="24"/>
              </w:rPr>
            </w:pPr>
          </w:p>
        </w:tc>
        <w:tc>
          <w:tcPr>
            <w:tcW w:w="591" w:type="pct"/>
          </w:tcPr>
          <w:p w14:paraId="079A2ED7">
            <w:pPr>
              <w:keepNext/>
              <w:wordWrap w:val="0"/>
              <w:topLinePunct/>
              <w:adjustRightInd w:val="0"/>
              <w:snapToGrid w:val="0"/>
              <w:jc w:val="center"/>
              <w:rPr>
                <w:rFonts w:asciiTheme="minorEastAsia" w:hAnsiTheme="minorEastAsia" w:eastAsiaTheme="minorEastAsia"/>
                <w:kern w:val="0"/>
                <w:sz w:val="24"/>
                <w:szCs w:val="24"/>
              </w:rPr>
            </w:pPr>
          </w:p>
        </w:tc>
        <w:tc>
          <w:tcPr>
            <w:tcW w:w="497" w:type="pct"/>
          </w:tcPr>
          <w:p w14:paraId="737D0C01">
            <w:pPr>
              <w:keepNext/>
              <w:wordWrap w:val="0"/>
              <w:topLinePunct/>
              <w:adjustRightInd w:val="0"/>
              <w:snapToGrid w:val="0"/>
              <w:jc w:val="center"/>
              <w:rPr>
                <w:rFonts w:asciiTheme="minorEastAsia" w:hAnsiTheme="minorEastAsia" w:eastAsiaTheme="minorEastAsia"/>
                <w:kern w:val="0"/>
                <w:sz w:val="24"/>
                <w:szCs w:val="24"/>
              </w:rPr>
            </w:pPr>
          </w:p>
        </w:tc>
        <w:tc>
          <w:tcPr>
            <w:tcW w:w="264" w:type="pct"/>
          </w:tcPr>
          <w:p w14:paraId="4A2EF763">
            <w:pPr>
              <w:keepNext/>
              <w:wordWrap w:val="0"/>
              <w:topLinePunct/>
              <w:adjustRightInd w:val="0"/>
              <w:snapToGrid w:val="0"/>
              <w:jc w:val="center"/>
              <w:rPr>
                <w:rFonts w:asciiTheme="minorEastAsia" w:hAnsiTheme="minorEastAsia" w:eastAsiaTheme="minorEastAsia"/>
                <w:kern w:val="0"/>
                <w:sz w:val="24"/>
                <w:szCs w:val="24"/>
              </w:rPr>
            </w:pPr>
          </w:p>
        </w:tc>
      </w:tr>
      <w:tr w14:paraId="36E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80" w:type="pct"/>
          </w:tcPr>
          <w:p w14:paraId="64A6823B">
            <w:pPr>
              <w:keepNext/>
              <w:wordWrap w:val="0"/>
              <w:topLinePunct/>
              <w:adjustRightInd w:val="0"/>
              <w:snapToGrid w:val="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p>
        </w:tc>
        <w:tc>
          <w:tcPr>
            <w:tcW w:w="416" w:type="pct"/>
          </w:tcPr>
          <w:p w14:paraId="461BE7B6">
            <w:pPr>
              <w:keepNext/>
              <w:wordWrap w:val="0"/>
              <w:topLinePunct/>
              <w:adjustRightInd w:val="0"/>
              <w:snapToGrid w:val="0"/>
              <w:jc w:val="center"/>
              <w:rPr>
                <w:rFonts w:asciiTheme="minorEastAsia" w:hAnsiTheme="minorEastAsia" w:eastAsiaTheme="minorEastAsia"/>
                <w:kern w:val="0"/>
                <w:sz w:val="24"/>
                <w:szCs w:val="24"/>
              </w:rPr>
            </w:pPr>
          </w:p>
        </w:tc>
        <w:tc>
          <w:tcPr>
            <w:tcW w:w="384" w:type="pct"/>
          </w:tcPr>
          <w:p w14:paraId="1BDBCAE4">
            <w:pPr>
              <w:keepNext/>
              <w:wordWrap w:val="0"/>
              <w:topLinePunct/>
              <w:adjustRightInd w:val="0"/>
              <w:snapToGrid w:val="0"/>
              <w:jc w:val="center"/>
              <w:rPr>
                <w:rFonts w:asciiTheme="minorEastAsia" w:hAnsiTheme="minorEastAsia" w:eastAsiaTheme="minorEastAsia"/>
                <w:kern w:val="0"/>
                <w:sz w:val="24"/>
                <w:szCs w:val="24"/>
              </w:rPr>
            </w:pPr>
          </w:p>
        </w:tc>
        <w:tc>
          <w:tcPr>
            <w:tcW w:w="310" w:type="pct"/>
          </w:tcPr>
          <w:p w14:paraId="26CAD337">
            <w:pPr>
              <w:keepNext/>
              <w:wordWrap w:val="0"/>
              <w:topLinePunct/>
              <w:adjustRightInd w:val="0"/>
              <w:snapToGrid w:val="0"/>
              <w:jc w:val="center"/>
              <w:rPr>
                <w:rFonts w:asciiTheme="minorEastAsia" w:hAnsiTheme="minorEastAsia" w:eastAsiaTheme="minorEastAsia"/>
                <w:kern w:val="0"/>
                <w:sz w:val="24"/>
                <w:szCs w:val="24"/>
              </w:rPr>
            </w:pPr>
          </w:p>
        </w:tc>
        <w:tc>
          <w:tcPr>
            <w:tcW w:w="301" w:type="pct"/>
          </w:tcPr>
          <w:p w14:paraId="0867BF1C">
            <w:pPr>
              <w:keepNext/>
              <w:wordWrap w:val="0"/>
              <w:topLinePunct/>
              <w:adjustRightInd w:val="0"/>
              <w:snapToGrid w:val="0"/>
              <w:jc w:val="center"/>
              <w:rPr>
                <w:rFonts w:asciiTheme="minorEastAsia" w:hAnsiTheme="minorEastAsia" w:eastAsiaTheme="minorEastAsia"/>
                <w:kern w:val="0"/>
                <w:sz w:val="24"/>
                <w:szCs w:val="24"/>
              </w:rPr>
            </w:pPr>
          </w:p>
        </w:tc>
        <w:tc>
          <w:tcPr>
            <w:tcW w:w="560" w:type="pct"/>
          </w:tcPr>
          <w:p w14:paraId="26533BF6">
            <w:pPr>
              <w:keepNext/>
              <w:wordWrap w:val="0"/>
              <w:topLinePunct/>
              <w:adjustRightInd w:val="0"/>
              <w:snapToGrid w:val="0"/>
              <w:jc w:val="center"/>
              <w:rPr>
                <w:rFonts w:asciiTheme="minorEastAsia" w:hAnsiTheme="minorEastAsia" w:eastAsiaTheme="minorEastAsia"/>
                <w:kern w:val="0"/>
                <w:sz w:val="24"/>
                <w:szCs w:val="24"/>
              </w:rPr>
            </w:pPr>
          </w:p>
        </w:tc>
        <w:tc>
          <w:tcPr>
            <w:tcW w:w="597" w:type="pct"/>
          </w:tcPr>
          <w:p w14:paraId="34B2A0B6">
            <w:pPr>
              <w:keepNext/>
              <w:wordWrap w:val="0"/>
              <w:topLinePunct/>
              <w:adjustRightInd w:val="0"/>
              <w:snapToGrid w:val="0"/>
              <w:jc w:val="center"/>
              <w:rPr>
                <w:rFonts w:asciiTheme="minorEastAsia" w:hAnsiTheme="minorEastAsia" w:eastAsiaTheme="minorEastAsia"/>
                <w:kern w:val="0"/>
                <w:sz w:val="24"/>
                <w:szCs w:val="24"/>
              </w:rPr>
            </w:pPr>
          </w:p>
        </w:tc>
        <w:tc>
          <w:tcPr>
            <w:tcW w:w="249" w:type="pct"/>
          </w:tcPr>
          <w:p w14:paraId="5FAE22B7">
            <w:pPr>
              <w:keepNext/>
              <w:wordWrap w:val="0"/>
              <w:topLinePunct/>
              <w:adjustRightInd w:val="0"/>
              <w:snapToGrid w:val="0"/>
              <w:jc w:val="center"/>
              <w:rPr>
                <w:rFonts w:asciiTheme="minorEastAsia" w:hAnsiTheme="minorEastAsia" w:eastAsiaTheme="minorEastAsia"/>
                <w:kern w:val="0"/>
                <w:sz w:val="24"/>
                <w:szCs w:val="24"/>
              </w:rPr>
            </w:pPr>
          </w:p>
        </w:tc>
        <w:tc>
          <w:tcPr>
            <w:tcW w:w="446" w:type="pct"/>
          </w:tcPr>
          <w:p w14:paraId="7CF88888">
            <w:pPr>
              <w:keepNext/>
              <w:wordWrap w:val="0"/>
              <w:topLinePunct/>
              <w:adjustRightInd w:val="0"/>
              <w:snapToGrid w:val="0"/>
              <w:jc w:val="center"/>
              <w:rPr>
                <w:rFonts w:asciiTheme="minorEastAsia" w:hAnsiTheme="minorEastAsia" w:eastAsiaTheme="minorEastAsia"/>
                <w:kern w:val="0"/>
                <w:sz w:val="24"/>
                <w:szCs w:val="24"/>
              </w:rPr>
            </w:pPr>
          </w:p>
        </w:tc>
        <w:tc>
          <w:tcPr>
            <w:tcW w:w="591" w:type="pct"/>
          </w:tcPr>
          <w:p w14:paraId="7FEA70F5">
            <w:pPr>
              <w:keepNext/>
              <w:wordWrap w:val="0"/>
              <w:topLinePunct/>
              <w:adjustRightInd w:val="0"/>
              <w:snapToGrid w:val="0"/>
              <w:jc w:val="center"/>
              <w:rPr>
                <w:rFonts w:asciiTheme="minorEastAsia" w:hAnsiTheme="minorEastAsia" w:eastAsiaTheme="minorEastAsia"/>
                <w:kern w:val="0"/>
                <w:sz w:val="24"/>
                <w:szCs w:val="24"/>
              </w:rPr>
            </w:pPr>
          </w:p>
        </w:tc>
        <w:tc>
          <w:tcPr>
            <w:tcW w:w="497" w:type="pct"/>
          </w:tcPr>
          <w:p w14:paraId="770225F7">
            <w:pPr>
              <w:keepNext/>
              <w:wordWrap w:val="0"/>
              <w:topLinePunct/>
              <w:adjustRightInd w:val="0"/>
              <w:snapToGrid w:val="0"/>
              <w:jc w:val="center"/>
              <w:rPr>
                <w:rFonts w:asciiTheme="minorEastAsia" w:hAnsiTheme="minorEastAsia" w:eastAsiaTheme="minorEastAsia"/>
                <w:kern w:val="0"/>
                <w:sz w:val="24"/>
                <w:szCs w:val="24"/>
              </w:rPr>
            </w:pPr>
          </w:p>
        </w:tc>
        <w:tc>
          <w:tcPr>
            <w:tcW w:w="264" w:type="pct"/>
          </w:tcPr>
          <w:p w14:paraId="36BBE77B">
            <w:pPr>
              <w:keepNext/>
              <w:wordWrap w:val="0"/>
              <w:topLinePunct/>
              <w:adjustRightInd w:val="0"/>
              <w:snapToGrid w:val="0"/>
              <w:jc w:val="center"/>
              <w:rPr>
                <w:rFonts w:asciiTheme="minorEastAsia" w:hAnsiTheme="minorEastAsia" w:eastAsiaTheme="minorEastAsia"/>
                <w:kern w:val="0"/>
                <w:sz w:val="24"/>
                <w:szCs w:val="24"/>
              </w:rPr>
            </w:pPr>
          </w:p>
        </w:tc>
      </w:tr>
      <w:tr w14:paraId="3C03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80" w:type="pct"/>
          </w:tcPr>
          <w:p w14:paraId="0DCEC2FD">
            <w:pPr>
              <w:keepNext/>
              <w:wordWrap w:val="0"/>
              <w:topLinePunct/>
              <w:adjustRightInd w:val="0"/>
              <w:snapToGrid w:val="0"/>
              <w:spacing w:line="330" w:lineRule="atLeast"/>
              <w:jc w:val="left"/>
              <w:rPr>
                <w:rFonts w:asciiTheme="minorEastAsia" w:hAnsiTheme="minorEastAsia" w:eastAsiaTheme="minorEastAsia"/>
                <w:kern w:val="0"/>
                <w:sz w:val="24"/>
                <w:szCs w:val="24"/>
              </w:rPr>
            </w:pPr>
          </w:p>
        </w:tc>
        <w:tc>
          <w:tcPr>
            <w:tcW w:w="4619" w:type="pct"/>
            <w:gridSpan w:val="11"/>
          </w:tcPr>
          <w:p w14:paraId="130EE7AC">
            <w:pPr>
              <w:keepNext/>
              <w:wordWrap w:val="0"/>
              <w:topLinePunct/>
              <w:adjustRightInd w:val="0"/>
              <w:snapToGrid w:val="0"/>
              <w:spacing w:line="330" w:lineRule="atLeast"/>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大写：                                  小写：</w:t>
            </w:r>
            <w:r>
              <w:rPr>
                <w:rFonts w:cs="Arial" w:asciiTheme="minorEastAsia" w:hAnsiTheme="minorEastAsia" w:eastAsiaTheme="minorEastAsia"/>
                <w:kern w:val="0"/>
                <w:sz w:val="24"/>
                <w:szCs w:val="24"/>
              </w:rPr>
              <w:t>¥</w:t>
            </w:r>
          </w:p>
        </w:tc>
      </w:tr>
    </w:tbl>
    <w:p w14:paraId="235AD759">
      <w:pPr>
        <w:keepNext/>
        <w:wordWrap w:val="0"/>
        <w:topLinePunct/>
        <w:spacing w:line="330" w:lineRule="atLeast"/>
        <w:ind w:firstLine="420"/>
        <w:jc w:val="left"/>
        <w:rPr>
          <w:rFonts w:asciiTheme="minorEastAsia" w:hAnsiTheme="minorEastAsia" w:eastAsiaTheme="minorEastAsia"/>
          <w:kern w:val="0"/>
          <w:szCs w:val="21"/>
        </w:rPr>
      </w:pPr>
    </w:p>
    <w:p w14:paraId="717CAD2F">
      <w:pPr>
        <w:keepNext/>
        <w:wordWrap w:val="0"/>
        <w:topLinePunct/>
        <w:adjustRightInd w:val="0"/>
        <w:snapToGrid w:val="0"/>
        <w:spacing w:line="360" w:lineRule="auto"/>
        <w:ind w:firstLine="420"/>
        <w:rPr>
          <w:rFonts w:asciiTheme="minorEastAsia" w:hAnsiTheme="minorEastAsia" w:eastAsiaTheme="minorEastAsia"/>
          <w:kern w:val="0"/>
          <w:sz w:val="24"/>
          <w:szCs w:val="24"/>
        </w:rPr>
      </w:pPr>
      <w:r>
        <w:rPr>
          <w:rFonts w:asciiTheme="minorEastAsia" w:hAnsiTheme="minorEastAsia" w:eastAsiaTheme="minorEastAsia"/>
          <w:kern w:val="0"/>
          <w:sz w:val="24"/>
          <w:szCs w:val="24"/>
        </w:rPr>
        <w:t>注：生产厂家（制造商）企业类型填写：</w:t>
      </w:r>
      <w:r>
        <w:rPr>
          <w:rFonts w:hint="eastAsia" w:asciiTheme="minorEastAsia" w:hAnsiTheme="minorEastAsia" w:eastAsiaTheme="minorEastAsia"/>
          <w:kern w:val="0"/>
          <w:sz w:val="24"/>
          <w:szCs w:val="24"/>
        </w:rPr>
        <w:t>大型企业、</w:t>
      </w:r>
      <w:r>
        <w:rPr>
          <w:rFonts w:asciiTheme="minorEastAsia" w:hAnsiTheme="minorEastAsia" w:eastAsiaTheme="minorEastAsia"/>
          <w:kern w:val="0"/>
          <w:sz w:val="24"/>
          <w:szCs w:val="24"/>
        </w:rPr>
        <w:t>中型企业、小微企业、监狱企业、残疾人福利性单位。</w:t>
      </w:r>
    </w:p>
    <w:p w14:paraId="570CE506">
      <w:pPr>
        <w:keepNext/>
        <w:wordWrap w:val="0"/>
        <w:topLinePunct/>
        <w:adjustRightInd w:val="0"/>
        <w:snapToGrid w:val="0"/>
        <w:spacing w:line="360" w:lineRule="auto"/>
        <w:ind w:firstLine="420"/>
        <w:rPr>
          <w:rFonts w:cs="汉仪书宋二S" w:asciiTheme="minorEastAsia" w:hAnsiTheme="minorEastAsia" w:eastAsiaTheme="minorEastAsia"/>
          <w:sz w:val="24"/>
          <w:szCs w:val="24"/>
        </w:rPr>
      </w:pPr>
      <w:r>
        <w:rPr>
          <w:rFonts w:hint="eastAsia" w:cs="汉仪书宋二S" w:asciiTheme="minorEastAsia" w:hAnsiTheme="minorEastAsia" w:eastAsiaTheme="minorEastAsia"/>
          <w:sz w:val="24"/>
          <w:szCs w:val="24"/>
        </w:rPr>
        <w:t>其中：涉及信息类产品，请填写该产品关键部件的品牌、型号：</w:t>
      </w:r>
    </w:p>
    <w:p w14:paraId="24BB0840">
      <w:pPr>
        <w:keepNext/>
        <w:wordWrap w:val="0"/>
        <w:topLinePunct/>
        <w:adjustRightInd w:val="0"/>
        <w:snapToGrid w:val="0"/>
        <w:spacing w:line="360" w:lineRule="auto"/>
        <w:ind w:firstLine="420"/>
        <w:rPr>
          <w:rFonts w:cs="汉仪书宋二S" w:asciiTheme="minorEastAsia" w:hAnsiTheme="minorEastAsia" w:eastAsiaTheme="minorEastAsia"/>
          <w:sz w:val="24"/>
          <w:szCs w:val="24"/>
        </w:rPr>
      </w:pPr>
      <w:r>
        <w:rPr>
          <w:rFonts w:hint="eastAsia" w:cs="汉仪书宋二S" w:asciiTheme="minorEastAsia" w:hAnsiTheme="minorEastAsia" w:eastAsiaTheme="minorEastAsia"/>
          <w:sz w:val="24"/>
          <w:szCs w:val="24"/>
        </w:rPr>
        <w:t xml:space="preserve">标的名称：                      </w:t>
      </w:r>
    </w:p>
    <w:p w14:paraId="36383666">
      <w:pPr>
        <w:keepNext/>
        <w:wordWrap w:val="0"/>
        <w:topLinePunct/>
        <w:adjustRightInd w:val="0"/>
        <w:snapToGrid w:val="0"/>
        <w:spacing w:line="360" w:lineRule="auto"/>
        <w:ind w:firstLine="420"/>
        <w:rPr>
          <w:rFonts w:cs="汉仪书宋二S" w:asciiTheme="minorEastAsia" w:hAnsiTheme="minorEastAsia" w:eastAsiaTheme="minorEastAsia"/>
          <w:sz w:val="24"/>
          <w:szCs w:val="24"/>
        </w:rPr>
      </w:pPr>
      <w:r>
        <w:rPr>
          <w:rFonts w:hint="eastAsia" w:cs="汉仪书宋二S" w:asciiTheme="minorEastAsia" w:hAnsiTheme="minorEastAsia" w:eastAsiaTheme="minorEastAsia"/>
          <w:sz w:val="24"/>
          <w:szCs w:val="24"/>
        </w:rPr>
        <w:t xml:space="preserve">关键部件：           品牌：         型号：        </w:t>
      </w:r>
    </w:p>
    <w:p w14:paraId="7BA7F78D">
      <w:pPr>
        <w:keepNext/>
        <w:wordWrap w:val="0"/>
        <w:topLinePunct/>
        <w:adjustRightInd w:val="0"/>
        <w:snapToGrid w:val="0"/>
        <w:spacing w:line="360" w:lineRule="auto"/>
        <w:ind w:firstLine="420"/>
        <w:rPr>
          <w:rFonts w:cs="汉仪书宋二S" w:asciiTheme="minorEastAsia" w:hAnsiTheme="minorEastAsia" w:eastAsiaTheme="minorEastAsia"/>
          <w:sz w:val="24"/>
          <w:szCs w:val="24"/>
        </w:rPr>
      </w:pPr>
      <w:r>
        <w:rPr>
          <w:rFonts w:hint="eastAsia" w:cs="汉仪书宋二S" w:asciiTheme="minorEastAsia" w:hAnsiTheme="minorEastAsia" w:eastAsiaTheme="minorEastAsia"/>
          <w:sz w:val="24"/>
          <w:szCs w:val="24"/>
        </w:rPr>
        <w:t xml:space="preserve">关键部件：           品牌：         型号：               </w:t>
      </w:r>
    </w:p>
    <w:p w14:paraId="2D3447BE">
      <w:pPr>
        <w:keepNext/>
        <w:wordWrap w:val="0"/>
        <w:topLinePunct/>
        <w:adjustRightInd w:val="0"/>
        <w:snapToGrid w:val="0"/>
        <w:spacing w:line="360" w:lineRule="auto"/>
        <w:ind w:firstLine="420"/>
        <w:rPr>
          <w:rFonts w:hint="eastAsia" w:ascii="宋体" w:hAnsi="宋体" w:eastAsia="宋体" w:cs="宋体"/>
          <w:kern w:val="0"/>
          <w:sz w:val="24"/>
          <w:highlight w:val="none"/>
        </w:rPr>
      </w:pPr>
      <w:r>
        <w:rPr>
          <w:rFonts w:hint="eastAsia" w:cs="汉仪书宋二S" w:asciiTheme="minorEastAsia" w:hAnsiTheme="minorEastAsia" w:eastAsiaTheme="minorEastAsia"/>
          <w:sz w:val="24"/>
          <w:szCs w:val="24"/>
        </w:rPr>
        <w:t>（注：关键部件是指财政部会同有关部门发布的政府采购需求标准规定的需要通过国家有关部门指定的测评机构开展的安全可靠测评的软硬件，如CPU芯片、操作系统、数据库等。）</w:t>
      </w:r>
    </w:p>
    <w:p w14:paraId="559E8987">
      <w:pPr>
        <w:shd w:val="clear"/>
        <w:spacing w:line="330" w:lineRule="atLeast"/>
        <w:jc w:val="left"/>
        <w:rPr>
          <w:rFonts w:hint="eastAsia" w:ascii="宋体" w:hAnsi="宋体" w:eastAsia="宋体" w:cs="宋体"/>
          <w:kern w:val="0"/>
          <w:szCs w:val="21"/>
          <w:highlight w:val="none"/>
        </w:rPr>
      </w:pPr>
    </w:p>
    <w:p w14:paraId="27F33450">
      <w:pPr>
        <w:shd w:val="clear"/>
        <w:tabs>
          <w:tab w:val="left" w:pos="4000"/>
        </w:tabs>
        <w:snapToGrid w:val="0"/>
        <w:spacing w:line="360" w:lineRule="auto"/>
        <w:ind w:firstLine="2640" w:firstLineChars="1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(盖章)</w:t>
      </w:r>
    </w:p>
    <w:p w14:paraId="7D48B6F4">
      <w:pPr>
        <w:shd w:val="clear"/>
        <w:tabs>
          <w:tab w:val="left" w:pos="3760"/>
        </w:tabs>
        <w:snapToGrid w:val="0"/>
        <w:spacing w:line="360" w:lineRule="auto"/>
        <w:ind w:firstLine="2640" w:firstLineChars="1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投标人授权代表：</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(签字或盖章)</w:t>
      </w:r>
    </w:p>
    <w:p w14:paraId="3A72A47B">
      <w:pPr>
        <w:shd w:val="clear"/>
        <w:snapToGrid w:val="0"/>
        <w:spacing w:line="360" w:lineRule="auto"/>
        <w:rPr>
          <w:rFonts w:hint="eastAsia" w:ascii="宋体" w:hAnsi="宋体" w:eastAsia="宋体" w:cs="宋体"/>
          <w:b/>
          <w:kern w:val="0"/>
          <w:sz w:val="24"/>
          <w:highlight w:val="none"/>
        </w:rPr>
      </w:pPr>
      <w:r>
        <w:rPr>
          <w:rFonts w:hint="eastAsia" w:ascii="宋体" w:hAnsi="宋体" w:eastAsia="宋体" w:cs="宋体"/>
          <w:sz w:val="24"/>
          <w:highlight w:val="none"/>
        </w:rPr>
        <w:t xml:space="preserve">                      日      期：</w:t>
      </w:r>
      <w:r>
        <w:rPr>
          <w:rFonts w:hint="eastAsia" w:ascii="宋体" w:hAnsi="宋体" w:eastAsia="宋体" w:cs="宋体"/>
          <w:b/>
          <w:kern w:val="0"/>
          <w:sz w:val="24"/>
          <w:highlight w:val="none"/>
        </w:rPr>
        <w:br w:type="page"/>
      </w:r>
    </w:p>
    <w:p w14:paraId="5CE07A71">
      <w:pPr>
        <w:shd w:val="clear"/>
        <w:tabs>
          <w:tab w:val="left" w:pos="567"/>
        </w:tabs>
        <w:snapToGrid w:val="0"/>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5．商务条款响应表</w:t>
      </w:r>
    </w:p>
    <w:p w14:paraId="2BC1D5A3">
      <w:pPr>
        <w:shd w:val="clear"/>
        <w:snapToGrid w:val="0"/>
        <w:spacing w:line="360" w:lineRule="auto"/>
        <w:ind w:firstLine="561" w:firstLineChars="200"/>
        <w:jc w:val="center"/>
        <w:rPr>
          <w:rFonts w:hint="eastAsia" w:ascii="宋体" w:hAnsi="宋体" w:eastAsia="宋体" w:cs="宋体"/>
          <w:b/>
          <w:bCs/>
          <w:sz w:val="28"/>
          <w:szCs w:val="28"/>
          <w:highlight w:val="none"/>
        </w:rPr>
      </w:pPr>
    </w:p>
    <w:p w14:paraId="6E11F7E3">
      <w:pPr>
        <w:shd w:val="clear"/>
        <w:snapToGrid w:val="0"/>
        <w:spacing w:line="360" w:lineRule="auto"/>
        <w:ind w:firstLine="561" w:firstLineChars="200"/>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商务条款响应表</w:t>
      </w:r>
    </w:p>
    <w:p w14:paraId="3ADE0995">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项目名称：</w:t>
      </w:r>
    </w:p>
    <w:p w14:paraId="20BA5039">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p>
    <w:p w14:paraId="4DF83890">
      <w:pPr>
        <w:shd w:val="clear"/>
        <w:spacing w:line="330" w:lineRule="atLeast"/>
        <w:jc w:val="left"/>
        <w:rPr>
          <w:rFonts w:hint="eastAsia" w:ascii="宋体" w:hAnsi="宋体" w:eastAsia="宋体" w:cs="宋体"/>
          <w:kern w:val="0"/>
          <w:szCs w:val="21"/>
          <w:highlight w:val="none"/>
        </w:rPr>
      </w:pPr>
    </w:p>
    <w:tbl>
      <w:tblPr>
        <w:tblStyle w:val="31"/>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85"/>
        <w:gridCol w:w="3500"/>
        <w:gridCol w:w="3145"/>
        <w:gridCol w:w="1026"/>
      </w:tblGrid>
      <w:tr w14:paraId="02F3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790" w:type="dxa"/>
          </w:tcPr>
          <w:p w14:paraId="3E2AAB0F">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885" w:type="dxa"/>
          </w:tcPr>
          <w:p w14:paraId="1D9168F5">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项目</w:t>
            </w:r>
          </w:p>
        </w:tc>
        <w:tc>
          <w:tcPr>
            <w:tcW w:w="3500" w:type="dxa"/>
          </w:tcPr>
          <w:p w14:paraId="7206DD63">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招标文件商务要求</w:t>
            </w:r>
          </w:p>
        </w:tc>
        <w:tc>
          <w:tcPr>
            <w:tcW w:w="3145" w:type="dxa"/>
          </w:tcPr>
          <w:p w14:paraId="63827B33">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投标文件的对应响应</w:t>
            </w:r>
          </w:p>
        </w:tc>
        <w:tc>
          <w:tcPr>
            <w:tcW w:w="1026" w:type="dxa"/>
          </w:tcPr>
          <w:p w14:paraId="7399AA07">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说  明</w:t>
            </w:r>
          </w:p>
        </w:tc>
      </w:tr>
      <w:tr w14:paraId="7E1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0" w:type="dxa"/>
            <w:vAlign w:val="center"/>
          </w:tcPr>
          <w:p w14:paraId="09F30B38">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885" w:type="dxa"/>
            <w:vAlign w:val="center"/>
          </w:tcPr>
          <w:p w14:paraId="7A5CE736">
            <w:pPr>
              <w:shd w:val="clear"/>
              <w:snapToGrid w:val="0"/>
              <w:ind w:left="-42" w:leftChars="-20" w:right="-42" w:rightChars="-20"/>
              <w:jc w:val="center"/>
              <w:rPr>
                <w:rFonts w:hint="eastAsia" w:ascii="宋体" w:hAnsi="宋体" w:eastAsia="宋体" w:cs="宋体"/>
                <w:sz w:val="24"/>
                <w:highlight w:val="none"/>
              </w:rPr>
            </w:pPr>
          </w:p>
        </w:tc>
        <w:tc>
          <w:tcPr>
            <w:tcW w:w="3500" w:type="dxa"/>
          </w:tcPr>
          <w:p w14:paraId="18A91C5B">
            <w:pPr>
              <w:shd w:val="clear"/>
              <w:snapToGrid w:val="0"/>
              <w:spacing w:line="480" w:lineRule="exact"/>
              <w:jc w:val="left"/>
              <w:rPr>
                <w:rFonts w:hint="eastAsia" w:ascii="宋体" w:hAnsi="宋体" w:eastAsia="宋体" w:cs="宋体"/>
                <w:sz w:val="24"/>
                <w:highlight w:val="none"/>
              </w:rPr>
            </w:pPr>
          </w:p>
        </w:tc>
        <w:tc>
          <w:tcPr>
            <w:tcW w:w="3145" w:type="dxa"/>
          </w:tcPr>
          <w:p w14:paraId="5EDBD76C">
            <w:pPr>
              <w:shd w:val="clear"/>
              <w:snapToGrid w:val="0"/>
              <w:spacing w:line="480" w:lineRule="exact"/>
              <w:jc w:val="center"/>
              <w:rPr>
                <w:rFonts w:hint="eastAsia" w:ascii="宋体" w:hAnsi="宋体" w:eastAsia="宋体" w:cs="宋体"/>
                <w:sz w:val="24"/>
                <w:highlight w:val="none"/>
              </w:rPr>
            </w:pPr>
          </w:p>
        </w:tc>
        <w:tc>
          <w:tcPr>
            <w:tcW w:w="1026" w:type="dxa"/>
          </w:tcPr>
          <w:p w14:paraId="305837FD">
            <w:pPr>
              <w:shd w:val="clear"/>
              <w:snapToGrid w:val="0"/>
              <w:spacing w:line="480" w:lineRule="exact"/>
              <w:jc w:val="center"/>
              <w:rPr>
                <w:rFonts w:hint="eastAsia" w:ascii="宋体" w:hAnsi="宋体" w:eastAsia="宋体" w:cs="宋体"/>
                <w:sz w:val="24"/>
                <w:highlight w:val="none"/>
              </w:rPr>
            </w:pPr>
          </w:p>
        </w:tc>
      </w:tr>
      <w:tr w14:paraId="739D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0" w:type="dxa"/>
            <w:vAlign w:val="center"/>
          </w:tcPr>
          <w:p w14:paraId="7D846D37">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885" w:type="dxa"/>
            <w:vAlign w:val="center"/>
          </w:tcPr>
          <w:p w14:paraId="36087BE6">
            <w:pPr>
              <w:shd w:val="clear"/>
              <w:snapToGrid w:val="0"/>
              <w:ind w:left="-42" w:leftChars="-20" w:right="-42" w:rightChars="-20"/>
              <w:jc w:val="center"/>
              <w:rPr>
                <w:rFonts w:hint="eastAsia" w:ascii="宋体" w:hAnsi="宋体" w:eastAsia="宋体" w:cs="宋体"/>
                <w:sz w:val="24"/>
                <w:highlight w:val="none"/>
              </w:rPr>
            </w:pPr>
          </w:p>
        </w:tc>
        <w:tc>
          <w:tcPr>
            <w:tcW w:w="3500" w:type="dxa"/>
          </w:tcPr>
          <w:p w14:paraId="6F303471">
            <w:pPr>
              <w:shd w:val="clear"/>
              <w:snapToGrid w:val="0"/>
              <w:spacing w:line="480" w:lineRule="exact"/>
              <w:jc w:val="left"/>
              <w:rPr>
                <w:rFonts w:hint="eastAsia" w:ascii="宋体" w:hAnsi="宋体" w:eastAsia="宋体" w:cs="宋体"/>
                <w:kern w:val="0"/>
                <w:sz w:val="24"/>
                <w:highlight w:val="none"/>
              </w:rPr>
            </w:pPr>
          </w:p>
        </w:tc>
        <w:tc>
          <w:tcPr>
            <w:tcW w:w="3145" w:type="dxa"/>
          </w:tcPr>
          <w:p w14:paraId="3FEC4FEC">
            <w:pPr>
              <w:shd w:val="clear"/>
              <w:snapToGrid w:val="0"/>
              <w:spacing w:line="480" w:lineRule="exact"/>
              <w:jc w:val="center"/>
              <w:rPr>
                <w:rFonts w:hint="eastAsia" w:ascii="宋体" w:hAnsi="宋体" w:eastAsia="宋体" w:cs="宋体"/>
                <w:sz w:val="24"/>
                <w:highlight w:val="none"/>
              </w:rPr>
            </w:pPr>
          </w:p>
        </w:tc>
        <w:tc>
          <w:tcPr>
            <w:tcW w:w="1026" w:type="dxa"/>
          </w:tcPr>
          <w:p w14:paraId="63DC3CA6">
            <w:pPr>
              <w:shd w:val="clear"/>
              <w:snapToGrid w:val="0"/>
              <w:spacing w:line="480" w:lineRule="exact"/>
              <w:jc w:val="center"/>
              <w:rPr>
                <w:rFonts w:hint="eastAsia" w:ascii="宋体" w:hAnsi="宋体" w:eastAsia="宋体" w:cs="宋体"/>
                <w:sz w:val="24"/>
                <w:highlight w:val="none"/>
              </w:rPr>
            </w:pPr>
          </w:p>
        </w:tc>
      </w:tr>
      <w:tr w14:paraId="29C4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0" w:type="dxa"/>
            <w:vAlign w:val="center"/>
          </w:tcPr>
          <w:p w14:paraId="75E3D0E1">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885" w:type="dxa"/>
            <w:vAlign w:val="center"/>
          </w:tcPr>
          <w:p w14:paraId="3D43142F">
            <w:pPr>
              <w:shd w:val="clear"/>
              <w:snapToGrid w:val="0"/>
              <w:ind w:left="-42" w:leftChars="-20" w:right="-42" w:rightChars="-20"/>
              <w:jc w:val="center"/>
              <w:rPr>
                <w:rFonts w:hint="eastAsia" w:ascii="宋体" w:hAnsi="宋体" w:eastAsia="宋体" w:cs="宋体"/>
                <w:sz w:val="24"/>
                <w:highlight w:val="none"/>
              </w:rPr>
            </w:pPr>
          </w:p>
        </w:tc>
        <w:tc>
          <w:tcPr>
            <w:tcW w:w="3500" w:type="dxa"/>
            <w:vAlign w:val="center"/>
          </w:tcPr>
          <w:p w14:paraId="0019BDA4">
            <w:pPr>
              <w:shd w:val="clear"/>
              <w:spacing w:line="360" w:lineRule="auto"/>
              <w:jc w:val="center"/>
              <w:rPr>
                <w:rFonts w:hint="eastAsia" w:ascii="宋体" w:hAnsi="宋体" w:eastAsia="宋体" w:cs="宋体"/>
                <w:sz w:val="24"/>
                <w:highlight w:val="none"/>
              </w:rPr>
            </w:pPr>
          </w:p>
        </w:tc>
        <w:tc>
          <w:tcPr>
            <w:tcW w:w="3145" w:type="dxa"/>
          </w:tcPr>
          <w:p w14:paraId="2BB34260">
            <w:pPr>
              <w:shd w:val="clear"/>
              <w:snapToGrid w:val="0"/>
              <w:spacing w:line="480" w:lineRule="exact"/>
              <w:jc w:val="center"/>
              <w:rPr>
                <w:rFonts w:hint="eastAsia" w:ascii="宋体" w:hAnsi="宋体" w:eastAsia="宋体" w:cs="宋体"/>
                <w:sz w:val="24"/>
                <w:highlight w:val="none"/>
              </w:rPr>
            </w:pPr>
          </w:p>
        </w:tc>
        <w:tc>
          <w:tcPr>
            <w:tcW w:w="1026" w:type="dxa"/>
          </w:tcPr>
          <w:p w14:paraId="152C7149">
            <w:pPr>
              <w:shd w:val="clear"/>
              <w:snapToGrid w:val="0"/>
              <w:spacing w:line="480" w:lineRule="exact"/>
              <w:jc w:val="center"/>
              <w:rPr>
                <w:rFonts w:hint="eastAsia" w:ascii="宋体" w:hAnsi="宋体" w:eastAsia="宋体" w:cs="宋体"/>
                <w:sz w:val="24"/>
                <w:highlight w:val="none"/>
              </w:rPr>
            </w:pPr>
          </w:p>
        </w:tc>
      </w:tr>
      <w:tr w14:paraId="2F8A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0" w:type="dxa"/>
            <w:vAlign w:val="center"/>
          </w:tcPr>
          <w:p w14:paraId="05579C66">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885" w:type="dxa"/>
            <w:vAlign w:val="center"/>
          </w:tcPr>
          <w:p w14:paraId="71283E0E">
            <w:pPr>
              <w:shd w:val="clear"/>
              <w:snapToGrid w:val="0"/>
              <w:ind w:left="-42" w:leftChars="-20" w:right="-42" w:rightChars="-20"/>
              <w:jc w:val="center"/>
              <w:rPr>
                <w:rFonts w:hint="eastAsia" w:ascii="宋体" w:hAnsi="宋体" w:eastAsia="宋体" w:cs="宋体"/>
                <w:sz w:val="24"/>
                <w:highlight w:val="none"/>
              </w:rPr>
            </w:pPr>
          </w:p>
        </w:tc>
        <w:tc>
          <w:tcPr>
            <w:tcW w:w="3500" w:type="dxa"/>
          </w:tcPr>
          <w:p w14:paraId="2AEE6311">
            <w:pPr>
              <w:shd w:val="clear"/>
              <w:snapToGrid w:val="0"/>
              <w:spacing w:line="480" w:lineRule="exact"/>
              <w:jc w:val="left"/>
              <w:rPr>
                <w:rFonts w:hint="eastAsia" w:ascii="宋体" w:hAnsi="宋体" w:eastAsia="宋体" w:cs="宋体"/>
                <w:sz w:val="24"/>
                <w:highlight w:val="none"/>
              </w:rPr>
            </w:pPr>
          </w:p>
        </w:tc>
        <w:tc>
          <w:tcPr>
            <w:tcW w:w="3145" w:type="dxa"/>
          </w:tcPr>
          <w:p w14:paraId="58DB5EC6">
            <w:pPr>
              <w:shd w:val="clear"/>
              <w:snapToGrid w:val="0"/>
              <w:spacing w:line="480" w:lineRule="exact"/>
              <w:jc w:val="center"/>
              <w:rPr>
                <w:rFonts w:hint="eastAsia" w:ascii="宋体" w:hAnsi="宋体" w:eastAsia="宋体" w:cs="宋体"/>
                <w:sz w:val="24"/>
                <w:highlight w:val="none"/>
              </w:rPr>
            </w:pPr>
          </w:p>
        </w:tc>
        <w:tc>
          <w:tcPr>
            <w:tcW w:w="1026" w:type="dxa"/>
          </w:tcPr>
          <w:p w14:paraId="48764F38">
            <w:pPr>
              <w:shd w:val="clear"/>
              <w:snapToGrid w:val="0"/>
              <w:spacing w:line="480" w:lineRule="exact"/>
              <w:jc w:val="center"/>
              <w:rPr>
                <w:rFonts w:hint="eastAsia" w:ascii="宋体" w:hAnsi="宋体" w:eastAsia="宋体" w:cs="宋体"/>
                <w:sz w:val="24"/>
                <w:highlight w:val="none"/>
              </w:rPr>
            </w:pPr>
          </w:p>
        </w:tc>
      </w:tr>
      <w:tr w14:paraId="749B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0" w:type="dxa"/>
            <w:vAlign w:val="center"/>
          </w:tcPr>
          <w:p w14:paraId="7059B3E5">
            <w:pPr>
              <w:shd w:val="clear"/>
              <w:snapToGrid w:val="0"/>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885" w:type="dxa"/>
            <w:vAlign w:val="center"/>
          </w:tcPr>
          <w:p w14:paraId="629229C1">
            <w:pPr>
              <w:shd w:val="clear"/>
              <w:snapToGrid w:val="0"/>
              <w:ind w:left="-42" w:leftChars="-20" w:right="-42" w:rightChars="-20"/>
              <w:jc w:val="center"/>
              <w:rPr>
                <w:rFonts w:hint="eastAsia" w:ascii="宋体" w:hAnsi="宋体" w:eastAsia="宋体" w:cs="宋体"/>
                <w:sz w:val="24"/>
                <w:highlight w:val="none"/>
              </w:rPr>
            </w:pPr>
          </w:p>
        </w:tc>
        <w:tc>
          <w:tcPr>
            <w:tcW w:w="3500" w:type="dxa"/>
            <w:vAlign w:val="center"/>
          </w:tcPr>
          <w:p w14:paraId="1DE2547A">
            <w:pPr>
              <w:shd w:val="clear"/>
              <w:spacing w:line="360" w:lineRule="auto"/>
              <w:jc w:val="center"/>
              <w:rPr>
                <w:rFonts w:hint="eastAsia" w:ascii="宋体" w:hAnsi="宋体" w:eastAsia="宋体" w:cs="宋体"/>
                <w:sz w:val="24"/>
                <w:highlight w:val="none"/>
              </w:rPr>
            </w:pPr>
            <w:r>
              <w:rPr>
                <w:rFonts w:hint="eastAsia" w:ascii="宋体" w:hAnsi="宋体" w:eastAsia="宋体" w:cs="宋体"/>
                <w:b/>
                <w:kern w:val="0"/>
                <w:sz w:val="24"/>
                <w:highlight w:val="none"/>
              </w:rPr>
              <w:t>......</w:t>
            </w:r>
          </w:p>
        </w:tc>
        <w:tc>
          <w:tcPr>
            <w:tcW w:w="3145" w:type="dxa"/>
            <w:vAlign w:val="center"/>
          </w:tcPr>
          <w:p w14:paraId="6FF6E511">
            <w:pPr>
              <w:shd w:val="clear"/>
              <w:snapToGrid w:val="0"/>
              <w:spacing w:line="360" w:lineRule="auto"/>
              <w:jc w:val="center"/>
              <w:rPr>
                <w:rFonts w:hint="eastAsia" w:ascii="宋体" w:hAnsi="宋体" w:eastAsia="宋体" w:cs="宋体"/>
                <w:sz w:val="24"/>
                <w:highlight w:val="none"/>
              </w:rPr>
            </w:pPr>
            <w:r>
              <w:rPr>
                <w:rFonts w:hint="eastAsia" w:ascii="宋体" w:hAnsi="宋体" w:eastAsia="宋体" w:cs="宋体"/>
                <w:b/>
                <w:kern w:val="0"/>
                <w:sz w:val="24"/>
                <w:highlight w:val="none"/>
              </w:rPr>
              <w:t>......</w:t>
            </w:r>
          </w:p>
        </w:tc>
        <w:tc>
          <w:tcPr>
            <w:tcW w:w="1026" w:type="dxa"/>
          </w:tcPr>
          <w:p w14:paraId="6DADAD4F">
            <w:pPr>
              <w:shd w:val="clear"/>
              <w:snapToGrid w:val="0"/>
              <w:spacing w:line="480" w:lineRule="exact"/>
              <w:jc w:val="center"/>
              <w:rPr>
                <w:rFonts w:hint="eastAsia" w:ascii="宋体" w:hAnsi="宋体" w:eastAsia="宋体" w:cs="宋体"/>
                <w:sz w:val="24"/>
                <w:highlight w:val="none"/>
              </w:rPr>
            </w:pPr>
          </w:p>
        </w:tc>
      </w:tr>
    </w:tbl>
    <w:p w14:paraId="4FB4C90F">
      <w:pPr>
        <w:shd w:val="clear"/>
        <w:snapToGrid w:val="0"/>
        <w:rPr>
          <w:rFonts w:hint="eastAsia" w:ascii="宋体" w:hAnsi="宋体" w:eastAsia="宋体" w:cs="宋体"/>
          <w:sz w:val="24"/>
          <w:highlight w:val="none"/>
          <w:u w:val="single"/>
        </w:rPr>
      </w:pPr>
    </w:p>
    <w:p w14:paraId="4A96C04F">
      <w:pPr>
        <w:shd w:val="clear"/>
        <w:tabs>
          <w:tab w:val="left" w:pos="4000"/>
        </w:tabs>
        <w:snapToGrid w:val="0"/>
        <w:spacing w:line="480" w:lineRule="auto"/>
        <w:ind w:firstLine="2400" w:firstLineChars="1000"/>
        <w:jc w:val="left"/>
        <w:rPr>
          <w:rFonts w:hint="eastAsia" w:ascii="宋体" w:hAnsi="宋体" w:eastAsia="宋体" w:cs="宋体"/>
          <w:kern w:val="0"/>
          <w:sz w:val="24"/>
          <w:highlight w:val="none"/>
        </w:rPr>
      </w:pPr>
    </w:p>
    <w:p w14:paraId="08227578">
      <w:pPr>
        <w:pStyle w:val="13"/>
        <w:shd w:val="clear"/>
        <w:rPr>
          <w:rFonts w:hint="eastAsia" w:ascii="宋体" w:hAnsi="宋体" w:eastAsia="宋体" w:cs="宋体"/>
          <w:kern w:val="0"/>
          <w:sz w:val="24"/>
          <w:highlight w:val="none"/>
        </w:rPr>
      </w:pPr>
    </w:p>
    <w:p w14:paraId="37C4E190">
      <w:pPr>
        <w:pStyle w:val="13"/>
        <w:shd w:val="clear"/>
        <w:rPr>
          <w:rFonts w:hint="eastAsia" w:ascii="宋体" w:hAnsi="宋体" w:eastAsia="宋体" w:cs="宋体"/>
          <w:kern w:val="0"/>
          <w:sz w:val="24"/>
          <w:highlight w:val="none"/>
        </w:rPr>
      </w:pPr>
    </w:p>
    <w:p w14:paraId="4F34D334">
      <w:pPr>
        <w:pStyle w:val="13"/>
        <w:shd w:val="clear"/>
        <w:rPr>
          <w:rFonts w:hint="eastAsia" w:ascii="宋体" w:hAnsi="宋体" w:eastAsia="宋体" w:cs="宋体"/>
          <w:kern w:val="0"/>
          <w:sz w:val="24"/>
          <w:highlight w:val="none"/>
        </w:rPr>
      </w:pPr>
    </w:p>
    <w:p w14:paraId="439DCEFC">
      <w:pPr>
        <w:shd w:val="clear"/>
        <w:tabs>
          <w:tab w:val="left" w:pos="4000"/>
        </w:tabs>
        <w:snapToGrid w:val="0"/>
        <w:spacing w:line="480" w:lineRule="auto"/>
        <w:ind w:firstLine="2400" w:firstLineChars="1000"/>
        <w:jc w:val="left"/>
        <w:rPr>
          <w:rFonts w:hint="eastAsia" w:ascii="宋体" w:hAnsi="宋体" w:eastAsia="宋体" w:cs="宋体"/>
          <w:kern w:val="0"/>
          <w:sz w:val="24"/>
          <w:highlight w:val="none"/>
        </w:rPr>
      </w:pPr>
    </w:p>
    <w:p w14:paraId="324FFFE6">
      <w:pPr>
        <w:shd w:val="clear"/>
        <w:tabs>
          <w:tab w:val="left" w:pos="4000"/>
        </w:tabs>
        <w:snapToGrid w:val="0"/>
        <w:spacing w:line="480" w:lineRule="auto"/>
        <w:ind w:firstLine="2400" w:firstLineChars="10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(盖章)</w:t>
      </w:r>
    </w:p>
    <w:p w14:paraId="13E7892D">
      <w:pPr>
        <w:shd w:val="clear"/>
        <w:tabs>
          <w:tab w:val="left" w:pos="4000"/>
        </w:tabs>
        <w:snapToGrid w:val="0"/>
        <w:spacing w:line="480" w:lineRule="auto"/>
        <w:ind w:firstLine="2400" w:firstLineChars="10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投标人授权代表：</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(签字或盖章)</w:t>
      </w:r>
    </w:p>
    <w:p w14:paraId="60E1E9BC">
      <w:pPr>
        <w:shd w:val="clear"/>
        <w:snapToGrid w:val="0"/>
        <w:spacing w:line="480" w:lineRule="auto"/>
        <w:rPr>
          <w:rFonts w:hint="eastAsia" w:ascii="宋体" w:hAnsi="宋体" w:eastAsia="宋体" w:cs="宋体"/>
          <w:b/>
          <w:kern w:val="0"/>
          <w:sz w:val="24"/>
          <w:highlight w:val="none"/>
        </w:rPr>
        <w:sectPr>
          <w:pgSz w:w="11906" w:h="16838"/>
          <w:pgMar w:top="1440" w:right="1486" w:bottom="1440" w:left="148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sz w:val="24"/>
          <w:highlight w:val="none"/>
        </w:rPr>
        <w:t xml:space="preserve">                    日      期：</w:t>
      </w:r>
    </w:p>
    <w:p w14:paraId="185E19EC">
      <w:pPr>
        <w:shd w:val="clear"/>
        <w:tabs>
          <w:tab w:val="left" w:pos="567"/>
        </w:tabs>
        <w:snapToGrid w:val="0"/>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6．</w:t>
      </w:r>
      <w:r>
        <w:rPr>
          <w:rFonts w:ascii="宋体" w:hAnsi="宋体"/>
          <w:b/>
          <w:kern w:val="0"/>
          <w:sz w:val="24"/>
        </w:rPr>
        <w:t>技术规范响应及偏离表</w:t>
      </w:r>
    </w:p>
    <w:p w14:paraId="653FF8DF">
      <w:pPr>
        <w:shd w:val="clear"/>
        <w:tabs>
          <w:tab w:val="left" w:pos="-1980"/>
        </w:tabs>
        <w:snapToGrid w:val="0"/>
        <w:spacing w:line="600" w:lineRule="exact"/>
        <w:jc w:val="center"/>
        <w:rPr>
          <w:rFonts w:hint="eastAsia" w:ascii="宋体" w:hAnsi="宋体" w:eastAsia="宋体" w:cs="宋体"/>
          <w:b/>
          <w:spacing w:val="20"/>
          <w:kern w:val="0"/>
          <w:sz w:val="28"/>
          <w:szCs w:val="28"/>
          <w:highlight w:val="none"/>
        </w:rPr>
      </w:pPr>
      <w:r>
        <w:rPr>
          <w:rFonts w:hint="eastAsia" w:ascii="宋体" w:hAnsi="宋体" w:eastAsia="宋体" w:cs="宋体"/>
          <w:b/>
          <w:spacing w:val="20"/>
          <w:kern w:val="0"/>
          <w:sz w:val="28"/>
          <w:szCs w:val="28"/>
          <w:highlight w:val="none"/>
          <w:lang w:val="en-US" w:eastAsia="zh-CN"/>
        </w:rPr>
        <w:t>技术规范响应及偏离表</w:t>
      </w:r>
    </w:p>
    <w:p w14:paraId="7029D5CB">
      <w:pPr>
        <w:shd w:val="clear"/>
        <w:spacing w:line="580" w:lineRule="exact"/>
        <w:jc w:val="left"/>
        <w:rPr>
          <w:rFonts w:hint="eastAsia" w:ascii="宋体" w:hAnsi="宋体" w:eastAsia="宋体" w:cs="宋体"/>
          <w:kern w:val="0"/>
          <w:sz w:val="24"/>
          <w:highlight w:val="none"/>
        </w:rPr>
      </w:pPr>
    </w:p>
    <w:p w14:paraId="61C90488">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项目名称：</w:t>
      </w:r>
    </w:p>
    <w:p w14:paraId="468F06A9">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p>
    <w:p w14:paraId="17A3BF19">
      <w:pPr>
        <w:shd w:val="clear"/>
        <w:tabs>
          <w:tab w:val="left" w:pos="4000"/>
        </w:tabs>
        <w:snapToGrid w:val="0"/>
        <w:spacing w:line="600" w:lineRule="exact"/>
        <w:jc w:val="center"/>
        <w:rPr>
          <w:rFonts w:hint="eastAsia" w:ascii="宋体" w:hAnsi="宋体" w:eastAsia="宋体" w:cs="宋体"/>
          <w:kern w:val="0"/>
          <w:sz w:val="24"/>
          <w:highlight w:val="none"/>
        </w:rPr>
      </w:pPr>
      <w:r>
        <w:rPr>
          <w:rFonts w:hint="eastAsia" w:ascii="宋体" w:hAnsi="宋体" w:eastAsia="宋体" w:cs="宋体"/>
          <w:spacing w:val="20"/>
          <w:kern w:val="0"/>
          <w:sz w:val="24"/>
          <w:highlight w:val="none"/>
        </w:rPr>
        <w:t> </w:t>
      </w:r>
    </w:p>
    <w:tbl>
      <w:tblPr>
        <w:tblStyle w:val="31"/>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62"/>
        <w:gridCol w:w="1872"/>
        <w:gridCol w:w="1176"/>
        <w:gridCol w:w="2052"/>
        <w:gridCol w:w="1358"/>
        <w:gridCol w:w="1304"/>
        <w:gridCol w:w="561"/>
      </w:tblGrid>
      <w:tr w14:paraId="16BE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368" w:type="pct"/>
            <w:tcBorders>
              <w:top w:val="single" w:color="000000" w:sz="6" w:space="0"/>
              <w:left w:val="single" w:color="000000" w:sz="6" w:space="0"/>
              <w:bottom w:val="single" w:color="000000" w:sz="6" w:space="0"/>
              <w:right w:val="single" w:color="auto" w:sz="4" w:space="0"/>
            </w:tcBorders>
            <w:vAlign w:val="center"/>
          </w:tcPr>
          <w:p w14:paraId="05AE21B7">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041" w:type="pct"/>
            <w:tcBorders>
              <w:top w:val="single" w:color="000000" w:sz="6" w:space="0"/>
              <w:left w:val="single" w:color="auto" w:sz="4" w:space="0"/>
              <w:bottom w:val="single" w:color="000000" w:sz="6" w:space="0"/>
              <w:right w:val="single" w:color="000000" w:sz="6" w:space="0"/>
            </w:tcBorders>
            <w:vAlign w:val="center"/>
          </w:tcPr>
          <w:p w14:paraId="68E3954F">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bCs/>
                <w:sz w:val="24"/>
                <w:highlight w:val="none"/>
              </w:rPr>
              <w:t>货物名称</w:t>
            </w:r>
          </w:p>
        </w:tc>
        <w:tc>
          <w:tcPr>
            <w:tcW w:w="654" w:type="pct"/>
            <w:tcBorders>
              <w:top w:val="single" w:color="000000" w:sz="6" w:space="0"/>
              <w:left w:val="single" w:color="000000" w:sz="6" w:space="0"/>
              <w:bottom w:val="single" w:color="000000" w:sz="6" w:space="0"/>
              <w:right w:val="single" w:color="000000" w:sz="6" w:space="0"/>
            </w:tcBorders>
            <w:vAlign w:val="center"/>
          </w:tcPr>
          <w:p w14:paraId="32D361C5">
            <w:pPr>
              <w:shd w:val="clear"/>
              <w:snapToGrid w:val="0"/>
              <w:spacing w:line="400" w:lineRule="exact"/>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数量</w:t>
            </w:r>
          </w:p>
        </w:tc>
        <w:tc>
          <w:tcPr>
            <w:tcW w:w="1141" w:type="pct"/>
            <w:tcBorders>
              <w:top w:val="single" w:color="000000" w:sz="6" w:space="0"/>
              <w:left w:val="single" w:color="000000" w:sz="6" w:space="0"/>
              <w:bottom w:val="single" w:color="000000" w:sz="6" w:space="0"/>
              <w:right w:val="single" w:color="000000" w:sz="6" w:space="0"/>
            </w:tcBorders>
            <w:vAlign w:val="center"/>
          </w:tcPr>
          <w:p w14:paraId="20BE2811">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招标文件技术</w:t>
            </w:r>
          </w:p>
          <w:p w14:paraId="3DF4BCCB">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规范、要求</w:t>
            </w:r>
          </w:p>
        </w:tc>
        <w:tc>
          <w:tcPr>
            <w:tcW w:w="755" w:type="pct"/>
            <w:tcBorders>
              <w:top w:val="single" w:color="000000" w:sz="6" w:space="0"/>
              <w:left w:val="single" w:color="000000" w:sz="6" w:space="0"/>
              <w:bottom w:val="single" w:color="000000" w:sz="6" w:space="0"/>
              <w:right w:val="single" w:color="000000" w:sz="6" w:space="0"/>
            </w:tcBorders>
            <w:vAlign w:val="center"/>
          </w:tcPr>
          <w:p w14:paraId="636FA95C">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投标文件</w:t>
            </w:r>
          </w:p>
          <w:p w14:paraId="07FFCDD7">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对应规范</w:t>
            </w:r>
          </w:p>
        </w:tc>
        <w:tc>
          <w:tcPr>
            <w:tcW w:w="725" w:type="pct"/>
            <w:tcBorders>
              <w:top w:val="single" w:color="000000" w:sz="6" w:space="0"/>
              <w:left w:val="single" w:color="000000" w:sz="6" w:space="0"/>
              <w:bottom w:val="single" w:color="000000" w:sz="6" w:space="0"/>
              <w:right w:val="single" w:color="000000" w:sz="6" w:space="0"/>
            </w:tcBorders>
            <w:vAlign w:val="center"/>
          </w:tcPr>
          <w:p w14:paraId="2522E8D8">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偏离情况</w:t>
            </w:r>
          </w:p>
        </w:tc>
        <w:tc>
          <w:tcPr>
            <w:tcW w:w="312" w:type="pct"/>
            <w:tcBorders>
              <w:top w:val="single" w:color="000000" w:sz="6" w:space="0"/>
              <w:left w:val="single" w:color="000000" w:sz="6" w:space="0"/>
              <w:bottom w:val="single" w:color="000000" w:sz="6" w:space="0"/>
              <w:right w:val="single" w:color="000000" w:sz="6" w:space="0"/>
            </w:tcBorders>
            <w:vAlign w:val="center"/>
          </w:tcPr>
          <w:p w14:paraId="67FC4974">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备注</w:t>
            </w:r>
          </w:p>
        </w:tc>
      </w:tr>
      <w:tr w14:paraId="5F9A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368" w:type="pct"/>
            <w:tcBorders>
              <w:top w:val="single" w:color="000000" w:sz="6" w:space="0"/>
              <w:left w:val="single" w:color="000000" w:sz="6" w:space="0"/>
              <w:bottom w:val="single" w:color="000000" w:sz="6" w:space="0"/>
              <w:right w:val="single" w:color="auto" w:sz="4" w:space="0"/>
            </w:tcBorders>
            <w:vAlign w:val="center"/>
          </w:tcPr>
          <w:p w14:paraId="61B86E96">
            <w:pPr>
              <w:shd w:val="clea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041" w:type="pct"/>
            <w:tcBorders>
              <w:top w:val="single" w:color="000000" w:sz="6" w:space="0"/>
              <w:left w:val="single" w:color="auto" w:sz="4" w:space="0"/>
              <w:bottom w:val="single" w:color="000000" w:sz="6" w:space="0"/>
              <w:right w:val="single" w:color="000000" w:sz="6" w:space="0"/>
            </w:tcBorders>
            <w:vAlign w:val="center"/>
          </w:tcPr>
          <w:p w14:paraId="156CD9EA">
            <w:pPr>
              <w:shd w:val="clear"/>
              <w:jc w:val="center"/>
              <w:rPr>
                <w:rFonts w:hint="eastAsia" w:ascii="宋体" w:hAnsi="宋体" w:eastAsia="宋体" w:cs="宋体"/>
                <w:kern w:val="0"/>
                <w:sz w:val="24"/>
                <w:highlight w:val="none"/>
              </w:rPr>
            </w:pPr>
          </w:p>
        </w:tc>
        <w:tc>
          <w:tcPr>
            <w:tcW w:w="654" w:type="pct"/>
            <w:tcBorders>
              <w:top w:val="single" w:color="000000" w:sz="6" w:space="0"/>
              <w:left w:val="single" w:color="000000" w:sz="6" w:space="0"/>
              <w:bottom w:val="single" w:color="000000" w:sz="6" w:space="0"/>
              <w:right w:val="single" w:color="000000" w:sz="6" w:space="0"/>
            </w:tcBorders>
            <w:vAlign w:val="center"/>
          </w:tcPr>
          <w:p w14:paraId="4B0EC818">
            <w:pPr>
              <w:shd w:val="clear"/>
              <w:jc w:val="center"/>
              <w:rPr>
                <w:rFonts w:hint="eastAsia" w:ascii="宋体" w:hAnsi="宋体" w:eastAsia="宋体" w:cs="宋体"/>
                <w:kern w:val="0"/>
                <w:sz w:val="24"/>
                <w:highlight w:val="none"/>
              </w:rPr>
            </w:pPr>
          </w:p>
        </w:tc>
        <w:tc>
          <w:tcPr>
            <w:tcW w:w="1141" w:type="pct"/>
            <w:tcBorders>
              <w:top w:val="single" w:color="000000" w:sz="6" w:space="0"/>
              <w:left w:val="single" w:color="000000" w:sz="6" w:space="0"/>
              <w:bottom w:val="single" w:color="000000" w:sz="6" w:space="0"/>
              <w:right w:val="single" w:color="000000" w:sz="6" w:space="0"/>
            </w:tcBorders>
            <w:vAlign w:val="center"/>
          </w:tcPr>
          <w:p w14:paraId="30304ECA">
            <w:pPr>
              <w:shd w:val="clear"/>
              <w:spacing w:line="360" w:lineRule="auto"/>
              <w:rPr>
                <w:rFonts w:hint="eastAsia" w:ascii="宋体" w:hAnsi="宋体" w:eastAsia="宋体" w:cs="宋体"/>
                <w:kern w:val="0"/>
                <w:sz w:val="24"/>
                <w:highlight w:val="none"/>
              </w:rPr>
            </w:pPr>
          </w:p>
        </w:tc>
        <w:tc>
          <w:tcPr>
            <w:tcW w:w="755" w:type="pct"/>
            <w:tcBorders>
              <w:top w:val="single" w:color="000000" w:sz="6" w:space="0"/>
              <w:left w:val="single" w:color="000000" w:sz="6" w:space="0"/>
              <w:bottom w:val="single" w:color="000000" w:sz="6" w:space="0"/>
              <w:right w:val="single" w:color="000000" w:sz="6" w:space="0"/>
            </w:tcBorders>
            <w:vAlign w:val="center"/>
          </w:tcPr>
          <w:p w14:paraId="3CFE9D9D">
            <w:pPr>
              <w:shd w:val="clear"/>
              <w:snapToGrid w:val="0"/>
              <w:spacing w:line="400" w:lineRule="exact"/>
              <w:jc w:val="center"/>
              <w:rPr>
                <w:rFonts w:hint="eastAsia" w:ascii="宋体" w:hAnsi="宋体" w:eastAsia="宋体" w:cs="宋体"/>
                <w:kern w:val="0"/>
                <w:sz w:val="24"/>
                <w:highlight w:val="none"/>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2C33CD85">
            <w:pPr>
              <w:shd w:val="clear"/>
              <w:snapToGrid w:val="0"/>
              <w:spacing w:line="400" w:lineRule="exact"/>
              <w:jc w:val="center"/>
              <w:rPr>
                <w:rFonts w:hint="eastAsia" w:ascii="宋体" w:hAnsi="宋体" w:eastAsia="宋体" w:cs="宋体"/>
                <w:kern w:val="0"/>
                <w:sz w:val="24"/>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594BDC27">
            <w:pPr>
              <w:shd w:val="clear"/>
              <w:snapToGrid w:val="0"/>
              <w:spacing w:line="400" w:lineRule="exact"/>
              <w:jc w:val="center"/>
              <w:rPr>
                <w:rFonts w:hint="eastAsia" w:ascii="宋体" w:hAnsi="宋体" w:eastAsia="宋体" w:cs="宋体"/>
                <w:kern w:val="0"/>
                <w:sz w:val="24"/>
                <w:highlight w:val="none"/>
              </w:rPr>
            </w:pPr>
          </w:p>
        </w:tc>
      </w:tr>
      <w:tr w14:paraId="057FD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368" w:type="pct"/>
            <w:tcBorders>
              <w:top w:val="single" w:color="000000" w:sz="6" w:space="0"/>
              <w:left w:val="single" w:color="000000" w:sz="6" w:space="0"/>
              <w:bottom w:val="single" w:color="000000" w:sz="6" w:space="0"/>
              <w:right w:val="single" w:color="auto" w:sz="4" w:space="0"/>
            </w:tcBorders>
            <w:vAlign w:val="center"/>
          </w:tcPr>
          <w:p w14:paraId="691DA3D4">
            <w:pPr>
              <w:shd w:val="clea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041" w:type="pct"/>
            <w:tcBorders>
              <w:top w:val="single" w:color="000000" w:sz="6" w:space="0"/>
              <w:left w:val="single" w:color="auto" w:sz="4" w:space="0"/>
              <w:bottom w:val="single" w:color="000000" w:sz="6" w:space="0"/>
              <w:right w:val="single" w:color="000000" w:sz="6" w:space="0"/>
            </w:tcBorders>
            <w:vAlign w:val="center"/>
          </w:tcPr>
          <w:p w14:paraId="76E1140B">
            <w:pPr>
              <w:shd w:val="clear"/>
              <w:jc w:val="center"/>
              <w:rPr>
                <w:rFonts w:hint="eastAsia" w:ascii="宋体" w:hAnsi="宋体" w:eastAsia="宋体" w:cs="宋体"/>
                <w:kern w:val="0"/>
                <w:sz w:val="24"/>
                <w:highlight w:val="none"/>
              </w:rPr>
            </w:pPr>
          </w:p>
        </w:tc>
        <w:tc>
          <w:tcPr>
            <w:tcW w:w="654" w:type="pct"/>
            <w:tcBorders>
              <w:top w:val="single" w:color="000000" w:sz="6" w:space="0"/>
              <w:left w:val="single" w:color="000000" w:sz="6" w:space="0"/>
              <w:bottom w:val="single" w:color="000000" w:sz="6" w:space="0"/>
              <w:right w:val="single" w:color="000000" w:sz="6" w:space="0"/>
            </w:tcBorders>
            <w:vAlign w:val="center"/>
          </w:tcPr>
          <w:p w14:paraId="276FEC94">
            <w:pPr>
              <w:shd w:val="clear"/>
              <w:jc w:val="center"/>
              <w:rPr>
                <w:rFonts w:hint="eastAsia" w:ascii="宋体" w:hAnsi="宋体" w:eastAsia="宋体" w:cs="宋体"/>
                <w:kern w:val="0"/>
                <w:sz w:val="24"/>
                <w:highlight w:val="none"/>
              </w:rPr>
            </w:pPr>
          </w:p>
        </w:tc>
        <w:tc>
          <w:tcPr>
            <w:tcW w:w="1141" w:type="pct"/>
            <w:tcBorders>
              <w:top w:val="single" w:color="000000" w:sz="6" w:space="0"/>
              <w:left w:val="single" w:color="000000" w:sz="6" w:space="0"/>
              <w:bottom w:val="single" w:color="000000" w:sz="6" w:space="0"/>
              <w:right w:val="single" w:color="000000" w:sz="6" w:space="0"/>
            </w:tcBorders>
            <w:vAlign w:val="center"/>
          </w:tcPr>
          <w:p w14:paraId="5643EAD3">
            <w:pPr>
              <w:shd w:val="clear"/>
              <w:spacing w:line="360" w:lineRule="auto"/>
              <w:rPr>
                <w:rFonts w:hint="eastAsia" w:ascii="宋体" w:hAnsi="宋体" w:eastAsia="宋体" w:cs="宋体"/>
                <w:kern w:val="0"/>
                <w:sz w:val="24"/>
                <w:highlight w:val="none"/>
              </w:rPr>
            </w:pPr>
          </w:p>
        </w:tc>
        <w:tc>
          <w:tcPr>
            <w:tcW w:w="755" w:type="pct"/>
            <w:tcBorders>
              <w:top w:val="single" w:color="000000" w:sz="6" w:space="0"/>
              <w:left w:val="single" w:color="000000" w:sz="6" w:space="0"/>
              <w:bottom w:val="single" w:color="000000" w:sz="6" w:space="0"/>
              <w:right w:val="single" w:color="000000" w:sz="6" w:space="0"/>
            </w:tcBorders>
            <w:vAlign w:val="center"/>
          </w:tcPr>
          <w:p w14:paraId="137C100A">
            <w:pPr>
              <w:shd w:val="clear"/>
              <w:snapToGrid w:val="0"/>
              <w:spacing w:line="400" w:lineRule="exact"/>
              <w:jc w:val="center"/>
              <w:rPr>
                <w:rFonts w:hint="eastAsia" w:ascii="宋体" w:hAnsi="宋体" w:eastAsia="宋体" w:cs="宋体"/>
                <w:kern w:val="0"/>
                <w:sz w:val="24"/>
                <w:highlight w:val="none"/>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15F168BF">
            <w:pPr>
              <w:shd w:val="clear"/>
              <w:snapToGrid w:val="0"/>
              <w:spacing w:line="400" w:lineRule="exact"/>
              <w:jc w:val="center"/>
              <w:rPr>
                <w:rFonts w:hint="eastAsia" w:ascii="宋体" w:hAnsi="宋体" w:eastAsia="宋体" w:cs="宋体"/>
                <w:kern w:val="0"/>
                <w:sz w:val="24"/>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4E6EBB7A">
            <w:pPr>
              <w:shd w:val="clear"/>
              <w:snapToGrid w:val="0"/>
              <w:spacing w:line="400" w:lineRule="exact"/>
              <w:jc w:val="center"/>
              <w:rPr>
                <w:rFonts w:hint="eastAsia" w:ascii="宋体" w:hAnsi="宋体" w:eastAsia="宋体" w:cs="宋体"/>
                <w:kern w:val="0"/>
                <w:sz w:val="24"/>
                <w:highlight w:val="none"/>
              </w:rPr>
            </w:pPr>
          </w:p>
        </w:tc>
      </w:tr>
      <w:tr w14:paraId="2981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368" w:type="pct"/>
            <w:tcBorders>
              <w:top w:val="single" w:color="000000" w:sz="6" w:space="0"/>
              <w:left w:val="single" w:color="000000" w:sz="6" w:space="0"/>
              <w:bottom w:val="single" w:color="000000" w:sz="6" w:space="0"/>
              <w:right w:val="single" w:color="auto" w:sz="4" w:space="0"/>
            </w:tcBorders>
            <w:vAlign w:val="center"/>
          </w:tcPr>
          <w:p w14:paraId="2FB5ADD1">
            <w:pPr>
              <w:shd w:val="clea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041" w:type="pct"/>
            <w:tcBorders>
              <w:top w:val="single" w:color="000000" w:sz="6" w:space="0"/>
              <w:left w:val="single" w:color="auto" w:sz="4" w:space="0"/>
              <w:bottom w:val="single" w:color="000000" w:sz="6" w:space="0"/>
              <w:right w:val="single" w:color="000000" w:sz="6" w:space="0"/>
            </w:tcBorders>
            <w:vAlign w:val="center"/>
          </w:tcPr>
          <w:p w14:paraId="2FF9DB62">
            <w:pPr>
              <w:shd w:val="clear"/>
              <w:jc w:val="center"/>
              <w:rPr>
                <w:rFonts w:hint="eastAsia" w:ascii="宋体" w:hAnsi="宋体" w:eastAsia="宋体" w:cs="宋体"/>
                <w:kern w:val="0"/>
                <w:sz w:val="24"/>
                <w:highlight w:val="none"/>
              </w:rPr>
            </w:pPr>
          </w:p>
        </w:tc>
        <w:tc>
          <w:tcPr>
            <w:tcW w:w="654" w:type="pct"/>
            <w:tcBorders>
              <w:top w:val="single" w:color="000000" w:sz="6" w:space="0"/>
              <w:left w:val="single" w:color="000000" w:sz="6" w:space="0"/>
              <w:bottom w:val="single" w:color="000000" w:sz="6" w:space="0"/>
              <w:right w:val="single" w:color="000000" w:sz="6" w:space="0"/>
            </w:tcBorders>
            <w:vAlign w:val="center"/>
          </w:tcPr>
          <w:p w14:paraId="2EAA176C">
            <w:pPr>
              <w:shd w:val="clear"/>
              <w:jc w:val="center"/>
              <w:rPr>
                <w:rFonts w:hint="eastAsia" w:ascii="宋体" w:hAnsi="宋体" w:eastAsia="宋体" w:cs="宋体"/>
                <w:kern w:val="0"/>
                <w:sz w:val="24"/>
                <w:highlight w:val="none"/>
              </w:rPr>
            </w:pPr>
          </w:p>
        </w:tc>
        <w:tc>
          <w:tcPr>
            <w:tcW w:w="1141" w:type="pct"/>
            <w:tcBorders>
              <w:top w:val="single" w:color="000000" w:sz="6" w:space="0"/>
              <w:left w:val="single" w:color="000000" w:sz="6" w:space="0"/>
              <w:bottom w:val="single" w:color="000000" w:sz="6" w:space="0"/>
              <w:right w:val="single" w:color="000000" w:sz="6" w:space="0"/>
            </w:tcBorders>
            <w:vAlign w:val="center"/>
          </w:tcPr>
          <w:p w14:paraId="4037A1D6">
            <w:pPr>
              <w:shd w:val="clear"/>
              <w:spacing w:line="360" w:lineRule="auto"/>
              <w:rPr>
                <w:rFonts w:hint="eastAsia" w:ascii="宋体" w:hAnsi="宋体" w:eastAsia="宋体" w:cs="宋体"/>
                <w:kern w:val="0"/>
                <w:sz w:val="24"/>
                <w:highlight w:val="none"/>
              </w:rPr>
            </w:pPr>
          </w:p>
        </w:tc>
        <w:tc>
          <w:tcPr>
            <w:tcW w:w="755" w:type="pct"/>
            <w:tcBorders>
              <w:top w:val="single" w:color="000000" w:sz="6" w:space="0"/>
              <w:left w:val="single" w:color="000000" w:sz="6" w:space="0"/>
              <w:bottom w:val="single" w:color="000000" w:sz="6" w:space="0"/>
              <w:right w:val="single" w:color="000000" w:sz="6" w:space="0"/>
            </w:tcBorders>
            <w:vAlign w:val="center"/>
          </w:tcPr>
          <w:p w14:paraId="7ED16717">
            <w:pPr>
              <w:shd w:val="clear"/>
              <w:snapToGrid w:val="0"/>
              <w:spacing w:line="400" w:lineRule="exact"/>
              <w:jc w:val="center"/>
              <w:rPr>
                <w:rFonts w:hint="eastAsia" w:ascii="宋体" w:hAnsi="宋体" w:eastAsia="宋体" w:cs="宋体"/>
                <w:kern w:val="0"/>
                <w:sz w:val="24"/>
                <w:highlight w:val="none"/>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5827FF23">
            <w:pPr>
              <w:shd w:val="clear"/>
              <w:snapToGrid w:val="0"/>
              <w:spacing w:line="400" w:lineRule="exact"/>
              <w:jc w:val="center"/>
              <w:rPr>
                <w:rFonts w:hint="eastAsia" w:ascii="宋体" w:hAnsi="宋体" w:eastAsia="宋体" w:cs="宋体"/>
                <w:kern w:val="0"/>
                <w:sz w:val="24"/>
                <w:highlight w:val="none"/>
              </w:rPr>
            </w:pPr>
          </w:p>
        </w:tc>
        <w:tc>
          <w:tcPr>
            <w:tcW w:w="312" w:type="pct"/>
            <w:tcBorders>
              <w:top w:val="single" w:color="000000" w:sz="6" w:space="0"/>
              <w:left w:val="single" w:color="000000" w:sz="6" w:space="0"/>
              <w:bottom w:val="single" w:color="000000" w:sz="6" w:space="0"/>
              <w:right w:val="single" w:color="000000" w:sz="6" w:space="0"/>
            </w:tcBorders>
            <w:vAlign w:val="center"/>
          </w:tcPr>
          <w:p w14:paraId="1F81EDA9">
            <w:pPr>
              <w:shd w:val="clear"/>
              <w:snapToGrid w:val="0"/>
              <w:spacing w:line="400" w:lineRule="exact"/>
              <w:jc w:val="center"/>
              <w:rPr>
                <w:rFonts w:hint="eastAsia" w:ascii="宋体" w:hAnsi="宋体" w:eastAsia="宋体" w:cs="宋体"/>
                <w:kern w:val="0"/>
                <w:sz w:val="24"/>
                <w:highlight w:val="none"/>
              </w:rPr>
            </w:pPr>
          </w:p>
        </w:tc>
      </w:tr>
      <w:tr w14:paraId="3B5CF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368" w:type="pct"/>
            <w:tcBorders>
              <w:top w:val="single" w:color="000000" w:sz="6" w:space="0"/>
              <w:left w:val="single" w:color="000000" w:sz="6" w:space="0"/>
              <w:bottom w:val="single" w:color="000000" w:sz="6" w:space="0"/>
              <w:right w:val="single" w:color="auto" w:sz="4" w:space="0"/>
            </w:tcBorders>
            <w:vAlign w:val="center"/>
          </w:tcPr>
          <w:p w14:paraId="465F18CA">
            <w:pPr>
              <w:shd w:val="clea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1041" w:type="pct"/>
            <w:tcBorders>
              <w:top w:val="single" w:color="000000" w:sz="6" w:space="0"/>
              <w:left w:val="single" w:color="auto" w:sz="4" w:space="0"/>
              <w:bottom w:val="single" w:color="000000" w:sz="6" w:space="0"/>
              <w:right w:val="single" w:color="000000" w:sz="6" w:space="0"/>
            </w:tcBorders>
            <w:vAlign w:val="center"/>
          </w:tcPr>
          <w:p w14:paraId="09ACE81E">
            <w:pPr>
              <w:shd w:val="clea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654" w:type="pct"/>
            <w:tcBorders>
              <w:top w:val="single" w:color="000000" w:sz="6" w:space="0"/>
              <w:left w:val="single" w:color="000000" w:sz="6" w:space="0"/>
              <w:bottom w:val="single" w:color="000000" w:sz="6" w:space="0"/>
              <w:right w:val="single" w:color="000000" w:sz="6" w:space="0"/>
            </w:tcBorders>
            <w:vAlign w:val="center"/>
          </w:tcPr>
          <w:p w14:paraId="7DB1FD4B">
            <w:pPr>
              <w:shd w:val="clear"/>
              <w:jc w:val="center"/>
              <w:rPr>
                <w:rFonts w:hint="eastAsia" w:ascii="宋体" w:hAnsi="宋体" w:eastAsia="宋体" w:cs="宋体"/>
                <w:kern w:val="0"/>
                <w:sz w:val="24"/>
                <w:highlight w:val="none"/>
              </w:rPr>
            </w:pPr>
          </w:p>
        </w:tc>
        <w:tc>
          <w:tcPr>
            <w:tcW w:w="1141" w:type="pct"/>
            <w:tcBorders>
              <w:top w:val="single" w:color="000000" w:sz="6" w:space="0"/>
              <w:left w:val="single" w:color="000000" w:sz="6" w:space="0"/>
              <w:bottom w:val="single" w:color="000000" w:sz="6" w:space="0"/>
              <w:right w:val="single" w:color="000000" w:sz="6" w:space="0"/>
            </w:tcBorders>
            <w:vAlign w:val="center"/>
          </w:tcPr>
          <w:p w14:paraId="19C2579B">
            <w:pPr>
              <w:shd w:val="clea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755" w:type="pct"/>
            <w:tcBorders>
              <w:top w:val="single" w:color="000000" w:sz="6" w:space="0"/>
              <w:left w:val="single" w:color="000000" w:sz="6" w:space="0"/>
              <w:bottom w:val="single" w:color="000000" w:sz="6" w:space="0"/>
              <w:right w:val="single" w:color="000000" w:sz="6" w:space="0"/>
            </w:tcBorders>
            <w:vAlign w:val="center"/>
          </w:tcPr>
          <w:p w14:paraId="2FD41733">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725" w:type="pct"/>
            <w:tcBorders>
              <w:top w:val="single" w:color="000000" w:sz="6" w:space="0"/>
              <w:left w:val="single" w:color="000000" w:sz="6" w:space="0"/>
              <w:bottom w:val="single" w:color="000000" w:sz="6" w:space="0"/>
              <w:right w:val="single" w:color="000000" w:sz="6" w:space="0"/>
            </w:tcBorders>
            <w:vAlign w:val="center"/>
          </w:tcPr>
          <w:p w14:paraId="41F34290">
            <w:pPr>
              <w:shd w:val="clear"/>
              <w:snapToGrid w:val="0"/>
              <w:spacing w:line="4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12" w:type="pct"/>
            <w:tcBorders>
              <w:top w:val="single" w:color="000000" w:sz="6" w:space="0"/>
              <w:left w:val="single" w:color="000000" w:sz="6" w:space="0"/>
              <w:bottom w:val="single" w:color="000000" w:sz="6" w:space="0"/>
              <w:right w:val="single" w:color="000000" w:sz="6" w:space="0"/>
            </w:tcBorders>
            <w:vAlign w:val="center"/>
          </w:tcPr>
          <w:p w14:paraId="064FD9BE">
            <w:pPr>
              <w:shd w:val="clear"/>
              <w:snapToGrid w:val="0"/>
              <w:spacing w:line="400" w:lineRule="exact"/>
              <w:jc w:val="center"/>
              <w:rPr>
                <w:rFonts w:hint="eastAsia" w:ascii="宋体" w:hAnsi="宋体" w:eastAsia="宋体" w:cs="宋体"/>
                <w:kern w:val="0"/>
                <w:sz w:val="24"/>
                <w:highlight w:val="none"/>
              </w:rPr>
            </w:pPr>
          </w:p>
        </w:tc>
      </w:tr>
    </w:tbl>
    <w:p w14:paraId="74B42556">
      <w:pPr>
        <w:shd w:val="clear"/>
        <w:snapToGrid w:val="0"/>
        <w:spacing w:line="600" w:lineRule="exact"/>
        <w:jc w:val="left"/>
        <w:rPr>
          <w:rFonts w:hint="eastAsia" w:ascii="宋体" w:hAnsi="宋体" w:eastAsia="宋体" w:cs="宋体"/>
          <w:kern w:val="0"/>
          <w:sz w:val="24"/>
          <w:highlight w:val="none"/>
        </w:rPr>
      </w:pPr>
      <w:r>
        <w:rPr>
          <w:rFonts w:hint="eastAsia" w:ascii="宋体" w:hAnsi="宋体" w:eastAsia="宋体" w:cs="宋体"/>
          <w:spacing w:val="20"/>
          <w:kern w:val="0"/>
          <w:sz w:val="28"/>
          <w:szCs w:val="28"/>
          <w:highlight w:val="none"/>
        </w:rPr>
        <w:t xml:space="preserve">    </w:t>
      </w:r>
    </w:p>
    <w:p w14:paraId="4CB442A3">
      <w:pPr>
        <w:shd w:val="clear"/>
        <w:snapToGrid w:val="0"/>
        <w:spacing w:line="600" w:lineRule="exact"/>
        <w:jc w:val="left"/>
        <w:rPr>
          <w:rFonts w:hint="eastAsia" w:ascii="宋体" w:hAnsi="宋体" w:eastAsia="宋体" w:cs="宋体"/>
          <w:kern w:val="0"/>
          <w:sz w:val="24"/>
          <w:highlight w:val="none"/>
        </w:rPr>
      </w:pPr>
      <w:r>
        <w:rPr>
          <w:rFonts w:hint="eastAsia" w:ascii="宋体" w:hAnsi="宋体" w:eastAsia="宋体" w:cs="宋体"/>
          <w:spacing w:val="20"/>
          <w:kern w:val="0"/>
          <w:sz w:val="24"/>
          <w:highlight w:val="none"/>
        </w:rPr>
        <w:t> </w:t>
      </w:r>
    </w:p>
    <w:p w14:paraId="4E119F20">
      <w:pPr>
        <w:shd w:val="clear"/>
        <w:snapToGrid w:val="0"/>
        <w:spacing w:line="600" w:lineRule="exact"/>
        <w:jc w:val="left"/>
        <w:rPr>
          <w:rFonts w:hint="eastAsia" w:ascii="宋体" w:hAnsi="宋体" w:eastAsia="宋体" w:cs="宋体"/>
          <w:kern w:val="0"/>
          <w:sz w:val="24"/>
          <w:highlight w:val="none"/>
        </w:rPr>
      </w:pPr>
      <w:r>
        <w:rPr>
          <w:rFonts w:hint="eastAsia" w:ascii="宋体" w:hAnsi="宋体" w:eastAsia="宋体" w:cs="宋体"/>
          <w:spacing w:val="20"/>
          <w:kern w:val="0"/>
          <w:sz w:val="24"/>
          <w:highlight w:val="none"/>
        </w:rPr>
        <w:t> </w:t>
      </w:r>
    </w:p>
    <w:p w14:paraId="421418D7">
      <w:pPr>
        <w:shd w:val="clear"/>
        <w:tabs>
          <w:tab w:val="left" w:pos="4000"/>
        </w:tabs>
        <w:snapToGrid w:val="0"/>
        <w:spacing w:line="480" w:lineRule="auto"/>
        <w:ind w:firstLine="2640" w:firstLineChars="1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(盖章)</w:t>
      </w:r>
    </w:p>
    <w:p w14:paraId="3F6D80EF">
      <w:pPr>
        <w:shd w:val="clear"/>
        <w:tabs>
          <w:tab w:val="left" w:pos="3760"/>
        </w:tabs>
        <w:snapToGrid w:val="0"/>
        <w:spacing w:line="480" w:lineRule="auto"/>
        <w:ind w:firstLine="2640" w:firstLineChars="1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投标人授权代表：</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(签字或盖章)</w:t>
      </w:r>
    </w:p>
    <w:p w14:paraId="003DD692">
      <w:pPr>
        <w:shd w:val="clear"/>
        <w:snapToGrid w:val="0"/>
        <w:spacing w:line="480" w:lineRule="auto"/>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38EA4ABC">
      <w:pPr>
        <w:shd w:val="clear"/>
        <w:tabs>
          <w:tab w:val="left" w:pos="-1980"/>
        </w:tabs>
        <w:snapToGrid w:val="0"/>
        <w:spacing w:line="600" w:lineRule="exact"/>
        <w:jc w:val="center"/>
        <w:rPr>
          <w:rFonts w:hint="eastAsia" w:ascii="宋体" w:hAnsi="宋体" w:eastAsia="宋体" w:cs="宋体"/>
          <w:b/>
          <w:spacing w:val="20"/>
          <w:kern w:val="0"/>
          <w:sz w:val="28"/>
          <w:szCs w:val="28"/>
          <w:highlight w:val="none"/>
        </w:rPr>
      </w:pPr>
    </w:p>
    <w:p w14:paraId="5927548D">
      <w:pPr>
        <w:shd w:val="clear"/>
        <w:tabs>
          <w:tab w:val="left" w:pos="-1980"/>
        </w:tabs>
        <w:snapToGrid w:val="0"/>
        <w:spacing w:line="600" w:lineRule="exact"/>
        <w:jc w:val="center"/>
        <w:rPr>
          <w:rFonts w:hint="eastAsia" w:ascii="宋体" w:hAnsi="宋体" w:eastAsia="宋体" w:cs="宋体"/>
          <w:b/>
          <w:spacing w:val="20"/>
          <w:kern w:val="0"/>
          <w:sz w:val="28"/>
          <w:szCs w:val="28"/>
          <w:highlight w:val="none"/>
        </w:rPr>
      </w:pPr>
    </w:p>
    <w:p w14:paraId="64ECD150">
      <w:pPr>
        <w:shd w:val="clear"/>
        <w:tabs>
          <w:tab w:val="left" w:pos="-1980"/>
        </w:tabs>
        <w:snapToGrid w:val="0"/>
        <w:spacing w:line="600" w:lineRule="exact"/>
        <w:jc w:val="center"/>
        <w:rPr>
          <w:rFonts w:hint="eastAsia" w:ascii="宋体" w:hAnsi="宋体" w:eastAsia="宋体" w:cs="宋体"/>
          <w:b/>
          <w:spacing w:val="20"/>
          <w:kern w:val="0"/>
          <w:sz w:val="28"/>
          <w:szCs w:val="28"/>
          <w:highlight w:val="none"/>
        </w:rPr>
      </w:pPr>
    </w:p>
    <w:p w14:paraId="333B98F8">
      <w:pPr>
        <w:shd w:val="clear"/>
        <w:tabs>
          <w:tab w:val="left" w:pos="567"/>
        </w:tabs>
        <w:snapToGrid w:val="0"/>
        <w:spacing w:line="360" w:lineRule="auto"/>
        <w:jc w:val="left"/>
        <w:rPr>
          <w:rFonts w:hint="eastAsia" w:ascii="宋体" w:hAnsi="宋体" w:eastAsia="宋体" w:cs="宋体"/>
          <w:b/>
          <w:kern w:val="0"/>
          <w:sz w:val="24"/>
          <w:highlight w:val="none"/>
        </w:rPr>
      </w:pPr>
    </w:p>
    <w:p w14:paraId="4DB105D1">
      <w:pPr>
        <w:shd w:val="clear"/>
        <w:spacing w:line="330" w:lineRule="atLeast"/>
        <w:jc w:val="left"/>
        <w:rPr>
          <w:rFonts w:hint="eastAsia" w:ascii="宋体" w:hAnsi="宋体" w:eastAsia="宋体" w:cs="宋体"/>
          <w:kern w:val="0"/>
          <w:szCs w:val="21"/>
          <w:highlight w:val="none"/>
        </w:rPr>
      </w:pPr>
    </w:p>
    <w:p w14:paraId="187BC4B6">
      <w:pPr>
        <w:shd w:val="clear"/>
        <w:spacing w:line="330" w:lineRule="atLeast"/>
        <w:jc w:val="left"/>
        <w:rPr>
          <w:rFonts w:hint="eastAsia" w:ascii="宋体" w:hAnsi="宋体" w:eastAsia="宋体" w:cs="宋体"/>
          <w:kern w:val="0"/>
          <w:szCs w:val="21"/>
          <w:highlight w:val="none"/>
        </w:rPr>
      </w:pPr>
    </w:p>
    <w:p w14:paraId="0BA01C3C">
      <w:pPr>
        <w:pStyle w:val="9"/>
        <w:rPr>
          <w:rFonts w:hint="eastAsia" w:ascii="宋体" w:hAnsi="宋体" w:eastAsia="宋体" w:cs="宋体"/>
          <w:highlight w:val="none"/>
        </w:rPr>
      </w:pPr>
    </w:p>
    <w:p w14:paraId="530126F3">
      <w:pPr>
        <w:shd w:val="clear"/>
        <w:tabs>
          <w:tab w:val="left" w:pos="567"/>
        </w:tabs>
        <w:snapToGrid w:val="0"/>
        <w:spacing w:line="360" w:lineRule="auto"/>
        <w:jc w:val="left"/>
        <w:rPr>
          <w:rFonts w:hint="eastAsia" w:ascii="宋体" w:hAnsi="宋体" w:eastAsia="宋体" w:cs="宋体"/>
          <w:b/>
          <w:kern w:val="0"/>
          <w:sz w:val="24"/>
          <w:highlight w:val="none"/>
        </w:rPr>
      </w:pPr>
    </w:p>
    <w:p w14:paraId="03AB19A0">
      <w:pPr>
        <w:shd w:val="clear"/>
        <w:tabs>
          <w:tab w:val="left" w:pos="567"/>
        </w:tabs>
        <w:snapToGrid w:val="0"/>
        <w:spacing w:line="360" w:lineRule="auto"/>
        <w:jc w:val="left"/>
        <w:rPr>
          <w:rFonts w:hint="eastAsia" w:ascii="宋体" w:hAnsi="宋体" w:eastAsia="宋体" w:cs="宋体"/>
          <w:b/>
          <w:kern w:val="0"/>
          <w:sz w:val="24"/>
          <w:szCs w:val="24"/>
          <w:highlight w:val="none"/>
          <w:lang w:val="en-US" w:eastAsia="zh-CN"/>
        </w:rPr>
      </w:pPr>
      <w:bookmarkStart w:id="81" w:name="_Toc180347492"/>
      <w:bookmarkStart w:id="82" w:name="_Toc180571721"/>
      <w:r>
        <w:rPr>
          <w:rFonts w:ascii="宋体" w:hAnsi="宋体"/>
          <w:b/>
          <w:kern w:val="0"/>
          <w:sz w:val="24"/>
          <w:szCs w:val="24"/>
        </w:rPr>
        <w:t>7</w:t>
      </w:r>
      <w:r>
        <w:rPr>
          <w:rFonts w:hint="eastAsia" w:ascii="宋体" w:hAnsi="宋体"/>
          <w:b/>
          <w:kern w:val="0"/>
          <w:sz w:val="24"/>
          <w:szCs w:val="24"/>
        </w:rPr>
        <w:t>．采购货物主要技术指标和运行性能的详细描述或同投标货物型号一致的产品彩页</w:t>
      </w:r>
      <w:r>
        <w:rPr>
          <w:rFonts w:hint="eastAsia"/>
          <w:bCs/>
          <w:kern w:val="0"/>
          <w:sz w:val="24"/>
          <w:szCs w:val="24"/>
        </w:rPr>
        <w:t>（产品彩页须</w:t>
      </w:r>
      <w:r>
        <w:rPr>
          <w:bCs/>
          <w:kern w:val="0"/>
          <w:sz w:val="24"/>
          <w:szCs w:val="24"/>
        </w:rPr>
        <w:t>加盖</w:t>
      </w:r>
      <w:r>
        <w:rPr>
          <w:rFonts w:hint="eastAsia"/>
          <w:bCs/>
          <w:kern w:val="0"/>
          <w:sz w:val="24"/>
          <w:szCs w:val="24"/>
        </w:rPr>
        <w:t>投标人</w:t>
      </w:r>
      <w:r>
        <w:rPr>
          <w:bCs/>
          <w:kern w:val="0"/>
          <w:sz w:val="24"/>
          <w:szCs w:val="24"/>
        </w:rPr>
        <w:t>公章）</w:t>
      </w:r>
      <w:bookmarkEnd w:id="81"/>
      <w:bookmarkEnd w:id="82"/>
    </w:p>
    <w:p w14:paraId="776F81FD">
      <w:pPr>
        <w:shd w:val="clear"/>
        <w:tabs>
          <w:tab w:val="left" w:pos="567"/>
        </w:tabs>
        <w:snapToGrid w:val="0"/>
        <w:spacing w:line="360" w:lineRule="auto"/>
        <w:jc w:val="left"/>
        <w:rPr>
          <w:rFonts w:hint="eastAsia" w:ascii="宋体" w:hAnsi="宋体" w:eastAsia="宋体" w:cs="宋体"/>
          <w:b/>
          <w:kern w:val="0"/>
          <w:sz w:val="24"/>
          <w:highlight w:val="none"/>
          <w:lang w:val="en-US" w:eastAsia="zh-CN"/>
        </w:rPr>
      </w:pPr>
    </w:p>
    <w:p w14:paraId="428082FD">
      <w:pPr>
        <w:shd w:val="clear"/>
        <w:tabs>
          <w:tab w:val="left" w:pos="567"/>
        </w:tabs>
        <w:snapToGrid w:val="0"/>
        <w:spacing w:line="360" w:lineRule="auto"/>
        <w:jc w:val="left"/>
        <w:rPr>
          <w:rFonts w:hint="eastAsia" w:ascii="宋体" w:hAnsi="宋体" w:eastAsia="宋体" w:cs="宋体"/>
          <w:b/>
          <w:kern w:val="0"/>
          <w:sz w:val="24"/>
          <w:highlight w:val="none"/>
          <w:lang w:val="en-US" w:eastAsia="zh-CN"/>
        </w:rPr>
      </w:pPr>
    </w:p>
    <w:p w14:paraId="6EAF6412">
      <w:pPr>
        <w:shd w:val="clear"/>
        <w:tabs>
          <w:tab w:val="left" w:pos="567"/>
        </w:tabs>
        <w:snapToGrid w:val="0"/>
        <w:spacing w:line="360" w:lineRule="auto"/>
        <w:jc w:val="left"/>
        <w:rPr>
          <w:rFonts w:hint="eastAsia" w:ascii="宋体" w:hAnsi="宋体" w:eastAsia="宋体" w:cs="宋体"/>
          <w:b/>
          <w:kern w:val="0"/>
          <w:sz w:val="24"/>
          <w:highlight w:val="none"/>
          <w:lang w:val="en-US" w:eastAsia="zh-CN"/>
        </w:rPr>
      </w:pPr>
    </w:p>
    <w:p w14:paraId="654BC934">
      <w:pPr>
        <w:shd w:val="clear"/>
        <w:tabs>
          <w:tab w:val="left" w:pos="567"/>
        </w:tabs>
        <w:snapToGrid w:val="0"/>
        <w:spacing w:line="360" w:lineRule="auto"/>
        <w:jc w:val="left"/>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8</w:t>
      </w:r>
      <w:r>
        <w:rPr>
          <w:rFonts w:hint="eastAsia" w:ascii="宋体" w:hAnsi="宋体" w:eastAsia="宋体" w:cs="宋体"/>
          <w:b/>
          <w:kern w:val="0"/>
          <w:sz w:val="24"/>
          <w:highlight w:val="none"/>
        </w:rPr>
        <w:t>．投标文件提交截止时间前三年内同类项目合同案例列表及相关证明资料</w:t>
      </w:r>
    </w:p>
    <w:p w14:paraId="3633D41F">
      <w:pPr>
        <w:shd w:val="clear"/>
        <w:spacing w:line="480" w:lineRule="exact"/>
        <w:jc w:val="center"/>
        <w:rPr>
          <w:rFonts w:hint="eastAsia" w:ascii="宋体" w:hAnsi="宋体" w:eastAsia="宋体" w:cs="宋体"/>
          <w:b/>
          <w:sz w:val="28"/>
          <w:szCs w:val="28"/>
          <w:highlight w:val="none"/>
        </w:rPr>
      </w:pPr>
      <w:r>
        <w:rPr>
          <w:rFonts w:hint="eastAsia" w:ascii="宋体" w:hAnsi="宋体" w:eastAsia="宋体" w:cs="宋体"/>
          <w:b/>
          <w:kern w:val="0"/>
          <w:sz w:val="24"/>
          <w:highlight w:val="none"/>
        </w:rPr>
        <w:t>投标文件提交截止时间前三年内同类项目合同案例列表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560"/>
        <w:gridCol w:w="2076"/>
        <w:gridCol w:w="1431"/>
        <w:gridCol w:w="1610"/>
        <w:gridCol w:w="839"/>
      </w:tblGrid>
      <w:tr w14:paraId="10BA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5" w:type="dxa"/>
          </w:tcPr>
          <w:p w14:paraId="7969CD51">
            <w:pPr>
              <w:shd w:val="clear"/>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使用单位</w:t>
            </w:r>
          </w:p>
        </w:tc>
        <w:tc>
          <w:tcPr>
            <w:tcW w:w="1560" w:type="dxa"/>
          </w:tcPr>
          <w:p w14:paraId="2B8AD12D">
            <w:pPr>
              <w:shd w:val="clear"/>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2076" w:type="dxa"/>
          </w:tcPr>
          <w:p w14:paraId="4E0E6F7B">
            <w:pPr>
              <w:shd w:val="clear"/>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合同金额</w:t>
            </w:r>
          </w:p>
        </w:tc>
        <w:tc>
          <w:tcPr>
            <w:tcW w:w="1431" w:type="dxa"/>
          </w:tcPr>
          <w:p w14:paraId="17383B16">
            <w:pPr>
              <w:shd w:val="clear"/>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1610" w:type="dxa"/>
          </w:tcPr>
          <w:p w14:paraId="7018CF60">
            <w:pPr>
              <w:shd w:val="clear"/>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电话</w:t>
            </w:r>
          </w:p>
        </w:tc>
        <w:tc>
          <w:tcPr>
            <w:tcW w:w="839" w:type="dxa"/>
          </w:tcPr>
          <w:p w14:paraId="5FAE7A95">
            <w:pPr>
              <w:shd w:val="clear"/>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312F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5" w:type="dxa"/>
          </w:tcPr>
          <w:p w14:paraId="3A4CF972">
            <w:pPr>
              <w:shd w:val="clear"/>
              <w:spacing w:line="480" w:lineRule="exact"/>
              <w:rPr>
                <w:rFonts w:hint="eastAsia" w:ascii="宋体" w:hAnsi="宋体" w:eastAsia="宋体" w:cs="宋体"/>
                <w:sz w:val="24"/>
                <w:highlight w:val="none"/>
              </w:rPr>
            </w:pPr>
          </w:p>
        </w:tc>
        <w:tc>
          <w:tcPr>
            <w:tcW w:w="1560" w:type="dxa"/>
          </w:tcPr>
          <w:p w14:paraId="59A0022D">
            <w:pPr>
              <w:shd w:val="clear"/>
              <w:spacing w:line="480" w:lineRule="exact"/>
              <w:rPr>
                <w:rFonts w:hint="eastAsia" w:ascii="宋体" w:hAnsi="宋体" w:eastAsia="宋体" w:cs="宋体"/>
                <w:sz w:val="24"/>
                <w:highlight w:val="none"/>
              </w:rPr>
            </w:pPr>
          </w:p>
        </w:tc>
        <w:tc>
          <w:tcPr>
            <w:tcW w:w="2076" w:type="dxa"/>
          </w:tcPr>
          <w:p w14:paraId="1391444B">
            <w:pPr>
              <w:shd w:val="clear"/>
              <w:spacing w:line="480" w:lineRule="exact"/>
              <w:rPr>
                <w:rFonts w:hint="eastAsia" w:ascii="宋体" w:hAnsi="宋体" w:eastAsia="宋体" w:cs="宋体"/>
                <w:sz w:val="24"/>
                <w:highlight w:val="none"/>
              </w:rPr>
            </w:pPr>
          </w:p>
        </w:tc>
        <w:tc>
          <w:tcPr>
            <w:tcW w:w="1431" w:type="dxa"/>
          </w:tcPr>
          <w:p w14:paraId="484329B2">
            <w:pPr>
              <w:shd w:val="clear"/>
              <w:spacing w:line="480" w:lineRule="exact"/>
              <w:rPr>
                <w:rFonts w:hint="eastAsia" w:ascii="宋体" w:hAnsi="宋体" w:eastAsia="宋体" w:cs="宋体"/>
                <w:sz w:val="24"/>
                <w:highlight w:val="none"/>
              </w:rPr>
            </w:pPr>
          </w:p>
        </w:tc>
        <w:tc>
          <w:tcPr>
            <w:tcW w:w="1610" w:type="dxa"/>
          </w:tcPr>
          <w:p w14:paraId="268A2976">
            <w:pPr>
              <w:shd w:val="clear"/>
              <w:spacing w:line="480" w:lineRule="exact"/>
              <w:rPr>
                <w:rFonts w:hint="eastAsia" w:ascii="宋体" w:hAnsi="宋体" w:eastAsia="宋体" w:cs="宋体"/>
                <w:sz w:val="24"/>
                <w:highlight w:val="none"/>
              </w:rPr>
            </w:pPr>
          </w:p>
        </w:tc>
        <w:tc>
          <w:tcPr>
            <w:tcW w:w="839" w:type="dxa"/>
          </w:tcPr>
          <w:p w14:paraId="452F23B3">
            <w:pPr>
              <w:shd w:val="clear"/>
              <w:spacing w:line="480" w:lineRule="exact"/>
              <w:rPr>
                <w:rFonts w:hint="eastAsia" w:ascii="宋体" w:hAnsi="宋体" w:eastAsia="宋体" w:cs="宋体"/>
                <w:sz w:val="24"/>
                <w:highlight w:val="none"/>
              </w:rPr>
            </w:pPr>
          </w:p>
        </w:tc>
      </w:tr>
      <w:tr w14:paraId="2C83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5" w:type="dxa"/>
          </w:tcPr>
          <w:p w14:paraId="6E868B18">
            <w:pPr>
              <w:shd w:val="clear"/>
              <w:spacing w:line="480" w:lineRule="exact"/>
              <w:rPr>
                <w:rFonts w:hint="eastAsia" w:ascii="宋体" w:hAnsi="宋体" w:eastAsia="宋体" w:cs="宋体"/>
                <w:sz w:val="24"/>
                <w:highlight w:val="none"/>
              </w:rPr>
            </w:pPr>
          </w:p>
        </w:tc>
        <w:tc>
          <w:tcPr>
            <w:tcW w:w="1560" w:type="dxa"/>
          </w:tcPr>
          <w:p w14:paraId="27BD6B32">
            <w:pPr>
              <w:shd w:val="clear"/>
              <w:spacing w:line="480" w:lineRule="exact"/>
              <w:rPr>
                <w:rFonts w:hint="eastAsia" w:ascii="宋体" w:hAnsi="宋体" w:eastAsia="宋体" w:cs="宋体"/>
                <w:sz w:val="24"/>
                <w:highlight w:val="none"/>
              </w:rPr>
            </w:pPr>
          </w:p>
        </w:tc>
        <w:tc>
          <w:tcPr>
            <w:tcW w:w="2076" w:type="dxa"/>
          </w:tcPr>
          <w:p w14:paraId="56D663D5">
            <w:pPr>
              <w:shd w:val="clear"/>
              <w:spacing w:line="480" w:lineRule="exact"/>
              <w:rPr>
                <w:rFonts w:hint="eastAsia" w:ascii="宋体" w:hAnsi="宋体" w:eastAsia="宋体" w:cs="宋体"/>
                <w:sz w:val="24"/>
                <w:highlight w:val="none"/>
              </w:rPr>
            </w:pPr>
          </w:p>
        </w:tc>
        <w:tc>
          <w:tcPr>
            <w:tcW w:w="1431" w:type="dxa"/>
          </w:tcPr>
          <w:p w14:paraId="3D19F1F7">
            <w:pPr>
              <w:shd w:val="clear"/>
              <w:spacing w:line="480" w:lineRule="exact"/>
              <w:rPr>
                <w:rFonts w:hint="eastAsia" w:ascii="宋体" w:hAnsi="宋体" w:eastAsia="宋体" w:cs="宋体"/>
                <w:sz w:val="24"/>
                <w:highlight w:val="none"/>
              </w:rPr>
            </w:pPr>
          </w:p>
        </w:tc>
        <w:tc>
          <w:tcPr>
            <w:tcW w:w="1610" w:type="dxa"/>
          </w:tcPr>
          <w:p w14:paraId="01EBC74C">
            <w:pPr>
              <w:shd w:val="clear"/>
              <w:spacing w:line="480" w:lineRule="exact"/>
              <w:rPr>
                <w:rFonts w:hint="eastAsia" w:ascii="宋体" w:hAnsi="宋体" w:eastAsia="宋体" w:cs="宋体"/>
                <w:sz w:val="24"/>
                <w:highlight w:val="none"/>
              </w:rPr>
            </w:pPr>
          </w:p>
        </w:tc>
        <w:tc>
          <w:tcPr>
            <w:tcW w:w="839" w:type="dxa"/>
          </w:tcPr>
          <w:p w14:paraId="48FA4AAD">
            <w:pPr>
              <w:shd w:val="clear"/>
              <w:spacing w:line="480" w:lineRule="exact"/>
              <w:rPr>
                <w:rFonts w:hint="eastAsia" w:ascii="宋体" w:hAnsi="宋体" w:eastAsia="宋体" w:cs="宋体"/>
                <w:sz w:val="24"/>
                <w:highlight w:val="none"/>
              </w:rPr>
            </w:pPr>
          </w:p>
        </w:tc>
      </w:tr>
      <w:tr w14:paraId="5A27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1655" w:type="dxa"/>
          </w:tcPr>
          <w:p w14:paraId="65E56DF4">
            <w:pPr>
              <w:shd w:val="clear"/>
              <w:spacing w:line="480" w:lineRule="exact"/>
              <w:rPr>
                <w:rFonts w:hint="eastAsia" w:ascii="宋体" w:hAnsi="宋体" w:eastAsia="宋体" w:cs="宋体"/>
                <w:sz w:val="24"/>
                <w:highlight w:val="none"/>
              </w:rPr>
            </w:pPr>
          </w:p>
        </w:tc>
        <w:tc>
          <w:tcPr>
            <w:tcW w:w="1560" w:type="dxa"/>
          </w:tcPr>
          <w:p w14:paraId="211ACB8E">
            <w:pPr>
              <w:shd w:val="clear"/>
              <w:spacing w:line="480" w:lineRule="exact"/>
              <w:rPr>
                <w:rFonts w:hint="eastAsia" w:ascii="宋体" w:hAnsi="宋体" w:eastAsia="宋体" w:cs="宋体"/>
                <w:sz w:val="24"/>
                <w:highlight w:val="none"/>
              </w:rPr>
            </w:pPr>
          </w:p>
        </w:tc>
        <w:tc>
          <w:tcPr>
            <w:tcW w:w="2076" w:type="dxa"/>
          </w:tcPr>
          <w:p w14:paraId="539671AA">
            <w:pPr>
              <w:shd w:val="clear"/>
              <w:spacing w:line="480" w:lineRule="exact"/>
              <w:rPr>
                <w:rFonts w:hint="eastAsia" w:ascii="宋体" w:hAnsi="宋体" w:eastAsia="宋体" w:cs="宋体"/>
                <w:sz w:val="24"/>
                <w:highlight w:val="none"/>
              </w:rPr>
            </w:pPr>
          </w:p>
        </w:tc>
        <w:tc>
          <w:tcPr>
            <w:tcW w:w="1431" w:type="dxa"/>
          </w:tcPr>
          <w:p w14:paraId="703AE684">
            <w:pPr>
              <w:shd w:val="clear"/>
              <w:spacing w:line="480" w:lineRule="exact"/>
              <w:rPr>
                <w:rFonts w:hint="eastAsia" w:ascii="宋体" w:hAnsi="宋体" w:eastAsia="宋体" w:cs="宋体"/>
                <w:sz w:val="24"/>
                <w:highlight w:val="none"/>
              </w:rPr>
            </w:pPr>
          </w:p>
        </w:tc>
        <w:tc>
          <w:tcPr>
            <w:tcW w:w="1610" w:type="dxa"/>
          </w:tcPr>
          <w:p w14:paraId="57C6B596">
            <w:pPr>
              <w:shd w:val="clear"/>
              <w:spacing w:line="480" w:lineRule="exact"/>
              <w:rPr>
                <w:rFonts w:hint="eastAsia" w:ascii="宋体" w:hAnsi="宋体" w:eastAsia="宋体" w:cs="宋体"/>
                <w:sz w:val="24"/>
                <w:highlight w:val="none"/>
              </w:rPr>
            </w:pPr>
          </w:p>
        </w:tc>
        <w:tc>
          <w:tcPr>
            <w:tcW w:w="839" w:type="dxa"/>
          </w:tcPr>
          <w:p w14:paraId="630C6082">
            <w:pPr>
              <w:shd w:val="clear"/>
              <w:spacing w:line="480" w:lineRule="exact"/>
              <w:rPr>
                <w:rFonts w:hint="eastAsia" w:ascii="宋体" w:hAnsi="宋体" w:eastAsia="宋体" w:cs="宋体"/>
                <w:sz w:val="24"/>
                <w:highlight w:val="none"/>
              </w:rPr>
            </w:pPr>
          </w:p>
        </w:tc>
      </w:tr>
      <w:tr w14:paraId="6002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655" w:type="dxa"/>
          </w:tcPr>
          <w:p w14:paraId="090515F8">
            <w:pPr>
              <w:shd w:val="clear"/>
              <w:spacing w:line="480" w:lineRule="exact"/>
              <w:rPr>
                <w:rFonts w:hint="eastAsia" w:ascii="宋体" w:hAnsi="宋体" w:eastAsia="宋体" w:cs="宋体"/>
                <w:sz w:val="24"/>
                <w:highlight w:val="none"/>
              </w:rPr>
            </w:pPr>
          </w:p>
        </w:tc>
        <w:tc>
          <w:tcPr>
            <w:tcW w:w="1560" w:type="dxa"/>
          </w:tcPr>
          <w:p w14:paraId="096C2C50">
            <w:pPr>
              <w:shd w:val="clear"/>
              <w:spacing w:line="480" w:lineRule="exact"/>
              <w:rPr>
                <w:rFonts w:hint="eastAsia" w:ascii="宋体" w:hAnsi="宋体" w:eastAsia="宋体" w:cs="宋体"/>
                <w:sz w:val="24"/>
                <w:highlight w:val="none"/>
              </w:rPr>
            </w:pPr>
          </w:p>
        </w:tc>
        <w:tc>
          <w:tcPr>
            <w:tcW w:w="2076" w:type="dxa"/>
          </w:tcPr>
          <w:p w14:paraId="632BEF77">
            <w:pPr>
              <w:shd w:val="clear"/>
              <w:spacing w:line="480" w:lineRule="exact"/>
              <w:rPr>
                <w:rFonts w:hint="eastAsia" w:ascii="宋体" w:hAnsi="宋体" w:eastAsia="宋体" w:cs="宋体"/>
                <w:sz w:val="24"/>
                <w:highlight w:val="none"/>
              </w:rPr>
            </w:pPr>
          </w:p>
        </w:tc>
        <w:tc>
          <w:tcPr>
            <w:tcW w:w="1431" w:type="dxa"/>
          </w:tcPr>
          <w:p w14:paraId="0737689C">
            <w:pPr>
              <w:shd w:val="clear"/>
              <w:spacing w:line="480" w:lineRule="exact"/>
              <w:rPr>
                <w:rFonts w:hint="eastAsia" w:ascii="宋体" w:hAnsi="宋体" w:eastAsia="宋体" w:cs="宋体"/>
                <w:sz w:val="24"/>
                <w:highlight w:val="none"/>
              </w:rPr>
            </w:pPr>
          </w:p>
        </w:tc>
        <w:tc>
          <w:tcPr>
            <w:tcW w:w="1610" w:type="dxa"/>
          </w:tcPr>
          <w:p w14:paraId="0708D08C">
            <w:pPr>
              <w:shd w:val="clear"/>
              <w:spacing w:line="480" w:lineRule="exact"/>
              <w:rPr>
                <w:rFonts w:hint="eastAsia" w:ascii="宋体" w:hAnsi="宋体" w:eastAsia="宋体" w:cs="宋体"/>
                <w:sz w:val="24"/>
                <w:highlight w:val="none"/>
              </w:rPr>
            </w:pPr>
          </w:p>
        </w:tc>
        <w:tc>
          <w:tcPr>
            <w:tcW w:w="839" w:type="dxa"/>
          </w:tcPr>
          <w:p w14:paraId="21572CA2">
            <w:pPr>
              <w:shd w:val="clear"/>
              <w:spacing w:line="480" w:lineRule="exact"/>
              <w:rPr>
                <w:rFonts w:hint="eastAsia" w:ascii="宋体" w:hAnsi="宋体" w:eastAsia="宋体" w:cs="宋体"/>
                <w:sz w:val="24"/>
                <w:highlight w:val="none"/>
              </w:rPr>
            </w:pPr>
          </w:p>
        </w:tc>
      </w:tr>
      <w:tr w14:paraId="3664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655" w:type="dxa"/>
          </w:tcPr>
          <w:p w14:paraId="5F9428EB">
            <w:pPr>
              <w:shd w:val="clear"/>
              <w:spacing w:line="480" w:lineRule="exact"/>
              <w:rPr>
                <w:rFonts w:hint="eastAsia" w:ascii="宋体" w:hAnsi="宋体" w:eastAsia="宋体" w:cs="宋体"/>
                <w:sz w:val="24"/>
                <w:highlight w:val="none"/>
              </w:rPr>
            </w:pPr>
          </w:p>
        </w:tc>
        <w:tc>
          <w:tcPr>
            <w:tcW w:w="1560" w:type="dxa"/>
          </w:tcPr>
          <w:p w14:paraId="2E9F831F">
            <w:pPr>
              <w:shd w:val="clear"/>
              <w:spacing w:line="480" w:lineRule="exact"/>
              <w:rPr>
                <w:rFonts w:hint="eastAsia" w:ascii="宋体" w:hAnsi="宋体" w:eastAsia="宋体" w:cs="宋体"/>
                <w:sz w:val="24"/>
                <w:highlight w:val="none"/>
              </w:rPr>
            </w:pPr>
          </w:p>
        </w:tc>
        <w:tc>
          <w:tcPr>
            <w:tcW w:w="2076" w:type="dxa"/>
          </w:tcPr>
          <w:p w14:paraId="23B60CA7">
            <w:pPr>
              <w:shd w:val="clear"/>
              <w:spacing w:line="480" w:lineRule="exact"/>
              <w:rPr>
                <w:rFonts w:hint="eastAsia" w:ascii="宋体" w:hAnsi="宋体" w:eastAsia="宋体" w:cs="宋体"/>
                <w:sz w:val="24"/>
                <w:highlight w:val="none"/>
              </w:rPr>
            </w:pPr>
          </w:p>
        </w:tc>
        <w:tc>
          <w:tcPr>
            <w:tcW w:w="1431" w:type="dxa"/>
          </w:tcPr>
          <w:p w14:paraId="2B97CA87">
            <w:pPr>
              <w:shd w:val="clear"/>
              <w:spacing w:line="480" w:lineRule="exact"/>
              <w:rPr>
                <w:rFonts w:hint="eastAsia" w:ascii="宋体" w:hAnsi="宋体" w:eastAsia="宋体" w:cs="宋体"/>
                <w:sz w:val="24"/>
                <w:highlight w:val="none"/>
              </w:rPr>
            </w:pPr>
          </w:p>
        </w:tc>
        <w:tc>
          <w:tcPr>
            <w:tcW w:w="1610" w:type="dxa"/>
          </w:tcPr>
          <w:p w14:paraId="7D5653EE">
            <w:pPr>
              <w:shd w:val="clear"/>
              <w:spacing w:line="480" w:lineRule="exact"/>
              <w:rPr>
                <w:rFonts w:hint="eastAsia" w:ascii="宋体" w:hAnsi="宋体" w:eastAsia="宋体" w:cs="宋体"/>
                <w:sz w:val="24"/>
                <w:highlight w:val="none"/>
              </w:rPr>
            </w:pPr>
          </w:p>
        </w:tc>
        <w:tc>
          <w:tcPr>
            <w:tcW w:w="839" w:type="dxa"/>
          </w:tcPr>
          <w:p w14:paraId="4270B894">
            <w:pPr>
              <w:shd w:val="clear"/>
              <w:spacing w:line="480" w:lineRule="exact"/>
              <w:rPr>
                <w:rFonts w:hint="eastAsia" w:ascii="宋体" w:hAnsi="宋体" w:eastAsia="宋体" w:cs="宋体"/>
                <w:sz w:val="24"/>
                <w:highlight w:val="none"/>
              </w:rPr>
            </w:pPr>
          </w:p>
        </w:tc>
      </w:tr>
      <w:tr w14:paraId="52F1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1655" w:type="dxa"/>
          </w:tcPr>
          <w:p w14:paraId="1867780F">
            <w:pPr>
              <w:shd w:val="clear"/>
              <w:spacing w:line="480" w:lineRule="exact"/>
              <w:rPr>
                <w:rFonts w:hint="eastAsia" w:ascii="宋体" w:hAnsi="宋体" w:eastAsia="宋体" w:cs="宋体"/>
                <w:sz w:val="24"/>
                <w:highlight w:val="none"/>
              </w:rPr>
            </w:pPr>
          </w:p>
        </w:tc>
        <w:tc>
          <w:tcPr>
            <w:tcW w:w="1560" w:type="dxa"/>
          </w:tcPr>
          <w:p w14:paraId="7D547412">
            <w:pPr>
              <w:shd w:val="clear"/>
              <w:spacing w:line="480" w:lineRule="exact"/>
              <w:rPr>
                <w:rFonts w:hint="eastAsia" w:ascii="宋体" w:hAnsi="宋体" w:eastAsia="宋体" w:cs="宋体"/>
                <w:sz w:val="24"/>
                <w:highlight w:val="none"/>
              </w:rPr>
            </w:pPr>
          </w:p>
        </w:tc>
        <w:tc>
          <w:tcPr>
            <w:tcW w:w="2076" w:type="dxa"/>
          </w:tcPr>
          <w:p w14:paraId="153F3940">
            <w:pPr>
              <w:shd w:val="clear"/>
              <w:spacing w:line="480" w:lineRule="exact"/>
              <w:rPr>
                <w:rFonts w:hint="eastAsia" w:ascii="宋体" w:hAnsi="宋体" w:eastAsia="宋体" w:cs="宋体"/>
                <w:sz w:val="24"/>
                <w:highlight w:val="none"/>
              </w:rPr>
            </w:pPr>
          </w:p>
        </w:tc>
        <w:tc>
          <w:tcPr>
            <w:tcW w:w="1431" w:type="dxa"/>
          </w:tcPr>
          <w:p w14:paraId="659E0829">
            <w:pPr>
              <w:shd w:val="clear"/>
              <w:spacing w:line="480" w:lineRule="exact"/>
              <w:rPr>
                <w:rFonts w:hint="eastAsia" w:ascii="宋体" w:hAnsi="宋体" w:eastAsia="宋体" w:cs="宋体"/>
                <w:sz w:val="24"/>
                <w:highlight w:val="none"/>
              </w:rPr>
            </w:pPr>
          </w:p>
        </w:tc>
        <w:tc>
          <w:tcPr>
            <w:tcW w:w="1610" w:type="dxa"/>
          </w:tcPr>
          <w:p w14:paraId="6ADD7E86">
            <w:pPr>
              <w:shd w:val="clear"/>
              <w:spacing w:line="480" w:lineRule="exact"/>
              <w:rPr>
                <w:rFonts w:hint="eastAsia" w:ascii="宋体" w:hAnsi="宋体" w:eastAsia="宋体" w:cs="宋体"/>
                <w:sz w:val="24"/>
                <w:highlight w:val="none"/>
              </w:rPr>
            </w:pPr>
          </w:p>
        </w:tc>
        <w:tc>
          <w:tcPr>
            <w:tcW w:w="839" w:type="dxa"/>
          </w:tcPr>
          <w:p w14:paraId="2671C75E">
            <w:pPr>
              <w:shd w:val="clear"/>
              <w:spacing w:line="480" w:lineRule="exact"/>
              <w:rPr>
                <w:rFonts w:hint="eastAsia" w:ascii="宋体" w:hAnsi="宋体" w:eastAsia="宋体" w:cs="宋体"/>
                <w:sz w:val="24"/>
                <w:highlight w:val="none"/>
              </w:rPr>
            </w:pPr>
          </w:p>
        </w:tc>
      </w:tr>
    </w:tbl>
    <w:p w14:paraId="55A5B2F2">
      <w:pPr>
        <w:shd w:val="clear"/>
        <w:snapToGrid w:val="0"/>
        <w:spacing w:line="480" w:lineRule="exact"/>
        <w:ind w:firstLine="542" w:firstLineChars="226"/>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 xml:space="preserve">备注： </w:t>
      </w:r>
    </w:p>
    <w:p w14:paraId="2FF68043">
      <w:pPr>
        <w:shd w:val="clear"/>
        <w:spacing w:line="330" w:lineRule="atLeast"/>
        <w:jc w:val="left"/>
        <w:rPr>
          <w:rFonts w:hint="eastAsia" w:ascii="宋体" w:hAnsi="宋体" w:eastAsia="宋体" w:cs="宋体"/>
          <w:kern w:val="0"/>
          <w:szCs w:val="21"/>
          <w:highlight w:val="none"/>
          <w:lang w:eastAsia="zh-CN"/>
        </w:rPr>
      </w:pPr>
      <w:r>
        <w:rPr>
          <w:rFonts w:hint="eastAsia" w:ascii="宋体" w:hAnsi="宋体" w:eastAsia="宋体" w:cs="宋体"/>
          <w:kern w:val="0"/>
          <w:sz w:val="24"/>
          <w:szCs w:val="28"/>
          <w:highlight w:val="none"/>
        </w:rPr>
        <w:t>合同复印件或影印件证明材料包含：至少包含与用户签订的合同首页、合同金额所在页、签字盖章页复印件（复印件或影印件加盖投标人公章）</w:t>
      </w:r>
      <w:r>
        <w:rPr>
          <w:rFonts w:hint="eastAsia" w:ascii="宋体" w:hAnsi="宋体" w:eastAsia="宋体" w:cs="宋体"/>
          <w:kern w:val="0"/>
          <w:sz w:val="24"/>
          <w:szCs w:val="28"/>
          <w:highlight w:val="none"/>
          <w:lang w:eastAsia="zh-CN"/>
        </w:rPr>
        <w:t>。</w:t>
      </w:r>
    </w:p>
    <w:p w14:paraId="6D1B5993">
      <w:pPr>
        <w:shd w:val="clear"/>
        <w:spacing w:line="330" w:lineRule="atLeast"/>
        <w:jc w:val="left"/>
        <w:rPr>
          <w:rFonts w:hint="eastAsia" w:ascii="宋体" w:hAnsi="宋体" w:eastAsia="宋体" w:cs="宋体"/>
          <w:kern w:val="0"/>
          <w:szCs w:val="21"/>
          <w:highlight w:val="none"/>
        </w:rPr>
      </w:pPr>
    </w:p>
    <w:p w14:paraId="7AE0F4F0">
      <w:pPr>
        <w:shd w:val="clear"/>
        <w:spacing w:line="330" w:lineRule="atLeast"/>
        <w:jc w:val="left"/>
        <w:rPr>
          <w:rFonts w:hint="eastAsia" w:ascii="宋体" w:hAnsi="宋体" w:eastAsia="宋体" w:cs="宋体"/>
          <w:kern w:val="0"/>
          <w:szCs w:val="21"/>
          <w:highlight w:val="none"/>
        </w:rPr>
      </w:pPr>
    </w:p>
    <w:p w14:paraId="1F259C5D">
      <w:pPr>
        <w:shd w:val="clear"/>
        <w:spacing w:line="330" w:lineRule="atLeast"/>
        <w:jc w:val="left"/>
        <w:rPr>
          <w:rFonts w:hint="eastAsia" w:ascii="宋体" w:hAnsi="宋体" w:eastAsia="宋体" w:cs="宋体"/>
          <w:kern w:val="0"/>
          <w:szCs w:val="21"/>
          <w:highlight w:val="none"/>
        </w:rPr>
      </w:pPr>
    </w:p>
    <w:p w14:paraId="20723FC1">
      <w:pPr>
        <w:shd w:val="clear"/>
        <w:spacing w:line="330" w:lineRule="atLeast"/>
        <w:jc w:val="left"/>
        <w:rPr>
          <w:rFonts w:hint="eastAsia" w:ascii="宋体" w:hAnsi="宋体" w:eastAsia="宋体" w:cs="宋体"/>
          <w:kern w:val="0"/>
          <w:szCs w:val="21"/>
          <w:highlight w:val="none"/>
        </w:rPr>
      </w:pPr>
    </w:p>
    <w:p w14:paraId="1B5E1175">
      <w:pPr>
        <w:shd w:val="clear"/>
        <w:spacing w:line="330" w:lineRule="atLeast"/>
        <w:jc w:val="left"/>
        <w:rPr>
          <w:rFonts w:hint="eastAsia" w:ascii="宋体" w:hAnsi="宋体" w:eastAsia="宋体" w:cs="宋体"/>
          <w:kern w:val="0"/>
          <w:szCs w:val="21"/>
          <w:highlight w:val="none"/>
        </w:rPr>
      </w:pPr>
    </w:p>
    <w:p w14:paraId="797C7CB0">
      <w:pPr>
        <w:shd w:val="clear"/>
        <w:spacing w:line="330" w:lineRule="atLeast"/>
        <w:jc w:val="left"/>
        <w:rPr>
          <w:rFonts w:hint="eastAsia" w:ascii="宋体" w:hAnsi="宋体" w:eastAsia="宋体" w:cs="宋体"/>
          <w:kern w:val="0"/>
          <w:szCs w:val="21"/>
          <w:highlight w:val="none"/>
        </w:rPr>
      </w:pPr>
    </w:p>
    <w:p w14:paraId="0810CA06">
      <w:pPr>
        <w:shd w:val="clear"/>
        <w:spacing w:line="330" w:lineRule="atLeast"/>
        <w:jc w:val="left"/>
        <w:rPr>
          <w:rFonts w:hint="eastAsia" w:ascii="宋体" w:hAnsi="宋体" w:eastAsia="宋体" w:cs="宋体"/>
          <w:kern w:val="0"/>
          <w:szCs w:val="21"/>
          <w:highlight w:val="none"/>
        </w:rPr>
      </w:pPr>
    </w:p>
    <w:p w14:paraId="62FBE745">
      <w:pPr>
        <w:shd w:val="clear"/>
        <w:spacing w:line="330" w:lineRule="atLeast"/>
        <w:jc w:val="left"/>
        <w:rPr>
          <w:rFonts w:hint="eastAsia" w:ascii="宋体" w:hAnsi="宋体" w:eastAsia="宋体" w:cs="宋体"/>
          <w:kern w:val="0"/>
          <w:szCs w:val="21"/>
          <w:highlight w:val="none"/>
        </w:rPr>
      </w:pPr>
    </w:p>
    <w:p w14:paraId="3C49BA2C">
      <w:pPr>
        <w:shd w:val="clear"/>
        <w:spacing w:line="330" w:lineRule="atLeast"/>
        <w:jc w:val="left"/>
        <w:rPr>
          <w:rFonts w:hint="eastAsia" w:ascii="宋体" w:hAnsi="宋体" w:eastAsia="宋体" w:cs="宋体"/>
          <w:kern w:val="0"/>
          <w:szCs w:val="21"/>
          <w:highlight w:val="none"/>
        </w:rPr>
      </w:pPr>
    </w:p>
    <w:p w14:paraId="3ED3D8E9">
      <w:pPr>
        <w:keepNext/>
        <w:wordWrap w:val="0"/>
        <w:topLinePunct/>
        <w:adjustRightInd w:val="0"/>
        <w:snapToGrid w:val="0"/>
        <w:spacing w:line="360" w:lineRule="auto"/>
        <w:outlineLvl w:val="1"/>
        <w:rPr>
          <w:rFonts w:ascii="宋体" w:hAnsi="宋体"/>
          <w:b/>
          <w:kern w:val="0"/>
          <w:sz w:val="24"/>
        </w:rPr>
      </w:pPr>
      <w:r>
        <w:rPr>
          <w:rFonts w:hint="eastAsia" w:ascii="宋体" w:hAnsi="宋体" w:eastAsia="宋体" w:cs="宋体"/>
          <w:b/>
          <w:bCs/>
          <w:sz w:val="24"/>
          <w:highlight w:val="none"/>
        </w:rPr>
        <w:br w:type="page"/>
      </w:r>
      <w:bookmarkStart w:id="83" w:name="_Toc14336"/>
      <w:bookmarkStart w:id="84" w:name="_Toc180347494"/>
      <w:bookmarkStart w:id="85" w:name="_Toc180571723"/>
      <w:r>
        <w:rPr>
          <w:rFonts w:ascii="宋体" w:hAnsi="宋体"/>
          <w:b/>
          <w:kern w:val="0"/>
          <w:sz w:val="24"/>
        </w:rPr>
        <w:t>9</w:t>
      </w:r>
      <w:r>
        <w:rPr>
          <w:rFonts w:hint="eastAsia" w:ascii="宋体" w:hAnsi="宋体"/>
          <w:b/>
          <w:kern w:val="0"/>
          <w:sz w:val="24"/>
        </w:rPr>
        <w:t>．</w:t>
      </w:r>
      <w:r>
        <w:rPr>
          <w:rFonts w:ascii="宋体" w:hAnsi="宋体"/>
          <w:b/>
          <w:kern w:val="0"/>
          <w:sz w:val="24"/>
        </w:rPr>
        <w:t>企业信誉证明材料；（格式自拟，复印件或影印件加盖</w:t>
      </w:r>
      <w:r>
        <w:rPr>
          <w:rFonts w:hint="eastAsia" w:ascii="宋体" w:hAnsi="宋体"/>
          <w:b/>
          <w:kern w:val="0"/>
          <w:sz w:val="24"/>
        </w:rPr>
        <w:t>投标人</w:t>
      </w:r>
      <w:r>
        <w:rPr>
          <w:rFonts w:ascii="宋体" w:hAnsi="宋体"/>
          <w:b/>
          <w:kern w:val="0"/>
          <w:sz w:val="24"/>
        </w:rPr>
        <w:t>公章）</w:t>
      </w:r>
      <w:bookmarkEnd w:id="83"/>
      <w:bookmarkEnd w:id="84"/>
      <w:bookmarkEnd w:id="85"/>
    </w:p>
    <w:p w14:paraId="60353331">
      <w:pPr>
        <w:keepNext/>
        <w:wordWrap w:val="0"/>
        <w:topLinePunct/>
        <w:spacing w:line="360" w:lineRule="auto"/>
        <w:ind w:firstLine="482"/>
        <w:jc w:val="left"/>
        <w:rPr>
          <w:b/>
          <w:bCs/>
          <w:kern w:val="0"/>
          <w:sz w:val="24"/>
        </w:rPr>
      </w:pPr>
    </w:p>
    <w:p w14:paraId="73F9C2C1">
      <w:pPr>
        <w:keepNext/>
        <w:wordWrap w:val="0"/>
        <w:topLinePunct/>
        <w:spacing w:line="360" w:lineRule="auto"/>
        <w:ind w:firstLine="482"/>
        <w:jc w:val="left"/>
        <w:rPr>
          <w:b/>
          <w:bCs/>
          <w:kern w:val="0"/>
          <w:sz w:val="24"/>
        </w:rPr>
      </w:pPr>
    </w:p>
    <w:p w14:paraId="4FB14BCA">
      <w:pPr>
        <w:keepNext/>
        <w:wordWrap w:val="0"/>
        <w:topLinePunct/>
        <w:spacing w:line="360" w:lineRule="auto"/>
        <w:ind w:firstLine="482"/>
        <w:jc w:val="left"/>
        <w:rPr>
          <w:b/>
          <w:bCs/>
          <w:kern w:val="0"/>
          <w:sz w:val="24"/>
        </w:rPr>
      </w:pPr>
    </w:p>
    <w:p w14:paraId="5FB570F4">
      <w:pPr>
        <w:keepNext/>
        <w:wordWrap w:val="0"/>
        <w:topLinePunct/>
        <w:adjustRightInd w:val="0"/>
        <w:snapToGrid w:val="0"/>
        <w:spacing w:line="360" w:lineRule="auto"/>
        <w:outlineLvl w:val="1"/>
        <w:rPr>
          <w:rFonts w:ascii="宋体" w:hAnsi="宋体"/>
          <w:b/>
          <w:kern w:val="0"/>
          <w:sz w:val="24"/>
        </w:rPr>
      </w:pPr>
      <w:bookmarkStart w:id="86" w:name="_Toc180571724"/>
      <w:bookmarkStart w:id="87" w:name="_Toc180347495"/>
      <w:bookmarkStart w:id="88" w:name="_Toc11066"/>
      <w:r>
        <w:rPr>
          <w:rFonts w:ascii="宋体" w:hAnsi="宋体"/>
          <w:b/>
          <w:kern w:val="0"/>
          <w:sz w:val="24"/>
        </w:rPr>
        <w:t>10</w:t>
      </w:r>
      <w:r>
        <w:rPr>
          <w:rFonts w:hint="eastAsia" w:ascii="宋体" w:hAnsi="宋体"/>
          <w:b/>
          <w:kern w:val="0"/>
          <w:sz w:val="24"/>
        </w:rPr>
        <w:t>．</w:t>
      </w:r>
      <w:r>
        <w:rPr>
          <w:rFonts w:ascii="宋体" w:hAnsi="宋体"/>
          <w:b/>
          <w:kern w:val="0"/>
          <w:sz w:val="24"/>
        </w:rPr>
        <w:t>团队组成；（格式自拟，复印件或影印件加盖</w:t>
      </w:r>
      <w:r>
        <w:rPr>
          <w:rFonts w:hint="eastAsia" w:ascii="宋体" w:hAnsi="宋体"/>
          <w:b/>
          <w:kern w:val="0"/>
          <w:sz w:val="24"/>
        </w:rPr>
        <w:t>投标人</w:t>
      </w:r>
      <w:r>
        <w:rPr>
          <w:rFonts w:ascii="宋体" w:hAnsi="宋体"/>
          <w:b/>
          <w:kern w:val="0"/>
          <w:sz w:val="24"/>
        </w:rPr>
        <w:t>公章）</w:t>
      </w:r>
      <w:bookmarkEnd w:id="86"/>
      <w:bookmarkEnd w:id="87"/>
      <w:bookmarkEnd w:id="88"/>
    </w:p>
    <w:p w14:paraId="4EBB220C">
      <w:pPr>
        <w:keepNext/>
        <w:wordWrap w:val="0"/>
        <w:topLinePunct/>
        <w:spacing w:line="420" w:lineRule="exact"/>
        <w:ind w:firstLine="482"/>
        <w:rPr>
          <w:b/>
          <w:bCs/>
          <w:sz w:val="24"/>
        </w:rPr>
      </w:pPr>
    </w:p>
    <w:p w14:paraId="7C16054A">
      <w:pPr>
        <w:keepNext/>
        <w:wordWrap w:val="0"/>
        <w:topLinePunct/>
        <w:spacing w:line="330" w:lineRule="atLeast"/>
        <w:ind w:firstLine="480"/>
        <w:jc w:val="left"/>
        <w:rPr>
          <w:kern w:val="0"/>
          <w:sz w:val="24"/>
        </w:rPr>
      </w:pPr>
    </w:p>
    <w:p w14:paraId="73D5ED67">
      <w:pPr>
        <w:keepNext/>
        <w:wordWrap w:val="0"/>
        <w:topLinePunct/>
        <w:spacing w:line="420" w:lineRule="exact"/>
        <w:ind w:firstLine="482"/>
        <w:rPr>
          <w:b/>
          <w:bCs/>
          <w:sz w:val="24"/>
        </w:rPr>
      </w:pPr>
    </w:p>
    <w:p w14:paraId="71017CA1">
      <w:pPr>
        <w:keepNext/>
        <w:wordWrap w:val="0"/>
        <w:topLinePunct/>
        <w:adjustRightInd w:val="0"/>
        <w:snapToGrid w:val="0"/>
        <w:spacing w:line="360" w:lineRule="auto"/>
        <w:outlineLvl w:val="1"/>
        <w:rPr>
          <w:rFonts w:ascii="宋体" w:hAnsi="宋体"/>
          <w:b/>
          <w:kern w:val="0"/>
          <w:sz w:val="24"/>
        </w:rPr>
      </w:pPr>
      <w:bookmarkStart w:id="89" w:name="_Toc27616"/>
      <w:bookmarkStart w:id="90" w:name="_Toc180571725"/>
      <w:bookmarkStart w:id="91" w:name="_Toc180347496"/>
      <w:r>
        <w:rPr>
          <w:rFonts w:ascii="宋体" w:hAnsi="宋体"/>
          <w:b/>
          <w:kern w:val="0"/>
          <w:sz w:val="24"/>
        </w:rPr>
        <w:t>11</w:t>
      </w:r>
      <w:r>
        <w:rPr>
          <w:rFonts w:hint="eastAsia" w:ascii="宋体" w:hAnsi="宋体"/>
          <w:b/>
          <w:kern w:val="0"/>
          <w:sz w:val="24"/>
        </w:rPr>
        <w:t>．投标人配套服务承诺书</w:t>
      </w:r>
      <w:r>
        <w:rPr>
          <w:rFonts w:ascii="宋体" w:hAnsi="宋体"/>
          <w:b/>
          <w:kern w:val="0"/>
          <w:sz w:val="24"/>
        </w:rPr>
        <w:t>（格式自拟）</w:t>
      </w:r>
      <w:bookmarkEnd w:id="89"/>
      <w:bookmarkEnd w:id="90"/>
      <w:bookmarkEnd w:id="91"/>
    </w:p>
    <w:p w14:paraId="06B8854F">
      <w:pPr>
        <w:keepNext/>
        <w:wordWrap w:val="0"/>
        <w:topLinePunct/>
        <w:adjustRightInd w:val="0"/>
        <w:snapToGrid w:val="0"/>
        <w:spacing w:line="360" w:lineRule="auto"/>
        <w:rPr>
          <w:rFonts w:ascii="宋体" w:hAnsi="宋体"/>
          <w:bCs/>
          <w:sz w:val="24"/>
          <w:szCs w:val="24"/>
        </w:rPr>
      </w:pPr>
      <w:r>
        <w:rPr>
          <w:rFonts w:hint="eastAsia" w:ascii="宋体" w:hAnsi="宋体"/>
          <w:bCs/>
          <w:sz w:val="24"/>
          <w:szCs w:val="24"/>
        </w:rPr>
        <w:t>注：</w:t>
      </w:r>
    </w:p>
    <w:p w14:paraId="768E3585">
      <w:pPr>
        <w:keepNext/>
        <w:wordWrap w:val="0"/>
        <w:topLinePunct/>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投标人提供的配套服务承诺应实质上响应招标文件中的配套服务要求，对“生产制造商或生产厂家针对本项目的免费配套服务”，需提供生产厂家或制造商为本项目提供服务的服务地点与服务人员信息等的资料（格式自拟）。</w:t>
      </w:r>
    </w:p>
    <w:p w14:paraId="6BCB709F">
      <w:pPr>
        <w:keepNext/>
        <w:wordWrap w:val="0"/>
        <w:topLinePunct/>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2.进口货物须提供原生产制造商或生产制造商授权在中国境内的代理商出具的针对本项目的售后服务承诺书（如有）。</w:t>
      </w:r>
    </w:p>
    <w:p w14:paraId="48A8257A">
      <w:pPr>
        <w:keepNext/>
        <w:wordWrap w:val="0"/>
        <w:topLinePunct/>
        <w:spacing w:line="420" w:lineRule="exact"/>
        <w:ind w:firstLine="420"/>
        <w:rPr>
          <w:rFonts w:ascii="宋体" w:hAnsi="宋体"/>
          <w:bCs/>
          <w:szCs w:val="21"/>
        </w:rPr>
      </w:pPr>
    </w:p>
    <w:p w14:paraId="61172233">
      <w:pPr>
        <w:keepNext/>
        <w:wordWrap w:val="0"/>
        <w:topLinePunct/>
        <w:spacing w:line="420" w:lineRule="exact"/>
        <w:ind w:firstLine="482"/>
        <w:rPr>
          <w:b/>
          <w:bCs/>
          <w:sz w:val="24"/>
        </w:rPr>
      </w:pPr>
    </w:p>
    <w:p w14:paraId="4F87E627">
      <w:pPr>
        <w:keepNext/>
        <w:wordWrap w:val="0"/>
        <w:topLinePunct/>
        <w:spacing w:line="420" w:lineRule="exact"/>
        <w:ind w:firstLine="482"/>
        <w:rPr>
          <w:b/>
          <w:bCs/>
          <w:sz w:val="24"/>
        </w:rPr>
      </w:pPr>
    </w:p>
    <w:p w14:paraId="2B954807">
      <w:pPr>
        <w:keepNext/>
        <w:wordWrap w:val="0"/>
        <w:topLinePunct/>
        <w:spacing w:line="420" w:lineRule="exact"/>
        <w:ind w:firstLine="482"/>
        <w:rPr>
          <w:b/>
          <w:bCs/>
          <w:sz w:val="24"/>
        </w:rPr>
      </w:pPr>
    </w:p>
    <w:p w14:paraId="2E7C5258">
      <w:pPr>
        <w:keepNext/>
        <w:wordWrap w:val="0"/>
        <w:topLinePunct/>
        <w:adjustRightInd w:val="0"/>
        <w:snapToGrid w:val="0"/>
        <w:spacing w:line="360" w:lineRule="auto"/>
        <w:outlineLvl w:val="1"/>
        <w:rPr>
          <w:rFonts w:ascii="宋体" w:hAnsi="宋体"/>
          <w:b/>
          <w:kern w:val="0"/>
          <w:sz w:val="24"/>
          <w:szCs w:val="24"/>
        </w:rPr>
      </w:pPr>
      <w:bookmarkStart w:id="92" w:name="_Toc180571727"/>
      <w:bookmarkStart w:id="93" w:name="_Toc180347498"/>
      <w:bookmarkStart w:id="94" w:name="_Toc25699"/>
      <w:r>
        <w:rPr>
          <w:rFonts w:ascii="宋体" w:hAnsi="宋体"/>
          <w:b/>
          <w:kern w:val="0"/>
          <w:sz w:val="24"/>
          <w:szCs w:val="24"/>
        </w:rPr>
        <w:t>1</w:t>
      </w:r>
      <w:r>
        <w:rPr>
          <w:rFonts w:hint="eastAsia" w:ascii="宋体" w:hAnsi="宋体"/>
          <w:b/>
          <w:kern w:val="0"/>
          <w:sz w:val="24"/>
          <w:szCs w:val="24"/>
        </w:rPr>
        <w:t>2．</w:t>
      </w:r>
      <w:r>
        <w:rPr>
          <w:rFonts w:ascii="宋体" w:hAnsi="宋体"/>
          <w:b/>
          <w:kern w:val="0"/>
          <w:sz w:val="24"/>
          <w:szCs w:val="24"/>
        </w:rPr>
        <w:t>实施时间进度表（格式自拟）；</w:t>
      </w:r>
      <w:bookmarkEnd w:id="92"/>
      <w:bookmarkEnd w:id="93"/>
      <w:bookmarkEnd w:id="94"/>
    </w:p>
    <w:p w14:paraId="726FC21F">
      <w:pPr>
        <w:keepNext/>
        <w:wordWrap w:val="0"/>
        <w:topLinePunct/>
        <w:spacing w:line="360" w:lineRule="auto"/>
        <w:ind w:firstLine="482"/>
        <w:rPr>
          <w:b/>
          <w:bCs/>
          <w:sz w:val="24"/>
          <w:szCs w:val="24"/>
        </w:rPr>
      </w:pPr>
    </w:p>
    <w:p w14:paraId="44771C64">
      <w:pPr>
        <w:keepNext/>
        <w:wordWrap w:val="0"/>
        <w:topLinePunct/>
        <w:spacing w:line="360" w:lineRule="auto"/>
        <w:ind w:firstLine="480"/>
        <w:rPr>
          <w:sz w:val="24"/>
          <w:szCs w:val="24"/>
        </w:rPr>
      </w:pPr>
    </w:p>
    <w:p w14:paraId="28890F5B">
      <w:pPr>
        <w:keepNext/>
        <w:wordWrap w:val="0"/>
        <w:topLinePunct/>
        <w:spacing w:line="330" w:lineRule="atLeast"/>
        <w:ind w:firstLine="480"/>
        <w:jc w:val="left"/>
        <w:rPr>
          <w:kern w:val="0"/>
          <w:sz w:val="24"/>
          <w:szCs w:val="24"/>
        </w:rPr>
      </w:pPr>
    </w:p>
    <w:p w14:paraId="2D1EE688">
      <w:pPr>
        <w:keepNext/>
        <w:wordWrap w:val="0"/>
        <w:topLinePunct/>
        <w:adjustRightInd w:val="0"/>
        <w:snapToGrid w:val="0"/>
        <w:spacing w:line="360" w:lineRule="auto"/>
        <w:outlineLvl w:val="1"/>
        <w:rPr>
          <w:rFonts w:ascii="宋体" w:hAnsi="宋体"/>
          <w:b/>
          <w:kern w:val="0"/>
          <w:sz w:val="24"/>
          <w:szCs w:val="24"/>
        </w:rPr>
      </w:pPr>
      <w:bookmarkStart w:id="95" w:name="_Toc28457"/>
      <w:bookmarkStart w:id="96" w:name="_Toc180347499"/>
      <w:bookmarkStart w:id="97" w:name="_Toc180571728"/>
      <w:r>
        <w:rPr>
          <w:rFonts w:ascii="宋体" w:hAnsi="宋体"/>
          <w:b/>
          <w:kern w:val="0"/>
          <w:sz w:val="24"/>
          <w:szCs w:val="24"/>
        </w:rPr>
        <w:t>1</w:t>
      </w:r>
      <w:r>
        <w:rPr>
          <w:rFonts w:hint="eastAsia" w:ascii="宋体" w:hAnsi="宋体"/>
          <w:b/>
          <w:kern w:val="0"/>
          <w:sz w:val="24"/>
          <w:szCs w:val="24"/>
        </w:rPr>
        <w:t>3．投标人</w:t>
      </w:r>
      <w:r>
        <w:rPr>
          <w:rFonts w:ascii="宋体" w:hAnsi="宋体"/>
          <w:b/>
          <w:kern w:val="0"/>
          <w:sz w:val="24"/>
          <w:szCs w:val="24"/>
        </w:rPr>
        <w:t>认为需要提供的其他商务、技术材料。</w:t>
      </w:r>
      <w:bookmarkEnd w:id="95"/>
      <w:bookmarkEnd w:id="96"/>
      <w:bookmarkEnd w:id="97"/>
    </w:p>
    <w:p w14:paraId="157ECC65">
      <w:pPr>
        <w:keepNext/>
        <w:wordWrap w:val="0"/>
        <w:topLinePunct/>
        <w:adjustRightInd w:val="0"/>
        <w:snapToGrid w:val="0"/>
        <w:spacing w:line="360" w:lineRule="auto"/>
        <w:outlineLvl w:val="1"/>
        <w:rPr>
          <w:rFonts w:ascii="宋体" w:hAnsi="宋体"/>
          <w:b/>
          <w:kern w:val="0"/>
          <w:sz w:val="24"/>
          <w:szCs w:val="24"/>
        </w:rPr>
      </w:pPr>
      <w:r>
        <w:rPr>
          <w:b/>
          <w:bCs/>
          <w:sz w:val="24"/>
          <w:szCs w:val="24"/>
        </w:rPr>
        <w:br w:type="page"/>
      </w:r>
      <w:bookmarkStart w:id="98" w:name="_Toc180347500"/>
      <w:bookmarkStart w:id="99" w:name="_Toc180571729"/>
      <w:bookmarkStart w:id="100" w:name="_Toc18134"/>
      <w:r>
        <w:rPr>
          <w:rFonts w:hint="eastAsia" w:ascii="宋体" w:hAnsi="宋体"/>
          <w:b/>
          <w:kern w:val="0"/>
          <w:sz w:val="24"/>
          <w:szCs w:val="24"/>
        </w:rPr>
        <w:t>14．政府采购政策性要求证明材料</w:t>
      </w:r>
      <w:bookmarkEnd w:id="98"/>
      <w:bookmarkEnd w:id="99"/>
      <w:bookmarkEnd w:id="100"/>
    </w:p>
    <w:p w14:paraId="3C740221">
      <w:pPr>
        <w:keepNext/>
        <w:tabs>
          <w:tab w:val="left" w:pos="1680"/>
        </w:tabs>
        <w:wordWrap w:val="0"/>
        <w:topLinePunct/>
        <w:adjustRightInd w:val="0"/>
        <w:snapToGrid w:val="0"/>
        <w:spacing w:line="360" w:lineRule="auto"/>
        <w:ind w:firstLine="480" w:firstLineChars="200"/>
        <w:outlineLvl w:val="2"/>
        <w:rPr>
          <w:rFonts w:ascii="宋体" w:hAnsi="宋体" w:cs="宋体"/>
          <w:sz w:val="24"/>
          <w:szCs w:val="24"/>
        </w:rPr>
      </w:pPr>
      <w:r>
        <w:rPr>
          <w:rFonts w:hint="eastAsia" w:ascii="宋体" w:hAnsi="宋体" w:cs="宋体"/>
          <w:b/>
          <w:kern w:val="0"/>
          <w:sz w:val="24"/>
          <w:szCs w:val="24"/>
        </w:rPr>
        <w:t>（一）</w:t>
      </w:r>
      <w:r>
        <w:rPr>
          <w:rFonts w:hint="eastAsia" w:ascii="宋体" w:hAnsi="宋体" w:cs="宋体"/>
          <w:b/>
          <w:sz w:val="24"/>
          <w:szCs w:val="24"/>
        </w:rPr>
        <w:t>环保节能产品证明材料</w:t>
      </w:r>
    </w:p>
    <w:p w14:paraId="498271BF">
      <w:pPr>
        <w:keepNext/>
        <w:tabs>
          <w:tab w:val="left" w:pos="1680"/>
        </w:tabs>
        <w:wordWrap w:val="0"/>
        <w:topLinePunct/>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（1）强制节能产品（如不涉及，可不提供）</w:t>
      </w:r>
    </w:p>
    <w:p w14:paraId="2C528A59">
      <w:pPr>
        <w:keepNext/>
        <w:wordWrap w:val="0"/>
        <w:topLinePunct/>
        <w:adjustRightInd w:val="0"/>
        <w:snapToGrid w:val="0"/>
        <w:spacing w:line="360" w:lineRule="auto"/>
        <w:jc w:val="center"/>
        <w:rPr>
          <w:b/>
          <w:kern w:val="0"/>
          <w:sz w:val="24"/>
          <w:szCs w:val="24"/>
        </w:rPr>
      </w:pPr>
      <w:r>
        <w:rPr>
          <w:rFonts w:hint="eastAsia"/>
          <w:b/>
          <w:kern w:val="0"/>
          <w:sz w:val="24"/>
          <w:szCs w:val="24"/>
        </w:rPr>
        <w:t>强制节能产品明细表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22"/>
        <w:gridCol w:w="967"/>
        <w:gridCol w:w="1141"/>
        <w:gridCol w:w="1478"/>
        <w:gridCol w:w="1556"/>
        <w:gridCol w:w="1683"/>
      </w:tblGrid>
      <w:tr w14:paraId="5B51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7" w:type="dxa"/>
            <w:vAlign w:val="center"/>
          </w:tcPr>
          <w:p w14:paraId="759249A0">
            <w:pPr>
              <w:keepNext/>
              <w:wordWrap w:val="0"/>
              <w:topLinePunct/>
              <w:adjustRightInd w:val="0"/>
              <w:snapToGrid w:val="0"/>
              <w:jc w:val="center"/>
              <w:rPr>
                <w:rFonts w:ascii="宋体" w:hAnsi="宋体" w:cs="宋体"/>
                <w:b/>
                <w:sz w:val="24"/>
                <w:szCs w:val="24"/>
              </w:rPr>
            </w:pPr>
            <w:r>
              <w:rPr>
                <w:rFonts w:hint="eastAsia" w:ascii="宋体" w:hAnsi="宋体" w:cs="宋体"/>
                <w:b/>
                <w:sz w:val="24"/>
                <w:szCs w:val="24"/>
              </w:rPr>
              <w:t>包号</w:t>
            </w:r>
          </w:p>
        </w:tc>
        <w:tc>
          <w:tcPr>
            <w:tcW w:w="1222" w:type="dxa"/>
            <w:vAlign w:val="center"/>
          </w:tcPr>
          <w:p w14:paraId="081F8267">
            <w:pPr>
              <w:keepNext/>
              <w:wordWrap w:val="0"/>
              <w:topLinePunct/>
              <w:adjustRightInd w:val="0"/>
              <w:snapToGrid w:val="0"/>
              <w:jc w:val="center"/>
              <w:rPr>
                <w:rFonts w:ascii="宋体" w:hAnsi="宋体" w:cs="宋体"/>
                <w:b/>
                <w:sz w:val="24"/>
                <w:szCs w:val="24"/>
              </w:rPr>
            </w:pPr>
            <w:r>
              <w:rPr>
                <w:rFonts w:hint="eastAsia" w:ascii="宋体" w:hAnsi="宋体" w:cs="宋体"/>
                <w:b/>
                <w:sz w:val="24"/>
                <w:szCs w:val="24"/>
              </w:rPr>
              <w:t>产品名称</w:t>
            </w:r>
          </w:p>
        </w:tc>
        <w:tc>
          <w:tcPr>
            <w:tcW w:w="967" w:type="dxa"/>
            <w:vAlign w:val="center"/>
          </w:tcPr>
          <w:p w14:paraId="3BDA65E3">
            <w:pPr>
              <w:keepNext/>
              <w:wordWrap w:val="0"/>
              <w:topLinePunct/>
              <w:adjustRightInd w:val="0"/>
              <w:snapToGrid w:val="0"/>
              <w:jc w:val="center"/>
              <w:rPr>
                <w:rFonts w:ascii="宋体" w:hAnsi="宋体" w:cs="宋体"/>
                <w:b/>
                <w:sz w:val="24"/>
                <w:szCs w:val="24"/>
              </w:rPr>
            </w:pPr>
            <w:r>
              <w:rPr>
                <w:rFonts w:hint="eastAsia" w:ascii="宋体" w:hAnsi="宋体" w:cs="宋体"/>
                <w:b/>
                <w:sz w:val="24"/>
                <w:szCs w:val="24"/>
              </w:rPr>
              <w:t>制造商</w:t>
            </w:r>
          </w:p>
        </w:tc>
        <w:tc>
          <w:tcPr>
            <w:tcW w:w="1141" w:type="dxa"/>
            <w:vAlign w:val="center"/>
          </w:tcPr>
          <w:p w14:paraId="44837F58">
            <w:pPr>
              <w:keepNext/>
              <w:wordWrap w:val="0"/>
              <w:topLinePunct/>
              <w:adjustRightInd w:val="0"/>
              <w:snapToGrid w:val="0"/>
              <w:jc w:val="center"/>
              <w:rPr>
                <w:rFonts w:ascii="宋体" w:hAnsi="宋体" w:cs="宋体"/>
                <w:b/>
                <w:sz w:val="24"/>
                <w:szCs w:val="24"/>
              </w:rPr>
            </w:pPr>
            <w:r>
              <w:rPr>
                <w:rFonts w:hint="eastAsia" w:ascii="宋体" w:hAnsi="宋体" w:cs="宋体"/>
                <w:b/>
                <w:sz w:val="24"/>
                <w:szCs w:val="24"/>
              </w:rPr>
              <w:t>产品型号</w:t>
            </w:r>
          </w:p>
        </w:tc>
        <w:tc>
          <w:tcPr>
            <w:tcW w:w="1478" w:type="dxa"/>
            <w:vAlign w:val="center"/>
          </w:tcPr>
          <w:p w14:paraId="03B9308F">
            <w:pPr>
              <w:keepNext/>
              <w:wordWrap w:val="0"/>
              <w:topLinePunct/>
              <w:adjustRightInd w:val="0"/>
              <w:snapToGrid w:val="0"/>
              <w:jc w:val="center"/>
              <w:rPr>
                <w:rFonts w:ascii="宋体" w:hAnsi="宋体" w:cs="宋体"/>
                <w:b/>
                <w:sz w:val="24"/>
                <w:szCs w:val="24"/>
              </w:rPr>
            </w:pPr>
            <w:r>
              <w:rPr>
                <w:rFonts w:hint="eastAsia" w:ascii="宋体" w:hAnsi="宋体" w:cs="宋体"/>
                <w:b/>
                <w:sz w:val="24"/>
                <w:szCs w:val="24"/>
              </w:rPr>
              <w:t>节能产品认证证书号</w:t>
            </w:r>
          </w:p>
        </w:tc>
        <w:tc>
          <w:tcPr>
            <w:tcW w:w="1556" w:type="dxa"/>
            <w:vAlign w:val="center"/>
          </w:tcPr>
          <w:p w14:paraId="72888C67">
            <w:pPr>
              <w:keepNext/>
              <w:wordWrap w:val="0"/>
              <w:topLinePunct/>
              <w:adjustRightInd w:val="0"/>
              <w:snapToGrid w:val="0"/>
              <w:jc w:val="center"/>
              <w:rPr>
                <w:rFonts w:ascii="宋体" w:hAnsi="宋体" w:cs="宋体"/>
                <w:b/>
                <w:sz w:val="24"/>
                <w:szCs w:val="24"/>
              </w:rPr>
            </w:pPr>
            <w:r>
              <w:rPr>
                <w:rFonts w:hint="eastAsia" w:ascii="宋体" w:hAnsi="宋体" w:cs="宋体"/>
                <w:b/>
                <w:sz w:val="24"/>
                <w:szCs w:val="24"/>
              </w:rPr>
              <w:t>认证证书有效截止日期</w:t>
            </w:r>
          </w:p>
        </w:tc>
        <w:tc>
          <w:tcPr>
            <w:tcW w:w="1683" w:type="dxa"/>
            <w:vAlign w:val="center"/>
          </w:tcPr>
          <w:p w14:paraId="7B7F3CEE">
            <w:pPr>
              <w:keepNext/>
              <w:wordWrap w:val="0"/>
              <w:topLinePunct/>
              <w:adjustRightInd w:val="0"/>
              <w:snapToGrid w:val="0"/>
              <w:jc w:val="center"/>
              <w:rPr>
                <w:rFonts w:ascii="宋体" w:hAnsi="宋体" w:cs="宋体"/>
                <w:b/>
                <w:sz w:val="24"/>
                <w:szCs w:val="24"/>
              </w:rPr>
            </w:pPr>
            <w:r>
              <w:rPr>
                <w:rFonts w:hint="eastAsia" w:ascii="宋体" w:hAnsi="宋体" w:cs="宋体"/>
                <w:b/>
                <w:sz w:val="24"/>
                <w:szCs w:val="24"/>
              </w:rPr>
              <w:t>认证机构名录</w:t>
            </w:r>
          </w:p>
        </w:tc>
      </w:tr>
      <w:tr w14:paraId="5D65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787" w:type="dxa"/>
          </w:tcPr>
          <w:p w14:paraId="60561D16">
            <w:pPr>
              <w:keepNext/>
              <w:wordWrap w:val="0"/>
              <w:topLinePunct/>
              <w:adjustRightInd w:val="0"/>
              <w:snapToGrid w:val="0"/>
              <w:rPr>
                <w:rFonts w:ascii="宋体" w:hAnsi="宋体" w:cs="宋体"/>
                <w:b/>
                <w:sz w:val="24"/>
                <w:szCs w:val="24"/>
              </w:rPr>
            </w:pPr>
          </w:p>
        </w:tc>
        <w:tc>
          <w:tcPr>
            <w:tcW w:w="1222" w:type="dxa"/>
          </w:tcPr>
          <w:p w14:paraId="62A6CFB9">
            <w:pPr>
              <w:keepNext/>
              <w:wordWrap w:val="0"/>
              <w:topLinePunct/>
              <w:adjustRightInd w:val="0"/>
              <w:snapToGrid w:val="0"/>
              <w:rPr>
                <w:rFonts w:ascii="宋体" w:hAnsi="宋体" w:cs="宋体"/>
                <w:b/>
                <w:sz w:val="24"/>
                <w:szCs w:val="24"/>
              </w:rPr>
            </w:pPr>
          </w:p>
        </w:tc>
        <w:tc>
          <w:tcPr>
            <w:tcW w:w="967" w:type="dxa"/>
          </w:tcPr>
          <w:p w14:paraId="347BDA47">
            <w:pPr>
              <w:keepNext/>
              <w:wordWrap w:val="0"/>
              <w:topLinePunct/>
              <w:adjustRightInd w:val="0"/>
              <w:snapToGrid w:val="0"/>
              <w:rPr>
                <w:rFonts w:ascii="宋体" w:hAnsi="宋体" w:cs="宋体"/>
                <w:b/>
                <w:sz w:val="24"/>
                <w:szCs w:val="24"/>
              </w:rPr>
            </w:pPr>
          </w:p>
        </w:tc>
        <w:tc>
          <w:tcPr>
            <w:tcW w:w="1141" w:type="dxa"/>
          </w:tcPr>
          <w:p w14:paraId="0E71A91E">
            <w:pPr>
              <w:keepNext/>
              <w:wordWrap w:val="0"/>
              <w:topLinePunct/>
              <w:adjustRightInd w:val="0"/>
              <w:snapToGrid w:val="0"/>
              <w:rPr>
                <w:rFonts w:ascii="宋体" w:hAnsi="宋体" w:cs="宋体"/>
                <w:b/>
                <w:sz w:val="24"/>
                <w:szCs w:val="24"/>
              </w:rPr>
            </w:pPr>
          </w:p>
        </w:tc>
        <w:tc>
          <w:tcPr>
            <w:tcW w:w="1478" w:type="dxa"/>
          </w:tcPr>
          <w:p w14:paraId="397196C7">
            <w:pPr>
              <w:keepNext/>
              <w:wordWrap w:val="0"/>
              <w:topLinePunct/>
              <w:adjustRightInd w:val="0"/>
              <w:snapToGrid w:val="0"/>
              <w:rPr>
                <w:rFonts w:ascii="宋体" w:hAnsi="宋体" w:cs="宋体"/>
                <w:b/>
                <w:sz w:val="24"/>
                <w:szCs w:val="24"/>
              </w:rPr>
            </w:pPr>
          </w:p>
        </w:tc>
        <w:tc>
          <w:tcPr>
            <w:tcW w:w="1556" w:type="dxa"/>
          </w:tcPr>
          <w:p w14:paraId="55B21095">
            <w:pPr>
              <w:keepNext/>
              <w:wordWrap w:val="0"/>
              <w:topLinePunct/>
              <w:adjustRightInd w:val="0"/>
              <w:snapToGrid w:val="0"/>
              <w:rPr>
                <w:rFonts w:ascii="宋体" w:hAnsi="宋体" w:cs="宋体"/>
                <w:b/>
                <w:sz w:val="24"/>
                <w:szCs w:val="24"/>
              </w:rPr>
            </w:pPr>
          </w:p>
        </w:tc>
        <w:tc>
          <w:tcPr>
            <w:tcW w:w="1683" w:type="dxa"/>
          </w:tcPr>
          <w:p w14:paraId="2B32F820">
            <w:pPr>
              <w:keepNext/>
              <w:wordWrap w:val="0"/>
              <w:topLinePunct/>
              <w:adjustRightInd w:val="0"/>
              <w:snapToGrid w:val="0"/>
              <w:rPr>
                <w:rFonts w:ascii="宋体" w:hAnsi="宋体" w:cs="宋体"/>
                <w:b/>
                <w:sz w:val="24"/>
                <w:szCs w:val="24"/>
              </w:rPr>
            </w:pPr>
          </w:p>
        </w:tc>
      </w:tr>
      <w:tr w14:paraId="4220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787" w:type="dxa"/>
          </w:tcPr>
          <w:p w14:paraId="20F1C920">
            <w:pPr>
              <w:keepNext/>
              <w:wordWrap w:val="0"/>
              <w:topLinePunct/>
              <w:adjustRightInd w:val="0"/>
              <w:snapToGrid w:val="0"/>
              <w:rPr>
                <w:rFonts w:ascii="宋体" w:hAnsi="宋体" w:cs="宋体"/>
                <w:b/>
                <w:sz w:val="24"/>
                <w:szCs w:val="24"/>
              </w:rPr>
            </w:pPr>
          </w:p>
        </w:tc>
        <w:tc>
          <w:tcPr>
            <w:tcW w:w="1222" w:type="dxa"/>
          </w:tcPr>
          <w:p w14:paraId="76BD81A0">
            <w:pPr>
              <w:keepNext/>
              <w:wordWrap w:val="0"/>
              <w:topLinePunct/>
              <w:adjustRightInd w:val="0"/>
              <w:snapToGrid w:val="0"/>
              <w:rPr>
                <w:rFonts w:ascii="宋体" w:hAnsi="宋体" w:cs="宋体"/>
                <w:b/>
                <w:sz w:val="24"/>
                <w:szCs w:val="24"/>
              </w:rPr>
            </w:pPr>
          </w:p>
        </w:tc>
        <w:tc>
          <w:tcPr>
            <w:tcW w:w="967" w:type="dxa"/>
          </w:tcPr>
          <w:p w14:paraId="5F22CF62">
            <w:pPr>
              <w:keepNext/>
              <w:wordWrap w:val="0"/>
              <w:topLinePunct/>
              <w:adjustRightInd w:val="0"/>
              <w:snapToGrid w:val="0"/>
              <w:rPr>
                <w:rFonts w:ascii="宋体" w:hAnsi="宋体" w:cs="宋体"/>
                <w:b/>
                <w:sz w:val="24"/>
                <w:szCs w:val="24"/>
              </w:rPr>
            </w:pPr>
          </w:p>
        </w:tc>
        <w:tc>
          <w:tcPr>
            <w:tcW w:w="1141" w:type="dxa"/>
          </w:tcPr>
          <w:p w14:paraId="557AD0F8">
            <w:pPr>
              <w:keepNext/>
              <w:wordWrap w:val="0"/>
              <w:topLinePunct/>
              <w:adjustRightInd w:val="0"/>
              <w:snapToGrid w:val="0"/>
              <w:rPr>
                <w:rFonts w:ascii="宋体" w:hAnsi="宋体" w:cs="宋体"/>
                <w:b/>
                <w:sz w:val="24"/>
                <w:szCs w:val="24"/>
              </w:rPr>
            </w:pPr>
          </w:p>
        </w:tc>
        <w:tc>
          <w:tcPr>
            <w:tcW w:w="1478" w:type="dxa"/>
          </w:tcPr>
          <w:p w14:paraId="63AFA949">
            <w:pPr>
              <w:keepNext/>
              <w:wordWrap w:val="0"/>
              <w:topLinePunct/>
              <w:adjustRightInd w:val="0"/>
              <w:snapToGrid w:val="0"/>
              <w:rPr>
                <w:rFonts w:ascii="宋体" w:hAnsi="宋体" w:cs="宋体"/>
                <w:b/>
                <w:sz w:val="24"/>
                <w:szCs w:val="24"/>
              </w:rPr>
            </w:pPr>
          </w:p>
        </w:tc>
        <w:tc>
          <w:tcPr>
            <w:tcW w:w="1556" w:type="dxa"/>
          </w:tcPr>
          <w:p w14:paraId="64FE44A3">
            <w:pPr>
              <w:keepNext/>
              <w:wordWrap w:val="0"/>
              <w:topLinePunct/>
              <w:adjustRightInd w:val="0"/>
              <w:snapToGrid w:val="0"/>
              <w:rPr>
                <w:rFonts w:ascii="宋体" w:hAnsi="宋体" w:cs="宋体"/>
                <w:b/>
                <w:sz w:val="24"/>
                <w:szCs w:val="24"/>
              </w:rPr>
            </w:pPr>
          </w:p>
        </w:tc>
        <w:tc>
          <w:tcPr>
            <w:tcW w:w="1683" w:type="dxa"/>
          </w:tcPr>
          <w:p w14:paraId="099C095E">
            <w:pPr>
              <w:keepNext/>
              <w:wordWrap w:val="0"/>
              <w:topLinePunct/>
              <w:adjustRightInd w:val="0"/>
              <w:snapToGrid w:val="0"/>
              <w:rPr>
                <w:rFonts w:ascii="宋体" w:hAnsi="宋体" w:cs="宋体"/>
                <w:b/>
                <w:sz w:val="24"/>
                <w:szCs w:val="24"/>
              </w:rPr>
            </w:pPr>
          </w:p>
        </w:tc>
      </w:tr>
    </w:tbl>
    <w:p w14:paraId="65A101FB">
      <w:pPr>
        <w:keepNext/>
        <w:tabs>
          <w:tab w:val="left" w:pos="1680"/>
        </w:tabs>
        <w:wordWrap w:val="0"/>
        <w:topLinePunct/>
        <w:adjustRightInd w:val="0"/>
        <w:snapToGrid w:val="0"/>
        <w:rPr>
          <w:rFonts w:ascii="宋体" w:hAnsi="宋体" w:cs="宋体"/>
          <w:bCs/>
          <w:sz w:val="24"/>
          <w:szCs w:val="24"/>
        </w:rPr>
      </w:pPr>
    </w:p>
    <w:p w14:paraId="6CD5E999">
      <w:pPr>
        <w:keepNext/>
        <w:wordWrap w:val="0"/>
        <w:topLinePunct/>
        <w:spacing w:line="360" w:lineRule="auto"/>
        <w:jc w:val="left"/>
        <w:rPr>
          <w:rFonts w:ascii="宋体" w:hAnsi="宋体" w:cs="宋体"/>
          <w:bCs/>
          <w:sz w:val="24"/>
          <w:szCs w:val="24"/>
        </w:rPr>
      </w:pPr>
      <w:r>
        <w:rPr>
          <w:rFonts w:hint="eastAsia" w:ascii="宋体" w:hAnsi="宋体" w:cs="宋体"/>
          <w:bCs/>
          <w:sz w:val="24"/>
          <w:szCs w:val="24"/>
        </w:rPr>
        <w:t>注：</w:t>
      </w:r>
    </w:p>
    <w:p w14:paraId="656F969B">
      <w:pPr>
        <w:keepNext/>
        <w:wordWrap w:val="0"/>
        <w:topLinePunct/>
        <w:spacing w:line="360" w:lineRule="auto"/>
        <w:ind w:firstLine="480" w:firstLineChars="200"/>
        <w:jc w:val="left"/>
        <w:rPr>
          <w:rFonts w:ascii="宋体" w:hAnsi="宋体" w:cs="宋体"/>
          <w:sz w:val="24"/>
          <w:szCs w:val="24"/>
        </w:rPr>
      </w:pPr>
      <w:r>
        <w:rPr>
          <w:rFonts w:hint="eastAsia" w:ascii="宋体" w:hAnsi="宋体" w:cs="宋体"/>
          <w:bCs/>
          <w:sz w:val="24"/>
          <w:szCs w:val="24"/>
        </w:rPr>
        <w:t>1.如采购项目（包）或报价货物中包含</w:t>
      </w:r>
      <w:r>
        <w:rPr>
          <w:rFonts w:hint="eastAsia" w:ascii="宋体" w:hAnsi="宋体" w:cs="宋体"/>
          <w:sz w:val="24"/>
          <w:szCs w:val="24"/>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04F19440">
      <w:pPr>
        <w:keepNext/>
        <w:tabs>
          <w:tab w:val="left" w:pos="1680"/>
        </w:tabs>
        <w:wordWrap w:val="0"/>
        <w:topLinePunct/>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2.以包为单位分别填写，如本项目（包）或报价货物中不涉及强制节能产品，可不提供此表。</w:t>
      </w:r>
    </w:p>
    <w:p w14:paraId="42D109DB">
      <w:pPr>
        <w:keepNext/>
        <w:tabs>
          <w:tab w:val="left" w:pos="1680"/>
        </w:tabs>
        <w:wordWrap w:val="0"/>
        <w:topLinePunct/>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w:t>
      </w:r>
      <w:r>
        <w:rPr>
          <w:rFonts w:ascii="宋体" w:hAnsi="宋体" w:cs="宋体"/>
          <w:bCs/>
          <w:sz w:val="24"/>
          <w:szCs w:val="24"/>
        </w:rPr>
        <w:t>采购货物中如含国家互联网信息办公室会同工业和信息化部、公安部、国家认证认可监督管理委员会等部门发布关于调整《网络关键设备和网络安全专用产品目录》的公告2023年第2号公布的《网络关键设备和网络安全专用产品目录》的网络安全专用产品，投报产品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网络安全专用产品安全技术要求》等相关国家标准强制性要求检测的安全认证合格或者安全检测符合要求的证明材料或对此前已经获得有效的《计算机信息系统安全专用产品销售许可证》证明材料</w:t>
      </w:r>
      <w:r>
        <w:rPr>
          <w:rFonts w:hint="eastAsia" w:ascii="宋体" w:hAnsi="宋体" w:cs="宋体"/>
          <w:bCs/>
          <w:sz w:val="24"/>
          <w:szCs w:val="24"/>
        </w:rPr>
        <w:t>附后</w:t>
      </w:r>
      <w:r>
        <w:rPr>
          <w:rFonts w:ascii="宋体" w:hAnsi="宋体" w:cs="宋体"/>
          <w:bCs/>
          <w:sz w:val="24"/>
          <w:szCs w:val="24"/>
        </w:rPr>
        <w:t>。</w:t>
      </w:r>
    </w:p>
    <w:p w14:paraId="23D291ED">
      <w:pPr>
        <w:keepNext/>
        <w:wordWrap w:val="0"/>
        <w:topLinePunct/>
        <w:rPr>
          <w:sz w:val="24"/>
          <w:szCs w:val="24"/>
        </w:rPr>
      </w:pPr>
    </w:p>
    <w:p w14:paraId="6873EFA5">
      <w:pPr>
        <w:keepNext/>
        <w:wordWrap w:val="0"/>
        <w:topLinePunct/>
        <w:jc w:val="left"/>
        <w:rPr>
          <w:rFonts w:ascii="宋体" w:hAnsi="宋体" w:cs="宋体"/>
          <w:bCs/>
          <w:sz w:val="24"/>
          <w:szCs w:val="24"/>
        </w:rPr>
      </w:pPr>
      <w:r>
        <w:rPr>
          <w:rFonts w:ascii="宋体" w:hAnsi="宋体" w:cs="宋体"/>
          <w:bCs/>
          <w:sz w:val="24"/>
          <w:szCs w:val="24"/>
        </w:rPr>
        <w:br w:type="page"/>
      </w:r>
    </w:p>
    <w:p w14:paraId="42BD8C05">
      <w:pPr>
        <w:keepNext/>
        <w:tabs>
          <w:tab w:val="left" w:pos="1680"/>
        </w:tabs>
        <w:wordWrap w:val="0"/>
        <w:topLinePunct/>
        <w:adjustRightInd w:val="0"/>
        <w:snapToGrid w:val="0"/>
        <w:spacing w:line="360" w:lineRule="auto"/>
        <w:ind w:firstLine="480" w:firstLineChars="200"/>
        <w:rPr>
          <w:rFonts w:ascii="宋体" w:hAnsi="宋体" w:cs="宋体"/>
          <w:bCs/>
          <w:sz w:val="24"/>
          <w:szCs w:val="24"/>
        </w:rPr>
      </w:pPr>
      <w:r>
        <w:rPr>
          <w:rFonts w:ascii="宋体" w:hAnsi="宋体" w:cs="宋体"/>
          <w:bCs/>
          <w:sz w:val="24"/>
          <w:szCs w:val="24"/>
        </w:rPr>
        <w:t>（2）非强制节能、环保标志产品</w:t>
      </w:r>
    </w:p>
    <w:p w14:paraId="7CB1780D">
      <w:pPr>
        <w:keepNext/>
        <w:wordWrap w:val="0"/>
        <w:topLinePunct/>
        <w:adjustRightInd w:val="0"/>
        <w:snapToGrid w:val="0"/>
        <w:spacing w:line="360" w:lineRule="auto"/>
        <w:jc w:val="center"/>
        <w:rPr>
          <w:b/>
          <w:kern w:val="0"/>
          <w:sz w:val="24"/>
          <w:szCs w:val="24"/>
        </w:rPr>
      </w:pPr>
      <w:r>
        <w:rPr>
          <w:b/>
          <w:kern w:val="0"/>
          <w:sz w:val="24"/>
          <w:szCs w:val="24"/>
        </w:rPr>
        <w:t>非强制节能产品明细表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3"/>
        <w:gridCol w:w="1108"/>
        <w:gridCol w:w="1125"/>
        <w:gridCol w:w="1618"/>
        <w:gridCol w:w="1494"/>
        <w:gridCol w:w="1549"/>
      </w:tblGrid>
      <w:tr w14:paraId="5619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697" w:type="dxa"/>
            <w:vAlign w:val="center"/>
          </w:tcPr>
          <w:p w14:paraId="3F577B91">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包号</w:t>
            </w:r>
          </w:p>
        </w:tc>
        <w:tc>
          <w:tcPr>
            <w:tcW w:w="1243" w:type="dxa"/>
            <w:vAlign w:val="center"/>
          </w:tcPr>
          <w:p w14:paraId="1A2C326F">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产品名称</w:t>
            </w:r>
          </w:p>
        </w:tc>
        <w:tc>
          <w:tcPr>
            <w:tcW w:w="1108" w:type="dxa"/>
            <w:vAlign w:val="center"/>
          </w:tcPr>
          <w:p w14:paraId="2C978E1D">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制造商</w:t>
            </w:r>
          </w:p>
        </w:tc>
        <w:tc>
          <w:tcPr>
            <w:tcW w:w="1125" w:type="dxa"/>
            <w:vAlign w:val="center"/>
          </w:tcPr>
          <w:p w14:paraId="4D33B471">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产品型号</w:t>
            </w:r>
          </w:p>
        </w:tc>
        <w:tc>
          <w:tcPr>
            <w:tcW w:w="1618" w:type="dxa"/>
            <w:vAlign w:val="center"/>
          </w:tcPr>
          <w:p w14:paraId="539E3EF2">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节能产品认证证书号</w:t>
            </w:r>
          </w:p>
        </w:tc>
        <w:tc>
          <w:tcPr>
            <w:tcW w:w="1494" w:type="dxa"/>
            <w:vAlign w:val="center"/>
          </w:tcPr>
          <w:p w14:paraId="78E1B954">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认证证书有效截止日期</w:t>
            </w:r>
          </w:p>
        </w:tc>
        <w:tc>
          <w:tcPr>
            <w:tcW w:w="1549" w:type="dxa"/>
            <w:vAlign w:val="center"/>
          </w:tcPr>
          <w:p w14:paraId="068FCF8B">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认证机构名称</w:t>
            </w:r>
          </w:p>
        </w:tc>
      </w:tr>
      <w:tr w14:paraId="1BB5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697" w:type="dxa"/>
          </w:tcPr>
          <w:p w14:paraId="34773082">
            <w:pPr>
              <w:keepNext/>
              <w:wordWrap w:val="0"/>
              <w:topLinePunct/>
              <w:adjustRightInd w:val="0"/>
              <w:snapToGrid w:val="0"/>
              <w:jc w:val="center"/>
              <w:rPr>
                <w:rFonts w:cs="宋体" w:asciiTheme="minorEastAsia" w:hAnsiTheme="minorEastAsia" w:eastAsiaTheme="minorEastAsia"/>
                <w:b/>
                <w:sz w:val="24"/>
                <w:szCs w:val="24"/>
              </w:rPr>
            </w:pPr>
          </w:p>
        </w:tc>
        <w:tc>
          <w:tcPr>
            <w:tcW w:w="1243" w:type="dxa"/>
          </w:tcPr>
          <w:p w14:paraId="5B8CC451">
            <w:pPr>
              <w:keepNext/>
              <w:wordWrap w:val="0"/>
              <w:topLinePunct/>
              <w:adjustRightInd w:val="0"/>
              <w:snapToGrid w:val="0"/>
              <w:jc w:val="center"/>
              <w:rPr>
                <w:rFonts w:cs="宋体" w:asciiTheme="minorEastAsia" w:hAnsiTheme="minorEastAsia" w:eastAsiaTheme="minorEastAsia"/>
                <w:b/>
                <w:sz w:val="24"/>
                <w:szCs w:val="24"/>
              </w:rPr>
            </w:pPr>
          </w:p>
        </w:tc>
        <w:tc>
          <w:tcPr>
            <w:tcW w:w="1108" w:type="dxa"/>
          </w:tcPr>
          <w:p w14:paraId="42543024">
            <w:pPr>
              <w:keepNext/>
              <w:wordWrap w:val="0"/>
              <w:topLinePunct/>
              <w:adjustRightInd w:val="0"/>
              <w:snapToGrid w:val="0"/>
              <w:jc w:val="center"/>
              <w:rPr>
                <w:rFonts w:cs="宋体" w:asciiTheme="minorEastAsia" w:hAnsiTheme="minorEastAsia" w:eastAsiaTheme="minorEastAsia"/>
                <w:b/>
                <w:sz w:val="24"/>
                <w:szCs w:val="24"/>
              </w:rPr>
            </w:pPr>
          </w:p>
        </w:tc>
        <w:tc>
          <w:tcPr>
            <w:tcW w:w="1125" w:type="dxa"/>
          </w:tcPr>
          <w:p w14:paraId="32C7B151">
            <w:pPr>
              <w:keepNext/>
              <w:wordWrap w:val="0"/>
              <w:topLinePunct/>
              <w:adjustRightInd w:val="0"/>
              <w:snapToGrid w:val="0"/>
              <w:jc w:val="center"/>
              <w:rPr>
                <w:rFonts w:cs="宋体" w:asciiTheme="minorEastAsia" w:hAnsiTheme="minorEastAsia" w:eastAsiaTheme="minorEastAsia"/>
                <w:b/>
                <w:sz w:val="24"/>
                <w:szCs w:val="24"/>
              </w:rPr>
            </w:pPr>
          </w:p>
        </w:tc>
        <w:tc>
          <w:tcPr>
            <w:tcW w:w="1618" w:type="dxa"/>
          </w:tcPr>
          <w:p w14:paraId="31EA3AE8">
            <w:pPr>
              <w:keepNext/>
              <w:wordWrap w:val="0"/>
              <w:topLinePunct/>
              <w:adjustRightInd w:val="0"/>
              <w:snapToGrid w:val="0"/>
              <w:jc w:val="center"/>
              <w:rPr>
                <w:rFonts w:cs="宋体" w:asciiTheme="minorEastAsia" w:hAnsiTheme="minorEastAsia" w:eastAsiaTheme="minorEastAsia"/>
                <w:b/>
                <w:sz w:val="24"/>
                <w:szCs w:val="24"/>
              </w:rPr>
            </w:pPr>
          </w:p>
        </w:tc>
        <w:tc>
          <w:tcPr>
            <w:tcW w:w="1494" w:type="dxa"/>
          </w:tcPr>
          <w:p w14:paraId="01E29EE4">
            <w:pPr>
              <w:keepNext/>
              <w:wordWrap w:val="0"/>
              <w:topLinePunct/>
              <w:adjustRightInd w:val="0"/>
              <w:snapToGrid w:val="0"/>
              <w:jc w:val="center"/>
              <w:rPr>
                <w:rFonts w:cs="宋体" w:asciiTheme="minorEastAsia" w:hAnsiTheme="minorEastAsia" w:eastAsiaTheme="minorEastAsia"/>
                <w:b/>
                <w:sz w:val="24"/>
                <w:szCs w:val="24"/>
              </w:rPr>
            </w:pPr>
          </w:p>
        </w:tc>
        <w:tc>
          <w:tcPr>
            <w:tcW w:w="1549" w:type="dxa"/>
          </w:tcPr>
          <w:p w14:paraId="6DF644AD">
            <w:pPr>
              <w:keepNext/>
              <w:wordWrap w:val="0"/>
              <w:topLinePunct/>
              <w:adjustRightInd w:val="0"/>
              <w:snapToGrid w:val="0"/>
              <w:jc w:val="center"/>
              <w:rPr>
                <w:rFonts w:cs="宋体" w:asciiTheme="minorEastAsia" w:hAnsiTheme="minorEastAsia" w:eastAsiaTheme="minorEastAsia"/>
                <w:b/>
                <w:sz w:val="24"/>
                <w:szCs w:val="24"/>
              </w:rPr>
            </w:pPr>
          </w:p>
        </w:tc>
      </w:tr>
      <w:tr w14:paraId="56DD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697" w:type="dxa"/>
          </w:tcPr>
          <w:p w14:paraId="202FEC93">
            <w:pPr>
              <w:keepNext/>
              <w:wordWrap w:val="0"/>
              <w:topLinePunct/>
              <w:adjustRightInd w:val="0"/>
              <w:snapToGrid w:val="0"/>
              <w:jc w:val="center"/>
              <w:rPr>
                <w:rFonts w:cs="宋体" w:asciiTheme="minorEastAsia" w:hAnsiTheme="minorEastAsia" w:eastAsiaTheme="minorEastAsia"/>
                <w:b/>
                <w:sz w:val="24"/>
                <w:szCs w:val="24"/>
              </w:rPr>
            </w:pPr>
          </w:p>
        </w:tc>
        <w:tc>
          <w:tcPr>
            <w:tcW w:w="1243" w:type="dxa"/>
          </w:tcPr>
          <w:p w14:paraId="69938A6F">
            <w:pPr>
              <w:keepNext/>
              <w:wordWrap w:val="0"/>
              <w:topLinePunct/>
              <w:adjustRightInd w:val="0"/>
              <w:snapToGrid w:val="0"/>
              <w:jc w:val="center"/>
              <w:rPr>
                <w:rFonts w:cs="宋体" w:asciiTheme="minorEastAsia" w:hAnsiTheme="minorEastAsia" w:eastAsiaTheme="minorEastAsia"/>
                <w:b/>
                <w:sz w:val="24"/>
                <w:szCs w:val="24"/>
              </w:rPr>
            </w:pPr>
          </w:p>
        </w:tc>
        <w:tc>
          <w:tcPr>
            <w:tcW w:w="1108" w:type="dxa"/>
          </w:tcPr>
          <w:p w14:paraId="5C32A5A8">
            <w:pPr>
              <w:keepNext/>
              <w:wordWrap w:val="0"/>
              <w:topLinePunct/>
              <w:adjustRightInd w:val="0"/>
              <w:snapToGrid w:val="0"/>
              <w:jc w:val="center"/>
              <w:rPr>
                <w:rFonts w:cs="宋体" w:asciiTheme="minorEastAsia" w:hAnsiTheme="minorEastAsia" w:eastAsiaTheme="minorEastAsia"/>
                <w:b/>
                <w:sz w:val="24"/>
                <w:szCs w:val="24"/>
              </w:rPr>
            </w:pPr>
          </w:p>
        </w:tc>
        <w:tc>
          <w:tcPr>
            <w:tcW w:w="1125" w:type="dxa"/>
          </w:tcPr>
          <w:p w14:paraId="1E09F600">
            <w:pPr>
              <w:keepNext/>
              <w:wordWrap w:val="0"/>
              <w:topLinePunct/>
              <w:adjustRightInd w:val="0"/>
              <w:snapToGrid w:val="0"/>
              <w:jc w:val="center"/>
              <w:rPr>
                <w:rFonts w:cs="宋体" w:asciiTheme="minorEastAsia" w:hAnsiTheme="minorEastAsia" w:eastAsiaTheme="minorEastAsia"/>
                <w:b/>
                <w:sz w:val="24"/>
                <w:szCs w:val="24"/>
              </w:rPr>
            </w:pPr>
          </w:p>
        </w:tc>
        <w:tc>
          <w:tcPr>
            <w:tcW w:w="1618" w:type="dxa"/>
          </w:tcPr>
          <w:p w14:paraId="7F2F1AEA">
            <w:pPr>
              <w:keepNext/>
              <w:wordWrap w:val="0"/>
              <w:topLinePunct/>
              <w:adjustRightInd w:val="0"/>
              <w:snapToGrid w:val="0"/>
              <w:jc w:val="center"/>
              <w:rPr>
                <w:rFonts w:cs="宋体" w:asciiTheme="minorEastAsia" w:hAnsiTheme="minorEastAsia" w:eastAsiaTheme="minorEastAsia"/>
                <w:b/>
                <w:sz w:val="24"/>
                <w:szCs w:val="24"/>
              </w:rPr>
            </w:pPr>
          </w:p>
        </w:tc>
        <w:tc>
          <w:tcPr>
            <w:tcW w:w="1494" w:type="dxa"/>
          </w:tcPr>
          <w:p w14:paraId="4D2876B2">
            <w:pPr>
              <w:keepNext/>
              <w:wordWrap w:val="0"/>
              <w:topLinePunct/>
              <w:adjustRightInd w:val="0"/>
              <w:snapToGrid w:val="0"/>
              <w:jc w:val="center"/>
              <w:rPr>
                <w:rFonts w:cs="宋体" w:asciiTheme="minorEastAsia" w:hAnsiTheme="minorEastAsia" w:eastAsiaTheme="minorEastAsia"/>
                <w:b/>
                <w:sz w:val="24"/>
                <w:szCs w:val="24"/>
              </w:rPr>
            </w:pPr>
          </w:p>
        </w:tc>
        <w:tc>
          <w:tcPr>
            <w:tcW w:w="1549" w:type="dxa"/>
          </w:tcPr>
          <w:p w14:paraId="245E75E3">
            <w:pPr>
              <w:keepNext/>
              <w:wordWrap w:val="0"/>
              <w:topLinePunct/>
              <w:adjustRightInd w:val="0"/>
              <w:snapToGrid w:val="0"/>
              <w:jc w:val="center"/>
              <w:rPr>
                <w:rFonts w:cs="宋体" w:asciiTheme="minorEastAsia" w:hAnsiTheme="minorEastAsia" w:eastAsiaTheme="minorEastAsia"/>
                <w:b/>
                <w:sz w:val="24"/>
                <w:szCs w:val="24"/>
              </w:rPr>
            </w:pPr>
          </w:p>
        </w:tc>
      </w:tr>
      <w:tr w14:paraId="665E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697" w:type="dxa"/>
          </w:tcPr>
          <w:p w14:paraId="0533A9CC">
            <w:pPr>
              <w:keepNext/>
              <w:wordWrap w:val="0"/>
              <w:topLinePunct/>
              <w:adjustRightInd w:val="0"/>
              <w:snapToGrid w:val="0"/>
              <w:jc w:val="center"/>
              <w:rPr>
                <w:rFonts w:cs="宋体" w:asciiTheme="minorEastAsia" w:hAnsiTheme="minorEastAsia" w:eastAsiaTheme="minorEastAsia"/>
                <w:b/>
                <w:sz w:val="24"/>
                <w:szCs w:val="24"/>
              </w:rPr>
            </w:pPr>
          </w:p>
        </w:tc>
        <w:tc>
          <w:tcPr>
            <w:tcW w:w="1243" w:type="dxa"/>
          </w:tcPr>
          <w:p w14:paraId="2A05A92A">
            <w:pPr>
              <w:keepNext/>
              <w:wordWrap w:val="0"/>
              <w:topLinePunct/>
              <w:adjustRightInd w:val="0"/>
              <w:snapToGrid w:val="0"/>
              <w:jc w:val="center"/>
              <w:rPr>
                <w:rFonts w:cs="宋体" w:asciiTheme="minorEastAsia" w:hAnsiTheme="minorEastAsia" w:eastAsiaTheme="minorEastAsia"/>
                <w:b/>
                <w:sz w:val="24"/>
                <w:szCs w:val="24"/>
              </w:rPr>
            </w:pPr>
          </w:p>
        </w:tc>
        <w:tc>
          <w:tcPr>
            <w:tcW w:w="1108" w:type="dxa"/>
          </w:tcPr>
          <w:p w14:paraId="3637709F">
            <w:pPr>
              <w:keepNext/>
              <w:wordWrap w:val="0"/>
              <w:topLinePunct/>
              <w:adjustRightInd w:val="0"/>
              <w:snapToGrid w:val="0"/>
              <w:jc w:val="center"/>
              <w:rPr>
                <w:rFonts w:cs="宋体" w:asciiTheme="minorEastAsia" w:hAnsiTheme="minorEastAsia" w:eastAsiaTheme="minorEastAsia"/>
                <w:b/>
                <w:sz w:val="24"/>
                <w:szCs w:val="24"/>
              </w:rPr>
            </w:pPr>
          </w:p>
        </w:tc>
        <w:tc>
          <w:tcPr>
            <w:tcW w:w="1125" w:type="dxa"/>
          </w:tcPr>
          <w:p w14:paraId="07E85EBA">
            <w:pPr>
              <w:keepNext/>
              <w:wordWrap w:val="0"/>
              <w:topLinePunct/>
              <w:adjustRightInd w:val="0"/>
              <w:snapToGrid w:val="0"/>
              <w:jc w:val="center"/>
              <w:rPr>
                <w:rFonts w:cs="宋体" w:asciiTheme="minorEastAsia" w:hAnsiTheme="minorEastAsia" w:eastAsiaTheme="minorEastAsia"/>
                <w:b/>
                <w:sz w:val="24"/>
                <w:szCs w:val="24"/>
              </w:rPr>
            </w:pPr>
          </w:p>
        </w:tc>
        <w:tc>
          <w:tcPr>
            <w:tcW w:w="1618" w:type="dxa"/>
          </w:tcPr>
          <w:p w14:paraId="7886CCAD">
            <w:pPr>
              <w:keepNext/>
              <w:wordWrap w:val="0"/>
              <w:topLinePunct/>
              <w:adjustRightInd w:val="0"/>
              <w:snapToGrid w:val="0"/>
              <w:jc w:val="center"/>
              <w:rPr>
                <w:rFonts w:cs="宋体" w:asciiTheme="minorEastAsia" w:hAnsiTheme="minorEastAsia" w:eastAsiaTheme="minorEastAsia"/>
                <w:b/>
                <w:sz w:val="24"/>
                <w:szCs w:val="24"/>
              </w:rPr>
            </w:pPr>
          </w:p>
        </w:tc>
        <w:tc>
          <w:tcPr>
            <w:tcW w:w="1494" w:type="dxa"/>
          </w:tcPr>
          <w:p w14:paraId="6666F125">
            <w:pPr>
              <w:keepNext/>
              <w:wordWrap w:val="0"/>
              <w:topLinePunct/>
              <w:adjustRightInd w:val="0"/>
              <w:snapToGrid w:val="0"/>
              <w:jc w:val="center"/>
              <w:rPr>
                <w:rFonts w:cs="宋体" w:asciiTheme="minorEastAsia" w:hAnsiTheme="minorEastAsia" w:eastAsiaTheme="minorEastAsia"/>
                <w:b/>
                <w:sz w:val="24"/>
                <w:szCs w:val="24"/>
              </w:rPr>
            </w:pPr>
          </w:p>
        </w:tc>
        <w:tc>
          <w:tcPr>
            <w:tcW w:w="1549" w:type="dxa"/>
          </w:tcPr>
          <w:p w14:paraId="163E12A7">
            <w:pPr>
              <w:keepNext/>
              <w:wordWrap w:val="0"/>
              <w:topLinePunct/>
              <w:adjustRightInd w:val="0"/>
              <w:snapToGrid w:val="0"/>
              <w:jc w:val="center"/>
              <w:rPr>
                <w:rFonts w:cs="宋体" w:asciiTheme="minorEastAsia" w:hAnsiTheme="minorEastAsia" w:eastAsiaTheme="minorEastAsia"/>
                <w:b/>
                <w:sz w:val="24"/>
                <w:szCs w:val="24"/>
              </w:rPr>
            </w:pPr>
          </w:p>
        </w:tc>
      </w:tr>
    </w:tbl>
    <w:p w14:paraId="4AE1A02C">
      <w:pPr>
        <w:keepNext/>
        <w:wordWrap w:val="0"/>
        <w:topLinePunct/>
        <w:adjustRightInd w:val="0"/>
        <w:snapToGrid w:val="0"/>
        <w:spacing w:line="360" w:lineRule="auto"/>
        <w:jc w:val="center"/>
        <w:rPr>
          <w:b/>
          <w:kern w:val="0"/>
          <w:sz w:val="24"/>
          <w:szCs w:val="24"/>
        </w:rPr>
      </w:pPr>
    </w:p>
    <w:p w14:paraId="4CCA8E9A">
      <w:pPr>
        <w:keepNext/>
        <w:wordWrap w:val="0"/>
        <w:topLinePunct/>
        <w:adjustRightInd w:val="0"/>
        <w:snapToGrid w:val="0"/>
        <w:spacing w:line="360" w:lineRule="auto"/>
        <w:jc w:val="center"/>
        <w:rPr>
          <w:b/>
          <w:kern w:val="0"/>
          <w:sz w:val="24"/>
          <w:szCs w:val="24"/>
        </w:rPr>
      </w:pPr>
      <w:r>
        <w:rPr>
          <w:b/>
          <w:kern w:val="0"/>
          <w:sz w:val="24"/>
          <w:szCs w:val="24"/>
        </w:rPr>
        <w:t>环境标志产品明细表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48"/>
        <w:gridCol w:w="924"/>
        <w:gridCol w:w="1120"/>
        <w:gridCol w:w="1141"/>
        <w:gridCol w:w="1512"/>
        <w:gridCol w:w="1352"/>
        <w:gridCol w:w="1259"/>
      </w:tblGrid>
      <w:tr w14:paraId="0B0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652" w:type="dxa"/>
            <w:vAlign w:val="center"/>
          </w:tcPr>
          <w:p w14:paraId="11CD82E3">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包号</w:t>
            </w:r>
          </w:p>
        </w:tc>
        <w:tc>
          <w:tcPr>
            <w:tcW w:w="1148" w:type="dxa"/>
            <w:vAlign w:val="center"/>
          </w:tcPr>
          <w:p w14:paraId="1423093F">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产品名称</w:t>
            </w:r>
          </w:p>
        </w:tc>
        <w:tc>
          <w:tcPr>
            <w:tcW w:w="924" w:type="dxa"/>
            <w:vAlign w:val="center"/>
          </w:tcPr>
          <w:p w14:paraId="1F267401">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制造商</w:t>
            </w:r>
          </w:p>
        </w:tc>
        <w:tc>
          <w:tcPr>
            <w:tcW w:w="1120" w:type="dxa"/>
            <w:vAlign w:val="center"/>
          </w:tcPr>
          <w:p w14:paraId="213D1418">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注册商标</w:t>
            </w:r>
          </w:p>
        </w:tc>
        <w:tc>
          <w:tcPr>
            <w:tcW w:w="1141" w:type="dxa"/>
            <w:vAlign w:val="center"/>
          </w:tcPr>
          <w:p w14:paraId="3F38AC5E">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产品型号</w:t>
            </w:r>
          </w:p>
        </w:tc>
        <w:tc>
          <w:tcPr>
            <w:tcW w:w="1512" w:type="dxa"/>
            <w:vAlign w:val="center"/>
          </w:tcPr>
          <w:p w14:paraId="7C396F35">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环境标志产品认证证书号</w:t>
            </w:r>
          </w:p>
        </w:tc>
        <w:tc>
          <w:tcPr>
            <w:tcW w:w="1352" w:type="dxa"/>
            <w:vAlign w:val="center"/>
          </w:tcPr>
          <w:p w14:paraId="426C3505">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认证证书有效截止日期</w:t>
            </w:r>
          </w:p>
        </w:tc>
        <w:tc>
          <w:tcPr>
            <w:tcW w:w="1259" w:type="dxa"/>
            <w:vAlign w:val="center"/>
          </w:tcPr>
          <w:p w14:paraId="4C3AE8E4">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认证机构名称</w:t>
            </w:r>
          </w:p>
        </w:tc>
      </w:tr>
      <w:tr w14:paraId="0230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652" w:type="dxa"/>
          </w:tcPr>
          <w:p w14:paraId="6712DA01">
            <w:pPr>
              <w:keepNext/>
              <w:wordWrap w:val="0"/>
              <w:topLinePunct/>
              <w:adjustRightInd w:val="0"/>
              <w:snapToGrid w:val="0"/>
              <w:jc w:val="center"/>
              <w:rPr>
                <w:rFonts w:cs="宋体" w:asciiTheme="minorEastAsia" w:hAnsiTheme="minorEastAsia" w:eastAsiaTheme="minorEastAsia"/>
                <w:b/>
                <w:sz w:val="24"/>
                <w:szCs w:val="24"/>
              </w:rPr>
            </w:pPr>
          </w:p>
        </w:tc>
        <w:tc>
          <w:tcPr>
            <w:tcW w:w="1148" w:type="dxa"/>
          </w:tcPr>
          <w:p w14:paraId="59424768">
            <w:pPr>
              <w:keepNext/>
              <w:wordWrap w:val="0"/>
              <w:topLinePunct/>
              <w:adjustRightInd w:val="0"/>
              <w:snapToGrid w:val="0"/>
              <w:jc w:val="center"/>
              <w:rPr>
                <w:rFonts w:cs="宋体" w:asciiTheme="minorEastAsia" w:hAnsiTheme="minorEastAsia" w:eastAsiaTheme="minorEastAsia"/>
                <w:b/>
                <w:sz w:val="24"/>
                <w:szCs w:val="24"/>
              </w:rPr>
            </w:pPr>
          </w:p>
        </w:tc>
        <w:tc>
          <w:tcPr>
            <w:tcW w:w="924" w:type="dxa"/>
          </w:tcPr>
          <w:p w14:paraId="5EBA41F6">
            <w:pPr>
              <w:keepNext/>
              <w:wordWrap w:val="0"/>
              <w:topLinePunct/>
              <w:adjustRightInd w:val="0"/>
              <w:snapToGrid w:val="0"/>
              <w:jc w:val="center"/>
              <w:rPr>
                <w:rFonts w:cs="宋体" w:asciiTheme="minorEastAsia" w:hAnsiTheme="minorEastAsia" w:eastAsiaTheme="minorEastAsia"/>
                <w:b/>
                <w:sz w:val="24"/>
                <w:szCs w:val="24"/>
              </w:rPr>
            </w:pPr>
          </w:p>
        </w:tc>
        <w:tc>
          <w:tcPr>
            <w:tcW w:w="1120" w:type="dxa"/>
          </w:tcPr>
          <w:p w14:paraId="2A816AC3">
            <w:pPr>
              <w:keepNext/>
              <w:wordWrap w:val="0"/>
              <w:topLinePunct/>
              <w:adjustRightInd w:val="0"/>
              <w:snapToGrid w:val="0"/>
              <w:jc w:val="center"/>
              <w:rPr>
                <w:rFonts w:cs="宋体" w:asciiTheme="minorEastAsia" w:hAnsiTheme="minorEastAsia" w:eastAsiaTheme="minorEastAsia"/>
                <w:b/>
                <w:sz w:val="24"/>
                <w:szCs w:val="24"/>
              </w:rPr>
            </w:pPr>
          </w:p>
        </w:tc>
        <w:tc>
          <w:tcPr>
            <w:tcW w:w="1141" w:type="dxa"/>
          </w:tcPr>
          <w:p w14:paraId="41E98000">
            <w:pPr>
              <w:keepNext/>
              <w:wordWrap w:val="0"/>
              <w:topLinePunct/>
              <w:adjustRightInd w:val="0"/>
              <w:snapToGrid w:val="0"/>
              <w:jc w:val="center"/>
              <w:rPr>
                <w:rFonts w:cs="宋体" w:asciiTheme="minorEastAsia" w:hAnsiTheme="minorEastAsia" w:eastAsiaTheme="minorEastAsia"/>
                <w:b/>
                <w:sz w:val="24"/>
                <w:szCs w:val="24"/>
              </w:rPr>
            </w:pPr>
          </w:p>
        </w:tc>
        <w:tc>
          <w:tcPr>
            <w:tcW w:w="1512" w:type="dxa"/>
          </w:tcPr>
          <w:p w14:paraId="35E04C94">
            <w:pPr>
              <w:keepNext/>
              <w:wordWrap w:val="0"/>
              <w:topLinePunct/>
              <w:adjustRightInd w:val="0"/>
              <w:snapToGrid w:val="0"/>
              <w:jc w:val="center"/>
              <w:rPr>
                <w:rFonts w:cs="宋体" w:asciiTheme="minorEastAsia" w:hAnsiTheme="minorEastAsia" w:eastAsiaTheme="minorEastAsia"/>
                <w:b/>
                <w:sz w:val="24"/>
                <w:szCs w:val="24"/>
              </w:rPr>
            </w:pPr>
          </w:p>
        </w:tc>
        <w:tc>
          <w:tcPr>
            <w:tcW w:w="1352" w:type="dxa"/>
          </w:tcPr>
          <w:p w14:paraId="78E695AA">
            <w:pPr>
              <w:keepNext/>
              <w:wordWrap w:val="0"/>
              <w:topLinePunct/>
              <w:adjustRightInd w:val="0"/>
              <w:snapToGrid w:val="0"/>
              <w:jc w:val="center"/>
              <w:rPr>
                <w:rFonts w:cs="宋体" w:asciiTheme="minorEastAsia" w:hAnsiTheme="minorEastAsia" w:eastAsiaTheme="minorEastAsia"/>
                <w:b/>
                <w:sz w:val="24"/>
                <w:szCs w:val="24"/>
              </w:rPr>
            </w:pPr>
          </w:p>
        </w:tc>
        <w:tc>
          <w:tcPr>
            <w:tcW w:w="1259" w:type="dxa"/>
          </w:tcPr>
          <w:p w14:paraId="41089B09">
            <w:pPr>
              <w:keepNext/>
              <w:wordWrap w:val="0"/>
              <w:topLinePunct/>
              <w:adjustRightInd w:val="0"/>
              <w:snapToGrid w:val="0"/>
              <w:jc w:val="center"/>
              <w:rPr>
                <w:rFonts w:cs="宋体" w:asciiTheme="minorEastAsia" w:hAnsiTheme="minorEastAsia" w:eastAsiaTheme="minorEastAsia"/>
                <w:b/>
                <w:sz w:val="24"/>
                <w:szCs w:val="24"/>
              </w:rPr>
            </w:pPr>
          </w:p>
        </w:tc>
      </w:tr>
      <w:tr w14:paraId="54B4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52" w:type="dxa"/>
          </w:tcPr>
          <w:p w14:paraId="19CE3FEA">
            <w:pPr>
              <w:keepNext/>
              <w:wordWrap w:val="0"/>
              <w:topLinePunct/>
              <w:adjustRightInd w:val="0"/>
              <w:snapToGrid w:val="0"/>
              <w:jc w:val="center"/>
              <w:rPr>
                <w:rFonts w:cs="宋体" w:asciiTheme="minorEastAsia" w:hAnsiTheme="minorEastAsia" w:eastAsiaTheme="minorEastAsia"/>
                <w:b/>
                <w:sz w:val="24"/>
                <w:szCs w:val="24"/>
              </w:rPr>
            </w:pPr>
          </w:p>
        </w:tc>
        <w:tc>
          <w:tcPr>
            <w:tcW w:w="1148" w:type="dxa"/>
          </w:tcPr>
          <w:p w14:paraId="1876C29D">
            <w:pPr>
              <w:keepNext/>
              <w:wordWrap w:val="0"/>
              <w:topLinePunct/>
              <w:adjustRightInd w:val="0"/>
              <w:snapToGrid w:val="0"/>
              <w:jc w:val="center"/>
              <w:rPr>
                <w:rFonts w:cs="宋体" w:asciiTheme="minorEastAsia" w:hAnsiTheme="minorEastAsia" w:eastAsiaTheme="minorEastAsia"/>
                <w:b/>
                <w:sz w:val="24"/>
                <w:szCs w:val="24"/>
              </w:rPr>
            </w:pPr>
          </w:p>
        </w:tc>
        <w:tc>
          <w:tcPr>
            <w:tcW w:w="924" w:type="dxa"/>
          </w:tcPr>
          <w:p w14:paraId="1F14B9E8">
            <w:pPr>
              <w:keepNext/>
              <w:wordWrap w:val="0"/>
              <w:topLinePunct/>
              <w:adjustRightInd w:val="0"/>
              <w:snapToGrid w:val="0"/>
              <w:jc w:val="center"/>
              <w:rPr>
                <w:rFonts w:cs="宋体" w:asciiTheme="minorEastAsia" w:hAnsiTheme="minorEastAsia" w:eastAsiaTheme="minorEastAsia"/>
                <w:b/>
                <w:sz w:val="24"/>
                <w:szCs w:val="24"/>
              </w:rPr>
            </w:pPr>
          </w:p>
        </w:tc>
        <w:tc>
          <w:tcPr>
            <w:tcW w:w="1120" w:type="dxa"/>
          </w:tcPr>
          <w:p w14:paraId="792CCDF2">
            <w:pPr>
              <w:keepNext/>
              <w:wordWrap w:val="0"/>
              <w:topLinePunct/>
              <w:adjustRightInd w:val="0"/>
              <w:snapToGrid w:val="0"/>
              <w:jc w:val="center"/>
              <w:rPr>
                <w:rFonts w:cs="宋体" w:asciiTheme="minorEastAsia" w:hAnsiTheme="minorEastAsia" w:eastAsiaTheme="minorEastAsia"/>
                <w:b/>
                <w:sz w:val="24"/>
                <w:szCs w:val="24"/>
              </w:rPr>
            </w:pPr>
          </w:p>
        </w:tc>
        <w:tc>
          <w:tcPr>
            <w:tcW w:w="1141" w:type="dxa"/>
          </w:tcPr>
          <w:p w14:paraId="46E5C6DB">
            <w:pPr>
              <w:keepNext/>
              <w:wordWrap w:val="0"/>
              <w:topLinePunct/>
              <w:adjustRightInd w:val="0"/>
              <w:snapToGrid w:val="0"/>
              <w:jc w:val="center"/>
              <w:rPr>
                <w:rFonts w:cs="宋体" w:asciiTheme="minorEastAsia" w:hAnsiTheme="minorEastAsia" w:eastAsiaTheme="minorEastAsia"/>
                <w:b/>
                <w:sz w:val="24"/>
                <w:szCs w:val="24"/>
              </w:rPr>
            </w:pPr>
          </w:p>
        </w:tc>
        <w:tc>
          <w:tcPr>
            <w:tcW w:w="1512" w:type="dxa"/>
          </w:tcPr>
          <w:p w14:paraId="780AA8D4">
            <w:pPr>
              <w:keepNext/>
              <w:wordWrap w:val="0"/>
              <w:topLinePunct/>
              <w:adjustRightInd w:val="0"/>
              <w:snapToGrid w:val="0"/>
              <w:jc w:val="center"/>
              <w:rPr>
                <w:rFonts w:cs="宋体" w:asciiTheme="minorEastAsia" w:hAnsiTheme="minorEastAsia" w:eastAsiaTheme="minorEastAsia"/>
                <w:b/>
                <w:sz w:val="24"/>
                <w:szCs w:val="24"/>
              </w:rPr>
            </w:pPr>
          </w:p>
        </w:tc>
        <w:tc>
          <w:tcPr>
            <w:tcW w:w="1352" w:type="dxa"/>
          </w:tcPr>
          <w:p w14:paraId="4BFBD516">
            <w:pPr>
              <w:keepNext/>
              <w:wordWrap w:val="0"/>
              <w:topLinePunct/>
              <w:adjustRightInd w:val="0"/>
              <w:snapToGrid w:val="0"/>
              <w:jc w:val="center"/>
              <w:rPr>
                <w:rFonts w:cs="宋体" w:asciiTheme="minorEastAsia" w:hAnsiTheme="minorEastAsia" w:eastAsiaTheme="minorEastAsia"/>
                <w:b/>
                <w:sz w:val="24"/>
                <w:szCs w:val="24"/>
              </w:rPr>
            </w:pPr>
          </w:p>
        </w:tc>
        <w:tc>
          <w:tcPr>
            <w:tcW w:w="1259" w:type="dxa"/>
          </w:tcPr>
          <w:p w14:paraId="172A8170">
            <w:pPr>
              <w:keepNext/>
              <w:wordWrap w:val="0"/>
              <w:topLinePunct/>
              <w:adjustRightInd w:val="0"/>
              <w:snapToGrid w:val="0"/>
              <w:jc w:val="center"/>
              <w:rPr>
                <w:rFonts w:cs="宋体" w:asciiTheme="minorEastAsia" w:hAnsiTheme="minorEastAsia" w:eastAsiaTheme="minorEastAsia"/>
                <w:b/>
                <w:sz w:val="24"/>
                <w:szCs w:val="24"/>
              </w:rPr>
            </w:pPr>
          </w:p>
        </w:tc>
      </w:tr>
      <w:tr w14:paraId="0617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652" w:type="dxa"/>
          </w:tcPr>
          <w:p w14:paraId="29E0E2FC">
            <w:pPr>
              <w:keepNext/>
              <w:wordWrap w:val="0"/>
              <w:topLinePunct/>
              <w:adjustRightInd w:val="0"/>
              <w:snapToGrid w:val="0"/>
              <w:jc w:val="center"/>
              <w:rPr>
                <w:rFonts w:cs="宋体" w:asciiTheme="minorEastAsia" w:hAnsiTheme="minorEastAsia" w:eastAsiaTheme="minorEastAsia"/>
                <w:b/>
                <w:sz w:val="24"/>
                <w:szCs w:val="24"/>
              </w:rPr>
            </w:pPr>
          </w:p>
        </w:tc>
        <w:tc>
          <w:tcPr>
            <w:tcW w:w="1148" w:type="dxa"/>
          </w:tcPr>
          <w:p w14:paraId="3370B72A">
            <w:pPr>
              <w:keepNext/>
              <w:wordWrap w:val="0"/>
              <w:topLinePunct/>
              <w:adjustRightInd w:val="0"/>
              <w:snapToGrid w:val="0"/>
              <w:jc w:val="center"/>
              <w:rPr>
                <w:rFonts w:cs="宋体" w:asciiTheme="minorEastAsia" w:hAnsiTheme="minorEastAsia" w:eastAsiaTheme="minorEastAsia"/>
                <w:b/>
                <w:sz w:val="24"/>
                <w:szCs w:val="24"/>
              </w:rPr>
            </w:pPr>
          </w:p>
        </w:tc>
        <w:tc>
          <w:tcPr>
            <w:tcW w:w="924" w:type="dxa"/>
          </w:tcPr>
          <w:p w14:paraId="062F8307">
            <w:pPr>
              <w:keepNext/>
              <w:wordWrap w:val="0"/>
              <w:topLinePunct/>
              <w:adjustRightInd w:val="0"/>
              <w:snapToGrid w:val="0"/>
              <w:jc w:val="center"/>
              <w:rPr>
                <w:rFonts w:cs="宋体" w:asciiTheme="minorEastAsia" w:hAnsiTheme="minorEastAsia" w:eastAsiaTheme="minorEastAsia"/>
                <w:b/>
                <w:sz w:val="24"/>
                <w:szCs w:val="24"/>
              </w:rPr>
            </w:pPr>
          </w:p>
        </w:tc>
        <w:tc>
          <w:tcPr>
            <w:tcW w:w="1120" w:type="dxa"/>
          </w:tcPr>
          <w:p w14:paraId="67C262EE">
            <w:pPr>
              <w:keepNext/>
              <w:wordWrap w:val="0"/>
              <w:topLinePunct/>
              <w:adjustRightInd w:val="0"/>
              <w:snapToGrid w:val="0"/>
              <w:jc w:val="center"/>
              <w:rPr>
                <w:rFonts w:cs="宋体" w:asciiTheme="minorEastAsia" w:hAnsiTheme="minorEastAsia" w:eastAsiaTheme="minorEastAsia"/>
                <w:b/>
                <w:sz w:val="24"/>
                <w:szCs w:val="24"/>
              </w:rPr>
            </w:pPr>
          </w:p>
        </w:tc>
        <w:tc>
          <w:tcPr>
            <w:tcW w:w="1141" w:type="dxa"/>
          </w:tcPr>
          <w:p w14:paraId="275A37ED">
            <w:pPr>
              <w:keepNext/>
              <w:wordWrap w:val="0"/>
              <w:topLinePunct/>
              <w:adjustRightInd w:val="0"/>
              <w:snapToGrid w:val="0"/>
              <w:jc w:val="center"/>
              <w:rPr>
                <w:rFonts w:cs="宋体" w:asciiTheme="minorEastAsia" w:hAnsiTheme="minorEastAsia" w:eastAsiaTheme="minorEastAsia"/>
                <w:b/>
                <w:sz w:val="24"/>
                <w:szCs w:val="24"/>
              </w:rPr>
            </w:pPr>
          </w:p>
        </w:tc>
        <w:tc>
          <w:tcPr>
            <w:tcW w:w="1512" w:type="dxa"/>
          </w:tcPr>
          <w:p w14:paraId="4B20556A">
            <w:pPr>
              <w:keepNext/>
              <w:wordWrap w:val="0"/>
              <w:topLinePunct/>
              <w:adjustRightInd w:val="0"/>
              <w:snapToGrid w:val="0"/>
              <w:jc w:val="center"/>
              <w:rPr>
                <w:rFonts w:cs="宋体" w:asciiTheme="minorEastAsia" w:hAnsiTheme="minorEastAsia" w:eastAsiaTheme="minorEastAsia"/>
                <w:b/>
                <w:sz w:val="24"/>
                <w:szCs w:val="24"/>
              </w:rPr>
            </w:pPr>
          </w:p>
        </w:tc>
        <w:tc>
          <w:tcPr>
            <w:tcW w:w="1352" w:type="dxa"/>
          </w:tcPr>
          <w:p w14:paraId="3279A6F0">
            <w:pPr>
              <w:keepNext/>
              <w:wordWrap w:val="0"/>
              <w:topLinePunct/>
              <w:adjustRightInd w:val="0"/>
              <w:snapToGrid w:val="0"/>
              <w:jc w:val="center"/>
              <w:rPr>
                <w:rFonts w:cs="宋体" w:asciiTheme="minorEastAsia" w:hAnsiTheme="minorEastAsia" w:eastAsiaTheme="minorEastAsia"/>
                <w:b/>
                <w:sz w:val="24"/>
                <w:szCs w:val="24"/>
              </w:rPr>
            </w:pPr>
          </w:p>
        </w:tc>
        <w:tc>
          <w:tcPr>
            <w:tcW w:w="1259" w:type="dxa"/>
          </w:tcPr>
          <w:p w14:paraId="00062074">
            <w:pPr>
              <w:keepNext/>
              <w:wordWrap w:val="0"/>
              <w:topLinePunct/>
              <w:adjustRightInd w:val="0"/>
              <w:snapToGrid w:val="0"/>
              <w:jc w:val="center"/>
              <w:rPr>
                <w:rFonts w:cs="宋体" w:asciiTheme="minorEastAsia" w:hAnsiTheme="minorEastAsia" w:eastAsiaTheme="minorEastAsia"/>
                <w:b/>
                <w:sz w:val="24"/>
                <w:szCs w:val="24"/>
              </w:rPr>
            </w:pPr>
          </w:p>
        </w:tc>
      </w:tr>
    </w:tbl>
    <w:p w14:paraId="57FDF04B">
      <w:pPr>
        <w:keepNext/>
        <w:wordWrap w:val="0"/>
        <w:topLinePunct/>
        <w:snapToGrid w:val="0"/>
        <w:spacing w:line="360" w:lineRule="auto"/>
        <w:ind w:firstLine="480"/>
        <w:jc w:val="left"/>
        <w:rPr>
          <w:rFonts w:asciiTheme="minorEastAsia" w:hAnsiTheme="minorEastAsia" w:eastAsiaTheme="minorEastAsia"/>
          <w:sz w:val="24"/>
          <w:szCs w:val="24"/>
        </w:rPr>
      </w:pPr>
    </w:p>
    <w:p w14:paraId="43F8503F">
      <w:pPr>
        <w:keepNext/>
        <w:wordWrap w:val="0"/>
        <w:topLinePunct/>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注：</w:t>
      </w:r>
    </w:p>
    <w:p w14:paraId="282B50D6">
      <w:pPr>
        <w:keepNext/>
        <w:wordWrap w:val="0"/>
        <w:topLinePunct/>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报价</w:t>
      </w:r>
      <w:r>
        <w:rPr>
          <w:rFonts w:asciiTheme="minorEastAsia" w:hAnsiTheme="minorEastAsia" w:eastAsiaTheme="minorEastAsia"/>
          <w:sz w:val="24"/>
          <w:szCs w:val="24"/>
        </w:rPr>
        <w:t>货物中如含有非强制节能、环境标志产品的，</w:t>
      </w:r>
      <w:r>
        <w:rPr>
          <w:rFonts w:hint="eastAsia" w:asciiTheme="minorEastAsia" w:hAnsiTheme="minorEastAsia" w:eastAsiaTheme="minorEastAsia"/>
          <w:sz w:val="24"/>
          <w:szCs w:val="24"/>
        </w:rPr>
        <w:t>需</w:t>
      </w:r>
      <w:r>
        <w:rPr>
          <w:rFonts w:asciiTheme="minorEastAsia" w:hAnsiTheme="minorEastAsia" w:eastAsiaTheme="minorEastAsia"/>
          <w:sz w:val="24"/>
          <w:szCs w:val="24"/>
        </w:rPr>
        <w:t>如实填写</w:t>
      </w:r>
      <w:r>
        <w:rPr>
          <w:rFonts w:hint="eastAsia" w:asciiTheme="minorEastAsia" w:hAnsiTheme="minorEastAsia" w:eastAsiaTheme="minorEastAsia"/>
          <w:sz w:val="24"/>
          <w:szCs w:val="24"/>
        </w:rPr>
        <w:t>，并</w:t>
      </w:r>
      <w:r>
        <w:rPr>
          <w:rFonts w:hint="eastAsia" w:cs="宋体" w:asciiTheme="minorEastAsia" w:hAnsiTheme="minorEastAsia" w:eastAsiaTheme="minorEastAsia"/>
          <w:sz w:val="24"/>
          <w:szCs w:val="24"/>
        </w:rPr>
        <w:t>提供获得国家确定的认证机构出具的处于有效期之内</w:t>
      </w:r>
      <w:r>
        <w:rPr>
          <w:rFonts w:hint="eastAsia" w:asciiTheme="minorEastAsia" w:hAnsiTheme="minorEastAsia" w:eastAsiaTheme="minorEastAsia"/>
          <w:sz w:val="24"/>
          <w:szCs w:val="24"/>
        </w:rPr>
        <w:t>认证证书，否则不予认可。</w:t>
      </w:r>
    </w:p>
    <w:p w14:paraId="0C292D09">
      <w:pPr>
        <w:keepNext/>
        <w:tabs>
          <w:tab w:val="left" w:pos="1680"/>
        </w:tabs>
        <w:wordWrap w:val="0"/>
        <w:topLinePunct/>
        <w:adjustRightInd w:val="0"/>
        <w:snapToGrid w:val="0"/>
        <w:spacing w:line="360" w:lineRule="auto"/>
        <w:ind w:firstLine="480" w:firstLineChars="200"/>
        <w:outlineLvl w:val="2"/>
        <w:rPr>
          <w:rFonts w:ascii="宋体" w:hAnsi="宋体" w:cs="宋体"/>
          <w:b/>
          <w:kern w:val="0"/>
          <w:sz w:val="24"/>
          <w:szCs w:val="24"/>
        </w:rPr>
      </w:pPr>
      <w:r>
        <w:rPr>
          <w:bCs/>
          <w:sz w:val="24"/>
          <w:szCs w:val="24"/>
        </w:rPr>
        <w:br w:type="page"/>
      </w:r>
      <w:r>
        <w:rPr>
          <w:rFonts w:hint="eastAsia" w:ascii="宋体" w:hAnsi="宋体" w:cs="宋体"/>
          <w:b/>
          <w:kern w:val="0"/>
          <w:sz w:val="24"/>
          <w:szCs w:val="24"/>
        </w:rPr>
        <w:t>（二）网络安全专用产品（如不涉及，此函可不提供）</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51"/>
        <w:gridCol w:w="1560"/>
        <w:gridCol w:w="1234"/>
        <w:gridCol w:w="1146"/>
        <w:gridCol w:w="1729"/>
        <w:gridCol w:w="1259"/>
      </w:tblGrid>
      <w:tr w14:paraId="7A3E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652" w:type="dxa"/>
            <w:vAlign w:val="center"/>
          </w:tcPr>
          <w:p w14:paraId="42508F20">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包号</w:t>
            </w:r>
          </w:p>
        </w:tc>
        <w:tc>
          <w:tcPr>
            <w:tcW w:w="1351" w:type="dxa"/>
            <w:vAlign w:val="center"/>
          </w:tcPr>
          <w:p w14:paraId="12C6E632">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产品名称</w:t>
            </w:r>
          </w:p>
        </w:tc>
        <w:tc>
          <w:tcPr>
            <w:tcW w:w="1560" w:type="dxa"/>
            <w:vAlign w:val="center"/>
          </w:tcPr>
          <w:p w14:paraId="502AFCA9">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制造商</w:t>
            </w:r>
          </w:p>
        </w:tc>
        <w:tc>
          <w:tcPr>
            <w:tcW w:w="1234" w:type="dxa"/>
            <w:vAlign w:val="center"/>
          </w:tcPr>
          <w:p w14:paraId="262E4AC1">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注册商标</w:t>
            </w:r>
          </w:p>
        </w:tc>
        <w:tc>
          <w:tcPr>
            <w:tcW w:w="1146" w:type="dxa"/>
            <w:vAlign w:val="center"/>
          </w:tcPr>
          <w:p w14:paraId="6009673B">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产品型号</w:t>
            </w:r>
          </w:p>
        </w:tc>
        <w:tc>
          <w:tcPr>
            <w:tcW w:w="1729" w:type="dxa"/>
            <w:vAlign w:val="center"/>
          </w:tcPr>
          <w:p w14:paraId="40654D02">
            <w:pPr>
              <w:keepNext/>
              <w:wordWrap w:val="0"/>
              <w:topLinePunct/>
              <w:adjustRightInd w:val="0"/>
              <w:snapToGrid w:val="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合格或许可证号</w:t>
            </w:r>
          </w:p>
        </w:tc>
        <w:tc>
          <w:tcPr>
            <w:tcW w:w="1259" w:type="dxa"/>
            <w:vAlign w:val="center"/>
          </w:tcPr>
          <w:p w14:paraId="4409C88F">
            <w:pPr>
              <w:keepNext/>
              <w:wordWrap w:val="0"/>
              <w:topLinePunct/>
              <w:adjustRightInd w:val="0"/>
              <w:snapToGrid w:val="0"/>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认证机构名称</w:t>
            </w:r>
          </w:p>
        </w:tc>
      </w:tr>
      <w:tr w14:paraId="20B4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652" w:type="dxa"/>
          </w:tcPr>
          <w:p w14:paraId="051AFE2C">
            <w:pPr>
              <w:keepNext/>
              <w:wordWrap w:val="0"/>
              <w:topLinePunct/>
              <w:adjustRightInd w:val="0"/>
              <w:snapToGrid w:val="0"/>
              <w:jc w:val="center"/>
              <w:rPr>
                <w:rFonts w:cs="宋体" w:asciiTheme="minorEastAsia" w:hAnsiTheme="minorEastAsia" w:eastAsiaTheme="minorEastAsia"/>
                <w:b/>
                <w:sz w:val="24"/>
                <w:szCs w:val="24"/>
              </w:rPr>
            </w:pPr>
          </w:p>
        </w:tc>
        <w:tc>
          <w:tcPr>
            <w:tcW w:w="1351" w:type="dxa"/>
          </w:tcPr>
          <w:p w14:paraId="13341736">
            <w:pPr>
              <w:keepNext/>
              <w:wordWrap w:val="0"/>
              <w:topLinePunct/>
              <w:adjustRightInd w:val="0"/>
              <w:snapToGrid w:val="0"/>
              <w:jc w:val="center"/>
              <w:rPr>
                <w:rFonts w:cs="宋体" w:asciiTheme="minorEastAsia" w:hAnsiTheme="minorEastAsia" w:eastAsiaTheme="minorEastAsia"/>
                <w:b/>
                <w:sz w:val="24"/>
                <w:szCs w:val="24"/>
              </w:rPr>
            </w:pPr>
          </w:p>
        </w:tc>
        <w:tc>
          <w:tcPr>
            <w:tcW w:w="1560" w:type="dxa"/>
          </w:tcPr>
          <w:p w14:paraId="26DE7042">
            <w:pPr>
              <w:keepNext/>
              <w:wordWrap w:val="0"/>
              <w:topLinePunct/>
              <w:adjustRightInd w:val="0"/>
              <w:snapToGrid w:val="0"/>
              <w:jc w:val="center"/>
              <w:rPr>
                <w:rFonts w:cs="宋体" w:asciiTheme="minorEastAsia" w:hAnsiTheme="minorEastAsia" w:eastAsiaTheme="minorEastAsia"/>
                <w:b/>
                <w:sz w:val="24"/>
                <w:szCs w:val="24"/>
              </w:rPr>
            </w:pPr>
          </w:p>
        </w:tc>
        <w:tc>
          <w:tcPr>
            <w:tcW w:w="1234" w:type="dxa"/>
          </w:tcPr>
          <w:p w14:paraId="5A5EFACB">
            <w:pPr>
              <w:keepNext/>
              <w:wordWrap w:val="0"/>
              <w:topLinePunct/>
              <w:adjustRightInd w:val="0"/>
              <w:snapToGrid w:val="0"/>
              <w:jc w:val="center"/>
              <w:rPr>
                <w:rFonts w:cs="宋体" w:asciiTheme="minorEastAsia" w:hAnsiTheme="minorEastAsia" w:eastAsiaTheme="minorEastAsia"/>
                <w:b/>
                <w:sz w:val="24"/>
                <w:szCs w:val="24"/>
              </w:rPr>
            </w:pPr>
          </w:p>
        </w:tc>
        <w:tc>
          <w:tcPr>
            <w:tcW w:w="1146" w:type="dxa"/>
          </w:tcPr>
          <w:p w14:paraId="36C60220">
            <w:pPr>
              <w:keepNext/>
              <w:wordWrap w:val="0"/>
              <w:topLinePunct/>
              <w:adjustRightInd w:val="0"/>
              <w:snapToGrid w:val="0"/>
              <w:jc w:val="center"/>
              <w:rPr>
                <w:rFonts w:cs="宋体" w:asciiTheme="minorEastAsia" w:hAnsiTheme="minorEastAsia" w:eastAsiaTheme="minorEastAsia"/>
                <w:b/>
                <w:sz w:val="24"/>
                <w:szCs w:val="24"/>
              </w:rPr>
            </w:pPr>
          </w:p>
        </w:tc>
        <w:tc>
          <w:tcPr>
            <w:tcW w:w="1729" w:type="dxa"/>
          </w:tcPr>
          <w:p w14:paraId="5DBC3099">
            <w:pPr>
              <w:keepNext/>
              <w:wordWrap w:val="0"/>
              <w:topLinePunct/>
              <w:adjustRightInd w:val="0"/>
              <w:snapToGrid w:val="0"/>
              <w:jc w:val="center"/>
              <w:rPr>
                <w:rFonts w:cs="宋体" w:asciiTheme="minorEastAsia" w:hAnsiTheme="minorEastAsia" w:eastAsiaTheme="minorEastAsia"/>
                <w:b/>
                <w:sz w:val="24"/>
                <w:szCs w:val="24"/>
              </w:rPr>
            </w:pPr>
          </w:p>
        </w:tc>
        <w:tc>
          <w:tcPr>
            <w:tcW w:w="1259" w:type="dxa"/>
          </w:tcPr>
          <w:p w14:paraId="67885180">
            <w:pPr>
              <w:keepNext/>
              <w:wordWrap w:val="0"/>
              <w:topLinePunct/>
              <w:adjustRightInd w:val="0"/>
              <w:snapToGrid w:val="0"/>
              <w:jc w:val="center"/>
              <w:rPr>
                <w:rFonts w:cs="宋体" w:asciiTheme="minorEastAsia" w:hAnsiTheme="minorEastAsia" w:eastAsiaTheme="minorEastAsia"/>
                <w:b/>
                <w:sz w:val="24"/>
                <w:szCs w:val="24"/>
              </w:rPr>
            </w:pPr>
          </w:p>
        </w:tc>
      </w:tr>
      <w:tr w14:paraId="5AEC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52" w:type="dxa"/>
          </w:tcPr>
          <w:p w14:paraId="5A45A627">
            <w:pPr>
              <w:keepNext/>
              <w:wordWrap w:val="0"/>
              <w:topLinePunct/>
              <w:adjustRightInd w:val="0"/>
              <w:snapToGrid w:val="0"/>
              <w:jc w:val="center"/>
              <w:rPr>
                <w:rFonts w:cs="宋体" w:asciiTheme="minorEastAsia" w:hAnsiTheme="minorEastAsia" w:eastAsiaTheme="minorEastAsia"/>
                <w:b/>
                <w:sz w:val="24"/>
                <w:szCs w:val="24"/>
              </w:rPr>
            </w:pPr>
          </w:p>
        </w:tc>
        <w:tc>
          <w:tcPr>
            <w:tcW w:w="1351" w:type="dxa"/>
          </w:tcPr>
          <w:p w14:paraId="2FF25B23">
            <w:pPr>
              <w:keepNext/>
              <w:wordWrap w:val="0"/>
              <w:topLinePunct/>
              <w:adjustRightInd w:val="0"/>
              <w:snapToGrid w:val="0"/>
              <w:jc w:val="center"/>
              <w:rPr>
                <w:rFonts w:cs="宋体" w:asciiTheme="minorEastAsia" w:hAnsiTheme="minorEastAsia" w:eastAsiaTheme="minorEastAsia"/>
                <w:b/>
                <w:sz w:val="24"/>
                <w:szCs w:val="24"/>
              </w:rPr>
            </w:pPr>
          </w:p>
        </w:tc>
        <w:tc>
          <w:tcPr>
            <w:tcW w:w="1560" w:type="dxa"/>
          </w:tcPr>
          <w:p w14:paraId="20DD1A90">
            <w:pPr>
              <w:keepNext/>
              <w:wordWrap w:val="0"/>
              <w:topLinePunct/>
              <w:adjustRightInd w:val="0"/>
              <w:snapToGrid w:val="0"/>
              <w:jc w:val="center"/>
              <w:rPr>
                <w:rFonts w:cs="宋体" w:asciiTheme="minorEastAsia" w:hAnsiTheme="minorEastAsia" w:eastAsiaTheme="minorEastAsia"/>
                <w:b/>
                <w:sz w:val="24"/>
                <w:szCs w:val="24"/>
              </w:rPr>
            </w:pPr>
          </w:p>
        </w:tc>
        <w:tc>
          <w:tcPr>
            <w:tcW w:w="1234" w:type="dxa"/>
          </w:tcPr>
          <w:p w14:paraId="5E8A6EAE">
            <w:pPr>
              <w:keepNext/>
              <w:wordWrap w:val="0"/>
              <w:topLinePunct/>
              <w:adjustRightInd w:val="0"/>
              <w:snapToGrid w:val="0"/>
              <w:jc w:val="center"/>
              <w:rPr>
                <w:rFonts w:cs="宋体" w:asciiTheme="minorEastAsia" w:hAnsiTheme="minorEastAsia" w:eastAsiaTheme="minorEastAsia"/>
                <w:b/>
                <w:sz w:val="24"/>
                <w:szCs w:val="24"/>
              </w:rPr>
            </w:pPr>
          </w:p>
        </w:tc>
        <w:tc>
          <w:tcPr>
            <w:tcW w:w="1146" w:type="dxa"/>
          </w:tcPr>
          <w:p w14:paraId="58DAAE48">
            <w:pPr>
              <w:keepNext/>
              <w:wordWrap w:val="0"/>
              <w:topLinePunct/>
              <w:adjustRightInd w:val="0"/>
              <w:snapToGrid w:val="0"/>
              <w:jc w:val="center"/>
              <w:rPr>
                <w:rFonts w:cs="宋体" w:asciiTheme="minorEastAsia" w:hAnsiTheme="minorEastAsia" w:eastAsiaTheme="minorEastAsia"/>
                <w:b/>
                <w:sz w:val="24"/>
                <w:szCs w:val="24"/>
              </w:rPr>
            </w:pPr>
          </w:p>
        </w:tc>
        <w:tc>
          <w:tcPr>
            <w:tcW w:w="1729" w:type="dxa"/>
          </w:tcPr>
          <w:p w14:paraId="5044F242">
            <w:pPr>
              <w:keepNext/>
              <w:wordWrap w:val="0"/>
              <w:topLinePunct/>
              <w:adjustRightInd w:val="0"/>
              <w:snapToGrid w:val="0"/>
              <w:jc w:val="center"/>
              <w:rPr>
                <w:rFonts w:cs="宋体" w:asciiTheme="minorEastAsia" w:hAnsiTheme="minorEastAsia" w:eastAsiaTheme="minorEastAsia"/>
                <w:b/>
                <w:sz w:val="24"/>
                <w:szCs w:val="24"/>
              </w:rPr>
            </w:pPr>
          </w:p>
        </w:tc>
        <w:tc>
          <w:tcPr>
            <w:tcW w:w="1259" w:type="dxa"/>
          </w:tcPr>
          <w:p w14:paraId="56617BEC">
            <w:pPr>
              <w:keepNext/>
              <w:wordWrap w:val="0"/>
              <w:topLinePunct/>
              <w:adjustRightInd w:val="0"/>
              <w:snapToGrid w:val="0"/>
              <w:jc w:val="center"/>
              <w:rPr>
                <w:rFonts w:cs="宋体" w:asciiTheme="minorEastAsia" w:hAnsiTheme="minorEastAsia" w:eastAsiaTheme="minorEastAsia"/>
                <w:b/>
                <w:sz w:val="24"/>
                <w:szCs w:val="24"/>
              </w:rPr>
            </w:pPr>
          </w:p>
        </w:tc>
      </w:tr>
      <w:tr w14:paraId="0C42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652" w:type="dxa"/>
          </w:tcPr>
          <w:p w14:paraId="6BCE0016">
            <w:pPr>
              <w:keepNext/>
              <w:wordWrap w:val="0"/>
              <w:topLinePunct/>
              <w:spacing w:line="360" w:lineRule="auto"/>
              <w:ind w:firstLine="422"/>
              <w:jc w:val="center"/>
              <w:rPr>
                <w:rFonts w:asciiTheme="minorEastAsia" w:hAnsiTheme="minorEastAsia" w:eastAsiaTheme="minorEastAsia"/>
                <w:b/>
                <w:sz w:val="24"/>
                <w:szCs w:val="24"/>
              </w:rPr>
            </w:pPr>
          </w:p>
        </w:tc>
        <w:tc>
          <w:tcPr>
            <w:tcW w:w="1351" w:type="dxa"/>
          </w:tcPr>
          <w:p w14:paraId="1D180C89">
            <w:pPr>
              <w:keepNext/>
              <w:wordWrap w:val="0"/>
              <w:topLinePunct/>
              <w:spacing w:line="360" w:lineRule="auto"/>
              <w:ind w:firstLine="422"/>
              <w:jc w:val="center"/>
              <w:rPr>
                <w:rFonts w:asciiTheme="minorEastAsia" w:hAnsiTheme="minorEastAsia" w:eastAsiaTheme="minorEastAsia"/>
                <w:b/>
                <w:sz w:val="24"/>
                <w:szCs w:val="24"/>
              </w:rPr>
            </w:pPr>
          </w:p>
        </w:tc>
        <w:tc>
          <w:tcPr>
            <w:tcW w:w="1560" w:type="dxa"/>
          </w:tcPr>
          <w:p w14:paraId="2274E5D5">
            <w:pPr>
              <w:keepNext/>
              <w:wordWrap w:val="0"/>
              <w:topLinePunct/>
              <w:spacing w:line="360" w:lineRule="auto"/>
              <w:ind w:firstLine="422"/>
              <w:jc w:val="center"/>
              <w:rPr>
                <w:rFonts w:asciiTheme="minorEastAsia" w:hAnsiTheme="minorEastAsia" w:eastAsiaTheme="minorEastAsia"/>
                <w:b/>
                <w:sz w:val="24"/>
                <w:szCs w:val="24"/>
              </w:rPr>
            </w:pPr>
          </w:p>
        </w:tc>
        <w:tc>
          <w:tcPr>
            <w:tcW w:w="1234" w:type="dxa"/>
          </w:tcPr>
          <w:p w14:paraId="53DA41FF">
            <w:pPr>
              <w:keepNext/>
              <w:wordWrap w:val="0"/>
              <w:topLinePunct/>
              <w:spacing w:line="360" w:lineRule="auto"/>
              <w:ind w:firstLine="422"/>
              <w:jc w:val="center"/>
              <w:rPr>
                <w:rFonts w:asciiTheme="minorEastAsia" w:hAnsiTheme="minorEastAsia" w:eastAsiaTheme="minorEastAsia"/>
                <w:b/>
                <w:sz w:val="24"/>
                <w:szCs w:val="24"/>
              </w:rPr>
            </w:pPr>
          </w:p>
        </w:tc>
        <w:tc>
          <w:tcPr>
            <w:tcW w:w="1146" w:type="dxa"/>
          </w:tcPr>
          <w:p w14:paraId="497DCE5E">
            <w:pPr>
              <w:keepNext/>
              <w:wordWrap w:val="0"/>
              <w:topLinePunct/>
              <w:spacing w:line="360" w:lineRule="auto"/>
              <w:ind w:firstLine="422"/>
              <w:jc w:val="center"/>
              <w:rPr>
                <w:rFonts w:asciiTheme="minorEastAsia" w:hAnsiTheme="minorEastAsia" w:eastAsiaTheme="minorEastAsia"/>
                <w:b/>
                <w:sz w:val="24"/>
                <w:szCs w:val="24"/>
              </w:rPr>
            </w:pPr>
          </w:p>
        </w:tc>
        <w:tc>
          <w:tcPr>
            <w:tcW w:w="1729" w:type="dxa"/>
          </w:tcPr>
          <w:p w14:paraId="60BA4F63">
            <w:pPr>
              <w:keepNext/>
              <w:wordWrap w:val="0"/>
              <w:topLinePunct/>
              <w:spacing w:line="360" w:lineRule="auto"/>
              <w:ind w:firstLine="422"/>
              <w:jc w:val="center"/>
              <w:rPr>
                <w:rFonts w:asciiTheme="minorEastAsia" w:hAnsiTheme="minorEastAsia" w:eastAsiaTheme="minorEastAsia"/>
                <w:b/>
                <w:sz w:val="24"/>
                <w:szCs w:val="24"/>
              </w:rPr>
            </w:pPr>
          </w:p>
        </w:tc>
        <w:tc>
          <w:tcPr>
            <w:tcW w:w="1259" w:type="dxa"/>
          </w:tcPr>
          <w:p w14:paraId="4DA54875">
            <w:pPr>
              <w:keepNext/>
              <w:wordWrap w:val="0"/>
              <w:topLinePunct/>
              <w:spacing w:line="360" w:lineRule="auto"/>
              <w:ind w:firstLine="422"/>
              <w:rPr>
                <w:rFonts w:asciiTheme="minorEastAsia" w:hAnsiTheme="minorEastAsia" w:eastAsiaTheme="minorEastAsia"/>
                <w:b/>
                <w:sz w:val="24"/>
                <w:szCs w:val="24"/>
              </w:rPr>
            </w:pPr>
          </w:p>
        </w:tc>
      </w:tr>
    </w:tbl>
    <w:p w14:paraId="4CB3A3E9">
      <w:pPr>
        <w:keepNext/>
        <w:wordWrap w:val="0"/>
        <w:topLinePunct/>
        <w:spacing w:line="360" w:lineRule="auto"/>
        <w:ind w:firstLine="420"/>
        <w:rPr>
          <w:rFonts w:cs="宋体" w:asciiTheme="minorEastAsia" w:hAnsiTheme="minorEastAsia" w:eastAsiaTheme="minorEastAsia"/>
          <w:sz w:val="24"/>
          <w:szCs w:val="24"/>
        </w:rPr>
      </w:pPr>
    </w:p>
    <w:p w14:paraId="1EB97F00">
      <w:pPr>
        <w:keepNext/>
        <w:wordWrap w:val="0"/>
        <w:topLinePunct/>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4B4FB36F">
      <w:pPr>
        <w:keepNext/>
        <w:wordWrap w:val="0"/>
        <w:topLinePunct/>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采购标的或报价产品属《网络关键设备和网络安全专用产品目录》的网络安全专用产品，投标人须提供具备资格的机构依据GB 42250《信息安全技术 网络安全专用产品安全技术要求》等相关国家标准强制性要求检测的安全认证合格或者安全检测符合要求的证明材料或对此前已经获得有效的《计算机信息系统安全专用产品销售许可证》。</w:t>
      </w:r>
    </w:p>
    <w:p w14:paraId="5DA49E43">
      <w:pPr>
        <w:keepNext/>
        <w:tabs>
          <w:tab w:val="left" w:pos="1680"/>
        </w:tabs>
        <w:wordWrap w:val="0"/>
        <w:topLinePunct/>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Cs/>
          <w:sz w:val="24"/>
        </w:rPr>
        <w:br w:type="page"/>
      </w:r>
      <w:r>
        <w:rPr>
          <w:rFonts w:hint="eastAsia" w:ascii="宋体" w:hAnsi="宋体" w:cs="宋体"/>
          <w:b/>
          <w:kern w:val="0"/>
          <w:sz w:val="24"/>
          <w:szCs w:val="24"/>
        </w:rPr>
        <w:t>（三）正版软件承诺格式（如不涉及，此函可不提供）</w:t>
      </w:r>
    </w:p>
    <w:p w14:paraId="0F585B44">
      <w:pPr>
        <w:keepNext/>
        <w:wordWrap w:val="0"/>
        <w:topLinePunct/>
        <w:adjustRightInd w:val="0"/>
        <w:snapToGrid w:val="0"/>
        <w:spacing w:line="360" w:lineRule="auto"/>
        <w:ind w:firstLine="562"/>
        <w:jc w:val="center"/>
        <w:rPr>
          <w:b/>
          <w:kern w:val="0"/>
          <w:sz w:val="24"/>
          <w:szCs w:val="24"/>
        </w:rPr>
      </w:pPr>
    </w:p>
    <w:p w14:paraId="4BB1FAE5">
      <w:pPr>
        <w:keepNext/>
        <w:wordWrap w:val="0"/>
        <w:topLinePunct/>
        <w:adjustRightInd w:val="0"/>
        <w:snapToGrid w:val="0"/>
        <w:spacing w:line="360" w:lineRule="auto"/>
        <w:jc w:val="center"/>
        <w:rPr>
          <w:b/>
          <w:kern w:val="0"/>
          <w:sz w:val="24"/>
          <w:szCs w:val="24"/>
        </w:rPr>
      </w:pPr>
      <w:r>
        <w:rPr>
          <w:rFonts w:hint="eastAsia"/>
          <w:b/>
          <w:kern w:val="0"/>
          <w:sz w:val="24"/>
          <w:szCs w:val="24"/>
        </w:rPr>
        <w:t>正版软件承诺</w:t>
      </w:r>
    </w:p>
    <w:p w14:paraId="05F31011">
      <w:pPr>
        <w:keepNext/>
        <w:wordWrap w:val="0"/>
        <w:topLinePunct/>
        <w:snapToGrid w:val="0"/>
        <w:spacing w:line="360" w:lineRule="auto"/>
        <w:ind w:firstLine="480"/>
        <w:jc w:val="left"/>
        <w:rPr>
          <w:rFonts w:ascii="宋体" w:hAnsi="宋体" w:cs="宋体"/>
          <w:kern w:val="0"/>
          <w:sz w:val="24"/>
          <w:szCs w:val="24"/>
          <w:u w:val="single"/>
        </w:rPr>
      </w:pPr>
    </w:p>
    <w:p w14:paraId="58BC0CBA">
      <w:pPr>
        <w:keepNext/>
        <w:wordWrap w:val="0"/>
        <w:topLinePunct/>
        <w:spacing w:line="360" w:lineRule="auto"/>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kern w:val="0"/>
          <w:sz w:val="24"/>
          <w:szCs w:val="24"/>
          <w:u w:val="single"/>
        </w:rPr>
        <w:t>采购代理机构名称</w:t>
      </w:r>
      <w:r>
        <w:rPr>
          <w:rFonts w:hint="eastAsia" w:ascii="宋体" w:hAnsi="宋体" w:cs="宋体"/>
          <w:sz w:val="24"/>
          <w:szCs w:val="24"/>
          <w:u w:val="single"/>
        </w:rPr>
        <w:t xml:space="preserve">  ：</w:t>
      </w:r>
    </w:p>
    <w:p w14:paraId="41413062">
      <w:pPr>
        <w:keepNext/>
        <w:wordWrap w:val="0"/>
        <w:topLinePunct/>
        <w:snapToGrid w:val="0"/>
        <w:spacing w:line="360" w:lineRule="auto"/>
        <w:ind w:firstLine="480" w:firstLineChars="200"/>
        <w:rPr>
          <w:rFonts w:ascii="宋体" w:hAnsi="宋体" w:cs="宋体"/>
          <w:sz w:val="24"/>
          <w:szCs w:val="24"/>
        </w:rPr>
      </w:pPr>
    </w:p>
    <w:p w14:paraId="7CEA0041">
      <w:pPr>
        <w:keepNext/>
        <w:wordWrap w:val="0"/>
        <w:topLinePunct/>
        <w:snapToGrid w:val="0"/>
        <w:spacing w:line="360" w:lineRule="auto"/>
        <w:ind w:firstLine="480" w:firstLineChars="200"/>
        <w:rPr>
          <w:rFonts w:ascii="宋体" w:hAnsi="宋体" w:cs="宋体"/>
          <w:sz w:val="24"/>
          <w:szCs w:val="24"/>
        </w:rPr>
      </w:pPr>
      <w:r>
        <w:rPr>
          <w:rFonts w:hint="eastAsia" w:ascii="宋体" w:hAnsi="宋体" w:cs="宋体"/>
          <w:sz w:val="24"/>
          <w:szCs w:val="24"/>
        </w:rPr>
        <w:t>我方现参与</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）的采购活动，现郑重承诺保证投报的计算机操作系统或投报的硬件产品内所涉及软件为正版软件。</w:t>
      </w:r>
    </w:p>
    <w:p w14:paraId="3818C9F4">
      <w:pPr>
        <w:keepNext/>
        <w:wordWrap w:val="0"/>
        <w:topLinePunct/>
        <w:snapToGrid w:val="0"/>
        <w:spacing w:line="360" w:lineRule="auto"/>
        <w:ind w:firstLine="480" w:firstLineChars="200"/>
        <w:rPr>
          <w:rFonts w:ascii="宋体" w:hAnsi="宋体" w:cs="宋体"/>
          <w:sz w:val="24"/>
          <w:szCs w:val="24"/>
        </w:rPr>
      </w:pPr>
      <w:r>
        <w:rPr>
          <w:rFonts w:hint="eastAsia" w:ascii="宋体" w:hAnsi="宋体" w:cs="宋体"/>
          <w:sz w:val="24"/>
          <w:szCs w:val="24"/>
        </w:rPr>
        <w:t>如上述声明不真实，愿意按照政府采购有关法律法规的规定接受处罚。</w:t>
      </w:r>
    </w:p>
    <w:p w14:paraId="2A0877B9">
      <w:pPr>
        <w:keepNext/>
        <w:wordWrap w:val="0"/>
        <w:topLinePunct/>
        <w:snapToGrid w:val="0"/>
        <w:spacing w:line="360" w:lineRule="auto"/>
        <w:ind w:firstLine="480" w:firstLineChars="200"/>
        <w:rPr>
          <w:rFonts w:ascii="宋体" w:hAnsi="宋体" w:cs="宋体"/>
          <w:sz w:val="24"/>
          <w:szCs w:val="24"/>
        </w:rPr>
      </w:pPr>
    </w:p>
    <w:p w14:paraId="21E5C522">
      <w:pPr>
        <w:keepNext/>
        <w:wordWrap w:val="0"/>
        <w:topLinePunct/>
        <w:snapToGrid w:val="0"/>
        <w:spacing w:line="360" w:lineRule="auto"/>
        <w:ind w:firstLine="480" w:firstLineChars="200"/>
        <w:rPr>
          <w:rFonts w:ascii="宋体" w:hAnsi="宋体" w:cs="宋体"/>
          <w:sz w:val="24"/>
          <w:szCs w:val="24"/>
        </w:rPr>
      </w:pPr>
      <w:r>
        <w:rPr>
          <w:rFonts w:hint="eastAsia" w:ascii="宋体" w:hAnsi="宋体" w:cs="宋体"/>
          <w:sz w:val="24"/>
          <w:szCs w:val="24"/>
        </w:rPr>
        <w:t>特此承诺。</w:t>
      </w:r>
    </w:p>
    <w:p w14:paraId="06C8636D">
      <w:pPr>
        <w:keepNext/>
        <w:wordWrap w:val="0"/>
        <w:topLinePunct/>
        <w:snapToGrid w:val="0"/>
        <w:spacing w:line="520" w:lineRule="exact"/>
        <w:ind w:firstLine="480"/>
        <w:rPr>
          <w:rFonts w:ascii="宋体" w:hAnsi="宋体" w:cs="宋体"/>
          <w:sz w:val="24"/>
          <w:szCs w:val="24"/>
        </w:rPr>
      </w:pPr>
    </w:p>
    <w:p w14:paraId="509AF74E">
      <w:pPr>
        <w:keepNext/>
        <w:wordWrap w:val="0"/>
        <w:topLinePunct/>
        <w:snapToGrid w:val="0"/>
        <w:spacing w:line="480" w:lineRule="exact"/>
        <w:ind w:firstLine="480"/>
        <w:rPr>
          <w:rFonts w:ascii="宋体" w:hAnsi="宋体" w:cs="宋体"/>
          <w:sz w:val="24"/>
          <w:szCs w:val="24"/>
        </w:rPr>
      </w:pPr>
    </w:p>
    <w:p w14:paraId="640E59B4">
      <w:pPr>
        <w:keepNext/>
        <w:wordWrap w:val="0"/>
        <w:topLinePunct/>
        <w:snapToGrid w:val="0"/>
        <w:spacing w:line="480" w:lineRule="exact"/>
        <w:ind w:firstLine="480"/>
        <w:rPr>
          <w:rFonts w:ascii="宋体" w:hAnsi="宋体" w:cs="宋体"/>
          <w:sz w:val="24"/>
          <w:szCs w:val="24"/>
        </w:rPr>
      </w:pPr>
    </w:p>
    <w:p w14:paraId="15943D96">
      <w:pPr>
        <w:keepNext/>
        <w:wordWrap w:val="0"/>
        <w:topLinePunct/>
        <w:snapToGrid w:val="0"/>
        <w:spacing w:line="480" w:lineRule="exact"/>
        <w:ind w:firstLine="480"/>
        <w:rPr>
          <w:rFonts w:ascii="宋体" w:hAnsi="宋体" w:cs="宋体"/>
          <w:sz w:val="24"/>
          <w:szCs w:val="24"/>
        </w:rPr>
      </w:pPr>
    </w:p>
    <w:p w14:paraId="730B6C3F">
      <w:pPr>
        <w:keepNext/>
        <w:wordWrap w:val="0"/>
        <w:topLinePunct/>
        <w:snapToGrid w:val="0"/>
        <w:spacing w:line="360" w:lineRule="auto"/>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名称：</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（盖章）</w:t>
      </w:r>
    </w:p>
    <w:p w14:paraId="1844950A">
      <w:pPr>
        <w:keepNext/>
        <w:wordWrap w:val="0"/>
        <w:topLinePunct/>
        <w:snapToGrid w:val="0"/>
        <w:spacing w:line="360" w:lineRule="auto"/>
        <w:ind w:firstLine="4560" w:firstLineChars="1900"/>
        <w:rPr>
          <w:rFonts w:asciiTheme="minorEastAsia" w:hAnsiTheme="minorEastAsia" w:eastAsiaTheme="minorEastAsia"/>
          <w:sz w:val="24"/>
          <w:szCs w:val="24"/>
        </w:rPr>
      </w:pPr>
      <w:r>
        <w:rPr>
          <w:rFonts w:asciiTheme="minorEastAsia" w:hAnsiTheme="minorEastAsia" w:eastAsiaTheme="minorEastAsia"/>
          <w:sz w:val="24"/>
          <w:szCs w:val="24"/>
        </w:rPr>
        <w:t>日      期：</w:t>
      </w:r>
    </w:p>
    <w:p w14:paraId="1A1666B2">
      <w:pPr>
        <w:keepNext/>
        <w:tabs>
          <w:tab w:val="left" w:pos="1680"/>
        </w:tabs>
        <w:wordWrap w:val="0"/>
        <w:topLinePunct/>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rPr>
        <w:br w:type="page"/>
      </w:r>
      <w:r>
        <w:rPr>
          <w:rFonts w:hint="eastAsia" w:ascii="宋体" w:hAnsi="宋体" w:cs="宋体"/>
          <w:b/>
          <w:kern w:val="0"/>
          <w:sz w:val="24"/>
          <w:szCs w:val="24"/>
        </w:rPr>
        <w:t>（四）中小企业声明</w:t>
      </w:r>
    </w:p>
    <w:p w14:paraId="686E67C5">
      <w:pPr>
        <w:keepNext/>
        <w:wordWrap w:val="0"/>
        <w:topLinePunct/>
        <w:adjustRightInd w:val="0"/>
        <w:snapToGrid w:val="0"/>
        <w:spacing w:line="360" w:lineRule="auto"/>
        <w:jc w:val="center"/>
        <w:rPr>
          <w:b/>
          <w:kern w:val="0"/>
          <w:sz w:val="24"/>
          <w:szCs w:val="24"/>
        </w:rPr>
      </w:pPr>
      <w:r>
        <w:rPr>
          <w:b/>
          <w:kern w:val="0"/>
          <w:sz w:val="24"/>
          <w:szCs w:val="24"/>
        </w:rPr>
        <w:t>中小企业声明函（货物）</w:t>
      </w:r>
    </w:p>
    <w:p w14:paraId="6E8FD7BD">
      <w:pPr>
        <w:keepNext/>
        <w:wordWrap w:val="0"/>
        <w:topLinePunct/>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F54726F">
      <w:pPr>
        <w:keepNext/>
        <w:wordWrap w:val="0"/>
        <w:topLinePunct/>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asciiTheme="minorEastAsia" w:hAnsiTheme="minorEastAsia" w:eastAsiaTheme="minorEastAsia"/>
          <w:sz w:val="24"/>
          <w:szCs w:val="24"/>
          <w:u w:val="single"/>
        </w:rPr>
        <w:t xml:space="preserve">（标的名称） </w:t>
      </w:r>
      <w:r>
        <w:rPr>
          <w:rFonts w:asciiTheme="minorEastAsia" w:hAnsiTheme="minorEastAsia" w:eastAsiaTheme="minorEastAsia"/>
          <w:sz w:val="24"/>
          <w:szCs w:val="24"/>
        </w:rPr>
        <w:t>，属于</w:t>
      </w:r>
      <w:r>
        <w:rPr>
          <w:rFonts w:asciiTheme="minorEastAsia" w:hAnsiTheme="minorEastAsia" w:eastAsiaTheme="minorEastAsia"/>
          <w:sz w:val="24"/>
          <w:szCs w:val="24"/>
          <w:u w:val="single"/>
        </w:rPr>
        <w:t>（采购文件中明确的所属行业）</w:t>
      </w:r>
      <w:r>
        <w:rPr>
          <w:rFonts w:asciiTheme="minorEastAsia" w:hAnsiTheme="minorEastAsia" w:eastAsiaTheme="minorEastAsia"/>
          <w:sz w:val="24"/>
          <w:szCs w:val="24"/>
        </w:rPr>
        <w:t>行业；制造商为</w:t>
      </w:r>
      <w:r>
        <w:rPr>
          <w:rFonts w:asciiTheme="minorEastAsia" w:hAnsiTheme="minorEastAsia" w:eastAsiaTheme="minorEastAsia"/>
          <w:sz w:val="24"/>
          <w:szCs w:val="24"/>
          <w:u w:val="single"/>
        </w:rPr>
        <w:t>（企业名称）</w:t>
      </w:r>
      <w:r>
        <w:rPr>
          <w:rFonts w:asciiTheme="minorEastAsia" w:hAnsiTheme="minorEastAsia" w:eastAsiaTheme="minorEastAsia"/>
          <w:sz w:val="24"/>
          <w:szCs w:val="24"/>
        </w:rPr>
        <w:t>，从业人员</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人，营业收入为</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万元，资产总额为</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万元 ，属于</w:t>
      </w:r>
      <w:r>
        <w:rPr>
          <w:rFonts w:asciiTheme="minorEastAsia" w:hAnsiTheme="minorEastAsia" w:eastAsiaTheme="minorEastAsia"/>
          <w:sz w:val="24"/>
          <w:szCs w:val="24"/>
          <w:u w:val="single"/>
        </w:rPr>
        <w:t>（中型企业、小型企业、微型企业）</w:t>
      </w:r>
      <w:r>
        <w:rPr>
          <w:rFonts w:asciiTheme="minorEastAsia" w:hAnsiTheme="minorEastAsia" w:eastAsiaTheme="minorEastAsia"/>
          <w:sz w:val="24"/>
          <w:szCs w:val="24"/>
        </w:rPr>
        <w:t>；</w:t>
      </w:r>
    </w:p>
    <w:p w14:paraId="05B6E112">
      <w:pPr>
        <w:keepNext/>
        <w:wordWrap w:val="0"/>
        <w:topLinePunct/>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 </w:t>
      </w:r>
      <w:r>
        <w:rPr>
          <w:rFonts w:asciiTheme="minorEastAsia" w:hAnsiTheme="minorEastAsia" w:eastAsiaTheme="minorEastAsia"/>
          <w:sz w:val="24"/>
          <w:szCs w:val="24"/>
          <w:u w:val="single"/>
        </w:rPr>
        <w:t xml:space="preserve">（标的名称） </w:t>
      </w:r>
      <w:r>
        <w:rPr>
          <w:rFonts w:asciiTheme="minorEastAsia" w:hAnsiTheme="minorEastAsia" w:eastAsiaTheme="minorEastAsia"/>
          <w:sz w:val="24"/>
          <w:szCs w:val="24"/>
        </w:rPr>
        <w:t>，属于</w:t>
      </w:r>
      <w:r>
        <w:rPr>
          <w:rFonts w:asciiTheme="minorEastAsia" w:hAnsiTheme="minorEastAsia" w:eastAsiaTheme="minorEastAsia"/>
          <w:sz w:val="24"/>
          <w:szCs w:val="24"/>
          <w:u w:val="single"/>
        </w:rPr>
        <w:t>（采购文件中明确的所属行业）</w:t>
      </w:r>
      <w:r>
        <w:rPr>
          <w:rFonts w:asciiTheme="minorEastAsia" w:hAnsiTheme="minorEastAsia" w:eastAsiaTheme="minorEastAsia"/>
          <w:sz w:val="24"/>
          <w:szCs w:val="24"/>
        </w:rPr>
        <w:t>行业；制造商为</w:t>
      </w:r>
      <w:r>
        <w:rPr>
          <w:rFonts w:asciiTheme="minorEastAsia" w:hAnsiTheme="minorEastAsia" w:eastAsiaTheme="minorEastAsia"/>
          <w:sz w:val="24"/>
          <w:szCs w:val="24"/>
          <w:u w:val="single"/>
        </w:rPr>
        <w:t>（企业名称）</w:t>
      </w:r>
      <w:r>
        <w:rPr>
          <w:rFonts w:asciiTheme="minorEastAsia" w:hAnsiTheme="minorEastAsia" w:eastAsiaTheme="minorEastAsia"/>
          <w:sz w:val="24"/>
          <w:szCs w:val="24"/>
        </w:rPr>
        <w:t>，从业人员</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人，营业收入为</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万元，资产总额为</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万元，属于</w:t>
      </w:r>
      <w:r>
        <w:rPr>
          <w:rFonts w:asciiTheme="minorEastAsia" w:hAnsiTheme="minorEastAsia" w:eastAsiaTheme="minorEastAsia"/>
          <w:sz w:val="24"/>
          <w:szCs w:val="24"/>
          <w:u w:val="single"/>
        </w:rPr>
        <w:t>（中型企业、小型企业、微型企业）</w:t>
      </w:r>
      <w:r>
        <w:rPr>
          <w:rFonts w:asciiTheme="minorEastAsia" w:hAnsiTheme="minorEastAsia" w:eastAsiaTheme="minorEastAsia"/>
          <w:sz w:val="24"/>
          <w:szCs w:val="24"/>
        </w:rPr>
        <w:t>；</w:t>
      </w:r>
    </w:p>
    <w:p w14:paraId="53E533B9">
      <w:pPr>
        <w:keepNext/>
        <w:wordWrap w:val="0"/>
        <w:topLinePunct/>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p>
    <w:p w14:paraId="1AFE254A">
      <w:pPr>
        <w:keepNext/>
        <w:wordWrap w:val="0"/>
        <w:topLinePunct/>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以上企业，不属于大企业的分支机构，不存在控股股东为大企业的情形，也不存在与大企业的负责人为同一人的情形。</w:t>
      </w:r>
    </w:p>
    <w:p w14:paraId="22E93CA2">
      <w:pPr>
        <w:keepNext/>
        <w:wordWrap w:val="0"/>
        <w:topLinePunct/>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本企业对上述声明内容的真实性负责。如有虚假，将依法承担相应责任。</w:t>
      </w:r>
    </w:p>
    <w:p w14:paraId="68C7E7E5">
      <w:pPr>
        <w:keepNext/>
        <w:wordWrap w:val="0"/>
        <w:topLinePunct/>
        <w:snapToGrid w:val="0"/>
        <w:spacing w:line="360" w:lineRule="auto"/>
        <w:ind w:firstLine="480" w:firstLineChars="200"/>
        <w:rPr>
          <w:rFonts w:asciiTheme="minorEastAsia" w:hAnsiTheme="minorEastAsia" w:eastAsiaTheme="minorEastAsia"/>
          <w:sz w:val="24"/>
          <w:szCs w:val="24"/>
        </w:rPr>
      </w:pPr>
    </w:p>
    <w:p w14:paraId="58181C40">
      <w:pPr>
        <w:keepNext/>
        <w:wordWrap w:val="0"/>
        <w:topLinePunct/>
        <w:snapToGrid w:val="0"/>
        <w:spacing w:line="360" w:lineRule="auto"/>
        <w:ind w:firstLine="480" w:firstLineChars="200"/>
        <w:rPr>
          <w:rFonts w:asciiTheme="minorEastAsia" w:hAnsiTheme="minorEastAsia" w:eastAsiaTheme="minorEastAsia"/>
          <w:sz w:val="24"/>
          <w:szCs w:val="24"/>
        </w:rPr>
      </w:pPr>
    </w:p>
    <w:p w14:paraId="300097D8">
      <w:pPr>
        <w:keepNext/>
        <w:wordWrap w:val="0"/>
        <w:topLinePunct/>
        <w:snapToGrid w:val="0"/>
        <w:spacing w:line="360" w:lineRule="auto"/>
        <w:ind w:firstLine="480" w:firstLineChars="200"/>
        <w:rPr>
          <w:rFonts w:asciiTheme="minorEastAsia" w:hAnsiTheme="minorEastAsia" w:eastAsiaTheme="minorEastAsia"/>
          <w:sz w:val="24"/>
          <w:szCs w:val="24"/>
        </w:rPr>
      </w:pPr>
    </w:p>
    <w:p w14:paraId="21CE1615">
      <w:pPr>
        <w:keepNext/>
        <w:wordWrap w:val="0"/>
        <w:topLinePunct/>
        <w:snapToGrid w:val="0"/>
        <w:spacing w:line="360" w:lineRule="auto"/>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名称：</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（盖章）</w:t>
      </w:r>
    </w:p>
    <w:p w14:paraId="7A31EA95">
      <w:pPr>
        <w:keepNext/>
        <w:wordWrap w:val="0"/>
        <w:topLinePunct/>
        <w:snapToGrid w:val="0"/>
        <w:spacing w:line="360" w:lineRule="auto"/>
        <w:ind w:firstLine="4560" w:firstLineChars="1900"/>
        <w:rPr>
          <w:rFonts w:asciiTheme="minorEastAsia" w:hAnsiTheme="minorEastAsia" w:eastAsiaTheme="minorEastAsia"/>
          <w:sz w:val="24"/>
          <w:szCs w:val="24"/>
        </w:rPr>
      </w:pPr>
      <w:r>
        <w:rPr>
          <w:rFonts w:asciiTheme="minorEastAsia" w:hAnsiTheme="minorEastAsia" w:eastAsiaTheme="minorEastAsia"/>
          <w:sz w:val="24"/>
          <w:szCs w:val="24"/>
        </w:rPr>
        <w:t>日      期：</w:t>
      </w:r>
    </w:p>
    <w:p w14:paraId="063B1D73">
      <w:pPr>
        <w:keepNext/>
        <w:wordWrap w:val="0"/>
        <w:topLinePunct/>
        <w:spacing w:line="360" w:lineRule="auto"/>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注：</w:t>
      </w:r>
    </w:p>
    <w:p w14:paraId="1D461B6D">
      <w:pPr>
        <w:keepNext/>
        <w:wordWrap w:val="0"/>
        <w:topLinePunct/>
        <w:adjustRightInd w:val="0"/>
        <w:snapToGrid w:val="0"/>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1.从业人员、营业收入、资产总额填报上一年度年报数据，无上一年度数据的新成立企业可不填报。</w:t>
      </w:r>
    </w:p>
    <w:p w14:paraId="5BC3B9F7">
      <w:pPr>
        <w:keepNext/>
        <w:wordWrap w:val="0"/>
        <w:topLinePunct/>
        <w:adjustRightInd w:val="0"/>
        <w:snapToGrid w:val="0"/>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2.专门面向中小企业的采购项目，此项内容作为资格条件，应在投标人资格证明文件部分上传。</w:t>
      </w:r>
    </w:p>
    <w:p w14:paraId="01585877">
      <w:pPr>
        <w:keepNext/>
        <w:wordWrap w:val="0"/>
        <w:topLinePunct/>
        <w:adjustRightInd w:val="0"/>
        <w:snapToGrid w:val="0"/>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3.非专门面向中小企业的采购项目，如未提供，不予认可。</w:t>
      </w:r>
    </w:p>
    <w:p w14:paraId="35468115">
      <w:pPr>
        <w:keepNext/>
        <w:tabs>
          <w:tab w:val="left" w:pos="1680"/>
        </w:tabs>
        <w:wordWrap w:val="0"/>
        <w:topLinePunct/>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sz w:val="24"/>
        </w:rPr>
        <w:br w:type="page"/>
      </w:r>
      <w:r>
        <w:rPr>
          <w:rFonts w:hint="eastAsia" w:ascii="宋体" w:hAnsi="宋体" w:cs="宋体"/>
          <w:b/>
          <w:kern w:val="0"/>
          <w:sz w:val="24"/>
          <w:szCs w:val="24"/>
        </w:rPr>
        <w:t>（五）残疾人福利性单位声明函</w:t>
      </w:r>
    </w:p>
    <w:p w14:paraId="6CD2D0C7">
      <w:pPr>
        <w:keepNext/>
        <w:wordWrap w:val="0"/>
        <w:topLinePunct/>
        <w:spacing w:line="360" w:lineRule="auto"/>
        <w:ind w:firstLine="506"/>
        <w:jc w:val="center"/>
        <w:rPr>
          <w:rFonts w:ascii="宋体" w:hAnsi="宋体" w:cs="宋体"/>
          <w:b/>
          <w:spacing w:val="6"/>
          <w:sz w:val="24"/>
          <w:szCs w:val="24"/>
        </w:rPr>
      </w:pPr>
    </w:p>
    <w:p w14:paraId="6EA058F0">
      <w:pPr>
        <w:keepNext/>
        <w:wordWrap w:val="0"/>
        <w:topLinePunct/>
        <w:adjustRightInd w:val="0"/>
        <w:snapToGrid w:val="0"/>
        <w:spacing w:line="360" w:lineRule="auto"/>
        <w:jc w:val="center"/>
        <w:rPr>
          <w:b/>
          <w:kern w:val="0"/>
          <w:sz w:val="24"/>
          <w:szCs w:val="24"/>
        </w:rPr>
      </w:pPr>
      <w:r>
        <w:rPr>
          <w:rFonts w:hint="eastAsia"/>
          <w:b/>
          <w:kern w:val="0"/>
          <w:sz w:val="24"/>
          <w:szCs w:val="24"/>
        </w:rPr>
        <w:t>残疾人福利性单位声明函</w:t>
      </w:r>
    </w:p>
    <w:p w14:paraId="1880F456">
      <w:pPr>
        <w:keepNext/>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sz w:val="24"/>
          <w:szCs w:val="24"/>
        </w:rPr>
        <w:t>单位的</w:t>
      </w:r>
      <w:r>
        <w:rPr>
          <w:rFonts w:hint="eastAsia" w:ascii="宋体" w:hAnsi="宋体" w:cs="宋体"/>
          <w:sz w:val="24"/>
          <w:szCs w:val="24"/>
          <w:u w:val="single"/>
        </w:rPr>
        <w:t xml:space="preserve">         </w:t>
      </w:r>
      <w:r>
        <w:rPr>
          <w:rFonts w:hint="eastAsia" w:ascii="宋体" w:hAnsi="宋体" w:cs="宋体"/>
          <w:sz w:val="24"/>
          <w:szCs w:val="24"/>
        </w:rPr>
        <w:t>项目（项目编号：__________）采购活动，提供本单位制造的货物，或者提供其他残疾人福利性单位制造的货物（不包括使用非残疾人福利性单位注册商标的货物）。</w:t>
      </w:r>
    </w:p>
    <w:p w14:paraId="262A588B">
      <w:pPr>
        <w:keepNext/>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4193830B">
      <w:pPr>
        <w:keepNext/>
        <w:wordWrap w:val="0"/>
        <w:topLinePunct/>
        <w:spacing w:line="360" w:lineRule="auto"/>
        <w:ind w:firstLine="504" w:firstLineChars="200"/>
        <w:rPr>
          <w:rFonts w:ascii="宋体" w:hAnsi="宋体" w:cs="宋体"/>
          <w:spacing w:val="6"/>
          <w:sz w:val="24"/>
          <w:szCs w:val="24"/>
        </w:rPr>
      </w:pPr>
    </w:p>
    <w:p w14:paraId="53171FD3">
      <w:pPr>
        <w:keepNext/>
        <w:wordWrap w:val="0"/>
        <w:topLinePunct/>
        <w:spacing w:line="360" w:lineRule="auto"/>
        <w:ind w:firstLine="504" w:firstLineChars="200"/>
        <w:rPr>
          <w:rFonts w:ascii="宋体" w:hAnsi="宋体" w:cs="宋体"/>
          <w:spacing w:val="6"/>
          <w:sz w:val="24"/>
          <w:szCs w:val="24"/>
        </w:rPr>
      </w:pPr>
    </w:p>
    <w:p w14:paraId="7528C430">
      <w:pPr>
        <w:keepNext/>
        <w:wordWrap w:val="0"/>
        <w:topLinePunct/>
        <w:snapToGrid w:val="0"/>
        <w:spacing w:line="360" w:lineRule="auto"/>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名称：</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（盖章）</w:t>
      </w:r>
    </w:p>
    <w:p w14:paraId="37FB49B1">
      <w:pPr>
        <w:keepNext/>
        <w:wordWrap w:val="0"/>
        <w:topLinePunct/>
        <w:snapToGrid w:val="0"/>
        <w:spacing w:line="360" w:lineRule="auto"/>
        <w:ind w:firstLine="4560" w:firstLineChars="1900"/>
        <w:rPr>
          <w:rFonts w:asciiTheme="minorEastAsia" w:hAnsiTheme="minorEastAsia" w:eastAsiaTheme="minorEastAsia"/>
          <w:sz w:val="24"/>
          <w:szCs w:val="24"/>
        </w:rPr>
      </w:pPr>
      <w:r>
        <w:rPr>
          <w:rFonts w:asciiTheme="minorEastAsia" w:hAnsiTheme="minorEastAsia" w:eastAsiaTheme="minorEastAsia"/>
          <w:sz w:val="24"/>
          <w:szCs w:val="24"/>
        </w:rPr>
        <w:t>日      期：</w:t>
      </w:r>
    </w:p>
    <w:p w14:paraId="659F761C">
      <w:pPr>
        <w:keepNext/>
        <w:wordWrap w:val="0"/>
        <w:topLinePunct/>
        <w:spacing w:line="360" w:lineRule="auto"/>
        <w:ind w:firstLine="482"/>
        <w:rPr>
          <w:rFonts w:ascii="宋体" w:hAnsi="宋体" w:cs="宋体"/>
          <w:b/>
          <w:sz w:val="24"/>
          <w:szCs w:val="24"/>
        </w:rPr>
      </w:pPr>
    </w:p>
    <w:p w14:paraId="40CBBD9E">
      <w:pPr>
        <w:keepNext/>
        <w:wordWrap w:val="0"/>
        <w:topLinePunct/>
        <w:spacing w:line="360" w:lineRule="auto"/>
        <w:ind w:firstLine="480" w:firstLineChars="200"/>
        <w:rPr>
          <w:rFonts w:ascii="宋体" w:hAnsi="宋体" w:cs="宋体"/>
          <w:b/>
          <w:sz w:val="24"/>
          <w:szCs w:val="24"/>
        </w:rPr>
      </w:pPr>
      <w:r>
        <w:rPr>
          <w:rFonts w:hint="eastAsia" w:ascii="宋体" w:hAnsi="宋体" w:cs="宋体"/>
          <w:b/>
          <w:sz w:val="24"/>
          <w:szCs w:val="24"/>
        </w:rPr>
        <w:t>注：</w:t>
      </w:r>
    </w:p>
    <w:p w14:paraId="6899C801">
      <w:pPr>
        <w:keepNext/>
        <w:wordWrap w:val="0"/>
        <w:topLinePunct/>
        <w:spacing w:line="360" w:lineRule="auto"/>
        <w:ind w:firstLine="480" w:firstLineChars="200"/>
        <w:jc w:val="left"/>
        <w:rPr>
          <w:rFonts w:ascii="宋体" w:hAnsi="宋体" w:cs="宋体"/>
          <w:b/>
          <w:sz w:val="24"/>
          <w:szCs w:val="24"/>
        </w:rPr>
      </w:pPr>
      <w:r>
        <w:rPr>
          <w:rFonts w:hint="eastAsia" w:ascii="宋体" w:hAnsi="宋体" w:cs="宋体"/>
          <w:b/>
          <w:sz w:val="24"/>
          <w:szCs w:val="24"/>
        </w:rPr>
        <w:t>1.专门面向中小企业的采购项目，残疾人福利性单位参加本项目此项内容作为资格条件，应在投标人资格证明文件部分上传。</w:t>
      </w:r>
    </w:p>
    <w:p w14:paraId="11B22FE9">
      <w:pPr>
        <w:pStyle w:val="16"/>
        <w:keepNext/>
        <w:wordWrap w:val="0"/>
        <w:topLinePunct/>
        <w:ind w:firstLine="480" w:firstLineChars="200"/>
        <w:rPr>
          <w:rFonts w:hAnsi="宋体" w:cs="宋体"/>
          <w:b/>
          <w:kern w:val="0"/>
          <w:sz w:val="24"/>
          <w:szCs w:val="24"/>
        </w:rPr>
      </w:pPr>
      <w:r>
        <w:rPr>
          <w:rFonts w:hint="eastAsia" w:hAnsi="宋体" w:cs="宋体"/>
          <w:b/>
          <w:sz w:val="24"/>
          <w:szCs w:val="24"/>
        </w:rPr>
        <w:t>2.非专门面向中小企业的采购项目，如未提供，不予认可。</w:t>
      </w:r>
    </w:p>
    <w:p w14:paraId="66B6D798">
      <w:pPr>
        <w:keepNext/>
        <w:tabs>
          <w:tab w:val="left" w:pos="1680"/>
        </w:tabs>
        <w:wordWrap w:val="0"/>
        <w:topLinePunct/>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1"/>
        </w:rPr>
        <w:br w:type="page"/>
      </w:r>
      <w:r>
        <w:rPr>
          <w:rFonts w:ascii="宋体" w:hAnsi="宋体" w:cs="宋体"/>
          <w:b/>
          <w:kern w:val="0"/>
          <w:sz w:val="24"/>
          <w:szCs w:val="24"/>
        </w:rPr>
        <w:t>（</w:t>
      </w:r>
      <w:r>
        <w:rPr>
          <w:rFonts w:hint="eastAsia" w:ascii="宋体" w:hAnsi="宋体" w:cs="宋体"/>
          <w:b/>
          <w:kern w:val="0"/>
          <w:sz w:val="24"/>
          <w:szCs w:val="24"/>
        </w:rPr>
        <w:t>六</w:t>
      </w:r>
      <w:r>
        <w:rPr>
          <w:rFonts w:ascii="宋体" w:hAnsi="宋体" w:cs="宋体"/>
          <w:b/>
          <w:kern w:val="0"/>
          <w:sz w:val="24"/>
          <w:szCs w:val="24"/>
        </w:rPr>
        <w:t>）监狱企业</w:t>
      </w:r>
      <w:r>
        <w:rPr>
          <w:rFonts w:hint="eastAsia" w:ascii="宋体" w:hAnsi="宋体" w:cs="宋体"/>
          <w:b/>
          <w:kern w:val="0"/>
          <w:sz w:val="24"/>
          <w:szCs w:val="24"/>
        </w:rPr>
        <w:t>声明函</w:t>
      </w:r>
    </w:p>
    <w:p w14:paraId="1DC14CE8">
      <w:pPr>
        <w:keepNext/>
        <w:wordWrap w:val="0"/>
        <w:topLinePunct/>
        <w:adjustRightInd w:val="0"/>
        <w:snapToGrid w:val="0"/>
        <w:spacing w:line="360" w:lineRule="auto"/>
        <w:jc w:val="center"/>
        <w:rPr>
          <w:b/>
          <w:kern w:val="0"/>
          <w:sz w:val="24"/>
          <w:szCs w:val="24"/>
        </w:rPr>
      </w:pPr>
      <w:r>
        <w:rPr>
          <w:b/>
          <w:kern w:val="0"/>
          <w:sz w:val="24"/>
          <w:szCs w:val="24"/>
        </w:rPr>
        <w:t>监狱企业声明函</w:t>
      </w:r>
    </w:p>
    <w:p w14:paraId="048B8E95">
      <w:pPr>
        <w:keepNext/>
        <w:wordWrap w:val="0"/>
        <w:topLinePunct/>
        <w:snapToGrid w:val="0"/>
        <w:spacing w:line="48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本单位郑重声明，根据《关于政府采购支持监狱企业发展有关问题的通知》（财库〔2014〕68号）的规定，本单位为符合条件的监狱企业，且本单位参加</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单位的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项目</w:t>
      </w:r>
      <w:r>
        <w:rPr>
          <w:rFonts w:hint="eastAsia" w:cs="宋体" w:asciiTheme="minorEastAsia" w:hAnsiTheme="minorEastAsia" w:eastAsiaTheme="minorEastAsia"/>
          <w:sz w:val="24"/>
          <w:szCs w:val="24"/>
        </w:rPr>
        <w:t>（项目编号：__________）</w:t>
      </w:r>
      <w:r>
        <w:rPr>
          <w:rFonts w:asciiTheme="minorEastAsia" w:hAnsiTheme="minorEastAsia" w:eastAsiaTheme="minorEastAsia"/>
          <w:sz w:val="24"/>
          <w:szCs w:val="24"/>
        </w:rPr>
        <w:t>采购活动</w:t>
      </w:r>
      <w:r>
        <w:rPr>
          <w:rFonts w:hint="eastAsia" w:asciiTheme="minorEastAsia" w:hAnsiTheme="minorEastAsia" w:eastAsiaTheme="minorEastAsia"/>
          <w:sz w:val="24"/>
          <w:szCs w:val="24"/>
        </w:rPr>
        <w:t>，提供</w:t>
      </w:r>
      <w:r>
        <w:rPr>
          <w:rFonts w:hint="eastAsia" w:cs="宋体" w:asciiTheme="minorEastAsia" w:hAnsiTheme="minorEastAsia" w:eastAsiaTheme="minorEastAsia"/>
          <w:sz w:val="24"/>
          <w:szCs w:val="24"/>
        </w:rPr>
        <w:t>本单位制造的货物，或者提供其他残疾人福利性单位制造的货物（不包括使用非残疾人福利性单位注册商标的货物）</w:t>
      </w:r>
      <w:r>
        <w:rPr>
          <w:rFonts w:asciiTheme="minorEastAsia" w:hAnsiTheme="minorEastAsia" w:eastAsiaTheme="minorEastAsia"/>
          <w:sz w:val="24"/>
          <w:szCs w:val="24"/>
        </w:rPr>
        <w:t>。</w:t>
      </w:r>
    </w:p>
    <w:p w14:paraId="644ADEDB">
      <w:pPr>
        <w:keepNext/>
        <w:wordWrap w:val="0"/>
        <w:topLinePunct/>
        <w:snapToGrid w:val="0"/>
        <w:spacing w:line="48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本单位对上述声明的真实性负责。如有虚假，将依法承担相应责任。</w:t>
      </w:r>
    </w:p>
    <w:p w14:paraId="018F79D8">
      <w:pPr>
        <w:keepNext/>
        <w:wordWrap w:val="0"/>
        <w:topLinePunct/>
        <w:spacing w:line="360" w:lineRule="auto"/>
        <w:ind w:firstLine="504" w:firstLineChars="200"/>
        <w:rPr>
          <w:rFonts w:asciiTheme="minorEastAsia" w:hAnsiTheme="minorEastAsia" w:eastAsiaTheme="minorEastAsia"/>
          <w:spacing w:val="6"/>
          <w:sz w:val="24"/>
          <w:szCs w:val="24"/>
        </w:rPr>
      </w:pPr>
    </w:p>
    <w:p w14:paraId="3DD5A126">
      <w:pPr>
        <w:keepNext/>
        <w:wordWrap w:val="0"/>
        <w:topLinePunct/>
        <w:spacing w:line="360" w:lineRule="auto"/>
        <w:ind w:firstLine="504" w:firstLineChars="200"/>
        <w:rPr>
          <w:rFonts w:asciiTheme="minorEastAsia" w:hAnsiTheme="minorEastAsia" w:eastAsiaTheme="minorEastAsia"/>
          <w:spacing w:val="6"/>
          <w:sz w:val="24"/>
          <w:szCs w:val="24"/>
        </w:rPr>
      </w:pPr>
    </w:p>
    <w:p w14:paraId="182A1F5A">
      <w:pPr>
        <w:keepNext/>
        <w:wordWrap w:val="0"/>
        <w:topLinePunct/>
        <w:spacing w:line="360" w:lineRule="auto"/>
        <w:ind w:firstLine="504" w:firstLineChars="200"/>
        <w:rPr>
          <w:rFonts w:asciiTheme="minorEastAsia" w:hAnsiTheme="minorEastAsia" w:eastAsiaTheme="minorEastAsia"/>
          <w:spacing w:val="6"/>
          <w:sz w:val="24"/>
          <w:szCs w:val="24"/>
        </w:rPr>
      </w:pPr>
    </w:p>
    <w:p w14:paraId="46495E9D">
      <w:pPr>
        <w:keepNext/>
        <w:wordWrap w:val="0"/>
        <w:topLinePunct/>
        <w:snapToGrid w:val="0"/>
        <w:spacing w:line="360" w:lineRule="auto"/>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名称：</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（盖章）</w:t>
      </w:r>
    </w:p>
    <w:p w14:paraId="23189463">
      <w:pPr>
        <w:keepNext/>
        <w:wordWrap w:val="0"/>
        <w:topLinePunct/>
        <w:snapToGrid w:val="0"/>
        <w:spacing w:line="360" w:lineRule="auto"/>
        <w:ind w:firstLine="4560" w:firstLineChars="1900"/>
        <w:rPr>
          <w:rFonts w:asciiTheme="minorEastAsia" w:hAnsiTheme="minorEastAsia" w:eastAsiaTheme="minorEastAsia"/>
          <w:sz w:val="24"/>
          <w:szCs w:val="24"/>
        </w:rPr>
      </w:pPr>
      <w:r>
        <w:rPr>
          <w:rFonts w:asciiTheme="minorEastAsia" w:hAnsiTheme="minorEastAsia" w:eastAsiaTheme="minorEastAsia"/>
          <w:sz w:val="24"/>
          <w:szCs w:val="24"/>
        </w:rPr>
        <w:t>日      期：</w:t>
      </w:r>
    </w:p>
    <w:p w14:paraId="469ED95E">
      <w:pPr>
        <w:keepNext/>
        <w:wordWrap w:val="0"/>
        <w:topLinePunct/>
        <w:snapToGrid w:val="0"/>
        <w:spacing w:line="480" w:lineRule="exact"/>
        <w:ind w:firstLine="3604" w:firstLineChars="1500"/>
        <w:textAlignment w:val="baseline"/>
        <w:rPr>
          <w:rFonts w:asciiTheme="minorEastAsia" w:hAnsiTheme="minorEastAsia" w:eastAsiaTheme="minorEastAsia"/>
          <w:b/>
          <w:sz w:val="24"/>
          <w:szCs w:val="24"/>
        </w:rPr>
      </w:pPr>
    </w:p>
    <w:p w14:paraId="463051C1">
      <w:pPr>
        <w:keepNext/>
        <w:wordWrap w:val="0"/>
        <w:topLinePunct/>
        <w:snapToGrid w:val="0"/>
        <w:spacing w:line="480" w:lineRule="exact"/>
        <w:ind w:firstLine="480" w:firstLineChars="200"/>
        <w:textAlignment w:val="baseline"/>
        <w:rPr>
          <w:rFonts w:asciiTheme="minorEastAsia" w:hAnsiTheme="minorEastAsia" w:eastAsiaTheme="minorEastAsia"/>
          <w:b/>
          <w:sz w:val="24"/>
          <w:szCs w:val="24"/>
        </w:rPr>
      </w:pPr>
      <w:r>
        <w:rPr>
          <w:rFonts w:asciiTheme="minorEastAsia" w:hAnsiTheme="minorEastAsia" w:eastAsiaTheme="minorEastAsia"/>
          <w:b/>
          <w:sz w:val="24"/>
          <w:szCs w:val="24"/>
        </w:rPr>
        <w:t>附：由省级以上监狱管理局、戒毒管理局（含新疆生产建设兵团）出具的属于监狱企业的证明文件。</w:t>
      </w:r>
    </w:p>
    <w:p w14:paraId="1E98EEA2">
      <w:pPr>
        <w:keepNext/>
        <w:wordWrap w:val="0"/>
        <w:topLinePunct/>
        <w:snapToGrid w:val="0"/>
        <w:spacing w:line="360" w:lineRule="auto"/>
        <w:ind w:firstLine="480"/>
        <w:rPr>
          <w:rFonts w:asciiTheme="minorEastAsia" w:hAnsiTheme="minorEastAsia" w:eastAsiaTheme="minorEastAsia"/>
          <w:sz w:val="24"/>
          <w:szCs w:val="24"/>
        </w:rPr>
      </w:pPr>
    </w:p>
    <w:p w14:paraId="337F8F47">
      <w:pPr>
        <w:pStyle w:val="16"/>
        <w:keepNext/>
        <w:wordWrap w:val="0"/>
        <w:topLinePunct/>
        <w:ind w:firstLine="482"/>
        <w:rPr>
          <w:rFonts w:asciiTheme="minorEastAsia" w:hAnsiTheme="minorEastAsia" w:eastAsiaTheme="minorEastAsia"/>
          <w:b/>
          <w:bCs/>
          <w:sz w:val="24"/>
          <w:szCs w:val="24"/>
        </w:rPr>
      </w:pPr>
    </w:p>
    <w:p w14:paraId="1F0F9A2C">
      <w:pPr>
        <w:pStyle w:val="16"/>
        <w:keepNext/>
        <w:wordWrap w:val="0"/>
        <w:topLinePunct/>
        <w:adjustRightInd w:val="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w:t>
      </w:r>
    </w:p>
    <w:p w14:paraId="34BEA738">
      <w:pPr>
        <w:pStyle w:val="16"/>
        <w:keepNext/>
        <w:wordWrap w:val="0"/>
        <w:topLinePunct/>
        <w:adjustRightInd w:val="0"/>
        <w:snapToGrid w:val="0"/>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1.专门面向中小企业的采购项目，监狱企业参加本项目此项内容作为资格条件，应在投标人资格证明文件部分上传。</w:t>
      </w:r>
    </w:p>
    <w:p w14:paraId="5CAB655A">
      <w:pPr>
        <w:pStyle w:val="16"/>
        <w:keepNext/>
        <w:wordWrap w:val="0"/>
        <w:topLinePunct/>
        <w:adjustRightInd w:val="0"/>
        <w:snapToGrid w:val="0"/>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2.非专门面向中小企业的采购项目，如未提供，不予认可。</w:t>
      </w:r>
    </w:p>
    <w:p w14:paraId="793FD1AA">
      <w:pPr>
        <w:keepNext/>
        <w:tabs>
          <w:tab w:val="left" w:pos="1680"/>
        </w:tabs>
        <w:wordWrap w:val="0"/>
        <w:topLinePunct/>
        <w:adjustRightInd w:val="0"/>
        <w:snapToGrid w:val="0"/>
        <w:spacing w:line="360" w:lineRule="auto"/>
        <w:ind w:firstLine="480" w:firstLineChars="200"/>
        <w:outlineLvl w:val="2"/>
        <w:rPr>
          <w:rFonts w:ascii="宋体" w:hAnsi="宋体" w:cs="宋体"/>
          <w:b/>
          <w:kern w:val="0"/>
          <w:sz w:val="24"/>
          <w:szCs w:val="24"/>
        </w:rPr>
      </w:pPr>
      <w:r>
        <w:rPr>
          <w:rFonts w:ascii="宋体" w:hAnsi="宋体" w:cs="宋体"/>
          <w:b/>
          <w:kern w:val="0"/>
          <w:sz w:val="24"/>
          <w:szCs w:val="21"/>
        </w:rPr>
        <w:br w:type="page"/>
      </w:r>
      <w:r>
        <w:rPr>
          <w:rFonts w:hint="eastAsia" w:ascii="宋体" w:hAnsi="宋体" w:cs="宋体"/>
          <w:b/>
          <w:kern w:val="0"/>
          <w:sz w:val="24"/>
          <w:szCs w:val="24"/>
        </w:rPr>
        <w:t>（七）联合体投标协议书</w:t>
      </w:r>
    </w:p>
    <w:p w14:paraId="205B7280">
      <w:pPr>
        <w:keepNext/>
        <w:wordWrap w:val="0"/>
        <w:topLinePunct/>
        <w:adjustRightInd w:val="0"/>
        <w:snapToGrid w:val="0"/>
        <w:spacing w:line="360" w:lineRule="auto"/>
        <w:jc w:val="center"/>
        <w:rPr>
          <w:b/>
          <w:kern w:val="0"/>
          <w:sz w:val="24"/>
          <w:szCs w:val="24"/>
        </w:rPr>
      </w:pPr>
      <w:r>
        <w:rPr>
          <w:rFonts w:hint="eastAsia"/>
          <w:b/>
          <w:kern w:val="0"/>
          <w:sz w:val="24"/>
          <w:szCs w:val="24"/>
        </w:rPr>
        <w:t>《联合投标协议书》格式</w:t>
      </w:r>
    </w:p>
    <w:p w14:paraId="6F446932">
      <w:pPr>
        <w:pStyle w:val="46"/>
        <w:keepNext/>
        <w:wordWrap w:val="0"/>
        <w:topLinePunct/>
        <w:adjustRightInd w:val="0"/>
        <w:snapToGrid w:val="0"/>
        <w:spacing w:line="360" w:lineRule="auto"/>
        <w:jc w:val="left"/>
        <w:rPr>
          <w:rFonts w:cs="宋体"/>
          <w:sz w:val="24"/>
          <w:szCs w:val="24"/>
        </w:rPr>
      </w:pPr>
      <w:r>
        <w:rPr>
          <w:rFonts w:hint="eastAsia" w:cs="宋体"/>
          <w:sz w:val="24"/>
          <w:szCs w:val="24"/>
        </w:rPr>
        <w:t>联合各方：</w:t>
      </w:r>
    </w:p>
    <w:p w14:paraId="2E84950E">
      <w:pPr>
        <w:pStyle w:val="46"/>
        <w:keepNext/>
        <w:wordWrap w:val="0"/>
        <w:topLinePunct/>
        <w:adjustRightInd w:val="0"/>
        <w:snapToGrid w:val="0"/>
        <w:spacing w:line="360" w:lineRule="auto"/>
        <w:jc w:val="left"/>
        <w:rPr>
          <w:rFonts w:cs="宋体"/>
          <w:sz w:val="24"/>
          <w:szCs w:val="24"/>
        </w:rPr>
      </w:pPr>
      <w:r>
        <w:rPr>
          <w:rFonts w:hint="eastAsia" w:cs="宋体"/>
          <w:sz w:val="24"/>
          <w:szCs w:val="24"/>
        </w:rPr>
        <w:t>甲方：</w:t>
      </w:r>
    </w:p>
    <w:p w14:paraId="2F571786">
      <w:pPr>
        <w:pStyle w:val="46"/>
        <w:keepNext/>
        <w:wordWrap w:val="0"/>
        <w:topLinePunct/>
        <w:adjustRightInd w:val="0"/>
        <w:snapToGrid w:val="0"/>
        <w:spacing w:line="360" w:lineRule="auto"/>
        <w:jc w:val="left"/>
        <w:rPr>
          <w:rFonts w:cs="宋体"/>
          <w:sz w:val="24"/>
          <w:szCs w:val="24"/>
        </w:rPr>
      </w:pPr>
      <w:r>
        <w:rPr>
          <w:rFonts w:hint="eastAsia" w:cs="宋体"/>
          <w:sz w:val="24"/>
          <w:szCs w:val="24"/>
        </w:rPr>
        <w:t>法定代表人：</w:t>
      </w:r>
    </w:p>
    <w:p w14:paraId="3B2E3690">
      <w:pPr>
        <w:pStyle w:val="46"/>
        <w:keepNext/>
        <w:wordWrap w:val="0"/>
        <w:topLinePunct/>
        <w:adjustRightInd w:val="0"/>
        <w:snapToGrid w:val="0"/>
        <w:spacing w:line="360" w:lineRule="auto"/>
        <w:jc w:val="left"/>
        <w:rPr>
          <w:rFonts w:cs="宋体"/>
          <w:sz w:val="24"/>
          <w:szCs w:val="24"/>
        </w:rPr>
      </w:pPr>
      <w:r>
        <w:rPr>
          <w:rFonts w:hint="eastAsia" w:cs="宋体"/>
          <w:sz w:val="24"/>
          <w:szCs w:val="24"/>
        </w:rPr>
        <w:t>住所：</w:t>
      </w:r>
    </w:p>
    <w:p w14:paraId="76F005B4">
      <w:pPr>
        <w:keepNext/>
        <w:wordWrap w:val="0"/>
        <w:topLinePunct/>
        <w:adjustRightInd w:val="0"/>
        <w:snapToGrid w:val="0"/>
        <w:spacing w:line="360" w:lineRule="auto"/>
        <w:jc w:val="left"/>
        <w:rPr>
          <w:rFonts w:ascii="宋体" w:hAnsi="宋体" w:cs="宋体"/>
          <w:sz w:val="24"/>
          <w:szCs w:val="24"/>
        </w:rPr>
      </w:pPr>
    </w:p>
    <w:p w14:paraId="7117D0F6">
      <w:pPr>
        <w:pStyle w:val="46"/>
        <w:keepNext/>
        <w:wordWrap w:val="0"/>
        <w:topLinePunct/>
        <w:adjustRightInd w:val="0"/>
        <w:snapToGrid w:val="0"/>
        <w:spacing w:line="360" w:lineRule="auto"/>
        <w:jc w:val="left"/>
        <w:rPr>
          <w:rFonts w:cs="宋体"/>
          <w:sz w:val="24"/>
          <w:szCs w:val="24"/>
        </w:rPr>
      </w:pPr>
      <w:r>
        <w:rPr>
          <w:rFonts w:hint="eastAsia" w:cs="宋体"/>
          <w:sz w:val="24"/>
          <w:szCs w:val="24"/>
        </w:rPr>
        <w:t>乙方：</w:t>
      </w:r>
    </w:p>
    <w:p w14:paraId="39B84FE6">
      <w:pPr>
        <w:pStyle w:val="46"/>
        <w:keepNext/>
        <w:wordWrap w:val="0"/>
        <w:topLinePunct/>
        <w:adjustRightInd w:val="0"/>
        <w:snapToGrid w:val="0"/>
        <w:spacing w:line="360" w:lineRule="auto"/>
        <w:jc w:val="left"/>
        <w:rPr>
          <w:rFonts w:cs="宋体"/>
          <w:sz w:val="24"/>
          <w:szCs w:val="24"/>
        </w:rPr>
      </w:pPr>
      <w:r>
        <w:rPr>
          <w:rFonts w:hint="eastAsia" w:cs="宋体"/>
          <w:sz w:val="24"/>
          <w:szCs w:val="24"/>
        </w:rPr>
        <w:t>法定代表人：</w:t>
      </w:r>
    </w:p>
    <w:p w14:paraId="6EDDFEFF">
      <w:pPr>
        <w:pStyle w:val="46"/>
        <w:keepNext/>
        <w:wordWrap w:val="0"/>
        <w:topLinePunct/>
        <w:adjustRightInd w:val="0"/>
        <w:snapToGrid w:val="0"/>
        <w:spacing w:line="360" w:lineRule="auto"/>
        <w:jc w:val="left"/>
        <w:rPr>
          <w:rFonts w:cs="宋体"/>
          <w:sz w:val="24"/>
          <w:szCs w:val="24"/>
        </w:rPr>
      </w:pPr>
      <w:r>
        <w:rPr>
          <w:rFonts w:hint="eastAsia" w:cs="宋体"/>
          <w:sz w:val="24"/>
          <w:szCs w:val="24"/>
        </w:rPr>
        <w:t>住所：</w:t>
      </w:r>
    </w:p>
    <w:p w14:paraId="558C71AC">
      <w:pPr>
        <w:pStyle w:val="46"/>
        <w:keepNext/>
        <w:wordWrap w:val="0"/>
        <w:topLinePunct/>
        <w:adjustRightInd w:val="0"/>
        <w:snapToGrid w:val="0"/>
        <w:spacing w:line="360" w:lineRule="auto"/>
        <w:jc w:val="left"/>
        <w:rPr>
          <w:rFonts w:cs="宋体"/>
          <w:sz w:val="24"/>
          <w:szCs w:val="24"/>
        </w:rPr>
      </w:pPr>
      <w:r>
        <w:rPr>
          <w:rFonts w:hint="eastAsia" w:cs="宋体"/>
          <w:sz w:val="24"/>
          <w:szCs w:val="24"/>
        </w:rPr>
        <w:t>（如果有的话，可按甲、乙、丙、丁…序列增加）</w:t>
      </w:r>
    </w:p>
    <w:p w14:paraId="07F1C933">
      <w:pPr>
        <w:pStyle w:val="46"/>
        <w:keepNext/>
        <w:wordWrap w:val="0"/>
        <w:topLinePunct/>
        <w:adjustRightInd w:val="0"/>
        <w:snapToGrid w:val="0"/>
        <w:spacing w:line="360" w:lineRule="auto"/>
        <w:ind w:firstLine="480" w:firstLineChars="200"/>
        <w:jc w:val="both"/>
        <w:rPr>
          <w:rFonts w:cs="宋体"/>
          <w:sz w:val="24"/>
          <w:szCs w:val="24"/>
        </w:rPr>
      </w:pPr>
      <w:r>
        <w:rPr>
          <w:rFonts w:hint="eastAsia" w:cs="宋体"/>
          <w:sz w:val="24"/>
          <w:szCs w:val="24"/>
        </w:rPr>
        <w:t>根据《中华人民共和国政府采购法》第二十四条之规定，为响应</w:t>
      </w:r>
      <w:r>
        <w:rPr>
          <w:rFonts w:hint="eastAsia" w:cs="宋体"/>
          <w:sz w:val="24"/>
          <w:szCs w:val="24"/>
          <w:u w:val="single"/>
        </w:rPr>
        <w:t xml:space="preserve">   采购代理机构名称    </w:t>
      </w:r>
      <w:r>
        <w:rPr>
          <w:rFonts w:hint="eastAsia" w:cs="宋体"/>
          <w:sz w:val="24"/>
          <w:szCs w:val="24"/>
        </w:rPr>
        <w:t>组织实施的</w:t>
      </w:r>
      <w:r>
        <w:rPr>
          <w:rFonts w:hint="eastAsia" w:cs="宋体"/>
          <w:sz w:val="24"/>
          <w:szCs w:val="24"/>
          <w:u w:val="single"/>
        </w:rPr>
        <w:t xml:space="preserve">           </w:t>
      </w:r>
      <w:r>
        <w:rPr>
          <w:rFonts w:hint="eastAsia" w:cs="宋体"/>
          <w:sz w:val="24"/>
          <w:szCs w:val="24"/>
        </w:rPr>
        <w:t>项目（项目编号：      ）的采购活动，经各方经协商，愿组成联合参加本项目投标事宜，并达成如下协议：</w:t>
      </w:r>
    </w:p>
    <w:p w14:paraId="61C06AB7">
      <w:pPr>
        <w:pStyle w:val="46"/>
        <w:keepNext/>
        <w:wordWrap w:val="0"/>
        <w:topLinePunct/>
        <w:adjustRightInd w:val="0"/>
        <w:snapToGrid w:val="0"/>
        <w:spacing w:line="360" w:lineRule="auto"/>
        <w:ind w:firstLine="480" w:firstLineChars="200"/>
        <w:jc w:val="both"/>
        <w:rPr>
          <w:rFonts w:cs="宋体"/>
          <w:sz w:val="24"/>
          <w:szCs w:val="24"/>
        </w:rPr>
      </w:pPr>
      <w:r>
        <w:rPr>
          <w:rFonts w:hint="eastAsia" w:cs="宋体"/>
          <w:sz w:val="24"/>
          <w:szCs w:val="24"/>
        </w:rPr>
        <w:t xml:space="preserve">一、各方一致决定，以 </w:t>
      </w:r>
      <w:r>
        <w:rPr>
          <w:rFonts w:hint="eastAsia" w:cs="宋体"/>
          <w:sz w:val="24"/>
          <w:szCs w:val="24"/>
          <w:u w:val="single"/>
        </w:rPr>
        <w:t xml:space="preserve">    联合体一方名称   </w:t>
      </w:r>
      <w:r>
        <w:rPr>
          <w:rFonts w:hint="eastAsia" w:cs="宋体"/>
          <w:sz w:val="24"/>
          <w:szCs w:val="24"/>
        </w:rPr>
        <w:t>为主办人进行投标，并按照招标文件的规定分别提交资格文件。</w:t>
      </w:r>
    </w:p>
    <w:p w14:paraId="2DCAC95F">
      <w:pPr>
        <w:pStyle w:val="46"/>
        <w:keepNext/>
        <w:wordWrap w:val="0"/>
        <w:topLinePunct/>
        <w:adjustRightInd w:val="0"/>
        <w:snapToGrid w:val="0"/>
        <w:spacing w:line="360" w:lineRule="auto"/>
        <w:ind w:firstLine="480" w:firstLineChars="200"/>
        <w:jc w:val="both"/>
        <w:rPr>
          <w:rFonts w:cs="宋体"/>
          <w:sz w:val="24"/>
          <w:szCs w:val="24"/>
        </w:rPr>
      </w:pPr>
      <w:r>
        <w:rPr>
          <w:rFonts w:hint="eastAsia" w:cs="宋体"/>
          <w:sz w:val="24"/>
          <w:szCs w:val="24"/>
        </w:rPr>
        <w:t>二、在本次投标过程中，主办人法定代表人或授权代理人根据招标文件规定及报价内容而对采购人所作的任何合法承诺，包括书面澄清及响应等均对联合投标各方产生约束力。如果中标并签订合同，则联合各方将共同履行对采购人所负有的全部义务并就采购合同约定的事项对采购人承担连带责任。</w:t>
      </w:r>
    </w:p>
    <w:p w14:paraId="579C01A6">
      <w:pPr>
        <w:pStyle w:val="46"/>
        <w:keepNext/>
        <w:wordWrap w:val="0"/>
        <w:topLinePunct/>
        <w:adjustRightInd w:val="0"/>
        <w:snapToGrid w:val="0"/>
        <w:spacing w:line="360" w:lineRule="auto"/>
        <w:ind w:firstLine="480" w:firstLineChars="200"/>
        <w:jc w:val="both"/>
        <w:rPr>
          <w:rFonts w:cs="宋体"/>
          <w:sz w:val="24"/>
          <w:szCs w:val="24"/>
        </w:rPr>
      </w:pPr>
      <w:r>
        <w:rPr>
          <w:rFonts w:hint="eastAsia" w:cs="宋体"/>
          <w:sz w:val="24"/>
          <w:szCs w:val="24"/>
        </w:rPr>
        <w:t>三、联合其余各方保证对主办人为响应本次投标而提供的货物和相关服务，提供全部质量保证及售后服务支持。</w:t>
      </w:r>
    </w:p>
    <w:p w14:paraId="16F829BB">
      <w:pPr>
        <w:pStyle w:val="46"/>
        <w:keepNext/>
        <w:wordWrap w:val="0"/>
        <w:topLinePunct/>
        <w:adjustRightInd w:val="0"/>
        <w:snapToGrid w:val="0"/>
        <w:spacing w:line="360" w:lineRule="auto"/>
        <w:ind w:firstLine="480" w:firstLineChars="200"/>
        <w:jc w:val="both"/>
        <w:rPr>
          <w:rFonts w:cs="宋体"/>
          <w:sz w:val="24"/>
          <w:szCs w:val="24"/>
          <w:u w:val="single"/>
        </w:rPr>
      </w:pPr>
      <w:r>
        <w:rPr>
          <w:rFonts w:hint="eastAsia" w:cs="宋体"/>
          <w:sz w:val="24"/>
          <w:szCs w:val="24"/>
        </w:rPr>
        <w:t>四、本次联合投标中，甲方承担的工作和义务为：</w:t>
      </w:r>
      <w:r>
        <w:rPr>
          <w:rFonts w:hint="eastAsia" w:cs="宋体"/>
          <w:sz w:val="24"/>
          <w:szCs w:val="24"/>
          <w:u w:val="single"/>
        </w:rPr>
        <w:t xml:space="preserve">                             </w:t>
      </w:r>
    </w:p>
    <w:p w14:paraId="4965980A">
      <w:pPr>
        <w:pStyle w:val="46"/>
        <w:keepNext/>
        <w:wordWrap w:val="0"/>
        <w:topLinePunct/>
        <w:adjustRightInd w:val="0"/>
        <w:snapToGrid w:val="0"/>
        <w:spacing w:line="360" w:lineRule="auto"/>
        <w:ind w:firstLine="960" w:firstLineChars="400"/>
        <w:jc w:val="both"/>
        <w:rPr>
          <w:rFonts w:cs="宋体"/>
          <w:sz w:val="24"/>
          <w:szCs w:val="24"/>
        </w:rPr>
      </w:pPr>
      <w:r>
        <w:rPr>
          <w:rFonts w:hint="eastAsia" w:cs="宋体"/>
          <w:sz w:val="24"/>
          <w:szCs w:val="24"/>
        </w:rPr>
        <w:t>乙方承担的工作和义务为：</w:t>
      </w:r>
      <w:r>
        <w:rPr>
          <w:rFonts w:hint="eastAsia" w:cs="宋体"/>
          <w:sz w:val="24"/>
          <w:szCs w:val="24"/>
          <w:u w:val="single"/>
        </w:rPr>
        <w:t xml:space="preserve">                             </w:t>
      </w:r>
    </w:p>
    <w:p w14:paraId="59869ECF">
      <w:pPr>
        <w:pStyle w:val="46"/>
        <w:keepNext/>
        <w:wordWrap w:val="0"/>
        <w:topLinePunct/>
        <w:adjustRightInd w:val="0"/>
        <w:snapToGrid w:val="0"/>
        <w:spacing w:line="360" w:lineRule="auto"/>
        <w:ind w:firstLine="480" w:firstLineChars="200"/>
        <w:jc w:val="both"/>
        <w:rPr>
          <w:rFonts w:cs="宋体"/>
          <w:sz w:val="24"/>
          <w:szCs w:val="24"/>
        </w:rPr>
      </w:pPr>
      <w:r>
        <w:rPr>
          <w:rFonts w:hint="eastAsia" w:cs="宋体"/>
          <w:sz w:val="24"/>
          <w:szCs w:val="24"/>
        </w:rPr>
        <w:t>五、本协议提交后，联合体各方不得以任何形式对上述实质内容进行修改或撤销。</w:t>
      </w:r>
    </w:p>
    <w:p w14:paraId="1C87499D">
      <w:pPr>
        <w:pStyle w:val="46"/>
        <w:keepNext/>
        <w:wordWrap w:val="0"/>
        <w:topLinePunct/>
        <w:adjustRightInd w:val="0"/>
        <w:snapToGrid w:val="0"/>
        <w:spacing w:line="360" w:lineRule="auto"/>
        <w:ind w:firstLine="480" w:firstLineChars="200"/>
        <w:jc w:val="both"/>
        <w:rPr>
          <w:rFonts w:cs="宋体"/>
          <w:sz w:val="24"/>
          <w:szCs w:val="24"/>
        </w:rPr>
      </w:pPr>
      <w:r>
        <w:rPr>
          <w:rFonts w:hint="eastAsia" w:cs="宋体"/>
          <w:sz w:val="24"/>
          <w:szCs w:val="24"/>
        </w:rPr>
        <w:t>六、本协议一式三份，甲、乙双方各持一份，另一份作为投标文件的组成部分。</w:t>
      </w:r>
    </w:p>
    <w:p w14:paraId="0D1FBA6B">
      <w:pPr>
        <w:keepNext/>
        <w:wordWrap w:val="0"/>
        <w:topLinePunct/>
        <w:adjustRightInd w:val="0"/>
        <w:snapToGrid w:val="0"/>
        <w:spacing w:line="360" w:lineRule="auto"/>
        <w:rPr>
          <w:rFonts w:ascii="宋体" w:hAnsi="宋体" w:cs="宋体"/>
          <w:kern w:val="0"/>
          <w:sz w:val="24"/>
          <w:szCs w:val="24"/>
        </w:rPr>
      </w:pPr>
      <w:r>
        <w:rPr>
          <w:rFonts w:hint="eastAsia" w:ascii="宋体" w:hAnsi="宋体" w:cs="宋体"/>
          <w:kern w:val="0"/>
          <w:sz w:val="24"/>
          <w:szCs w:val="24"/>
        </w:rPr>
        <w:t>附件：联合体各方资质等级证明文件</w:t>
      </w:r>
    </w:p>
    <w:p w14:paraId="153F5F0F">
      <w:pPr>
        <w:keepNext/>
        <w:wordWrap w:val="0"/>
        <w:topLinePunct/>
        <w:spacing w:line="480" w:lineRule="auto"/>
        <w:ind w:firstLine="480"/>
        <w:rPr>
          <w:rFonts w:ascii="宋体" w:hAnsi="宋体" w:cs="宋体"/>
          <w:sz w:val="24"/>
          <w:szCs w:val="24"/>
        </w:rPr>
      </w:pPr>
      <w:r>
        <w:rPr>
          <w:rFonts w:hint="eastAsia" w:ascii="宋体" w:hAnsi="宋体" w:cs="宋体"/>
          <w:sz w:val="24"/>
          <w:szCs w:val="24"/>
        </w:rPr>
        <w:t>甲方（盖章）：                          乙方（盖章）：</w:t>
      </w:r>
    </w:p>
    <w:p w14:paraId="3B2E812A">
      <w:pPr>
        <w:keepNext/>
        <w:wordWrap w:val="0"/>
        <w:topLinePunct/>
        <w:spacing w:line="480" w:lineRule="auto"/>
        <w:ind w:firstLine="480"/>
        <w:rPr>
          <w:rFonts w:ascii="宋体" w:hAnsi="宋体" w:cs="宋体"/>
          <w:sz w:val="24"/>
          <w:szCs w:val="24"/>
        </w:rPr>
      </w:pPr>
      <w:r>
        <w:rPr>
          <w:rFonts w:hint="eastAsia" w:ascii="宋体" w:hAnsi="宋体" w:cs="宋体"/>
          <w:sz w:val="24"/>
          <w:szCs w:val="24"/>
        </w:rPr>
        <w:t>法定代表人（签字）：                    法定代表人（签字）：</w:t>
      </w:r>
    </w:p>
    <w:p w14:paraId="021E0360">
      <w:pPr>
        <w:pStyle w:val="16"/>
        <w:keepNext/>
        <w:wordWrap w:val="0"/>
        <w:topLinePunct/>
        <w:ind w:firstLine="480"/>
        <w:rPr>
          <w:rFonts w:hAnsi="宋体" w:cs="宋体"/>
          <w:b/>
          <w:kern w:val="0"/>
          <w:sz w:val="24"/>
          <w:szCs w:val="24"/>
        </w:rPr>
      </w:pPr>
      <w:r>
        <w:rPr>
          <w:rFonts w:hint="eastAsia" w:hAnsi="宋体" w:cs="宋体"/>
          <w:sz w:val="24"/>
          <w:szCs w:val="24"/>
        </w:rPr>
        <w:t>20  年  月  日                          20  年  月  日</w:t>
      </w:r>
    </w:p>
    <w:p w14:paraId="5474288E">
      <w:pPr>
        <w:pStyle w:val="7"/>
        <w:keepNext/>
        <w:wordWrap w:val="0"/>
        <w:topLinePunct/>
        <w:spacing w:line="360" w:lineRule="auto"/>
        <w:ind w:left="0" w:leftChars="0"/>
        <w:rPr>
          <w:rFonts w:ascii="宋体" w:hAnsi="宋体" w:cs="宋体"/>
          <w:sz w:val="24"/>
          <w:szCs w:val="24"/>
        </w:rPr>
      </w:pPr>
    </w:p>
    <w:p w14:paraId="0744AFA6">
      <w:pPr>
        <w:pStyle w:val="7"/>
        <w:keepNext/>
        <w:wordWrap w:val="0"/>
        <w:topLinePunct/>
        <w:spacing w:line="360" w:lineRule="auto"/>
        <w:ind w:left="0" w:leftChars="0"/>
        <w:rPr>
          <w:rFonts w:ascii="宋体" w:hAnsi="宋体" w:cs="宋体"/>
          <w:sz w:val="24"/>
          <w:szCs w:val="24"/>
        </w:rPr>
      </w:pPr>
      <w:r>
        <w:rPr>
          <w:rFonts w:hint="eastAsia" w:ascii="宋体" w:hAnsi="宋体" w:cs="宋体"/>
          <w:sz w:val="24"/>
          <w:szCs w:val="24"/>
        </w:rPr>
        <w:t>注：如本项目允许联合体参加，本项目此项内容作为资格条件，应在投标人资格证明文件部分上传。</w:t>
      </w:r>
    </w:p>
    <w:p w14:paraId="6052812F">
      <w:pPr>
        <w:keepNext/>
        <w:tabs>
          <w:tab w:val="left" w:pos="1680"/>
        </w:tabs>
        <w:wordWrap w:val="0"/>
        <w:topLinePunct/>
        <w:adjustRightInd w:val="0"/>
        <w:snapToGrid w:val="0"/>
        <w:spacing w:line="360" w:lineRule="auto"/>
        <w:outlineLvl w:val="2"/>
        <w:rPr>
          <w:rFonts w:ascii="宋体" w:hAnsi="宋体" w:cs="宋体"/>
          <w:b/>
          <w:kern w:val="0"/>
          <w:sz w:val="24"/>
          <w:szCs w:val="24"/>
        </w:rPr>
      </w:pPr>
      <w:r>
        <w:rPr>
          <w:rFonts w:ascii="宋体" w:hAnsi="宋体" w:cs="宋体"/>
        </w:rPr>
        <w:br w:type="page"/>
      </w:r>
      <w:r>
        <w:rPr>
          <w:rFonts w:ascii="宋体" w:hAnsi="宋体" w:cs="宋体"/>
          <w:b/>
          <w:kern w:val="0"/>
          <w:sz w:val="24"/>
          <w:szCs w:val="24"/>
        </w:rPr>
        <w:t>（</w:t>
      </w:r>
      <w:r>
        <w:rPr>
          <w:rFonts w:hint="eastAsia" w:ascii="宋体" w:hAnsi="宋体" w:cs="宋体"/>
          <w:b/>
          <w:kern w:val="0"/>
          <w:sz w:val="24"/>
          <w:szCs w:val="24"/>
        </w:rPr>
        <w:t>八</w:t>
      </w:r>
      <w:r>
        <w:rPr>
          <w:rFonts w:ascii="宋体" w:hAnsi="宋体" w:cs="宋体"/>
          <w:b/>
          <w:kern w:val="0"/>
          <w:sz w:val="24"/>
          <w:szCs w:val="24"/>
        </w:rPr>
        <w:t>）创新产品或创新服务明细表（如不涉及，可不提供）</w:t>
      </w:r>
    </w:p>
    <w:p w14:paraId="5832D1CC">
      <w:pPr>
        <w:keepNext/>
        <w:wordWrap w:val="0"/>
        <w:topLinePunct/>
        <w:rPr>
          <w:b/>
          <w:sz w:val="24"/>
          <w:szCs w:val="24"/>
        </w:rPr>
      </w:pPr>
    </w:p>
    <w:p w14:paraId="30A76444">
      <w:pPr>
        <w:keepNext/>
        <w:wordWrap w:val="0"/>
        <w:topLinePunct/>
        <w:adjustRightInd w:val="0"/>
        <w:snapToGrid w:val="0"/>
        <w:spacing w:line="360" w:lineRule="auto"/>
        <w:jc w:val="center"/>
        <w:rPr>
          <w:b/>
          <w:kern w:val="0"/>
          <w:sz w:val="24"/>
          <w:szCs w:val="24"/>
        </w:rPr>
      </w:pPr>
      <w:r>
        <w:rPr>
          <w:b/>
          <w:kern w:val="0"/>
          <w:sz w:val="24"/>
          <w:szCs w:val="24"/>
        </w:rPr>
        <w:t>创新产品或创新服务明细表</w:t>
      </w:r>
    </w:p>
    <w:p w14:paraId="20BE406C">
      <w:pPr>
        <w:keepNext/>
        <w:wordWrap w:val="0"/>
        <w:topLinePunct/>
        <w:spacing w:line="360" w:lineRule="auto"/>
        <w:rPr>
          <w:rFonts w:ascii="宋体" w:hAnsi="宋体"/>
          <w:sz w:val="24"/>
          <w:szCs w:val="24"/>
          <w:u w:val="single"/>
        </w:rPr>
      </w:pPr>
      <w:r>
        <w:rPr>
          <w:rFonts w:ascii="宋体" w:hAnsi="宋体"/>
          <w:sz w:val="24"/>
          <w:szCs w:val="24"/>
        </w:rPr>
        <w:t>项目名称：</w:t>
      </w:r>
    </w:p>
    <w:p w14:paraId="3DBA4028">
      <w:pPr>
        <w:keepNext/>
        <w:wordWrap w:val="0"/>
        <w:topLinePunct/>
        <w:spacing w:line="360" w:lineRule="auto"/>
        <w:rPr>
          <w:rFonts w:ascii="宋体" w:hAnsi="宋体"/>
          <w:sz w:val="24"/>
          <w:szCs w:val="24"/>
          <w:u w:val="single"/>
        </w:rPr>
      </w:pPr>
      <w:r>
        <w:rPr>
          <w:rFonts w:ascii="宋体" w:hAnsi="宋体"/>
          <w:sz w:val="24"/>
          <w:szCs w:val="24"/>
        </w:rPr>
        <w:t>项目编号：</w:t>
      </w:r>
    </w:p>
    <w:p w14:paraId="2D3C1EF7">
      <w:pPr>
        <w:keepNext/>
        <w:wordWrap w:val="0"/>
        <w:topLinePunct/>
        <w:spacing w:line="360" w:lineRule="auto"/>
        <w:ind w:left="7350" w:hanging="8400" w:hangingChars="3500"/>
        <w:jc w:val="left"/>
        <w:rPr>
          <w:rFonts w:ascii="宋体" w:hAnsi="宋体"/>
          <w:sz w:val="24"/>
          <w:szCs w:val="24"/>
        </w:rPr>
      </w:pPr>
      <w:r>
        <w:rPr>
          <w:rFonts w:ascii="宋体" w:hAnsi="宋体"/>
          <w:sz w:val="24"/>
          <w:szCs w:val="24"/>
        </w:rPr>
        <w:t xml:space="preserve">                                                          货币：人民币/元</w:t>
      </w:r>
    </w:p>
    <w:tbl>
      <w:tblPr>
        <w:tblStyle w:val="31"/>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92"/>
        <w:gridCol w:w="992"/>
        <w:gridCol w:w="1276"/>
        <w:gridCol w:w="1446"/>
        <w:gridCol w:w="708"/>
        <w:gridCol w:w="1134"/>
        <w:gridCol w:w="1630"/>
      </w:tblGrid>
      <w:tr w14:paraId="3BE6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811" w:type="dxa"/>
            <w:vAlign w:val="center"/>
          </w:tcPr>
          <w:p w14:paraId="767CBACD">
            <w:pPr>
              <w:keepNext/>
              <w:wordWrap w:val="0"/>
              <w:topLinePunct/>
              <w:adjustRightInd w:val="0"/>
              <w:snapToGrid w:val="0"/>
              <w:jc w:val="center"/>
              <w:rPr>
                <w:rFonts w:ascii="宋体" w:hAnsi="宋体"/>
                <w:bCs/>
                <w:sz w:val="24"/>
                <w:szCs w:val="24"/>
              </w:rPr>
            </w:pPr>
            <w:r>
              <w:rPr>
                <w:rFonts w:ascii="宋体" w:hAnsi="宋体"/>
                <w:bCs/>
                <w:sz w:val="24"/>
                <w:szCs w:val="24"/>
              </w:rPr>
              <w:t>序号</w:t>
            </w:r>
          </w:p>
        </w:tc>
        <w:tc>
          <w:tcPr>
            <w:tcW w:w="992" w:type="dxa"/>
            <w:vAlign w:val="center"/>
          </w:tcPr>
          <w:p w14:paraId="2A1738D8">
            <w:pPr>
              <w:keepNext/>
              <w:wordWrap w:val="0"/>
              <w:topLinePunct/>
              <w:adjustRightInd w:val="0"/>
              <w:snapToGrid w:val="0"/>
              <w:jc w:val="center"/>
              <w:rPr>
                <w:rFonts w:ascii="宋体" w:hAnsi="宋体"/>
                <w:bCs/>
                <w:sz w:val="24"/>
                <w:szCs w:val="24"/>
              </w:rPr>
            </w:pPr>
            <w:r>
              <w:rPr>
                <w:rFonts w:ascii="宋体" w:hAnsi="宋体"/>
                <w:bCs/>
                <w:sz w:val="24"/>
                <w:szCs w:val="24"/>
              </w:rPr>
              <w:t>名称</w:t>
            </w:r>
          </w:p>
        </w:tc>
        <w:tc>
          <w:tcPr>
            <w:tcW w:w="992" w:type="dxa"/>
            <w:vAlign w:val="center"/>
          </w:tcPr>
          <w:p w14:paraId="57EC7F5F">
            <w:pPr>
              <w:keepNext/>
              <w:wordWrap w:val="0"/>
              <w:topLinePunct/>
              <w:adjustRightInd w:val="0"/>
              <w:snapToGrid w:val="0"/>
              <w:jc w:val="center"/>
              <w:rPr>
                <w:rFonts w:ascii="宋体" w:hAnsi="宋体"/>
                <w:bCs/>
                <w:sz w:val="24"/>
                <w:szCs w:val="24"/>
              </w:rPr>
            </w:pPr>
            <w:r>
              <w:rPr>
                <w:rFonts w:ascii="宋体" w:hAnsi="宋体"/>
                <w:bCs/>
                <w:sz w:val="24"/>
                <w:szCs w:val="24"/>
              </w:rPr>
              <w:t>品牌</w:t>
            </w:r>
          </w:p>
        </w:tc>
        <w:tc>
          <w:tcPr>
            <w:tcW w:w="1276" w:type="dxa"/>
            <w:tcBorders>
              <w:bottom w:val="single" w:color="auto" w:sz="4" w:space="0"/>
            </w:tcBorders>
            <w:vAlign w:val="center"/>
          </w:tcPr>
          <w:p w14:paraId="26DF559A">
            <w:pPr>
              <w:keepNext/>
              <w:wordWrap w:val="0"/>
              <w:topLinePunct/>
              <w:adjustRightInd w:val="0"/>
              <w:snapToGrid w:val="0"/>
              <w:jc w:val="center"/>
              <w:rPr>
                <w:rFonts w:ascii="宋体" w:hAnsi="宋体"/>
                <w:bCs/>
                <w:sz w:val="24"/>
                <w:szCs w:val="24"/>
              </w:rPr>
            </w:pPr>
            <w:r>
              <w:rPr>
                <w:rFonts w:ascii="宋体" w:hAnsi="宋体"/>
                <w:bCs/>
                <w:sz w:val="24"/>
                <w:szCs w:val="24"/>
              </w:rPr>
              <w:t>规格型号</w:t>
            </w:r>
          </w:p>
        </w:tc>
        <w:tc>
          <w:tcPr>
            <w:tcW w:w="1446" w:type="dxa"/>
            <w:tcBorders>
              <w:bottom w:val="single" w:color="auto" w:sz="4" w:space="0"/>
            </w:tcBorders>
            <w:vAlign w:val="center"/>
          </w:tcPr>
          <w:p w14:paraId="60E3B29C">
            <w:pPr>
              <w:keepNext/>
              <w:wordWrap w:val="0"/>
              <w:topLinePunct/>
              <w:adjustRightInd w:val="0"/>
              <w:snapToGrid w:val="0"/>
              <w:jc w:val="center"/>
              <w:rPr>
                <w:rFonts w:ascii="宋体" w:hAnsi="宋体"/>
                <w:bCs/>
                <w:sz w:val="24"/>
                <w:szCs w:val="24"/>
              </w:rPr>
            </w:pPr>
            <w:r>
              <w:rPr>
                <w:rFonts w:ascii="宋体" w:hAnsi="宋体"/>
                <w:bCs/>
                <w:sz w:val="24"/>
                <w:szCs w:val="24"/>
              </w:rPr>
              <w:t>产地及厂家</w:t>
            </w:r>
          </w:p>
        </w:tc>
        <w:tc>
          <w:tcPr>
            <w:tcW w:w="708" w:type="dxa"/>
            <w:tcBorders>
              <w:bottom w:val="single" w:color="auto" w:sz="4" w:space="0"/>
            </w:tcBorders>
            <w:vAlign w:val="center"/>
          </w:tcPr>
          <w:p w14:paraId="1A47F752">
            <w:pPr>
              <w:keepNext/>
              <w:wordWrap w:val="0"/>
              <w:topLinePunct/>
              <w:adjustRightInd w:val="0"/>
              <w:snapToGrid w:val="0"/>
              <w:jc w:val="center"/>
              <w:rPr>
                <w:rFonts w:ascii="宋体" w:hAnsi="宋体"/>
                <w:bCs/>
                <w:sz w:val="24"/>
                <w:szCs w:val="24"/>
              </w:rPr>
            </w:pPr>
            <w:r>
              <w:rPr>
                <w:rFonts w:ascii="宋体" w:hAnsi="宋体"/>
                <w:bCs/>
                <w:sz w:val="24"/>
                <w:szCs w:val="24"/>
              </w:rPr>
              <w:t>数量</w:t>
            </w:r>
          </w:p>
        </w:tc>
        <w:tc>
          <w:tcPr>
            <w:tcW w:w="1134" w:type="dxa"/>
            <w:tcBorders>
              <w:bottom w:val="single" w:color="auto" w:sz="4" w:space="0"/>
            </w:tcBorders>
            <w:vAlign w:val="center"/>
          </w:tcPr>
          <w:p w14:paraId="55E7C6CD">
            <w:pPr>
              <w:keepNext/>
              <w:wordWrap w:val="0"/>
              <w:topLinePunct/>
              <w:adjustRightInd w:val="0"/>
              <w:snapToGrid w:val="0"/>
              <w:jc w:val="center"/>
              <w:rPr>
                <w:rFonts w:ascii="宋体" w:hAnsi="宋体"/>
                <w:bCs/>
                <w:sz w:val="24"/>
                <w:szCs w:val="24"/>
              </w:rPr>
            </w:pPr>
            <w:r>
              <w:rPr>
                <w:rFonts w:ascii="宋体" w:hAnsi="宋体"/>
                <w:bCs/>
                <w:sz w:val="24"/>
                <w:szCs w:val="24"/>
              </w:rPr>
              <w:t>单价</w:t>
            </w:r>
          </w:p>
        </w:tc>
        <w:tc>
          <w:tcPr>
            <w:tcW w:w="1630" w:type="dxa"/>
            <w:tcBorders>
              <w:bottom w:val="single" w:color="auto" w:sz="4" w:space="0"/>
            </w:tcBorders>
            <w:vAlign w:val="center"/>
          </w:tcPr>
          <w:p w14:paraId="37C28149">
            <w:pPr>
              <w:keepNext/>
              <w:wordWrap w:val="0"/>
              <w:topLinePunct/>
              <w:adjustRightInd w:val="0"/>
              <w:snapToGrid w:val="0"/>
              <w:jc w:val="center"/>
              <w:rPr>
                <w:rFonts w:ascii="宋体" w:hAnsi="宋体"/>
                <w:bCs/>
                <w:sz w:val="24"/>
                <w:szCs w:val="24"/>
              </w:rPr>
            </w:pPr>
            <w:r>
              <w:rPr>
                <w:rFonts w:ascii="宋体" w:hAnsi="宋体"/>
                <w:bCs/>
                <w:sz w:val="24"/>
                <w:szCs w:val="24"/>
              </w:rPr>
              <w:t>总价</w:t>
            </w:r>
          </w:p>
        </w:tc>
      </w:tr>
      <w:tr w14:paraId="3EF2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811" w:type="dxa"/>
            <w:vAlign w:val="center"/>
          </w:tcPr>
          <w:p w14:paraId="1B89BC44">
            <w:pPr>
              <w:keepNext/>
              <w:wordWrap w:val="0"/>
              <w:topLinePunct/>
              <w:adjustRightInd w:val="0"/>
              <w:snapToGrid w:val="0"/>
              <w:jc w:val="center"/>
              <w:rPr>
                <w:rFonts w:ascii="宋体" w:hAnsi="宋体"/>
                <w:bCs/>
                <w:sz w:val="24"/>
                <w:szCs w:val="24"/>
              </w:rPr>
            </w:pPr>
          </w:p>
        </w:tc>
        <w:tc>
          <w:tcPr>
            <w:tcW w:w="992" w:type="dxa"/>
            <w:vAlign w:val="center"/>
          </w:tcPr>
          <w:p w14:paraId="0E084FCD">
            <w:pPr>
              <w:keepNext/>
              <w:wordWrap w:val="0"/>
              <w:topLinePunct/>
              <w:adjustRightInd w:val="0"/>
              <w:snapToGrid w:val="0"/>
              <w:jc w:val="center"/>
              <w:rPr>
                <w:rFonts w:ascii="宋体" w:hAnsi="宋体"/>
                <w:bCs/>
                <w:sz w:val="24"/>
                <w:szCs w:val="24"/>
              </w:rPr>
            </w:pPr>
          </w:p>
        </w:tc>
        <w:tc>
          <w:tcPr>
            <w:tcW w:w="992" w:type="dxa"/>
            <w:vAlign w:val="center"/>
          </w:tcPr>
          <w:p w14:paraId="6FEA2FCE">
            <w:pPr>
              <w:keepNext/>
              <w:wordWrap w:val="0"/>
              <w:topLinePunct/>
              <w:adjustRightInd w:val="0"/>
              <w:snapToGrid w:val="0"/>
              <w:jc w:val="center"/>
              <w:rPr>
                <w:rFonts w:ascii="宋体" w:hAnsi="宋体"/>
                <w:bCs/>
                <w:sz w:val="24"/>
                <w:szCs w:val="24"/>
              </w:rPr>
            </w:pPr>
          </w:p>
        </w:tc>
        <w:tc>
          <w:tcPr>
            <w:tcW w:w="1276" w:type="dxa"/>
            <w:tcBorders>
              <w:top w:val="single" w:color="auto" w:sz="4" w:space="0"/>
              <w:bottom w:val="single" w:color="auto" w:sz="4" w:space="0"/>
            </w:tcBorders>
            <w:vAlign w:val="center"/>
          </w:tcPr>
          <w:p w14:paraId="0638E4DB">
            <w:pPr>
              <w:keepNext/>
              <w:wordWrap w:val="0"/>
              <w:topLinePunct/>
              <w:adjustRightInd w:val="0"/>
              <w:snapToGrid w:val="0"/>
              <w:jc w:val="center"/>
              <w:rPr>
                <w:rFonts w:ascii="宋体" w:hAnsi="宋体"/>
                <w:bCs/>
                <w:sz w:val="24"/>
                <w:szCs w:val="24"/>
                <w:vertAlign w:val="superscript"/>
              </w:rPr>
            </w:pPr>
          </w:p>
        </w:tc>
        <w:tc>
          <w:tcPr>
            <w:tcW w:w="1446" w:type="dxa"/>
            <w:tcBorders>
              <w:top w:val="single" w:color="auto" w:sz="4" w:space="0"/>
              <w:bottom w:val="single" w:color="auto" w:sz="4" w:space="0"/>
            </w:tcBorders>
            <w:vAlign w:val="center"/>
          </w:tcPr>
          <w:p w14:paraId="4FB05224">
            <w:pPr>
              <w:keepNext/>
              <w:wordWrap w:val="0"/>
              <w:topLinePunct/>
              <w:adjustRightInd w:val="0"/>
              <w:snapToGrid w:val="0"/>
              <w:jc w:val="center"/>
              <w:rPr>
                <w:rFonts w:ascii="宋体" w:hAnsi="宋体"/>
                <w:bCs/>
                <w:sz w:val="24"/>
                <w:szCs w:val="24"/>
                <w:vertAlign w:val="superscript"/>
              </w:rPr>
            </w:pPr>
          </w:p>
        </w:tc>
        <w:tc>
          <w:tcPr>
            <w:tcW w:w="708" w:type="dxa"/>
            <w:tcBorders>
              <w:top w:val="single" w:color="auto" w:sz="4" w:space="0"/>
            </w:tcBorders>
            <w:vAlign w:val="center"/>
          </w:tcPr>
          <w:p w14:paraId="3A4C0BD7">
            <w:pPr>
              <w:keepNext/>
              <w:wordWrap w:val="0"/>
              <w:topLinePunct/>
              <w:adjustRightInd w:val="0"/>
              <w:snapToGrid w:val="0"/>
              <w:jc w:val="center"/>
              <w:rPr>
                <w:rFonts w:ascii="宋体" w:hAnsi="宋体"/>
                <w:bCs/>
                <w:sz w:val="24"/>
                <w:szCs w:val="24"/>
              </w:rPr>
            </w:pPr>
          </w:p>
        </w:tc>
        <w:tc>
          <w:tcPr>
            <w:tcW w:w="1134" w:type="dxa"/>
            <w:tcBorders>
              <w:top w:val="single" w:color="auto" w:sz="4" w:space="0"/>
            </w:tcBorders>
            <w:vAlign w:val="center"/>
          </w:tcPr>
          <w:p w14:paraId="126F0C01">
            <w:pPr>
              <w:keepNext/>
              <w:wordWrap w:val="0"/>
              <w:topLinePunct/>
              <w:adjustRightInd w:val="0"/>
              <w:snapToGrid w:val="0"/>
              <w:jc w:val="center"/>
              <w:rPr>
                <w:rFonts w:ascii="宋体" w:hAnsi="宋体"/>
                <w:bCs/>
                <w:sz w:val="24"/>
                <w:szCs w:val="24"/>
              </w:rPr>
            </w:pPr>
          </w:p>
        </w:tc>
        <w:tc>
          <w:tcPr>
            <w:tcW w:w="1630" w:type="dxa"/>
            <w:tcBorders>
              <w:top w:val="single" w:color="auto" w:sz="4" w:space="0"/>
            </w:tcBorders>
            <w:vAlign w:val="center"/>
          </w:tcPr>
          <w:p w14:paraId="492C2E1F">
            <w:pPr>
              <w:keepNext/>
              <w:wordWrap w:val="0"/>
              <w:topLinePunct/>
              <w:adjustRightInd w:val="0"/>
              <w:snapToGrid w:val="0"/>
              <w:jc w:val="center"/>
              <w:rPr>
                <w:rFonts w:ascii="宋体" w:hAnsi="宋体"/>
                <w:bCs/>
                <w:sz w:val="24"/>
                <w:szCs w:val="24"/>
              </w:rPr>
            </w:pPr>
          </w:p>
        </w:tc>
      </w:tr>
      <w:tr w14:paraId="6BA1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811" w:type="dxa"/>
            <w:vAlign w:val="center"/>
          </w:tcPr>
          <w:p w14:paraId="6D5EF2F1">
            <w:pPr>
              <w:keepNext/>
              <w:wordWrap w:val="0"/>
              <w:topLinePunct/>
              <w:adjustRightInd w:val="0"/>
              <w:snapToGrid w:val="0"/>
              <w:jc w:val="center"/>
              <w:rPr>
                <w:rFonts w:ascii="宋体" w:hAnsi="宋体"/>
                <w:bCs/>
                <w:sz w:val="24"/>
                <w:szCs w:val="24"/>
              </w:rPr>
            </w:pPr>
          </w:p>
        </w:tc>
        <w:tc>
          <w:tcPr>
            <w:tcW w:w="992" w:type="dxa"/>
            <w:vAlign w:val="center"/>
          </w:tcPr>
          <w:p w14:paraId="6E9AFBE9">
            <w:pPr>
              <w:keepNext/>
              <w:wordWrap w:val="0"/>
              <w:topLinePunct/>
              <w:adjustRightInd w:val="0"/>
              <w:snapToGrid w:val="0"/>
              <w:jc w:val="center"/>
              <w:rPr>
                <w:rFonts w:ascii="宋体" w:hAnsi="宋体"/>
                <w:bCs/>
                <w:sz w:val="24"/>
                <w:szCs w:val="24"/>
              </w:rPr>
            </w:pPr>
          </w:p>
        </w:tc>
        <w:tc>
          <w:tcPr>
            <w:tcW w:w="992" w:type="dxa"/>
            <w:vAlign w:val="center"/>
          </w:tcPr>
          <w:p w14:paraId="4ABF1D4B">
            <w:pPr>
              <w:keepNext/>
              <w:wordWrap w:val="0"/>
              <w:topLinePunct/>
              <w:adjustRightInd w:val="0"/>
              <w:snapToGrid w:val="0"/>
              <w:jc w:val="center"/>
              <w:rPr>
                <w:rFonts w:ascii="宋体" w:hAnsi="宋体"/>
                <w:bCs/>
                <w:sz w:val="24"/>
                <w:szCs w:val="24"/>
              </w:rPr>
            </w:pPr>
          </w:p>
        </w:tc>
        <w:tc>
          <w:tcPr>
            <w:tcW w:w="1276" w:type="dxa"/>
            <w:tcBorders>
              <w:top w:val="single" w:color="auto" w:sz="4" w:space="0"/>
              <w:bottom w:val="single" w:color="auto" w:sz="4" w:space="0"/>
            </w:tcBorders>
            <w:vAlign w:val="center"/>
          </w:tcPr>
          <w:p w14:paraId="20D3A5A2">
            <w:pPr>
              <w:keepNext/>
              <w:wordWrap w:val="0"/>
              <w:topLinePunct/>
              <w:adjustRightInd w:val="0"/>
              <w:snapToGrid w:val="0"/>
              <w:jc w:val="center"/>
              <w:rPr>
                <w:rFonts w:ascii="宋体" w:hAnsi="宋体"/>
                <w:bCs/>
                <w:sz w:val="24"/>
                <w:szCs w:val="24"/>
                <w:vertAlign w:val="superscript"/>
              </w:rPr>
            </w:pPr>
          </w:p>
        </w:tc>
        <w:tc>
          <w:tcPr>
            <w:tcW w:w="1446" w:type="dxa"/>
            <w:tcBorders>
              <w:top w:val="single" w:color="auto" w:sz="4" w:space="0"/>
              <w:bottom w:val="single" w:color="auto" w:sz="4" w:space="0"/>
            </w:tcBorders>
            <w:vAlign w:val="center"/>
          </w:tcPr>
          <w:p w14:paraId="7285F417">
            <w:pPr>
              <w:keepNext/>
              <w:wordWrap w:val="0"/>
              <w:topLinePunct/>
              <w:adjustRightInd w:val="0"/>
              <w:snapToGrid w:val="0"/>
              <w:jc w:val="center"/>
              <w:rPr>
                <w:rFonts w:ascii="宋体" w:hAnsi="宋体"/>
                <w:bCs/>
                <w:sz w:val="24"/>
                <w:szCs w:val="24"/>
                <w:vertAlign w:val="superscript"/>
              </w:rPr>
            </w:pPr>
          </w:p>
        </w:tc>
        <w:tc>
          <w:tcPr>
            <w:tcW w:w="708" w:type="dxa"/>
            <w:tcBorders>
              <w:top w:val="single" w:color="auto" w:sz="4" w:space="0"/>
            </w:tcBorders>
            <w:vAlign w:val="center"/>
          </w:tcPr>
          <w:p w14:paraId="17F2180F">
            <w:pPr>
              <w:keepNext/>
              <w:wordWrap w:val="0"/>
              <w:topLinePunct/>
              <w:adjustRightInd w:val="0"/>
              <w:snapToGrid w:val="0"/>
              <w:jc w:val="center"/>
              <w:rPr>
                <w:rFonts w:ascii="宋体" w:hAnsi="宋体"/>
                <w:bCs/>
                <w:sz w:val="24"/>
                <w:szCs w:val="24"/>
              </w:rPr>
            </w:pPr>
          </w:p>
        </w:tc>
        <w:tc>
          <w:tcPr>
            <w:tcW w:w="1134" w:type="dxa"/>
            <w:tcBorders>
              <w:top w:val="single" w:color="auto" w:sz="4" w:space="0"/>
            </w:tcBorders>
            <w:vAlign w:val="center"/>
          </w:tcPr>
          <w:p w14:paraId="3D91BB1C">
            <w:pPr>
              <w:keepNext/>
              <w:wordWrap w:val="0"/>
              <w:topLinePunct/>
              <w:adjustRightInd w:val="0"/>
              <w:snapToGrid w:val="0"/>
              <w:jc w:val="center"/>
              <w:rPr>
                <w:rFonts w:ascii="宋体" w:hAnsi="宋体"/>
                <w:bCs/>
                <w:sz w:val="24"/>
                <w:szCs w:val="24"/>
              </w:rPr>
            </w:pPr>
          </w:p>
        </w:tc>
        <w:tc>
          <w:tcPr>
            <w:tcW w:w="1630" w:type="dxa"/>
            <w:tcBorders>
              <w:top w:val="single" w:color="auto" w:sz="4" w:space="0"/>
            </w:tcBorders>
            <w:vAlign w:val="center"/>
          </w:tcPr>
          <w:p w14:paraId="1AC3FBD6">
            <w:pPr>
              <w:keepNext/>
              <w:wordWrap w:val="0"/>
              <w:topLinePunct/>
              <w:adjustRightInd w:val="0"/>
              <w:snapToGrid w:val="0"/>
              <w:jc w:val="center"/>
              <w:rPr>
                <w:rFonts w:ascii="宋体" w:hAnsi="宋体"/>
                <w:bCs/>
                <w:sz w:val="24"/>
                <w:szCs w:val="24"/>
              </w:rPr>
            </w:pPr>
          </w:p>
        </w:tc>
      </w:tr>
      <w:tr w14:paraId="23DB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8989" w:type="dxa"/>
            <w:gridSpan w:val="8"/>
            <w:vAlign w:val="center"/>
          </w:tcPr>
          <w:p w14:paraId="1D496607">
            <w:pPr>
              <w:keepNext/>
              <w:wordWrap w:val="0"/>
              <w:topLinePunct/>
              <w:adjustRightInd w:val="0"/>
              <w:snapToGrid w:val="0"/>
              <w:rPr>
                <w:rFonts w:ascii="宋体" w:hAnsi="宋体"/>
                <w:bCs/>
                <w:sz w:val="24"/>
                <w:szCs w:val="24"/>
              </w:rPr>
            </w:pPr>
            <w:r>
              <w:rPr>
                <w:rFonts w:ascii="宋体" w:hAnsi="宋体"/>
                <w:bCs/>
                <w:sz w:val="24"/>
                <w:szCs w:val="24"/>
              </w:rPr>
              <w:t>创新产品价格合计：</w:t>
            </w:r>
          </w:p>
        </w:tc>
      </w:tr>
    </w:tbl>
    <w:p w14:paraId="471BB235">
      <w:pPr>
        <w:keepNext/>
        <w:wordWrap w:val="0"/>
        <w:topLinePunct/>
        <w:rPr>
          <w:rFonts w:ascii="宋体" w:hAnsi="宋体"/>
          <w:b/>
          <w:kern w:val="0"/>
          <w:sz w:val="24"/>
          <w:szCs w:val="24"/>
        </w:rPr>
      </w:pPr>
    </w:p>
    <w:p w14:paraId="0C906AC2">
      <w:pPr>
        <w:keepNext/>
        <w:wordWrap w:val="0"/>
        <w:topLinePunct/>
        <w:spacing w:line="360" w:lineRule="auto"/>
        <w:rPr>
          <w:rFonts w:ascii="宋体" w:hAnsi="宋体"/>
          <w:bCs/>
          <w:sz w:val="24"/>
          <w:szCs w:val="24"/>
        </w:rPr>
      </w:pPr>
      <w:r>
        <w:rPr>
          <w:rFonts w:ascii="宋体" w:hAnsi="宋体"/>
          <w:bCs/>
          <w:sz w:val="24"/>
          <w:szCs w:val="24"/>
        </w:rPr>
        <w:t>注：</w:t>
      </w:r>
      <w:r>
        <w:rPr>
          <w:rFonts w:hint="eastAsia" w:ascii="宋体" w:hAnsi="宋体"/>
          <w:bCs/>
          <w:sz w:val="24"/>
          <w:szCs w:val="24"/>
        </w:rPr>
        <w:t>投</w:t>
      </w:r>
      <w:r>
        <w:rPr>
          <w:rFonts w:ascii="宋体" w:hAnsi="宋体"/>
          <w:bCs/>
          <w:sz w:val="24"/>
          <w:szCs w:val="24"/>
        </w:rPr>
        <w:t>标人投报创新产品的，需填写此表</w:t>
      </w:r>
      <w:r>
        <w:rPr>
          <w:rFonts w:hint="eastAsia" w:ascii="宋体" w:hAnsi="宋体"/>
          <w:bCs/>
          <w:sz w:val="24"/>
          <w:szCs w:val="24"/>
        </w:rPr>
        <w:t>并</w:t>
      </w:r>
      <w:r>
        <w:rPr>
          <w:rFonts w:ascii="宋体" w:hAnsi="宋体"/>
          <w:bCs/>
          <w:sz w:val="24"/>
          <w:szCs w:val="24"/>
        </w:rPr>
        <w:t>提供《山西省创新产品和服务推荐清单》。</w:t>
      </w:r>
    </w:p>
    <w:p w14:paraId="1B5C3D3D">
      <w:pPr>
        <w:keepNext/>
        <w:wordWrap w:val="0"/>
        <w:topLinePunct/>
        <w:spacing w:line="360" w:lineRule="auto"/>
        <w:jc w:val="left"/>
        <w:rPr>
          <w:rFonts w:ascii="宋体" w:hAnsi="宋体"/>
          <w:b/>
          <w:sz w:val="24"/>
          <w:szCs w:val="24"/>
        </w:rPr>
      </w:pPr>
    </w:p>
    <w:p w14:paraId="3CA61FCE">
      <w:pPr>
        <w:keepNext/>
        <w:wordWrap w:val="0"/>
        <w:topLinePunct/>
        <w:spacing w:line="360" w:lineRule="auto"/>
        <w:jc w:val="center"/>
        <w:rPr>
          <w:rFonts w:ascii="宋体" w:hAnsi="宋体"/>
          <w:b/>
          <w:bCs/>
          <w:kern w:val="0"/>
          <w:sz w:val="24"/>
        </w:rPr>
      </w:pPr>
    </w:p>
    <w:p w14:paraId="4C1F0916">
      <w:pPr>
        <w:keepNext/>
        <w:tabs>
          <w:tab w:val="left" w:pos="1680"/>
        </w:tabs>
        <w:wordWrap w:val="0"/>
        <w:topLinePunct/>
        <w:adjustRightInd w:val="0"/>
        <w:snapToGrid w:val="0"/>
        <w:spacing w:line="360" w:lineRule="auto"/>
        <w:outlineLvl w:val="2"/>
        <w:rPr>
          <w:rFonts w:ascii="宋体" w:hAnsi="宋体" w:cs="宋体"/>
          <w:b/>
          <w:kern w:val="0"/>
          <w:szCs w:val="21"/>
        </w:rPr>
      </w:pPr>
      <w:r>
        <w:rPr>
          <w:b/>
          <w:bCs/>
          <w:kern w:val="0"/>
          <w:sz w:val="36"/>
          <w:szCs w:val="36"/>
        </w:rPr>
        <w:br w:type="page"/>
      </w:r>
      <w:r>
        <w:rPr>
          <w:rFonts w:ascii="宋体" w:hAnsi="宋体" w:cs="宋体"/>
          <w:b/>
          <w:kern w:val="0"/>
          <w:sz w:val="24"/>
          <w:szCs w:val="24"/>
        </w:rPr>
        <w:t>（</w:t>
      </w:r>
      <w:r>
        <w:rPr>
          <w:rFonts w:hint="eastAsia" w:ascii="宋体" w:hAnsi="宋体" w:cs="宋体"/>
          <w:b/>
          <w:kern w:val="0"/>
          <w:sz w:val="24"/>
          <w:szCs w:val="24"/>
        </w:rPr>
        <w:t>九</w:t>
      </w:r>
      <w:r>
        <w:rPr>
          <w:rFonts w:ascii="宋体" w:hAnsi="宋体" w:cs="宋体"/>
          <w:b/>
          <w:kern w:val="0"/>
          <w:sz w:val="24"/>
          <w:szCs w:val="24"/>
        </w:rPr>
        <w:t>）商品包装和快递包装承诺格式（如不涉及，可不提供）</w:t>
      </w:r>
    </w:p>
    <w:p w14:paraId="5DAC765E">
      <w:pPr>
        <w:keepNext/>
        <w:wordWrap w:val="0"/>
        <w:topLinePunct/>
        <w:spacing w:line="480" w:lineRule="exact"/>
        <w:ind w:firstLine="2282" w:firstLineChars="950"/>
        <w:rPr>
          <w:rFonts w:eastAsia="华文中宋"/>
          <w:b/>
          <w:sz w:val="24"/>
        </w:rPr>
      </w:pPr>
    </w:p>
    <w:p w14:paraId="3C45EB23">
      <w:pPr>
        <w:keepNext/>
        <w:wordWrap w:val="0"/>
        <w:topLinePunct/>
        <w:adjustRightInd w:val="0"/>
        <w:snapToGrid w:val="0"/>
        <w:spacing w:line="360" w:lineRule="auto"/>
        <w:jc w:val="center"/>
        <w:rPr>
          <w:b/>
          <w:kern w:val="0"/>
          <w:sz w:val="24"/>
          <w:szCs w:val="21"/>
        </w:rPr>
      </w:pPr>
      <w:r>
        <w:rPr>
          <w:b/>
          <w:kern w:val="0"/>
          <w:sz w:val="24"/>
          <w:szCs w:val="21"/>
        </w:rPr>
        <w:t>商品包装和快递包装承诺</w:t>
      </w:r>
    </w:p>
    <w:p w14:paraId="615A6246">
      <w:pPr>
        <w:pStyle w:val="28"/>
        <w:keepNext/>
        <w:wordWrap w:val="0"/>
        <w:topLinePunct/>
        <w:adjustRightInd w:val="0"/>
        <w:snapToGrid w:val="0"/>
        <w:spacing w:beforeAutospacing="0" w:afterAutospacing="0" w:line="480" w:lineRule="exact"/>
        <w:ind w:firstLine="480" w:firstLineChars="200"/>
        <w:jc w:val="both"/>
        <w:rPr>
          <w:rFonts w:ascii="Times New Roman" w:hAnsi="Times New Roman" w:eastAsia="华文中宋"/>
        </w:rPr>
      </w:pPr>
    </w:p>
    <w:p w14:paraId="6378F8FC">
      <w:pPr>
        <w:keepNext/>
        <w:wordWrap w:val="0"/>
        <w:topLinePunct/>
        <w:spacing w:line="360"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color w:val="000000"/>
          <w:kern w:val="0"/>
          <w:sz w:val="24"/>
          <w:szCs w:val="24"/>
          <w:u w:val="single"/>
        </w:rPr>
        <w:t>采购代理机构名称</w:t>
      </w:r>
      <w:r>
        <w:rPr>
          <w:rFonts w:hint="eastAsia" w:cs="宋体" w:asciiTheme="minorEastAsia" w:hAnsiTheme="minorEastAsia" w:eastAsiaTheme="minorEastAsia"/>
          <w:sz w:val="24"/>
          <w:szCs w:val="24"/>
          <w:u w:val="single"/>
        </w:rPr>
        <w:t xml:space="preserve">  ：</w:t>
      </w:r>
    </w:p>
    <w:p w14:paraId="32F4C86B">
      <w:pPr>
        <w:keepNext/>
        <w:wordWrap w:val="0"/>
        <w:topLinePunct/>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本公司参与</w:t>
      </w:r>
      <w:r>
        <w:rPr>
          <w:rFonts w:hint="eastAsia" w:asciiTheme="minorEastAsia" w:hAnsiTheme="minorEastAsia" w:eastAsiaTheme="minorEastAsia"/>
          <w:kern w:val="0"/>
          <w:sz w:val="24"/>
          <w:szCs w:val="24"/>
        </w:rPr>
        <w:t>贵公司组织的</w:t>
      </w:r>
      <w:r>
        <w:rPr>
          <w:rFonts w:asciiTheme="minorEastAsia" w:hAnsiTheme="minorEastAsia" w:eastAsiaTheme="minorEastAsia"/>
          <w:kern w:val="0"/>
          <w:sz w:val="24"/>
          <w:szCs w:val="24"/>
        </w:rPr>
        <w:t>____________项目（项目编号：____________）的采购活动，现</w:t>
      </w:r>
      <w:r>
        <w:rPr>
          <w:rFonts w:hint="eastAsia" w:asciiTheme="minorEastAsia" w:hAnsiTheme="minorEastAsia" w:eastAsiaTheme="minorEastAsia"/>
          <w:kern w:val="0"/>
          <w:sz w:val="24"/>
          <w:szCs w:val="24"/>
        </w:rPr>
        <w:t>郑重承诺所供货物包装保证符合国家《商品包装政府采购需求标准（试行）》、《快递包装政府采购需求标准（试行）》（财办库〔2020〕123号）包装标准，满足远距离运输、防潮、防震、防锈和防野蛮装卸等情形，确保货物安全无损运抵甲方指定场所</w:t>
      </w:r>
      <w:r>
        <w:rPr>
          <w:rFonts w:asciiTheme="minorEastAsia" w:hAnsiTheme="minorEastAsia" w:eastAsiaTheme="minorEastAsia"/>
          <w:kern w:val="0"/>
          <w:sz w:val="24"/>
          <w:szCs w:val="24"/>
        </w:rPr>
        <w:t>。</w:t>
      </w:r>
    </w:p>
    <w:p w14:paraId="73B987C9">
      <w:pPr>
        <w:pStyle w:val="28"/>
        <w:keepNext/>
        <w:wordWrap w:val="0"/>
        <w:topLinePunct/>
        <w:adjustRightInd w:val="0"/>
        <w:snapToGrid w:val="0"/>
        <w:spacing w:beforeAutospacing="0" w:afterAutospacing="0" w:line="480" w:lineRule="exact"/>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如上述声明不真实，愿意按照政府采购有关法律法规的规定接受处罚。</w:t>
      </w:r>
    </w:p>
    <w:p w14:paraId="2F9B1ED6">
      <w:pPr>
        <w:pStyle w:val="28"/>
        <w:keepNext/>
        <w:wordWrap w:val="0"/>
        <w:topLinePunct/>
        <w:adjustRightInd w:val="0"/>
        <w:snapToGrid w:val="0"/>
        <w:spacing w:beforeAutospacing="0" w:afterAutospacing="0" w:line="480" w:lineRule="exact"/>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特此</w:t>
      </w:r>
      <w:r>
        <w:rPr>
          <w:rFonts w:hint="eastAsia" w:asciiTheme="minorEastAsia" w:hAnsiTheme="minorEastAsia" w:eastAsiaTheme="minorEastAsia"/>
          <w:sz w:val="24"/>
          <w:szCs w:val="24"/>
        </w:rPr>
        <w:t>承诺</w:t>
      </w:r>
    </w:p>
    <w:p w14:paraId="03875FDB">
      <w:pPr>
        <w:keepNext/>
        <w:wordWrap w:val="0"/>
        <w:topLinePunct/>
        <w:snapToGrid w:val="0"/>
        <w:spacing w:line="360" w:lineRule="auto"/>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名称：</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（盖章）</w:t>
      </w:r>
    </w:p>
    <w:p w14:paraId="7B750B67">
      <w:pPr>
        <w:keepNext/>
        <w:wordWrap w:val="0"/>
        <w:topLinePunct/>
        <w:snapToGrid w:val="0"/>
        <w:spacing w:line="360" w:lineRule="auto"/>
        <w:ind w:firstLine="4560" w:firstLineChars="1900"/>
        <w:rPr>
          <w:rFonts w:asciiTheme="minorEastAsia" w:hAnsiTheme="minorEastAsia" w:eastAsiaTheme="minorEastAsia"/>
          <w:sz w:val="24"/>
          <w:szCs w:val="24"/>
        </w:rPr>
      </w:pPr>
      <w:r>
        <w:rPr>
          <w:rFonts w:asciiTheme="minorEastAsia" w:hAnsiTheme="minorEastAsia" w:eastAsiaTheme="minorEastAsia"/>
          <w:sz w:val="24"/>
          <w:szCs w:val="24"/>
        </w:rPr>
        <w:t>日      期：</w:t>
      </w:r>
    </w:p>
    <w:p w14:paraId="5A516884">
      <w:pPr>
        <w:shd w:val="clear"/>
        <w:spacing w:line="360" w:lineRule="auto"/>
        <w:ind w:firstLine="5045" w:firstLineChars="2100"/>
        <w:rPr>
          <w:rFonts w:hint="eastAsia" w:ascii="宋体" w:hAnsi="宋体" w:eastAsia="宋体" w:cs="宋体"/>
          <w:b/>
          <w:color w:val="000000"/>
          <w:kern w:val="0"/>
          <w:sz w:val="24"/>
          <w:szCs w:val="24"/>
          <w:highlight w:val="none"/>
        </w:rPr>
      </w:pPr>
    </w:p>
    <w:p w14:paraId="6EC48D5B">
      <w:pPr>
        <w:shd w:val="clear"/>
        <w:rPr>
          <w:rFonts w:hint="eastAsia" w:ascii="宋体" w:hAnsi="宋体" w:eastAsia="宋体" w:cs="宋体"/>
          <w:sz w:val="24"/>
          <w:szCs w:val="24"/>
          <w:highlight w:val="none"/>
        </w:rPr>
      </w:pPr>
      <w:bookmarkStart w:id="101" w:name="_Toc9027"/>
      <w:bookmarkStart w:id="102" w:name="_Toc117270094"/>
    </w:p>
    <w:p w14:paraId="3C188BFF">
      <w:pPr>
        <w:shd w:val="clear"/>
        <w:rPr>
          <w:rFonts w:hint="eastAsia" w:ascii="宋体" w:hAnsi="宋体" w:eastAsia="宋体" w:cs="宋体"/>
          <w:highlight w:val="none"/>
        </w:rPr>
      </w:pPr>
    </w:p>
    <w:p w14:paraId="58C1E967">
      <w:pPr>
        <w:shd w:val="clear"/>
        <w:rPr>
          <w:rFonts w:hint="eastAsia" w:ascii="宋体" w:hAnsi="宋体" w:eastAsia="宋体" w:cs="宋体"/>
          <w:highlight w:val="none"/>
        </w:rPr>
      </w:pPr>
    </w:p>
    <w:p w14:paraId="4ADC5A60">
      <w:pPr>
        <w:shd w:val="clear"/>
        <w:rPr>
          <w:rFonts w:hint="eastAsia" w:ascii="宋体" w:hAnsi="宋体" w:eastAsia="宋体" w:cs="宋体"/>
          <w:highlight w:val="none"/>
        </w:rPr>
      </w:pPr>
    </w:p>
    <w:p w14:paraId="73615691">
      <w:pPr>
        <w:shd w:val="clear"/>
        <w:rPr>
          <w:rFonts w:hint="eastAsia" w:ascii="宋体" w:hAnsi="宋体" w:eastAsia="宋体" w:cs="宋体"/>
          <w:highlight w:val="none"/>
        </w:rPr>
      </w:pPr>
    </w:p>
    <w:p w14:paraId="4C883494">
      <w:pPr>
        <w:shd w:val="clear"/>
        <w:rPr>
          <w:rFonts w:hint="eastAsia" w:ascii="宋体" w:hAnsi="宋体" w:eastAsia="宋体" w:cs="宋体"/>
          <w:highlight w:val="none"/>
        </w:rPr>
      </w:pPr>
    </w:p>
    <w:p w14:paraId="0902B8F6">
      <w:pPr>
        <w:shd w:val="clear"/>
        <w:rPr>
          <w:rFonts w:hint="eastAsia" w:ascii="宋体" w:hAnsi="宋体" w:eastAsia="宋体" w:cs="宋体"/>
          <w:highlight w:val="none"/>
        </w:rPr>
      </w:pPr>
    </w:p>
    <w:p w14:paraId="4E788E48">
      <w:pPr>
        <w:shd w:val="clear"/>
        <w:rPr>
          <w:rFonts w:hint="eastAsia" w:ascii="宋体" w:hAnsi="宋体" w:eastAsia="宋体" w:cs="宋体"/>
          <w:highlight w:val="none"/>
        </w:rPr>
      </w:pPr>
    </w:p>
    <w:p w14:paraId="5676733A">
      <w:pPr>
        <w:pStyle w:val="13"/>
        <w:shd w:val="clear"/>
        <w:rPr>
          <w:rFonts w:hint="eastAsia" w:ascii="宋体" w:hAnsi="宋体" w:eastAsia="宋体" w:cs="宋体"/>
          <w:highlight w:val="none"/>
        </w:rPr>
      </w:pPr>
    </w:p>
    <w:p w14:paraId="2C2A295A">
      <w:pPr>
        <w:pStyle w:val="13"/>
        <w:shd w:val="clear"/>
        <w:rPr>
          <w:rFonts w:hint="eastAsia" w:ascii="宋体" w:hAnsi="宋体" w:eastAsia="宋体" w:cs="宋体"/>
          <w:highlight w:val="none"/>
        </w:rPr>
      </w:pPr>
    </w:p>
    <w:p w14:paraId="2DE89C71">
      <w:pPr>
        <w:pStyle w:val="13"/>
        <w:shd w:val="clear"/>
        <w:rPr>
          <w:rFonts w:hint="eastAsia" w:ascii="宋体" w:hAnsi="宋体" w:eastAsia="宋体" w:cs="宋体"/>
          <w:highlight w:val="none"/>
        </w:rPr>
      </w:pPr>
    </w:p>
    <w:p w14:paraId="28CAEE15">
      <w:pPr>
        <w:pStyle w:val="13"/>
        <w:shd w:val="clear"/>
        <w:rPr>
          <w:rFonts w:hint="eastAsia" w:ascii="宋体" w:hAnsi="宋体" w:eastAsia="宋体" w:cs="宋体"/>
          <w:highlight w:val="none"/>
        </w:rPr>
      </w:pPr>
    </w:p>
    <w:p w14:paraId="46CFE4A1">
      <w:pPr>
        <w:pStyle w:val="13"/>
        <w:shd w:val="clear"/>
        <w:rPr>
          <w:rFonts w:hint="eastAsia" w:ascii="宋体" w:hAnsi="宋体" w:eastAsia="宋体" w:cs="宋体"/>
          <w:highlight w:val="none"/>
        </w:rPr>
      </w:pPr>
    </w:p>
    <w:p w14:paraId="13906103">
      <w:pPr>
        <w:pStyle w:val="13"/>
        <w:shd w:val="clear"/>
        <w:rPr>
          <w:rFonts w:hint="eastAsia" w:ascii="宋体" w:hAnsi="宋体" w:eastAsia="宋体" w:cs="宋体"/>
          <w:highlight w:val="none"/>
        </w:rPr>
      </w:pPr>
    </w:p>
    <w:p w14:paraId="796B9034">
      <w:pPr>
        <w:pStyle w:val="13"/>
        <w:shd w:val="clear"/>
        <w:rPr>
          <w:rFonts w:hint="eastAsia" w:ascii="宋体" w:hAnsi="宋体" w:eastAsia="宋体" w:cs="宋体"/>
          <w:highlight w:val="none"/>
        </w:rPr>
      </w:pPr>
    </w:p>
    <w:p w14:paraId="357F60BB">
      <w:pPr>
        <w:pStyle w:val="13"/>
        <w:shd w:val="clear"/>
        <w:rPr>
          <w:rFonts w:hint="eastAsia" w:ascii="宋体" w:hAnsi="宋体" w:eastAsia="宋体" w:cs="宋体"/>
          <w:highlight w:val="none"/>
        </w:rPr>
      </w:pPr>
    </w:p>
    <w:p w14:paraId="5202BFDC">
      <w:pPr>
        <w:pStyle w:val="13"/>
        <w:shd w:val="clear"/>
        <w:rPr>
          <w:rFonts w:hint="eastAsia" w:ascii="宋体" w:hAnsi="宋体" w:eastAsia="宋体" w:cs="宋体"/>
          <w:highlight w:val="none"/>
        </w:rPr>
      </w:pPr>
    </w:p>
    <w:p w14:paraId="74B83EF6">
      <w:pPr>
        <w:pStyle w:val="13"/>
        <w:shd w:val="clear"/>
        <w:rPr>
          <w:rFonts w:hint="eastAsia" w:ascii="宋体" w:hAnsi="宋体" w:eastAsia="宋体" w:cs="宋体"/>
          <w:highlight w:val="none"/>
        </w:rPr>
      </w:pPr>
    </w:p>
    <w:p w14:paraId="2A0CE560">
      <w:pPr>
        <w:pStyle w:val="13"/>
        <w:shd w:val="clear"/>
        <w:rPr>
          <w:rFonts w:hint="eastAsia" w:ascii="宋体" w:hAnsi="宋体" w:eastAsia="宋体" w:cs="宋体"/>
          <w:highlight w:val="none"/>
        </w:rPr>
      </w:pPr>
    </w:p>
    <w:p w14:paraId="0602F89A">
      <w:pPr>
        <w:shd w:val="clear"/>
        <w:rPr>
          <w:rFonts w:hint="eastAsia" w:ascii="宋体" w:hAnsi="宋体" w:eastAsia="宋体" w:cs="宋体"/>
          <w:highlight w:val="none"/>
        </w:rPr>
      </w:pPr>
    </w:p>
    <w:p w14:paraId="27825AD6">
      <w:pPr>
        <w:shd w:val="clear"/>
        <w:rPr>
          <w:rFonts w:hint="eastAsia" w:ascii="宋体" w:hAnsi="宋体" w:eastAsia="宋体" w:cs="宋体"/>
          <w:highlight w:val="none"/>
        </w:rPr>
      </w:pPr>
    </w:p>
    <w:p w14:paraId="410D94F9">
      <w:pPr>
        <w:shd w:val="clear"/>
        <w:rPr>
          <w:rFonts w:hint="eastAsia" w:ascii="宋体" w:hAnsi="宋体" w:eastAsia="宋体" w:cs="宋体"/>
          <w:highlight w:val="none"/>
        </w:rPr>
      </w:pPr>
    </w:p>
    <w:p w14:paraId="18ADE0CC">
      <w:pPr>
        <w:rPr>
          <w:rFonts w:hint="eastAsia" w:ascii="宋体" w:hAnsi="宋体" w:eastAsia="宋体" w:cs="宋体"/>
          <w:b/>
          <w:sz w:val="32"/>
          <w:szCs w:val="32"/>
          <w:highlight w:val="none"/>
        </w:rPr>
      </w:pPr>
    </w:p>
    <w:p w14:paraId="50A0D861">
      <w:pPr>
        <w:pStyle w:val="27"/>
        <w:widowControl w:val="0"/>
        <w:shd w:val="clear"/>
        <w:spacing w:before="120" w:beforeLines="50" w:after="120" w:afterLines="50" w:line="440" w:lineRule="exact"/>
        <w:jc w:val="center"/>
        <w:outlineLvl w:val="0"/>
        <w:rPr>
          <w:rFonts w:hint="eastAsia" w:ascii="宋体" w:hAnsi="宋体" w:eastAsia="宋体" w:cs="宋体"/>
          <w:b/>
          <w:sz w:val="32"/>
          <w:szCs w:val="32"/>
          <w:highlight w:val="none"/>
        </w:rPr>
      </w:pPr>
      <w:bookmarkStart w:id="103" w:name="_Toc6404"/>
      <w:r>
        <w:rPr>
          <w:rFonts w:hint="eastAsia" w:ascii="宋体" w:hAnsi="宋体" w:eastAsia="宋体" w:cs="宋体"/>
          <w:b/>
          <w:sz w:val="32"/>
          <w:szCs w:val="32"/>
          <w:highlight w:val="none"/>
        </w:rPr>
        <w:t>第八部分  相关附件</w:t>
      </w:r>
      <w:bookmarkEnd w:id="101"/>
      <w:bookmarkEnd w:id="102"/>
      <w:bookmarkEnd w:id="103"/>
    </w:p>
    <w:p w14:paraId="4EE57001">
      <w:pPr>
        <w:widowControl/>
        <w:shd w:val="clear"/>
        <w:snapToGrid w:val="0"/>
        <w:spacing w:line="360" w:lineRule="auto"/>
        <w:rPr>
          <w:rFonts w:hint="eastAsia" w:ascii="宋体" w:hAnsi="宋体" w:eastAsia="宋体" w:cs="宋体"/>
          <w:b/>
          <w:kern w:val="0"/>
          <w:sz w:val="24"/>
          <w:highlight w:val="none"/>
        </w:rPr>
      </w:pPr>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：专业担保机构出具的投标担保函（参考格式）：</w:t>
      </w:r>
    </w:p>
    <w:p w14:paraId="2DE96FE1">
      <w:pPr>
        <w:shd w:val="clear"/>
        <w:jc w:val="center"/>
        <w:rPr>
          <w:rFonts w:hint="eastAsia" w:ascii="宋体" w:hAnsi="宋体" w:eastAsia="宋体" w:cs="宋体"/>
          <w:sz w:val="24"/>
          <w:highlight w:val="none"/>
        </w:rPr>
      </w:pPr>
      <w:r>
        <w:rPr>
          <w:rFonts w:hint="eastAsia" w:ascii="宋体" w:hAnsi="宋体" w:eastAsia="宋体" w:cs="宋体"/>
          <w:b/>
          <w:bCs/>
          <w:sz w:val="24"/>
          <w:highlight w:val="none"/>
        </w:rPr>
        <w:t>投标担保函</w:t>
      </w:r>
    </w:p>
    <w:p w14:paraId="78DA1941">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（采购人或采购代理机构）：</w:t>
      </w:r>
    </w:p>
    <w:p w14:paraId="3E63773E">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鉴于某公司（以下简称”投标人“）拟参加</w:t>
      </w:r>
      <w:r>
        <w:rPr>
          <w:rFonts w:hint="eastAsia" w:ascii="宋体" w:hAnsi="宋体" w:eastAsia="宋体" w:cs="宋体"/>
          <w:sz w:val="24"/>
          <w:highlight w:val="none"/>
          <w:u w:val="single"/>
        </w:rPr>
        <w:t xml:space="preserve"> 项目（项目名称）</w:t>
      </w:r>
      <w:r>
        <w:rPr>
          <w:rFonts w:hint="eastAsia" w:ascii="宋体" w:hAnsi="宋体" w:eastAsia="宋体" w:cs="宋体"/>
          <w:sz w:val="24"/>
          <w:highlight w:val="none"/>
        </w:rPr>
        <w:t>编号</w:t>
      </w:r>
      <w:r>
        <w:rPr>
          <w:rFonts w:hint="eastAsia" w:ascii="宋体" w:hAnsi="宋体" w:eastAsia="宋体" w:cs="宋体"/>
          <w:sz w:val="24"/>
          <w:highlight w:val="none"/>
          <w:u w:val="single"/>
        </w:rPr>
        <w:t>（采购编号：）</w:t>
      </w:r>
      <w:r>
        <w:rPr>
          <w:rFonts w:hint="eastAsia" w:ascii="宋体" w:hAnsi="宋体" w:eastAsia="宋体" w:cs="宋体"/>
          <w:sz w:val="24"/>
          <w:highlight w:val="none"/>
        </w:rPr>
        <w:t>（以下简称“本项目”）投标，根据本项目招标文件，投标人参加投标时应向你方缴纳投标保证金，且可以投标担保函的形式缴纳投标保证金。应投标人的申请，我方以保证的方式向你方提供如下投标保证金担保：</w:t>
      </w:r>
    </w:p>
    <w:p w14:paraId="0A6F036B">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一、保证责任的情形及保证金额：</w:t>
      </w:r>
    </w:p>
    <w:p w14:paraId="43DE9A69">
      <w:pPr>
        <w:numPr>
          <w:ilvl w:val="0"/>
          <w:numId w:val="10"/>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在投标人出现下列情形之一时，我方承担保证责任：</w:t>
      </w:r>
    </w:p>
    <w:p w14:paraId="369772DB">
      <w:pPr>
        <w:numPr>
          <w:ilvl w:val="0"/>
          <w:numId w:val="11"/>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中标后投标人无正当理由不与采购人或者采购代理机构签订《政府采购合同》；</w:t>
      </w:r>
    </w:p>
    <w:p w14:paraId="65570AD9">
      <w:pPr>
        <w:numPr>
          <w:ilvl w:val="0"/>
          <w:numId w:val="11"/>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招标文件规定的投标人应当缴纳保证金的其他情形。</w:t>
      </w:r>
    </w:p>
    <w:p w14:paraId="43109431">
      <w:pPr>
        <w:numPr>
          <w:ilvl w:val="0"/>
          <w:numId w:val="10"/>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我方承担保证责任的最高金额为人民币X元（大写X），即本项目的投标保证金金额。</w:t>
      </w:r>
    </w:p>
    <w:p w14:paraId="14117136">
      <w:pPr>
        <w:numPr>
          <w:ilvl w:val="0"/>
          <w:numId w:val="12"/>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保证的方式及保证期间</w:t>
      </w:r>
    </w:p>
    <w:p w14:paraId="18ECBBEB">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我方保证的方式为：连带责任保证。</w:t>
      </w:r>
    </w:p>
    <w:p w14:paraId="131592D5">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我方的保证期间为：自本保函生效之日起X个月止。</w:t>
      </w:r>
    </w:p>
    <w:p w14:paraId="23A99E63">
      <w:pPr>
        <w:numPr>
          <w:ilvl w:val="0"/>
          <w:numId w:val="12"/>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承担保证责任的程序</w:t>
      </w:r>
    </w:p>
    <w:p w14:paraId="76E79A43">
      <w:pPr>
        <w:numPr>
          <w:ilvl w:val="0"/>
          <w:numId w:val="13"/>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51D8C937">
      <w:pPr>
        <w:numPr>
          <w:ilvl w:val="0"/>
          <w:numId w:val="13"/>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我方在收到索赔通知及相关证明材料后，在X个工作日内进行审查，符合应承担保证责任情形的，我方应按照你方的要求代投标人向你方支付投标保证金。</w:t>
      </w:r>
    </w:p>
    <w:p w14:paraId="434E3B9F">
      <w:pPr>
        <w:numPr>
          <w:ilvl w:val="0"/>
          <w:numId w:val="12"/>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保证责任的终止</w:t>
      </w:r>
    </w:p>
    <w:p w14:paraId="6E179912">
      <w:pPr>
        <w:numPr>
          <w:ilvl w:val="0"/>
          <w:numId w:val="14"/>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保证期间届满你方未向我方书面主张保证责任的，自保证期间届满次日起，我方保证责任自动终止。</w:t>
      </w:r>
    </w:p>
    <w:p w14:paraId="5E7C1898">
      <w:pPr>
        <w:numPr>
          <w:ilvl w:val="0"/>
          <w:numId w:val="14"/>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我方按照本保函向你贵方履行了保证责任后，自我方向你贵方支付款项（支付款项从我方账户划出）之日起，保证责任终止。</w:t>
      </w:r>
    </w:p>
    <w:p w14:paraId="50206C08">
      <w:pPr>
        <w:numPr>
          <w:ilvl w:val="0"/>
          <w:numId w:val="14"/>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按照法律法规的规定或出现我方保证责任终止的其它情形的，我方在本保函项下的保证责任亦终止。</w:t>
      </w:r>
    </w:p>
    <w:p w14:paraId="76B9C200">
      <w:pPr>
        <w:numPr>
          <w:ilvl w:val="0"/>
          <w:numId w:val="12"/>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免责条款</w:t>
      </w:r>
      <w:r>
        <w:rPr>
          <w:rFonts w:hint="eastAsia" w:ascii="宋体" w:hAnsi="宋体" w:eastAsia="宋体" w:cs="宋体"/>
          <w:sz w:val="24"/>
          <w:highlight w:val="none"/>
        </w:rPr>
        <w:br w:type="textWrapping"/>
      </w:r>
      <w:r>
        <w:rPr>
          <w:rFonts w:hint="eastAsia" w:ascii="宋体" w:hAnsi="宋体" w:eastAsia="宋体" w:cs="宋体"/>
          <w:sz w:val="24"/>
          <w:highlight w:val="none"/>
        </w:rPr>
        <w:t>1．依照法律规定或你方与投标人的另行约定，全部或者部分免除投标人投标保证金义务时，我方亦免除相应的保证责任。</w:t>
      </w:r>
    </w:p>
    <w:p w14:paraId="49BDB6E2">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2.因你方原因致使投标人发生本保函第一条第（一）款约定情形的，我方不承担保证责任。</w:t>
      </w:r>
    </w:p>
    <w:p w14:paraId="20DFFF31">
      <w:pPr>
        <w:numPr>
          <w:ilvl w:val="0"/>
          <w:numId w:val="13"/>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因不可抗力造成投标人发生本保函第一条约定情形的，我方不承担保证责任。</w:t>
      </w:r>
    </w:p>
    <w:p w14:paraId="16625AD9">
      <w:pPr>
        <w:numPr>
          <w:ilvl w:val="0"/>
          <w:numId w:val="13"/>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你方或其他有权机关对招标文件进行任何澄清或修改，加重我方保证责任的，我方对加重部分不承担保证责任，但该澄清或修改经我方事先书面同意的除外。</w:t>
      </w:r>
    </w:p>
    <w:p w14:paraId="2C1640E6">
      <w:pPr>
        <w:numPr>
          <w:ilvl w:val="0"/>
          <w:numId w:val="12"/>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争议的解决</w:t>
      </w:r>
    </w:p>
    <w:p w14:paraId="18277BED">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因本保函发生的纠纷，由你我双方协商解决，协商不成的，通过诉讼程序解决，诉讼管辖地法院为深圳法院。</w:t>
      </w:r>
    </w:p>
    <w:p w14:paraId="12DDA449">
      <w:pPr>
        <w:numPr>
          <w:ilvl w:val="0"/>
          <w:numId w:val="12"/>
        </w:num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保函的生效</w:t>
      </w:r>
    </w:p>
    <w:p w14:paraId="3EEF2B2C">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本保函自我方加盖公章之日起生效。</w:t>
      </w:r>
    </w:p>
    <w:p w14:paraId="43B57D95">
      <w:pPr>
        <w:shd w:val="clear"/>
        <w:spacing w:line="360" w:lineRule="auto"/>
        <w:ind w:firstLine="5520" w:firstLineChars="2300"/>
        <w:rPr>
          <w:rFonts w:hint="eastAsia" w:ascii="宋体" w:hAnsi="宋体" w:eastAsia="宋体" w:cs="宋体"/>
          <w:sz w:val="24"/>
          <w:highlight w:val="none"/>
        </w:rPr>
      </w:pPr>
      <w:r>
        <w:rPr>
          <w:rFonts w:hint="eastAsia" w:ascii="宋体" w:hAnsi="宋体" w:eastAsia="宋体" w:cs="宋体"/>
          <w:sz w:val="24"/>
          <w:highlight w:val="none"/>
        </w:rPr>
        <w:t>保证人：（公章）</w:t>
      </w:r>
    </w:p>
    <w:p w14:paraId="51A15030">
      <w:pPr>
        <w:shd w:val="clear"/>
        <w:spacing w:line="360" w:lineRule="auto"/>
        <w:ind w:firstLine="5520" w:firstLineChars="2300"/>
        <w:rPr>
          <w:rFonts w:hint="eastAsia" w:ascii="宋体" w:hAnsi="宋体" w:eastAsia="宋体" w:cs="宋体"/>
          <w:sz w:val="24"/>
          <w:highlight w:val="none"/>
        </w:rPr>
      </w:pPr>
      <w:r>
        <w:rPr>
          <w:rFonts w:hint="eastAsia" w:ascii="宋体" w:hAnsi="宋体" w:eastAsia="宋体" w:cs="宋体"/>
          <w:sz w:val="24"/>
          <w:highlight w:val="none"/>
        </w:rPr>
        <w:t>年   月   日</w:t>
      </w:r>
    </w:p>
    <w:p w14:paraId="2EE2868B">
      <w:pPr>
        <w:widowControl/>
        <w:shd w:val="clear"/>
        <w:snapToGrid w:val="0"/>
        <w:spacing w:line="360" w:lineRule="auto"/>
        <w:rPr>
          <w:rFonts w:hint="eastAsia" w:ascii="宋体" w:hAnsi="宋体" w:eastAsia="宋体" w:cs="宋体"/>
          <w:b/>
          <w:kern w:val="0"/>
          <w:sz w:val="24"/>
          <w:highlight w:val="none"/>
        </w:rPr>
      </w:pPr>
    </w:p>
    <w:p w14:paraId="403AF1B1">
      <w:pPr>
        <w:widowControl/>
        <w:shd w:val="clear"/>
        <w:jc w:val="left"/>
        <w:rPr>
          <w:rFonts w:hint="eastAsia" w:ascii="宋体" w:hAnsi="宋体" w:eastAsia="宋体" w:cs="宋体"/>
          <w:b/>
          <w:bCs/>
          <w:sz w:val="24"/>
          <w:highlight w:val="none"/>
        </w:rPr>
      </w:pPr>
    </w:p>
    <w:p w14:paraId="413EB384">
      <w:pPr>
        <w:widowControl/>
        <w:shd w:val="clear"/>
        <w:jc w:val="left"/>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0279C23B">
      <w:pPr>
        <w:shd w:val="clear"/>
        <w:jc w:val="left"/>
        <w:rPr>
          <w:rFonts w:hint="eastAsia" w:ascii="宋体" w:hAnsi="宋体" w:eastAsia="宋体" w:cs="宋体"/>
          <w:b/>
          <w:bCs/>
          <w:sz w:val="24"/>
          <w:highlight w:val="none"/>
        </w:rPr>
      </w:pPr>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：履约担保函（供参考）</w:t>
      </w:r>
    </w:p>
    <w:p w14:paraId="670620A9">
      <w:pPr>
        <w:pStyle w:val="27"/>
        <w:shd w:val="clear"/>
        <w:rPr>
          <w:rFonts w:hint="eastAsia" w:ascii="宋体" w:hAnsi="宋体" w:eastAsia="宋体" w:cs="宋体"/>
          <w:b/>
          <w:color w:val="000000"/>
          <w:sz w:val="24"/>
          <w:szCs w:val="24"/>
          <w:highlight w:val="none"/>
        </w:rPr>
      </w:pPr>
    </w:p>
    <w:p w14:paraId="35F6F69C">
      <w:pPr>
        <w:shd w:val="clear"/>
        <w:jc w:val="center"/>
        <w:rPr>
          <w:rFonts w:hint="eastAsia" w:ascii="宋体" w:hAnsi="宋体" w:eastAsia="宋体" w:cs="宋体"/>
          <w:b/>
          <w:bCs/>
          <w:color w:val="000000"/>
          <w:kern w:val="0"/>
          <w:sz w:val="24"/>
          <w:highlight w:val="none"/>
          <w:lang w:bidi="en-US"/>
        </w:rPr>
      </w:pPr>
      <w:bookmarkStart w:id="104" w:name="bookmark1"/>
      <w:bookmarkStart w:id="105" w:name="bookmark0"/>
      <w:bookmarkStart w:id="106" w:name="bookmark2"/>
      <w:r>
        <w:rPr>
          <w:rFonts w:hint="eastAsia" w:ascii="宋体" w:hAnsi="宋体" w:eastAsia="宋体" w:cs="宋体"/>
          <w:b/>
          <w:bCs/>
          <w:color w:val="000000"/>
          <w:kern w:val="0"/>
          <w:sz w:val="24"/>
          <w:highlight w:val="none"/>
          <w:u w:val="single"/>
          <w:lang w:bidi="en-US"/>
        </w:rPr>
        <w:t xml:space="preserve">           </w:t>
      </w:r>
      <w:r>
        <w:rPr>
          <w:rFonts w:hint="eastAsia" w:ascii="宋体" w:hAnsi="宋体" w:eastAsia="宋体" w:cs="宋体"/>
          <w:b/>
          <w:bCs/>
          <w:color w:val="000000"/>
          <w:kern w:val="0"/>
          <w:sz w:val="24"/>
          <w:highlight w:val="none"/>
          <w:lang w:bidi="en-US"/>
        </w:rPr>
        <w:t>项目履约担保函</w:t>
      </w:r>
      <w:bookmarkEnd w:id="104"/>
      <w:bookmarkEnd w:id="105"/>
      <w:bookmarkEnd w:id="106"/>
    </w:p>
    <w:p w14:paraId="47E820D8">
      <w:pPr>
        <w:shd w:val="clear"/>
        <w:spacing w:line="360" w:lineRule="auto"/>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编号：</w:t>
      </w:r>
    </w:p>
    <w:p w14:paraId="49B8EC6C">
      <w:pPr>
        <w:shd w:val="clear"/>
        <w:spacing w:line="360" w:lineRule="auto"/>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u w:val="single"/>
          <w:lang w:bidi="en-US"/>
        </w:rPr>
        <w:t>（采购人）</w:t>
      </w:r>
      <w:r>
        <w:rPr>
          <w:rFonts w:hint="eastAsia" w:ascii="宋体" w:hAnsi="宋体" w:eastAsia="宋体" w:cs="宋体"/>
          <w:color w:val="000000"/>
          <w:kern w:val="0"/>
          <w:sz w:val="24"/>
          <w:highlight w:val="none"/>
          <w:lang w:bidi="en-US"/>
        </w:rPr>
        <w:t>：</w:t>
      </w:r>
    </w:p>
    <w:p w14:paraId="79881DFC">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鉴于你方与</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（以下简称投标人）于—年—月—日签定编号为</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的《</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政府采购合同》（以下简称主合同），且依据该合同的约定，投标人应在</w:t>
      </w:r>
      <w:r>
        <w:rPr>
          <w:rFonts w:hint="eastAsia" w:ascii="宋体" w:hAnsi="宋体" w:eastAsia="宋体" w:cs="宋体"/>
          <w:color w:val="000000"/>
          <w:kern w:val="0"/>
          <w:sz w:val="24"/>
          <w:highlight w:val="none"/>
          <w:lang w:val="zh-CN" w:bidi="en-US"/>
        </w:rPr>
        <w:t>—</w:t>
      </w:r>
      <w:r>
        <w:rPr>
          <w:rFonts w:hint="eastAsia" w:ascii="宋体" w:hAnsi="宋体" w:eastAsia="宋体" w:cs="宋体"/>
          <w:color w:val="000000"/>
          <w:kern w:val="0"/>
          <w:sz w:val="24"/>
          <w:highlight w:val="none"/>
          <w:lang w:bidi="en-US"/>
        </w:rPr>
        <w:t xml:space="preserve">年 </w:t>
      </w:r>
      <w:r>
        <w:rPr>
          <w:rFonts w:hint="eastAsia" w:ascii="宋体" w:hAnsi="宋体" w:eastAsia="宋体" w:cs="宋体"/>
          <w:color w:val="000000"/>
          <w:kern w:val="0"/>
          <w:sz w:val="24"/>
          <w:highlight w:val="none"/>
          <w:lang w:val="zh-CN" w:bidi="en-US"/>
        </w:rPr>
        <w:t>—</w:t>
      </w:r>
      <w:r>
        <w:rPr>
          <w:rFonts w:hint="eastAsia" w:ascii="宋体" w:hAnsi="宋体" w:eastAsia="宋体" w:cs="宋体"/>
          <w:color w:val="000000"/>
          <w:kern w:val="0"/>
          <w:sz w:val="24"/>
          <w:highlight w:val="none"/>
          <w:lang w:bidi="en-US"/>
        </w:rPr>
        <w:t>月</w:t>
      </w:r>
      <w:r>
        <w:rPr>
          <w:rFonts w:hint="eastAsia" w:ascii="宋体" w:hAnsi="宋体" w:eastAsia="宋体" w:cs="宋体"/>
          <w:color w:val="000000"/>
          <w:kern w:val="0"/>
          <w:sz w:val="24"/>
          <w:highlight w:val="none"/>
          <w:lang w:val="zh-CN" w:bidi="en-US"/>
        </w:rPr>
        <w:t>—</w:t>
      </w:r>
      <w:r>
        <w:rPr>
          <w:rFonts w:hint="eastAsia" w:ascii="宋体" w:hAnsi="宋体" w:eastAsia="宋体" w:cs="宋体"/>
          <w:color w:val="000000"/>
          <w:kern w:val="0"/>
          <w:sz w:val="24"/>
          <w:highlight w:val="none"/>
          <w:lang w:bidi="en-US"/>
        </w:rPr>
        <w:t>日前向你方交纳履约保证金，且可以履约担保函的形式交纳履约保证金。应投保人的申请，我方以保证的方式向你方提供如下履约保证金担保：</w:t>
      </w:r>
    </w:p>
    <w:p w14:paraId="48BC6B12">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07" w:name="bookmark3"/>
      <w:r>
        <w:rPr>
          <w:rFonts w:hint="eastAsia" w:ascii="宋体" w:hAnsi="宋体" w:eastAsia="宋体" w:cs="宋体"/>
          <w:color w:val="000000"/>
          <w:kern w:val="0"/>
          <w:sz w:val="24"/>
          <w:highlight w:val="none"/>
          <w:lang w:bidi="en-US"/>
        </w:rPr>
        <w:t>一</w:t>
      </w:r>
      <w:bookmarkEnd w:id="107"/>
      <w:r>
        <w:rPr>
          <w:rFonts w:hint="eastAsia" w:ascii="宋体" w:hAnsi="宋体" w:eastAsia="宋体" w:cs="宋体"/>
          <w:color w:val="000000"/>
          <w:kern w:val="0"/>
          <w:sz w:val="24"/>
          <w:highlight w:val="none"/>
          <w:lang w:bidi="en-US"/>
        </w:rPr>
        <w:t>、保证责任的情形及保证金额</w:t>
      </w:r>
    </w:p>
    <w:p w14:paraId="48DEEDCC">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08" w:name="bookmark4"/>
      <w:r>
        <w:rPr>
          <w:rFonts w:hint="eastAsia" w:ascii="宋体" w:hAnsi="宋体" w:eastAsia="宋体" w:cs="宋体"/>
          <w:color w:val="000000"/>
          <w:kern w:val="0"/>
          <w:sz w:val="24"/>
          <w:highlight w:val="none"/>
          <w:lang w:bidi="en-US"/>
        </w:rPr>
        <w:t>（</w:t>
      </w:r>
      <w:bookmarkEnd w:id="108"/>
      <w:r>
        <w:rPr>
          <w:rFonts w:hint="eastAsia" w:ascii="宋体" w:hAnsi="宋体" w:eastAsia="宋体" w:cs="宋体"/>
          <w:color w:val="000000"/>
          <w:kern w:val="0"/>
          <w:sz w:val="24"/>
          <w:highlight w:val="none"/>
          <w:lang w:bidi="en-US"/>
        </w:rPr>
        <w:t>一）在投标人出现下列情形之一时，我方承担保证责任：</w:t>
      </w:r>
    </w:p>
    <w:p w14:paraId="726E3470">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09" w:name="bookmark5"/>
      <w:bookmarkEnd w:id="109"/>
      <w:r>
        <w:rPr>
          <w:rFonts w:hint="eastAsia" w:ascii="宋体" w:hAnsi="宋体" w:eastAsia="宋体" w:cs="宋体"/>
          <w:color w:val="000000"/>
          <w:kern w:val="0"/>
          <w:sz w:val="24"/>
          <w:highlight w:val="none"/>
          <w:lang w:bidi="en-US"/>
        </w:rPr>
        <w:t>1.将中标项目转让给他人，或者在投标文件中未说明，且未经采购人同意，将中标项目分包给他人的；</w:t>
      </w:r>
    </w:p>
    <w:p w14:paraId="195DED0D">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0" w:name="bookmark6"/>
      <w:bookmarkEnd w:id="110"/>
      <w:r>
        <w:rPr>
          <w:rFonts w:hint="eastAsia" w:ascii="宋体" w:hAnsi="宋体" w:eastAsia="宋体" w:cs="宋体"/>
          <w:color w:val="000000"/>
          <w:kern w:val="0"/>
          <w:sz w:val="24"/>
          <w:highlight w:val="none"/>
          <w:lang w:bidi="en-US"/>
        </w:rPr>
        <w:t>2.主合同约定的应当缴纳履约保证金的情形：</w:t>
      </w:r>
    </w:p>
    <w:p w14:paraId="6AB14977">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1" w:name="bookmark7"/>
      <w:r>
        <w:rPr>
          <w:rFonts w:hint="eastAsia" w:ascii="宋体" w:hAnsi="宋体" w:eastAsia="宋体" w:cs="宋体"/>
          <w:color w:val="000000"/>
          <w:kern w:val="0"/>
          <w:sz w:val="24"/>
          <w:highlight w:val="none"/>
          <w:lang w:bidi="en-US"/>
        </w:rPr>
        <w:t>（</w:t>
      </w:r>
      <w:bookmarkEnd w:id="111"/>
      <w:r>
        <w:rPr>
          <w:rFonts w:hint="eastAsia" w:ascii="宋体" w:hAnsi="宋体" w:eastAsia="宋体" w:cs="宋体"/>
          <w:color w:val="000000"/>
          <w:kern w:val="0"/>
          <w:sz w:val="24"/>
          <w:highlight w:val="none"/>
          <w:lang w:bidi="en-US"/>
        </w:rPr>
        <w:t>1）未按主合同约定的质量、数量和期限供应货物/提供服务/完成工程的；</w:t>
      </w:r>
    </w:p>
    <w:p w14:paraId="03504BE4">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2" w:name="bookmark8"/>
      <w:r>
        <w:rPr>
          <w:rFonts w:hint="eastAsia" w:ascii="宋体" w:hAnsi="宋体" w:eastAsia="宋体" w:cs="宋体"/>
          <w:color w:val="000000"/>
          <w:kern w:val="0"/>
          <w:sz w:val="24"/>
          <w:highlight w:val="none"/>
          <w:lang w:bidi="en-US"/>
        </w:rPr>
        <w:t>（</w:t>
      </w:r>
      <w:bookmarkEnd w:id="112"/>
      <w:r>
        <w:rPr>
          <w:rFonts w:hint="eastAsia" w:ascii="宋体" w:hAnsi="宋体" w:eastAsia="宋体" w:cs="宋体"/>
          <w:color w:val="000000"/>
          <w:kern w:val="0"/>
          <w:sz w:val="24"/>
          <w:highlight w:val="none"/>
          <w:lang w:bidi="en-US"/>
        </w:rPr>
        <w:t>2）</w:t>
      </w:r>
      <w:bookmarkStart w:id="113" w:name="bookmark9"/>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w:t>
      </w:r>
    </w:p>
    <w:p w14:paraId="3A8578E2">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w:t>
      </w:r>
      <w:bookmarkEnd w:id="113"/>
      <w:r>
        <w:rPr>
          <w:rFonts w:hint="eastAsia" w:ascii="宋体" w:hAnsi="宋体" w:eastAsia="宋体" w:cs="宋体"/>
          <w:color w:val="000000"/>
          <w:kern w:val="0"/>
          <w:sz w:val="24"/>
          <w:highlight w:val="none"/>
          <w:lang w:bidi="en-US"/>
        </w:rPr>
        <w:t>二）我方的保证范围是主合同约定的合同价款总额的</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%数额为</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元 （大写</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）,币种为</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。（即主合同履约保证金金额）</w:t>
      </w:r>
    </w:p>
    <w:p w14:paraId="3ADBD1C3">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4" w:name="bookmark10"/>
      <w:r>
        <w:rPr>
          <w:rFonts w:hint="eastAsia" w:ascii="宋体" w:hAnsi="宋体" w:eastAsia="宋体" w:cs="宋体"/>
          <w:color w:val="000000"/>
          <w:kern w:val="0"/>
          <w:sz w:val="24"/>
          <w:highlight w:val="none"/>
          <w:lang w:bidi="en-US"/>
        </w:rPr>
        <w:t>二</w:t>
      </w:r>
      <w:bookmarkEnd w:id="114"/>
      <w:r>
        <w:rPr>
          <w:rFonts w:hint="eastAsia" w:ascii="宋体" w:hAnsi="宋体" w:eastAsia="宋体" w:cs="宋体"/>
          <w:color w:val="000000"/>
          <w:kern w:val="0"/>
          <w:sz w:val="24"/>
          <w:highlight w:val="none"/>
          <w:lang w:bidi="en-US"/>
        </w:rPr>
        <w:t>、保证的方式及保证期间</w:t>
      </w:r>
    </w:p>
    <w:p w14:paraId="2F6B9F3B">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我方保证的方式为：连带责任保证。</w:t>
      </w:r>
    </w:p>
    <w:p w14:paraId="4F0156CD">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我方保证的期间为：自本合同生效之日起至投标人按照主合同约定的供货/完工期限届满后</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日内。</w:t>
      </w:r>
    </w:p>
    <w:p w14:paraId="7BAA35A0">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如果投标人商未按主合同约定向贵方供应货物/提供服务/完成工程的，由我方在保证金额内向你方支付上述款项。</w:t>
      </w:r>
    </w:p>
    <w:p w14:paraId="61103DB7">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5" w:name="bookmark11"/>
      <w:r>
        <w:rPr>
          <w:rFonts w:hint="eastAsia" w:ascii="宋体" w:hAnsi="宋体" w:eastAsia="宋体" w:cs="宋体"/>
          <w:color w:val="000000"/>
          <w:kern w:val="0"/>
          <w:sz w:val="24"/>
          <w:highlight w:val="none"/>
          <w:lang w:bidi="en-US"/>
        </w:rPr>
        <w:t>三</w:t>
      </w:r>
      <w:bookmarkEnd w:id="115"/>
      <w:r>
        <w:rPr>
          <w:rFonts w:hint="eastAsia" w:ascii="宋体" w:hAnsi="宋体" w:eastAsia="宋体" w:cs="宋体"/>
          <w:color w:val="000000"/>
          <w:kern w:val="0"/>
          <w:sz w:val="24"/>
          <w:highlight w:val="none"/>
          <w:lang w:bidi="en-US"/>
        </w:rPr>
        <w:t>、承担保证责任的程序</w:t>
      </w:r>
    </w:p>
    <w:p w14:paraId="20C33E0F">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6" w:name="bookmark12"/>
      <w:bookmarkEnd w:id="116"/>
      <w:r>
        <w:rPr>
          <w:rFonts w:hint="eastAsia" w:ascii="宋体" w:hAnsi="宋体" w:eastAsia="宋体" w:cs="宋体"/>
          <w:color w:val="000000"/>
          <w:kern w:val="0"/>
          <w:sz w:val="24"/>
          <w:highlight w:val="none"/>
          <w:lang w:bidi="en-US"/>
        </w:rPr>
        <w:t>1.你方要求我方承担保证责任的，应在本保函保证期间内向我方发出书面索赔通知。索赔通知应写明要求索赔的金额，支付款项应到达的帐号。并附有证明投标人违约事实的证 明材料。</w:t>
      </w:r>
    </w:p>
    <w:p w14:paraId="78930349">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如果你方与投标人因货物质量问题产生争议，你方还需同时提供</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部门出具的质量检测报告，或经诉讼（仲裁）程序裁决后的裁决书、调解书，本保证人即按照检测结果或 裁决书、调解书决定是否承担保证责任。</w:t>
      </w:r>
    </w:p>
    <w:p w14:paraId="7B7C0057">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7" w:name="bookmark13"/>
      <w:bookmarkEnd w:id="117"/>
      <w:r>
        <w:rPr>
          <w:rFonts w:hint="eastAsia" w:ascii="宋体" w:hAnsi="宋体" w:eastAsia="宋体" w:cs="宋体"/>
          <w:color w:val="000000"/>
          <w:kern w:val="0"/>
          <w:sz w:val="24"/>
          <w:highlight w:val="none"/>
          <w:lang w:bidi="en-US"/>
        </w:rPr>
        <w:t>2.我方收到你方的书面索赔通知及相应证明材料，在</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工作日内进行核定后按照本保函的承诺承担保证责任。</w:t>
      </w:r>
    </w:p>
    <w:p w14:paraId="2FAD48E4">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8" w:name="bookmark14"/>
      <w:r>
        <w:rPr>
          <w:rFonts w:hint="eastAsia" w:ascii="宋体" w:hAnsi="宋体" w:eastAsia="宋体" w:cs="宋体"/>
          <w:color w:val="000000"/>
          <w:kern w:val="0"/>
          <w:sz w:val="24"/>
          <w:highlight w:val="none"/>
          <w:lang w:bidi="en-US"/>
        </w:rPr>
        <w:t>四</w:t>
      </w:r>
      <w:bookmarkEnd w:id="118"/>
      <w:r>
        <w:rPr>
          <w:rFonts w:hint="eastAsia" w:ascii="宋体" w:hAnsi="宋体" w:eastAsia="宋体" w:cs="宋体"/>
          <w:color w:val="000000"/>
          <w:kern w:val="0"/>
          <w:sz w:val="24"/>
          <w:highlight w:val="none"/>
          <w:lang w:bidi="en-US"/>
        </w:rPr>
        <w:t>、保证责任的终止</w:t>
      </w:r>
    </w:p>
    <w:p w14:paraId="4E3FF52D">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19" w:name="bookmark15"/>
      <w:bookmarkEnd w:id="119"/>
      <w:r>
        <w:rPr>
          <w:rFonts w:hint="eastAsia" w:ascii="宋体" w:hAnsi="宋体" w:eastAsia="宋体" w:cs="宋体"/>
          <w:color w:val="000000"/>
          <w:kern w:val="0"/>
          <w:sz w:val="24"/>
          <w:highlight w:val="none"/>
          <w:lang w:bidi="en-US"/>
        </w:rPr>
        <w:t>1.保证期间届满你方未向我方书面主张保证责任的，自保证期间届满次日起，我方保证责任自动终止。保证期间届满前，主合同约定的货物</w:t>
      </w:r>
      <w:r>
        <w:rPr>
          <w:rFonts w:hint="eastAsia" w:ascii="宋体" w:hAnsi="宋体" w:eastAsia="宋体" w:cs="宋体"/>
          <w:color w:val="000000"/>
          <w:kern w:val="0"/>
          <w:sz w:val="24"/>
          <w:highlight w:val="none"/>
          <w:lang w:val="zh-CN" w:bidi="en-US"/>
        </w:rPr>
        <w:t>'工程'服</w:t>
      </w:r>
      <w:r>
        <w:rPr>
          <w:rFonts w:hint="eastAsia" w:ascii="宋体" w:hAnsi="宋体" w:eastAsia="宋体" w:cs="宋体"/>
          <w:color w:val="000000"/>
          <w:kern w:val="0"/>
          <w:sz w:val="24"/>
          <w:highlight w:val="none"/>
          <w:lang w:bidi="en-US"/>
        </w:rPr>
        <w:t>务全部验收合格的，自验收合格日起，我方保证责任自动终止。</w:t>
      </w:r>
    </w:p>
    <w:p w14:paraId="491F5799">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20" w:name="bookmark16"/>
      <w:bookmarkEnd w:id="120"/>
      <w:r>
        <w:rPr>
          <w:rFonts w:hint="eastAsia" w:ascii="宋体" w:hAnsi="宋体" w:eastAsia="宋体" w:cs="宋体"/>
          <w:color w:val="000000"/>
          <w:kern w:val="0"/>
          <w:sz w:val="24"/>
          <w:highlight w:val="none"/>
          <w:lang w:bidi="en-US"/>
        </w:rPr>
        <w:t>2.我方按照本保函向你方履行了保证责任后，自我方向你方支付款项（支付款项从我方账户划出）之日起，保证责任即终止。</w:t>
      </w:r>
    </w:p>
    <w:p w14:paraId="77BD7034">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21" w:name="bookmark17"/>
      <w:bookmarkEnd w:id="121"/>
      <w:r>
        <w:rPr>
          <w:rFonts w:hint="eastAsia" w:ascii="宋体" w:hAnsi="宋体" w:eastAsia="宋体" w:cs="宋体"/>
          <w:color w:val="000000"/>
          <w:kern w:val="0"/>
          <w:sz w:val="24"/>
          <w:highlight w:val="none"/>
          <w:lang w:bidi="en-US"/>
        </w:rPr>
        <w:t>3.按照法律法规的规定或出现应终止我方保证责任的其它情形的，我方在本保函项下的保证责任亦终止。</w:t>
      </w:r>
    </w:p>
    <w:p w14:paraId="129B3727">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22" w:name="bookmark18"/>
      <w:bookmarkEnd w:id="122"/>
      <w:r>
        <w:rPr>
          <w:rFonts w:hint="eastAsia" w:ascii="宋体" w:hAnsi="宋体" w:eastAsia="宋体" w:cs="宋体"/>
          <w:color w:val="000000"/>
          <w:kern w:val="0"/>
          <w:sz w:val="24"/>
          <w:highlight w:val="none"/>
          <w:lang w:bidi="en-US"/>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14:paraId="072579D9">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23" w:name="bookmark19"/>
      <w:r>
        <w:rPr>
          <w:rFonts w:hint="eastAsia" w:ascii="宋体" w:hAnsi="宋体" w:eastAsia="宋体" w:cs="宋体"/>
          <w:color w:val="000000"/>
          <w:kern w:val="0"/>
          <w:sz w:val="24"/>
          <w:highlight w:val="none"/>
          <w:lang w:bidi="en-US"/>
        </w:rPr>
        <w:t>五</w:t>
      </w:r>
      <w:bookmarkEnd w:id="123"/>
      <w:r>
        <w:rPr>
          <w:rFonts w:hint="eastAsia" w:ascii="宋体" w:hAnsi="宋体" w:eastAsia="宋体" w:cs="宋体"/>
          <w:color w:val="000000"/>
          <w:kern w:val="0"/>
          <w:sz w:val="24"/>
          <w:highlight w:val="none"/>
          <w:lang w:bidi="en-US"/>
        </w:rPr>
        <w:t>、免责条款</w:t>
      </w:r>
    </w:p>
    <w:p w14:paraId="7880A021">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1.因你方违反主合同约定致使投标人不能履行义务的，我方不承担保证责任。</w:t>
      </w:r>
    </w:p>
    <w:p w14:paraId="1B6CD4F4">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24" w:name="bookmark20"/>
      <w:bookmarkEnd w:id="124"/>
      <w:r>
        <w:rPr>
          <w:rFonts w:hint="eastAsia" w:ascii="宋体" w:hAnsi="宋体" w:eastAsia="宋体" w:cs="宋体"/>
          <w:color w:val="000000"/>
          <w:kern w:val="0"/>
          <w:sz w:val="24"/>
          <w:highlight w:val="none"/>
          <w:lang w:bidi="en-US"/>
        </w:rPr>
        <w:t>2.依照法律法规的规定或你方与投标人的另行约定，全部或者部分免除投标人应缴纳的保证金义务的，我方亦免除相应的保证责任。</w:t>
      </w:r>
    </w:p>
    <w:p w14:paraId="58AABB71">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25" w:name="bookmark21"/>
      <w:bookmarkEnd w:id="125"/>
      <w:r>
        <w:rPr>
          <w:rFonts w:hint="eastAsia" w:ascii="宋体" w:hAnsi="宋体" w:eastAsia="宋体" w:cs="宋体"/>
          <w:color w:val="000000"/>
          <w:kern w:val="0"/>
          <w:sz w:val="24"/>
          <w:highlight w:val="none"/>
          <w:lang w:bidi="en-US"/>
        </w:rPr>
        <w:t>3.因不可抗力造成投标人不能履行供货义务的，我方不承担保证责任。</w:t>
      </w:r>
    </w:p>
    <w:p w14:paraId="715F55FA">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26" w:name="bookmark22"/>
      <w:r>
        <w:rPr>
          <w:rFonts w:hint="eastAsia" w:ascii="宋体" w:hAnsi="宋体" w:eastAsia="宋体" w:cs="宋体"/>
          <w:color w:val="000000"/>
          <w:kern w:val="0"/>
          <w:sz w:val="24"/>
          <w:highlight w:val="none"/>
          <w:lang w:bidi="en-US"/>
        </w:rPr>
        <w:t>六</w:t>
      </w:r>
      <w:bookmarkEnd w:id="126"/>
      <w:r>
        <w:rPr>
          <w:rFonts w:hint="eastAsia" w:ascii="宋体" w:hAnsi="宋体" w:eastAsia="宋体" w:cs="宋体"/>
          <w:color w:val="000000"/>
          <w:kern w:val="0"/>
          <w:sz w:val="24"/>
          <w:highlight w:val="none"/>
          <w:lang w:bidi="en-US"/>
        </w:rPr>
        <w:t>、争议的解决</w:t>
      </w:r>
    </w:p>
    <w:p w14:paraId="450674E9">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因本保函发生的纠纷，由你我双方协商解决，协商不成的，通过诉讼程序解决，诉讼管辖地法院为</w:t>
      </w:r>
      <w:r>
        <w:rPr>
          <w:rFonts w:hint="eastAsia" w:ascii="宋体" w:hAnsi="宋体" w:eastAsia="宋体" w:cs="宋体"/>
          <w:color w:val="000000"/>
          <w:kern w:val="0"/>
          <w:sz w:val="24"/>
          <w:highlight w:val="none"/>
          <w:u w:val="single"/>
          <w:lang w:bidi="en-US"/>
        </w:rPr>
        <w:t xml:space="preserve">         </w:t>
      </w:r>
      <w:r>
        <w:rPr>
          <w:rFonts w:hint="eastAsia" w:ascii="宋体" w:hAnsi="宋体" w:eastAsia="宋体" w:cs="宋体"/>
          <w:color w:val="000000"/>
          <w:kern w:val="0"/>
          <w:sz w:val="24"/>
          <w:highlight w:val="none"/>
          <w:lang w:bidi="en-US"/>
        </w:rPr>
        <w:t>法院。</w:t>
      </w:r>
    </w:p>
    <w:p w14:paraId="47466D23">
      <w:pPr>
        <w:shd w:val="clear"/>
        <w:spacing w:line="360" w:lineRule="auto"/>
        <w:ind w:firstLine="480" w:firstLineChars="200"/>
        <w:jc w:val="left"/>
        <w:rPr>
          <w:rFonts w:hint="eastAsia" w:ascii="宋体" w:hAnsi="宋体" w:eastAsia="宋体" w:cs="宋体"/>
          <w:color w:val="000000"/>
          <w:kern w:val="0"/>
          <w:sz w:val="24"/>
          <w:highlight w:val="none"/>
          <w:lang w:bidi="en-US"/>
        </w:rPr>
      </w:pPr>
      <w:bookmarkStart w:id="127" w:name="bookmark23"/>
      <w:r>
        <w:rPr>
          <w:rFonts w:hint="eastAsia" w:ascii="宋体" w:hAnsi="宋体" w:eastAsia="宋体" w:cs="宋体"/>
          <w:color w:val="000000"/>
          <w:kern w:val="0"/>
          <w:sz w:val="24"/>
          <w:highlight w:val="none"/>
          <w:lang w:bidi="en-US"/>
        </w:rPr>
        <w:t>七</w:t>
      </w:r>
      <w:bookmarkEnd w:id="127"/>
      <w:r>
        <w:rPr>
          <w:rFonts w:hint="eastAsia" w:ascii="宋体" w:hAnsi="宋体" w:eastAsia="宋体" w:cs="宋体"/>
          <w:color w:val="000000"/>
          <w:kern w:val="0"/>
          <w:sz w:val="24"/>
          <w:highlight w:val="none"/>
          <w:lang w:bidi="en-US"/>
        </w:rPr>
        <w:t>、保函的生效</w:t>
      </w:r>
    </w:p>
    <w:p w14:paraId="4CB6D627">
      <w:pPr>
        <w:shd w:val="clear"/>
        <w:spacing w:line="360" w:lineRule="auto"/>
        <w:ind w:firstLine="480" w:firstLineChars="2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本保函自我方加盖公章之日起生效。</w:t>
      </w:r>
    </w:p>
    <w:p w14:paraId="4AA441D8">
      <w:pPr>
        <w:pStyle w:val="27"/>
        <w:shd w:val="clear"/>
        <w:rPr>
          <w:rFonts w:hint="eastAsia" w:ascii="宋体" w:hAnsi="宋体" w:eastAsia="宋体" w:cs="宋体"/>
          <w:color w:val="000000"/>
          <w:sz w:val="24"/>
          <w:szCs w:val="24"/>
          <w:highlight w:val="none"/>
          <w:lang w:bidi="en-US"/>
        </w:rPr>
      </w:pPr>
    </w:p>
    <w:p w14:paraId="09F19F0F">
      <w:pPr>
        <w:pStyle w:val="27"/>
        <w:shd w:val="clear"/>
        <w:rPr>
          <w:rFonts w:hint="eastAsia" w:ascii="宋体" w:hAnsi="宋体" w:eastAsia="宋体" w:cs="宋体"/>
          <w:color w:val="000000"/>
          <w:sz w:val="24"/>
          <w:szCs w:val="24"/>
          <w:highlight w:val="none"/>
          <w:lang w:bidi="en-US"/>
        </w:rPr>
      </w:pPr>
    </w:p>
    <w:p w14:paraId="608902DE">
      <w:pPr>
        <w:pStyle w:val="27"/>
        <w:shd w:val="clear"/>
        <w:rPr>
          <w:rFonts w:hint="eastAsia" w:ascii="宋体" w:hAnsi="宋体" w:eastAsia="宋体" w:cs="宋体"/>
          <w:color w:val="000000"/>
          <w:sz w:val="24"/>
          <w:szCs w:val="24"/>
          <w:highlight w:val="none"/>
          <w:lang w:bidi="en-US"/>
        </w:rPr>
      </w:pPr>
    </w:p>
    <w:p w14:paraId="0A63A6B9">
      <w:pPr>
        <w:pStyle w:val="27"/>
        <w:shd w:val="clear"/>
        <w:rPr>
          <w:rFonts w:hint="eastAsia" w:ascii="宋体" w:hAnsi="宋体" w:eastAsia="宋体" w:cs="宋体"/>
          <w:color w:val="000000"/>
          <w:sz w:val="24"/>
          <w:szCs w:val="24"/>
          <w:highlight w:val="none"/>
          <w:lang w:bidi="en-US"/>
        </w:rPr>
      </w:pPr>
    </w:p>
    <w:p w14:paraId="7B196124">
      <w:pPr>
        <w:shd w:val="clear"/>
        <w:spacing w:line="360" w:lineRule="auto"/>
        <w:ind w:firstLine="6960" w:firstLineChars="29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保证人：（公章）</w:t>
      </w:r>
    </w:p>
    <w:p w14:paraId="365C33DF">
      <w:pPr>
        <w:shd w:val="clear"/>
        <w:spacing w:line="360" w:lineRule="auto"/>
        <w:ind w:firstLine="6960" w:firstLineChars="2900"/>
        <w:jc w:val="left"/>
        <w:rPr>
          <w:rFonts w:hint="eastAsia" w:ascii="宋体" w:hAnsi="宋体" w:eastAsia="宋体" w:cs="宋体"/>
          <w:color w:val="000000"/>
          <w:kern w:val="0"/>
          <w:sz w:val="24"/>
          <w:highlight w:val="none"/>
          <w:lang w:bidi="en-US"/>
        </w:rPr>
      </w:pPr>
      <w:r>
        <w:rPr>
          <w:rFonts w:hint="eastAsia" w:ascii="宋体" w:hAnsi="宋体" w:eastAsia="宋体" w:cs="宋体"/>
          <w:color w:val="000000"/>
          <w:kern w:val="0"/>
          <w:sz w:val="24"/>
          <w:highlight w:val="none"/>
          <w:lang w:bidi="en-US"/>
        </w:rPr>
        <w:t>年 月 日</w:t>
      </w:r>
    </w:p>
    <w:p w14:paraId="2E5FB21C">
      <w:pPr>
        <w:pStyle w:val="5"/>
        <w:shd w:val="clear"/>
        <w:rPr>
          <w:rFonts w:hint="eastAsia" w:ascii="宋体" w:hAnsi="宋体" w:eastAsia="宋体" w:cs="宋体"/>
          <w:highlight w:val="none"/>
        </w:rPr>
      </w:pPr>
    </w:p>
    <w:sectPr>
      <w:headerReference r:id="rId8" w:type="first"/>
      <w:footerReference r:id="rId10" w:type="first"/>
      <w:headerReference r:id="rId7" w:type="default"/>
      <w:footerReference r:id="rId9" w:type="default"/>
      <w:pgSz w:w="11906" w:h="16838"/>
      <w:pgMar w:top="1440" w:right="1486" w:bottom="1440" w:left="1486"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楷体">
    <w:altName w:val="汉仪楷体简"/>
    <w:panose1 w:val="02010600040101010101"/>
    <w:charset w:val="86"/>
    <w:family w:val="auto"/>
    <w:pitch w:val="default"/>
    <w:sig w:usb0="00000000" w:usb1="00000000" w:usb2="00000010" w:usb3="00000000" w:csb0="0004009F" w:csb1="00000000"/>
  </w:font>
  <w:font w:name="楷体_GB2312">
    <w:altName w:val="汉仪楷体简"/>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AFF" w:usb1="C000605B" w:usb2="00000029" w:usb3="00000000" w:csb0="200101FF" w:csb1="20280000"/>
  </w:font>
  <w:font w:name="微软雅黑">
    <w:altName w:val="汉仪旗黑"/>
    <w:panose1 w:val="020B0503020204020204"/>
    <w:charset w:val="86"/>
    <w:family w:val="auto"/>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汉仪书宋二S">
    <w:altName w:val="苹方-简"/>
    <w:panose1 w:val="00000000000000000000"/>
    <w:charset w:val="00"/>
    <w:family w:val="auto"/>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EE01">
    <w:pPr>
      <w:pStyle w:val="18"/>
      <w:rPr>
        <w:rFonts w:hint="default"/>
        <w:lang w:val="en-US"/>
      </w:rPr>
    </w:pPr>
    <w:r>
      <w:rPr>
        <w:sz w:val="18"/>
      </w:rPr>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-193675</wp:posOffset>
              </wp:positionV>
              <wp:extent cx="5567680" cy="0"/>
              <wp:effectExtent l="0" t="13970" r="13970" b="24130"/>
              <wp:wrapNone/>
              <wp:docPr id="20" name="直接连接符 20"/>
              <wp:cNvGraphicFramePr/>
              <a:graphic xmlns:a="http://schemas.openxmlformats.org/drawingml/2006/main">
                <a:graphicData uri="http://schemas.microsoft.com/office/word/2010/wordprocessingShape">
                  <wps:wsp>
                    <wps:cNvCnPr/>
                    <wps:spPr>
                      <a:xfrm>
                        <a:off x="1005840" y="9851390"/>
                        <a:ext cx="5567680" cy="0"/>
                      </a:xfrm>
                      <a:prstGeom prst="line">
                        <a:avLst/>
                      </a:prstGeom>
                      <a:ln w="28575" cmpd="thinThick">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pt;margin-top:-15.25pt;height:0pt;width:438.4pt;z-index:251670528;mso-width-relative:page;mso-height-relative:page;" filled="f" stroked="t" coordsize="21600,21600" o:gfxdata="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AEa8NQAAAAJAQAADwAAAAAAAAABACAAAAAiAAAAZHJzL2Rvd25yZXYueG1sUEsBAhQA&#10;FAAAAAgAh07iQHKPI7n2AQAAxgMAAA4AAAAAAAAAAQAgAAAAIwEAAGRycy9lMm9Eb2MueG1sUEsF&#10;BgAAAAAGAAYAWQEAAIsFAAAAAA==&#10;">
              <v:fill on="f" focussize="0,0"/>
              <v:stroke weight="2.25pt" color="#000000 [3213]" linestyle="thinThick" miterlimit="8" joinstyle="miter"/>
              <v:imagedata o:title=""/>
              <o:lock v:ext="edit" aspectratio="f"/>
            </v:line>
          </w:pict>
        </mc:Fallback>
      </mc:AlternateContent>
    </w:r>
    <w:r>
      <w:rPr>
        <w:rFonts w:hint="eastAsia"/>
        <w:lang w:val="en-US" w:eastAsia="zh-CN"/>
      </w:rPr>
      <w:t>山西晋鸿项目管理有限公司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DD10">
    <w:pPr>
      <w:pStyle w:val="18"/>
      <w:jc w:val="right"/>
      <w:rPr>
        <w:rFonts w:hint="default"/>
        <w:lang w:val="en-US"/>
      </w:rPr>
    </w:pPr>
    <w:r>
      <w:rPr>
        <w:sz w:val="18"/>
      </w:rPr>
      <mc:AlternateContent>
        <mc:Choice Requires="wps">
          <w:drawing>
            <wp:anchor distT="0" distB="0" distL="114300" distR="114300" simplePos="0" relativeHeight="251671552" behindDoc="1" locked="0" layoutInCell="1" allowOverlap="1">
              <wp:simplePos x="0" y="0"/>
              <wp:positionH relativeFrom="column">
                <wp:posOffset>-73660</wp:posOffset>
              </wp:positionH>
              <wp:positionV relativeFrom="paragraph">
                <wp:posOffset>-157480</wp:posOffset>
              </wp:positionV>
              <wp:extent cx="5727700" cy="19050"/>
              <wp:effectExtent l="0" t="13970" r="6350" b="24130"/>
              <wp:wrapNone/>
              <wp:docPr id="22" name="直接连接符 22"/>
              <wp:cNvGraphicFramePr/>
              <a:graphic xmlns:a="http://schemas.openxmlformats.org/drawingml/2006/main">
                <a:graphicData uri="http://schemas.microsoft.com/office/word/2010/wordprocessingShape">
                  <wps:wsp>
                    <wps:cNvCnPr/>
                    <wps:spPr>
                      <a:xfrm flipV="1">
                        <a:off x="1005840" y="9851390"/>
                        <a:ext cx="5727700" cy="19050"/>
                      </a:xfrm>
                      <a:prstGeom prst="line">
                        <a:avLst/>
                      </a:prstGeom>
                      <a:ln w="28575" cmpd="thinThick">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5.8pt;margin-top:-12.4pt;height:1.5pt;width:451pt;z-index:-251644928;mso-width-relative:page;mso-height-relative:page;" filled="f" stroked="t" coordsize="21600,21600" o:gfxdata="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riIM2QAAAAsBAAAPAAAAAAAAAAEAIAAAACIAAABkcnMv&#10;ZG93bnJldi54bWxQSwECFAAUAAAACACHTuJAAo2C7AICAADUAwAADgAAAAAAAAABACAAAAAoAQAA&#10;ZHJzL2Uyb0RvYy54bWxQSwUGAAAAAAYABgBZAQAAnAUAAAAA&#10;">
              <v:fill on="f" focussize="0,0"/>
              <v:stroke weight="2.25pt" color="#000000 [3213]" linestyle="thinThick" miterlimit="8" joinstyle="miter"/>
              <v:imagedata o:title=""/>
              <o:lock v:ext="edit" aspectratio="f"/>
            </v:lin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CDF82">
                          <w:pPr>
                            <w:pStyle w:val="1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8CDF82">
                    <w:pPr>
                      <w:pStyle w:val="18"/>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val="en-US" w:eastAsia="zh-CN"/>
      </w:rPr>
      <w:t>山西晋鸿项目管理有限公司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81EED">
    <w:pPr>
      <w:pStyle w:val="18"/>
      <w:jc w:val="right"/>
      <w:rPr>
        <w:rFonts w:hint="default"/>
        <w:lang w:val="en-US"/>
      </w:rPr>
    </w:pPr>
    <w:r>
      <w:rPr>
        <w:sz w:val="18"/>
      </w:rPr>
      <mc:AlternateContent>
        <mc:Choice Requires="wps">
          <w:drawing>
            <wp:anchor distT="0" distB="0" distL="114300" distR="114300" simplePos="0" relativeHeight="251673600" behindDoc="1" locked="0" layoutInCell="1" allowOverlap="1">
              <wp:simplePos x="0" y="0"/>
              <wp:positionH relativeFrom="column">
                <wp:posOffset>-82550</wp:posOffset>
              </wp:positionH>
              <wp:positionV relativeFrom="paragraph">
                <wp:posOffset>-121285</wp:posOffset>
              </wp:positionV>
              <wp:extent cx="5727700" cy="19050"/>
              <wp:effectExtent l="0" t="13970" r="6350" b="24130"/>
              <wp:wrapNone/>
              <wp:docPr id="28" name="直接连接符 28"/>
              <wp:cNvGraphicFramePr/>
              <a:graphic xmlns:a="http://schemas.openxmlformats.org/drawingml/2006/main">
                <a:graphicData uri="http://schemas.microsoft.com/office/word/2010/wordprocessingShape">
                  <wps:wsp>
                    <wps:cNvCnPr/>
                    <wps:spPr>
                      <a:xfrm flipV="1">
                        <a:off x="1005840" y="9851390"/>
                        <a:ext cx="5727700" cy="19050"/>
                      </a:xfrm>
                      <a:prstGeom prst="line">
                        <a:avLst/>
                      </a:prstGeom>
                      <a:ln w="28575" cmpd="thinThick">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5pt;margin-top:-9.55pt;height:1.5pt;width:451pt;z-index:-251642880;mso-width-relative:page;mso-height-relative:page;" filled="f" stroked="t" coordsize="21600,21600" o:gfxdata="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n1WNgAAAALAQAADwAAAAAAAAABACAAAAAiAAAAZHJzL2Rv&#10;d25yZXYueG1sUEsBAhQAFAAAAAgAh07iQC7pnD4BAgAA1AMAAA4AAAAAAAAAAQAgAAAAJwEAAGRy&#10;cy9lMm9Eb2MueG1sUEsFBgAAAAAGAAYAWQEAAJoFAAAAAA==&#10;">
              <v:fill on="f" focussize="0,0"/>
              <v:stroke weight="2.25pt" color="#000000 [3213]" linestyle="thinThick" miterlimit="8" joinstyle="miter"/>
              <v:imagedata o:title=""/>
              <o:lock v:ext="edit" aspectratio="f"/>
            </v:lin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59714">
                          <w:pPr>
                            <w:pStyle w:val="1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0D59714">
                    <w:pPr>
                      <w:pStyle w:val="18"/>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val="en-US" w:eastAsia="zh-CN"/>
      </w:rPr>
      <w:t>山西晋鸿项目管理有限公司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4C41">
    <w:pPr>
      <w:pStyle w:val="18"/>
      <w:jc w:val="right"/>
      <w:rPr>
        <w:rFonts w:hint="default"/>
        <w:lang w:val="en-US"/>
      </w:rPr>
    </w:pPr>
    <w:r>
      <w:rPr>
        <w:sz w:val="18"/>
      </w:rPr>
      <mc:AlternateContent>
        <mc:Choice Requires="wps">
          <w:drawing>
            <wp:anchor distT="0" distB="0" distL="114300" distR="114300" simplePos="0" relativeHeight="251676672" behindDoc="0" locked="0" layoutInCell="1" allowOverlap="1">
              <wp:simplePos x="0" y="0"/>
              <wp:positionH relativeFrom="column">
                <wp:posOffset>-1270</wp:posOffset>
              </wp:positionH>
              <wp:positionV relativeFrom="paragraph">
                <wp:posOffset>-128905</wp:posOffset>
              </wp:positionV>
              <wp:extent cx="5662295" cy="10795"/>
              <wp:effectExtent l="0" t="0" r="0" b="0"/>
              <wp:wrapNone/>
              <wp:docPr id="43" name="直接连接符 43"/>
              <wp:cNvGraphicFramePr/>
              <a:graphic xmlns:a="http://schemas.openxmlformats.org/drawingml/2006/main">
                <a:graphicData uri="http://schemas.microsoft.com/office/word/2010/wordprocessingShape">
                  <wps:wsp>
                    <wps:cNvCnPr/>
                    <wps:spPr>
                      <a:xfrm>
                        <a:off x="942340" y="9793605"/>
                        <a:ext cx="5662295" cy="10795"/>
                      </a:xfrm>
                      <a:prstGeom prst="line">
                        <a:avLst/>
                      </a:prstGeom>
                      <a:ln cmpd="thinThick">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10.15pt;height:0.85pt;width:445.85pt;z-index:251676672;mso-width-relative:page;mso-height-relative:page;" filled="f" stroked="t" coordsize="21600,21600" o:gfxdata="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dFoNgAAAAJAQAADwAAAAAAAAABACAAAAAiAAAAZHJzL2Rvd25yZXYueG1s&#10;UEsBAhQAFAAAAAgAh07iQBlRvAX4AQAAyQMAAA4AAAAAAAAAAQAgAAAAJwEAAGRycy9lMm9Eb2Mu&#10;eG1sUEsFBgAAAAAGAAYAWQEAAJEFAAAAAA==&#10;">
              <v:fill on="f" focussize="0,0"/>
              <v:stroke weight="1pt" color="#000000 [3213]" linestyle="thinThick" miterlimit="8" joinstyle="miter"/>
              <v:imagedata o:title=""/>
              <o:lock v:ext="edit" aspectratio="f"/>
            </v:lin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F02B0">
                          <w:pPr>
                            <w:pStyle w:val="1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5EF02B0">
                    <w:pPr>
                      <w:pStyle w:val="18"/>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val="en-US" w:eastAsia="zh-CN"/>
      </w:rPr>
      <w:t>山西晋鸿项目管理有限公司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3E5C">
    <w:pPr>
      <w:pStyle w:val="2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4847">
    <w:pPr>
      <w:pStyle w:val="20"/>
      <w:pBdr>
        <w:bottom w:val="thinThickSmallGap" w:color="auto" w:sz="12" w:space="1"/>
      </w:pBdr>
      <w:jc w:val="right"/>
      <w:rPr>
        <w:rFonts w:hint="default" w:eastAsia="宋体"/>
        <w:u w:val="none"/>
        <w:lang w:val="en-US" w:eastAsia="zh-CN"/>
      </w:rPr>
    </w:pPr>
    <w:r>
      <w:rPr>
        <w:rFonts w:hint="eastAsia" w:eastAsia="宋体"/>
        <w:u w:val="none"/>
        <w:lang w:eastAsia="zh-CN"/>
      </w:rPr>
      <w:drawing>
        <wp:anchor distT="0" distB="0" distL="114300" distR="114300" simplePos="0" relativeHeight="251670528" behindDoc="1" locked="0" layoutInCell="1" allowOverlap="1">
          <wp:simplePos x="0" y="0"/>
          <wp:positionH relativeFrom="column">
            <wp:posOffset>4445</wp:posOffset>
          </wp:positionH>
          <wp:positionV relativeFrom="paragraph">
            <wp:posOffset>26035</wp:posOffset>
          </wp:positionV>
          <wp:extent cx="231775" cy="117475"/>
          <wp:effectExtent l="0" t="0" r="15875" b="15875"/>
          <wp:wrapNone/>
          <wp:docPr id="18" name="图片 18" descr="813b3c8e-7ff9-415a-a83c-ef8b830c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13b3c8e-7ff9-415a-a83c-ef8b830c2408"/>
                  <pic:cNvPicPr>
                    <a:picLocks noChangeAspect="1"/>
                  </pic:cNvPicPr>
                </pic:nvPicPr>
                <pic:blipFill>
                  <a:blip r:embed="rId1"/>
                  <a:stretch>
                    <a:fillRect/>
                  </a:stretch>
                </pic:blipFill>
                <pic:spPr>
                  <a:xfrm>
                    <a:off x="0" y="0"/>
                    <a:ext cx="231775" cy="117475"/>
                  </a:xfrm>
                  <a:prstGeom prst="rect">
                    <a:avLst/>
                  </a:prstGeom>
                </pic:spPr>
              </pic:pic>
            </a:graphicData>
          </a:graphic>
        </wp:anchor>
      </w:drawing>
    </w:r>
    <w:r>
      <w:rPr>
        <w:rFonts w:hint="eastAsia" w:eastAsia="宋体"/>
        <w:u w:val="none"/>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7EBE">
    <w:pPr>
      <w:pStyle w:val="20"/>
      <w:pBdr>
        <w:bottom w:val="thinThickSmallGap" w:color="auto" w:sz="12" w:space="1"/>
      </w:pBdr>
      <w:jc w:val="right"/>
      <w:rPr>
        <w:rFonts w:hint="default" w:eastAsia="宋体"/>
        <w:u w:val="none"/>
        <w:lang w:val="en-US" w:eastAsia="zh-CN"/>
      </w:rPr>
    </w:pPr>
    <w:r>
      <w:rPr>
        <w:rFonts w:hint="eastAsia" w:eastAsia="宋体"/>
        <w:u w:val="none"/>
        <w:lang w:eastAsia="zh-CN"/>
      </w:rPr>
      <w:drawing>
        <wp:anchor distT="0" distB="0" distL="114300" distR="114300" simplePos="0" relativeHeight="251677696" behindDoc="1" locked="0" layoutInCell="1" allowOverlap="1">
          <wp:simplePos x="0" y="0"/>
          <wp:positionH relativeFrom="column">
            <wp:posOffset>4445</wp:posOffset>
          </wp:positionH>
          <wp:positionV relativeFrom="paragraph">
            <wp:posOffset>26035</wp:posOffset>
          </wp:positionV>
          <wp:extent cx="231775" cy="117475"/>
          <wp:effectExtent l="0" t="0" r="15875" b="15875"/>
          <wp:wrapNone/>
          <wp:docPr id="31" name="图片 31" descr="813b3c8e-7ff9-415a-a83c-ef8b830c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813b3c8e-7ff9-415a-a83c-ef8b830c2408"/>
                  <pic:cNvPicPr>
                    <a:picLocks noChangeAspect="1"/>
                  </pic:cNvPicPr>
                </pic:nvPicPr>
                <pic:blipFill>
                  <a:blip r:embed="rId1"/>
                  <a:stretch>
                    <a:fillRect/>
                  </a:stretch>
                </pic:blipFill>
                <pic:spPr>
                  <a:xfrm>
                    <a:off x="0" y="0"/>
                    <a:ext cx="231775" cy="117475"/>
                  </a:xfrm>
                  <a:prstGeom prst="rect">
                    <a:avLst/>
                  </a:prstGeom>
                </pic:spPr>
              </pic:pic>
            </a:graphicData>
          </a:graphic>
        </wp:anchor>
      </w:drawing>
    </w:r>
    <w:r>
      <w:rPr>
        <w:rFonts w:hint="eastAsia" w:eastAsia="宋体"/>
        <w:u w:val="none"/>
        <w:lang w:val="en-US"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BEB4">
    <w:pPr>
      <w:pStyle w:val="20"/>
      <w:pBdr>
        <w:bottom w:val="thinThickSmallGap" w:color="auto" w:sz="12" w:space="1"/>
      </w:pBdr>
      <w:jc w:val="right"/>
      <w:rPr>
        <w:rFonts w:hint="default" w:eastAsia="宋体"/>
        <w:u w:val="none"/>
        <w:lang w:val="en-US" w:eastAsia="zh-CN"/>
      </w:rPr>
    </w:pPr>
    <w:r>
      <w:rPr>
        <w:rFonts w:hint="eastAsia" w:eastAsia="宋体"/>
        <w:u w:val="none"/>
        <w:lang w:eastAsia="zh-CN"/>
      </w:rPr>
      <w:drawing>
        <wp:anchor distT="0" distB="0" distL="114300" distR="114300" simplePos="0" relativeHeight="251678720" behindDoc="1" locked="0" layoutInCell="1" allowOverlap="1">
          <wp:simplePos x="0" y="0"/>
          <wp:positionH relativeFrom="column">
            <wp:posOffset>4445</wp:posOffset>
          </wp:positionH>
          <wp:positionV relativeFrom="paragraph">
            <wp:posOffset>26035</wp:posOffset>
          </wp:positionV>
          <wp:extent cx="231775" cy="117475"/>
          <wp:effectExtent l="0" t="0" r="15875" b="15875"/>
          <wp:wrapNone/>
          <wp:docPr id="32" name="图片 32" descr="813b3c8e-7ff9-415a-a83c-ef8b830c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813b3c8e-7ff9-415a-a83c-ef8b830c2408"/>
                  <pic:cNvPicPr>
                    <a:picLocks noChangeAspect="1"/>
                  </pic:cNvPicPr>
                </pic:nvPicPr>
                <pic:blipFill>
                  <a:blip r:embed="rId1"/>
                  <a:stretch>
                    <a:fillRect/>
                  </a:stretch>
                </pic:blipFill>
                <pic:spPr>
                  <a:xfrm>
                    <a:off x="0" y="0"/>
                    <a:ext cx="231775" cy="117475"/>
                  </a:xfrm>
                  <a:prstGeom prst="rect">
                    <a:avLst/>
                  </a:prstGeom>
                </pic:spPr>
              </pic:pic>
            </a:graphicData>
          </a:graphic>
        </wp:anchor>
      </w:drawing>
    </w:r>
    <w:r>
      <w:rPr>
        <w:rFonts w:hint="eastAsia" w:eastAsia="宋体"/>
        <w:u w:val="none"/>
        <w:lang w:val="en-US" w:eastAsia="zh-CN"/>
      </w:rPr>
      <w:t>招标文件</w:t>
    </w:r>
  </w:p>
  <w:p w14:paraId="59210042">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273C4"/>
    <w:multiLevelType w:val="singleLevel"/>
    <w:tmpl w:val="851273C4"/>
    <w:lvl w:ilvl="0" w:tentative="0">
      <w:start w:val="4"/>
      <w:numFmt w:val="chineseCounting"/>
      <w:suff w:val="space"/>
      <w:lvlText w:val="第%1部分"/>
      <w:lvlJc w:val="left"/>
      <w:rPr>
        <w:rFonts w:hint="eastAsia"/>
      </w:rPr>
    </w:lvl>
  </w:abstractNum>
  <w:abstractNum w:abstractNumId="1">
    <w:nsid w:val="9973A931"/>
    <w:multiLevelType w:val="singleLevel"/>
    <w:tmpl w:val="9973A931"/>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3D9DD2C"/>
    <w:multiLevelType w:val="singleLevel"/>
    <w:tmpl w:val="D3D9DD2C"/>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4709B39"/>
    <w:multiLevelType w:val="singleLevel"/>
    <w:tmpl w:val="E4709B39"/>
    <w:lvl w:ilvl="0" w:tentative="0">
      <w:start w:val="1"/>
      <w:numFmt w:val="decimal"/>
      <w:suff w:val="nothing"/>
      <w:lvlText w:val="%1."/>
      <w:lvlJc w:val="left"/>
      <w:pPr>
        <w:ind w:left="0" w:firstLine="0"/>
      </w:pPr>
      <w:rPr>
        <w:rFonts w:hint="default"/>
      </w:rPr>
    </w:lvl>
  </w:abstractNum>
  <w:abstractNum w:abstractNumId="9">
    <w:nsid w:val="E50191DA"/>
    <w:multiLevelType w:val="singleLevel"/>
    <w:tmpl w:val="E50191DA"/>
    <w:lvl w:ilvl="0" w:tentative="0">
      <w:start w:val="2"/>
      <w:numFmt w:val="chineseCounting"/>
      <w:suff w:val="nothing"/>
      <w:lvlText w:val="%1、"/>
      <w:lvlJc w:val="left"/>
      <w:rPr>
        <w:rFonts w:hint="eastAsia"/>
      </w:r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34C2D66D"/>
    <w:multiLevelType w:val="singleLevel"/>
    <w:tmpl w:val="34C2D66D"/>
    <w:lvl w:ilvl="0" w:tentative="0">
      <w:start w:val="1"/>
      <w:numFmt w:val="decimal"/>
      <w:suff w:val="nothing"/>
      <w:lvlText w:val="%1．"/>
      <w:lvlJc w:val="left"/>
    </w:lvl>
  </w:abstractNum>
  <w:abstractNum w:abstractNumId="12">
    <w:nsid w:val="72297B90"/>
    <w:multiLevelType w:val="singleLevel"/>
    <w:tmpl w:val="72297B90"/>
    <w:lvl w:ilvl="0" w:tentative="0">
      <w:start w:val="1"/>
      <w:numFmt w:val="chineseCounting"/>
      <w:suff w:val="nothing"/>
      <w:lvlText w:val="（%1）"/>
      <w:lvlJc w:val="left"/>
      <w:rPr>
        <w:rFonts w:hint="eastAsia"/>
      </w:rPr>
    </w:lvl>
  </w:abstractNum>
  <w:abstractNum w:abstractNumId="13">
    <w:nsid w:val="7A0F6431"/>
    <w:multiLevelType w:val="singleLevel"/>
    <w:tmpl w:val="7A0F6431"/>
    <w:lvl w:ilvl="0" w:tentative="0">
      <w:start w:val="1"/>
      <w:numFmt w:val="decimal"/>
      <w:suff w:val="space"/>
      <w:lvlText w:val="%1."/>
      <w:lvlJc w:val="left"/>
    </w:lvl>
  </w:abstractNum>
  <w:num w:numId="1">
    <w:abstractNumId w:val="0"/>
  </w:num>
  <w:num w:numId="2">
    <w:abstractNumId w:val="8"/>
  </w:num>
  <w:num w:numId="3">
    <w:abstractNumId w:val="13"/>
  </w:num>
  <w:num w:numId="4">
    <w:abstractNumId w:val="3"/>
  </w:num>
  <w:num w:numId="5">
    <w:abstractNumId w:val="10"/>
  </w:num>
  <w:num w:numId="6">
    <w:abstractNumId w:val="6"/>
  </w:num>
  <w:num w:numId="7">
    <w:abstractNumId w:val="5"/>
  </w:num>
  <w:num w:numId="8">
    <w:abstractNumId w:val="2"/>
  </w:num>
  <w:num w:numId="9">
    <w:abstractNumId w:val="7"/>
  </w:num>
  <w:num w:numId="10">
    <w:abstractNumId w:val="12"/>
  </w:num>
  <w:num w:numId="11">
    <w:abstractNumId w:val="11"/>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ZGJmNDA5ZmVmMGRhYmU3MzJkNDJiYjMzODMwODEifQ=="/>
  </w:docVars>
  <w:rsids>
    <w:rsidRoot w:val="639F4A9E"/>
    <w:rsid w:val="000628E5"/>
    <w:rsid w:val="000C580C"/>
    <w:rsid w:val="00103CA6"/>
    <w:rsid w:val="0012222E"/>
    <w:rsid w:val="001536FA"/>
    <w:rsid w:val="00163C8D"/>
    <w:rsid w:val="001A026E"/>
    <w:rsid w:val="001D3B77"/>
    <w:rsid w:val="001E54C5"/>
    <w:rsid w:val="002405A7"/>
    <w:rsid w:val="002A108C"/>
    <w:rsid w:val="002C03BF"/>
    <w:rsid w:val="002C4A21"/>
    <w:rsid w:val="002D309B"/>
    <w:rsid w:val="00331DAB"/>
    <w:rsid w:val="00380557"/>
    <w:rsid w:val="004016B7"/>
    <w:rsid w:val="004725F4"/>
    <w:rsid w:val="00494F07"/>
    <w:rsid w:val="004D1CE7"/>
    <w:rsid w:val="004D7D2F"/>
    <w:rsid w:val="00507029"/>
    <w:rsid w:val="00547423"/>
    <w:rsid w:val="00550118"/>
    <w:rsid w:val="005625D1"/>
    <w:rsid w:val="005B020B"/>
    <w:rsid w:val="005D2A29"/>
    <w:rsid w:val="006C7F4E"/>
    <w:rsid w:val="007407F8"/>
    <w:rsid w:val="007503FF"/>
    <w:rsid w:val="00787C12"/>
    <w:rsid w:val="00806275"/>
    <w:rsid w:val="00814E42"/>
    <w:rsid w:val="00846443"/>
    <w:rsid w:val="008A02D8"/>
    <w:rsid w:val="0093339C"/>
    <w:rsid w:val="0093599F"/>
    <w:rsid w:val="00A139C8"/>
    <w:rsid w:val="00A72788"/>
    <w:rsid w:val="00AE490C"/>
    <w:rsid w:val="00AF49F7"/>
    <w:rsid w:val="00B650D1"/>
    <w:rsid w:val="00B71F65"/>
    <w:rsid w:val="00B87A8B"/>
    <w:rsid w:val="00C57F54"/>
    <w:rsid w:val="00D03E7C"/>
    <w:rsid w:val="00D5063D"/>
    <w:rsid w:val="00DF634A"/>
    <w:rsid w:val="00ED11F3"/>
    <w:rsid w:val="00F46E67"/>
    <w:rsid w:val="00F61020"/>
    <w:rsid w:val="00FA20F1"/>
    <w:rsid w:val="00FD2C52"/>
    <w:rsid w:val="00FF0117"/>
    <w:rsid w:val="011C0A03"/>
    <w:rsid w:val="012402B1"/>
    <w:rsid w:val="012C2953"/>
    <w:rsid w:val="012F7800"/>
    <w:rsid w:val="01A005D1"/>
    <w:rsid w:val="01C04E49"/>
    <w:rsid w:val="01C6599C"/>
    <w:rsid w:val="01D72570"/>
    <w:rsid w:val="01F11666"/>
    <w:rsid w:val="023068ED"/>
    <w:rsid w:val="023F0464"/>
    <w:rsid w:val="023F7E6E"/>
    <w:rsid w:val="02756169"/>
    <w:rsid w:val="02812B9B"/>
    <w:rsid w:val="02A604E3"/>
    <w:rsid w:val="02EB4148"/>
    <w:rsid w:val="033F7CB3"/>
    <w:rsid w:val="03476378"/>
    <w:rsid w:val="038002F5"/>
    <w:rsid w:val="0389003B"/>
    <w:rsid w:val="03BB6A24"/>
    <w:rsid w:val="040952EE"/>
    <w:rsid w:val="040E0FAE"/>
    <w:rsid w:val="041324B3"/>
    <w:rsid w:val="042E69E2"/>
    <w:rsid w:val="0439096D"/>
    <w:rsid w:val="04454553"/>
    <w:rsid w:val="04600492"/>
    <w:rsid w:val="046E3282"/>
    <w:rsid w:val="04861D92"/>
    <w:rsid w:val="04987335"/>
    <w:rsid w:val="04AC7907"/>
    <w:rsid w:val="04B32507"/>
    <w:rsid w:val="04BA6AF0"/>
    <w:rsid w:val="04C9670A"/>
    <w:rsid w:val="04D30C78"/>
    <w:rsid w:val="04D77499"/>
    <w:rsid w:val="04E64CB3"/>
    <w:rsid w:val="04FB7F8D"/>
    <w:rsid w:val="052606E4"/>
    <w:rsid w:val="054D1E6D"/>
    <w:rsid w:val="055B3806"/>
    <w:rsid w:val="05634469"/>
    <w:rsid w:val="05D20CC1"/>
    <w:rsid w:val="05E01F5E"/>
    <w:rsid w:val="05ED6429"/>
    <w:rsid w:val="060938DB"/>
    <w:rsid w:val="060C1FEC"/>
    <w:rsid w:val="060C2D53"/>
    <w:rsid w:val="061E0340"/>
    <w:rsid w:val="061E4834"/>
    <w:rsid w:val="061F121B"/>
    <w:rsid w:val="062673E3"/>
    <w:rsid w:val="06864308"/>
    <w:rsid w:val="068C0E31"/>
    <w:rsid w:val="06AF439B"/>
    <w:rsid w:val="06B95635"/>
    <w:rsid w:val="06BC676F"/>
    <w:rsid w:val="06E11AE9"/>
    <w:rsid w:val="06FD7F8A"/>
    <w:rsid w:val="070074E8"/>
    <w:rsid w:val="073B2363"/>
    <w:rsid w:val="07593A9C"/>
    <w:rsid w:val="077C41CF"/>
    <w:rsid w:val="078D7EC3"/>
    <w:rsid w:val="07AA0018"/>
    <w:rsid w:val="07AD0A00"/>
    <w:rsid w:val="07C71280"/>
    <w:rsid w:val="07CE4C09"/>
    <w:rsid w:val="07D045CB"/>
    <w:rsid w:val="07D33B45"/>
    <w:rsid w:val="07E12485"/>
    <w:rsid w:val="07EA0E72"/>
    <w:rsid w:val="07F239EF"/>
    <w:rsid w:val="0840510C"/>
    <w:rsid w:val="084843FC"/>
    <w:rsid w:val="084F4DE6"/>
    <w:rsid w:val="085F5FBF"/>
    <w:rsid w:val="08655C45"/>
    <w:rsid w:val="08782448"/>
    <w:rsid w:val="0887292B"/>
    <w:rsid w:val="08B03E69"/>
    <w:rsid w:val="08C90A87"/>
    <w:rsid w:val="08CE0793"/>
    <w:rsid w:val="08CE64C5"/>
    <w:rsid w:val="08FE200C"/>
    <w:rsid w:val="09593A48"/>
    <w:rsid w:val="096133B5"/>
    <w:rsid w:val="0969226A"/>
    <w:rsid w:val="097C3D4B"/>
    <w:rsid w:val="0986156C"/>
    <w:rsid w:val="09A90792"/>
    <w:rsid w:val="09E34732"/>
    <w:rsid w:val="09F06AB0"/>
    <w:rsid w:val="09F91840"/>
    <w:rsid w:val="0A1265BB"/>
    <w:rsid w:val="0A1341F3"/>
    <w:rsid w:val="0A171CC6"/>
    <w:rsid w:val="0A190D46"/>
    <w:rsid w:val="0A1E4E03"/>
    <w:rsid w:val="0A4A6139"/>
    <w:rsid w:val="0A7562BB"/>
    <w:rsid w:val="0A9F4195"/>
    <w:rsid w:val="0AC2259C"/>
    <w:rsid w:val="0ADB1C5D"/>
    <w:rsid w:val="0AE60E31"/>
    <w:rsid w:val="0AF83422"/>
    <w:rsid w:val="0B114CAD"/>
    <w:rsid w:val="0B1A3D0B"/>
    <w:rsid w:val="0B204BAA"/>
    <w:rsid w:val="0B2476AB"/>
    <w:rsid w:val="0B454CF7"/>
    <w:rsid w:val="0B531CB9"/>
    <w:rsid w:val="0B57681E"/>
    <w:rsid w:val="0B7F2E6D"/>
    <w:rsid w:val="0BCF2858"/>
    <w:rsid w:val="0C0B7609"/>
    <w:rsid w:val="0C5E598A"/>
    <w:rsid w:val="0C8E70CC"/>
    <w:rsid w:val="0CA05FA3"/>
    <w:rsid w:val="0CA75583"/>
    <w:rsid w:val="0CAC3842"/>
    <w:rsid w:val="0CC0662E"/>
    <w:rsid w:val="0CD54F0B"/>
    <w:rsid w:val="0CDA3885"/>
    <w:rsid w:val="0CE120C5"/>
    <w:rsid w:val="0CF25786"/>
    <w:rsid w:val="0D1150F2"/>
    <w:rsid w:val="0D1B53C2"/>
    <w:rsid w:val="0D1D37B1"/>
    <w:rsid w:val="0D2F0242"/>
    <w:rsid w:val="0D3D72D0"/>
    <w:rsid w:val="0D444B80"/>
    <w:rsid w:val="0D6214AA"/>
    <w:rsid w:val="0D681450"/>
    <w:rsid w:val="0D6B65B1"/>
    <w:rsid w:val="0D6F3494"/>
    <w:rsid w:val="0D870F11"/>
    <w:rsid w:val="0D98311E"/>
    <w:rsid w:val="0DB17C1E"/>
    <w:rsid w:val="0DD57ECE"/>
    <w:rsid w:val="0DDE4FD5"/>
    <w:rsid w:val="0DE93979"/>
    <w:rsid w:val="0E0270C2"/>
    <w:rsid w:val="0E2624D8"/>
    <w:rsid w:val="0E675CD8"/>
    <w:rsid w:val="0E6F72DE"/>
    <w:rsid w:val="0E76345F"/>
    <w:rsid w:val="0EA449B4"/>
    <w:rsid w:val="0EC91C13"/>
    <w:rsid w:val="0EE721D9"/>
    <w:rsid w:val="0F0F5415"/>
    <w:rsid w:val="0F204B8F"/>
    <w:rsid w:val="0F2B26EE"/>
    <w:rsid w:val="0F4076BC"/>
    <w:rsid w:val="0F5335E3"/>
    <w:rsid w:val="0F837679"/>
    <w:rsid w:val="0F9872E5"/>
    <w:rsid w:val="0FAE104F"/>
    <w:rsid w:val="0FAE1174"/>
    <w:rsid w:val="0FB32491"/>
    <w:rsid w:val="0FF162C4"/>
    <w:rsid w:val="10156CA8"/>
    <w:rsid w:val="101D49FF"/>
    <w:rsid w:val="102C5831"/>
    <w:rsid w:val="102D2243"/>
    <w:rsid w:val="105C6685"/>
    <w:rsid w:val="10613C9B"/>
    <w:rsid w:val="107538A5"/>
    <w:rsid w:val="10A64838"/>
    <w:rsid w:val="10C2298C"/>
    <w:rsid w:val="10D821AF"/>
    <w:rsid w:val="10E105D2"/>
    <w:rsid w:val="10FD2B0A"/>
    <w:rsid w:val="113E5FAA"/>
    <w:rsid w:val="11431703"/>
    <w:rsid w:val="11892D1F"/>
    <w:rsid w:val="11963E18"/>
    <w:rsid w:val="11B11AB9"/>
    <w:rsid w:val="11D130E0"/>
    <w:rsid w:val="11DD16C8"/>
    <w:rsid w:val="12135469"/>
    <w:rsid w:val="12452E9F"/>
    <w:rsid w:val="12646113"/>
    <w:rsid w:val="126A751A"/>
    <w:rsid w:val="126F061C"/>
    <w:rsid w:val="127B60CC"/>
    <w:rsid w:val="12814503"/>
    <w:rsid w:val="1291600D"/>
    <w:rsid w:val="12A44024"/>
    <w:rsid w:val="12E260D8"/>
    <w:rsid w:val="12E5491E"/>
    <w:rsid w:val="130509CA"/>
    <w:rsid w:val="13372469"/>
    <w:rsid w:val="1340403C"/>
    <w:rsid w:val="13444297"/>
    <w:rsid w:val="13986D70"/>
    <w:rsid w:val="13A306E3"/>
    <w:rsid w:val="13AD4A86"/>
    <w:rsid w:val="13C71955"/>
    <w:rsid w:val="13D80718"/>
    <w:rsid w:val="140B1C2B"/>
    <w:rsid w:val="143040B0"/>
    <w:rsid w:val="14424DC6"/>
    <w:rsid w:val="145F1AD0"/>
    <w:rsid w:val="14663EA5"/>
    <w:rsid w:val="146D3201"/>
    <w:rsid w:val="147541B9"/>
    <w:rsid w:val="14812B5E"/>
    <w:rsid w:val="14D4045A"/>
    <w:rsid w:val="14D94D5F"/>
    <w:rsid w:val="14DC2978"/>
    <w:rsid w:val="14EF166F"/>
    <w:rsid w:val="14F86F1D"/>
    <w:rsid w:val="15171D95"/>
    <w:rsid w:val="154871D8"/>
    <w:rsid w:val="155023CF"/>
    <w:rsid w:val="156E01EE"/>
    <w:rsid w:val="157273ED"/>
    <w:rsid w:val="1576523C"/>
    <w:rsid w:val="157A551B"/>
    <w:rsid w:val="158063AE"/>
    <w:rsid w:val="159E51B1"/>
    <w:rsid w:val="15AA3754"/>
    <w:rsid w:val="15C60B34"/>
    <w:rsid w:val="15D25215"/>
    <w:rsid w:val="15E0477C"/>
    <w:rsid w:val="15EB4733"/>
    <w:rsid w:val="15F5110D"/>
    <w:rsid w:val="15FF5FFC"/>
    <w:rsid w:val="161B669A"/>
    <w:rsid w:val="1629594C"/>
    <w:rsid w:val="162B20DB"/>
    <w:rsid w:val="16331C36"/>
    <w:rsid w:val="16602510"/>
    <w:rsid w:val="167664C6"/>
    <w:rsid w:val="168A62FF"/>
    <w:rsid w:val="16983370"/>
    <w:rsid w:val="16B27C5A"/>
    <w:rsid w:val="16B85124"/>
    <w:rsid w:val="16C734BB"/>
    <w:rsid w:val="16F92299"/>
    <w:rsid w:val="17316B01"/>
    <w:rsid w:val="17371C20"/>
    <w:rsid w:val="17400185"/>
    <w:rsid w:val="17451C21"/>
    <w:rsid w:val="175E69A5"/>
    <w:rsid w:val="176F6932"/>
    <w:rsid w:val="17725226"/>
    <w:rsid w:val="17991F6C"/>
    <w:rsid w:val="17AC1CA0"/>
    <w:rsid w:val="17CC0594"/>
    <w:rsid w:val="17F3F0EC"/>
    <w:rsid w:val="18013D6F"/>
    <w:rsid w:val="181810E3"/>
    <w:rsid w:val="182A2ECB"/>
    <w:rsid w:val="18341273"/>
    <w:rsid w:val="184F2C97"/>
    <w:rsid w:val="187E7436"/>
    <w:rsid w:val="18AF4C31"/>
    <w:rsid w:val="18C272A1"/>
    <w:rsid w:val="18E67433"/>
    <w:rsid w:val="18F94391"/>
    <w:rsid w:val="190B50EC"/>
    <w:rsid w:val="1917583F"/>
    <w:rsid w:val="19261117"/>
    <w:rsid w:val="192835A8"/>
    <w:rsid w:val="193E5ABA"/>
    <w:rsid w:val="194859F8"/>
    <w:rsid w:val="194F1637"/>
    <w:rsid w:val="19500B75"/>
    <w:rsid w:val="19550115"/>
    <w:rsid w:val="196470A5"/>
    <w:rsid w:val="19875FDB"/>
    <w:rsid w:val="19AE33C6"/>
    <w:rsid w:val="19BF28B1"/>
    <w:rsid w:val="19C848CD"/>
    <w:rsid w:val="19CD414F"/>
    <w:rsid w:val="19D35C0A"/>
    <w:rsid w:val="19DF08A6"/>
    <w:rsid w:val="1A244A59"/>
    <w:rsid w:val="1A3D7527"/>
    <w:rsid w:val="1A7DCD01"/>
    <w:rsid w:val="1A972280"/>
    <w:rsid w:val="1AC42237"/>
    <w:rsid w:val="1ADA1785"/>
    <w:rsid w:val="1ADA388C"/>
    <w:rsid w:val="1AF33ADE"/>
    <w:rsid w:val="1B0F0EC3"/>
    <w:rsid w:val="1B250E6C"/>
    <w:rsid w:val="1B4F6BAD"/>
    <w:rsid w:val="1B5424BA"/>
    <w:rsid w:val="1B584AE0"/>
    <w:rsid w:val="1B747934"/>
    <w:rsid w:val="1B902A8C"/>
    <w:rsid w:val="1B944F25"/>
    <w:rsid w:val="1B997366"/>
    <w:rsid w:val="1BA36526"/>
    <w:rsid w:val="1BAA4748"/>
    <w:rsid w:val="1BC32914"/>
    <w:rsid w:val="1BC334BA"/>
    <w:rsid w:val="1BC564CA"/>
    <w:rsid w:val="1BD634FD"/>
    <w:rsid w:val="1BE015C3"/>
    <w:rsid w:val="1BF956CF"/>
    <w:rsid w:val="1BFC0F6C"/>
    <w:rsid w:val="1C0B47CE"/>
    <w:rsid w:val="1C3D736A"/>
    <w:rsid w:val="1C511068"/>
    <w:rsid w:val="1C9E1C3F"/>
    <w:rsid w:val="1CB33AD0"/>
    <w:rsid w:val="1CD21FCC"/>
    <w:rsid w:val="1CDC1BD7"/>
    <w:rsid w:val="1CF076BE"/>
    <w:rsid w:val="1D070995"/>
    <w:rsid w:val="1D0F54E9"/>
    <w:rsid w:val="1D1C3424"/>
    <w:rsid w:val="1D3A1AFC"/>
    <w:rsid w:val="1D3F7112"/>
    <w:rsid w:val="1D436582"/>
    <w:rsid w:val="1D6A4A02"/>
    <w:rsid w:val="1D8D60CF"/>
    <w:rsid w:val="1DEF0B38"/>
    <w:rsid w:val="1DF25144"/>
    <w:rsid w:val="1DF61EC7"/>
    <w:rsid w:val="1E0472BF"/>
    <w:rsid w:val="1E0B5246"/>
    <w:rsid w:val="1E1E141D"/>
    <w:rsid w:val="1E550DB7"/>
    <w:rsid w:val="1E605570"/>
    <w:rsid w:val="1E870D71"/>
    <w:rsid w:val="1E971AD5"/>
    <w:rsid w:val="1EE375A4"/>
    <w:rsid w:val="1F2D643F"/>
    <w:rsid w:val="1F3507CD"/>
    <w:rsid w:val="1F49071C"/>
    <w:rsid w:val="1F5E40AD"/>
    <w:rsid w:val="1F7472FC"/>
    <w:rsid w:val="1F947A14"/>
    <w:rsid w:val="1FB42039"/>
    <w:rsid w:val="1FB42126"/>
    <w:rsid w:val="1FBB328D"/>
    <w:rsid w:val="1FBC0AEB"/>
    <w:rsid w:val="2013772F"/>
    <w:rsid w:val="2040605E"/>
    <w:rsid w:val="20491AFF"/>
    <w:rsid w:val="20631369"/>
    <w:rsid w:val="207B4905"/>
    <w:rsid w:val="207D7695"/>
    <w:rsid w:val="20AE6A88"/>
    <w:rsid w:val="20CC6F0F"/>
    <w:rsid w:val="20E24984"/>
    <w:rsid w:val="20FA7F20"/>
    <w:rsid w:val="21073B24"/>
    <w:rsid w:val="212B274C"/>
    <w:rsid w:val="2136082C"/>
    <w:rsid w:val="215F7D83"/>
    <w:rsid w:val="21647640"/>
    <w:rsid w:val="21711C4E"/>
    <w:rsid w:val="219278B1"/>
    <w:rsid w:val="21B06830"/>
    <w:rsid w:val="21B55884"/>
    <w:rsid w:val="21D95741"/>
    <w:rsid w:val="21E647A7"/>
    <w:rsid w:val="21F47C60"/>
    <w:rsid w:val="220628F4"/>
    <w:rsid w:val="22245345"/>
    <w:rsid w:val="22330855"/>
    <w:rsid w:val="22624B6A"/>
    <w:rsid w:val="226B475F"/>
    <w:rsid w:val="226E709F"/>
    <w:rsid w:val="228B5CDC"/>
    <w:rsid w:val="229777D1"/>
    <w:rsid w:val="22A26052"/>
    <w:rsid w:val="22C74F17"/>
    <w:rsid w:val="22CD0AE1"/>
    <w:rsid w:val="22D14CB0"/>
    <w:rsid w:val="22F47EEF"/>
    <w:rsid w:val="22FC5662"/>
    <w:rsid w:val="23005595"/>
    <w:rsid w:val="230304F3"/>
    <w:rsid w:val="230D400D"/>
    <w:rsid w:val="23316D8B"/>
    <w:rsid w:val="236864E1"/>
    <w:rsid w:val="237C03CA"/>
    <w:rsid w:val="2398141D"/>
    <w:rsid w:val="23A93537"/>
    <w:rsid w:val="23B35EB5"/>
    <w:rsid w:val="23BA5744"/>
    <w:rsid w:val="23CD191B"/>
    <w:rsid w:val="23CF1591"/>
    <w:rsid w:val="23D22A8E"/>
    <w:rsid w:val="23F1454C"/>
    <w:rsid w:val="240D6CBA"/>
    <w:rsid w:val="2460234C"/>
    <w:rsid w:val="246E35A2"/>
    <w:rsid w:val="248672D7"/>
    <w:rsid w:val="249C309C"/>
    <w:rsid w:val="249E72AA"/>
    <w:rsid w:val="24C8317C"/>
    <w:rsid w:val="24E862E1"/>
    <w:rsid w:val="24FE6AFF"/>
    <w:rsid w:val="251905EF"/>
    <w:rsid w:val="252E0087"/>
    <w:rsid w:val="25341526"/>
    <w:rsid w:val="25390F3D"/>
    <w:rsid w:val="253D0497"/>
    <w:rsid w:val="256F255E"/>
    <w:rsid w:val="2584425C"/>
    <w:rsid w:val="25902C01"/>
    <w:rsid w:val="2596622B"/>
    <w:rsid w:val="25AA0829"/>
    <w:rsid w:val="25B864E5"/>
    <w:rsid w:val="26296BB1"/>
    <w:rsid w:val="263217EA"/>
    <w:rsid w:val="26493DFF"/>
    <w:rsid w:val="265A4E78"/>
    <w:rsid w:val="26753BA5"/>
    <w:rsid w:val="267A556E"/>
    <w:rsid w:val="268A7650"/>
    <w:rsid w:val="26937F25"/>
    <w:rsid w:val="269C4CB8"/>
    <w:rsid w:val="269C7B3F"/>
    <w:rsid w:val="26AD419B"/>
    <w:rsid w:val="26BA71E5"/>
    <w:rsid w:val="26C72837"/>
    <w:rsid w:val="26F06B49"/>
    <w:rsid w:val="27196C26"/>
    <w:rsid w:val="27BF6FF4"/>
    <w:rsid w:val="27D25F33"/>
    <w:rsid w:val="27FB13C3"/>
    <w:rsid w:val="28515185"/>
    <w:rsid w:val="28574E4B"/>
    <w:rsid w:val="287A36F4"/>
    <w:rsid w:val="288B6666"/>
    <w:rsid w:val="288E4529"/>
    <w:rsid w:val="28C370CC"/>
    <w:rsid w:val="28C744AD"/>
    <w:rsid w:val="28CF22E9"/>
    <w:rsid w:val="29232FE2"/>
    <w:rsid w:val="292414AA"/>
    <w:rsid w:val="29521158"/>
    <w:rsid w:val="296E3259"/>
    <w:rsid w:val="29733D0B"/>
    <w:rsid w:val="297B5976"/>
    <w:rsid w:val="2996767B"/>
    <w:rsid w:val="29A40F56"/>
    <w:rsid w:val="29A749BD"/>
    <w:rsid w:val="29AA5613"/>
    <w:rsid w:val="29AD7E7D"/>
    <w:rsid w:val="29AE627E"/>
    <w:rsid w:val="29B715D6"/>
    <w:rsid w:val="29C556B2"/>
    <w:rsid w:val="29FB1396"/>
    <w:rsid w:val="2A097BE2"/>
    <w:rsid w:val="2A0F7976"/>
    <w:rsid w:val="2A491627"/>
    <w:rsid w:val="2A516E7E"/>
    <w:rsid w:val="2A522758"/>
    <w:rsid w:val="2A53244F"/>
    <w:rsid w:val="2A585CB7"/>
    <w:rsid w:val="2A750617"/>
    <w:rsid w:val="2A822923"/>
    <w:rsid w:val="2A9F7D16"/>
    <w:rsid w:val="2AF26DA0"/>
    <w:rsid w:val="2AF65023"/>
    <w:rsid w:val="2B1020EE"/>
    <w:rsid w:val="2B1C2CB8"/>
    <w:rsid w:val="2B255565"/>
    <w:rsid w:val="2B563F02"/>
    <w:rsid w:val="2B990335"/>
    <w:rsid w:val="2BA03472"/>
    <w:rsid w:val="2BEA60A4"/>
    <w:rsid w:val="2C060CD8"/>
    <w:rsid w:val="2C693E32"/>
    <w:rsid w:val="2C8E6BD9"/>
    <w:rsid w:val="2C96460E"/>
    <w:rsid w:val="2CC218A8"/>
    <w:rsid w:val="2CC623D3"/>
    <w:rsid w:val="2CE410C0"/>
    <w:rsid w:val="2D1660E1"/>
    <w:rsid w:val="2D587854"/>
    <w:rsid w:val="2D60482A"/>
    <w:rsid w:val="2D683DFB"/>
    <w:rsid w:val="2D6F57F1"/>
    <w:rsid w:val="2D742720"/>
    <w:rsid w:val="2DAD43B9"/>
    <w:rsid w:val="2DB15E0A"/>
    <w:rsid w:val="2DC12311"/>
    <w:rsid w:val="2DC37422"/>
    <w:rsid w:val="2DFB7085"/>
    <w:rsid w:val="2E0146C8"/>
    <w:rsid w:val="2E050E50"/>
    <w:rsid w:val="2E273552"/>
    <w:rsid w:val="2E355879"/>
    <w:rsid w:val="2E4854D1"/>
    <w:rsid w:val="2E7330BF"/>
    <w:rsid w:val="2E7B4266"/>
    <w:rsid w:val="2E890841"/>
    <w:rsid w:val="2E8E3182"/>
    <w:rsid w:val="2E9056AA"/>
    <w:rsid w:val="2EA73041"/>
    <w:rsid w:val="2EAD65D1"/>
    <w:rsid w:val="2ECC75EB"/>
    <w:rsid w:val="2ECD6EEF"/>
    <w:rsid w:val="2ED07626"/>
    <w:rsid w:val="2EE9219C"/>
    <w:rsid w:val="2EE95C9E"/>
    <w:rsid w:val="2EF306F9"/>
    <w:rsid w:val="2F230642"/>
    <w:rsid w:val="2F34284F"/>
    <w:rsid w:val="2F594063"/>
    <w:rsid w:val="2F6D5D61"/>
    <w:rsid w:val="2F7B66D0"/>
    <w:rsid w:val="2F8553C8"/>
    <w:rsid w:val="2FA5374C"/>
    <w:rsid w:val="2FCD4450"/>
    <w:rsid w:val="2FD90D58"/>
    <w:rsid w:val="2FFD70E5"/>
    <w:rsid w:val="301669D1"/>
    <w:rsid w:val="30286D46"/>
    <w:rsid w:val="302C79CA"/>
    <w:rsid w:val="304D3F9B"/>
    <w:rsid w:val="304E5B92"/>
    <w:rsid w:val="306C0986"/>
    <w:rsid w:val="306E7FE2"/>
    <w:rsid w:val="30887EF2"/>
    <w:rsid w:val="308B0B94"/>
    <w:rsid w:val="30915A7F"/>
    <w:rsid w:val="30B32704"/>
    <w:rsid w:val="30BE2D79"/>
    <w:rsid w:val="30CB2034"/>
    <w:rsid w:val="30D24087"/>
    <w:rsid w:val="30D64F99"/>
    <w:rsid w:val="30D841A1"/>
    <w:rsid w:val="30F0044A"/>
    <w:rsid w:val="312132A7"/>
    <w:rsid w:val="3150740D"/>
    <w:rsid w:val="315D2902"/>
    <w:rsid w:val="31603DCF"/>
    <w:rsid w:val="316D127B"/>
    <w:rsid w:val="3170185F"/>
    <w:rsid w:val="318B0B72"/>
    <w:rsid w:val="31AD4B3A"/>
    <w:rsid w:val="31AE58EC"/>
    <w:rsid w:val="31AED350"/>
    <w:rsid w:val="31BA7342"/>
    <w:rsid w:val="31C939C4"/>
    <w:rsid w:val="31D004E9"/>
    <w:rsid w:val="31DA1231"/>
    <w:rsid w:val="31E24CD8"/>
    <w:rsid w:val="3212499D"/>
    <w:rsid w:val="323A4620"/>
    <w:rsid w:val="32551C60"/>
    <w:rsid w:val="32844CBA"/>
    <w:rsid w:val="32A10BAA"/>
    <w:rsid w:val="32AB2689"/>
    <w:rsid w:val="32C51A10"/>
    <w:rsid w:val="32C71C2C"/>
    <w:rsid w:val="32CA4E57"/>
    <w:rsid w:val="32D15B0F"/>
    <w:rsid w:val="32D63C1D"/>
    <w:rsid w:val="32E72A9F"/>
    <w:rsid w:val="32E806AF"/>
    <w:rsid w:val="32ED2D7A"/>
    <w:rsid w:val="330401C0"/>
    <w:rsid w:val="331C1A74"/>
    <w:rsid w:val="3328230D"/>
    <w:rsid w:val="33307EBA"/>
    <w:rsid w:val="333C211A"/>
    <w:rsid w:val="33662306"/>
    <w:rsid w:val="336B6319"/>
    <w:rsid w:val="337301D1"/>
    <w:rsid w:val="338B2639"/>
    <w:rsid w:val="338D4F68"/>
    <w:rsid w:val="33A45AC9"/>
    <w:rsid w:val="33BC03AB"/>
    <w:rsid w:val="33BC6731"/>
    <w:rsid w:val="34100B55"/>
    <w:rsid w:val="34135728"/>
    <w:rsid w:val="341700D8"/>
    <w:rsid w:val="342F5CDB"/>
    <w:rsid w:val="34660B11"/>
    <w:rsid w:val="34782F31"/>
    <w:rsid w:val="349B024C"/>
    <w:rsid w:val="34B47F8E"/>
    <w:rsid w:val="34C208FD"/>
    <w:rsid w:val="34D80DC1"/>
    <w:rsid w:val="34E12EA9"/>
    <w:rsid w:val="34F85428"/>
    <w:rsid w:val="350736FD"/>
    <w:rsid w:val="351B1DBB"/>
    <w:rsid w:val="35342DD5"/>
    <w:rsid w:val="35491FA1"/>
    <w:rsid w:val="357E0BE0"/>
    <w:rsid w:val="358D457B"/>
    <w:rsid w:val="358D4A67"/>
    <w:rsid w:val="35967A01"/>
    <w:rsid w:val="35B244CD"/>
    <w:rsid w:val="35B64BD5"/>
    <w:rsid w:val="35C568BA"/>
    <w:rsid w:val="35CB7DD1"/>
    <w:rsid w:val="361E44BD"/>
    <w:rsid w:val="36244EAA"/>
    <w:rsid w:val="36431DF6"/>
    <w:rsid w:val="366C6D72"/>
    <w:rsid w:val="36A77DAA"/>
    <w:rsid w:val="36B90316"/>
    <w:rsid w:val="36CD6060"/>
    <w:rsid w:val="370137C4"/>
    <w:rsid w:val="37144D14"/>
    <w:rsid w:val="371C198B"/>
    <w:rsid w:val="371F4FD1"/>
    <w:rsid w:val="37294C63"/>
    <w:rsid w:val="372A42BA"/>
    <w:rsid w:val="37362EDC"/>
    <w:rsid w:val="37561DC2"/>
    <w:rsid w:val="375F24D4"/>
    <w:rsid w:val="3771379D"/>
    <w:rsid w:val="377759CE"/>
    <w:rsid w:val="37A3563C"/>
    <w:rsid w:val="37B2664B"/>
    <w:rsid w:val="37C91FA2"/>
    <w:rsid w:val="3802344A"/>
    <w:rsid w:val="38093D25"/>
    <w:rsid w:val="380D7A19"/>
    <w:rsid w:val="38351EAB"/>
    <w:rsid w:val="38543F4D"/>
    <w:rsid w:val="388B4B75"/>
    <w:rsid w:val="389B3CFE"/>
    <w:rsid w:val="38B42146"/>
    <w:rsid w:val="38C54010"/>
    <w:rsid w:val="38D86941"/>
    <w:rsid w:val="38F90665"/>
    <w:rsid w:val="390F72AC"/>
    <w:rsid w:val="392D3661"/>
    <w:rsid w:val="39305792"/>
    <w:rsid w:val="394D2FF3"/>
    <w:rsid w:val="394E643C"/>
    <w:rsid w:val="395E74AB"/>
    <w:rsid w:val="396957EB"/>
    <w:rsid w:val="39777F08"/>
    <w:rsid w:val="398A7D1D"/>
    <w:rsid w:val="39BC3B6C"/>
    <w:rsid w:val="39C173D5"/>
    <w:rsid w:val="39C42A21"/>
    <w:rsid w:val="39F825A9"/>
    <w:rsid w:val="39F8375E"/>
    <w:rsid w:val="3A2F4608"/>
    <w:rsid w:val="3A3556CD"/>
    <w:rsid w:val="3A451DB4"/>
    <w:rsid w:val="3A6C5593"/>
    <w:rsid w:val="3A6D5F4C"/>
    <w:rsid w:val="3A8328DC"/>
    <w:rsid w:val="3AB72586"/>
    <w:rsid w:val="3ABB2076"/>
    <w:rsid w:val="3ABC0ABC"/>
    <w:rsid w:val="3ACA3E90"/>
    <w:rsid w:val="3ACF0B75"/>
    <w:rsid w:val="3AE23EC3"/>
    <w:rsid w:val="3B1139DC"/>
    <w:rsid w:val="3B1B48FB"/>
    <w:rsid w:val="3B404329"/>
    <w:rsid w:val="3B4C2CCE"/>
    <w:rsid w:val="3B885A57"/>
    <w:rsid w:val="3BB605D0"/>
    <w:rsid w:val="3BCF4A74"/>
    <w:rsid w:val="3BD053CA"/>
    <w:rsid w:val="3BEE0ADE"/>
    <w:rsid w:val="3C074E47"/>
    <w:rsid w:val="3C2D6FAD"/>
    <w:rsid w:val="3C2E4052"/>
    <w:rsid w:val="3C497AAB"/>
    <w:rsid w:val="3C636420"/>
    <w:rsid w:val="3C6C0F96"/>
    <w:rsid w:val="3C820CC6"/>
    <w:rsid w:val="3C895791"/>
    <w:rsid w:val="3CA32DC2"/>
    <w:rsid w:val="3CF655E7"/>
    <w:rsid w:val="3D173712"/>
    <w:rsid w:val="3D2E0B7B"/>
    <w:rsid w:val="3D3543D2"/>
    <w:rsid w:val="3D540582"/>
    <w:rsid w:val="3D6C1E29"/>
    <w:rsid w:val="3D701F5E"/>
    <w:rsid w:val="3DB94DF5"/>
    <w:rsid w:val="3DE35F56"/>
    <w:rsid w:val="3DFD0601"/>
    <w:rsid w:val="3DFE6A27"/>
    <w:rsid w:val="3E1A596E"/>
    <w:rsid w:val="3E570EA4"/>
    <w:rsid w:val="3E886713"/>
    <w:rsid w:val="3EBC6CF0"/>
    <w:rsid w:val="3EC50118"/>
    <w:rsid w:val="3ED86BF7"/>
    <w:rsid w:val="3EE8218C"/>
    <w:rsid w:val="3EF6046D"/>
    <w:rsid w:val="3F3348D1"/>
    <w:rsid w:val="3F402B4A"/>
    <w:rsid w:val="3F410F0C"/>
    <w:rsid w:val="3F6B250C"/>
    <w:rsid w:val="3F70486E"/>
    <w:rsid w:val="3F8A64BB"/>
    <w:rsid w:val="3FA518B1"/>
    <w:rsid w:val="3FEE6F69"/>
    <w:rsid w:val="400E5764"/>
    <w:rsid w:val="401F09B1"/>
    <w:rsid w:val="40210BCD"/>
    <w:rsid w:val="40521AD4"/>
    <w:rsid w:val="40592FB0"/>
    <w:rsid w:val="406B29D9"/>
    <w:rsid w:val="40773F0F"/>
    <w:rsid w:val="408D1DBF"/>
    <w:rsid w:val="40A92971"/>
    <w:rsid w:val="40AC612E"/>
    <w:rsid w:val="40B57568"/>
    <w:rsid w:val="40C177B2"/>
    <w:rsid w:val="40C91210"/>
    <w:rsid w:val="40CB5302"/>
    <w:rsid w:val="40D05576"/>
    <w:rsid w:val="40DA4D36"/>
    <w:rsid w:val="40DA5556"/>
    <w:rsid w:val="40DF6192"/>
    <w:rsid w:val="410229AC"/>
    <w:rsid w:val="4104427B"/>
    <w:rsid w:val="41090869"/>
    <w:rsid w:val="410F5C00"/>
    <w:rsid w:val="411467B8"/>
    <w:rsid w:val="41464E8F"/>
    <w:rsid w:val="414D61AA"/>
    <w:rsid w:val="41872CB2"/>
    <w:rsid w:val="41F863CA"/>
    <w:rsid w:val="422E6094"/>
    <w:rsid w:val="42447E0C"/>
    <w:rsid w:val="4245471D"/>
    <w:rsid w:val="42581C9D"/>
    <w:rsid w:val="425F59DD"/>
    <w:rsid w:val="427149BA"/>
    <w:rsid w:val="42AC34C9"/>
    <w:rsid w:val="42D52EC6"/>
    <w:rsid w:val="42E12896"/>
    <w:rsid w:val="42E83C24"/>
    <w:rsid w:val="42EC3CA8"/>
    <w:rsid w:val="42FA3667"/>
    <w:rsid w:val="43065871"/>
    <w:rsid w:val="432A546C"/>
    <w:rsid w:val="4345106B"/>
    <w:rsid w:val="434A2206"/>
    <w:rsid w:val="434B5F61"/>
    <w:rsid w:val="436458AA"/>
    <w:rsid w:val="437C76AE"/>
    <w:rsid w:val="439146DC"/>
    <w:rsid w:val="43937B6D"/>
    <w:rsid w:val="43A53A1F"/>
    <w:rsid w:val="43AB7D36"/>
    <w:rsid w:val="43AC7084"/>
    <w:rsid w:val="43E86331"/>
    <w:rsid w:val="440305EA"/>
    <w:rsid w:val="44402940"/>
    <w:rsid w:val="444529B0"/>
    <w:rsid w:val="446A7E74"/>
    <w:rsid w:val="448F5D18"/>
    <w:rsid w:val="449158B4"/>
    <w:rsid w:val="44A2362D"/>
    <w:rsid w:val="44A571E8"/>
    <w:rsid w:val="44B042CE"/>
    <w:rsid w:val="44F92119"/>
    <w:rsid w:val="45294080"/>
    <w:rsid w:val="45372595"/>
    <w:rsid w:val="45433C8E"/>
    <w:rsid w:val="45795008"/>
    <w:rsid w:val="459819A8"/>
    <w:rsid w:val="459E5F82"/>
    <w:rsid w:val="45A656D1"/>
    <w:rsid w:val="45AA3413"/>
    <w:rsid w:val="45F520BA"/>
    <w:rsid w:val="46342CDD"/>
    <w:rsid w:val="46402205"/>
    <w:rsid w:val="46715CDF"/>
    <w:rsid w:val="46916381"/>
    <w:rsid w:val="46B4110D"/>
    <w:rsid w:val="46B839EE"/>
    <w:rsid w:val="46DA1AD6"/>
    <w:rsid w:val="46DF3663"/>
    <w:rsid w:val="46EE54E2"/>
    <w:rsid w:val="46F016CE"/>
    <w:rsid w:val="46F36DF3"/>
    <w:rsid w:val="470E79D1"/>
    <w:rsid w:val="473D0FE3"/>
    <w:rsid w:val="47411B55"/>
    <w:rsid w:val="47CE4C50"/>
    <w:rsid w:val="47E97FBF"/>
    <w:rsid w:val="4808425A"/>
    <w:rsid w:val="484C78DC"/>
    <w:rsid w:val="48573443"/>
    <w:rsid w:val="48682CCE"/>
    <w:rsid w:val="486B1941"/>
    <w:rsid w:val="486C49B0"/>
    <w:rsid w:val="48777B4E"/>
    <w:rsid w:val="489E27F3"/>
    <w:rsid w:val="48A00AFD"/>
    <w:rsid w:val="48A028AB"/>
    <w:rsid w:val="48A4239B"/>
    <w:rsid w:val="48BE207A"/>
    <w:rsid w:val="48E64762"/>
    <w:rsid w:val="48EB621C"/>
    <w:rsid w:val="48F3101A"/>
    <w:rsid w:val="49295965"/>
    <w:rsid w:val="493F3E72"/>
    <w:rsid w:val="49481096"/>
    <w:rsid w:val="494E6D72"/>
    <w:rsid w:val="49622D66"/>
    <w:rsid w:val="4977360C"/>
    <w:rsid w:val="498341E5"/>
    <w:rsid w:val="4985532B"/>
    <w:rsid w:val="49A34401"/>
    <w:rsid w:val="49AE2DA6"/>
    <w:rsid w:val="49BE6E07"/>
    <w:rsid w:val="49D05807"/>
    <w:rsid w:val="4A062BE2"/>
    <w:rsid w:val="4A08214C"/>
    <w:rsid w:val="4A154A75"/>
    <w:rsid w:val="4A2B54AC"/>
    <w:rsid w:val="4A3208AA"/>
    <w:rsid w:val="4A914BA1"/>
    <w:rsid w:val="4A993825"/>
    <w:rsid w:val="4AC613EF"/>
    <w:rsid w:val="4AE42F23"/>
    <w:rsid w:val="4AF30AB5"/>
    <w:rsid w:val="4AF56EDE"/>
    <w:rsid w:val="4B19711F"/>
    <w:rsid w:val="4B1D3871"/>
    <w:rsid w:val="4B46773A"/>
    <w:rsid w:val="4B5F07FC"/>
    <w:rsid w:val="4B8F19EB"/>
    <w:rsid w:val="4BB87F0C"/>
    <w:rsid w:val="4BC44B03"/>
    <w:rsid w:val="4BE02A99"/>
    <w:rsid w:val="4BFF0A64"/>
    <w:rsid w:val="4C196BFC"/>
    <w:rsid w:val="4C1D1E6F"/>
    <w:rsid w:val="4C4A325A"/>
    <w:rsid w:val="4C820C46"/>
    <w:rsid w:val="4C9E35A6"/>
    <w:rsid w:val="4CB0534D"/>
    <w:rsid w:val="4CB6269D"/>
    <w:rsid w:val="4D8379F6"/>
    <w:rsid w:val="4D862070"/>
    <w:rsid w:val="4DB51934"/>
    <w:rsid w:val="4E185B40"/>
    <w:rsid w:val="4E233D62"/>
    <w:rsid w:val="4E23663D"/>
    <w:rsid w:val="4E361CE8"/>
    <w:rsid w:val="4EA6782C"/>
    <w:rsid w:val="4EBC2A6F"/>
    <w:rsid w:val="4F005CD8"/>
    <w:rsid w:val="4F2D14A0"/>
    <w:rsid w:val="4F2E29BF"/>
    <w:rsid w:val="4F3509EB"/>
    <w:rsid w:val="4F381A8F"/>
    <w:rsid w:val="4F963AA7"/>
    <w:rsid w:val="4FBD3D43"/>
    <w:rsid w:val="4FC61429"/>
    <w:rsid w:val="4FF11CA4"/>
    <w:rsid w:val="500D7912"/>
    <w:rsid w:val="50210155"/>
    <w:rsid w:val="503E6C32"/>
    <w:rsid w:val="504A137B"/>
    <w:rsid w:val="505774D1"/>
    <w:rsid w:val="506F0113"/>
    <w:rsid w:val="50715259"/>
    <w:rsid w:val="50906C4D"/>
    <w:rsid w:val="50BA3A13"/>
    <w:rsid w:val="50BB7A74"/>
    <w:rsid w:val="50E10D65"/>
    <w:rsid w:val="51095B53"/>
    <w:rsid w:val="511856D5"/>
    <w:rsid w:val="512378F9"/>
    <w:rsid w:val="5126122C"/>
    <w:rsid w:val="513B44A0"/>
    <w:rsid w:val="51415C1C"/>
    <w:rsid w:val="519311FF"/>
    <w:rsid w:val="51B11685"/>
    <w:rsid w:val="51BC69A8"/>
    <w:rsid w:val="51EE32A6"/>
    <w:rsid w:val="51F12FC0"/>
    <w:rsid w:val="52154215"/>
    <w:rsid w:val="52385E13"/>
    <w:rsid w:val="52390393"/>
    <w:rsid w:val="523B3D2B"/>
    <w:rsid w:val="52662470"/>
    <w:rsid w:val="52712A01"/>
    <w:rsid w:val="52B55A90"/>
    <w:rsid w:val="52CA0832"/>
    <w:rsid w:val="52EC1EF2"/>
    <w:rsid w:val="53043CC0"/>
    <w:rsid w:val="53050357"/>
    <w:rsid w:val="5312040E"/>
    <w:rsid w:val="53146370"/>
    <w:rsid w:val="531E208F"/>
    <w:rsid w:val="53803DBB"/>
    <w:rsid w:val="5383124E"/>
    <w:rsid w:val="53866A46"/>
    <w:rsid w:val="53980D4F"/>
    <w:rsid w:val="539B25ED"/>
    <w:rsid w:val="539C4901"/>
    <w:rsid w:val="53A616BE"/>
    <w:rsid w:val="53B20CD6"/>
    <w:rsid w:val="53D700A1"/>
    <w:rsid w:val="53FD2993"/>
    <w:rsid w:val="53FF0DCE"/>
    <w:rsid w:val="543319E0"/>
    <w:rsid w:val="543674A5"/>
    <w:rsid w:val="54593C6E"/>
    <w:rsid w:val="5459458B"/>
    <w:rsid w:val="545D4AA3"/>
    <w:rsid w:val="54686973"/>
    <w:rsid w:val="549F323C"/>
    <w:rsid w:val="54A6041E"/>
    <w:rsid w:val="54C11331"/>
    <w:rsid w:val="551B5793"/>
    <w:rsid w:val="552031DC"/>
    <w:rsid w:val="552A3C28"/>
    <w:rsid w:val="55642552"/>
    <w:rsid w:val="55711857"/>
    <w:rsid w:val="557D18FA"/>
    <w:rsid w:val="558673D7"/>
    <w:rsid w:val="5588094F"/>
    <w:rsid w:val="558C23D4"/>
    <w:rsid w:val="558D4E8E"/>
    <w:rsid w:val="55A74C89"/>
    <w:rsid w:val="55D23810"/>
    <w:rsid w:val="55D2464F"/>
    <w:rsid w:val="56247A1B"/>
    <w:rsid w:val="56364CAD"/>
    <w:rsid w:val="567D5FDA"/>
    <w:rsid w:val="569F41A2"/>
    <w:rsid w:val="56B539C6"/>
    <w:rsid w:val="56E801F8"/>
    <w:rsid w:val="57062473"/>
    <w:rsid w:val="571B09B8"/>
    <w:rsid w:val="572172AD"/>
    <w:rsid w:val="572538F4"/>
    <w:rsid w:val="575D1601"/>
    <w:rsid w:val="577044C9"/>
    <w:rsid w:val="57A557E8"/>
    <w:rsid w:val="57C100EB"/>
    <w:rsid w:val="57CC0FC7"/>
    <w:rsid w:val="58117322"/>
    <w:rsid w:val="581B3CFC"/>
    <w:rsid w:val="58350F9C"/>
    <w:rsid w:val="584D1C83"/>
    <w:rsid w:val="58580AAD"/>
    <w:rsid w:val="585C67EF"/>
    <w:rsid w:val="587D0DD4"/>
    <w:rsid w:val="58816255"/>
    <w:rsid w:val="588A1496"/>
    <w:rsid w:val="58913FBE"/>
    <w:rsid w:val="58B64E48"/>
    <w:rsid w:val="58B6522B"/>
    <w:rsid w:val="58B73733"/>
    <w:rsid w:val="58C844CC"/>
    <w:rsid w:val="58EB4BB9"/>
    <w:rsid w:val="590747AB"/>
    <w:rsid w:val="5934151A"/>
    <w:rsid w:val="593C03FF"/>
    <w:rsid w:val="59592D2E"/>
    <w:rsid w:val="59754C3F"/>
    <w:rsid w:val="599B3E92"/>
    <w:rsid w:val="59B71866"/>
    <w:rsid w:val="59C56616"/>
    <w:rsid w:val="59D35B1C"/>
    <w:rsid w:val="59E95650"/>
    <w:rsid w:val="5A0469C6"/>
    <w:rsid w:val="5A39759E"/>
    <w:rsid w:val="5A5E55CA"/>
    <w:rsid w:val="5A653003"/>
    <w:rsid w:val="5A6621A7"/>
    <w:rsid w:val="5A680EF2"/>
    <w:rsid w:val="5A6C1BFA"/>
    <w:rsid w:val="5A761C5E"/>
    <w:rsid w:val="5A8470E3"/>
    <w:rsid w:val="5A9476B3"/>
    <w:rsid w:val="5A950AB4"/>
    <w:rsid w:val="5A993F96"/>
    <w:rsid w:val="5AB37945"/>
    <w:rsid w:val="5ABB0785"/>
    <w:rsid w:val="5AD72493"/>
    <w:rsid w:val="5AF342FE"/>
    <w:rsid w:val="5AFD1748"/>
    <w:rsid w:val="5B084A0C"/>
    <w:rsid w:val="5B0D7BE9"/>
    <w:rsid w:val="5B1D66C0"/>
    <w:rsid w:val="5B294982"/>
    <w:rsid w:val="5B3D28DB"/>
    <w:rsid w:val="5B4B3F12"/>
    <w:rsid w:val="5B521B30"/>
    <w:rsid w:val="5B800A46"/>
    <w:rsid w:val="5B871DD5"/>
    <w:rsid w:val="5BA616B3"/>
    <w:rsid w:val="5BB4439B"/>
    <w:rsid w:val="5BC70423"/>
    <w:rsid w:val="5BCA7F13"/>
    <w:rsid w:val="5BCD02B8"/>
    <w:rsid w:val="5BD85081"/>
    <w:rsid w:val="5C2F7023"/>
    <w:rsid w:val="5C384E7D"/>
    <w:rsid w:val="5C3A0F1F"/>
    <w:rsid w:val="5C4C7FF5"/>
    <w:rsid w:val="5C522545"/>
    <w:rsid w:val="5C5518D0"/>
    <w:rsid w:val="5C651A18"/>
    <w:rsid w:val="5C8143F0"/>
    <w:rsid w:val="5C954479"/>
    <w:rsid w:val="5C9937D3"/>
    <w:rsid w:val="5C9F3435"/>
    <w:rsid w:val="5CA95D7B"/>
    <w:rsid w:val="5CE368C3"/>
    <w:rsid w:val="5CF5307B"/>
    <w:rsid w:val="5CFE621F"/>
    <w:rsid w:val="5D094416"/>
    <w:rsid w:val="5D1F4C3F"/>
    <w:rsid w:val="5D2B4EC5"/>
    <w:rsid w:val="5D331AE8"/>
    <w:rsid w:val="5D3F278E"/>
    <w:rsid w:val="5D911D76"/>
    <w:rsid w:val="5D992B1E"/>
    <w:rsid w:val="5DC310BE"/>
    <w:rsid w:val="5DE53E26"/>
    <w:rsid w:val="5E0B450A"/>
    <w:rsid w:val="5E5A613D"/>
    <w:rsid w:val="5E7B2322"/>
    <w:rsid w:val="5EC93EDE"/>
    <w:rsid w:val="5ECD7A56"/>
    <w:rsid w:val="5F2A3003"/>
    <w:rsid w:val="5F372759"/>
    <w:rsid w:val="5F4D598E"/>
    <w:rsid w:val="5F7D0F9F"/>
    <w:rsid w:val="5FB40CBE"/>
    <w:rsid w:val="5FBE5526"/>
    <w:rsid w:val="5FE153FA"/>
    <w:rsid w:val="6004027E"/>
    <w:rsid w:val="604F6C39"/>
    <w:rsid w:val="60812CEA"/>
    <w:rsid w:val="60AF1486"/>
    <w:rsid w:val="610908A0"/>
    <w:rsid w:val="610D059B"/>
    <w:rsid w:val="61181721"/>
    <w:rsid w:val="61283612"/>
    <w:rsid w:val="612E4AA0"/>
    <w:rsid w:val="61373B72"/>
    <w:rsid w:val="614147D4"/>
    <w:rsid w:val="61811074"/>
    <w:rsid w:val="619031FE"/>
    <w:rsid w:val="619141DE"/>
    <w:rsid w:val="61B02026"/>
    <w:rsid w:val="61E0076D"/>
    <w:rsid w:val="61EF6AC3"/>
    <w:rsid w:val="61F109D0"/>
    <w:rsid w:val="61F71336"/>
    <w:rsid w:val="61FB61B5"/>
    <w:rsid w:val="622F287E"/>
    <w:rsid w:val="623226C7"/>
    <w:rsid w:val="624F2F20"/>
    <w:rsid w:val="625B1AEE"/>
    <w:rsid w:val="628A520B"/>
    <w:rsid w:val="629923ED"/>
    <w:rsid w:val="62B22F0D"/>
    <w:rsid w:val="62B82FEF"/>
    <w:rsid w:val="62BF00A6"/>
    <w:rsid w:val="62F87114"/>
    <w:rsid w:val="63255495"/>
    <w:rsid w:val="63421C50"/>
    <w:rsid w:val="63422A85"/>
    <w:rsid w:val="634265E1"/>
    <w:rsid w:val="634C7460"/>
    <w:rsid w:val="639F4A9E"/>
    <w:rsid w:val="63F21DB5"/>
    <w:rsid w:val="641C6E32"/>
    <w:rsid w:val="64217F09"/>
    <w:rsid w:val="642605EE"/>
    <w:rsid w:val="64406FC4"/>
    <w:rsid w:val="645760BC"/>
    <w:rsid w:val="64634A61"/>
    <w:rsid w:val="647E768D"/>
    <w:rsid w:val="648C20DE"/>
    <w:rsid w:val="64AF1B57"/>
    <w:rsid w:val="65366619"/>
    <w:rsid w:val="65396DC5"/>
    <w:rsid w:val="654F3145"/>
    <w:rsid w:val="65607D06"/>
    <w:rsid w:val="65A75EDC"/>
    <w:rsid w:val="65BB6605"/>
    <w:rsid w:val="65BD5754"/>
    <w:rsid w:val="65BD63F3"/>
    <w:rsid w:val="65DD1B4D"/>
    <w:rsid w:val="664E174B"/>
    <w:rsid w:val="667375D9"/>
    <w:rsid w:val="667D39EF"/>
    <w:rsid w:val="669E22BD"/>
    <w:rsid w:val="66AC7689"/>
    <w:rsid w:val="66AF0F28"/>
    <w:rsid w:val="66B214DE"/>
    <w:rsid w:val="66BB0B84"/>
    <w:rsid w:val="66DE1189"/>
    <w:rsid w:val="66EB6DFD"/>
    <w:rsid w:val="66F571AF"/>
    <w:rsid w:val="670A08C9"/>
    <w:rsid w:val="670E25DC"/>
    <w:rsid w:val="67112C45"/>
    <w:rsid w:val="672524A2"/>
    <w:rsid w:val="672B7AA1"/>
    <w:rsid w:val="67377D3B"/>
    <w:rsid w:val="673D77EB"/>
    <w:rsid w:val="674232F1"/>
    <w:rsid w:val="67431B98"/>
    <w:rsid w:val="67494E9C"/>
    <w:rsid w:val="67553B17"/>
    <w:rsid w:val="6775EDD1"/>
    <w:rsid w:val="67883798"/>
    <w:rsid w:val="67B850C4"/>
    <w:rsid w:val="67CD416F"/>
    <w:rsid w:val="67CF172F"/>
    <w:rsid w:val="67E260DB"/>
    <w:rsid w:val="67FF0F45"/>
    <w:rsid w:val="68003EDA"/>
    <w:rsid w:val="682727FB"/>
    <w:rsid w:val="685A617B"/>
    <w:rsid w:val="6863141D"/>
    <w:rsid w:val="68776D2D"/>
    <w:rsid w:val="687F3FF5"/>
    <w:rsid w:val="68896538"/>
    <w:rsid w:val="689618A9"/>
    <w:rsid w:val="68DF5BB4"/>
    <w:rsid w:val="69123344"/>
    <w:rsid w:val="6918714A"/>
    <w:rsid w:val="692F585A"/>
    <w:rsid w:val="6930224B"/>
    <w:rsid w:val="69393AB2"/>
    <w:rsid w:val="694D798C"/>
    <w:rsid w:val="69667033"/>
    <w:rsid w:val="69674FF3"/>
    <w:rsid w:val="696D0DB3"/>
    <w:rsid w:val="69796B30"/>
    <w:rsid w:val="69B01A0C"/>
    <w:rsid w:val="69D33250"/>
    <w:rsid w:val="69EC1E2D"/>
    <w:rsid w:val="69F1280B"/>
    <w:rsid w:val="69F50851"/>
    <w:rsid w:val="69F854C8"/>
    <w:rsid w:val="69F92568"/>
    <w:rsid w:val="6A2336D1"/>
    <w:rsid w:val="6A6A6801"/>
    <w:rsid w:val="6A705326"/>
    <w:rsid w:val="6A734C34"/>
    <w:rsid w:val="6A885221"/>
    <w:rsid w:val="6AA77D11"/>
    <w:rsid w:val="6ABA508D"/>
    <w:rsid w:val="6AC9551F"/>
    <w:rsid w:val="6ACC2E50"/>
    <w:rsid w:val="6AD40662"/>
    <w:rsid w:val="6AD816F0"/>
    <w:rsid w:val="6AF05954"/>
    <w:rsid w:val="6B016D82"/>
    <w:rsid w:val="6B062020"/>
    <w:rsid w:val="6B1B3964"/>
    <w:rsid w:val="6B250637"/>
    <w:rsid w:val="6B272C8C"/>
    <w:rsid w:val="6B2C02A3"/>
    <w:rsid w:val="6B2D401B"/>
    <w:rsid w:val="6B4A524D"/>
    <w:rsid w:val="6B635C99"/>
    <w:rsid w:val="6B6D01EC"/>
    <w:rsid w:val="6BB504AB"/>
    <w:rsid w:val="6BB948F5"/>
    <w:rsid w:val="6BBD40E6"/>
    <w:rsid w:val="6BC53CE9"/>
    <w:rsid w:val="6C0A7A99"/>
    <w:rsid w:val="6C1F3963"/>
    <w:rsid w:val="6C2A2F12"/>
    <w:rsid w:val="6C303DC2"/>
    <w:rsid w:val="6C3167E1"/>
    <w:rsid w:val="6C327B3B"/>
    <w:rsid w:val="6CA96364"/>
    <w:rsid w:val="6CB518A2"/>
    <w:rsid w:val="6D231231"/>
    <w:rsid w:val="6D2571C4"/>
    <w:rsid w:val="6D4222A6"/>
    <w:rsid w:val="6D507843"/>
    <w:rsid w:val="6D5B09CB"/>
    <w:rsid w:val="6D60120B"/>
    <w:rsid w:val="6D655CEE"/>
    <w:rsid w:val="6D7E5FDA"/>
    <w:rsid w:val="6D93423A"/>
    <w:rsid w:val="6DB46A02"/>
    <w:rsid w:val="6DC9277E"/>
    <w:rsid w:val="6DCF4D1E"/>
    <w:rsid w:val="6DD11BF0"/>
    <w:rsid w:val="6DF64B98"/>
    <w:rsid w:val="6E076DA5"/>
    <w:rsid w:val="6E313E22"/>
    <w:rsid w:val="6E332884"/>
    <w:rsid w:val="6E3F37DC"/>
    <w:rsid w:val="6E5122D2"/>
    <w:rsid w:val="6E62679B"/>
    <w:rsid w:val="6E786BA0"/>
    <w:rsid w:val="6E8B3532"/>
    <w:rsid w:val="6E985C4F"/>
    <w:rsid w:val="6E9B06C6"/>
    <w:rsid w:val="6EA106C6"/>
    <w:rsid w:val="6ECD5EE3"/>
    <w:rsid w:val="6F2968A7"/>
    <w:rsid w:val="6F737553"/>
    <w:rsid w:val="6F956779"/>
    <w:rsid w:val="6FBF4D77"/>
    <w:rsid w:val="6FF15617"/>
    <w:rsid w:val="6FFFDBFB"/>
    <w:rsid w:val="7028399E"/>
    <w:rsid w:val="70576D06"/>
    <w:rsid w:val="706379CC"/>
    <w:rsid w:val="709F32C5"/>
    <w:rsid w:val="70C0121E"/>
    <w:rsid w:val="71173B84"/>
    <w:rsid w:val="71304114"/>
    <w:rsid w:val="71477B07"/>
    <w:rsid w:val="71657EE4"/>
    <w:rsid w:val="716B31A7"/>
    <w:rsid w:val="71833216"/>
    <w:rsid w:val="71974AD0"/>
    <w:rsid w:val="71A52270"/>
    <w:rsid w:val="71D84C45"/>
    <w:rsid w:val="71D92CBD"/>
    <w:rsid w:val="71E75C0D"/>
    <w:rsid w:val="71F80B10"/>
    <w:rsid w:val="71FB3D64"/>
    <w:rsid w:val="72086C48"/>
    <w:rsid w:val="720A1B22"/>
    <w:rsid w:val="723107A8"/>
    <w:rsid w:val="72367C59"/>
    <w:rsid w:val="725535B2"/>
    <w:rsid w:val="725A6AD7"/>
    <w:rsid w:val="72712A3F"/>
    <w:rsid w:val="72746BDD"/>
    <w:rsid w:val="729130E1"/>
    <w:rsid w:val="72B73CFC"/>
    <w:rsid w:val="72BB4A8B"/>
    <w:rsid w:val="72D66DF2"/>
    <w:rsid w:val="72DA6836"/>
    <w:rsid w:val="7308631C"/>
    <w:rsid w:val="731D16EF"/>
    <w:rsid w:val="735910E9"/>
    <w:rsid w:val="735A1725"/>
    <w:rsid w:val="73615161"/>
    <w:rsid w:val="736F1BDE"/>
    <w:rsid w:val="737F2411"/>
    <w:rsid w:val="739C3E68"/>
    <w:rsid w:val="73B2330F"/>
    <w:rsid w:val="73FBFA5E"/>
    <w:rsid w:val="740F42BD"/>
    <w:rsid w:val="74154C20"/>
    <w:rsid w:val="741924DC"/>
    <w:rsid w:val="743106D8"/>
    <w:rsid w:val="74600FBD"/>
    <w:rsid w:val="74A06E16"/>
    <w:rsid w:val="74DD616A"/>
    <w:rsid w:val="75146A2A"/>
    <w:rsid w:val="75180726"/>
    <w:rsid w:val="75450BFF"/>
    <w:rsid w:val="75497CA3"/>
    <w:rsid w:val="75526B58"/>
    <w:rsid w:val="75731778"/>
    <w:rsid w:val="75731B43"/>
    <w:rsid w:val="757379B0"/>
    <w:rsid w:val="757A7CDD"/>
    <w:rsid w:val="757F0736"/>
    <w:rsid w:val="75A42F46"/>
    <w:rsid w:val="75B3511C"/>
    <w:rsid w:val="75B52BE9"/>
    <w:rsid w:val="75BE5F94"/>
    <w:rsid w:val="75C537CD"/>
    <w:rsid w:val="75DE1C57"/>
    <w:rsid w:val="75E407A7"/>
    <w:rsid w:val="75E672A0"/>
    <w:rsid w:val="760342F6"/>
    <w:rsid w:val="76114DF8"/>
    <w:rsid w:val="76521A35"/>
    <w:rsid w:val="76535C8F"/>
    <w:rsid w:val="768C7E47"/>
    <w:rsid w:val="769A372F"/>
    <w:rsid w:val="76B37ACA"/>
    <w:rsid w:val="76C17A0C"/>
    <w:rsid w:val="76CB5CCA"/>
    <w:rsid w:val="76DD6B54"/>
    <w:rsid w:val="76F6483E"/>
    <w:rsid w:val="77000835"/>
    <w:rsid w:val="770F5593"/>
    <w:rsid w:val="770F561D"/>
    <w:rsid w:val="772145A9"/>
    <w:rsid w:val="77545363"/>
    <w:rsid w:val="77BE7037"/>
    <w:rsid w:val="77CE4DD0"/>
    <w:rsid w:val="77F44BF7"/>
    <w:rsid w:val="7809110B"/>
    <w:rsid w:val="782851A4"/>
    <w:rsid w:val="783A38D3"/>
    <w:rsid w:val="78725B8D"/>
    <w:rsid w:val="78850FF2"/>
    <w:rsid w:val="78964547"/>
    <w:rsid w:val="78C80EDF"/>
    <w:rsid w:val="78E33F6B"/>
    <w:rsid w:val="78EF4F25"/>
    <w:rsid w:val="790551A5"/>
    <w:rsid w:val="795A1BC6"/>
    <w:rsid w:val="795E6BFF"/>
    <w:rsid w:val="796306F0"/>
    <w:rsid w:val="79713798"/>
    <w:rsid w:val="7972522C"/>
    <w:rsid w:val="797E7A57"/>
    <w:rsid w:val="797F3E53"/>
    <w:rsid w:val="798B2E96"/>
    <w:rsid w:val="79BD7C7F"/>
    <w:rsid w:val="79DA536E"/>
    <w:rsid w:val="79F75F20"/>
    <w:rsid w:val="7A1C14E2"/>
    <w:rsid w:val="7A200AD6"/>
    <w:rsid w:val="7A704E19"/>
    <w:rsid w:val="7A7945CE"/>
    <w:rsid w:val="7AB57A01"/>
    <w:rsid w:val="7B1B79EC"/>
    <w:rsid w:val="7B2526D7"/>
    <w:rsid w:val="7B2666F2"/>
    <w:rsid w:val="7B3D79A6"/>
    <w:rsid w:val="7B5307B3"/>
    <w:rsid w:val="7B627357"/>
    <w:rsid w:val="7B6821A4"/>
    <w:rsid w:val="7B6F4926"/>
    <w:rsid w:val="7B727B83"/>
    <w:rsid w:val="7BA440D8"/>
    <w:rsid w:val="7BAA56A1"/>
    <w:rsid w:val="7BAB5214"/>
    <w:rsid w:val="7BF6773A"/>
    <w:rsid w:val="7BF87D2D"/>
    <w:rsid w:val="7C0466D2"/>
    <w:rsid w:val="7C114ACE"/>
    <w:rsid w:val="7C1F175E"/>
    <w:rsid w:val="7C61572E"/>
    <w:rsid w:val="7C863F14"/>
    <w:rsid w:val="7C8F0C27"/>
    <w:rsid w:val="7C955424"/>
    <w:rsid w:val="7C977546"/>
    <w:rsid w:val="7C9B5E62"/>
    <w:rsid w:val="7C9F0030"/>
    <w:rsid w:val="7CE24CE3"/>
    <w:rsid w:val="7D085343"/>
    <w:rsid w:val="7D272166"/>
    <w:rsid w:val="7D3354C1"/>
    <w:rsid w:val="7D4832A6"/>
    <w:rsid w:val="7D65034D"/>
    <w:rsid w:val="7D84683A"/>
    <w:rsid w:val="7DA83D5C"/>
    <w:rsid w:val="7DCD3702"/>
    <w:rsid w:val="7DD16A88"/>
    <w:rsid w:val="7DD33735"/>
    <w:rsid w:val="7DED67B8"/>
    <w:rsid w:val="7DFD162B"/>
    <w:rsid w:val="7E1D3A7B"/>
    <w:rsid w:val="7E3565C5"/>
    <w:rsid w:val="7E3F60E7"/>
    <w:rsid w:val="7E404657"/>
    <w:rsid w:val="7E423B38"/>
    <w:rsid w:val="7E436004"/>
    <w:rsid w:val="7E6608AF"/>
    <w:rsid w:val="7E7F1B2A"/>
    <w:rsid w:val="7EC86F76"/>
    <w:rsid w:val="7EF90044"/>
    <w:rsid w:val="7F1E5CFC"/>
    <w:rsid w:val="7F3361BC"/>
    <w:rsid w:val="7F491C7E"/>
    <w:rsid w:val="7F550D31"/>
    <w:rsid w:val="7F560BCD"/>
    <w:rsid w:val="7F6F12F9"/>
    <w:rsid w:val="7F7E02F5"/>
    <w:rsid w:val="7F876166"/>
    <w:rsid w:val="7F8F7768"/>
    <w:rsid w:val="7F9A6AE6"/>
    <w:rsid w:val="7FAB5CB0"/>
    <w:rsid w:val="7FB45DAD"/>
    <w:rsid w:val="7FB96E8E"/>
    <w:rsid w:val="7FC00B62"/>
    <w:rsid w:val="7FFB5685"/>
    <w:rsid w:val="7FFE3917"/>
    <w:rsid w:val="97DF4FC7"/>
    <w:rsid w:val="B78F0A65"/>
    <w:rsid w:val="BA5FD5CD"/>
    <w:rsid w:val="BDFF5621"/>
    <w:rsid w:val="BDFFD705"/>
    <w:rsid w:val="BEB5B651"/>
    <w:rsid w:val="BEBF4AA9"/>
    <w:rsid w:val="CE64B545"/>
    <w:rsid w:val="CFBF02EB"/>
    <w:rsid w:val="D5DF0286"/>
    <w:rsid w:val="DC57875C"/>
    <w:rsid w:val="E48CBCEE"/>
    <w:rsid w:val="EBF79FC7"/>
    <w:rsid w:val="EDFF7073"/>
    <w:rsid w:val="EFF37ACC"/>
    <w:rsid w:val="F4F5E1FA"/>
    <w:rsid w:val="F6DEEA18"/>
    <w:rsid w:val="FCEFA367"/>
    <w:rsid w:val="FD1F66E2"/>
    <w:rsid w:val="FDDF1E72"/>
    <w:rsid w:val="FF7BE210"/>
    <w:rsid w:val="FFBD5048"/>
    <w:rsid w:val="FFFF552C"/>
    <w:rsid w:val="FFFFB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qFormat/>
    <w:uiPriority w:val="9"/>
    <w:pPr>
      <w:keepNext/>
      <w:keepLines/>
      <w:spacing w:before="260" w:after="260" w:line="412" w:lineRule="auto"/>
      <w:outlineLvl w:val="1"/>
    </w:pPr>
    <w:rPr>
      <w:rFonts w:ascii="Arial" w:hAnsi="Arial" w:eastAsia="黑体"/>
      <w:b/>
      <w:kern w:val="0"/>
      <w:sz w:val="32"/>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toc 7"/>
    <w:basedOn w:val="1"/>
    <w:next w:val="1"/>
    <w:qFormat/>
    <w:uiPriority w:val="0"/>
    <w:pPr>
      <w:ind w:left="1260"/>
      <w:jc w:val="left"/>
    </w:pPr>
    <w:rPr>
      <w:rFonts w:asciiTheme="minorHAnsi" w:hAnsiTheme="minorHAnsi" w:cstheme="minorHAnsi"/>
      <w:sz w:val="18"/>
      <w:szCs w:val="18"/>
    </w:rPr>
  </w:style>
  <w:style w:type="paragraph" w:styleId="7">
    <w:name w:val="table of authorities"/>
    <w:basedOn w:val="1"/>
    <w:next w:val="1"/>
    <w:qFormat/>
    <w:uiPriority w:val="0"/>
    <w:pPr>
      <w:ind w:left="420"/>
    </w:pPr>
  </w:style>
  <w:style w:type="paragraph" w:styleId="8">
    <w:name w:val="Normal Indent"/>
    <w:basedOn w:val="1"/>
    <w:qFormat/>
    <w:uiPriority w:val="0"/>
    <w:pPr>
      <w:spacing w:line="360" w:lineRule="auto"/>
      <w:ind w:firstLine="454"/>
    </w:pPr>
    <w:rPr>
      <w:sz w:val="24"/>
      <w:szCs w:val="20"/>
    </w:rPr>
  </w:style>
  <w:style w:type="paragraph" w:styleId="9">
    <w:name w:val="toa heading"/>
    <w:basedOn w:val="1"/>
    <w:next w:val="1"/>
    <w:qFormat/>
    <w:uiPriority w:val="0"/>
    <w:pPr>
      <w:spacing w:before="120"/>
    </w:pPr>
    <w:rPr>
      <w:rFonts w:ascii="Arial" w:hAnsi="Arial"/>
      <w:b/>
      <w:bCs/>
    </w:rPr>
  </w:style>
  <w:style w:type="paragraph" w:styleId="10">
    <w:name w:val="annotation text"/>
    <w:basedOn w:val="1"/>
    <w:next w:val="1"/>
    <w:qFormat/>
    <w:uiPriority w:val="0"/>
    <w:pPr>
      <w:jc w:val="left"/>
    </w:pPr>
  </w:style>
  <w:style w:type="paragraph" w:styleId="11">
    <w:name w:val="Body Text"/>
    <w:basedOn w:val="1"/>
    <w:next w:val="1"/>
    <w:unhideWhenUsed/>
    <w:qFormat/>
    <w:uiPriority w:val="1"/>
    <w:pPr>
      <w:jc w:val="both"/>
    </w:pPr>
    <w:rPr>
      <w:rFonts w:ascii="宋体" w:hAnsi="宋体" w:eastAsia="宋体"/>
      <w:color w:val="auto"/>
      <w:kern w:val="2"/>
      <w:szCs w:val="28"/>
      <w:lang w:eastAsia="zh-CN" w:bidi="ar-SA"/>
    </w:rPr>
  </w:style>
  <w:style w:type="paragraph" w:styleId="12">
    <w:name w:val="Body Text Indent"/>
    <w:basedOn w:val="1"/>
    <w:qFormat/>
    <w:uiPriority w:val="0"/>
    <w:pPr>
      <w:ind w:firstLine="700" w:firstLineChars="250"/>
    </w:pPr>
    <w:rPr>
      <w:rFonts w:ascii="楷体_GB2312" w:eastAsia="楷体_GB2312"/>
      <w:sz w:val="28"/>
    </w:rPr>
  </w:style>
  <w:style w:type="paragraph" w:styleId="13">
    <w:name w:val="Block Text"/>
    <w:basedOn w:val="1"/>
    <w:qFormat/>
    <w:uiPriority w:val="99"/>
    <w:pPr>
      <w:spacing w:after="120"/>
      <w:ind w:left="1440" w:leftChars="700" w:right="1440" w:rightChars="700"/>
    </w:pPr>
  </w:style>
  <w:style w:type="paragraph" w:styleId="14">
    <w:name w:val="toc 5"/>
    <w:basedOn w:val="1"/>
    <w:next w:val="1"/>
    <w:qFormat/>
    <w:uiPriority w:val="0"/>
    <w:pPr>
      <w:ind w:left="840"/>
      <w:jc w:val="left"/>
    </w:pPr>
    <w:rPr>
      <w:rFonts w:asciiTheme="minorHAnsi" w:hAnsiTheme="minorHAnsi" w:cstheme="minorHAnsi"/>
      <w:sz w:val="18"/>
      <w:szCs w:val="18"/>
    </w:rPr>
  </w:style>
  <w:style w:type="paragraph" w:styleId="15">
    <w:name w:val="toc 3"/>
    <w:basedOn w:val="1"/>
    <w:next w:val="1"/>
    <w:qFormat/>
    <w:uiPriority w:val="0"/>
    <w:pPr>
      <w:ind w:left="420"/>
      <w:jc w:val="left"/>
    </w:pPr>
    <w:rPr>
      <w:rFonts w:asciiTheme="minorHAnsi" w:hAnsiTheme="minorHAnsi" w:cstheme="minorHAnsi"/>
      <w:i/>
      <w:iCs/>
      <w:sz w:val="20"/>
      <w:szCs w:val="20"/>
    </w:rPr>
  </w:style>
  <w:style w:type="paragraph" w:styleId="16">
    <w:name w:val="Plain Text"/>
    <w:basedOn w:val="1"/>
    <w:qFormat/>
    <w:uiPriority w:val="0"/>
    <w:rPr>
      <w:rFonts w:ascii="宋体" w:hAnsi="Courier New"/>
      <w:szCs w:val="20"/>
    </w:rPr>
  </w:style>
  <w:style w:type="paragraph" w:styleId="17">
    <w:name w:val="toc 8"/>
    <w:basedOn w:val="1"/>
    <w:next w:val="1"/>
    <w:qFormat/>
    <w:uiPriority w:val="0"/>
    <w:pPr>
      <w:ind w:left="1470"/>
      <w:jc w:val="left"/>
    </w:pPr>
    <w:rPr>
      <w:rFonts w:asciiTheme="minorHAnsi" w:hAnsiTheme="minorHAnsi" w:cstheme="minorHAnsi"/>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2">
    <w:name w:val="toc 4"/>
    <w:basedOn w:val="1"/>
    <w:next w:val="1"/>
    <w:qFormat/>
    <w:uiPriority w:val="0"/>
    <w:pPr>
      <w:ind w:left="630"/>
      <w:jc w:val="left"/>
    </w:pPr>
    <w:rPr>
      <w:rFonts w:asciiTheme="minorHAnsi" w:hAnsiTheme="minorHAnsi" w:cstheme="minorHAnsi"/>
      <w:sz w:val="18"/>
      <w:szCs w:val="18"/>
    </w:rPr>
  </w:style>
  <w:style w:type="paragraph" w:styleId="23">
    <w:name w:val="toc 6"/>
    <w:basedOn w:val="1"/>
    <w:next w:val="1"/>
    <w:qFormat/>
    <w:uiPriority w:val="0"/>
    <w:pPr>
      <w:ind w:left="1050"/>
      <w:jc w:val="left"/>
    </w:pPr>
    <w:rPr>
      <w:rFonts w:asciiTheme="minorHAnsi" w:hAnsiTheme="minorHAnsi" w:cstheme="minorHAnsi"/>
      <w:sz w:val="18"/>
      <w:szCs w:val="18"/>
    </w:rPr>
  </w:style>
  <w:style w:type="paragraph" w:styleId="24">
    <w:name w:val="toc 2"/>
    <w:basedOn w:val="1"/>
    <w:next w:val="1"/>
    <w:qFormat/>
    <w:uiPriority w:val="39"/>
    <w:pPr>
      <w:ind w:left="210"/>
      <w:jc w:val="left"/>
    </w:pPr>
    <w:rPr>
      <w:rFonts w:asciiTheme="minorHAnsi" w:hAnsiTheme="minorHAnsi" w:cstheme="minorHAnsi"/>
      <w:smallCaps/>
      <w:sz w:val="20"/>
      <w:szCs w:val="20"/>
    </w:rPr>
  </w:style>
  <w:style w:type="paragraph" w:styleId="25">
    <w:name w:val="toc 9"/>
    <w:basedOn w:val="1"/>
    <w:next w:val="1"/>
    <w:qFormat/>
    <w:uiPriority w:val="0"/>
    <w:pPr>
      <w:ind w:left="1680"/>
      <w:jc w:val="left"/>
    </w:pPr>
    <w:rPr>
      <w:rFonts w:asciiTheme="minorHAnsi" w:hAnsiTheme="minorHAnsi" w:cstheme="minorHAnsi"/>
      <w:sz w:val="18"/>
      <w:szCs w:val="18"/>
    </w:rPr>
  </w:style>
  <w:style w:type="paragraph" w:styleId="26">
    <w:name w:val="Body Text 2"/>
    <w:basedOn w:val="1"/>
    <w:next w:val="11"/>
    <w:unhideWhenUsed/>
    <w:qFormat/>
    <w:uiPriority w:val="0"/>
    <w:pPr>
      <w:spacing w:line="360" w:lineRule="auto"/>
    </w:pPr>
    <w:rPr>
      <w:sz w:val="24"/>
      <w:szCs w:val="20"/>
    </w:rPr>
  </w:style>
  <w:style w:type="paragraph" w:styleId="27">
    <w:name w:val="HTML Preformatted"/>
    <w:basedOn w:val="1"/>
    <w:next w:val="1"/>
    <w:link w:val="5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Body Text First Indent"/>
    <w:basedOn w:val="11"/>
    <w:next w:val="1"/>
    <w:qFormat/>
    <w:uiPriority w:val="0"/>
    <w:pPr>
      <w:widowControl/>
      <w:adjustRightInd w:val="0"/>
      <w:snapToGrid w:val="0"/>
      <w:ind w:firstLine="420" w:firstLineChars="100"/>
      <w:jc w:val="left"/>
    </w:pPr>
    <w:rPr>
      <w:rFonts w:ascii="Tahoma" w:hAnsi="Tahoma" w:eastAsia="微软雅黑"/>
      <w:kern w:val="0"/>
      <w:sz w:val="22"/>
      <w:lang w:bidi="mn-Mong-CN"/>
    </w:rPr>
  </w:style>
  <w:style w:type="paragraph" w:styleId="30">
    <w:name w:val="Body Text First Indent 2"/>
    <w:basedOn w:val="1"/>
    <w:next w:val="1"/>
    <w:qFormat/>
    <w:uiPriority w:val="0"/>
    <w:pPr>
      <w:ind w:left="420"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kern w:val="0"/>
    </w:rPr>
  </w:style>
  <w:style w:type="character" w:styleId="35">
    <w:name w:val="FollowedHyperlink"/>
    <w:basedOn w:val="33"/>
    <w:qFormat/>
    <w:uiPriority w:val="0"/>
    <w:rPr>
      <w:color w:val="156356"/>
      <w:u w:val="none"/>
    </w:rPr>
  </w:style>
  <w:style w:type="character" w:styleId="36">
    <w:name w:val="Emphasis"/>
    <w:basedOn w:val="33"/>
    <w:qFormat/>
    <w:uiPriority w:val="0"/>
    <w:rPr>
      <w:i/>
    </w:rPr>
  </w:style>
  <w:style w:type="character" w:styleId="37">
    <w:name w:val="Hyperlink"/>
    <w:basedOn w:val="33"/>
    <w:qFormat/>
    <w:uiPriority w:val="99"/>
    <w:rPr>
      <w:color w:val="156356"/>
      <w:u w:val="none"/>
    </w:rPr>
  </w:style>
  <w:style w:type="character" w:styleId="38">
    <w:name w:val="annotation reference"/>
    <w:basedOn w:val="33"/>
    <w:qFormat/>
    <w:uiPriority w:val="0"/>
    <w:rPr>
      <w:sz w:val="21"/>
      <w:szCs w:val="21"/>
    </w:rPr>
  </w:style>
  <w:style w:type="character" w:styleId="39">
    <w:name w:val="HTML Sample"/>
    <w:basedOn w:val="33"/>
    <w:qFormat/>
    <w:uiPriority w:val="0"/>
    <w:rPr>
      <w:rFonts w:ascii="Courier New" w:hAnsi="Courier New"/>
    </w:rPr>
  </w:style>
  <w:style w:type="paragraph" w:customStyle="1" w:styleId="40">
    <w:name w:val="List Paragraph"/>
    <w:basedOn w:val="1"/>
    <w:qFormat/>
    <w:uiPriority w:val="0"/>
    <w:pPr>
      <w:spacing w:line="240" w:lineRule="auto"/>
      <w:ind w:firstLine="420"/>
    </w:pPr>
    <w:rPr>
      <w:rFonts w:hint="default" w:ascii="Calibri" w:hAnsi="Calibri" w:eastAsia="宋体" w:cs="黑体"/>
      <w:sz w:val="21"/>
      <w:szCs w:val="22"/>
    </w:rPr>
  </w:style>
  <w:style w:type="paragraph" w:customStyle="1" w:styleId="41">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42">
    <w:name w:val="样式 标题 3h3H3sect1.2.3 + 五号 段前: 6 磅 段后: 6 磅 行距: 单倍行距"/>
    <w:qFormat/>
    <w:uiPriority w:val="0"/>
    <w:pPr>
      <w:keepNext/>
      <w:keepLines/>
      <w:widowControl w:val="0"/>
      <w:spacing w:before="120" w:after="120"/>
      <w:jc w:val="both"/>
      <w:outlineLvl w:val="2"/>
    </w:pPr>
    <w:rPr>
      <w:rFonts w:ascii="Calibri" w:hAnsi="Calibri" w:eastAsia="宋体" w:cs="Times New Roman"/>
      <w:b/>
      <w:bCs/>
      <w:kern w:val="2"/>
      <w:sz w:val="21"/>
      <w:lang w:val="en-US" w:eastAsia="zh-CN" w:bidi="ar-SA"/>
    </w:rPr>
  </w:style>
  <w:style w:type="paragraph" w:customStyle="1" w:styleId="43">
    <w:name w:val="样式 标题 2 + 宋体 五号 非加粗 黑色"/>
    <w:qFormat/>
    <w:uiPriority w:val="0"/>
    <w:pPr>
      <w:keepNext/>
      <w:keepLines/>
      <w:widowControl w:val="0"/>
      <w:spacing w:before="260" w:after="260" w:line="416" w:lineRule="atLeast"/>
      <w:jc w:val="both"/>
      <w:outlineLvl w:val="1"/>
    </w:pPr>
    <w:rPr>
      <w:rFonts w:ascii="宋体" w:hAnsi="宋体" w:eastAsia="宋体" w:cs="Times New Roman"/>
      <w:color w:val="000000"/>
      <w:kern w:val="2"/>
      <w:sz w:val="21"/>
      <w:szCs w:val="32"/>
      <w:lang w:val="en-US" w:eastAsia="zh-CN" w:bidi="ar-SA"/>
    </w:rPr>
  </w:style>
  <w:style w:type="paragraph" w:customStyle="1" w:styleId="44">
    <w:name w:val="2级正文"/>
    <w:qFormat/>
    <w:uiPriority w:val="0"/>
    <w:pPr>
      <w:widowControl w:val="0"/>
      <w:ind w:left="721" w:hanging="420"/>
    </w:pPr>
    <w:rPr>
      <w:rFonts w:ascii="宋体" w:hAnsi="宋体" w:eastAsia="宋体" w:cs="宋体"/>
      <w:kern w:val="2"/>
      <w:sz w:val="21"/>
      <w:szCs w:val="21"/>
      <w:lang w:val="en-US" w:eastAsia="zh-CN" w:bidi="ar-SA"/>
    </w:rPr>
  </w:style>
  <w:style w:type="paragraph" w:customStyle="1" w:styleId="45">
    <w:name w:val="_Style 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样式1"/>
    <w:qFormat/>
    <w:uiPriority w:val="0"/>
    <w:pPr>
      <w:widowControl w:val="0"/>
      <w:jc w:val="center"/>
    </w:pPr>
    <w:rPr>
      <w:rFonts w:ascii="宋体" w:hAnsi="宋体" w:eastAsia="宋体" w:cs="Times New Roman"/>
      <w:kern w:val="2"/>
      <w:sz w:val="30"/>
      <w:szCs w:val="28"/>
      <w:lang w:val="en-US" w:eastAsia="zh-CN" w:bidi="ar-SA"/>
    </w:rPr>
  </w:style>
  <w:style w:type="character" w:customStyle="1" w:styleId="47">
    <w:name w:val="layui-laypage-curr"/>
    <w:basedOn w:val="33"/>
    <w:qFormat/>
    <w:uiPriority w:val="0"/>
  </w:style>
  <w:style w:type="character" w:customStyle="1" w:styleId="48">
    <w:name w:val="label"/>
    <w:basedOn w:val="33"/>
    <w:qFormat/>
    <w:uiPriority w:val="0"/>
    <w:rPr>
      <w:color w:val="999999"/>
    </w:rPr>
  </w:style>
  <w:style w:type="character" w:customStyle="1" w:styleId="49">
    <w:name w:val="页眉 字符"/>
    <w:basedOn w:val="33"/>
    <w:link w:val="20"/>
    <w:qFormat/>
    <w:uiPriority w:val="0"/>
    <w:rPr>
      <w:rFonts w:ascii="Calibri" w:hAnsi="Calibri"/>
      <w:kern w:val="2"/>
      <w:sz w:val="18"/>
      <w:szCs w:val="24"/>
    </w:rPr>
  </w:style>
  <w:style w:type="character" w:customStyle="1" w:styleId="50">
    <w:name w:val="HTML 预设格式 字符"/>
    <w:basedOn w:val="33"/>
    <w:link w:val="27"/>
    <w:qFormat/>
    <w:uiPriority w:val="99"/>
    <w:rPr>
      <w:rFonts w:ascii="Arial" w:hAnsi="Arial" w:cs="Arial"/>
      <w:sz w:val="21"/>
      <w:szCs w:val="21"/>
    </w:rPr>
  </w:style>
  <w:style w:type="paragraph" w:customStyle="1" w:styleId="51">
    <w:name w:val="Header or footer|1"/>
    <w:basedOn w:val="1"/>
    <w:qFormat/>
    <w:uiPriority w:val="0"/>
    <w:rPr>
      <w:rFonts w:ascii="宋体" w:hAnsi="宋体" w:eastAsia="宋体" w:cs="宋体"/>
      <w:lang w:val="zh-TW" w:eastAsia="zh-TW" w:bidi="zh-TW"/>
    </w:rPr>
  </w:style>
  <w:style w:type="paragraph" w:customStyle="1" w:styleId="52">
    <w:name w:val=" Char Char Char"/>
    <w:basedOn w:val="1"/>
    <w:qFormat/>
    <w:uiPriority w:val="0"/>
    <w:rPr>
      <w:rFonts w:ascii="Tahoma" w:hAnsi="Tahoma"/>
      <w:sz w:val="24"/>
      <w:szCs w:val="20"/>
    </w:rPr>
  </w:style>
  <w:style w:type="character" w:customStyle="1" w:styleId="53">
    <w:name w:val="font21"/>
    <w:basedOn w:val="33"/>
    <w:qFormat/>
    <w:uiPriority w:val="0"/>
    <w:rPr>
      <w:rFonts w:hint="eastAsia" w:ascii="宋体" w:hAnsi="宋体" w:eastAsia="宋体" w:cs="宋体"/>
      <w:color w:val="000000"/>
      <w:sz w:val="20"/>
      <w:szCs w:val="20"/>
      <w:u w:val="none"/>
    </w:rPr>
  </w:style>
  <w:style w:type="character" w:customStyle="1" w:styleId="54">
    <w:name w:val="NormalCharacter"/>
    <w:semiHidden/>
    <w:qFormat/>
    <w:uiPriority w:val="0"/>
    <w:rPr>
      <w:kern w:val="2"/>
      <w:sz w:val="21"/>
      <w:szCs w:val="24"/>
      <w:lang w:val="en-US" w:eastAsia="zh-CN" w:bidi="ar-SA"/>
    </w:rPr>
  </w:style>
  <w:style w:type="paragraph" w:customStyle="1" w:styleId="5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6">
    <w:name w:val="Table Text"/>
    <w:basedOn w:val="1"/>
    <w:semiHidden/>
    <w:qFormat/>
    <w:uiPriority w:val="0"/>
    <w:rPr>
      <w:rFonts w:ascii="宋体" w:hAnsi="宋体" w:cs="宋体"/>
    </w:rPr>
  </w:style>
  <w:style w:type="table" w:customStyle="1" w:styleId="5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1330</Words>
  <Characters>1492</Characters>
  <Lines>351</Lines>
  <Paragraphs>98</Paragraphs>
  <TotalTime>1</TotalTime>
  <ScaleCrop>false</ScaleCrop>
  <LinksUpToDate>false</LinksUpToDate>
  <CharactersWithSpaces>1724</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2021-10-01T11:53:00Z</dcterms:created>
  <dc:creator>su</dc:creator>
  <cp:lastModifiedBy>weapon</cp:lastModifiedBy>
  <cp:lastPrinted>2021-11-17T11:39:00Z</cp:lastPrinted>
  <dcterms:modified xsi:type="dcterms:W3CDTF">2025-07-23T15:55:13Z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52793CAD88114698AF151EBE03452C8E_13</vt:lpwstr>
  </property>
  <property fmtid="{D5CDD505-2E9C-101B-9397-08002B2CF9AE}" pid="4" name="KSOTemplateDocerSaveRecord">
    <vt:lpwstr>eyJoZGlkIjoiYTdkMTMyMzIzMDg0OGM1ODA3MDQ2N2JlZjhkMjA3NjciLCJ1c2VySWQiOiI3NDE3NDgxMjgifQ==</vt:lpwstr>
  </property>
</Properties>
</file>