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6D3F1">
      <w:pPr>
        <w:keepNext w:val="0"/>
        <w:keepLines w:val="0"/>
        <w:pageBreakBefore w:val="0"/>
        <w:widowControl w:val="0"/>
        <w:kinsoku/>
        <w:wordWrap/>
        <w:overflowPunct/>
        <w:topLinePunct w:val="0"/>
        <w:autoSpaceDE/>
        <w:autoSpaceDN/>
        <w:bidi w:val="0"/>
        <w:adjustRightInd/>
        <w:snapToGrid/>
        <w:spacing w:line="660" w:lineRule="exact"/>
        <w:ind w:right="-108"/>
        <w:jc w:val="center"/>
        <w:textAlignment w:val="auto"/>
        <w:outlineLvl w:val="9"/>
        <w:rPr>
          <w:rFonts w:hint="eastAsia" w:ascii="华文中宋" w:hAnsi="华文中宋" w:eastAsia="华文中宋" w:cs="华文中宋"/>
          <w:b/>
          <w:bCs/>
          <w:color w:val="auto"/>
          <w:sz w:val="48"/>
          <w:szCs w:val="48"/>
        </w:rPr>
      </w:pPr>
    </w:p>
    <w:p w14:paraId="2C01EFE3">
      <w:pPr>
        <w:spacing w:before="360" w:beforeLines="150" w:after="120" w:afterLines="50"/>
        <w:jc w:val="center"/>
        <w:outlineLvl w:val="9"/>
        <w:rPr>
          <w:rFonts w:hint="eastAsia" w:ascii="华文中宋" w:hAnsi="华文中宋" w:eastAsia="华文中宋" w:cs="华文中宋"/>
          <w:color w:val="auto"/>
          <w:w w:val="80"/>
          <w:sz w:val="96"/>
          <w:szCs w:val="86"/>
        </w:rPr>
      </w:pPr>
    </w:p>
    <w:p w14:paraId="5FDEAA45">
      <w:pPr>
        <w:spacing w:before="360" w:beforeLines="150" w:after="120" w:afterLines="50"/>
        <w:jc w:val="center"/>
        <w:outlineLvl w:val="9"/>
        <w:rPr>
          <w:rFonts w:hint="eastAsia" w:ascii="华文中宋" w:hAnsi="华文中宋" w:eastAsia="华文中宋" w:cs="华文中宋"/>
          <w:b/>
          <w:color w:val="auto"/>
          <w:sz w:val="48"/>
          <w:szCs w:val="48"/>
        </w:rPr>
      </w:pPr>
      <w:r>
        <w:rPr>
          <w:rFonts w:hint="eastAsia" w:ascii="华文中宋" w:hAnsi="华文中宋" w:eastAsia="华文中宋" w:cs="华文中宋"/>
          <w:color w:val="auto"/>
          <w:w w:val="80"/>
          <w:sz w:val="96"/>
          <w:szCs w:val="86"/>
        </w:rPr>
        <w:t>竞争性磋商文件</w:t>
      </w:r>
    </w:p>
    <w:p w14:paraId="7832E390">
      <w:pPr>
        <w:adjustRightInd w:val="0"/>
        <w:snapToGrid w:val="0"/>
        <w:spacing w:line="300" w:lineRule="auto"/>
        <w:jc w:val="center"/>
        <w:outlineLvl w:val="9"/>
        <w:rPr>
          <w:rFonts w:hint="eastAsia" w:ascii="华文中宋" w:hAnsi="华文中宋" w:eastAsia="华文中宋" w:cs="华文中宋"/>
          <w:b/>
          <w:color w:val="auto"/>
          <w:sz w:val="48"/>
          <w:szCs w:val="48"/>
        </w:rPr>
      </w:pPr>
      <w:r>
        <w:rPr>
          <w:rFonts w:hint="eastAsia" w:ascii="华文中宋" w:hAnsi="华文中宋" w:eastAsia="华文中宋" w:cs="华文中宋"/>
          <w:b/>
          <w:color w:val="auto"/>
          <w:sz w:val="48"/>
          <w:szCs w:val="48"/>
        </w:rPr>
        <w:t>（</w:t>
      </w:r>
      <w:r>
        <w:rPr>
          <w:rFonts w:hint="eastAsia" w:ascii="华文中宋" w:hAnsi="华文中宋" w:eastAsia="华文中宋" w:cs="华文中宋"/>
          <w:b/>
          <w:color w:val="auto"/>
          <w:sz w:val="48"/>
          <w:szCs w:val="48"/>
          <w:lang w:val="en-US" w:eastAsia="zh-CN"/>
        </w:rPr>
        <w:t>工程</w:t>
      </w:r>
      <w:r>
        <w:rPr>
          <w:rFonts w:hint="eastAsia" w:ascii="华文中宋" w:hAnsi="华文中宋" w:eastAsia="华文中宋" w:cs="华文中宋"/>
          <w:b/>
          <w:color w:val="auto"/>
          <w:sz w:val="48"/>
          <w:szCs w:val="48"/>
        </w:rPr>
        <w:t>）</w:t>
      </w:r>
    </w:p>
    <w:p w14:paraId="0B596FE4">
      <w:pPr>
        <w:pStyle w:val="38"/>
        <w:outlineLvl w:val="9"/>
        <w:rPr>
          <w:rFonts w:hint="eastAsia" w:ascii="华文中宋" w:hAnsi="华文中宋" w:eastAsia="华文中宋" w:cs="华文中宋"/>
          <w:b/>
          <w:color w:val="auto"/>
          <w:sz w:val="48"/>
          <w:szCs w:val="48"/>
        </w:rPr>
      </w:pPr>
    </w:p>
    <w:p w14:paraId="45A1924C">
      <w:pPr>
        <w:adjustRightInd w:val="0"/>
        <w:snapToGrid w:val="0"/>
        <w:spacing w:line="480" w:lineRule="auto"/>
        <w:outlineLvl w:val="9"/>
        <w:rPr>
          <w:rFonts w:hint="eastAsia" w:ascii="华文中宋" w:hAnsi="华文中宋" w:eastAsia="华文中宋" w:cs="华文中宋"/>
          <w:b/>
          <w:bCs/>
          <w:color w:val="auto"/>
          <w:sz w:val="32"/>
          <w:szCs w:val="32"/>
          <w:highlight w:val="none"/>
        </w:rPr>
      </w:pPr>
    </w:p>
    <w:p w14:paraId="74C8E1E9">
      <w:pPr>
        <w:adjustRightInd w:val="0"/>
        <w:snapToGrid w:val="0"/>
        <w:spacing w:line="480" w:lineRule="auto"/>
        <w:jc w:val="left"/>
        <w:outlineLvl w:val="9"/>
        <w:rPr>
          <w:rFonts w:hint="eastAsia" w:ascii="华文中宋" w:hAnsi="华文中宋" w:eastAsia="华文中宋" w:cs="华文中宋"/>
          <w:bCs/>
          <w:color w:val="auto"/>
          <w:sz w:val="32"/>
          <w:szCs w:val="32"/>
          <w:lang w:val="en-US" w:eastAsia="zh-CN"/>
        </w:rPr>
      </w:pPr>
      <w:r>
        <w:rPr>
          <w:rFonts w:hint="eastAsia" w:ascii="华文中宋" w:hAnsi="华文中宋" w:eastAsia="华文中宋" w:cs="华文中宋"/>
          <w:bCs/>
          <w:color w:val="auto"/>
          <w:sz w:val="32"/>
          <w:szCs w:val="32"/>
          <w:lang w:val="en-US" w:eastAsia="zh-CN"/>
        </w:rPr>
        <w:t>项目编号：1410332025BCS00022</w:t>
      </w:r>
    </w:p>
    <w:p w14:paraId="3E855B70">
      <w:pPr>
        <w:adjustRightInd w:val="0"/>
        <w:snapToGrid w:val="0"/>
        <w:spacing w:line="360" w:lineRule="auto"/>
        <w:ind w:left="1600" w:hanging="1600" w:hangingChars="500"/>
        <w:jc w:val="left"/>
        <w:outlineLvl w:val="9"/>
        <w:rPr>
          <w:rFonts w:hint="eastAsia" w:ascii="华文中宋" w:hAnsi="华文中宋" w:eastAsia="华文中宋" w:cs="华文中宋"/>
          <w:bCs/>
          <w:color w:val="auto"/>
          <w:sz w:val="32"/>
          <w:szCs w:val="32"/>
          <w:lang w:val="en-US" w:eastAsia="zh-CN"/>
        </w:rPr>
      </w:pPr>
      <w:r>
        <w:rPr>
          <w:rFonts w:hint="eastAsia" w:ascii="华文中宋" w:hAnsi="华文中宋" w:eastAsia="华文中宋" w:cs="华文中宋"/>
          <w:bCs/>
          <w:color w:val="auto"/>
          <w:sz w:val="32"/>
          <w:szCs w:val="32"/>
          <w:lang w:val="en-US" w:eastAsia="zh-CN"/>
        </w:rPr>
        <w:t>项目名称：蒲县昕水河、北川河生态综合治理工程供电线路迁改工程</w:t>
      </w:r>
    </w:p>
    <w:p w14:paraId="63DB25C3">
      <w:pPr>
        <w:adjustRightInd w:val="0"/>
        <w:snapToGrid w:val="0"/>
        <w:spacing w:line="480" w:lineRule="auto"/>
        <w:jc w:val="left"/>
        <w:outlineLvl w:val="9"/>
        <w:rPr>
          <w:rFonts w:hint="eastAsia" w:ascii="华文中宋" w:hAnsi="华文中宋" w:eastAsia="华文中宋" w:cs="华文中宋"/>
          <w:bCs/>
          <w:color w:val="auto"/>
          <w:sz w:val="32"/>
          <w:szCs w:val="32"/>
          <w:lang w:val="en-US" w:eastAsia="zh-CN"/>
        </w:rPr>
      </w:pPr>
      <w:r>
        <w:rPr>
          <w:rFonts w:hint="eastAsia" w:ascii="华文中宋" w:hAnsi="华文中宋" w:eastAsia="华文中宋" w:cs="华文中宋"/>
          <w:bCs/>
          <w:color w:val="auto"/>
          <w:sz w:val="32"/>
          <w:szCs w:val="32"/>
        </w:rPr>
        <w:t>采</w:t>
      </w:r>
      <w:r>
        <w:rPr>
          <w:rFonts w:hint="eastAsia" w:ascii="华文中宋" w:hAnsi="华文中宋" w:eastAsia="华文中宋" w:cs="华文中宋"/>
          <w:bCs/>
          <w:color w:val="auto"/>
          <w:sz w:val="32"/>
          <w:szCs w:val="32"/>
          <w:lang w:val="en-US" w:eastAsia="zh-CN"/>
        </w:rPr>
        <w:t xml:space="preserve"> </w:t>
      </w:r>
      <w:r>
        <w:rPr>
          <w:rFonts w:hint="eastAsia" w:ascii="华文中宋" w:hAnsi="华文中宋" w:eastAsia="华文中宋" w:cs="华文中宋"/>
          <w:bCs/>
          <w:color w:val="auto"/>
          <w:sz w:val="32"/>
          <w:szCs w:val="32"/>
        </w:rPr>
        <w:t>购</w:t>
      </w:r>
      <w:r>
        <w:rPr>
          <w:rFonts w:hint="eastAsia" w:ascii="华文中宋" w:hAnsi="华文中宋" w:eastAsia="华文中宋" w:cs="华文中宋"/>
          <w:bCs/>
          <w:color w:val="auto"/>
          <w:sz w:val="32"/>
          <w:szCs w:val="32"/>
          <w:lang w:val="en-US" w:eastAsia="zh-CN"/>
        </w:rPr>
        <w:t xml:space="preserve"> </w:t>
      </w:r>
      <w:r>
        <w:rPr>
          <w:rFonts w:hint="eastAsia" w:ascii="华文中宋" w:hAnsi="华文中宋" w:eastAsia="华文中宋" w:cs="华文中宋"/>
          <w:bCs/>
          <w:color w:val="auto"/>
          <w:sz w:val="32"/>
          <w:szCs w:val="32"/>
        </w:rPr>
        <w:t>人：</w:t>
      </w:r>
      <w:r>
        <w:rPr>
          <w:rFonts w:hint="eastAsia" w:ascii="华文中宋" w:hAnsi="华文中宋" w:eastAsia="华文中宋" w:cs="华文中宋"/>
          <w:bCs/>
          <w:color w:val="auto"/>
          <w:sz w:val="32"/>
          <w:szCs w:val="32"/>
          <w:lang w:val="en-US" w:eastAsia="zh-CN"/>
        </w:rPr>
        <w:t>蒲县住房和城乡建设管理局</w:t>
      </w:r>
    </w:p>
    <w:p w14:paraId="017C5743">
      <w:pPr>
        <w:adjustRightInd w:val="0"/>
        <w:snapToGrid w:val="0"/>
        <w:spacing w:line="480" w:lineRule="auto"/>
        <w:jc w:val="left"/>
        <w:outlineLvl w:val="9"/>
        <w:rPr>
          <w:rFonts w:hint="eastAsia" w:ascii="华文中宋" w:hAnsi="华文中宋" w:eastAsia="华文中宋" w:cs="华文中宋"/>
          <w:color w:val="auto"/>
          <w:sz w:val="32"/>
          <w:szCs w:val="32"/>
        </w:rPr>
      </w:pPr>
      <w:r>
        <w:rPr>
          <w:rFonts w:hint="eastAsia" w:ascii="华文中宋" w:hAnsi="华文中宋" w:eastAsia="华文中宋" w:cs="华文中宋"/>
          <w:bCs/>
          <w:color w:val="auto"/>
          <w:sz w:val="32"/>
          <w:szCs w:val="32"/>
        </w:rPr>
        <w:t>代理机构：</w:t>
      </w:r>
      <w:r>
        <w:rPr>
          <w:rFonts w:hint="eastAsia" w:ascii="华文中宋" w:hAnsi="华文中宋" w:eastAsia="华文中宋" w:cs="华文中宋"/>
          <w:color w:val="auto"/>
          <w:sz w:val="32"/>
          <w:szCs w:val="32"/>
        </w:rPr>
        <w:t>山西中际华工程项目管理有限公司</w:t>
      </w:r>
    </w:p>
    <w:p w14:paraId="1FC196EF">
      <w:pPr>
        <w:pStyle w:val="13"/>
        <w:outlineLvl w:val="9"/>
        <w:rPr>
          <w:rFonts w:hint="eastAsia"/>
          <w:color w:val="auto"/>
        </w:rPr>
      </w:pPr>
    </w:p>
    <w:p w14:paraId="667E3DD3">
      <w:pPr>
        <w:pStyle w:val="38"/>
        <w:jc w:val="center"/>
        <w:outlineLvl w:val="9"/>
        <w:rPr>
          <w:rFonts w:hint="eastAsia" w:ascii="华文中宋" w:hAnsi="华文中宋" w:eastAsia="华文中宋" w:cs="华文中宋"/>
          <w:color w:val="auto"/>
          <w:sz w:val="28"/>
          <w:szCs w:val="28"/>
        </w:rPr>
      </w:pPr>
    </w:p>
    <w:p w14:paraId="41DC7020">
      <w:pPr>
        <w:adjustRightInd w:val="0"/>
        <w:snapToGrid w:val="0"/>
        <w:spacing w:line="480" w:lineRule="auto"/>
        <w:jc w:val="center"/>
        <w:outlineLvl w:val="9"/>
        <w:rPr>
          <w:rFonts w:hint="eastAsia" w:ascii="华文中宋" w:hAnsi="华文中宋" w:eastAsia="华文中宋" w:cs="华文中宋"/>
          <w:bCs/>
          <w:color w:val="auto"/>
          <w:sz w:val="32"/>
          <w:szCs w:val="32"/>
          <w:highlight w:val="none"/>
          <w:lang w:val="en-US" w:eastAsia="zh-CN"/>
        </w:rPr>
      </w:pPr>
      <w:r>
        <w:rPr>
          <w:rFonts w:hint="eastAsia" w:ascii="华文中宋" w:hAnsi="华文中宋" w:eastAsia="华文中宋" w:cs="华文中宋"/>
          <w:bCs/>
          <w:color w:val="auto"/>
          <w:sz w:val="32"/>
          <w:szCs w:val="32"/>
          <w:highlight w:val="none"/>
        </w:rPr>
        <w:t>日期：202</w:t>
      </w:r>
      <w:r>
        <w:rPr>
          <w:rFonts w:hint="eastAsia" w:ascii="华文中宋" w:hAnsi="华文中宋" w:eastAsia="华文中宋" w:cs="华文中宋"/>
          <w:bCs/>
          <w:color w:val="auto"/>
          <w:sz w:val="32"/>
          <w:szCs w:val="32"/>
          <w:highlight w:val="none"/>
          <w:lang w:val="en-US" w:eastAsia="zh-CN"/>
        </w:rPr>
        <w:t>5</w:t>
      </w:r>
      <w:r>
        <w:rPr>
          <w:rFonts w:hint="eastAsia" w:ascii="华文中宋" w:hAnsi="华文中宋" w:eastAsia="华文中宋" w:cs="华文中宋"/>
          <w:bCs/>
          <w:color w:val="auto"/>
          <w:sz w:val="32"/>
          <w:szCs w:val="32"/>
          <w:highlight w:val="none"/>
        </w:rPr>
        <w:t>年</w:t>
      </w:r>
      <w:r>
        <w:rPr>
          <w:rFonts w:hint="eastAsia" w:ascii="华文中宋" w:hAnsi="华文中宋" w:eastAsia="华文中宋" w:cs="华文中宋"/>
          <w:bCs/>
          <w:color w:val="auto"/>
          <w:sz w:val="32"/>
          <w:szCs w:val="32"/>
          <w:highlight w:val="none"/>
          <w:lang w:val="en-US" w:eastAsia="zh-CN"/>
        </w:rPr>
        <w:t>05月</w:t>
      </w:r>
    </w:p>
    <w:p w14:paraId="6536FA2D">
      <w:pPr>
        <w:adjustRightInd w:val="0"/>
        <w:snapToGrid w:val="0"/>
        <w:spacing w:line="360" w:lineRule="auto"/>
        <w:ind w:left="1680" w:leftChars="800"/>
        <w:jc w:val="left"/>
        <w:outlineLvl w:val="9"/>
        <w:rPr>
          <w:rFonts w:hint="eastAsia" w:ascii="华文中宋" w:hAnsi="华文中宋" w:eastAsia="华文中宋" w:cs="华文中宋"/>
          <w:bCs/>
          <w:color w:val="auto"/>
          <w:szCs w:val="21"/>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720" w:footer="720" w:gutter="0"/>
          <w:pgBorders>
            <w:top w:val="none" w:sz="0" w:space="0"/>
            <w:left w:val="none" w:sz="0" w:space="0"/>
            <w:bottom w:val="none" w:sz="0" w:space="0"/>
            <w:right w:val="none" w:sz="0" w:space="0"/>
          </w:pgBorders>
          <w:pgNumType w:start="0"/>
          <w:cols w:space="720" w:num="1"/>
          <w:titlePg/>
          <w:docGrid w:linePitch="286" w:charSpace="-3831"/>
        </w:sectPr>
      </w:pPr>
    </w:p>
    <w:p w14:paraId="74951BAD">
      <w:pPr>
        <w:jc w:val="center"/>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36"/>
          <w:szCs w:val="36"/>
          <w:lang w:val="zh-CN"/>
        </w:rPr>
        <w:t>目  录</w:t>
      </w:r>
    </w:p>
    <w:p w14:paraId="385F87AB">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color w:val="auto"/>
          <w:sz w:val="28"/>
          <w:szCs w:val="28"/>
        </w:rPr>
        <w:instrText xml:space="preserve">TOC \o "1-3" \h \u </w:instrText>
      </w:r>
      <w:r>
        <w:rPr>
          <w:rFonts w:hint="eastAsia" w:ascii="华文中宋" w:hAnsi="华文中宋" w:eastAsia="华文中宋" w:cs="华文中宋"/>
          <w:b/>
          <w:bCs/>
          <w:color w:val="auto"/>
          <w:sz w:val="28"/>
          <w:szCs w:val="28"/>
        </w:rPr>
        <w:fldChar w:fldCharType="separate"/>
      </w: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_Toc26721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sz w:val="28"/>
          <w:szCs w:val="28"/>
          <w:lang w:val="en-US" w:eastAsia="zh-CN"/>
        </w:rPr>
        <w:t>第一部分 磋商公告</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_Toc26721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284FB00D">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_Toc16673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sz w:val="28"/>
          <w:szCs w:val="28"/>
          <w:lang w:val="en-US" w:eastAsia="zh-CN"/>
        </w:rPr>
        <w:t>第二部分 磋商供应商须知前附表</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_Toc16673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6</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1C15589B">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_Toc25164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sz w:val="28"/>
          <w:szCs w:val="28"/>
          <w:lang w:val="en-US" w:eastAsia="zh-CN"/>
        </w:rPr>
        <w:t>第三部分 磋商供应商须知</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_Toc25164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10</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0195896C">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_Toc20746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第四部分 评审标准和评审方法</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_Toc20746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27</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2E0B8956">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_Toc25718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第五部分 技术标准和要求</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_Toc25718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32</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6FB1CAA2">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_Toc18328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第六部分 工程量清单</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_Toc18328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36</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6DB39663">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_Toc32110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第七部分 合同条款</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_Toc32110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36</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1EBB7988">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_Toc6798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第八部分 响应文件内容要求及格式</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_Toc6798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148</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5EE64E56">
      <w:pPr>
        <w:pStyle w:val="22"/>
        <w:spacing w:line="360" w:lineRule="auto"/>
        <w:outlineLvl w:val="9"/>
        <w:rPr>
          <w:rFonts w:hint="eastAsia" w:ascii="华文中宋" w:hAnsi="华文中宋" w:eastAsia="华文中宋" w:cs="华文中宋"/>
          <w:b/>
          <w:bCs w:val="0"/>
          <w:color w:val="auto"/>
          <w:sz w:val="28"/>
          <w:szCs w:val="28"/>
        </w:rPr>
      </w:pPr>
      <w:r>
        <w:rPr>
          <w:rFonts w:hint="eastAsia" w:ascii="华文中宋" w:hAnsi="华文中宋" w:eastAsia="华文中宋" w:cs="华文中宋"/>
          <w:b/>
          <w:bCs/>
          <w:color w:val="auto"/>
          <w:sz w:val="28"/>
          <w:szCs w:val="28"/>
        </w:rPr>
        <w:fldChar w:fldCharType="end"/>
      </w:r>
    </w:p>
    <w:p w14:paraId="7589E25D">
      <w:pPr>
        <w:widowControl/>
        <w:jc w:val="left"/>
        <w:outlineLvl w:val="9"/>
        <w:rPr>
          <w:rFonts w:hint="eastAsia" w:ascii="华文中宋" w:hAnsi="华文中宋" w:eastAsia="华文中宋" w:cs="华文中宋"/>
          <w:color w:val="auto"/>
        </w:rPr>
      </w:pPr>
    </w:p>
    <w:p w14:paraId="6A4F4693">
      <w:pPr>
        <w:outlineLvl w:val="9"/>
        <w:rPr>
          <w:rFonts w:hint="eastAsia" w:ascii="华文中宋" w:hAnsi="华文中宋" w:eastAsia="华文中宋" w:cs="华文中宋"/>
          <w:color w:val="auto"/>
        </w:rPr>
      </w:pPr>
    </w:p>
    <w:p w14:paraId="0C015909">
      <w:pPr>
        <w:outlineLvl w:val="9"/>
        <w:rPr>
          <w:rFonts w:hint="eastAsia" w:ascii="华文中宋" w:hAnsi="华文中宋" w:eastAsia="华文中宋" w:cs="华文中宋"/>
          <w:color w:val="auto"/>
        </w:rPr>
      </w:pPr>
    </w:p>
    <w:p w14:paraId="5BCD2FA7">
      <w:pPr>
        <w:outlineLvl w:val="9"/>
        <w:rPr>
          <w:rFonts w:hint="eastAsia" w:ascii="华文中宋" w:hAnsi="华文中宋" w:eastAsia="华文中宋" w:cs="华文中宋"/>
          <w:color w:val="auto"/>
        </w:rPr>
      </w:pPr>
    </w:p>
    <w:p w14:paraId="1F63C5B4">
      <w:pPr>
        <w:outlineLvl w:val="9"/>
        <w:rPr>
          <w:rFonts w:hint="eastAsia" w:ascii="华文中宋" w:hAnsi="华文中宋" w:eastAsia="华文中宋" w:cs="华文中宋"/>
          <w:color w:val="auto"/>
        </w:rPr>
      </w:pPr>
    </w:p>
    <w:p w14:paraId="2549483F">
      <w:pPr>
        <w:outlineLvl w:val="9"/>
        <w:rPr>
          <w:rFonts w:hint="eastAsia" w:ascii="华文中宋" w:hAnsi="华文中宋" w:eastAsia="华文中宋" w:cs="华文中宋"/>
          <w:color w:val="auto"/>
        </w:rPr>
      </w:pPr>
    </w:p>
    <w:p w14:paraId="5BC2E42A">
      <w:pPr>
        <w:outlineLvl w:val="9"/>
        <w:rPr>
          <w:rFonts w:hint="eastAsia" w:ascii="华文中宋" w:hAnsi="华文中宋" w:eastAsia="华文中宋" w:cs="华文中宋"/>
          <w:color w:val="auto"/>
        </w:rPr>
      </w:pPr>
    </w:p>
    <w:p w14:paraId="292095D9">
      <w:pPr>
        <w:outlineLvl w:val="9"/>
        <w:rPr>
          <w:rFonts w:hint="eastAsia" w:ascii="华文中宋" w:hAnsi="华文中宋" w:eastAsia="华文中宋" w:cs="华文中宋"/>
          <w:color w:val="auto"/>
        </w:rPr>
      </w:pPr>
    </w:p>
    <w:p w14:paraId="0A24D3F9">
      <w:pPr>
        <w:outlineLvl w:val="9"/>
        <w:rPr>
          <w:rFonts w:hint="eastAsia" w:ascii="华文中宋" w:hAnsi="华文中宋" w:eastAsia="华文中宋" w:cs="华文中宋"/>
          <w:color w:val="auto"/>
        </w:rPr>
      </w:pPr>
    </w:p>
    <w:p w14:paraId="6947D787">
      <w:pPr>
        <w:outlineLvl w:val="9"/>
        <w:rPr>
          <w:rFonts w:hint="eastAsia" w:ascii="华文中宋" w:hAnsi="华文中宋" w:eastAsia="华文中宋" w:cs="华文中宋"/>
          <w:color w:val="auto"/>
        </w:rPr>
      </w:pPr>
    </w:p>
    <w:p w14:paraId="340431D1">
      <w:pPr>
        <w:outlineLvl w:val="9"/>
        <w:rPr>
          <w:rFonts w:hint="eastAsia" w:ascii="华文中宋" w:hAnsi="华文中宋" w:eastAsia="华文中宋" w:cs="华文中宋"/>
          <w:color w:val="auto"/>
        </w:rPr>
      </w:pPr>
    </w:p>
    <w:p w14:paraId="20AE9197">
      <w:pPr>
        <w:outlineLvl w:val="9"/>
        <w:rPr>
          <w:rFonts w:hint="eastAsia" w:ascii="华文中宋" w:hAnsi="华文中宋" w:eastAsia="华文中宋" w:cs="华文中宋"/>
          <w:color w:val="auto"/>
        </w:rPr>
      </w:pPr>
    </w:p>
    <w:p w14:paraId="62B4CC17">
      <w:pPr>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华文中宋" w:hAnsi="华文中宋" w:eastAsia="华文中宋" w:cs="华文中宋"/>
          <w:color w:val="auto"/>
          <w:spacing w:val="20"/>
          <w:sz w:val="44"/>
          <w:szCs w:val="44"/>
          <w:lang w:val="en-US" w:eastAsia="zh-CN"/>
        </w:rPr>
      </w:pPr>
      <w:bookmarkStart w:id="0" w:name="_Toc8269"/>
      <w:r>
        <w:rPr>
          <w:rFonts w:hint="eastAsia" w:ascii="华文中宋" w:hAnsi="华文中宋" w:eastAsia="华文中宋" w:cs="华文中宋"/>
          <w:b/>
          <w:bCs/>
          <w:color w:val="auto"/>
          <w:spacing w:val="0"/>
          <w:sz w:val="44"/>
          <w:szCs w:val="44"/>
          <w:lang w:val="en-US" w:eastAsia="zh-CN"/>
        </w:rPr>
        <w:br w:type="page"/>
      </w:r>
      <w:bookmarkStart w:id="1" w:name="_Toc26721"/>
      <w:r>
        <w:rPr>
          <w:rFonts w:hint="eastAsia" w:ascii="华文中宋" w:hAnsi="华文中宋" w:eastAsia="华文中宋" w:cs="华文中宋"/>
          <w:b/>
          <w:bCs/>
          <w:color w:val="auto"/>
          <w:spacing w:val="0"/>
          <w:sz w:val="44"/>
          <w:szCs w:val="44"/>
          <w:lang w:val="en-US" w:eastAsia="zh-CN"/>
        </w:rPr>
        <w:t>第一部分 磋商公告</w:t>
      </w:r>
      <w:bookmarkEnd w:id="0"/>
      <w:bookmarkEnd w:id="1"/>
    </w:p>
    <w:p w14:paraId="148C65CD">
      <w:pPr>
        <w:numPr>
          <w:ilvl w:val="0"/>
          <w:numId w:val="0"/>
        </w:numPr>
        <w:outlineLvl w:val="9"/>
        <w:rPr>
          <w:rFonts w:hint="eastAsia" w:ascii="华文中宋" w:hAnsi="华文中宋" w:eastAsia="华文中宋" w:cs="华文中宋"/>
          <w:color w:val="auto"/>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72C9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noWrap w:val="0"/>
            <w:vAlign w:val="top"/>
          </w:tcPr>
          <w:p w14:paraId="706D8D48">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项目概况                                                                </w:t>
            </w:r>
          </w:p>
          <w:p w14:paraId="4F838E8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蒲县昕水河、北川河生态综合治理工程供电线路迁改工程采购项目的潜在供应商应在政采云平台线上获取获取采购文件，并于2025年06月06日 09:30（北京时间）前提交响应文件。</w:t>
            </w:r>
          </w:p>
        </w:tc>
      </w:tr>
    </w:tbl>
    <w:p w14:paraId="75D2950F">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lang w:val="en-US" w:eastAsia="zh-CN"/>
        </w:rPr>
      </w:pPr>
      <w:r>
        <w:rPr>
          <w:rFonts w:hint="eastAsia" w:ascii="华文中宋" w:hAnsi="华文中宋" w:eastAsia="华文中宋" w:cs="华文中宋"/>
          <w:b/>
          <w:bCs/>
          <w:color w:val="auto"/>
          <w:sz w:val="24"/>
          <w:szCs w:val="24"/>
          <w:lang w:val="en-US" w:eastAsia="zh-CN"/>
        </w:rPr>
        <w:t>一、项目基本情况</w:t>
      </w:r>
    </w:p>
    <w:p w14:paraId="68A09F63">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项目编号：1410332025BCS00022     </w:t>
      </w:r>
    </w:p>
    <w:p w14:paraId="299A52CC">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项目名称：蒲县昕水河、北川河生态综合治理工程供电线路迁改工程    </w:t>
      </w:r>
    </w:p>
    <w:p w14:paraId="751FB3B8">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采购方式：竞争性磋商           </w:t>
      </w:r>
    </w:p>
    <w:p w14:paraId="0EB59EA7">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预算金额（元）：1011626     </w:t>
      </w:r>
    </w:p>
    <w:p w14:paraId="414C1736">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最高限价（元）：1011626     </w:t>
      </w:r>
    </w:p>
    <w:p w14:paraId="4FF5BCD8">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采购需求：</w:t>
      </w:r>
    </w:p>
    <w:p w14:paraId="3CA7D6A6">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标项名称：采购包1 </w:t>
      </w:r>
      <w:r>
        <w:rPr>
          <w:rFonts w:hint="eastAsia" w:ascii="华文中宋" w:hAnsi="华文中宋" w:eastAsia="华文中宋" w:cs="华文中宋"/>
          <w:color w:val="auto"/>
          <w:sz w:val="24"/>
          <w:szCs w:val="24"/>
          <w:highlight w:val="none"/>
          <w:lang w:val="en-US" w:eastAsia="zh-CN"/>
        </w:rPr>
        <w:br w:type="textWrapping"/>
      </w:r>
      <w:r>
        <w:rPr>
          <w:rFonts w:hint="eastAsia" w:ascii="华文中宋" w:hAnsi="华文中宋" w:eastAsia="华文中宋" w:cs="华文中宋"/>
          <w:color w:val="auto"/>
          <w:sz w:val="24"/>
          <w:szCs w:val="24"/>
          <w:highlight w:val="none"/>
          <w:lang w:val="en-US" w:eastAsia="zh-CN"/>
        </w:rPr>
        <w:t>     数量：</w:t>
      </w:r>
      <w:r>
        <w:rPr>
          <w:rFonts w:hint="eastAsia" w:ascii="华文中宋" w:hAnsi="华文中宋" w:eastAsia="华文中宋" w:cs="华文中宋"/>
          <w:color w:val="auto"/>
          <w:sz w:val="24"/>
          <w:szCs w:val="24"/>
          <w:highlight w:val="none"/>
          <w:lang w:val="en-US" w:eastAsia="zh-CN"/>
        </w:rPr>
        <w:br w:type="textWrapping"/>
      </w:r>
      <w:r>
        <w:rPr>
          <w:rFonts w:hint="eastAsia" w:ascii="华文中宋" w:hAnsi="华文中宋" w:eastAsia="华文中宋" w:cs="华文中宋"/>
          <w:color w:val="auto"/>
          <w:sz w:val="24"/>
          <w:szCs w:val="24"/>
          <w:highlight w:val="none"/>
          <w:lang w:val="en-US" w:eastAsia="zh-CN"/>
        </w:rPr>
        <w:t>     预算金额（元）：1011626</w:t>
      </w:r>
      <w:r>
        <w:rPr>
          <w:rFonts w:hint="eastAsia" w:ascii="华文中宋" w:hAnsi="华文中宋" w:eastAsia="华文中宋" w:cs="华文中宋"/>
          <w:color w:val="auto"/>
          <w:sz w:val="24"/>
          <w:szCs w:val="24"/>
          <w:highlight w:val="none"/>
          <w:lang w:val="en-US" w:eastAsia="zh-CN"/>
        </w:rPr>
        <w:br w:type="textWrapping"/>
      </w:r>
      <w:r>
        <w:rPr>
          <w:rFonts w:hint="eastAsia" w:ascii="华文中宋" w:hAnsi="华文中宋" w:eastAsia="华文中宋" w:cs="华文中宋"/>
          <w:color w:val="auto"/>
          <w:sz w:val="24"/>
          <w:szCs w:val="24"/>
          <w:highlight w:val="none"/>
          <w:lang w:val="en-US" w:eastAsia="zh-CN"/>
        </w:rPr>
        <w:t>     单位：</w:t>
      </w:r>
      <w:r>
        <w:rPr>
          <w:rFonts w:hint="eastAsia" w:ascii="华文中宋" w:hAnsi="华文中宋" w:eastAsia="华文中宋" w:cs="华文中宋"/>
          <w:color w:val="auto"/>
          <w:sz w:val="24"/>
          <w:szCs w:val="24"/>
          <w:highlight w:val="none"/>
          <w:lang w:val="en-US" w:eastAsia="zh-CN"/>
        </w:rPr>
        <w:br w:type="textWrapping"/>
      </w:r>
      <w:r>
        <w:rPr>
          <w:rFonts w:hint="eastAsia" w:ascii="华文中宋" w:hAnsi="华文中宋" w:eastAsia="华文中宋" w:cs="华文中宋"/>
          <w:color w:val="auto"/>
          <w:sz w:val="24"/>
          <w:szCs w:val="24"/>
          <w:highlight w:val="none"/>
          <w:lang w:val="en-US" w:eastAsia="zh-CN"/>
        </w:rPr>
        <w:t>     简要规格描述：蒲县昕水河、北川河生态综合治理工程供电线路迁改工程工程量清单中的全部内容。</w:t>
      </w:r>
      <w:r>
        <w:rPr>
          <w:rFonts w:hint="eastAsia" w:ascii="华文中宋" w:hAnsi="华文中宋" w:eastAsia="华文中宋" w:cs="华文中宋"/>
          <w:color w:val="auto"/>
          <w:sz w:val="24"/>
          <w:szCs w:val="24"/>
          <w:highlight w:val="none"/>
          <w:lang w:val="en-US" w:eastAsia="zh-CN"/>
        </w:rPr>
        <w:br w:type="textWrapping"/>
      </w:r>
      <w:r>
        <w:rPr>
          <w:rFonts w:hint="eastAsia" w:ascii="华文中宋" w:hAnsi="华文中宋" w:eastAsia="华文中宋" w:cs="华文中宋"/>
          <w:color w:val="auto"/>
          <w:sz w:val="24"/>
          <w:szCs w:val="24"/>
          <w:highlight w:val="none"/>
          <w:lang w:val="en-US" w:eastAsia="zh-CN"/>
        </w:rPr>
        <w:t>     备注：    </w:t>
      </w:r>
    </w:p>
    <w:p w14:paraId="0AEFEF6B">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合同履约期限：包 1，20日历天        </w:t>
      </w:r>
    </w:p>
    <w:p w14:paraId="35402BD6">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本项目（否）接受联合体投标。  </w:t>
      </w:r>
    </w:p>
    <w:p w14:paraId="5EA97FE5">
      <w:pPr>
        <w:keepNext w:val="0"/>
        <w:keepLines w:val="0"/>
        <w:pageBreakBefore w:val="0"/>
        <w:widowControl w:val="0"/>
        <w:numPr>
          <w:ilvl w:val="0"/>
          <w:numId w:val="2"/>
        </w:numPr>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b/>
          <w:bCs/>
          <w:color w:val="auto"/>
          <w:sz w:val="24"/>
          <w:szCs w:val="24"/>
          <w:lang w:val="en-US" w:eastAsia="zh-CN"/>
        </w:rPr>
        <w:t>申请人的资格要求</w:t>
      </w:r>
    </w:p>
    <w:p w14:paraId="7C9E6901">
      <w:pPr>
        <w:keepNext w:val="0"/>
        <w:keepLines w:val="0"/>
        <w:pageBreakBefore w:val="0"/>
        <w:widowControl w:val="0"/>
        <w:numPr>
          <w:numId w:val="0"/>
        </w:numPr>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1.满足《中华人民共和国政府采购法》第二十二条规定；        </w:t>
      </w:r>
    </w:p>
    <w:p w14:paraId="50AF4385">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2.落实政府采购政策需满足的资格要求：包1：本项目专门面向中小企业        </w:t>
      </w:r>
    </w:p>
    <w:p w14:paraId="4E9EA8B7">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3.本项目的特定资格要求：</w:t>
      </w:r>
      <w:r>
        <w:rPr>
          <w:rFonts w:hint="eastAsia" w:ascii="华文中宋" w:hAnsi="华文中宋" w:eastAsia="华文中宋" w:cs="华文中宋"/>
          <w:color w:val="auto"/>
          <w:sz w:val="24"/>
          <w:szCs w:val="24"/>
          <w:lang w:val="en-US" w:eastAsia="zh-CN"/>
        </w:rPr>
        <w:br w:type="textWrapping"/>
      </w:r>
      <w:r>
        <w:rPr>
          <w:rFonts w:hint="eastAsia" w:ascii="华文中宋" w:hAnsi="华文中宋" w:eastAsia="华文中宋" w:cs="华文中宋"/>
          <w:color w:val="auto"/>
          <w:sz w:val="24"/>
          <w:szCs w:val="24"/>
          <w:lang w:val="en-US" w:eastAsia="zh-CN"/>
        </w:rPr>
        <w:t>【包1】</w:t>
      </w:r>
      <w:r>
        <w:rPr>
          <w:rFonts w:hint="eastAsia" w:ascii="华文中宋" w:hAnsi="华文中宋" w:eastAsia="华文中宋" w:cs="华文中宋"/>
          <w:color w:val="auto"/>
          <w:sz w:val="24"/>
          <w:szCs w:val="24"/>
          <w:lang w:val="en-US" w:eastAsia="zh-CN"/>
        </w:rPr>
        <w:br w:type="textWrapping"/>
      </w:r>
      <w:r>
        <w:rPr>
          <w:rFonts w:hint="eastAsia" w:ascii="华文中宋" w:hAnsi="华文中宋" w:eastAsia="华文中宋" w:cs="华文中宋"/>
          <w:color w:val="auto"/>
          <w:sz w:val="24"/>
          <w:szCs w:val="24"/>
          <w:lang w:val="en-US" w:eastAsia="zh-CN"/>
        </w:rPr>
        <w:t>供应商须具备电力工程施工总承包贰级及以上资质或输变电工程专业承包贰级及以上资质，有效的营业执照，并在人员、设备、资金等方面具有相应的能力，其中，供应商拟派项目经理须具有机电工程专业二级及以上注册建造师证，有效的安全生产考核合格证，且未担任其他在建工程项目的项目经理；技术负责人须提供相关专业中级及以上职称证书。</w:t>
      </w:r>
    </w:p>
    <w:p w14:paraId="14828228">
      <w:pPr>
        <w:keepNext w:val="0"/>
        <w:keepLines w:val="0"/>
        <w:pageBreakBefore w:val="0"/>
        <w:widowControl w:val="0"/>
        <w:kinsoku/>
        <w:wordWrap w:val="0"/>
        <w:overflowPunct/>
        <w:topLinePunct/>
        <w:autoSpaceDE/>
        <w:autoSpaceDN/>
        <w:bidi w:val="0"/>
        <w:snapToGrid w:val="0"/>
        <w:spacing w:line="360" w:lineRule="auto"/>
        <w:ind w:firstLine="240" w:firstLineChars="1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三、获取采购文件   </w:t>
      </w:r>
    </w:p>
    <w:p w14:paraId="2C01901B">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bookmarkStart w:id="2" w:name="_Toc28359092"/>
      <w:bookmarkStart w:id="3" w:name="_Toc28359015"/>
      <w:bookmarkStart w:id="4" w:name="_Toc35393632"/>
      <w:bookmarkStart w:id="5" w:name="_Toc35393801"/>
      <w:r>
        <w:rPr>
          <w:rFonts w:hint="eastAsia" w:ascii="华文中宋" w:hAnsi="华文中宋" w:eastAsia="华文中宋" w:cs="华文中宋"/>
          <w:b w:val="0"/>
          <w:bCs w:val="0"/>
          <w:color w:val="auto"/>
          <w:sz w:val="24"/>
          <w:szCs w:val="24"/>
        </w:rPr>
        <w:t>时间：2025年05月26日至2025年06月03日，每天上午00:00至12:00，下午12:00至23:59（北京时间，法定节假日除外）        </w:t>
      </w:r>
    </w:p>
    <w:p w14:paraId="6AEE5512">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地点：政采云平台线上获取      </w:t>
      </w:r>
    </w:p>
    <w:p w14:paraId="2BF868EF">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方式：在线获取       </w:t>
      </w:r>
    </w:p>
    <w:p w14:paraId="7989B4A2">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val="0"/>
          <w:bCs w:val="0"/>
          <w:color w:val="auto"/>
          <w:sz w:val="24"/>
          <w:szCs w:val="24"/>
        </w:rPr>
        <w:t>售价（元）：0   </w:t>
      </w:r>
      <w:r>
        <w:rPr>
          <w:rFonts w:hint="eastAsia" w:ascii="华文中宋" w:hAnsi="华文中宋" w:eastAsia="华文中宋" w:cs="华文中宋"/>
          <w:b/>
          <w:bCs/>
          <w:color w:val="auto"/>
          <w:sz w:val="24"/>
          <w:szCs w:val="24"/>
        </w:rPr>
        <w:t> </w:t>
      </w:r>
    </w:p>
    <w:p w14:paraId="74BF5CE0">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四、</w:t>
      </w:r>
      <w:bookmarkEnd w:id="2"/>
      <w:bookmarkEnd w:id="3"/>
      <w:bookmarkEnd w:id="4"/>
      <w:bookmarkEnd w:id="5"/>
      <w:r>
        <w:rPr>
          <w:rFonts w:hint="eastAsia" w:ascii="华文中宋" w:hAnsi="华文中宋" w:eastAsia="华文中宋" w:cs="华文中宋"/>
          <w:b/>
          <w:bCs/>
          <w:color w:val="auto"/>
          <w:sz w:val="24"/>
          <w:szCs w:val="24"/>
        </w:rPr>
        <w:t>响应文件提交</w:t>
      </w:r>
    </w:p>
    <w:p w14:paraId="30196891">
      <w:pPr>
        <w:keepNext w:val="0"/>
        <w:keepLines w:val="0"/>
        <w:pageBreakBefore w:val="0"/>
        <w:widowControl w:val="0"/>
        <w:shd w:val="clear" w:color="auto" w:fill="auto"/>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bookmarkStart w:id="6" w:name="_Toc28359016"/>
      <w:bookmarkStart w:id="7" w:name="_Toc35393633"/>
      <w:bookmarkStart w:id="8" w:name="_Toc35393802"/>
      <w:bookmarkStart w:id="9" w:name="_Toc28359093"/>
      <w:r>
        <w:rPr>
          <w:rFonts w:hint="eastAsia" w:ascii="华文中宋" w:hAnsi="华文中宋" w:eastAsia="华文中宋" w:cs="华文中宋"/>
          <w:b w:val="0"/>
          <w:bCs w:val="0"/>
          <w:color w:val="auto"/>
          <w:sz w:val="24"/>
          <w:szCs w:val="24"/>
        </w:rPr>
        <w:t>截止时间：2025年06月06日 09:30（北京时间）        </w:t>
      </w:r>
    </w:p>
    <w:p w14:paraId="0C2E492F">
      <w:pPr>
        <w:keepNext w:val="0"/>
        <w:keepLines w:val="0"/>
        <w:pageBreakBefore w:val="0"/>
        <w:widowControl w:val="0"/>
        <w:shd w:val="clear" w:color="auto" w:fill="auto"/>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地点：请登录政采云投标客户端投标     </w:t>
      </w:r>
    </w:p>
    <w:p w14:paraId="7B65110B">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五、</w:t>
      </w:r>
      <w:bookmarkEnd w:id="6"/>
      <w:bookmarkEnd w:id="7"/>
      <w:bookmarkEnd w:id="8"/>
      <w:bookmarkEnd w:id="9"/>
      <w:bookmarkStart w:id="10" w:name="_Toc35393634"/>
      <w:bookmarkStart w:id="11" w:name="_Toc19011"/>
      <w:bookmarkStart w:id="12" w:name="_Toc28359017"/>
      <w:bookmarkStart w:id="13" w:name="_Toc28359094"/>
      <w:bookmarkStart w:id="14" w:name="_Toc35393803"/>
      <w:r>
        <w:rPr>
          <w:rFonts w:hint="eastAsia" w:ascii="华文中宋" w:hAnsi="华文中宋" w:eastAsia="华文中宋" w:cs="华文中宋"/>
          <w:b/>
          <w:bCs/>
          <w:color w:val="auto"/>
          <w:sz w:val="24"/>
          <w:szCs w:val="24"/>
        </w:rPr>
        <w:t>响应文件开启  </w:t>
      </w:r>
    </w:p>
    <w:p w14:paraId="13FC8810">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开启时间：2025年06月06日 09:30（北京时间）        </w:t>
      </w:r>
    </w:p>
    <w:p w14:paraId="3700A05A">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地点：山西省临汾市尧都区临汾市尧都区锦悦汇A座东单元1514室开标室 </w:t>
      </w:r>
    </w:p>
    <w:p w14:paraId="196D4469">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六、公告期限</w:t>
      </w:r>
      <w:bookmarkEnd w:id="10"/>
      <w:bookmarkEnd w:id="11"/>
      <w:bookmarkEnd w:id="12"/>
      <w:bookmarkEnd w:id="13"/>
      <w:bookmarkEnd w:id="14"/>
    </w:p>
    <w:p w14:paraId="582D8006">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自本公告发布之日起</w:t>
      </w:r>
      <w:r>
        <w:rPr>
          <w:rFonts w:hint="eastAsia" w:ascii="华文中宋" w:hAnsi="华文中宋" w:eastAsia="华文中宋" w:cs="华文中宋"/>
          <w:color w:val="auto"/>
          <w:sz w:val="24"/>
          <w:szCs w:val="24"/>
          <w:lang w:val="en-US" w:eastAsia="zh-CN"/>
        </w:rPr>
        <w:t>3</w:t>
      </w:r>
      <w:r>
        <w:rPr>
          <w:rFonts w:hint="eastAsia" w:ascii="华文中宋" w:hAnsi="华文中宋" w:eastAsia="华文中宋" w:cs="华文中宋"/>
          <w:color w:val="auto"/>
          <w:sz w:val="24"/>
          <w:szCs w:val="24"/>
        </w:rPr>
        <w:t>个工作日。</w:t>
      </w:r>
    </w:p>
    <w:p w14:paraId="59B55B68">
      <w:pPr>
        <w:keepNext w:val="0"/>
        <w:keepLines w:val="0"/>
        <w:pageBreakBefore w:val="0"/>
        <w:widowControl w:val="0"/>
        <w:numPr>
          <w:ilvl w:val="0"/>
          <w:numId w:val="0"/>
        </w:numPr>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bookmarkStart w:id="15" w:name="_Toc14600"/>
      <w:bookmarkStart w:id="16" w:name="_Toc35393804"/>
      <w:bookmarkStart w:id="17" w:name="_Toc35393635"/>
      <w:r>
        <w:rPr>
          <w:rFonts w:hint="eastAsia" w:ascii="华文中宋" w:hAnsi="华文中宋" w:eastAsia="华文中宋" w:cs="华文中宋"/>
          <w:b/>
          <w:bCs/>
          <w:color w:val="auto"/>
          <w:sz w:val="24"/>
          <w:szCs w:val="24"/>
          <w:lang w:val="en-US" w:eastAsia="zh-CN"/>
        </w:rPr>
        <w:t>七、</w:t>
      </w:r>
      <w:r>
        <w:rPr>
          <w:rFonts w:hint="eastAsia" w:ascii="华文中宋" w:hAnsi="华文中宋" w:eastAsia="华文中宋" w:cs="华文中宋"/>
          <w:b/>
          <w:bCs/>
          <w:color w:val="auto"/>
          <w:sz w:val="24"/>
          <w:szCs w:val="24"/>
        </w:rPr>
        <w:t>其他补充事宜</w:t>
      </w:r>
      <w:bookmarkEnd w:id="15"/>
      <w:bookmarkEnd w:id="16"/>
      <w:bookmarkEnd w:id="17"/>
    </w:p>
    <w:p w14:paraId="52C4472A">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针对本项目的质疑需一次性提出，多次提出将不予受理。供应商参与山西省政府采购项目时，符合法定质疑条件的，通过政府采购平台进入“项目质疑管理”栏目向采购人、采购代理机构在线提起质疑。    </w:t>
      </w:r>
    </w:p>
    <w:p w14:paraId="3E229E14">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 代理费支付方式： 供应商支付 </w:t>
      </w:r>
    </w:p>
    <w:p w14:paraId="38740293">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代理费收费标准： 参照国家发改委“计价格（2011）534号”文件规定收取 </w:t>
      </w:r>
    </w:p>
    <w:p w14:paraId="6CD8BC34">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代理费收费金额（元）： / </w:t>
      </w:r>
    </w:p>
    <w:p w14:paraId="6B7887D5">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八、凡对本次招标提出询问，请按以下方式联系</w:t>
      </w:r>
    </w:p>
    <w:p w14:paraId="6890C2E3">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bookmarkStart w:id="1215" w:name="_GoBack"/>
      <w:bookmarkEnd w:id="1215"/>
      <w:r>
        <w:rPr>
          <w:rFonts w:hint="eastAsia" w:ascii="华文中宋" w:hAnsi="华文中宋" w:eastAsia="华文中宋" w:cs="华文中宋"/>
          <w:b w:val="0"/>
          <w:bCs w:val="0"/>
          <w:color w:val="auto"/>
          <w:sz w:val="24"/>
          <w:szCs w:val="24"/>
        </w:rPr>
        <w:t>1.采购人信息            </w:t>
      </w:r>
    </w:p>
    <w:p w14:paraId="32E4276D">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名 称：蒲县住房和城乡建设管理局           </w:t>
      </w:r>
    </w:p>
    <w:p w14:paraId="2EE0C9C6">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 址：蒲县东关（原运销公司院内）          </w:t>
      </w:r>
    </w:p>
    <w:p w14:paraId="2FACDAAF">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联系方式：0357-5320666           </w:t>
      </w:r>
    </w:p>
    <w:p w14:paraId="3293FE9F">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2.采购代理机构信息            </w:t>
      </w:r>
    </w:p>
    <w:p w14:paraId="0CE2C8E3">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名 称：山西中际华工程项目管理有限公司         </w:t>
      </w:r>
    </w:p>
    <w:p w14:paraId="69F8FE5C">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 址：临汾市尧都区锦悦汇A座1514室　           </w:t>
      </w:r>
    </w:p>
    <w:p w14:paraId="7DDB58F1">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联系方式：0357-6765565　　            </w:t>
      </w:r>
    </w:p>
    <w:p w14:paraId="10009895">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3.项目联系方式    </w:t>
      </w:r>
    </w:p>
    <w:p w14:paraId="529174B1">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项目联系人：刘女士   </w:t>
      </w:r>
    </w:p>
    <w:p w14:paraId="0FA0378A">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电 话：0357-6765565</w:t>
      </w:r>
    </w:p>
    <w:p w14:paraId="0922EB59">
      <w:pPr>
        <w:keepNext w:val="0"/>
        <w:keepLines w:val="0"/>
        <w:pageBreakBefore w:val="0"/>
        <w:widowControl w:val="0"/>
        <w:kinsoku/>
        <w:wordWrap w:val="0"/>
        <w:overflowPunct/>
        <w:topLinePunct/>
        <w:autoSpaceDE/>
        <w:autoSpaceDN/>
        <w:bidi w:val="0"/>
        <w:spacing w:line="360" w:lineRule="auto"/>
        <w:ind w:firstLine="480" w:firstLineChars="200"/>
        <w:jc w:val="left"/>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 xml:space="preserve">　　　　　　  </w:t>
      </w:r>
      <w:bookmarkStart w:id="18" w:name="_Toc44690671"/>
      <w:bookmarkStart w:id="19" w:name="_Toc44690597"/>
    </w:p>
    <w:p w14:paraId="5A573050">
      <w:pPr>
        <w:ind w:firstLine="480" w:firstLineChars="200"/>
        <w:outlineLvl w:val="9"/>
        <w:rPr>
          <w:rFonts w:hint="eastAsia" w:ascii="华文中宋" w:hAnsi="华文中宋" w:eastAsia="华文中宋" w:cs="华文中宋"/>
          <w:color w:val="auto"/>
          <w:sz w:val="24"/>
          <w:szCs w:val="24"/>
        </w:rPr>
      </w:pPr>
    </w:p>
    <w:p w14:paraId="345834A9">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华文中宋" w:hAnsi="华文中宋" w:eastAsia="华文中宋" w:cs="华文中宋"/>
          <w:color w:val="auto"/>
          <w:sz w:val="32"/>
          <w:szCs w:val="32"/>
        </w:rPr>
      </w:pPr>
      <w:r>
        <w:rPr>
          <w:rFonts w:hint="eastAsia" w:ascii="华文中宋" w:hAnsi="华文中宋" w:eastAsia="华文中宋" w:cs="华文中宋"/>
          <w:color w:val="auto"/>
          <w:spacing w:val="20"/>
          <w:sz w:val="44"/>
          <w:szCs w:val="44"/>
          <w:lang w:val="en-US" w:eastAsia="zh-CN"/>
        </w:rPr>
        <w:br w:type="page"/>
      </w:r>
      <w:bookmarkStart w:id="20" w:name="_Toc31686"/>
      <w:bookmarkStart w:id="21" w:name="_Toc16673"/>
      <w:r>
        <w:rPr>
          <w:rFonts w:hint="eastAsia" w:ascii="华文中宋" w:hAnsi="华文中宋" w:eastAsia="华文中宋" w:cs="华文中宋"/>
          <w:b/>
          <w:bCs/>
          <w:color w:val="auto"/>
          <w:spacing w:val="0"/>
          <w:sz w:val="44"/>
          <w:szCs w:val="44"/>
          <w:lang w:val="en-US" w:eastAsia="zh-CN"/>
        </w:rPr>
        <w:t>第二部分 磋商供应商须知前附表</w:t>
      </w:r>
      <w:bookmarkEnd w:id="18"/>
      <w:bookmarkEnd w:id="19"/>
      <w:bookmarkEnd w:id="20"/>
      <w:bookmarkEnd w:id="21"/>
    </w:p>
    <w:tbl>
      <w:tblPr>
        <w:tblStyle w:val="29"/>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54"/>
        <w:gridCol w:w="6528"/>
      </w:tblGrid>
      <w:tr w14:paraId="0ED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7EFF205D">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序号</w:t>
            </w:r>
          </w:p>
        </w:tc>
        <w:tc>
          <w:tcPr>
            <w:tcW w:w="972" w:type="pct"/>
            <w:noWrap w:val="0"/>
            <w:vAlign w:val="center"/>
          </w:tcPr>
          <w:p w14:paraId="3205B05B">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内  容</w:t>
            </w:r>
          </w:p>
        </w:tc>
        <w:tc>
          <w:tcPr>
            <w:tcW w:w="3617" w:type="pct"/>
            <w:noWrap w:val="0"/>
            <w:vAlign w:val="center"/>
          </w:tcPr>
          <w:p w14:paraId="032E1202">
            <w:pPr>
              <w:pStyle w:val="19"/>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kern w:val="0"/>
                <w:sz w:val="21"/>
                <w:szCs w:val="21"/>
              </w:rPr>
              <w:t>说明与要求</w:t>
            </w:r>
          </w:p>
        </w:tc>
      </w:tr>
      <w:tr w14:paraId="2A72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514106C">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tc>
        <w:tc>
          <w:tcPr>
            <w:tcW w:w="972" w:type="pct"/>
            <w:noWrap w:val="0"/>
            <w:vAlign w:val="center"/>
          </w:tcPr>
          <w:p w14:paraId="209D2A96">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采购人</w:t>
            </w:r>
          </w:p>
        </w:tc>
        <w:tc>
          <w:tcPr>
            <w:tcW w:w="3617" w:type="pct"/>
            <w:noWrap w:val="0"/>
            <w:vAlign w:val="center"/>
          </w:tcPr>
          <w:p w14:paraId="207F839C">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蒲县住房和城乡建设管理局</w:t>
            </w:r>
          </w:p>
        </w:tc>
      </w:tr>
      <w:tr w14:paraId="2A3A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D9A0420">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972" w:type="pct"/>
            <w:noWrap w:val="0"/>
            <w:vAlign w:val="center"/>
          </w:tcPr>
          <w:p w14:paraId="3D826CF9">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采购代理机构</w:t>
            </w:r>
          </w:p>
        </w:tc>
        <w:tc>
          <w:tcPr>
            <w:tcW w:w="3617" w:type="pct"/>
            <w:noWrap w:val="0"/>
            <w:vAlign w:val="center"/>
          </w:tcPr>
          <w:p w14:paraId="1EBAAD26">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山西中际华工程项目管理有限公司</w:t>
            </w:r>
          </w:p>
        </w:tc>
      </w:tr>
      <w:tr w14:paraId="4AE8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9BDC991">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w:t>
            </w:r>
          </w:p>
        </w:tc>
        <w:tc>
          <w:tcPr>
            <w:tcW w:w="972" w:type="pct"/>
            <w:noWrap w:val="0"/>
            <w:vAlign w:val="center"/>
          </w:tcPr>
          <w:p w14:paraId="760DE88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项目名称</w:t>
            </w:r>
          </w:p>
        </w:tc>
        <w:tc>
          <w:tcPr>
            <w:tcW w:w="3617" w:type="pct"/>
            <w:noWrap w:val="0"/>
            <w:vAlign w:val="center"/>
          </w:tcPr>
          <w:p w14:paraId="4AFA9D0E">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蒲县昕水河、北川河生态综合治理工程供电线路迁改工程</w:t>
            </w:r>
          </w:p>
        </w:tc>
      </w:tr>
      <w:tr w14:paraId="255C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6C762D4">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w:t>
            </w:r>
          </w:p>
        </w:tc>
        <w:tc>
          <w:tcPr>
            <w:tcW w:w="972" w:type="pct"/>
            <w:noWrap w:val="0"/>
            <w:vAlign w:val="center"/>
          </w:tcPr>
          <w:p w14:paraId="494CDE19">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建设地点</w:t>
            </w:r>
          </w:p>
        </w:tc>
        <w:tc>
          <w:tcPr>
            <w:tcW w:w="3617" w:type="pct"/>
            <w:noWrap w:val="0"/>
            <w:vAlign w:val="center"/>
          </w:tcPr>
          <w:p w14:paraId="543B514B">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default"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蒲县</w:t>
            </w:r>
          </w:p>
        </w:tc>
      </w:tr>
      <w:tr w14:paraId="5B0E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C768852">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5</w:t>
            </w:r>
          </w:p>
        </w:tc>
        <w:tc>
          <w:tcPr>
            <w:tcW w:w="972" w:type="pct"/>
            <w:noWrap w:val="0"/>
            <w:vAlign w:val="center"/>
          </w:tcPr>
          <w:p w14:paraId="0AB90D8E">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结构类型</w:t>
            </w:r>
          </w:p>
        </w:tc>
        <w:tc>
          <w:tcPr>
            <w:tcW w:w="3617" w:type="pct"/>
            <w:noWrap w:val="0"/>
            <w:vAlign w:val="center"/>
          </w:tcPr>
          <w:p w14:paraId="3603A761">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w:t>
            </w:r>
          </w:p>
        </w:tc>
      </w:tr>
      <w:tr w14:paraId="64E9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4FAF3ED6">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6</w:t>
            </w:r>
          </w:p>
        </w:tc>
        <w:tc>
          <w:tcPr>
            <w:tcW w:w="972" w:type="pct"/>
            <w:noWrap w:val="0"/>
            <w:vAlign w:val="center"/>
          </w:tcPr>
          <w:p w14:paraId="17CA1ED3">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资金来源</w:t>
            </w:r>
          </w:p>
        </w:tc>
        <w:tc>
          <w:tcPr>
            <w:tcW w:w="3617" w:type="pct"/>
            <w:noWrap w:val="0"/>
            <w:vAlign w:val="center"/>
          </w:tcPr>
          <w:p w14:paraId="6AFE52BF">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财政资金</w:t>
            </w:r>
          </w:p>
        </w:tc>
      </w:tr>
      <w:tr w14:paraId="6019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4042FAE2">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7</w:t>
            </w:r>
          </w:p>
        </w:tc>
        <w:tc>
          <w:tcPr>
            <w:tcW w:w="972" w:type="pct"/>
            <w:noWrap w:val="0"/>
            <w:vAlign w:val="center"/>
          </w:tcPr>
          <w:p w14:paraId="08D0465E">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出资比例</w:t>
            </w:r>
          </w:p>
        </w:tc>
        <w:tc>
          <w:tcPr>
            <w:tcW w:w="3617" w:type="pct"/>
            <w:noWrap w:val="0"/>
            <w:vAlign w:val="center"/>
          </w:tcPr>
          <w:p w14:paraId="3D6EAA82">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100%</w:t>
            </w:r>
          </w:p>
        </w:tc>
      </w:tr>
      <w:tr w14:paraId="7958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6377FE94">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8</w:t>
            </w:r>
          </w:p>
        </w:tc>
        <w:tc>
          <w:tcPr>
            <w:tcW w:w="972" w:type="pct"/>
            <w:noWrap w:val="0"/>
            <w:vAlign w:val="center"/>
          </w:tcPr>
          <w:p w14:paraId="5F6918AD">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资金落实情况</w:t>
            </w:r>
          </w:p>
        </w:tc>
        <w:tc>
          <w:tcPr>
            <w:tcW w:w="3617" w:type="pct"/>
            <w:noWrap w:val="0"/>
            <w:vAlign w:val="center"/>
          </w:tcPr>
          <w:p w14:paraId="5CE91CF9">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已落实</w:t>
            </w:r>
          </w:p>
        </w:tc>
      </w:tr>
      <w:tr w14:paraId="1DE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67C4EB9">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9</w:t>
            </w:r>
          </w:p>
        </w:tc>
        <w:tc>
          <w:tcPr>
            <w:tcW w:w="972" w:type="pct"/>
            <w:noWrap w:val="0"/>
            <w:vAlign w:val="center"/>
          </w:tcPr>
          <w:p w14:paraId="31E3202C">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磋商范围</w:t>
            </w:r>
          </w:p>
        </w:tc>
        <w:tc>
          <w:tcPr>
            <w:tcW w:w="3617" w:type="pct"/>
            <w:noWrap w:val="0"/>
            <w:vAlign w:val="center"/>
          </w:tcPr>
          <w:p w14:paraId="59A1CBB4">
            <w:pPr>
              <w:pStyle w:val="39"/>
              <w:keepNext w:val="0"/>
              <w:keepLines w:val="0"/>
              <w:pageBreakBefore w:val="0"/>
              <w:widowControl w:val="0"/>
              <w:kinsoku/>
              <w:overflowPunct/>
              <w:autoSpaceDE/>
              <w:autoSpaceDN/>
              <w:bidi w:val="0"/>
              <w:snapToGrid w:val="0"/>
              <w:spacing w:line="240" w:lineRule="auto"/>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蒲县昕水河、北川河生态综合治理工程供电线路迁改工程工量清单中的全部内容。具体磋商范围、采购范围及所应达到的具体要求，以本磋商文件中商务、技术和服务的相应规定为准。</w:t>
            </w:r>
          </w:p>
        </w:tc>
      </w:tr>
      <w:tr w14:paraId="027D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AA293F0">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10</w:t>
            </w:r>
          </w:p>
        </w:tc>
        <w:tc>
          <w:tcPr>
            <w:tcW w:w="972" w:type="pct"/>
            <w:noWrap w:val="0"/>
            <w:vAlign w:val="center"/>
          </w:tcPr>
          <w:p w14:paraId="4F569BC8">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lang w:val="en-US" w:eastAsia="zh-CN"/>
              </w:rPr>
            </w:pPr>
            <w:r>
              <w:rPr>
                <w:rFonts w:hint="eastAsia" w:ascii="华文中宋" w:hAnsi="华文中宋" w:eastAsia="华文中宋" w:cs="华文中宋"/>
                <w:b/>
                <w:color w:val="auto"/>
                <w:sz w:val="21"/>
                <w:szCs w:val="21"/>
                <w:highlight w:val="none"/>
                <w:lang w:val="en-US" w:eastAsia="zh-CN"/>
              </w:rPr>
              <w:t>合同履行期限</w:t>
            </w:r>
          </w:p>
          <w:p w14:paraId="51988AE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lang w:val="en-US" w:eastAsia="zh-CN"/>
              </w:rPr>
              <w:t>（</w:t>
            </w:r>
            <w:r>
              <w:rPr>
                <w:rFonts w:hint="eastAsia" w:ascii="华文中宋" w:hAnsi="华文中宋" w:eastAsia="华文中宋" w:cs="华文中宋"/>
                <w:b/>
                <w:color w:val="auto"/>
                <w:sz w:val="21"/>
                <w:szCs w:val="21"/>
                <w:highlight w:val="none"/>
              </w:rPr>
              <w:t>工期</w:t>
            </w:r>
            <w:r>
              <w:rPr>
                <w:rFonts w:hint="eastAsia" w:ascii="华文中宋" w:hAnsi="华文中宋" w:eastAsia="华文中宋" w:cs="华文中宋"/>
                <w:b/>
                <w:color w:val="auto"/>
                <w:sz w:val="21"/>
                <w:szCs w:val="21"/>
                <w:highlight w:val="none"/>
                <w:lang w:val="en-US" w:eastAsia="zh-CN"/>
              </w:rPr>
              <w:t>）</w:t>
            </w:r>
          </w:p>
        </w:tc>
        <w:tc>
          <w:tcPr>
            <w:tcW w:w="3617" w:type="pct"/>
            <w:noWrap w:val="0"/>
            <w:vAlign w:val="center"/>
          </w:tcPr>
          <w:p w14:paraId="25D5BE13">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20日历天</w:t>
            </w:r>
          </w:p>
        </w:tc>
      </w:tr>
      <w:tr w14:paraId="4F40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61AE88B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11</w:t>
            </w:r>
          </w:p>
        </w:tc>
        <w:tc>
          <w:tcPr>
            <w:tcW w:w="972" w:type="pct"/>
            <w:noWrap w:val="0"/>
            <w:vAlign w:val="center"/>
          </w:tcPr>
          <w:p w14:paraId="2295FE8A">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lang w:eastAsia="zh-CN"/>
              </w:rPr>
            </w:pPr>
            <w:r>
              <w:rPr>
                <w:rFonts w:hint="eastAsia" w:ascii="华文中宋" w:hAnsi="华文中宋" w:eastAsia="华文中宋" w:cs="华文中宋"/>
                <w:b/>
                <w:color w:val="auto"/>
                <w:sz w:val="21"/>
                <w:szCs w:val="21"/>
                <w:highlight w:val="none"/>
              </w:rPr>
              <w:t>质量</w:t>
            </w:r>
            <w:r>
              <w:rPr>
                <w:rFonts w:hint="eastAsia" w:ascii="华文中宋" w:hAnsi="华文中宋" w:eastAsia="华文中宋" w:cs="华文中宋"/>
                <w:b/>
                <w:color w:val="auto"/>
                <w:sz w:val="21"/>
                <w:szCs w:val="21"/>
                <w:highlight w:val="none"/>
                <w:lang w:val="en-US" w:eastAsia="zh-CN"/>
              </w:rPr>
              <w:t>标准</w:t>
            </w:r>
          </w:p>
        </w:tc>
        <w:tc>
          <w:tcPr>
            <w:tcW w:w="3617" w:type="pct"/>
            <w:noWrap w:val="0"/>
            <w:vAlign w:val="center"/>
          </w:tcPr>
          <w:p w14:paraId="05DACF65">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达到国家质量验评标准合格</w:t>
            </w:r>
          </w:p>
        </w:tc>
      </w:tr>
      <w:tr w14:paraId="1BC0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A908960">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12</w:t>
            </w:r>
          </w:p>
        </w:tc>
        <w:tc>
          <w:tcPr>
            <w:tcW w:w="972" w:type="pct"/>
            <w:noWrap w:val="0"/>
            <w:vAlign w:val="center"/>
          </w:tcPr>
          <w:p w14:paraId="44F52E00">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是否接受联合体</w:t>
            </w:r>
          </w:p>
          <w:p w14:paraId="6C18CE14">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b/>
                <w:color w:val="auto"/>
                <w:sz w:val="21"/>
                <w:szCs w:val="21"/>
              </w:rPr>
              <w:t>是否接受</w:t>
            </w:r>
            <w:r>
              <w:rPr>
                <w:rFonts w:hint="eastAsia" w:ascii="华文中宋" w:hAnsi="华文中宋" w:eastAsia="华文中宋" w:cs="华文中宋"/>
                <w:b/>
                <w:color w:val="auto"/>
                <w:sz w:val="21"/>
                <w:szCs w:val="21"/>
                <w:lang w:val="en-US" w:eastAsia="zh-CN"/>
              </w:rPr>
              <w:t>代理商</w:t>
            </w:r>
          </w:p>
        </w:tc>
        <w:tc>
          <w:tcPr>
            <w:tcW w:w="3617" w:type="pct"/>
            <w:noWrap w:val="0"/>
            <w:vAlign w:val="center"/>
          </w:tcPr>
          <w:p w14:paraId="69907100">
            <w:pPr>
              <w:keepNext w:val="0"/>
              <w:keepLines w:val="0"/>
              <w:pageBreakBefore w:val="0"/>
              <w:widowControl w:val="0"/>
              <w:tabs>
                <w:tab w:val="center" w:pos="2999"/>
                <w:tab w:val="right" w:pos="5880"/>
              </w:tabs>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rPr>
              <w:t>否</w:t>
            </w:r>
          </w:p>
        </w:tc>
      </w:tr>
      <w:tr w14:paraId="2CAF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204EE14B">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13</w:t>
            </w:r>
          </w:p>
        </w:tc>
        <w:tc>
          <w:tcPr>
            <w:tcW w:w="972" w:type="pct"/>
            <w:noWrap w:val="0"/>
            <w:vAlign w:val="center"/>
          </w:tcPr>
          <w:p w14:paraId="55DDE84D">
            <w:pPr>
              <w:keepNext w:val="0"/>
              <w:keepLines w:val="0"/>
              <w:pageBreakBefore w:val="0"/>
              <w:widowControl w:val="0"/>
              <w:kinsoku/>
              <w:overflowPunct/>
              <w:autoSpaceDE/>
              <w:autoSpaceDN/>
              <w:bidi w:val="0"/>
              <w:snapToGrid w:val="0"/>
              <w:spacing w:line="240" w:lineRule="auto"/>
              <w:ind w:left="0" w:leftChars="0" w:firstLine="105" w:firstLineChars="5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现场勘查</w:t>
            </w:r>
          </w:p>
          <w:p w14:paraId="444BD2DB">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（或磋商前答疑会）</w:t>
            </w:r>
          </w:p>
        </w:tc>
        <w:tc>
          <w:tcPr>
            <w:tcW w:w="3617" w:type="pct"/>
            <w:noWrap w:val="0"/>
            <w:vAlign w:val="center"/>
          </w:tcPr>
          <w:p w14:paraId="49D18BED">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不组织</w:t>
            </w:r>
          </w:p>
        </w:tc>
      </w:tr>
      <w:tr w14:paraId="066A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58EB664">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14</w:t>
            </w:r>
          </w:p>
        </w:tc>
        <w:tc>
          <w:tcPr>
            <w:tcW w:w="972" w:type="pct"/>
            <w:noWrap w:val="0"/>
            <w:vAlign w:val="center"/>
          </w:tcPr>
          <w:p w14:paraId="5355F0E5">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资格证明文件</w:t>
            </w:r>
          </w:p>
        </w:tc>
        <w:tc>
          <w:tcPr>
            <w:tcW w:w="3617" w:type="pct"/>
            <w:noWrap w:val="0"/>
            <w:vAlign w:val="center"/>
          </w:tcPr>
          <w:p w14:paraId="2D93F9BA">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1、磋商供应商代表证明</w:t>
            </w:r>
          </w:p>
          <w:p w14:paraId="64F8751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（1）法定代表人（负责人）参加磋商的，提供“法定代表人（负责人）证明书”；</w:t>
            </w:r>
          </w:p>
          <w:p w14:paraId="5F596365">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（2）委托代理人参加磋商的，提供“法定代表人（负责人）授权委托书” ；</w:t>
            </w:r>
          </w:p>
          <w:p w14:paraId="2E3BA98B">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（3）自然人参加磋商的，提供个人身份证明扫描件（</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6300025A">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2、响应函</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46C71AD3">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3、具有独立承担民事责任的能力</w:t>
            </w:r>
          </w:p>
          <w:p w14:paraId="27600018">
            <w:pPr>
              <w:keepNext w:val="0"/>
              <w:keepLines w:val="0"/>
              <w:pageBreakBefore w:val="0"/>
              <w:widowControl w:val="0"/>
              <w:kinsoku/>
              <w:overflowPunct/>
              <w:autoSpaceDE/>
              <w:autoSpaceDN/>
              <w:bidi w:val="0"/>
              <w:spacing w:line="240" w:lineRule="auto"/>
              <w:ind w:left="420" w:leftChars="200" w:firstLine="105" w:firstLineChars="50"/>
              <w:jc w:val="left"/>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具有独立承担民事责任的能力的承诺函（</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w:t>
            </w:r>
          </w:p>
          <w:p w14:paraId="7B8E11CE">
            <w:pPr>
              <w:keepNext w:val="0"/>
              <w:keepLines w:val="0"/>
              <w:pageBreakBefore w:val="0"/>
              <w:widowControl w:val="0"/>
              <w:kinsoku/>
              <w:overflowPunct/>
              <w:autoSpaceDE/>
              <w:autoSpaceDN/>
              <w:bidi w:val="0"/>
              <w:spacing w:line="240" w:lineRule="auto"/>
              <w:jc w:val="left"/>
              <w:textAlignment w:val="auto"/>
              <w:outlineLvl w:val="9"/>
              <w:rPr>
                <w:rFonts w:hint="eastAsia" w:ascii="华文中宋" w:hAnsi="华文中宋" w:eastAsia="华文中宋" w:cs="华文中宋"/>
                <w:b/>
                <w:color w:val="auto"/>
                <w:sz w:val="21"/>
                <w:szCs w:val="21"/>
                <w:lang w:val="en-US" w:eastAsia="zh-CN"/>
              </w:rPr>
            </w:pPr>
            <w:r>
              <w:rPr>
                <w:rFonts w:hint="eastAsia" w:ascii="华文中宋" w:hAnsi="华文中宋" w:eastAsia="华文中宋" w:cs="华文中宋"/>
                <w:b/>
                <w:color w:val="auto"/>
                <w:sz w:val="21"/>
                <w:szCs w:val="21"/>
              </w:rPr>
              <w:t>4、具有</w:t>
            </w:r>
            <w:r>
              <w:rPr>
                <w:rFonts w:hint="eastAsia" w:ascii="华文中宋" w:hAnsi="华文中宋" w:eastAsia="华文中宋" w:cs="华文中宋"/>
                <w:b/>
                <w:color w:val="auto"/>
                <w:sz w:val="21"/>
                <w:szCs w:val="21"/>
                <w:lang w:val="en-US" w:eastAsia="zh-CN"/>
              </w:rPr>
              <w:t>良好的商业信誉和</w:t>
            </w:r>
            <w:r>
              <w:rPr>
                <w:rFonts w:hint="eastAsia" w:ascii="华文中宋" w:hAnsi="华文中宋" w:eastAsia="华文中宋" w:cs="华文中宋"/>
                <w:b/>
                <w:color w:val="auto"/>
                <w:sz w:val="21"/>
                <w:szCs w:val="21"/>
              </w:rPr>
              <w:t>健全的财务会计制度</w:t>
            </w:r>
          </w:p>
          <w:p w14:paraId="4E2983EE">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具有</w:t>
            </w:r>
            <w:r>
              <w:rPr>
                <w:rFonts w:hint="eastAsia" w:ascii="华文中宋" w:hAnsi="华文中宋" w:eastAsia="华文中宋" w:cs="华文中宋"/>
                <w:color w:val="auto"/>
                <w:sz w:val="21"/>
                <w:szCs w:val="21"/>
                <w:lang w:val="en-US" w:eastAsia="zh-CN"/>
              </w:rPr>
              <w:t>良好的商业信誉和</w:t>
            </w:r>
            <w:r>
              <w:rPr>
                <w:rFonts w:hint="eastAsia" w:ascii="华文中宋" w:hAnsi="华文中宋" w:eastAsia="华文中宋" w:cs="华文中宋"/>
                <w:color w:val="auto"/>
                <w:sz w:val="21"/>
                <w:szCs w:val="21"/>
              </w:rPr>
              <w:t>健全的财务会计制度</w:t>
            </w:r>
            <w:r>
              <w:rPr>
                <w:rFonts w:hint="eastAsia" w:ascii="华文中宋" w:hAnsi="华文中宋" w:eastAsia="华文中宋" w:cs="华文中宋"/>
                <w:color w:val="auto"/>
                <w:sz w:val="21"/>
                <w:szCs w:val="21"/>
                <w:lang w:val="en-US" w:eastAsia="zh-CN"/>
              </w:rPr>
              <w:t>的承诺函</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57121572">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5</w:t>
            </w:r>
            <w:r>
              <w:rPr>
                <w:rFonts w:hint="eastAsia" w:ascii="华文中宋" w:hAnsi="华文中宋" w:eastAsia="华文中宋" w:cs="华文中宋"/>
                <w:b/>
                <w:color w:val="auto"/>
                <w:sz w:val="21"/>
                <w:szCs w:val="21"/>
              </w:rPr>
              <w:t>、具有履行合同所必需的设备和专业技术能力</w:t>
            </w:r>
          </w:p>
          <w:p w14:paraId="114F277C">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具有履行合同所必需的设备和专业技术能力</w:t>
            </w:r>
            <w:r>
              <w:rPr>
                <w:rFonts w:hint="eastAsia" w:ascii="华文中宋" w:hAnsi="华文中宋" w:eastAsia="华文中宋" w:cs="华文中宋"/>
                <w:color w:val="auto"/>
                <w:sz w:val="21"/>
                <w:szCs w:val="21"/>
                <w:lang w:val="en-US" w:eastAsia="zh-CN"/>
              </w:rPr>
              <w:t>的承诺函</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w:t>
            </w:r>
          </w:p>
          <w:p w14:paraId="74605201">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6</w:t>
            </w:r>
            <w:r>
              <w:rPr>
                <w:rFonts w:hint="eastAsia" w:ascii="华文中宋" w:hAnsi="华文中宋" w:eastAsia="华文中宋" w:cs="华文中宋"/>
                <w:b/>
                <w:color w:val="auto"/>
                <w:sz w:val="21"/>
                <w:szCs w:val="21"/>
              </w:rPr>
              <w:t>、</w:t>
            </w:r>
            <w:r>
              <w:rPr>
                <w:rFonts w:hint="eastAsia" w:ascii="华文中宋" w:hAnsi="华文中宋" w:eastAsia="华文中宋" w:cs="华文中宋"/>
                <w:b/>
                <w:color w:val="auto"/>
                <w:sz w:val="21"/>
                <w:szCs w:val="21"/>
                <w:lang w:eastAsia="zh-CN"/>
              </w:rPr>
              <w:t>有依法缴纳税收</w:t>
            </w:r>
            <w:r>
              <w:rPr>
                <w:rFonts w:hint="eastAsia" w:ascii="华文中宋" w:hAnsi="华文中宋" w:eastAsia="华文中宋" w:cs="华文中宋"/>
                <w:b/>
                <w:color w:val="auto"/>
                <w:sz w:val="21"/>
                <w:szCs w:val="21"/>
                <w:lang w:val="en-US" w:eastAsia="zh-CN"/>
              </w:rPr>
              <w:t>和社会保障资金</w:t>
            </w:r>
            <w:r>
              <w:rPr>
                <w:rFonts w:hint="eastAsia" w:ascii="华文中宋" w:hAnsi="华文中宋" w:eastAsia="华文中宋" w:cs="华文中宋"/>
                <w:b/>
                <w:color w:val="auto"/>
                <w:sz w:val="21"/>
                <w:szCs w:val="21"/>
                <w:lang w:eastAsia="zh-CN"/>
              </w:rPr>
              <w:t>的良好记录</w:t>
            </w:r>
          </w:p>
          <w:p w14:paraId="67D79E73">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有依法缴纳税收</w:t>
            </w:r>
            <w:r>
              <w:rPr>
                <w:rFonts w:hint="eastAsia" w:ascii="华文中宋" w:hAnsi="华文中宋" w:eastAsia="华文中宋" w:cs="华文中宋"/>
                <w:color w:val="auto"/>
                <w:sz w:val="21"/>
                <w:szCs w:val="21"/>
                <w:lang w:val="en-US" w:eastAsia="zh-CN"/>
              </w:rPr>
              <w:t>和社会保障资金</w:t>
            </w:r>
            <w:r>
              <w:rPr>
                <w:rFonts w:hint="eastAsia" w:ascii="华文中宋" w:hAnsi="华文中宋" w:eastAsia="华文中宋" w:cs="华文中宋"/>
                <w:color w:val="auto"/>
                <w:sz w:val="21"/>
                <w:szCs w:val="21"/>
              </w:rPr>
              <w:t>的良好记录</w:t>
            </w:r>
            <w:r>
              <w:rPr>
                <w:rFonts w:hint="eastAsia" w:ascii="华文中宋" w:hAnsi="华文中宋" w:eastAsia="华文中宋" w:cs="华文中宋"/>
                <w:color w:val="auto"/>
                <w:sz w:val="21"/>
                <w:szCs w:val="21"/>
                <w:lang w:val="en-US" w:eastAsia="zh-CN"/>
              </w:rPr>
              <w:t>的承诺</w:t>
            </w:r>
            <w:r>
              <w:rPr>
                <w:rFonts w:hint="eastAsia" w:ascii="华文中宋" w:hAnsi="华文中宋" w:eastAsia="华文中宋" w:cs="华文中宋"/>
                <w:color w:val="auto"/>
                <w:sz w:val="21"/>
                <w:szCs w:val="21"/>
              </w:rPr>
              <w:t>函（格式见第八部分）</w:t>
            </w:r>
          </w:p>
          <w:p w14:paraId="2100357A">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7</w:t>
            </w:r>
            <w:r>
              <w:rPr>
                <w:rFonts w:hint="eastAsia" w:ascii="华文中宋" w:hAnsi="华文中宋" w:eastAsia="华文中宋" w:cs="华文中宋"/>
                <w:b/>
                <w:color w:val="auto"/>
                <w:sz w:val="21"/>
                <w:szCs w:val="21"/>
              </w:rPr>
              <w:t>、参加政府采购活动前三年，在经营活动中没有重大违法记录</w:t>
            </w:r>
          </w:p>
          <w:p w14:paraId="3FF8D870">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供应商参加政府采购活动前三年内，在经营活动中没有重大违法记录的承诺函（</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5823F02B">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8</w:t>
            </w:r>
            <w:r>
              <w:rPr>
                <w:rFonts w:hint="eastAsia" w:ascii="华文中宋" w:hAnsi="华文中宋" w:eastAsia="华文中宋" w:cs="华文中宋"/>
                <w:b/>
                <w:color w:val="auto"/>
                <w:sz w:val="21"/>
                <w:szCs w:val="21"/>
              </w:rPr>
              <w:t>、本项目要求的其他特定资格条件</w:t>
            </w:r>
          </w:p>
          <w:p w14:paraId="209ABE6A">
            <w:pPr>
              <w:keepNext w:val="0"/>
              <w:keepLines w:val="0"/>
              <w:pageBreakBefore w:val="0"/>
              <w:widowControl w:val="0"/>
              <w:kinsoku/>
              <w:wordWrap w:val="0"/>
              <w:overflowPunct/>
              <w:autoSpaceDE/>
              <w:autoSpaceDN/>
              <w:bidi w:val="0"/>
              <w:snapToGrid w:val="0"/>
              <w:spacing w:line="240" w:lineRule="auto"/>
              <w:ind w:left="0" w:leftChars="0" w:firstLine="210" w:firstLineChars="1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（1）资质条件：</w:t>
            </w:r>
            <w:r>
              <w:rPr>
                <w:rFonts w:hint="eastAsia" w:ascii="华文中宋" w:hAnsi="华文中宋" w:eastAsia="华文中宋" w:cs="华文中宋"/>
                <w:color w:val="auto"/>
                <w:sz w:val="21"/>
                <w:szCs w:val="21"/>
              </w:rPr>
              <w:t>须具有</w:t>
            </w:r>
            <w:r>
              <w:rPr>
                <w:rFonts w:hint="eastAsia" w:ascii="华文中宋" w:hAnsi="华文中宋" w:eastAsia="华文中宋" w:cs="华文中宋"/>
                <w:color w:val="auto"/>
                <w:sz w:val="21"/>
                <w:szCs w:val="21"/>
                <w:lang w:val="en-US" w:eastAsia="zh-CN"/>
              </w:rPr>
              <w:t xml:space="preserve"> </w:t>
            </w:r>
            <w:r>
              <w:rPr>
                <w:rFonts w:hint="eastAsia" w:ascii="华文中宋" w:hAnsi="华文中宋" w:eastAsia="华文中宋" w:cs="华文中宋"/>
                <w:color w:val="auto"/>
                <w:sz w:val="21"/>
                <w:szCs w:val="21"/>
                <w:u w:val="single"/>
              </w:rPr>
              <w:t xml:space="preserve"> </w:t>
            </w:r>
            <w:r>
              <w:rPr>
                <w:rFonts w:hint="eastAsia" w:ascii="华文中宋" w:hAnsi="华文中宋" w:eastAsia="华文中宋" w:cs="华文中宋"/>
                <w:color w:val="auto"/>
                <w:sz w:val="21"/>
                <w:szCs w:val="21"/>
                <w:u w:val="single"/>
                <w:lang w:val="en-US" w:eastAsia="zh-CN"/>
              </w:rPr>
              <w:t xml:space="preserve">电力工程施工总承包贰级及以上资质或输变电工程专业承包贰级及以上 </w:t>
            </w:r>
            <w:r>
              <w:rPr>
                <w:rFonts w:hint="eastAsia" w:ascii="华文中宋" w:hAnsi="华文中宋" w:eastAsia="华文中宋" w:cs="华文中宋"/>
                <w:color w:val="auto"/>
                <w:sz w:val="21"/>
                <w:szCs w:val="21"/>
                <w:u w:val="none"/>
              </w:rPr>
              <w:t xml:space="preserve"> </w:t>
            </w:r>
            <w:r>
              <w:rPr>
                <w:rFonts w:hint="eastAsia" w:ascii="华文中宋" w:hAnsi="华文中宋" w:eastAsia="华文中宋" w:cs="华文中宋"/>
                <w:color w:val="auto"/>
                <w:sz w:val="21"/>
                <w:szCs w:val="21"/>
              </w:rPr>
              <w:t>资质，有效的营业执照、安全生产许可证。</w:t>
            </w:r>
          </w:p>
          <w:p w14:paraId="69A84305">
            <w:pPr>
              <w:keepNext w:val="0"/>
              <w:keepLines w:val="0"/>
              <w:pageBreakBefore w:val="0"/>
              <w:widowControl w:val="0"/>
              <w:kinsoku/>
              <w:wordWrap w:val="0"/>
              <w:overflowPunct/>
              <w:autoSpaceDE/>
              <w:autoSpaceDN/>
              <w:bidi w:val="0"/>
              <w:snapToGrid w:val="0"/>
              <w:spacing w:line="240" w:lineRule="auto"/>
              <w:ind w:left="0" w:leftChars="0" w:firstLine="210" w:firstLineChars="100"/>
              <w:jc w:val="left"/>
              <w:textAlignment w:val="auto"/>
              <w:outlineLvl w:val="9"/>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color w:val="auto"/>
                <w:sz w:val="21"/>
                <w:szCs w:val="21"/>
              </w:rPr>
              <w:t>（2）项目经理（建造师）资格：</w:t>
            </w:r>
            <w:r>
              <w:rPr>
                <w:rFonts w:hint="eastAsia" w:ascii="华文中宋" w:hAnsi="华文中宋" w:eastAsia="华文中宋" w:cs="华文中宋"/>
                <w:b w:val="0"/>
                <w:bCs/>
                <w:color w:val="auto"/>
                <w:sz w:val="21"/>
                <w:szCs w:val="21"/>
                <w:lang w:val="en-US" w:eastAsia="zh-CN"/>
              </w:rPr>
              <w:t>具备</w:t>
            </w:r>
            <w:r>
              <w:rPr>
                <w:rFonts w:hint="eastAsia" w:ascii="华文中宋" w:hAnsi="华文中宋" w:eastAsia="华文中宋" w:cs="华文中宋"/>
                <w:b w:val="0"/>
                <w:bCs/>
                <w:color w:val="auto"/>
                <w:sz w:val="21"/>
                <w:szCs w:val="21"/>
                <w:u w:val="single"/>
                <w:lang w:val="en-US" w:eastAsia="zh-CN"/>
              </w:rPr>
              <w:t xml:space="preserve"> 机电工程专业二级及以上</w:t>
            </w:r>
            <w:r>
              <w:rPr>
                <w:rFonts w:hint="eastAsia" w:ascii="华文中宋" w:hAnsi="华文中宋" w:eastAsia="华文中宋" w:cs="华文中宋"/>
                <w:b w:val="0"/>
                <w:bCs/>
                <w:color w:val="auto"/>
                <w:sz w:val="21"/>
                <w:szCs w:val="21"/>
                <w:lang w:val="en-US" w:eastAsia="zh-CN"/>
              </w:rPr>
              <w:t>注册建造师执业资格，具备有效的安全生产考核合格证书，且未担任其他在建工程项目的项目经理。</w:t>
            </w:r>
          </w:p>
          <w:p w14:paraId="4BF4ACDC">
            <w:pPr>
              <w:pStyle w:val="20"/>
              <w:keepNext w:val="0"/>
              <w:keepLines w:val="0"/>
              <w:pageBreakBefore w:val="0"/>
              <w:widowControl w:val="0"/>
              <w:kinsoku/>
              <w:overflowPunct/>
              <w:autoSpaceDE/>
              <w:autoSpaceDN/>
              <w:bidi w:val="0"/>
              <w:spacing w:line="240" w:lineRule="auto"/>
              <w:ind w:left="0" w:leftChars="0" w:firstLine="210" w:firstLineChars="1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（3）技术负责人要求：</w:t>
            </w:r>
            <w:r>
              <w:rPr>
                <w:rFonts w:hint="eastAsia" w:ascii="华文中宋" w:hAnsi="华文中宋" w:eastAsia="华文中宋" w:cs="华文中宋"/>
                <w:color w:val="auto"/>
                <w:sz w:val="21"/>
                <w:szCs w:val="21"/>
              </w:rPr>
              <w:t>具备</w:t>
            </w:r>
            <w:r>
              <w:rPr>
                <w:rFonts w:hint="eastAsia" w:ascii="华文中宋" w:hAnsi="华文中宋" w:eastAsia="华文中宋" w:cs="华文中宋"/>
                <w:color w:val="auto"/>
                <w:sz w:val="21"/>
                <w:szCs w:val="21"/>
                <w:u w:val="single"/>
              </w:rPr>
              <w:t xml:space="preserve"> 相关专业中级及以上 </w:t>
            </w:r>
            <w:r>
              <w:rPr>
                <w:rFonts w:hint="eastAsia" w:ascii="华文中宋" w:hAnsi="华文中宋" w:eastAsia="华文中宋" w:cs="华文中宋"/>
                <w:color w:val="auto"/>
                <w:sz w:val="21"/>
                <w:szCs w:val="21"/>
              </w:rPr>
              <w:t>技术职称。</w:t>
            </w:r>
          </w:p>
          <w:p w14:paraId="6F57FBC6">
            <w:pPr>
              <w:pStyle w:val="20"/>
              <w:keepNext w:val="0"/>
              <w:keepLines w:val="0"/>
              <w:pageBreakBefore w:val="0"/>
              <w:widowControl w:val="0"/>
              <w:kinsoku/>
              <w:overflowPunct/>
              <w:autoSpaceDE/>
              <w:autoSpaceDN/>
              <w:bidi w:val="0"/>
              <w:spacing w:line="240" w:lineRule="auto"/>
              <w:ind w:left="0" w:leftChars="0" w:firstLine="210" w:firstLineChars="1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提供以上内容扫描件。</w:t>
            </w:r>
          </w:p>
          <w:p w14:paraId="6274FA62">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9</w:t>
            </w:r>
            <w:r>
              <w:rPr>
                <w:rFonts w:hint="eastAsia" w:ascii="华文中宋" w:hAnsi="华文中宋" w:eastAsia="华文中宋" w:cs="华文中宋"/>
                <w:b/>
                <w:color w:val="auto"/>
                <w:sz w:val="21"/>
                <w:szCs w:val="21"/>
              </w:rPr>
              <w:t>、响应保证金的交纳情况及开户许可证</w:t>
            </w:r>
          </w:p>
          <w:p w14:paraId="2E9DE1EA">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（1）提供响应保证金交纳证明；</w:t>
            </w:r>
          </w:p>
          <w:p w14:paraId="6C86B36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（2）提供</w:t>
            </w:r>
            <w:r>
              <w:rPr>
                <w:rFonts w:hint="eastAsia" w:ascii="华文中宋" w:hAnsi="华文中宋" w:eastAsia="华文中宋" w:cs="华文中宋"/>
                <w:color w:val="auto"/>
                <w:sz w:val="21"/>
                <w:szCs w:val="21"/>
                <w:lang w:eastAsia="zh-CN"/>
              </w:rPr>
              <w:t>供应商</w:t>
            </w:r>
            <w:r>
              <w:rPr>
                <w:rFonts w:hint="eastAsia" w:ascii="华文中宋" w:hAnsi="华文中宋" w:eastAsia="华文中宋" w:cs="华文中宋"/>
                <w:color w:val="auto"/>
                <w:sz w:val="21"/>
                <w:szCs w:val="21"/>
              </w:rPr>
              <w:t>基本存款账户开户许可证</w:t>
            </w:r>
            <w:r>
              <w:rPr>
                <w:rFonts w:hint="eastAsia" w:ascii="华文中宋" w:hAnsi="华文中宋" w:eastAsia="华文中宋" w:cs="华文中宋"/>
                <w:color w:val="auto"/>
                <w:sz w:val="21"/>
                <w:szCs w:val="21"/>
                <w:lang w:val="en-US" w:eastAsia="zh-CN"/>
              </w:rPr>
              <w:t>或基本存款账户信息</w:t>
            </w:r>
            <w:r>
              <w:rPr>
                <w:rFonts w:hint="eastAsia" w:ascii="华文中宋" w:hAnsi="华文中宋" w:eastAsia="华文中宋" w:cs="华文中宋"/>
                <w:color w:val="auto"/>
                <w:sz w:val="21"/>
                <w:szCs w:val="21"/>
              </w:rPr>
              <w:t>。</w:t>
            </w:r>
          </w:p>
          <w:p w14:paraId="5B2CE48C">
            <w:pPr>
              <w:pStyle w:val="20"/>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bCs/>
                <w:color w:val="auto"/>
                <w:sz w:val="21"/>
                <w:szCs w:val="21"/>
                <w:lang w:val="en-US" w:eastAsia="zh-CN"/>
              </w:rPr>
            </w:pPr>
            <w:r>
              <w:rPr>
                <w:rFonts w:hint="eastAsia" w:ascii="华文中宋" w:hAnsi="华文中宋" w:eastAsia="华文中宋" w:cs="华文中宋"/>
                <w:b/>
                <w:bCs/>
                <w:color w:val="auto"/>
                <w:sz w:val="21"/>
                <w:szCs w:val="21"/>
                <w:lang w:val="en-US" w:eastAsia="zh-CN"/>
              </w:rPr>
              <w:t>10、落实政府采购政策</w:t>
            </w:r>
          </w:p>
          <w:p w14:paraId="137B9B81">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提供本项目规定的政府采购政策证明文件。</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661FB2CC">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本项目将根据磋商供应商提供的上述文件进行资格审查，具体资格审查内容及标准见第四部分。</w:t>
            </w:r>
          </w:p>
        </w:tc>
      </w:tr>
      <w:tr w14:paraId="5090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6B065078">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15</w:t>
            </w:r>
          </w:p>
        </w:tc>
        <w:tc>
          <w:tcPr>
            <w:tcW w:w="972" w:type="pct"/>
            <w:noWrap w:val="0"/>
            <w:vAlign w:val="center"/>
          </w:tcPr>
          <w:p w14:paraId="3DF8C5EB">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商务技术</w:t>
            </w:r>
          </w:p>
          <w:p w14:paraId="4B3B6713">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证明文件</w:t>
            </w:r>
          </w:p>
        </w:tc>
        <w:tc>
          <w:tcPr>
            <w:tcW w:w="3617" w:type="pct"/>
            <w:noWrap w:val="0"/>
            <w:vAlign w:val="center"/>
          </w:tcPr>
          <w:p w14:paraId="04EB73FC">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商务技术证明文件（</w:t>
            </w:r>
            <w:r>
              <w:rPr>
                <w:rFonts w:hint="eastAsia" w:ascii="华文中宋" w:hAnsi="华文中宋" w:eastAsia="华文中宋" w:cs="华文中宋"/>
                <w:b/>
                <w:color w:val="auto"/>
                <w:sz w:val="21"/>
                <w:szCs w:val="21"/>
                <w:lang w:eastAsia="zh-CN"/>
              </w:rPr>
              <w:t>符合性</w:t>
            </w:r>
            <w:r>
              <w:rPr>
                <w:rFonts w:hint="eastAsia" w:ascii="华文中宋" w:hAnsi="华文中宋" w:eastAsia="华文中宋" w:cs="华文中宋"/>
                <w:b/>
                <w:color w:val="auto"/>
                <w:sz w:val="21"/>
                <w:szCs w:val="21"/>
              </w:rPr>
              <w:t>检查文件）：</w:t>
            </w:r>
          </w:p>
          <w:p w14:paraId="706CFDD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1、对总报价、工期、工程质量、响应有效期要求的响应内容</w:t>
            </w:r>
          </w:p>
          <w:p w14:paraId="52A5E2CB">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2、对技术标准和要求的响应内容</w:t>
            </w:r>
          </w:p>
          <w:p w14:paraId="0BFE97C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3、对节能产品、环境标志产品承诺要求的响应内容</w:t>
            </w:r>
          </w:p>
          <w:p w14:paraId="3E6B7BD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4、已标价工程量清单</w:t>
            </w:r>
          </w:p>
          <w:p w14:paraId="6A94305C">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商务技术证明文件（综合评分文件）</w:t>
            </w:r>
          </w:p>
          <w:p w14:paraId="27065F02">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1、施工组织设计：</w:t>
            </w:r>
          </w:p>
          <w:p w14:paraId="727EB2AA">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2、磋商供应商及项目经理资信</w:t>
            </w:r>
          </w:p>
          <w:p w14:paraId="1B4AFBA4">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3、拟分包计划表</w:t>
            </w:r>
          </w:p>
          <w:p w14:paraId="4E4A2C64">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4、其他资料</w:t>
            </w:r>
          </w:p>
          <w:p w14:paraId="06DDBA7B">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说明：</w:t>
            </w:r>
          </w:p>
          <w:p w14:paraId="36B1D4A3">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1、以上内容涉及的格式资料详见第</w:t>
            </w:r>
            <w:r>
              <w:rPr>
                <w:rFonts w:hint="eastAsia" w:ascii="华文中宋" w:hAnsi="华文中宋" w:eastAsia="华文中宋" w:cs="华文中宋"/>
                <w:b/>
                <w:bCs/>
                <w:color w:val="auto"/>
                <w:sz w:val="21"/>
                <w:szCs w:val="21"/>
                <w:lang w:val="en-US" w:eastAsia="zh-CN"/>
              </w:rPr>
              <w:t>八</w:t>
            </w:r>
            <w:r>
              <w:rPr>
                <w:rFonts w:hint="eastAsia" w:ascii="华文中宋" w:hAnsi="华文中宋" w:eastAsia="华文中宋" w:cs="华文中宋"/>
                <w:b/>
                <w:bCs/>
                <w:color w:val="auto"/>
                <w:sz w:val="21"/>
                <w:szCs w:val="21"/>
              </w:rPr>
              <w:t>部分；</w:t>
            </w:r>
          </w:p>
          <w:p w14:paraId="2A171FCC">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bCs/>
                <w:color w:val="auto"/>
                <w:sz w:val="21"/>
                <w:szCs w:val="21"/>
              </w:rPr>
              <w:t>2、资格证明文件同商务技术文件装订为一册。</w:t>
            </w:r>
          </w:p>
        </w:tc>
      </w:tr>
      <w:tr w14:paraId="75B1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359B391">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16</w:t>
            </w:r>
          </w:p>
        </w:tc>
        <w:tc>
          <w:tcPr>
            <w:tcW w:w="972" w:type="pct"/>
            <w:noWrap w:val="0"/>
            <w:vAlign w:val="center"/>
          </w:tcPr>
          <w:p w14:paraId="2E2B8B44">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响应文件份数</w:t>
            </w:r>
          </w:p>
        </w:tc>
        <w:tc>
          <w:tcPr>
            <w:tcW w:w="3617" w:type="pct"/>
            <w:noWrap w:val="0"/>
            <w:vAlign w:val="center"/>
          </w:tcPr>
          <w:p w14:paraId="629140B9">
            <w:pPr>
              <w:jc w:val="left"/>
              <w:rPr>
                <w:rFonts w:hint="eastAsia" w:ascii="华文中宋" w:hAnsi="华文中宋" w:eastAsia="华文中宋" w:cs="华文中宋"/>
                <w:bCs/>
                <w:color w:val="auto"/>
                <w:sz w:val="21"/>
                <w:szCs w:val="21"/>
              </w:rPr>
            </w:pPr>
            <w:r>
              <w:rPr>
                <w:rFonts w:hint="eastAsia" w:ascii="华文中宋" w:hAnsi="华文中宋" w:eastAsia="华文中宋" w:cs="华文中宋"/>
                <w:color w:val="auto"/>
                <w:sz w:val="21"/>
                <w:szCs w:val="21"/>
              </w:rPr>
              <w:t>响应文件按照磋商文件上传</w:t>
            </w:r>
          </w:p>
        </w:tc>
      </w:tr>
      <w:tr w14:paraId="2EDD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3F7F268">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17</w:t>
            </w:r>
          </w:p>
        </w:tc>
        <w:tc>
          <w:tcPr>
            <w:tcW w:w="972" w:type="pct"/>
            <w:noWrap w:val="0"/>
            <w:vAlign w:val="center"/>
          </w:tcPr>
          <w:p w14:paraId="3D5D6ED5">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磋商时间和地点</w:t>
            </w:r>
          </w:p>
        </w:tc>
        <w:tc>
          <w:tcPr>
            <w:tcW w:w="3617" w:type="pct"/>
            <w:noWrap w:val="0"/>
            <w:vAlign w:val="center"/>
          </w:tcPr>
          <w:p w14:paraId="2C35A6D1">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shd w:val="clear" w:color="auto" w:fill="auto"/>
              </w:rPr>
            </w:pPr>
            <w:r>
              <w:rPr>
                <w:rFonts w:hint="eastAsia" w:ascii="华文中宋" w:hAnsi="华文中宋" w:eastAsia="华文中宋" w:cs="华文中宋"/>
                <w:color w:val="auto"/>
                <w:sz w:val="21"/>
                <w:szCs w:val="21"/>
              </w:rPr>
              <w:t>磋商时间</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2025年06月06日9时30分</w:t>
            </w:r>
            <w:r>
              <w:rPr>
                <w:rFonts w:hint="eastAsia" w:ascii="华文中宋" w:hAnsi="华文中宋" w:eastAsia="华文中宋" w:cs="华文中宋"/>
                <w:color w:val="auto"/>
                <w:sz w:val="21"/>
                <w:szCs w:val="21"/>
                <w:highlight w:val="none"/>
              </w:rPr>
              <w:t>（北京时间）</w:t>
            </w:r>
          </w:p>
          <w:p w14:paraId="5AFBF346">
            <w:pPr>
              <w:pStyle w:val="40"/>
              <w:keepNext w:val="0"/>
              <w:keepLines w:val="0"/>
              <w:pageBreakBefore w:val="0"/>
              <w:widowControl w:val="0"/>
              <w:kinsoku/>
              <w:overflowPunct/>
              <w:autoSpaceDE/>
              <w:autoSpaceDN/>
              <w:bidi w:val="0"/>
              <w:spacing w:line="240" w:lineRule="auto"/>
              <w:ind w:left="0" w:leftChars="0" w:firstLine="0" w:firstLine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highlight w:val="none"/>
              </w:rPr>
              <w:t>磋商地点：山西政府采购网官网政采云平台</w:t>
            </w:r>
          </w:p>
        </w:tc>
      </w:tr>
      <w:tr w14:paraId="2722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2BFDFF45">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1</w:t>
            </w:r>
            <w:r>
              <w:rPr>
                <w:rFonts w:hint="eastAsia" w:ascii="华文中宋" w:hAnsi="华文中宋" w:eastAsia="华文中宋" w:cs="华文中宋"/>
                <w:color w:val="auto"/>
                <w:sz w:val="21"/>
                <w:szCs w:val="21"/>
                <w:lang w:val="en-US" w:eastAsia="zh-CN"/>
              </w:rPr>
              <w:t>8</w:t>
            </w:r>
          </w:p>
        </w:tc>
        <w:tc>
          <w:tcPr>
            <w:tcW w:w="972" w:type="pct"/>
            <w:noWrap w:val="0"/>
            <w:vAlign w:val="center"/>
          </w:tcPr>
          <w:p w14:paraId="22A3CC8C">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采用的磋商评分方法</w:t>
            </w:r>
          </w:p>
        </w:tc>
        <w:tc>
          <w:tcPr>
            <w:tcW w:w="3617" w:type="pct"/>
            <w:noWrap w:val="0"/>
            <w:vAlign w:val="center"/>
          </w:tcPr>
          <w:p w14:paraId="4E402409">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综合评分法</w:t>
            </w:r>
          </w:p>
        </w:tc>
      </w:tr>
      <w:tr w14:paraId="2FDE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15DEA052">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19</w:t>
            </w:r>
          </w:p>
        </w:tc>
        <w:tc>
          <w:tcPr>
            <w:tcW w:w="972" w:type="pct"/>
            <w:noWrap w:val="0"/>
            <w:vAlign w:val="center"/>
          </w:tcPr>
          <w:p w14:paraId="57A6F903">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磋商小组的组建</w:t>
            </w:r>
          </w:p>
        </w:tc>
        <w:tc>
          <w:tcPr>
            <w:tcW w:w="3617" w:type="pct"/>
            <w:noWrap w:val="0"/>
            <w:vAlign w:val="center"/>
          </w:tcPr>
          <w:p w14:paraId="0C61378A">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磋商小组构成：</w:t>
            </w:r>
            <w:r>
              <w:rPr>
                <w:rFonts w:hint="eastAsia" w:ascii="华文中宋" w:hAnsi="华文中宋" w:eastAsia="华文中宋" w:cs="华文中宋"/>
                <w:color w:val="auto"/>
                <w:sz w:val="21"/>
                <w:szCs w:val="21"/>
                <w:u w:val="single"/>
              </w:rPr>
              <w:t xml:space="preserve"> 3 </w:t>
            </w:r>
            <w:r>
              <w:rPr>
                <w:rFonts w:hint="eastAsia" w:ascii="华文中宋" w:hAnsi="华文中宋" w:eastAsia="华文中宋" w:cs="华文中宋"/>
                <w:color w:val="auto"/>
                <w:sz w:val="21"/>
                <w:szCs w:val="21"/>
              </w:rPr>
              <w:t>人</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其中专家</w:t>
            </w:r>
            <w:r>
              <w:rPr>
                <w:rFonts w:hint="eastAsia" w:ascii="华文中宋" w:hAnsi="华文中宋" w:eastAsia="华文中宋" w:cs="华文中宋"/>
                <w:color w:val="auto"/>
                <w:sz w:val="21"/>
                <w:szCs w:val="21"/>
                <w:u w:val="single"/>
                <w:lang w:val="en-US" w:eastAsia="zh-CN"/>
              </w:rPr>
              <w:t xml:space="preserve"> 3 </w:t>
            </w:r>
            <w:r>
              <w:rPr>
                <w:rFonts w:hint="eastAsia" w:ascii="华文中宋" w:hAnsi="华文中宋" w:eastAsia="华文中宋" w:cs="华文中宋"/>
                <w:color w:val="auto"/>
                <w:sz w:val="21"/>
                <w:szCs w:val="21"/>
                <w:lang w:val="en-US" w:eastAsia="zh-CN"/>
              </w:rPr>
              <w:t>人</w:t>
            </w:r>
            <w:r>
              <w:rPr>
                <w:rFonts w:hint="eastAsia" w:ascii="华文中宋" w:hAnsi="华文中宋" w:eastAsia="华文中宋" w:cs="华文中宋"/>
                <w:color w:val="auto"/>
                <w:sz w:val="21"/>
                <w:szCs w:val="21"/>
              </w:rPr>
              <w:t>；从山西省财政厅评标专家库中随机抽取。</w:t>
            </w:r>
          </w:p>
        </w:tc>
      </w:tr>
      <w:tr w14:paraId="2826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D48FD45">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2</w:t>
            </w:r>
            <w:r>
              <w:rPr>
                <w:rFonts w:hint="eastAsia" w:ascii="华文中宋" w:hAnsi="华文中宋" w:eastAsia="华文中宋" w:cs="华文中宋"/>
                <w:color w:val="auto"/>
                <w:sz w:val="21"/>
                <w:szCs w:val="21"/>
                <w:lang w:val="en-US" w:eastAsia="zh-CN"/>
              </w:rPr>
              <w:t>0</w:t>
            </w:r>
          </w:p>
        </w:tc>
        <w:tc>
          <w:tcPr>
            <w:tcW w:w="972" w:type="pct"/>
            <w:noWrap w:val="0"/>
            <w:vAlign w:val="center"/>
          </w:tcPr>
          <w:p w14:paraId="69AEAFE1">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授权磋商小组确定成交人</w:t>
            </w:r>
          </w:p>
        </w:tc>
        <w:tc>
          <w:tcPr>
            <w:tcW w:w="3617" w:type="pct"/>
            <w:noWrap w:val="0"/>
            <w:vAlign w:val="center"/>
          </w:tcPr>
          <w:p w14:paraId="0F734B6B">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否</w:t>
            </w:r>
          </w:p>
        </w:tc>
      </w:tr>
      <w:tr w14:paraId="224E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B9C6D65">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2</w:t>
            </w:r>
            <w:r>
              <w:rPr>
                <w:rFonts w:hint="eastAsia" w:ascii="华文中宋" w:hAnsi="华文中宋" w:eastAsia="华文中宋" w:cs="华文中宋"/>
                <w:color w:val="auto"/>
                <w:sz w:val="21"/>
                <w:szCs w:val="21"/>
                <w:lang w:val="en-US" w:eastAsia="zh-CN"/>
              </w:rPr>
              <w:t>1</w:t>
            </w:r>
          </w:p>
        </w:tc>
        <w:tc>
          <w:tcPr>
            <w:tcW w:w="972" w:type="pct"/>
            <w:noWrap w:val="0"/>
            <w:vAlign w:val="center"/>
          </w:tcPr>
          <w:p w14:paraId="091BE8C1">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履约担保</w:t>
            </w:r>
          </w:p>
        </w:tc>
        <w:tc>
          <w:tcPr>
            <w:tcW w:w="3617" w:type="pct"/>
            <w:noWrap w:val="0"/>
            <w:vAlign w:val="center"/>
          </w:tcPr>
          <w:p w14:paraId="6D210539">
            <w:pPr>
              <w:keepNext w:val="0"/>
              <w:keepLines w:val="0"/>
              <w:pageBreakBefore w:val="0"/>
              <w:widowControl w:val="0"/>
              <w:kinsoku/>
              <w:wordWrap w:val="0"/>
              <w:overflowPunct/>
              <w:autoSpaceDE/>
              <w:autoSpaceDN/>
              <w:bidi w:val="0"/>
              <w:snapToGrid w:val="0"/>
              <w:spacing w:line="240" w:lineRule="auto"/>
              <w:ind w:left="0" w:leftChars="0"/>
              <w:jc w:val="both"/>
              <w:textAlignment w:val="auto"/>
              <w:outlineLvl w:val="9"/>
              <w:rPr>
                <w:rFonts w:hint="eastAsia" w:ascii="华文中宋" w:hAnsi="华文中宋" w:eastAsia="华文中宋" w:cs="华文中宋"/>
                <w:color w:val="auto"/>
                <w:sz w:val="21"/>
                <w:szCs w:val="21"/>
                <w:u w:val="single"/>
              </w:rPr>
            </w:pPr>
            <w:r>
              <w:rPr>
                <w:rFonts w:hint="eastAsia" w:ascii="华文中宋" w:hAnsi="华文中宋" w:eastAsia="华文中宋" w:cs="华文中宋"/>
                <w:color w:val="auto"/>
                <w:sz w:val="21"/>
                <w:szCs w:val="21"/>
              </w:rPr>
              <w:t>履约担保的形式：</w:t>
            </w:r>
            <w:r>
              <w:rPr>
                <w:rFonts w:hint="eastAsia" w:ascii="华文中宋" w:hAnsi="华文中宋" w:eastAsia="华文中宋" w:cs="华文中宋"/>
                <w:color w:val="auto"/>
                <w:sz w:val="21"/>
                <w:szCs w:val="21"/>
                <w:u w:val="single"/>
              </w:rPr>
              <w:t xml:space="preserve">  按甲方要求</w:t>
            </w:r>
          </w:p>
          <w:p w14:paraId="54B5FEA7">
            <w:pPr>
              <w:keepNext w:val="0"/>
              <w:keepLines w:val="0"/>
              <w:pageBreakBefore w:val="0"/>
              <w:widowControl w:val="0"/>
              <w:kinsoku/>
              <w:wordWrap w:val="0"/>
              <w:overflowPunct/>
              <w:autoSpaceDE/>
              <w:autoSpaceDN/>
              <w:bidi w:val="0"/>
              <w:snapToGrid w:val="0"/>
              <w:spacing w:line="240" w:lineRule="auto"/>
              <w:ind w:left="0" w:leftChars="0"/>
              <w:jc w:val="both"/>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履约担保的金额：</w:t>
            </w:r>
            <w:r>
              <w:rPr>
                <w:rFonts w:hint="eastAsia" w:ascii="华文中宋" w:hAnsi="华文中宋" w:eastAsia="华文中宋" w:cs="华文中宋"/>
                <w:color w:val="auto"/>
                <w:sz w:val="21"/>
                <w:szCs w:val="21"/>
                <w:u w:val="single"/>
              </w:rPr>
              <w:t xml:space="preserve">  按甲方要求</w:t>
            </w:r>
          </w:p>
        </w:tc>
      </w:tr>
      <w:tr w14:paraId="1CCD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B8128DC">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22</w:t>
            </w:r>
          </w:p>
        </w:tc>
        <w:tc>
          <w:tcPr>
            <w:tcW w:w="972" w:type="pct"/>
            <w:noWrap w:val="0"/>
            <w:vAlign w:val="center"/>
          </w:tcPr>
          <w:p w14:paraId="0C70E3C7">
            <w:pPr>
              <w:keepNext w:val="0"/>
              <w:keepLines w:val="0"/>
              <w:pageBreakBefore w:val="0"/>
              <w:widowControl w:val="0"/>
              <w:kinsoku/>
              <w:overflowPunct/>
              <w:autoSpaceDE/>
              <w:autoSpaceDN/>
              <w:bidi w:val="0"/>
              <w:snapToGrid w:val="0"/>
              <w:spacing w:line="240" w:lineRule="auto"/>
              <w:ind w:left="0" w:leftChars="0" w:firstLine="105" w:firstLineChars="5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保证金金额</w:t>
            </w:r>
          </w:p>
        </w:tc>
        <w:tc>
          <w:tcPr>
            <w:tcW w:w="3617" w:type="pct"/>
            <w:noWrap w:val="0"/>
            <w:vAlign w:val="center"/>
          </w:tcPr>
          <w:p w14:paraId="0412439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□本项目不要求提交投标保证金。</w:t>
            </w:r>
          </w:p>
          <w:p w14:paraId="6231E9F9">
            <w:pPr>
              <w:pStyle w:val="19"/>
              <w:keepNext w:val="0"/>
              <w:keepLines w:val="0"/>
              <w:pageBreakBefore w:val="0"/>
              <w:widowControl w:val="0"/>
              <w:kinsoku/>
              <w:wordWrap/>
              <w:overflowPunct/>
              <w:topLinePunct w:val="0"/>
              <w:autoSpaceDE/>
              <w:autoSpaceDN/>
              <w:bidi w:val="0"/>
              <w:snapToGrid w:val="0"/>
              <w:spacing w:line="288" w:lineRule="auto"/>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rPr>
              <w:t>本项目要求提交投标保证金：是</w:t>
            </w:r>
          </w:p>
          <w:p w14:paraId="739279A2">
            <w:pPr>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lang w:val="en-US" w:eastAsia="zh-CN"/>
              </w:rPr>
              <w:t>保证金</w:t>
            </w:r>
            <w:r>
              <w:rPr>
                <w:rFonts w:hint="eastAsia" w:ascii="华文中宋" w:hAnsi="华文中宋" w:eastAsia="华文中宋" w:cs="华文中宋"/>
                <w:b/>
                <w:bCs/>
                <w:color w:val="auto"/>
                <w:sz w:val="21"/>
                <w:szCs w:val="21"/>
              </w:rPr>
              <w:t>金额：</w:t>
            </w:r>
            <w:r>
              <w:rPr>
                <w:rFonts w:hint="eastAsia" w:ascii="华文中宋" w:hAnsi="华文中宋" w:eastAsia="华文中宋" w:cs="华文中宋"/>
                <w:b/>
                <w:bCs/>
                <w:color w:val="auto"/>
                <w:sz w:val="21"/>
                <w:szCs w:val="21"/>
                <w:lang w:val="en-US" w:eastAsia="zh-CN"/>
              </w:rPr>
              <w:t>10000</w:t>
            </w:r>
            <w:r>
              <w:rPr>
                <w:rFonts w:hint="eastAsia" w:ascii="华文中宋" w:hAnsi="华文中宋" w:eastAsia="华文中宋" w:cs="华文中宋"/>
                <w:b/>
                <w:bCs/>
                <w:color w:val="auto"/>
                <w:sz w:val="21"/>
                <w:szCs w:val="21"/>
              </w:rPr>
              <w:t>元（</w:t>
            </w:r>
            <w:r>
              <w:rPr>
                <w:rFonts w:hint="eastAsia" w:ascii="华文中宋" w:hAnsi="华文中宋" w:eastAsia="华文中宋" w:cs="华文中宋"/>
                <w:b/>
                <w:bCs/>
                <w:color w:val="auto"/>
                <w:sz w:val="21"/>
                <w:szCs w:val="21"/>
                <w:lang w:val="en-US" w:eastAsia="zh-CN"/>
              </w:rPr>
              <w:t>壹万元整</w:t>
            </w:r>
            <w:r>
              <w:rPr>
                <w:rFonts w:hint="eastAsia" w:ascii="华文中宋" w:hAnsi="华文中宋" w:eastAsia="华文中宋" w:cs="华文中宋"/>
                <w:b/>
                <w:bCs/>
                <w:color w:val="auto"/>
                <w:sz w:val="21"/>
                <w:szCs w:val="21"/>
              </w:rPr>
              <w:t>）</w:t>
            </w:r>
          </w:p>
          <w:p w14:paraId="66E69BB6">
            <w:pP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磋商</w:t>
            </w:r>
            <w:r>
              <w:rPr>
                <w:rFonts w:hint="eastAsia" w:ascii="华文中宋" w:hAnsi="华文中宋" w:eastAsia="华文中宋" w:cs="华文中宋"/>
                <w:color w:val="auto"/>
                <w:sz w:val="21"/>
                <w:szCs w:val="21"/>
              </w:rPr>
              <w:t>保证金的形式：通过本单位基本银行帐户电汇或保函形式交纳。</w:t>
            </w:r>
          </w:p>
          <w:p w14:paraId="4AB215BB">
            <w:pPr>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rPr>
              <w:t>通过本单位基本银行帐户电汇</w:t>
            </w:r>
            <w:r>
              <w:rPr>
                <w:rFonts w:hint="eastAsia" w:ascii="华文中宋" w:hAnsi="华文中宋" w:eastAsia="华文中宋" w:cs="华文中宋"/>
                <w:color w:val="auto"/>
                <w:sz w:val="21"/>
                <w:szCs w:val="21"/>
                <w:lang w:val="en-US" w:eastAsia="zh-CN"/>
              </w:rPr>
              <w:t>形式</w:t>
            </w:r>
          </w:p>
          <w:p w14:paraId="1703B997">
            <w:pPr>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开户名称：山西中际华工程项目管理有限公司</w:t>
            </w:r>
          </w:p>
          <w:p w14:paraId="1B5745CA">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帐号：601103010300000171485</w:t>
            </w:r>
          </w:p>
          <w:p w14:paraId="05E6878E">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开户银行：山西尧都农村商业银行股份有限公司营业部</w:t>
            </w:r>
          </w:p>
          <w:p w14:paraId="53569AF6">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行号：402177000530</w:t>
            </w:r>
          </w:p>
          <w:p w14:paraId="37B0AA4E">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注：响应文件中必须附银行转账或电汇凭证复印件，开标前磋商保证金应转入采购代理机构的账户。请务必在汇款单位附加信息及用途栏中注明项目名称（或项目编号），否则供应商的汇款将无法被及时确认。（</w:t>
            </w:r>
            <w:r>
              <w:rPr>
                <w:rFonts w:hint="eastAsia" w:ascii="华文中宋" w:hAnsi="华文中宋" w:eastAsia="华文中宋" w:cs="华文中宋"/>
                <w:color w:val="auto"/>
                <w:sz w:val="21"/>
                <w:szCs w:val="21"/>
              </w:rPr>
              <w:t>代理公司财务联系电话：（0357-6765565）</w:t>
            </w:r>
            <w:r>
              <w:rPr>
                <w:rFonts w:hint="eastAsia" w:ascii="华文中宋" w:hAnsi="华文中宋" w:eastAsia="华文中宋" w:cs="华文中宋"/>
                <w:color w:val="auto"/>
                <w:sz w:val="21"/>
                <w:szCs w:val="21"/>
                <w:lang w:val="en-US" w:eastAsia="zh-CN"/>
              </w:rPr>
              <w:t>）</w:t>
            </w:r>
            <w:r>
              <w:rPr>
                <w:rFonts w:hint="eastAsia" w:ascii="华文中宋" w:hAnsi="华文中宋" w:eastAsia="华文中宋" w:cs="华文中宋"/>
                <w:color w:val="auto"/>
                <w:sz w:val="21"/>
                <w:szCs w:val="21"/>
              </w:rPr>
              <w:t xml:space="preserve"> </w:t>
            </w:r>
          </w:p>
          <w:p w14:paraId="109C6531">
            <w:pPr>
              <w:numPr>
                <w:ilvl w:val="0"/>
                <w:numId w:val="3"/>
              </w:numPr>
              <w:spacing w:line="360" w:lineRule="exac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采用保函形式：保函应当是</w:t>
            </w:r>
            <w:r>
              <w:rPr>
                <w:rFonts w:hint="eastAsia" w:ascii="华文中宋" w:hAnsi="华文中宋" w:eastAsia="华文中宋" w:cs="华文中宋"/>
                <w:color w:val="auto"/>
                <w:sz w:val="21"/>
                <w:szCs w:val="21"/>
                <w:lang w:eastAsia="zh-CN"/>
              </w:rPr>
              <w:t>金融机构、担保机构出具的投标保函（含电子保函）、</w:t>
            </w:r>
            <w:r>
              <w:rPr>
                <w:rFonts w:hint="eastAsia" w:ascii="华文中宋" w:hAnsi="华文中宋" w:eastAsia="华文中宋" w:cs="华文中宋"/>
                <w:color w:val="auto"/>
                <w:sz w:val="21"/>
                <w:szCs w:val="21"/>
              </w:rPr>
              <w:t>银行直接出具的保函或者第三方金融服务平台出具的保函，</w:t>
            </w:r>
            <w:r>
              <w:rPr>
                <w:rFonts w:hint="eastAsia" w:ascii="华文中宋" w:hAnsi="华文中宋" w:eastAsia="华文中宋" w:cs="华文中宋"/>
                <w:color w:val="auto"/>
                <w:sz w:val="21"/>
                <w:szCs w:val="21"/>
                <w:lang w:eastAsia="zh-CN"/>
              </w:rPr>
              <w:t>响应文件</w:t>
            </w:r>
            <w:r>
              <w:rPr>
                <w:rFonts w:hint="eastAsia" w:ascii="华文中宋" w:hAnsi="华文中宋" w:eastAsia="华文中宋" w:cs="华文中宋"/>
                <w:color w:val="auto"/>
                <w:sz w:val="21"/>
                <w:szCs w:val="21"/>
              </w:rPr>
              <w:t>中附扫描件。</w:t>
            </w:r>
          </w:p>
          <w:p w14:paraId="19C4EA12">
            <w:pPr>
              <w:jc w:val="left"/>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3、支票、汇票、本票、纸质保函形式  </w:t>
            </w:r>
          </w:p>
          <w:p w14:paraId="26A19D77">
            <w:pPr>
              <w:ind w:firstLine="210" w:firstLineChars="100"/>
              <w:jc w:val="left"/>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响应文件上传截止时间之前，当面向代理机构财务部门递交支票/汇票/本票/纸质保函，财务人员核对票面/保函信息、有效期无误后，打印回执单，加盖代理机构公章，询价供应商签字领取回执单，财务人员须将收取的票据和保函妥善保管。由于支票、汇票、本票、纸质保函属于企业重要票据，代理机构不接受邮寄或速递方式提交，由此带来的不利后果或造成票据遗失情况，均由供应商自行承担。</w:t>
            </w:r>
          </w:p>
          <w:p w14:paraId="3A1132C5">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bCs/>
                <w:color w:val="auto"/>
                <w:sz w:val="21"/>
                <w:szCs w:val="21"/>
                <w:lang w:val="en-US" w:eastAsia="zh-CN"/>
              </w:rPr>
              <w:t>注：</w:t>
            </w:r>
            <w:r>
              <w:rPr>
                <w:rFonts w:hint="eastAsia" w:ascii="华文中宋" w:hAnsi="华文中宋" w:eastAsia="华文中宋" w:cs="华文中宋"/>
                <w:b/>
                <w:bCs/>
                <w:color w:val="auto"/>
                <w:sz w:val="21"/>
                <w:szCs w:val="21"/>
                <w:lang w:eastAsia="zh-CN"/>
              </w:rPr>
              <w:t>供应商须在</w:t>
            </w:r>
            <w:r>
              <w:rPr>
                <w:rFonts w:hint="eastAsia" w:ascii="华文中宋" w:hAnsi="华文中宋" w:eastAsia="华文中宋" w:cs="华文中宋"/>
                <w:b/>
                <w:bCs/>
                <w:color w:val="auto"/>
                <w:sz w:val="21"/>
                <w:szCs w:val="21"/>
                <w:lang w:val="en-US" w:eastAsia="zh-CN"/>
              </w:rPr>
              <w:t>磋商</w:t>
            </w:r>
            <w:r>
              <w:rPr>
                <w:rFonts w:hint="eastAsia" w:ascii="华文中宋" w:hAnsi="华文中宋" w:eastAsia="华文中宋" w:cs="华文中宋"/>
                <w:b/>
                <w:bCs/>
                <w:color w:val="auto"/>
                <w:sz w:val="21"/>
                <w:szCs w:val="21"/>
                <w:lang w:eastAsia="zh-CN"/>
              </w:rPr>
              <w:t>保证金缴纳截止时间之前将</w:t>
            </w:r>
            <w:r>
              <w:rPr>
                <w:rFonts w:hint="eastAsia" w:ascii="华文中宋" w:hAnsi="华文中宋" w:eastAsia="华文中宋" w:cs="华文中宋"/>
                <w:b/>
                <w:bCs/>
                <w:color w:val="auto"/>
                <w:sz w:val="21"/>
                <w:szCs w:val="21"/>
                <w:lang w:val="en-US" w:eastAsia="zh-CN"/>
              </w:rPr>
              <w:t>磋商</w:t>
            </w:r>
            <w:r>
              <w:rPr>
                <w:rFonts w:hint="eastAsia" w:ascii="华文中宋" w:hAnsi="华文中宋" w:eastAsia="华文中宋" w:cs="华文中宋"/>
                <w:b/>
                <w:bCs/>
                <w:color w:val="auto"/>
                <w:sz w:val="21"/>
                <w:szCs w:val="21"/>
                <w:lang w:eastAsia="zh-CN"/>
              </w:rPr>
              <w:t>保证金电汇凭证</w:t>
            </w:r>
            <w:r>
              <w:rPr>
                <w:rFonts w:hint="eastAsia" w:ascii="华文中宋" w:hAnsi="华文中宋" w:eastAsia="华文中宋" w:cs="华文中宋"/>
                <w:b/>
                <w:bCs/>
                <w:color w:val="auto"/>
                <w:sz w:val="21"/>
                <w:szCs w:val="21"/>
                <w:lang w:val="en-US" w:eastAsia="zh-CN"/>
              </w:rPr>
              <w:t>或保函扫描件</w:t>
            </w:r>
            <w:r>
              <w:rPr>
                <w:rFonts w:hint="eastAsia" w:ascii="华文中宋" w:hAnsi="华文中宋" w:eastAsia="华文中宋" w:cs="华文中宋"/>
                <w:b/>
                <w:bCs/>
                <w:color w:val="auto"/>
                <w:sz w:val="21"/>
                <w:szCs w:val="21"/>
                <w:lang w:eastAsia="zh-CN"/>
              </w:rPr>
              <w:t>发送到代理机构电子邮箱（</w:t>
            </w:r>
            <w:r>
              <w:rPr>
                <w:rFonts w:hint="eastAsia" w:ascii="华文中宋" w:hAnsi="华文中宋" w:eastAsia="华文中宋" w:cs="华文中宋"/>
                <w:b/>
                <w:bCs/>
                <w:color w:val="auto"/>
                <w:sz w:val="21"/>
                <w:szCs w:val="21"/>
                <w:lang w:eastAsia="zh-CN"/>
              </w:rPr>
              <w:fldChar w:fldCharType="begin"/>
            </w:r>
            <w:r>
              <w:rPr>
                <w:rFonts w:hint="eastAsia" w:ascii="华文中宋" w:hAnsi="华文中宋" w:eastAsia="华文中宋" w:cs="华文中宋"/>
                <w:b/>
                <w:bCs/>
                <w:color w:val="auto"/>
                <w:sz w:val="21"/>
                <w:szCs w:val="21"/>
                <w:lang w:eastAsia="zh-CN"/>
              </w:rPr>
              <w:instrText xml:space="preserve"> HYPERLINK "mailto:sxzjh0001@163.com" </w:instrText>
            </w:r>
            <w:r>
              <w:rPr>
                <w:rFonts w:hint="eastAsia" w:ascii="华文中宋" w:hAnsi="华文中宋" w:eastAsia="华文中宋" w:cs="华文中宋"/>
                <w:b/>
                <w:bCs/>
                <w:color w:val="auto"/>
                <w:sz w:val="21"/>
                <w:szCs w:val="21"/>
                <w:lang w:eastAsia="zh-CN"/>
              </w:rPr>
              <w:fldChar w:fldCharType="separate"/>
            </w:r>
            <w:r>
              <w:rPr>
                <w:rFonts w:hint="eastAsia" w:ascii="华文中宋" w:hAnsi="华文中宋" w:eastAsia="华文中宋" w:cs="华文中宋"/>
                <w:b/>
                <w:bCs/>
                <w:color w:val="auto"/>
                <w:sz w:val="21"/>
                <w:szCs w:val="21"/>
                <w:lang w:eastAsia="zh-CN"/>
              </w:rPr>
              <w:t>sxzjh0001@163.com</w:t>
            </w:r>
            <w:r>
              <w:rPr>
                <w:rFonts w:hint="eastAsia" w:ascii="华文中宋" w:hAnsi="华文中宋" w:eastAsia="华文中宋" w:cs="华文中宋"/>
                <w:b/>
                <w:bCs/>
                <w:color w:val="auto"/>
                <w:sz w:val="21"/>
                <w:szCs w:val="21"/>
                <w:lang w:eastAsia="zh-CN"/>
              </w:rPr>
              <w:fldChar w:fldCharType="end"/>
            </w:r>
            <w:r>
              <w:rPr>
                <w:rFonts w:hint="eastAsia" w:ascii="华文中宋" w:hAnsi="华文中宋" w:eastAsia="华文中宋" w:cs="华文中宋"/>
                <w:b/>
                <w:bCs/>
                <w:color w:val="auto"/>
                <w:sz w:val="21"/>
                <w:szCs w:val="21"/>
                <w:lang w:eastAsia="zh-CN"/>
              </w:rPr>
              <w:t>），邮件标题格式：公司名称+项目名称+“</w:t>
            </w:r>
            <w:r>
              <w:rPr>
                <w:rFonts w:hint="eastAsia" w:ascii="华文中宋" w:hAnsi="华文中宋" w:eastAsia="华文中宋" w:cs="华文中宋"/>
                <w:b/>
                <w:bCs/>
                <w:color w:val="auto"/>
                <w:sz w:val="21"/>
                <w:szCs w:val="21"/>
                <w:lang w:val="en-US" w:eastAsia="zh-CN"/>
              </w:rPr>
              <w:t>投标</w:t>
            </w:r>
            <w:r>
              <w:rPr>
                <w:rFonts w:hint="eastAsia" w:ascii="华文中宋" w:hAnsi="华文中宋" w:eastAsia="华文中宋" w:cs="华文中宋"/>
                <w:b/>
                <w:bCs/>
                <w:color w:val="auto"/>
                <w:sz w:val="21"/>
                <w:szCs w:val="21"/>
                <w:lang w:eastAsia="zh-CN"/>
              </w:rPr>
              <w:t>保证金金额”。</w:t>
            </w:r>
          </w:p>
        </w:tc>
      </w:tr>
      <w:tr w14:paraId="5FA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4A8FD91F">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2</w:t>
            </w:r>
            <w:r>
              <w:rPr>
                <w:rFonts w:hint="eastAsia" w:ascii="华文中宋" w:hAnsi="华文中宋" w:eastAsia="华文中宋" w:cs="华文中宋"/>
                <w:color w:val="auto"/>
                <w:sz w:val="21"/>
                <w:szCs w:val="21"/>
                <w:lang w:val="en-US" w:eastAsia="zh-CN"/>
              </w:rPr>
              <w:t>3</w:t>
            </w:r>
          </w:p>
        </w:tc>
        <w:tc>
          <w:tcPr>
            <w:tcW w:w="972" w:type="pct"/>
            <w:noWrap w:val="0"/>
            <w:vAlign w:val="center"/>
          </w:tcPr>
          <w:p w14:paraId="52906D97">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color w:val="auto"/>
                <w:sz w:val="21"/>
                <w:szCs w:val="21"/>
              </w:rPr>
              <w:t>响应文件有效期</w:t>
            </w:r>
          </w:p>
        </w:tc>
        <w:tc>
          <w:tcPr>
            <w:tcW w:w="3617" w:type="pct"/>
            <w:noWrap w:val="0"/>
            <w:vAlign w:val="center"/>
          </w:tcPr>
          <w:p w14:paraId="19FD0B2B">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90个日历天（</w:t>
            </w:r>
            <w:r>
              <w:rPr>
                <w:rFonts w:hint="eastAsia" w:ascii="华文中宋" w:hAnsi="华文中宋" w:eastAsia="华文中宋" w:cs="华文中宋"/>
                <w:color w:val="auto"/>
                <w:sz w:val="21"/>
                <w:szCs w:val="21"/>
                <w:lang w:val="en-US" w:eastAsia="zh-CN"/>
              </w:rPr>
              <w:t>自递</w:t>
            </w:r>
            <w:r>
              <w:rPr>
                <w:rFonts w:hint="eastAsia" w:ascii="华文中宋" w:hAnsi="华文中宋" w:eastAsia="华文中宋" w:cs="华文中宋"/>
                <w:color w:val="auto"/>
                <w:sz w:val="21"/>
                <w:szCs w:val="21"/>
              </w:rPr>
              <w:t>交响应文件</w:t>
            </w:r>
            <w:r>
              <w:rPr>
                <w:rFonts w:hint="eastAsia" w:ascii="华文中宋" w:hAnsi="华文中宋" w:eastAsia="华文中宋" w:cs="华文中宋"/>
                <w:color w:val="auto"/>
                <w:sz w:val="21"/>
                <w:szCs w:val="21"/>
                <w:lang w:val="en-US" w:eastAsia="zh-CN"/>
              </w:rPr>
              <w:t>截止</w:t>
            </w:r>
            <w:r>
              <w:rPr>
                <w:rFonts w:hint="eastAsia" w:ascii="华文中宋" w:hAnsi="华文中宋" w:eastAsia="华文中宋" w:cs="华文中宋"/>
                <w:color w:val="auto"/>
                <w:sz w:val="21"/>
                <w:szCs w:val="21"/>
              </w:rPr>
              <w:t>之日起计算）</w:t>
            </w:r>
          </w:p>
        </w:tc>
      </w:tr>
      <w:tr w14:paraId="569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0" w:type="pct"/>
            <w:noWrap w:val="0"/>
            <w:vAlign w:val="center"/>
          </w:tcPr>
          <w:p w14:paraId="73FF0BA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24</w:t>
            </w:r>
          </w:p>
        </w:tc>
        <w:tc>
          <w:tcPr>
            <w:tcW w:w="972" w:type="pct"/>
            <w:noWrap w:val="0"/>
            <w:vAlign w:val="center"/>
          </w:tcPr>
          <w:p w14:paraId="268E9519">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rPr>
              <w:t>本项目中小企业划分标准所属行业</w:t>
            </w:r>
          </w:p>
        </w:tc>
        <w:tc>
          <w:tcPr>
            <w:tcW w:w="3617" w:type="pct"/>
            <w:noWrap w:val="0"/>
            <w:vAlign w:val="center"/>
          </w:tcPr>
          <w:p w14:paraId="47134383">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建筑业</w:t>
            </w:r>
          </w:p>
        </w:tc>
      </w:tr>
      <w:tr w14:paraId="36D1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0" w:type="pct"/>
            <w:noWrap w:val="0"/>
            <w:vAlign w:val="center"/>
          </w:tcPr>
          <w:p w14:paraId="395A6ACD">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25</w:t>
            </w:r>
          </w:p>
        </w:tc>
        <w:tc>
          <w:tcPr>
            <w:tcW w:w="972" w:type="pct"/>
            <w:noWrap w:val="0"/>
            <w:vAlign w:val="center"/>
          </w:tcPr>
          <w:p w14:paraId="274BD596">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政府采购</w:t>
            </w:r>
          </w:p>
          <w:p w14:paraId="47EC6C21">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相关政策要求</w:t>
            </w:r>
          </w:p>
          <w:p w14:paraId="3C84DB8D">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rPr>
              <w:t>（如涉及的话）</w:t>
            </w:r>
          </w:p>
        </w:tc>
        <w:tc>
          <w:tcPr>
            <w:tcW w:w="3617" w:type="pct"/>
            <w:noWrap w:val="0"/>
            <w:vAlign w:val="center"/>
          </w:tcPr>
          <w:p w14:paraId="039CC719">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政府采购相关政策要求：</w:t>
            </w:r>
          </w:p>
          <w:p w14:paraId="630EAB90">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1、工程内容中含《节能产品政府采购品目清单》中的产品，属于国家强制性采购的，必须符合要求，并单独做出承诺（格式投标人自拟）。</w:t>
            </w:r>
          </w:p>
          <w:p w14:paraId="73F8A588">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2、工程内容中含《环境标志产品政府采购品目清单》中的产品，要求优先选用，并单独做出承诺（格式投标人自拟）。</w:t>
            </w:r>
          </w:p>
          <w:p w14:paraId="29609A1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3、小型、微型企业参加本项目要求：</w:t>
            </w:r>
          </w:p>
          <w:p w14:paraId="40E27832">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须按照工信部联【2011】300号《中小企业划型标准规定》的标准如实填写《中小企业声明函》（格式见第八部分），监狱企业参加投标视同小微企业，提供由省级以上监狱管理局、戒毒管理局出具的属于监狱企业的证明文件。</w:t>
            </w:r>
          </w:p>
          <w:p w14:paraId="16014C55">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（2）小、微企业只有提供本企业制造的货物或者服务，或者提供其他小、微企业制造的货物，享受投标货物的价格折扣。若有的话，如实填写《小微企业/残疾人福利性单位提供货物/服务明细表》；</w:t>
            </w:r>
          </w:p>
          <w:p w14:paraId="719B038C">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（3）小、微型企业提供中型企业制造的货物或使用大型企业注册商标货物的，视同为中型企业。</w:t>
            </w:r>
          </w:p>
          <w:p w14:paraId="42B81312">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4、本项目涉及创新产品、创新服务的要求：</w:t>
            </w:r>
          </w:p>
          <w:p w14:paraId="5D992FF0">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（1）磋商供应商投报产品或服务属于《山西省创新产品和服务推荐清单》中创新产品或创新服务的，在评审时享受评审加分。</w:t>
            </w:r>
          </w:p>
          <w:p w14:paraId="61CFDBB8">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rPr>
              <w:t>（2）磋商供应商投报创新产品或创新服务的，应在响应文件中“施工设计”中提供《创新产品或创新服务明细表》。</w:t>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AUTOTEXT  input212 \* MERGEFORMAT </w:instrText>
            </w:r>
            <w:r>
              <w:rPr>
                <w:rFonts w:hint="eastAsia" w:ascii="华文中宋" w:hAnsi="华文中宋" w:eastAsia="华文中宋" w:cs="华文中宋"/>
                <w:color w:val="auto"/>
                <w:sz w:val="21"/>
                <w:szCs w:val="21"/>
              </w:rPr>
              <w:fldChar w:fldCharType="end"/>
            </w:r>
          </w:p>
        </w:tc>
      </w:tr>
      <w:tr w14:paraId="608D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1AF18EAB">
            <w:pPr>
              <w:keepNext w:val="0"/>
              <w:keepLines w:val="0"/>
              <w:pageBreakBefore w:val="0"/>
              <w:widowControl w:val="0"/>
              <w:kinsoku/>
              <w:overflowPunct/>
              <w:autoSpaceDE/>
              <w:autoSpaceDN/>
              <w:bidi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26</w:t>
            </w:r>
          </w:p>
        </w:tc>
        <w:tc>
          <w:tcPr>
            <w:tcW w:w="972" w:type="pct"/>
            <w:noWrap w:val="0"/>
            <w:vAlign w:val="center"/>
          </w:tcPr>
          <w:p w14:paraId="30659C0C">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本项目控制价</w:t>
            </w:r>
          </w:p>
        </w:tc>
        <w:tc>
          <w:tcPr>
            <w:tcW w:w="3617" w:type="pct"/>
            <w:noWrap w:val="0"/>
            <w:vAlign w:val="center"/>
          </w:tcPr>
          <w:p w14:paraId="290B904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控制价总价</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1011626.00</w:t>
            </w:r>
            <w:r>
              <w:rPr>
                <w:rFonts w:hint="eastAsia" w:ascii="华文中宋" w:hAnsi="华文中宋" w:eastAsia="华文中宋" w:cs="华文中宋"/>
                <w:color w:val="auto"/>
                <w:sz w:val="21"/>
                <w:szCs w:val="21"/>
                <w:highlight w:val="none"/>
                <w:u w:val="none"/>
                <w:lang w:val="en-US" w:eastAsia="zh-CN"/>
              </w:rPr>
              <w:t>元</w:t>
            </w:r>
            <w:r>
              <w:rPr>
                <w:rFonts w:hint="eastAsia" w:ascii="华文中宋" w:hAnsi="华文中宋" w:eastAsia="华文中宋" w:cs="华文中宋"/>
                <w:color w:val="auto"/>
                <w:sz w:val="21"/>
                <w:szCs w:val="21"/>
                <w:highlight w:val="none"/>
                <w:u w:val="none"/>
              </w:rPr>
              <w:t>；</w:t>
            </w:r>
          </w:p>
          <w:p w14:paraId="18424F5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要求：供应商的报价高于控制总价的，响应予以拒绝。</w:t>
            </w:r>
          </w:p>
        </w:tc>
      </w:tr>
      <w:tr w14:paraId="4471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B0B0D4E">
            <w:pPr>
              <w:keepNext w:val="0"/>
              <w:keepLines w:val="0"/>
              <w:pageBreakBefore w:val="0"/>
              <w:widowControl w:val="0"/>
              <w:kinsoku/>
              <w:overflowPunct/>
              <w:autoSpaceDE/>
              <w:autoSpaceDN/>
              <w:bidi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27</w:t>
            </w:r>
          </w:p>
        </w:tc>
        <w:tc>
          <w:tcPr>
            <w:tcW w:w="972" w:type="pct"/>
            <w:noWrap w:val="0"/>
            <w:vAlign w:val="center"/>
          </w:tcPr>
          <w:p w14:paraId="3D3EAAFE">
            <w:pPr>
              <w:keepNext w:val="0"/>
              <w:keepLines w:val="0"/>
              <w:pageBreakBefore w:val="0"/>
              <w:widowControl w:val="0"/>
              <w:kinsoku/>
              <w:overflowPunct/>
              <w:autoSpaceDE/>
              <w:autoSpaceDN/>
              <w:bidi w:val="0"/>
              <w:spacing w:line="240" w:lineRule="auto"/>
              <w:ind w:left="0" w:leftChars="0"/>
              <w:jc w:val="center"/>
              <w:textAlignment w:val="auto"/>
              <w:rPr>
                <w:rFonts w:hint="eastAsia" w:ascii="华文中宋" w:hAnsi="华文中宋" w:eastAsia="华文中宋" w:cs="华文中宋"/>
                <w:b/>
                <w:bCs/>
                <w:color w:val="auto"/>
                <w:kern w:val="2"/>
                <w:sz w:val="21"/>
                <w:szCs w:val="21"/>
                <w:lang w:val="en-US" w:eastAsia="zh-CN" w:bidi="ar-SA"/>
              </w:rPr>
            </w:pPr>
            <w:r>
              <w:rPr>
                <w:rFonts w:hint="eastAsia" w:ascii="华文中宋" w:hAnsi="华文中宋" w:eastAsia="华文中宋" w:cs="华文中宋"/>
                <w:b/>
                <w:bCs/>
                <w:color w:val="auto"/>
                <w:sz w:val="21"/>
                <w:szCs w:val="21"/>
              </w:rPr>
              <w:t>磋商过程中根据磋商情况可能实质性变动内容</w:t>
            </w:r>
          </w:p>
        </w:tc>
        <w:tc>
          <w:tcPr>
            <w:tcW w:w="3617" w:type="pct"/>
            <w:noWrap w:val="0"/>
            <w:vAlign w:val="center"/>
          </w:tcPr>
          <w:p w14:paraId="10DC0E99">
            <w:pPr>
              <w:pStyle w:val="39"/>
              <w:keepNext w:val="0"/>
              <w:keepLines w:val="0"/>
              <w:pageBreakBefore w:val="0"/>
              <w:widowControl w:val="0"/>
              <w:kinsoku/>
              <w:overflowPunct/>
              <w:autoSpaceDE/>
              <w:autoSpaceDN/>
              <w:bidi w:val="0"/>
              <w:snapToGrid w:val="0"/>
              <w:spacing w:line="240" w:lineRule="auto"/>
              <w:ind w:left="0" w:leftChars="0"/>
              <w:textAlignment w:val="auto"/>
              <w:rPr>
                <w:rFonts w:hint="eastAsia" w:ascii="华文中宋" w:hAnsi="华文中宋" w:eastAsia="华文中宋" w:cs="华文中宋"/>
                <w:bCs/>
                <w:color w:val="auto"/>
                <w:kern w:val="2"/>
                <w:sz w:val="21"/>
                <w:szCs w:val="21"/>
                <w:lang w:val="en-US" w:eastAsia="zh-CN" w:bidi="ar-SA"/>
              </w:rPr>
            </w:pPr>
            <w:r>
              <w:rPr>
                <w:rFonts w:hint="eastAsia" w:ascii="华文中宋" w:hAnsi="华文中宋" w:eastAsia="华文中宋" w:cs="华文中宋"/>
                <w:bCs/>
                <w:color w:val="auto"/>
                <w:kern w:val="2"/>
                <w:sz w:val="21"/>
                <w:szCs w:val="21"/>
              </w:rPr>
              <w:t>本项目第</w:t>
            </w:r>
            <w:r>
              <w:rPr>
                <w:rFonts w:hint="eastAsia" w:ascii="华文中宋" w:hAnsi="华文中宋" w:eastAsia="华文中宋" w:cs="华文中宋"/>
                <w:bCs/>
                <w:color w:val="auto"/>
                <w:kern w:val="2"/>
                <w:sz w:val="21"/>
                <w:szCs w:val="21"/>
                <w:lang w:val="en-US" w:eastAsia="zh-CN"/>
              </w:rPr>
              <w:t>五</w:t>
            </w:r>
            <w:r>
              <w:rPr>
                <w:rFonts w:hint="eastAsia" w:ascii="华文中宋" w:hAnsi="华文中宋" w:eastAsia="华文中宋" w:cs="华文中宋"/>
                <w:bCs/>
                <w:color w:val="auto"/>
                <w:kern w:val="2"/>
                <w:sz w:val="21"/>
                <w:szCs w:val="21"/>
              </w:rPr>
              <w:t>部分中的</w:t>
            </w:r>
            <w:r>
              <w:rPr>
                <w:rFonts w:hint="eastAsia" w:ascii="华文中宋" w:hAnsi="华文中宋" w:eastAsia="华文中宋" w:cs="华文中宋"/>
                <w:bCs/>
                <w:color w:val="auto"/>
                <w:kern w:val="2"/>
                <w:sz w:val="21"/>
                <w:szCs w:val="21"/>
                <w:lang w:val="en-US" w:eastAsia="zh-CN"/>
              </w:rPr>
              <w:t>技术标准及</w:t>
            </w:r>
            <w:r>
              <w:rPr>
                <w:rFonts w:hint="eastAsia" w:ascii="华文中宋" w:hAnsi="华文中宋" w:eastAsia="华文中宋" w:cs="华文中宋"/>
                <w:bCs/>
                <w:color w:val="auto"/>
                <w:kern w:val="2"/>
                <w:sz w:val="21"/>
                <w:szCs w:val="21"/>
              </w:rPr>
              <w:t>要求、合同草案。</w:t>
            </w:r>
          </w:p>
        </w:tc>
      </w:tr>
      <w:tr w14:paraId="44CF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75230125">
            <w:pPr>
              <w:keepNext w:val="0"/>
              <w:keepLines w:val="0"/>
              <w:pageBreakBefore w:val="0"/>
              <w:widowControl w:val="0"/>
              <w:kinsoku/>
              <w:overflowPunct/>
              <w:autoSpaceDE/>
              <w:autoSpaceDN/>
              <w:bidi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28</w:t>
            </w:r>
          </w:p>
        </w:tc>
        <w:tc>
          <w:tcPr>
            <w:tcW w:w="972" w:type="pct"/>
            <w:noWrap w:val="0"/>
            <w:vAlign w:val="center"/>
          </w:tcPr>
          <w:p w14:paraId="64E15725">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其他要求</w:t>
            </w:r>
          </w:p>
        </w:tc>
        <w:tc>
          <w:tcPr>
            <w:tcW w:w="3617" w:type="pct"/>
            <w:noWrap w:val="0"/>
            <w:vAlign w:val="center"/>
          </w:tcPr>
          <w:p w14:paraId="0BEA3160">
            <w:pPr>
              <w:keepNext w:val="0"/>
              <w:keepLines w:val="0"/>
              <w:pageBreakBefore w:val="0"/>
              <w:widowControl w:val="0"/>
              <w:kinsoku/>
              <w:wordWrap w:val="0"/>
              <w:overflowPunct/>
              <w:topLinePunct/>
              <w:autoSpaceDE/>
              <w:autoSpaceDN/>
              <w:bidi w:val="0"/>
              <w:adjustRightInd/>
              <w:snapToGrid/>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依据山西省财政厅有关事项的通知，所有供应商须在磋商前通过中国山西政府采购网（http://www.ccgp-shanxi.gov.cn）注册登记加入山西省政府采购供应商库。入库供应商信息由各供应商进行日常维护，相关信息发生变更的，应及时进行更新和完善，以确保供应商库中的相关信息全面、真实、准确和有效。各供应商对其注册登记信息和所提供资料的真实性、合法性、有效性负责，并承担相应的法律责任。</w:t>
            </w:r>
          </w:p>
          <w:p w14:paraId="55DD9D7B">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color w:val="auto"/>
                <w:sz w:val="21"/>
                <w:szCs w:val="21"/>
              </w:rPr>
              <w:t>如因供应商未及时加入山西省政府采购供应商库而导致中标/成交公告无法发布的，由其供应商承担相关责任。</w:t>
            </w:r>
          </w:p>
        </w:tc>
      </w:tr>
    </w:tbl>
    <w:p w14:paraId="1B200B95">
      <w:pPr>
        <w:outlineLvl w:val="9"/>
        <w:rPr>
          <w:rFonts w:hint="eastAsia" w:ascii="华文中宋" w:hAnsi="华文中宋" w:eastAsia="华文中宋" w:cs="华文中宋"/>
          <w:color w:val="auto"/>
        </w:rPr>
      </w:pPr>
      <w:r>
        <w:rPr>
          <w:rFonts w:hint="eastAsia" w:ascii="华文中宋" w:hAnsi="华文中宋" w:eastAsia="华文中宋" w:cs="华文中宋"/>
          <w:color w:val="auto"/>
        </w:rPr>
        <w:t>注：本表内容与磋商供应商须知内容不一致的，以本表内容为准。</w:t>
      </w:r>
    </w:p>
    <w:p w14:paraId="54CD35C6">
      <w:pPr>
        <w:keepNext w:val="0"/>
        <w:keepLines w:val="0"/>
        <w:pageBreakBefore w:val="0"/>
        <w:widowControl w:val="0"/>
        <w:kinsoku/>
        <w:wordWrap/>
        <w:overflowPunct/>
        <w:topLinePunct w:val="0"/>
        <w:autoSpaceDE/>
        <w:autoSpaceDN/>
        <w:bidi w:val="0"/>
        <w:spacing w:line="520" w:lineRule="exact"/>
        <w:jc w:val="center"/>
        <w:outlineLvl w:val="0"/>
        <w:rPr>
          <w:rFonts w:hint="eastAsia" w:ascii="华文中宋" w:hAnsi="华文中宋" w:eastAsia="华文中宋" w:cs="华文中宋"/>
          <w:color w:val="auto"/>
          <w:sz w:val="36"/>
          <w:szCs w:val="36"/>
        </w:rPr>
      </w:pPr>
      <w:bookmarkStart w:id="22" w:name="_Toc395"/>
      <w:r>
        <w:rPr>
          <w:rFonts w:hint="eastAsia" w:ascii="华文中宋" w:hAnsi="华文中宋" w:eastAsia="华文中宋" w:cs="华文中宋"/>
          <w:b/>
          <w:bCs/>
          <w:color w:val="auto"/>
          <w:spacing w:val="0"/>
          <w:sz w:val="44"/>
          <w:szCs w:val="44"/>
          <w:lang w:val="en-US" w:eastAsia="zh-CN"/>
        </w:rPr>
        <w:br w:type="page"/>
      </w:r>
      <w:bookmarkStart w:id="23" w:name="_Toc25164"/>
      <w:r>
        <w:rPr>
          <w:rFonts w:hint="eastAsia" w:ascii="华文中宋" w:hAnsi="华文中宋" w:eastAsia="华文中宋" w:cs="华文中宋"/>
          <w:b/>
          <w:bCs/>
          <w:color w:val="auto"/>
          <w:spacing w:val="0"/>
          <w:sz w:val="44"/>
          <w:szCs w:val="44"/>
          <w:lang w:val="en-US" w:eastAsia="zh-CN"/>
        </w:rPr>
        <w:t>第三部分 磋商供应商须知</w:t>
      </w:r>
      <w:bookmarkEnd w:id="22"/>
      <w:bookmarkEnd w:id="23"/>
    </w:p>
    <w:p w14:paraId="0B74C35E">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24" w:name="_Toc23095"/>
      <w:bookmarkStart w:id="25" w:name="_Toc32361"/>
      <w:r>
        <w:rPr>
          <w:rFonts w:hint="eastAsia" w:ascii="华文中宋" w:hAnsi="华文中宋" w:eastAsia="华文中宋" w:cs="华文中宋"/>
          <w:color w:val="auto"/>
          <w:sz w:val="24"/>
          <w:szCs w:val="24"/>
        </w:rPr>
        <w:t>一、总则</w:t>
      </w:r>
      <w:bookmarkEnd w:id="24"/>
      <w:bookmarkEnd w:id="25"/>
    </w:p>
    <w:p w14:paraId="3ECD4F59">
      <w:pPr>
        <w:pStyle w:val="39"/>
        <w:keepNext w:val="0"/>
        <w:keepLines w:val="0"/>
        <w:pageBreakBefore w:val="0"/>
        <w:widowControl w:val="0"/>
        <w:kinsoku/>
        <w:wordWrap w:val="0"/>
        <w:overflowPunct/>
        <w:topLinePunct/>
        <w:autoSpaceDE/>
        <w:autoSpaceDN/>
        <w:bidi w:val="0"/>
        <w:snapToGrid w:val="0"/>
        <w:spacing w:line="360" w:lineRule="auto"/>
        <w:ind w:firstLine="520" w:firstLineChars="200"/>
        <w:textAlignment w:val="auto"/>
        <w:outlineLvl w:val="9"/>
        <w:rPr>
          <w:rFonts w:hint="eastAsia" w:ascii="华文中宋" w:hAnsi="华文中宋" w:eastAsia="华文中宋" w:cs="华文中宋"/>
          <w:b/>
          <w:color w:val="auto"/>
          <w:spacing w:val="10"/>
          <w:sz w:val="24"/>
          <w:szCs w:val="24"/>
        </w:rPr>
      </w:pPr>
      <w:r>
        <w:rPr>
          <w:rFonts w:hint="eastAsia" w:ascii="华文中宋" w:hAnsi="华文中宋" w:eastAsia="华文中宋" w:cs="华文中宋"/>
          <w:b/>
          <w:color w:val="auto"/>
          <w:spacing w:val="10"/>
          <w:sz w:val="24"/>
          <w:szCs w:val="24"/>
        </w:rPr>
        <w:t>1. 适用范围</w:t>
      </w:r>
    </w:p>
    <w:p w14:paraId="6C0A85C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本磋商文件仅适用于本次竞争性磋商活动。</w:t>
      </w:r>
    </w:p>
    <w:p w14:paraId="2D2873C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 定义</w:t>
      </w:r>
    </w:p>
    <w:p w14:paraId="4ABC647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2.1 “采购人”指本次竞争性磋商活动的采购单位。</w:t>
      </w:r>
    </w:p>
    <w:p w14:paraId="1944AD0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2.2  “采购代理机构”指组织本次招标活动的集中采购代理机构或其他采购代理机构。</w:t>
      </w:r>
    </w:p>
    <w:p w14:paraId="7A9BB1A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2.3 “磋商供应商”指符合本磋商文件的规定和要求，受邀请获得磋商文件参加磋商，并向采购代理机构提交响应文件、最后报价的供应商。</w:t>
      </w:r>
    </w:p>
    <w:p w14:paraId="1A7D5D7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2.4“工程量清单”指载明建设工程分部分项工程项目、措施项目、其他项目的名称和相应数量以及税金项目等内容的明细清单。</w:t>
      </w:r>
    </w:p>
    <w:p w14:paraId="29BA891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2.5“招标工程量清单”指采购人依据国家磋商文件、设计文件以及施工现场实际情况编制的，随磋商文件发布的磋商供应商报价的工程量清单，包括其说明和表格。</w:t>
      </w:r>
    </w:p>
    <w:p w14:paraId="33DA34B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2.6“已标价工程量清单”指响应文件中已标明价格，经算术性错误修正（如有）且承包磋商供应商已确认的工程量清单，包括其说明和表格。</w:t>
      </w:r>
    </w:p>
    <w:p w14:paraId="7351890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2.7 “电子签章”指可通过电子签章软件正确读取数字证书签章信息的电子签章，电子签章包含单位电子签章</w:t>
      </w:r>
      <w:r>
        <w:rPr>
          <w:rFonts w:hint="eastAsia" w:ascii="华文中宋" w:hAnsi="华文中宋" w:eastAsia="华文中宋" w:cs="华文中宋"/>
          <w:b w:val="0"/>
          <w:bCs/>
          <w:color w:val="auto"/>
          <w:sz w:val="24"/>
          <w:szCs w:val="24"/>
          <w:lang w:eastAsia="zh-CN"/>
        </w:rPr>
        <w:t>（法人电子签章）</w:t>
      </w:r>
      <w:r>
        <w:rPr>
          <w:rFonts w:hint="eastAsia" w:ascii="华文中宋" w:hAnsi="华文中宋" w:eastAsia="华文中宋" w:cs="华文中宋"/>
          <w:b w:val="0"/>
          <w:bCs/>
          <w:color w:val="auto"/>
          <w:sz w:val="24"/>
          <w:szCs w:val="24"/>
        </w:rPr>
        <w:t>和法定代表人电子签章。</w:t>
      </w:r>
    </w:p>
    <w:p w14:paraId="75E2061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2.8 本磋商文件各部分规定的期间以时、日、月、年计算。期间开始的时和日，不计算在期间内。</w:t>
      </w:r>
    </w:p>
    <w:p w14:paraId="7960677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3. 合格的磋商供应商</w:t>
      </w:r>
    </w:p>
    <w:p w14:paraId="47E7593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 具有本项目实施、服务的能力，符合并承诺履行本磋商文件各项规定的磋商供应商均可参加磋商。。</w:t>
      </w:r>
    </w:p>
    <w:p w14:paraId="1536220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 磋商供应商必须是已在中国境内依法登记注册，并持有符合法律法规规定的有效证件的供应商。</w:t>
      </w:r>
    </w:p>
    <w:p w14:paraId="69C1251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的要求。</w:t>
      </w:r>
    </w:p>
    <w:p w14:paraId="645647F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3.4 单位负责人为同一人或者存在控股、管理关系的不同单位，不得同时参加本项目同一合同项下的磋商活动，为本项目提供整体设计、规范编制或者项目管理、监理、检测寄及造价咨询等服务的磋商供应商，不得再参加本项目的磋商活动。</w:t>
      </w:r>
    </w:p>
    <w:p w14:paraId="57C66B1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3.5本次竞争性磋商活动是否允许由两个以上磋商供应商组成一个联合体以一个磋商供应商身份共同参加磋商，详见第二部分磋商供应商须知前附表第12条的规定。</w:t>
      </w:r>
    </w:p>
    <w:p w14:paraId="1EA8643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3.5.1 联合体各方均应当符合《中华人民共和国政府采购法》第二十二条规定的条件，如本项目要求联合体的各方均应按照第二部分磋商供应商须知前附表的规定提供相关材料（不允许联合体参与磋商的可不看此项）。</w:t>
      </w:r>
    </w:p>
    <w:p w14:paraId="49DF57E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.2 本项目的特殊要求规定磋商供应商特定资格条件的，联合体各方的同类资质按照资质等级较低的确定联合体资质等级。联合体各方不得再单独参加或者与其他供应商另外组成联合体参加本项目同一包的磋商。</w:t>
      </w:r>
    </w:p>
    <w:p w14:paraId="552F129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.3 联合体各方之间应当签订联合磋商协议，明确约定联合体各方承担的工作和相应的责任，并将联合磋商协议连同响应文件一并提交，联合响应协议格式见本磋商文件第八部分。</w:t>
      </w:r>
    </w:p>
    <w:p w14:paraId="2DED379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4. 竞争性磋商费用</w:t>
      </w:r>
    </w:p>
    <w:p w14:paraId="159E9D9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磋商供应商应当承担参与本次磋商活动发生的相关费用，采购代理机构和采购人在任何情况下均无义务和责任承担这些费用。</w:t>
      </w:r>
    </w:p>
    <w:p w14:paraId="585DDE0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5. 通知</w:t>
      </w:r>
      <w:r>
        <w:rPr>
          <w:rFonts w:hint="eastAsia" w:ascii="华文中宋" w:hAnsi="华文中宋" w:eastAsia="华文中宋" w:cs="华文中宋"/>
          <w:b/>
          <w:color w:val="auto"/>
          <w:spacing w:val="10"/>
          <w:sz w:val="24"/>
          <w:szCs w:val="24"/>
        </w:rPr>
        <w:t>的告知及获取</w:t>
      </w:r>
    </w:p>
    <w:p w14:paraId="084D399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对与本项目有关的通知，代理机构将在本次磋商公告刊登的媒体上以发布公告的形式告知所有已下载磋商文件的磋商供应商，因自身原因未关注到有关通知并造成损失的，代理机构不因此承担任何责任，有关的磋商活动可以继续有效地进行。</w:t>
      </w:r>
      <w:bookmarkStart w:id="26" w:name="_Toc3234"/>
      <w:bookmarkStart w:id="27" w:name="_Toc27679"/>
    </w:p>
    <w:p w14:paraId="7981500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二、磋商文件</w:t>
      </w:r>
      <w:bookmarkEnd w:id="26"/>
      <w:bookmarkEnd w:id="27"/>
    </w:p>
    <w:p w14:paraId="45BBE56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6. 磋商文件的内容</w:t>
      </w:r>
    </w:p>
    <w:p w14:paraId="2102B4D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lang w:val="en-US" w:eastAsia="zh-CN" w:bidi="ar-SA"/>
        </w:rPr>
      </w:pPr>
      <w:r>
        <w:rPr>
          <w:rFonts w:hint="eastAsia" w:ascii="华文中宋" w:hAnsi="华文中宋" w:eastAsia="华文中宋" w:cs="华文中宋"/>
          <w:color w:val="auto"/>
          <w:kern w:val="2"/>
          <w:sz w:val="24"/>
          <w:szCs w:val="24"/>
          <w:lang w:val="en-US" w:eastAsia="zh-CN" w:bidi="ar-SA"/>
        </w:rPr>
        <w:t>6.1磋商文件由下列九部分内容组成：</w:t>
      </w:r>
    </w:p>
    <w:p w14:paraId="7309515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_Toc2459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第一部分 磋商公告</w:t>
      </w:r>
      <w:r>
        <w:rPr>
          <w:rFonts w:hint="eastAsia" w:ascii="华文中宋" w:hAnsi="华文中宋" w:eastAsia="华文中宋" w:cs="华文中宋"/>
          <w:color w:val="auto"/>
          <w:sz w:val="24"/>
          <w:szCs w:val="24"/>
          <w:lang w:val="en-US" w:eastAsia="zh-CN"/>
        </w:rPr>
        <w:fldChar w:fldCharType="end"/>
      </w:r>
    </w:p>
    <w:p w14:paraId="72FDD85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_Toc26488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第二部分 磋商供应商须知前附表</w:t>
      </w:r>
      <w:r>
        <w:rPr>
          <w:rFonts w:hint="eastAsia" w:ascii="华文中宋" w:hAnsi="华文中宋" w:eastAsia="华文中宋" w:cs="华文中宋"/>
          <w:color w:val="auto"/>
          <w:sz w:val="24"/>
          <w:szCs w:val="24"/>
          <w:lang w:val="en-US" w:eastAsia="zh-CN"/>
        </w:rPr>
        <w:fldChar w:fldCharType="end"/>
      </w:r>
    </w:p>
    <w:p w14:paraId="6708791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_Toc1510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第三部分 磋商供应商须知</w:t>
      </w:r>
      <w:r>
        <w:rPr>
          <w:rFonts w:hint="eastAsia" w:ascii="华文中宋" w:hAnsi="华文中宋" w:eastAsia="华文中宋" w:cs="华文中宋"/>
          <w:color w:val="auto"/>
          <w:sz w:val="24"/>
          <w:szCs w:val="24"/>
          <w:lang w:val="en-US" w:eastAsia="zh-CN"/>
        </w:rPr>
        <w:fldChar w:fldCharType="end"/>
      </w:r>
    </w:p>
    <w:p w14:paraId="7BFD545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_Toc14142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第四部分 评审标准和评审方法</w:t>
      </w:r>
      <w:r>
        <w:rPr>
          <w:rFonts w:hint="eastAsia" w:ascii="华文中宋" w:hAnsi="华文中宋" w:eastAsia="华文中宋" w:cs="华文中宋"/>
          <w:color w:val="auto"/>
          <w:sz w:val="24"/>
          <w:szCs w:val="24"/>
          <w:lang w:val="en-US" w:eastAsia="zh-CN"/>
        </w:rPr>
        <w:fldChar w:fldCharType="end"/>
      </w:r>
    </w:p>
    <w:p w14:paraId="66FBA54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_Toc9042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第五部分 技术标准和要求</w:t>
      </w:r>
      <w:r>
        <w:rPr>
          <w:rFonts w:hint="eastAsia" w:ascii="华文中宋" w:hAnsi="华文中宋" w:eastAsia="华文中宋" w:cs="华文中宋"/>
          <w:color w:val="auto"/>
          <w:sz w:val="24"/>
          <w:szCs w:val="24"/>
          <w:lang w:val="en-US" w:eastAsia="zh-CN"/>
        </w:rPr>
        <w:fldChar w:fldCharType="end"/>
      </w:r>
    </w:p>
    <w:p w14:paraId="1E7648C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_Toc25166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第六部分 工程量清单</w:t>
      </w:r>
      <w:r>
        <w:rPr>
          <w:rFonts w:hint="eastAsia" w:ascii="华文中宋" w:hAnsi="华文中宋" w:eastAsia="华文中宋" w:cs="华文中宋"/>
          <w:color w:val="auto"/>
          <w:sz w:val="24"/>
          <w:szCs w:val="24"/>
          <w:lang w:val="en-US" w:eastAsia="zh-CN"/>
        </w:rPr>
        <w:fldChar w:fldCharType="end"/>
      </w:r>
    </w:p>
    <w:p w14:paraId="1BBCB45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_Toc25691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第七部分 合同条款</w:t>
      </w:r>
      <w:r>
        <w:rPr>
          <w:rFonts w:hint="eastAsia" w:ascii="华文中宋" w:hAnsi="华文中宋" w:eastAsia="华文中宋" w:cs="华文中宋"/>
          <w:color w:val="auto"/>
          <w:sz w:val="24"/>
          <w:szCs w:val="24"/>
          <w:lang w:val="en-US" w:eastAsia="zh-CN"/>
        </w:rPr>
        <w:fldChar w:fldCharType="end"/>
      </w:r>
    </w:p>
    <w:p w14:paraId="162FE54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_Toc1826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第八部分 响应文件内容要求及格式</w:t>
      </w:r>
      <w:r>
        <w:rPr>
          <w:rFonts w:hint="eastAsia" w:ascii="华文中宋" w:hAnsi="华文中宋" w:eastAsia="华文中宋" w:cs="华文中宋"/>
          <w:color w:val="auto"/>
          <w:sz w:val="24"/>
          <w:szCs w:val="24"/>
          <w:lang w:val="en-US" w:eastAsia="zh-CN"/>
        </w:rPr>
        <w:fldChar w:fldCharType="end"/>
      </w:r>
    </w:p>
    <w:p w14:paraId="04C761F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6.2 磋商文件中落实政府采购政策的相关要求详见前附表序号</w:t>
      </w:r>
      <w:r>
        <w:rPr>
          <w:rFonts w:hint="eastAsia" w:ascii="华文中宋" w:hAnsi="华文中宋" w:eastAsia="华文中宋" w:cs="华文中宋"/>
          <w:color w:val="auto"/>
          <w:sz w:val="24"/>
          <w:szCs w:val="24"/>
          <w:lang w:val="en-US" w:eastAsia="zh-CN"/>
        </w:rPr>
        <w:t>25</w:t>
      </w:r>
      <w:r>
        <w:rPr>
          <w:rFonts w:hint="eastAsia" w:ascii="华文中宋" w:hAnsi="华文中宋" w:eastAsia="华文中宋" w:cs="华文中宋"/>
          <w:color w:val="auto"/>
          <w:sz w:val="24"/>
          <w:szCs w:val="24"/>
        </w:rPr>
        <w:t>的规定。</w:t>
      </w:r>
    </w:p>
    <w:p w14:paraId="59FF1A7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6.3 </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如在信用中国网（http://www.creditchina.gov.cn）存在失信黑名单记录情况或在中国政府采购网（http://www.ccgp.gov.cn）存在政府采购严重违法失信行为信息记录情况，且在执行期间的，对响应文件做无效响应处理。</w:t>
      </w:r>
    </w:p>
    <w:p w14:paraId="3A63370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6.4 除非特殊要求，磋商文件不单独提供项目使用地的自然环境、气候条件、公用设施情况，磋商供应商被视为熟悉上述与履行合同有关的一切情况。</w:t>
      </w:r>
    </w:p>
    <w:p w14:paraId="6E4B3CEC">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6.5 磋商文件的解释权归采购代理机构所有。当对一个问题有多种解释时以采购代理机构解释为准。</w:t>
      </w:r>
    </w:p>
    <w:p w14:paraId="1B734F4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6.6 磋商文件未作须知明示，而又有法律、法规规定的，采购代理机构将依据法律法规的规定进行解释。</w:t>
      </w:r>
    </w:p>
    <w:p w14:paraId="728990C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7. 磋商文件的澄清和修改</w:t>
      </w:r>
    </w:p>
    <w:p w14:paraId="6FC1CEF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7.1采购代理机构可以对已发出的磋商文件进行必要的澄清或者修改，澄清或者修改在原公告发布媒体上发布澄清公告。澄清或者修改的内容为磋商文件的组成部分，对所有磋商供应商均具有约束作用。</w:t>
      </w:r>
    </w:p>
    <w:p w14:paraId="6829BBE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7.2澄清或修改的内容可能影响响应文件编制的，采购代理机构将在提交响应文件的截止时间5日前，以发布公告的形式通知所有获取到磋商文件的供应商，不足5日的，将顺延响应文件提交的截止时间。</w:t>
      </w:r>
    </w:p>
    <w:p w14:paraId="68C56D6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磋商供应商对磋商文件有疑问，可根据本须知规定的程序提出。采购代理机构将视情况确定采用适当方式予以澄清答复，并认为必要时，将不标明查询来源的答复在“政府采购投标系统”内通知已获取磋商文件的所有磋商供应商。所有已获取本项目磋商文件的供应商均可在下载磋商文件处下载相关答复，因自身原因未关注到此答复并造成损失的，责任自负。</w:t>
      </w:r>
    </w:p>
    <w:p w14:paraId="1F99D75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7.4采购代理机构将视情况确定是否进行现场勘查或召开磋商前答疑会，详细内容见第二部分磋商供应商须知前附表的要求。</w:t>
      </w:r>
    </w:p>
    <w:p w14:paraId="3B4381D8">
      <w:pPr>
        <w:snapToGrid w:val="0"/>
        <w:spacing w:line="360" w:lineRule="auto"/>
        <w:ind w:firstLine="240" w:firstLineChars="100"/>
        <w:jc w:val="left"/>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8、踏勘和答疑</w:t>
      </w:r>
    </w:p>
    <w:p w14:paraId="3A28392E">
      <w:pPr>
        <w:snapToGrid w:val="0"/>
        <w:spacing w:line="360" w:lineRule="auto"/>
        <w:ind w:firstLine="200"/>
        <w:jc w:val="left"/>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color w:val="auto"/>
          <w:spacing w:val="0"/>
          <w:position w:val="0"/>
          <w:sz w:val="24"/>
          <w:szCs w:val="24"/>
        </w:rPr>
        <w:t>（1）</w:t>
      </w:r>
      <w:r>
        <w:rPr>
          <w:rFonts w:hint="eastAsia" w:ascii="华文中宋" w:hAnsi="华文中宋" w:eastAsia="华文中宋" w:cs="华文中宋"/>
          <w:b/>
          <w:color w:val="auto"/>
          <w:spacing w:val="0"/>
          <w:position w:val="0"/>
          <w:sz w:val="24"/>
          <w:szCs w:val="24"/>
        </w:rPr>
        <w:t>踏勘现场</w:t>
      </w:r>
    </w:p>
    <w:p w14:paraId="6218B3E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8.1磋商供应商须知前附表规定组织踏勘现场的，采购人按磋商供应商须知前附表规定的时间、地点组织磋商供应商踏勘项目现场。</w:t>
      </w:r>
    </w:p>
    <w:p w14:paraId="6BFC0332">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8.2采购人应将踏勘所有资料交于采购代理机构存档。</w:t>
      </w:r>
    </w:p>
    <w:p w14:paraId="5BBEAA9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8.3磋商供应商踏勘现场发生的费用自理。</w:t>
      </w:r>
    </w:p>
    <w:p w14:paraId="2A404CA1">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8.4除采购人的原因外，磋商供应商自行负责在踏勘现场中所发生的人员伤亡和财产损失。</w:t>
      </w:r>
    </w:p>
    <w:p w14:paraId="075BB48A">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8.5采购人在踏勘现场中介绍的工程场地和相关的周边环境情况，供磋商供应商在编制响应文件的参考，采购人不对磋商供应商据此作出的判断和决策负责。</w:t>
      </w:r>
    </w:p>
    <w:p w14:paraId="28510AB1">
      <w:pPr>
        <w:snapToGrid w:val="0"/>
        <w:spacing w:line="360" w:lineRule="auto"/>
        <w:ind w:firstLine="200"/>
        <w:jc w:val="left"/>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（2）磋商答疑</w:t>
      </w:r>
    </w:p>
    <w:p w14:paraId="7D1BDF5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8.6磋商供应商须知前附表规定召开磋商答疑会的，采购人按磋商供应商须知前附表规定的时间和地点召开磋商答疑会，澄清磋商供应商提出的问题。</w:t>
      </w:r>
    </w:p>
    <w:p w14:paraId="5F68C829">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8.7磋商供应商应在召开磋商答疑会前，以书面形式提出问题，送达采购人及采购代理机构处，以便采购人在会议期间澄清。</w:t>
      </w:r>
    </w:p>
    <w:p w14:paraId="45EE47B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8.8磋商答疑会后，采购人在磋商供应商须知前附表规定的时间内，将对磋商供应商所提问题的澄清，认为必要时，会将不标明查询来源的答复在“</w:t>
      </w:r>
      <w:r>
        <w:rPr>
          <w:rFonts w:hint="eastAsia" w:ascii="华文中宋" w:hAnsi="华文中宋" w:eastAsia="华文中宋" w:cs="华文中宋"/>
          <w:color w:val="auto"/>
          <w:spacing w:val="0"/>
          <w:position w:val="0"/>
          <w:sz w:val="24"/>
          <w:szCs w:val="24"/>
          <w:lang w:eastAsia="zh-CN"/>
        </w:rPr>
        <w:t>山西政府采购平台</w:t>
      </w:r>
      <w:r>
        <w:rPr>
          <w:rFonts w:hint="eastAsia" w:ascii="华文中宋" w:hAnsi="华文中宋" w:eastAsia="华文中宋" w:cs="华文中宋"/>
          <w:color w:val="auto"/>
          <w:spacing w:val="0"/>
          <w:position w:val="0"/>
          <w:sz w:val="24"/>
          <w:szCs w:val="24"/>
        </w:rPr>
        <w:t>”内通知已获取磋商文件的所有磋商供应商。所有已获取本项目磋商文件的供应商均可在下载磋商文件处下载相关答复，因自身原因未关注到此答复并造成损失的，责任自负。该澄清内容为磋商文件的组成部分。</w:t>
      </w:r>
    </w:p>
    <w:p w14:paraId="555345BD">
      <w:pPr>
        <w:snapToGrid w:val="0"/>
        <w:spacing w:line="360" w:lineRule="auto"/>
        <w:ind w:firstLine="20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pacing w:val="0"/>
          <w:position w:val="0"/>
          <w:sz w:val="24"/>
          <w:szCs w:val="24"/>
        </w:rPr>
        <w:t xml:space="preserve"> 8.9分包：磋商供应商拟在成交后将成交项目的部分非主体、非关键性工作进行分包的，应符合磋商供应商须知前附表规定的分包内容、分包金额和接受分包的第三人资质要求等限制性条件。</w:t>
      </w:r>
    </w:p>
    <w:p w14:paraId="44A91465">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28" w:name="_Toc3136"/>
      <w:bookmarkStart w:id="29" w:name="_Toc6064"/>
      <w:r>
        <w:rPr>
          <w:rFonts w:hint="eastAsia" w:ascii="华文中宋" w:hAnsi="华文中宋" w:eastAsia="华文中宋" w:cs="华文中宋"/>
          <w:color w:val="auto"/>
          <w:sz w:val="24"/>
          <w:szCs w:val="24"/>
        </w:rPr>
        <w:t>三、响应文件</w:t>
      </w:r>
      <w:bookmarkEnd w:id="28"/>
      <w:bookmarkEnd w:id="29"/>
    </w:p>
    <w:p w14:paraId="1E093E3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bookmarkStart w:id="30" w:name="_Toc26379"/>
      <w:bookmarkStart w:id="31" w:name="_Toc3330"/>
      <w:r>
        <w:rPr>
          <w:rFonts w:hint="eastAsia" w:ascii="华文中宋" w:hAnsi="华文中宋" w:eastAsia="华文中宋" w:cs="华文中宋"/>
          <w:b/>
          <w:color w:val="auto"/>
          <w:sz w:val="24"/>
          <w:szCs w:val="24"/>
          <w:lang w:val="en-US" w:eastAsia="zh-CN"/>
        </w:rPr>
        <w:t>9</w:t>
      </w:r>
      <w:r>
        <w:rPr>
          <w:rFonts w:hint="eastAsia" w:ascii="华文中宋" w:hAnsi="华文中宋" w:eastAsia="华文中宋" w:cs="华文中宋"/>
          <w:b/>
          <w:color w:val="auto"/>
          <w:sz w:val="24"/>
          <w:szCs w:val="24"/>
        </w:rPr>
        <w:t>. 响应文件的语言和计量单位</w:t>
      </w:r>
    </w:p>
    <w:p w14:paraId="3C39013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.1磋商供应商提交的响应文件的资格证明文件、商务技术文件（包括技术文件和资料、图纸中的说明）以及磋商供应商与采购代理机构就有关磋商的所有来往函</w:t>
      </w:r>
      <w:r>
        <w:rPr>
          <w:rFonts w:hint="eastAsia" w:ascii="华文中宋" w:hAnsi="华文中宋" w:eastAsia="华文中宋" w:cs="华文中宋"/>
          <w:bCs/>
          <w:color w:val="auto"/>
          <w:sz w:val="24"/>
          <w:szCs w:val="24"/>
        </w:rPr>
        <w:t>电</w:t>
      </w:r>
      <w:r>
        <w:rPr>
          <w:rFonts w:hint="eastAsia" w:ascii="华文中宋" w:hAnsi="华文中宋" w:eastAsia="华文中宋" w:cs="华文中宋"/>
          <w:color w:val="auto"/>
          <w:sz w:val="24"/>
          <w:szCs w:val="24"/>
        </w:rPr>
        <w:t>均应使用中文简体字。外文资料必须提供中文译文，并保持与原文一致，否则，产生的不利后果由磋商供应商承担。</w:t>
      </w:r>
    </w:p>
    <w:p w14:paraId="76B518C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.2响应文件所使用的计量单位，必须使用国家法定计量单位。</w:t>
      </w:r>
    </w:p>
    <w:p w14:paraId="37E0142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10</w:t>
      </w:r>
      <w:r>
        <w:rPr>
          <w:rFonts w:hint="eastAsia" w:ascii="华文中宋" w:hAnsi="华文中宋" w:eastAsia="华文中宋" w:cs="华文中宋"/>
          <w:b/>
          <w:bCs/>
          <w:color w:val="auto"/>
          <w:sz w:val="24"/>
          <w:szCs w:val="24"/>
        </w:rPr>
        <w:t>. 响应文件的组成及相关要求</w:t>
      </w:r>
    </w:p>
    <w:p w14:paraId="6DE1B1D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10</w:t>
      </w:r>
      <w:r>
        <w:rPr>
          <w:rFonts w:hint="eastAsia" w:ascii="华文中宋" w:hAnsi="华文中宋" w:eastAsia="华文中宋" w:cs="华文中宋"/>
          <w:color w:val="auto"/>
          <w:sz w:val="24"/>
          <w:szCs w:val="24"/>
        </w:rPr>
        <w:t>.1响应文件分为资格证明文件和商务、技术文件。</w:t>
      </w:r>
    </w:p>
    <w:p w14:paraId="1B043B24">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10.1 响应文件分为资格证明文件和商务技术文件。</w:t>
      </w:r>
    </w:p>
    <w:p w14:paraId="5E35D52B">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10.2资格证明文件部分指磋商供应商提交的证明其有资格参加磋商的文件。</w:t>
      </w:r>
    </w:p>
    <w:p w14:paraId="3DDBB2EC">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10.3商务文件部分是指磋商供应商的工期、质量、施工组织设计、最后报价等。</w:t>
      </w:r>
    </w:p>
    <w:p w14:paraId="2C2C7F74">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10.4本次磋商，磋商供应商应按本磋商文件要求提交资格证明、商务技术部分内容以及需要磋商供应商自行编写的其他文件，由此造成的一切后果，由磋商供应商自行承担。</w:t>
      </w:r>
    </w:p>
    <w:p w14:paraId="2BD7F774">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color w:val="auto"/>
          <w:sz w:val="24"/>
          <w:szCs w:val="24"/>
          <w:lang w:val="en-US" w:eastAsia="zh-CN"/>
        </w:rPr>
        <w:t>10</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纸质版响应文件制作要求</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若有</w:t>
      </w:r>
      <w:r>
        <w:rPr>
          <w:rFonts w:hint="eastAsia" w:ascii="华文中宋" w:hAnsi="华文中宋" w:eastAsia="华文中宋" w:cs="华文中宋"/>
          <w:color w:val="auto"/>
          <w:sz w:val="24"/>
          <w:szCs w:val="24"/>
          <w:lang w:eastAsia="zh-CN"/>
        </w:rPr>
        <w:t>）</w:t>
      </w:r>
    </w:p>
    <w:p w14:paraId="03BBA600">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响应文件规格幅面（A4），封面“响应文件（资格证明文件）、响应文件（商务技术文件）”为华文中宋初号加黑字体，其它为华文中宋三号加黑字体；正文使用华文中宋小四号字体；表格内容为华文中宋五号字体。由于编排混乱导致响应文件被误读或查找不到，其责任由磋商供应商承担。</w:t>
      </w:r>
    </w:p>
    <w:p w14:paraId="126E78D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11.</w:t>
      </w:r>
      <w:r>
        <w:rPr>
          <w:rFonts w:hint="eastAsia" w:ascii="华文中宋" w:hAnsi="华文中宋" w:eastAsia="华文中宋" w:cs="华文中宋"/>
          <w:b/>
          <w:bCs/>
          <w:color w:val="auto"/>
          <w:sz w:val="24"/>
          <w:szCs w:val="24"/>
        </w:rPr>
        <w:t xml:space="preserve"> 响应保证金</w:t>
      </w:r>
    </w:p>
    <w:p w14:paraId="0239393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本项目是否要求</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提交保证金，及要求供应商应提交的响应保证金金额详见供应商须知前附表的相关规定。</w:t>
      </w:r>
    </w:p>
    <w:p w14:paraId="05EBB42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w:t>
      </w:r>
      <w:r>
        <w:rPr>
          <w:rFonts w:hint="eastAsia" w:ascii="华文中宋" w:hAnsi="华文中宋" w:eastAsia="华文中宋" w:cs="华文中宋"/>
          <w:color w:val="auto"/>
          <w:sz w:val="24"/>
          <w:szCs w:val="24"/>
        </w:rPr>
        <w:t>.1未按上述要求提交响应保证金的，其响应无效。</w:t>
      </w:r>
    </w:p>
    <w:p w14:paraId="329B94F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响应保证金</w:t>
      </w:r>
      <w:r>
        <w:rPr>
          <w:rFonts w:hint="eastAsia" w:ascii="华文中宋" w:hAnsi="华文中宋" w:eastAsia="华文中宋" w:cs="华文中宋"/>
          <w:color w:val="auto"/>
          <w:sz w:val="24"/>
          <w:szCs w:val="24"/>
          <w:lang w:val="en-US" w:eastAsia="zh-CN"/>
        </w:rPr>
        <w:t>原账号</w:t>
      </w:r>
      <w:r>
        <w:rPr>
          <w:rFonts w:hint="eastAsia" w:ascii="华文中宋" w:hAnsi="华文中宋" w:eastAsia="华文中宋" w:cs="华文中宋"/>
          <w:color w:val="auto"/>
          <w:sz w:val="24"/>
          <w:szCs w:val="24"/>
        </w:rPr>
        <w:t>退还：</w:t>
      </w:r>
    </w:p>
    <w:p w14:paraId="412379C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2</w:t>
      </w:r>
      <w:r>
        <w:rPr>
          <w:rFonts w:hint="eastAsia" w:ascii="华文中宋" w:hAnsi="华文中宋" w:eastAsia="华文中宋" w:cs="华文中宋"/>
          <w:color w:val="auto"/>
          <w:sz w:val="24"/>
          <w:szCs w:val="24"/>
        </w:rPr>
        <w:t>未成交供应商的响应保证金自成交通知书发出之日起5个工作日内退还。</w:t>
      </w:r>
    </w:p>
    <w:p w14:paraId="49C9A43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11.3</w:t>
      </w:r>
      <w:r>
        <w:rPr>
          <w:rFonts w:hint="eastAsia" w:ascii="华文中宋" w:hAnsi="华文中宋" w:eastAsia="华文中宋" w:cs="华文中宋"/>
          <w:color w:val="auto"/>
          <w:sz w:val="24"/>
          <w:szCs w:val="24"/>
        </w:rPr>
        <w:t>采购人因重大变故取消采购任务的，采购代理机构在财政部门指定的政府采购信息发布媒体上发布终止公告，并以发布公告的形式通知已经获取采购文件的潜在供应商，对已经交纳响应保证金的，采购代理机构在终止公告发布后5个工作日内予以退还。</w:t>
      </w:r>
    </w:p>
    <w:p w14:paraId="3DC401C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11.4</w:t>
      </w:r>
      <w:r>
        <w:rPr>
          <w:rFonts w:hint="eastAsia" w:ascii="华文中宋" w:hAnsi="华文中宋" w:eastAsia="华文中宋" w:cs="华文中宋"/>
          <w:color w:val="auto"/>
          <w:sz w:val="24"/>
          <w:szCs w:val="24"/>
        </w:rPr>
        <w:t>响应保证金将退还到原缴纳帐户。原缴纳帐户发生变更的，供应商需向采购代理机构提交书面情况说明和银行缴纳回执单。</w:t>
      </w:r>
    </w:p>
    <w:p w14:paraId="673C0B4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11.5</w:t>
      </w:r>
      <w:r>
        <w:rPr>
          <w:rFonts w:hint="eastAsia" w:ascii="华文中宋" w:hAnsi="华文中宋" w:eastAsia="华文中宋" w:cs="华文中宋"/>
          <w:color w:val="auto"/>
          <w:sz w:val="24"/>
          <w:szCs w:val="24"/>
        </w:rPr>
        <w:t>响应有效期内供应商撤销响应文件的，采购代理机构不退还响应保证金。</w:t>
      </w:r>
    </w:p>
    <w:p w14:paraId="403EAB9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12.</w:t>
      </w:r>
      <w:r>
        <w:rPr>
          <w:rFonts w:hint="eastAsia" w:ascii="华文中宋" w:hAnsi="华文中宋" w:eastAsia="华文中宋" w:cs="华文中宋"/>
          <w:b/>
          <w:color w:val="auto"/>
          <w:sz w:val="24"/>
          <w:szCs w:val="24"/>
        </w:rPr>
        <w:t xml:space="preserve"> 磋商报价</w:t>
      </w:r>
    </w:p>
    <w:p w14:paraId="0D746A43">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w:t>
      </w:r>
      <w:r>
        <w:rPr>
          <w:rFonts w:hint="eastAsia" w:ascii="华文中宋" w:hAnsi="华文中宋" w:eastAsia="华文中宋" w:cs="华文中宋"/>
          <w:color w:val="auto"/>
          <w:sz w:val="24"/>
          <w:szCs w:val="24"/>
        </w:rPr>
        <w:t>1 所有的磋商报价均以人民币元为计算单位。磋商报价为磋商响应供应商的磋商响应文件中提出的各项支付金额的总和</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rPr>
        <w:t>磋商响应供应商应按清单中列出的工程项目填报单价和合价。每一项目只允许有一个报价。由于分项报价填报不完整、不清楚或存在其它任何失误，所导致的任何不利后果均应当</w:t>
      </w:r>
      <w:r>
        <w:rPr>
          <w:rFonts w:hint="eastAsia" w:ascii="华文中宋" w:hAnsi="华文中宋" w:eastAsia="华文中宋" w:cs="华文中宋"/>
          <w:color w:val="auto"/>
          <w:sz w:val="24"/>
          <w:szCs w:val="24"/>
          <w:lang w:val="en-US" w:eastAsia="zh-CN"/>
        </w:rPr>
        <w:t>由磋商供应商</w:t>
      </w:r>
      <w:r>
        <w:rPr>
          <w:rFonts w:hint="eastAsia" w:ascii="华文中宋" w:hAnsi="华文中宋" w:eastAsia="华文中宋" w:cs="华文中宋"/>
          <w:color w:val="auto"/>
          <w:sz w:val="24"/>
          <w:szCs w:val="24"/>
        </w:rPr>
        <w:t>自行承担。</w:t>
      </w:r>
    </w:p>
    <w:p w14:paraId="7D7DFBA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12.2</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响应多包的，应对每包分别报价并分别填报报价一览表。</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报出的总价为工程全部完成交付的最终价格。</w:t>
      </w:r>
    </w:p>
    <w:p w14:paraId="7D999B3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12.3 磋商供应商</w:t>
      </w:r>
      <w:r>
        <w:rPr>
          <w:rFonts w:hint="eastAsia" w:ascii="华文中宋" w:hAnsi="华文中宋" w:eastAsia="华文中宋" w:cs="华文中宋"/>
          <w:color w:val="auto"/>
          <w:sz w:val="24"/>
          <w:szCs w:val="24"/>
        </w:rPr>
        <w:t>必须整包进行响应，不得拆包分项响应。</w:t>
      </w:r>
    </w:p>
    <w:p w14:paraId="53347E5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12.4</w:t>
      </w:r>
      <w:r>
        <w:rPr>
          <w:rFonts w:hint="eastAsia" w:ascii="华文中宋" w:hAnsi="华文中宋" w:eastAsia="华文中宋" w:cs="华文中宋"/>
          <w:color w:val="auto"/>
          <w:sz w:val="24"/>
          <w:szCs w:val="24"/>
        </w:rPr>
        <w:t xml:space="preserve"> 本次磋商不接受可选择或可调整的磋商和报价。</w:t>
      </w:r>
    </w:p>
    <w:p w14:paraId="51E6554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12.5磋商供应商</w:t>
      </w:r>
      <w:r>
        <w:rPr>
          <w:rFonts w:hint="eastAsia" w:ascii="华文中宋" w:hAnsi="华文中宋" w:eastAsia="华文中宋" w:cs="华文中宋"/>
          <w:color w:val="auto"/>
          <w:sz w:val="24"/>
          <w:szCs w:val="24"/>
        </w:rPr>
        <w:t>应提供工程的单价、总价及其他事项，并由法定代表人或</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代表签署。</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对报价若有说明，应在报价一览表显著处注明，只有磋商时唱出的报价优惠承诺才会在磋商时予以考虑。</w:t>
      </w:r>
    </w:p>
    <w:p w14:paraId="4AC9D08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12.6</w:t>
      </w:r>
      <w:r>
        <w:rPr>
          <w:rFonts w:hint="eastAsia" w:ascii="华文中宋" w:hAnsi="华文中宋" w:eastAsia="华文中宋" w:cs="华文中宋"/>
          <w:color w:val="auto"/>
          <w:sz w:val="24"/>
          <w:szCs w:val="24"/>
        </w:rPr>
        <w:t>磋商的报价优惠承诺应对应报价一览表、价格表等提供相应的明细清单。除报价优惠承诺外，任何超出磋商文件要求而额外赠送的其他形式的优惠，在磋商时将不作为价格折算的必备条件。</w:t>
      </w:r>
    </w:p>
    <w:p w14:paraId="6E64F47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12.7 最低报价不是成交的保证，采购人及代理机构不作任何落标解释。</w:t>
      </w:r>
    </w:p>
    <w:p w14:paraId="6309023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13</w:t>
      </w:r>
      <w:r>
        <w:rPr>
          <w:rFonts w:hint="eastAsia" w:ascii="华文中宋" w:hAnsi="华文中宋" w:eastAsia="华文中宋" w:cs="华文中宋"/>
          <w:b/>
          <w:color w:val="auto"/>
          <w:sz w:val="24"/>
          <w:szCs w:val="24"/>
        </w:rPr>
        <w:t xml:space="preserve"> 响应文件填写说明</w:t>
      </w:r>
    </w:p>
    <w:p w14:paraId="6F974EDD">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14:paraId="5C2EB09B">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.2 磋商文件有固定格式要求的须按第八部分提供的统一格式逐项填写；无相应内容可填的项填写“无”、“未测试”、“没有相应指标”、 “/”等明确的回答。</w:t>
      </w:r>
    </w:p>
    <w:p w14:paraId="751B969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.3 报价一览表应按磋商文件提供的格式统一填写，不得自行增减内容。</w:t>
      </w:r>
    </w:p>
    <w:p w14:paraId="6207E45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.4 磋商供应商必须保证响应文件所提供的全部资料真实可靠，并接受磋商小组对其中任何资料进一步审查的要求，且承担相应的法律责任。</w:t>
      </w:r>
    </w:p>
    <w:p w14:paraId="3C425A34">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.5因响应文件字迹潦草、提交资料不清晰或表达不清楚所引起的不利后果由供应商承担。</w:t>
      </w:r>
    </w:p>
    <w:p w14:paraId="1F9FFD0B">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4</w:t>
      </w:r>
      <w:r>
        <w:rPr>
          <w:rFonts w:hint="eastAsia" w:ascii="华文中宋" w:hAnsi="华文中宋" w:eastAsia="华文中宋" w:cs="华文中宋"/>
          <w:b/>
          <w:color w:val="auto"/>
          <w:sz w:val="24"/>
          <w:szCs w:val="24"/>
        </w:rPr>
        <w:t>. 响应文件的有效期</w:t>
      </w:r>
    </w:p>
    <w:p w14:paraId="45336E4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本项目响应文件的有效期详见磋商供应商须知前附表的规定。</w:t>
      </w:r>
    </w:p>
    <w:p w14:paraId="50E2E1C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5</w:t>
      </w:r>
      <w:r>
        <w:rPr>
          <w:rFonts w:hint="eastAsia" w:ascii="华文中宋" w:hAnsi="华文中宋" w:eastAsia="华文中宋" w:cs="华文中宋"/>
          <w:b/>
          <w:color w:val="auto"/>
          <w:sz w:val="24"/>
          <w:szCs w:val="24"/>
        </w:rPr>
        <w:t>. 响应文件的签署</w:t>
      </w:r>
    </w:p>
    <w:p w14:paraId="42544B0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.1 组成响应文件的各种文件均应遵守本条规定。</w:t>
      </w:r>
    </w:p>
    <w:p w14:paraId="5017B76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.2 磋商供应商在响应文件及相关文件的签订、履行、通知等事项的书面文件中的“盖章”、“印章”、“公章”等处均仅指与当事人名称全称相一致的标准公章的电子签章，不得使用其它（如带有“专用章”等字样）印章。</w:t>
      </w:r>
    </w:p>
    <w:p w14:paraId="7963D25F">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四、响应文件的递交</w:t>
      </w:r>
      <w:bookmarkEnd w:id="30"/>
      <w:bookmarkEnd w:id="31"/>
    </w:p>
    <w:p w14:paraId="27C2E69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bookmarkStart w:id="32" w:name="_Toc12886"/>
      <w:bookmarkStart w:id="33" w:name="_Toc32573"/>
      <w:r>
        <w:rPr>
          <w:rFonts w:hint="eastAsia" w:ascii="华文中宋" w:hAnsi="华文中宋" w:eastAsia="华文中宋" w:cs="华文中宋"/>
          <w:b/>
          <w:color w:val="auto"/>
          <w:sz w:val="24"/>
          <w:szCs w:val="24"/>
          <w:lang w:val="en-US" w:eastAsia="zh-CN"/>
        </w:rPr>
        <w:t>16</w:t>
      </w:r>
      <w:r>
        <w:rPr>
          <w:rFonts w:hint="eastAsia" w:ascii="华文中宋" w:hAnsi="华文中宋" w:eastAsia="华文中宋" w:cs="华文中宋"/>
          <w:b/>
          <w:color w:val="auto"/>
          <w:sz w:val="24"/>
          <w:szCs w:val="24"/>
        </w:rPr>
        <w:t xml:space="preserve"> . </w:t>
      </w:r>
      <w:r>
        <w:rPr>
          <w:rFonts w:hint="eastAsia" w:ascii="华文中宋" w:hAnsi="华文中宋" w:eastAsia="华文中宋" w:cs="华文中宋"/>
          <w:b/>
          <w:color w:val="auto"/>
          <w:sz w:val="24"/>
          <w:szCs w:val="24"/>
          <w:lang w:val="en-US" w:eastAsia="zh-CN"/>
        </w:rPr>
        <w:t>响应</w:t>
      </w:r>
      <w:r>
        <w:rPr>
          <w:rFonts w:hint="eastAsia" w:ascii="华文中宋" w:hAnsi="华文中宋" w:eastAsia="华文中宋" w:cs="华文中宋"/>
          <w:b/>
          <w:color w:val="auto"/>
          <w:sz w:val="24"/>
          <w:szCs w:val="24"/>
        </w:rPr>
        <w:t>文件的密封及标记</w:t>
      </w:r>
    </w:p>
    <w:p w14:paraId="14138F9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rPr>
          <w:rFonts w:hint="eastAsia" w:ascii="华文中宋" w:hAnsi="华文中宋" w:eastAsia="华文中宋" w:cs="华文中宋"/>
          <w:b w:val="0"/>
          <w:bCs/>
          <w:color w:val="auto"/>
          <w:kern w:val="2"/>
          <w:sz w:val="24"/>
          <w:szCs w:val="24"/>
          <w:lang w:val="en-US" w:eastAsia="zh-CN"/>
        </w:rPr>
      </w:pPr>
      <w:r>
        <w:rPr>
          <w:rFonts w:hint="eastAsia" w:ascii="华文中宋" w:hAnsi="华文中宋" w:eastAsia="华文中宋" w:cs="华文中宋"/>
          <w:b w:val="0"/>
          <w:bCs/>
          <w:color w:val="auto"/>
          <w:kern w:val="2"/>
          <w:sz w:val="24"/>
          <w:szCs w:val="24"/>
          <w:lang w:val="en-US" w:eastAsia="zh-CN"/>
        </w:rPr>
        <w:t>供应商须将电子版响应文件加密上传至政采云平台。电子加密投标文件（是指通过“政采云电子交易客户端”完成投标文件编制后生成并加密的数据电文形式的投标文件，文件格式“.jmbs”）</w:t>
      </w:r>
    </w:p>
    <w:p w14:paraId="3D61429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7</w:t>
      </w:r>
      <w:r>
        <w:rPr>
          <w:rFonts w:hint="eastAsia" w:ascii="华文中宋" w:hAnsi="华文中宋" w:eastAsia="华文中宋" w:cs="华文中宋"/>
          <w:b/>
          <w:color w:val="auto"/>
          <w:sz w:val="24"/>
          <w:szCs w:val="24"/>
        </w:rPr>
        <w:t>. 提交响应文件截止时间</w:t>
      </w:r>
      <w:r>
        <w:rPr>
          <w:rFonts w:hint="eastAsia" w:ascii="华文中宋" w:hAnsi="华文中宋" w:eastAsia="华文中宋" w:cs="华文中宋"/>
          <w:b/>
          <w:color w:val="auto"/>
          <w:sz w:val="24"/>
          <w:szCs w:val="24"/>
          <w:lang w:eastAsia="zh-CN"/>
        </w:rPr>
        <w:t>（</w:t>
      </w:r>
      <w:r>
        <w:rPr>
          <w:rFonts w:hint="eastAsia" w:ascii="华文中宋" w:hAnsi="华文中宋" w:eastAsia="华文中宋" w:cs="华文中宋"/>
          <w:b/>
          <w:color w:val="auto"/>
          <w:sz w:val="24"/>
          <w:szCs w:val="24"/>
          <w:lang w:val="en-US" w:eastAsia="zh-CN"/>
        </w:rPr>
        <w:t>若有</w:t>
      </w:r>
      <w:r>
        <w:rPr>
          <w:rFonts w:hint="eastAsia" w:ascii="华文中宋" w:hAnsi="华文中宋" w:eastAsia="华文中宋" w:cs="华文中宋"/>
          <w:b/>
          <w:color w:val="auto"/>
          <w:sz w:val="24"/>
          <w:szCs w:val="24"/>
          <w:lang w:eastAsia="zh-CN"/>
        </w:rPr>
        <w:t>）</w:t>
      </w:r>
    </w:p>
    <w:p w14:paraId="68DF006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1</w:t>
      </w:r>
      <w:r>
        <w:rPr>
          <w:rFonts w:hint="eastAsia" w:ascii="华文中宋" w:hAnsi="华文中宋" w:eastAsia="华文中宋" w:cs="华文中宋"/>
          <w:color w:val="auto"/>
          <w:kern w:val="2"/>
          <w:sz w:val="24"/>
          <w:szCs w:val="24"/>
          <w:lang w:val="en-US" w:eastAsia="zh-CN"/>
        </w:rPr>
        <w:t>7</w:t>
      </w:r>
      <w:r>
        <w:rPr>
          <w:rFonts w:hint="eastAsia" w:ascii="华文中宋" w:hAnsi="华文中宋" w:eastAsia="华文中宋" w:cs="华文中宋"/>
          <w:color w:val="auto"/>
          <w:kern w:val="2"/>
          <w:sz w:val="24"/>
          <w:szCs w:val="24"/>
        </w:rPr>
        <w:t>.1</w:t>
      </w:r>
      <w:r>
        <w:rPr>
          <w:rFonts w:hint="eastAsia" w:ascii="华文中宋" w:hAnsi="华文中宋" w:eastAsia="华文中宋" w:cs="华文中宋"/>
          <w:color w:val="auto"/>
          <w:sz w:val="24"/>
          <w:szCs w:val="24"/>
        </w:rPr>
        <w:t>纸质响应文件须在纸质响应文件递交截止时间之前密封递交。磋商供应商在规定时间未解密电子响应文件或未递交纸质响应文件的，磋商无效。</w:t>
      </w:r>
    </w:p>
    <w:p w14:paraId="229C8BC7">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.2 采购代理机构根据本须知的规定，通过修改磋商文件或自行决定延长首次响应文件截止日期的，采购人和磋商供应商受提交截止日期制约的所有权利和义务均延长至新的截止日期。</w:t>
      </w:r>
    </w:p>
    <w:p w14:paraId="1B422356">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8</w:t>
      </w:r>
      <w:r>
        <w:rPr>
          <w:rFonts w:hint="eastAsia" w:ascii="华文中宋" w:hAnsi="华文中宋" w:eastAsia="华文中宋" w:cs="华文中宋"/>
          <w:b/>
          <w:color w:val="auto"/>
          <w:sz w:val="24"/>
          <w:szCs w:val="24"/>
        </w:rPr>
        <w:t>．响应文件的补充、修改和撤回</w:t>
      </w:r>
    </w:p>
    <w:p w14:paraId="3A5572F5">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kern w:val="0"/>
          <w:sz w:val="24"/>
          <w:szCs w:val="24"/>
          <w:lang w:val="en-US" w:eastAsia="zh-CN"/>
        </w:rPr>
        <w:t>8</w:t>
      </w: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sz w:val="24"/>
          <w:szCs w:val="24"/>
        </w:rPr>
        <w:t>磋商供应商</w:t>
      </w:r>
      <w:r>
        <w:rPr>
          <w:rFonts w:hint="eastAsia" w:ascii="华文中宋" w:hAnsi="华文中宋" w:eastAsia="华文中宋" w:cs="华文中宋"/>
          <w:color w:val="auto"/>
          <w:kern w:val="0"/>
          <w:sz w:val="24"/>
          <w:szCs w:val="24"/>
        </w:rPr>
        <w:t>在解密截止时间前，可对</w:t>
      </w:r>
      <w:r>
        <w:rPr>
          <w:rFonts w:hint="eastAsia" w:ascii="华文中宋" w:hAnsi="华文中宋" w:eastAsia="华文中宋" w:cs="华文中宋"/>
          <w:color w:val="auto"/>
          <w:sz w:val="24"/>
          <w:szCs w:val="24"/>
        </w:rPr>
        <w:t>响应文件</w:t>
      </w:r>
      <w:r>
        <w:rPr>
          <w:rFonts w:hint="eastAsia" w:ascii="华文中宋" w:hAnsi="华文中宋" w:eastAsia="华文中宋" w:cs="华文中宋"/>
          <w:color w:val="auto"/>
          <w:kern w:val="0"/>
          <w:sz w:val="24"/>
          <w:szCs w:val="24"/>
        </w:rPr>
        <w:t>进行补充、修改或者撤回。</w:t>
      </w:r>
    </w:p>
    <w:p w14:paraId="4E78B12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kern w:val="0"/>
          <w:sz w:val="24"/>
          <w:szCs w:val="24"/>
          <w:lang w:val="en-US" w:eastAsia="zh-CN"/>
        </w:rPr>
        <w:t>8</w:t>
      </w:r>
      <w:r>
        <w:rPr>
          <w:rFonts w:hint="eastAsia" w:ascii="华文中宋" w:hAnsi="华文中宋" w:eastAsia="华文中宋" w:cs="华文中宋"/>
          <w:color w:val="auto"/>
          <w:kern w:val="0"/>
          <w:sz w:val="24"/>
          <w:szCs w:val="24"/>
        </w:rPr>
        <w:t>.2</w:t>
      </w:r>
      <w:r>
        <w:rPr>
          <w:rFonts w:hint="eastAsia" w:ascii="华文中宋" w:hAnsi="华文中宋" w:eastAsia="华文中宋" w:cs="华文中宋"/>
          <w:color w:val="auto"/>
          <w:sz w:val="24"/>
          <w:szCs w:val="24"/>
        </w:rPr>
        <w:t>磋商供应商</w:t>
      </w:r>
      <w:r>
        <w:rPr>
          <w:rFonts w:hint="eastAsia" w:ascii="华文中宋" w:hAnsi="华文中宋" w:eastAsia="华文中宋" w:cs="华文中宋"/>
          <w:color w:val="auto"/>
          <w:kern w:val="0"/>
          <w:sz w:val="24"/>
          <w:szCs w:val="24"/>
        </w:rPr>
        <w:t>对电子</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文件的补充、修改应在电子</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文件上进行，修改完成后重新上传。</w:t>
      </w:r>
      <w:r>
        <w:rPr>
          <w:rFonts w:hint="eastAsia" w:ascii="华文中宋" w:hAnsi="华文中宋" w:eastAsia="华文中宋" w:cs="华文中宋"/>
          <w:color w:val="auto"/>
          <w:kern w:val="0"/>
          <w:sz w:val="24"/>
          <w:szCs w:val="24"/>
          <w:lang w:eastAsia="zh-CN"/>
        </w:rPr>
        <w:t>（</w:t>
      </w:r>
      <w:r>
        <w:rPr>
          <w:rFonts w:hint="eastAsia" w:ascii="华文中宋" w:hAnsi="华文中宋" w:eastAsia="华文中宋" w:cs="华文中宋"/>
          <w:color w:val="auto"/>
          <w:kern w:val="0"/>
          <w:sz w:val="24"/>
          <w:szCs w:val="24"/>
          <w:lang w:val="en-US" w:eastAsia="zh-CN"/>
        </w:rPr>
        <w:t>若有：</w:t>
      </w:r>
      <w:r>
        <w:rPr>
          <w:rFonts w:hint="eastAsia" w:ascii="华文中宋" w:hAnsi="华文中宋" w:eastAsia="华文中宋" w:cs="华文中宋"/>
          <w:color w:val="auto"/>
          <w:kern w:val="0"/>
          <w:sz w:val="24"/>
          <w:szCs w:val="24"/>
        </w:rPr>
        <w:t>如无法及时对递交的纸质</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文件内容进行补充、修改的应将补充、修改的内容按照</w:t>
      </w:r>
      <w:r>
        <w:rPr>
          <w:rFonts w:hint="eastAsia" w:ascii="华文中宋" w:hAnsi="华文中宋" w:eastAsia="华文中宋" w:cs="华文中宋"/>
          <w:color w:val="auto"/>
          <w:sz w:val="24"/>
          <w:szCs w:val="24"/>
        </w:rPr>
        <w:t>磋商</w:t>
      </w:r>
      <w:r>
        <w:rPr>
          <w:rFonts w:hint="eastAsia" w:ascii="华文中宋" w:hAnsi="华文中宋" w:eastAsia="华文中宋" w:cs="华文中宋"/>
          <w:color w:val="auto"/>
          <w:kern w:val="0"/>
          <w:sz w:val="24"/>
          <w:szCs w:val="24"/>
        </w:rPr>
        <w:t>文件的要求签署、盖章，密封后书面递交采购代理机构，作为纸质</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文件的组成部分。</w:t>
      </w:r>
      <w:r>
        <w:rPr>
          <w:rFonts w:hint="eastAsia" w:ascii="华文中宋" w:hAnsi="华文中宋" w:eastAsia="华文中宋" w:cs="华文中宋"/>
          <w:color w:val="auto"/>
          <w:kern w:val="0"/>
          <w:sz w:val="24"/>
          <w:szCs w:val="24"/>
          <w:lang w:eastAsia="zh-CN"/>
        </w:rPr>
        <w:t>）</w:t>
      </w:r>
    </w:p>
    <w:p w14:paraId="1783A62C">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kern w:val="0"/>
          <w:sz w:val="24"/>
          <w:szCs w:val="24"/>
          <w:lang w:val="en-US" w:eastAsia="zh-CN"/>
        </w:rPr>
        <w:t>8</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kern w:val="0"/>
          <w:sz w:val="24"/>
          <w:szCs w:val="24"/>
        </w:rPr>
        <w:t>在</w:t>
      </w:r>
      <w:r>
        <w:rPr>
          <w:rFonts w:hint="eastAsia" w:ascii="华文中宋" w:hAnsi="华文中宋" w:eastAsia="华文中宋" w:cs="华文中宋"/>
          <w:color w:val="auto"/>
          <w:sz w:val="24"/>
          <w:szCs w:val="24"/>
        </w:rPr>
        <w:t>磋商</w:t>
      </w:r>
      <w:r>
        <w:rPr>
          <w:rFonts w:hint="eastAsia" w:ascii="华文中宋" w:hAnsi="华文中宋" w:eastAsia="华文中宋" w:cs="华文中宋"/>
          <w:color w:val="auto"/>
          <w:kern w:val="0"/>
          <w:sz w:val="24"/>
          <w:szCs w:val="24"/>
        </w:rPr>
        <w:t>文件要求的</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文件提交截止时间之后，</w:t>
      </w:r>
      <w:r>
        <w:rPr>
          <w:rFonts w:hint="eastAsia" w:ascii="华文中宋" w:hAnsi="华文中宋" w:eastAsia="华文中宋" w:cs="华文中宋"/>
          <w:color w:val="auto"/>
          <w:sz w:val="24"/>
          <w:szCs w:val="24"/>
        </w:rPr>
        <w:t>磋商供应商</w:t>
      </w:r>
      <w:r>
        <w:rPr>
          <w:rFonts w:hint="eastAsia" w:ascii="华文中宋" w:hAnsi="华文中宋" w:eastAsia="华文中宋" w:cs="华文中宋"/>
          <w:color w:val="auto"/>
          <w:kern w:val="0"/>
          <w:sz w:val="24"/>
          <w:szCs w:val="24"/>
        </w:rPr>
        <w:t>不得对其</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文件进行补充、修改或撤回。</w:t>
      </w:r>
    </w:p>
    <w:p w14:paraId="31F0C1AD">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五、磋商采购程序</w:t>
      </w:r>
      <w:bookmarkEnd w:id="32"/>
      <w:bookmarkEnd w:id="33"/>
    </w:p>
    <w:p w14:paraId="2A377FC1">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9</w:t>
      </w:r>
      <w:r>
        <w:rPr>
          <w:rFonts w:hint="eastAsia" w:ascii="华文中宋" w:hAnsi="华文中宋" w:eastAsia="华文中宋" w:cs="华文中宋"/>
          <w:b/>
          <w:color w:val="auto"/>
          <w:sz w:val="24"/>
          <w:szCs w:val="24"/>
        </w:rPr>
        <w:t xml:space="preserve"> 成立磋商小组</w:t>
      </w:r>
    </w:p>
    <w:p w14:paraId="0B893FD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 xml:space="preserve">.1 采购代理机构根据政府采购有关法律法规的规定，依法组建成立磋商小组，磋商小组由采购人的代表和有关专家共三人以上的单数组成，其中专家的人数不得少于成员总数的三分之二。 </w:t>
      </w:r>
    </w:p>
    <w:p w14:paraId="28C14DF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.2 磋商小组负责完成具体的磋商评审事务</w:t>
      </w:r>
      <w:r>
        <w:rPr>
          <w:rFonts w:hint="eastAsia" w:ascii="华文中宋" w:hAnsi="华文中宋" w:eastAsia="华文中宋" w:cs="华文中宋"/>
          <w:b/>
          <w:color w:val="auto"/>
          <w:sz w:val="24"/>
          <w:szCs w:val="24"/>
        </w:rPr>
        <w:t>，</w:t>
      </w:r>
      <w:r>
        <w:rPr>
          <w:rFonts w:hint="eastAsia" w:ascii="华文中宋" w:hAnsi="华文中宋" w:eastAsia="华文中宋" w:cs="华文中宋"/>
          <w:color w:val="auto"/>
          <w:sz w:val="24"/>
          <w:szCs w:val="24"/>
        </w:rPr>
        <w:t>提出经磋商小组签字的书面磋商评审报告。</w:t>
      </w:r>
    </w:p>
    <w:p w14:paraId="6FCDA07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 xml:space="preserve">.3 磋商活动的组织工作由采购代理机构负责。 </w:t>
      </w:r>
    </w:p>
    <w:p w14:paraId="0E8AAE8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19.4正常情况下，评审委员会将依据电子响应文件进行评审，如因不可抗因素导致业务执行系统无法正常运行时，将依据纸质响应文件进行磋商工作。</w:t>
      </w:r>
    </w:p>
    <w:p w14:paraId="0E7DA6ED">
      <w:pPr>
        <w:pStyle w:val="39"/>
        <w:snapToGrid w:val="0"/>
        <w:spacing w:line="480" w:lineRule="exact"/>
        <w:ind w:firstLine="480" w:firstLineChars="200"/>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20. 响应文件的审查顺序</w:t>
      </w:r>
    </w:p>
    <w:p w14:paraId="64396D20">
      <w:pPr>
        <w:pStyle w:val="39"/>
        <w:snapToGrid w:val="0"/>
        <w:spacing w:line="480" w:lineRule="exact"/>
        <w:ind w:firstLine="470" w:firstLineChars="196"/>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磋商小组在磋商地点，在规定的时间内，按照随机顺序对响应文件进行审查。</w:t>
      </w:r>
    </w:p>
    <w:p w14:paraId="215C5E40">
      <w:pPr>
        <w:pStyle w:val="39"/>
        <w:snapToGrid w:val="0"/>
        <w:spacing w:line="480" w:lineRule="exact"/>
        <w:ind w:firstLine="480" w:firstLineChars="200"/>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21. 响应文件审查</w:t>
      </w:r>
    </w:p>
    <w:p w14:paraId="62626789">
      <w:pPr>
        <w:pStyle w:val="39"/>
        <w:snapToGrid w:val="0"/>
        <w:spacing w:line="48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21.1磋商小组进行资格性检查及</w:t>
      </w:r>
      <w:r>
        <w:rPr>
          <w:rFonts w:hint="eastAsia" w:ascii="华文中宋" w:hAnsi="华文中宋" w:eastAsia="华文中宋" w:cs="华文中宋"/>
          <w:color w:val="auto"/>
          <w:spacing w:val="0"/>
          <w:position w:val="0"/>
          <w:sz w:val="24"/>
          <w:szCs w:val="24"/>
          <w:lang w:eastAsia="zh-CN"/>
        </w:rPr>
        <w:t>符合性</w:t>
      </w:r>
      <w:r>
        <w:rPr>
          <w:rFonts w:hint="eastAsia" w:ascii="华文中宋" w:hAnsi="华文中宋" w:eastAsia="华文中宋" w:cs="华文中宋"/>
          <w:color w:val="auto"/>
          <w:spacing w:val="0"/>
          <w:position w:val="0"/>
          <w:sz w:val="24"/>
          <w:szCs w:val="24"/>
        </w:rPr>
        <w:t>审查，应严格遵循本文件第四部分评定和成交标准中的相关规定。</w:t>
      </w:r>
    </w:p>
    <w:p w14:paraId="1202516E">
      <w:pPr>
        <w:pStyle w:val="39"/>
        <w:snapToGrid w:val="0"/>
        <w:spacing w:line="480" w:lineRule="exact"/>
        <w:ind w:firstLine="470" w:firstLineChars="196"/>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21.2 资格性检查，磋商小组对每个磋商供应商提交的响应文件中的资格证明等进行审查，以确定参加磋商的供应商是否具备磋商资格。</w:t>
      </w:r>
    </w:p>
    <w:p w14:paraId="00ADFC1C">
      <w:pPr>
        <w:pStyle w:val="39"/>
        <w:snapToGrid w:val="0"/>
        <w:spacing w:line="480" w:lineRule="exact"/>
        <w:ind w:firstLine="470" w:firstLineChars="196"/>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21.3 </w:t>
      </w:r>
      <w:r>
        <w:rPr>
          <w:rFonts w:hint="eastAsia" w:ascii="华文中宋" w:hAnsi="华文中宋" w:eastAsia="华文中宋" w:cs="华文中宋"/>
          <w:bCs/>
          <w:color w:val="auto"/>
          <w:spacing w:val="0"/>
          <w:position w:val="0"/>
          <w:sz w:val="24"/>
          <w:szCs w:val="24"/>
          <w:lang w:eastAsia="zh-CN"/>
        </w:rPr>
        <w:t>符合性</w:t>
      </w:r>
      <w:r>
        <w:rPr>
          <w:rFonts w:hint="eastAsia" w:ascii="华文中宋" w:hAnsi="华文中宋" w:eastAsia="华文中宋" w:cs="华文中宋"/>
          <w:bCs/>
          <w:color w:val="auto"/>
          <w:spacing w:val="0"/>
          <w:position w:val="0"/>
          <w:sz w:val="24"/>
          <w:szCs w:val="24"/>
        </w:rPr>
        <w:t>审查，</w:t>
      </w:r>
      <w:r>
        <w:rPr>
          <w:rFonts w:hint="eastAsia" w:ascii="华文中宋" w:hAnsi="华文中宋" w:eastAsia="华文中宋" w:cs="华文中宋"/>
          <w:color w:val="auto"/>
          <w:spacing w:val="0"/>
          <w:position w:val="0"/>
          <w:sz w:val="24"/>
          <w:szCs w:val="24"/>
        </w:rPr>
        <w:t>由磋商小组依据磋商文件的规定进行审查，以确定响应文件是否对磋商文件的实质性要求作出响应。</w:t>
      </w:r>
    </w:p>
    <w:p w14:paraId="65AF3E6F">
      <w:pPr>
        <w:pStyle w:val="39"/>
        <w:snapToGrid w:val="0"/>
        <w:spacing w:line="460" w:lineRule="exact"/>
        <w:ind w:firstLine="480" w:firstLineChars="200"/>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4F633F3">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21.3.2 磋商小组对磋商小组提出的澄清、说明或者更正响应文件应当在“</w:t>
      </w:r>
      <w:r>
        <w:rPr>
          <w:rFonts w:hint="eastAsia" w:ascii="华文中宋" w:hAnsi="华文中宋" w:eastAsia="华文中宋" w:cs="华文中宋"/>
          <w:color w:val="auto"/>
          <w:spacing w:val="0"/>
          <w:position w:val="0"/>
          <w:sz w:val="24"/>
          <w:szCs w:val="24"/>
          <w:lang w:eastAsia="zh-CN"/>
        </w:rPr>
        <w:t>山西政府采购平台</w:t>
      </w:r>
      <w:r>
        <w:rPr>
          <w:rFonts w:hint="eastAsia" w:ascii="华文中宋" w:hAnsi="华文中宋" w:eastAsia="华文中宋" w:cs="华文中宋"/>
          <w:color w:val="auto"/>
          <w:spacing w:val="0"/>
          <w:position w:val="0"/>
          <w:sz w:val="24"/>
          <w:szCs w:val="24"/>
        </w:rPr>
        <w:t>”中提出，磋商供应商对磋商小组提出的澄清、说明或者补正的要求需采用加盖电子签章的形式进行响应。</w:t>
      </w:r>
    </w:p>
    <w:p w14:paraId="5EBCEFA6">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lang w:val="en-US" w:eastAsia="zh-CN"/>
        </w:rPr>
        <w:t>21.3.3 磋商供应商在进行澄清、说明、更正时，需自行准备电脑终端设备（电脑终端设备需具备IE11及IE11以上的浏览器和数字证书驱动），携带数字证书（USBKey）到采购活动现场同时自行解决所需网络。</w:t>
      </w:r>
      <w:r>
        <w:rPr>
          <w:rFonts w:hint="eastAsia" w:ascii="华文中宋" w:hAnsi="华文中宋" w:eastAsia="华文中宋" w:cs="华文中宋"/>
          <w:color w:val="auto"/>
          <w:spacing w:val="0"/>
          <w:position w:val="0"/>
          <w:sz w:val="24"/>
          <w:szCs w:val="24"/>
        </w:rPr>
        <w:t xml:space="preserve"> </w:t>
      </w:r>
    </w:p>
    <w:p w14:paraId="30EAE76D">
      <w:pPr>
        <w:pStyle w:val="39"/>
        <w:snapToGrid w:val="0"/>
        <w:spacing w:line="460" w:lineRule="exact"/>
        <w:ind w:firstLine="435"/>
        <w:outlineLvl w:val="9"/>
        <w:rPr>
          <w:rFonts w:hint="eastAsia" w:ascii="华文中宋" w:hAnsi="华文中宋" w:eastAsia="华文中宋" w:cs="华文中宋"/>
          <w:b/>
          <w:bCs/>
          <w:color w:val="auto"/>
          <w:spacing w:val="0"/>
          <w:position w:val="0"/>
          <w:sz w:val="24"/>
          <w:szCs w:val="24"/>
        </w:rPr>
      </w:pPr>
      <w:r>
        <w:rPr>
          <w:rFonts w:hint="eastAsia" w:ascii="华文中宋" w:hAnsi="华文中宋" w:eastAsia="华文中宋" w:cs="华文中宋"/>
          <w:b/>
          <w:bCs/>
          <w:color w:val="auto"/>
          <w:spacing w:val="0"/>
          <w:position w:val="0"/>
          <w:sz w:val="24"/>
          <w:szCs w:val="24"/>
          <w:lang w:val="en-US" w:eastAsia="zh-CN"/>
        </w:rPr>
        <w:t>22.4</w:t>
      </w:r>
      <w:r>
        <w:rPr>
          <w:rFonts w:hint="eastAsia" w:ascii="华文中宋" w:hAnsi="华文中宋" w:eastAsia="华文中宋" w:cs="华文中宋"/>
          <w:b/>
          <w:bCs/>
          <w:color w:val="auto"/>
          <w:spacing w:val="0"/>
          <w:position w:val="0"/>
          <w:sz w:val="24"/>
          <w:szCs w:val="24"/>
        </w:rPr>
        <w:t>评审中遵循的原则</w:t>
      </w:r>
    </w:p>
    <w:p w14:paraId="20D18745">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lang w:val="en-US" w:eastAsia="zh-CN"/>
        </w:rPr>
        <w:t>22.4</w:t>
      </w:r>
      <w:r>
        <w:rPr>
          <w:rFonts w:hint="eastAsia" w:ascii="华文中宋" w:hAnsi="华文中宋" w:eastAsia="华文中宋" w:cs="华文中宋"/>
          <w:color w:val="auto"/>
          <w:spacing w:val="0"/>
          <w:position w:val="0"/>
          <w:sz w:val="24"/>
          <w:szCs w:val="24"/>
        </w:rPr>
        <w:t xml:space="preserve">.1审查中，磋商供应商存在下列情况之一的，磋商无效： </w:t>
      </w:r>
    </w:p>
    <w:p w14:paraId="2BE285B0">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A、未按磋商文件的规定提交响应保证金的；</w:t>
      </w:r>
    </w:p>
    <w:p w14:paraId="6F5CF43F">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B、响应文件未按磋商文件要求签署、盖章的；</w:t>
      </w:r>
    </w:p>
    <w:p w14:paraId="1252626E">
      <w:pPr>
        <w:pStyle w:val="39"/>
        <w:snapToGrid w:val="0"/>
        <w:spacing w:line="460" w:lineRule="exact"/>
        <w:ind w:firstLine="435"/>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pacing w:val="0"/>
          <w:position w:val="0"/>
          <w:sz w:val="24"/>
          <w:szCs w:val="24"/>
        </w:rPr>
        <w:t>C、不具备磋商文件规定的资格要求</w:t>
      </w:r>
      <w:r>
        <w:rPr>
          <w:rFonts w:hint="eastAsia" w:ascii="华文中宋" w:hAnsi="华文中宋" w:eastAsia="华文中宋" w:cs="华文中宋"/>
          <w:color w:val="auto"/>
          <w:sz w:val="24"/>
          <w:szCs w:val="24"/>
        </w:rPr>
        <w:t>的；</w:t>
      </w:r>
    </w:p>
    <w:p w14:paraId="57908011">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D、报价超过磋商文件规定预算金额或者最高限价的；</w:t>
      </w:r>
    </w:p>
    <w:p w14:paraId="6958F03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E、响应文件含有采购人不能接受的附加条件的；</w:t>
      </w:r>
    </w:p>
    <w:p w14:paraId="735AF80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F、法律、法规和磋商文件规定的其他无效情形的。</w:t>
      </w:r>
    </w:p>
    <w:p w14:paraId="396B92D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4</w:t>
      </w:r>
      <w:r>
        <w:rPr>
          <w:rFonts w:hint="eastAsia" w:ascii="华文中宋" w:hAnsi="华文中宋" w:eastAsia="华文中宋" w:cs="华文中宋"/>
          <w:color w:val="auto"/>
          <w:sz w:val="24"/>
          <w:szCs w:val="24"/>
        </w:rPr>
        <w:t xml:space="preserve">.2在磋商过程中发现磋商有下列情形的，磋商小组应认定其磋商无效，并书面报告本级财政部门： </w:t>
      </w:r>
    </w:p>
    <w:p w14:paraId="7CB398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A、有恶意串通的；</w:t>
      </w:r>
    </w:p>
    <w:p w14:paraId="27D26D3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B、有妨碍其他磋商供应商的竞争行为的；</w:t>
      </w:r>
    </w:p>
    <w:p w14:paraId="6A217EB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C、有损害采购人或者其他磋商供应商的合法权益的。</w:t>
      </w:r>
    </w:p>
    <w:p w14:paraId="2AA74D74">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4</w:t>
      </w:r>
      <w:r>
        <w:rPr>
          <w:rFonts w:hint="eastAsia" w:ascii="华文中宋" w:hAnsi="华文中宋" w:eastAsia="华文中宋" w:cs="华文中宋"/>
          <w:color w:val="auto"/>
          <w:sz w:val="24"/>
          <w:szCs w:val="24"/>
        </w:rPr>
        <w:t>.3磋商供应商有下列情形之一的，视为串通行为，其磋商无效：</w:t>
      </w:r>
    </w:p>
    <w:p w14:paraId="27FBE27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A、不同磋商供应商的响应文件由同一单位或者个人编制，或上传电子响应文件的IP地址一致的。</w:t>
      </w:r>
    </w:p>
    <w:p w14:paraId="4E3876F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B、不同磋商供应商委托同一单位或者个人办理磋商事宜；</w:t>
      </w:r>
    </w:p>
    <w:p w14:paraId="3884EF1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C、不同磋商供应商的响应文件载明的项目管理成员或者联系人为同一人；</w:t>
      </w:r>
    </w:p>
    <w:p w14:paraId="063D558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D、不同磋商供应商的响应文件异常一致或者报价呈规律性差异；</w:t>
      </w:r>
    </w:p>
    <w:p w14:paraId="4128BC5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E、不同磋商供应商的响应文件相互混装；</w:t>
      </w:r>
    </w:p>
    <w:p w14:paraId="6407A51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F、不同磋商供应商的保证金从同一单位或者个人的账户转出。</w:t>
      </w:r>
    </w:p>
    <w:p w14:paraId="6445B1E2">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4</w:t>
      </w:r>
      <w:r>
        <w:rPr>
          <w:rFonts w:hint="eastAsia" w:ascii="华文中宋" w:hAnsi="华文中宋" w:eastAsia="华文中宋" w:cs="华文中宋"/>
          <w:color w:val="auto"/>
          <w:sz w:val="24"/>
          <w:szCs w:val="24"/>
        </w:rPr>
        <w:t xml:space="preserve">.4审查中，对明显的文字和计算错误按下述原则处理： </w:t>
      </w:r>
    </w:p>
    <w:p w14:paraId="17FD8229">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A、如果正本与副本不一致，以正本为准；</w:t>
      </w:r>
    </w:p>
    <w:p w14:paraId="25366B92">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B、报价一览表内容与响应文件中相应内容不一致的,以报价一览表为准；</w:t>
      </w:r>
    </w:p>
    <w:p w14:paraId="47134329">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C、大写金额和小写金额不一致的，以大写金额为准；</w:t>
      </w:r>
    </w:p>
    <w:p w14:paraId="1020BEB1">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D、单价金额小数点或百分比有明显错误的，以报价一览表的总价为准，并修改单价；</w:t>
      </w:r>
    </w:p>
    <w:p w14:paraId="6C01242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E、总价金额与按单价汇总金额不一致的，以单价金额计算结果为准； </w:t>
      </w:r>
    </w:p>
    <w:p w14:paraId="34D25A2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磋商小组将要求磋商供应商按上述原则以书面形式调整确认，磋商供应商确认后的报价对磋商供应商具有约束力，如果磋商供应商不予确认，其磋商无效。</w:t>
      </w:r>
    </w:p>
    <w:p w14:paraId="74DAD829">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22.4</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未通过资格性检查或未实质性响应磋商文件</w:t>
      </w:r>
      <w:r>
        <w:rPr>
          <w:rFonts w:hint="eastAsia" w:ascii="华文中宋" w:hAnsi="华文中宋" w:eastAsia="华文中宋" w:cs="华文中宋"/>
          <w:bCs/>
          <w:color w:val="auto"/>
          <w:sz w:val="24"/>
          <w:szCs w:val="24"/>
        </w:rPr>
        <w:t>规定要求的响应文件按无效处理，</w:t>
      </w:r>
      <w:r>
        <w:rPr>
          <w:rFonts w:hint="eastAsia" w:ascii="华文中宋" w:hAnsi="华文中宋" w:eastAsia="华文中宋" w:cs="华文中宋"/>
          <w:color w:val="auto"/>
          <w:sz w:val="24"/>
          <w:szCs w:val="24"/>
        </w:rPr>
        <w:t>磋商小组须及时告知有关磋商供应商。</w:t>
      </w:r>
    </w:p>
    <w:p w14:paraId="0C48204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22.4</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实质性响应的响应文件是指与磋商文件的条款、条件和规格相符，根据本磋商文件规定的审查内容，经磋商小组认定的没有重大偏离或保留的响应文件。</w:t>
      </w:r>
    </w:p>
    <w:p w14:paraId="6C37594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22.4</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 xml:space="preserve"> 重大偏离或保留系指磋商供应商提供的</w:t>
      </w:r>
      <w:r>
        <w:rPr>
          <w:rFonts w:hint="eastAsia" w:ascii="华文中宋" w:hAnsi="华文中宋" w:eastAsia="华文中宋" w:cs="华文中宋"/>
          <w:color w:val="auto"/>
          <w:sz w:val="24"/>
          <w:szCs w:val="24"/>
          <w:lang w:val="en-US" w:eastAsia="zh-CN"/>
        </w:rPr>
        <w:t>施工方案、工期</w:t>
      </w:r>
      <w:r>
        <w:rPr>
          <w:rFonts w:hint="eastAsia" w:ascii="华文中宋" w:hAnsi="华文中宋" w:eastAsia="华文中宋" w:cs="华文中宋"/>
          <w:color w:val="auto"/>
          <w:sz w:val="24"/>
          <w:szCs w:val="24"/>
        </w:rPr>
        <w:t>等明显不能满足磋商文件的要求，或者实质上与磋商文件不一致，而且限制了采购人的权利或磋商供应商的义务，纠正这些偏离或保留将对其他实质上响应要求的磋商供应商的竞争地位产生不公正的影响。</w:t>
      </w:r>
    </w:p>
    <w:p w14:paraId="7D1A7D8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23</w:t>
      </w:r>
      <w:r>
        <w:rPr>
          <w:rFonts w:hint="eastAsia" w:ascii="华文中宋" w:hAnsi="华文中宋" w:eastAsia="华文中宋" w:cs="华文中宋"/>
          <w:b/>
          <w:color w:val="auto"/>
          <w:sz w:val="24"/>
          <w:szCs w:val="24"/>
        </w:rPr>
        <w:t>．</w:t>
      </w:r>
      <w:r>
        <w:rPr>
          <w:rFonts w:hint="eastAsia" w:ascii="华文中宋" w:hAnsi="华文中宋" w:eastAsia="华文中宋" w:cs="华文中宋"/>
          <w:b/>
          <w:bCs/>
          <w:color w:val="auto"/>
          <w:sz w:val="24"/>
          <w:szCs w:val="24"/>
        </w:rPr>
        <w:t>磋商</w:t>
      </w:r>
    </w:p>
    <w:p w14:paraId="5362FBB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 磋商小组所有成员集中与单一磋商供应商分别进行磋商，并给予所有参加磋商的磋商供应商平等的磋商机会。</w:t>
      </w:r>
    </w:p>
    <w:p w14:paraId="640D3BD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.2 磋商的顺序，按照参加磋商的磋商供应商签到的顺序进行。</w:t>
      </w:r>
    </w:p>
    <w:p w14:paraId="19D5B78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.3 磋商内容包括</w:t>
      </w:r>
      <w:r>
        <w:rPr>
          <w:rFonts w:hint="eastAsia" w:ascii="华文中宋" w:hAnsi="华文中宋" w:eastAsia="华文中宋" w:cs="华文中宋"/>
          <w:color w:val="auto"/>
          <w:sz w:val="24"/>
          <w:szCs w:val="24"/>
          <w:lang w:val="en-US" w:eastAsia="zh-CN"/>
        </w:rPr>
        <w:t>技术标准和要求、工期、价格、施工方案</w:t>
      </w:r>
      <w:r>
        <w:rPr>
          <w:rFonts w:hint="eastAsia" w:ascii="华文中宋" w:hAnsi="华文中宋" w:eastAsia="华文中宋" w:cs="华文中宋"/>
          <w:color w:val="auto"/>
          <w:sz w:val="24"/>
          <w:szCs w:val="24"/>
        </w:rPr>
        <w:t>等</w:t>
      </w:r>
      <w:r>
        <w:rPr>
          <w:rFonts w:hint="eastAsia" w:ascii="华文中宋" w:hAnsi="华文中宋" w:eastAsia="华文中宋" w:cs="华文中宋"/>
          <w:color w:val="auto"/>
          <w:sz w:val="24"/>
          <w:szCs w:val="24"/>
          <w:lang w:val="en-US" w:eastAsia="zh-CN"/>
        </w:rPr>
        <w:t>采购需求</w:t>
      </w:r>
      <w:r>
        <w:rPr>
          <w:rFonts w:hint="eastAsia" w:ascii="华文中宋" w:hAnsi="华文中宋" w:eastAsia="华文中宋" w:cs="华文中宋"/>
          <w:color w:val="auto"/>
          <w:sz w:val="24"/>
          <w:szCs w:val="24"/>
        </w:rPr>
        <w:t>以及磋商小组认为有必要明确的其它问题。</w:t>
      </w:r>
    </w:p>
    <w:p w14:paraId="13A859EA">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磋商时，磋商小组根据情况，可以要求或同意磋商供应商就某些磋商事项作出明确的承诺，作为响应文件的组成部分。</w:t>
      </w:r>
    </w:p>
    <w:p w14:paraId="07F06D1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.4</w:t>
      </w:r>
      <w:r>
        <w:rPr>
          <w:rFonts w:hint="eastAsia" w:ascii="华文中宋" w:hAnsi="华文中宋" w:eastAsia="华文中宋" w:cs="华文中宋"/>
          <w:color w:val="auto"/>
          <w:sz w:val="24"/>
          <w:szCs w:val="24"/>
          <w:highlight w:val="none"/>
        </w:rPr>
        <w:t>磋商供应商须知前附表</w:t>
      </w:r>
      <w:r>
        <w:rPr>
          <w:rFonts w:hint="eastAsia" w:ascii="华文中宋" w:hAnsi="华文中宋" w:eastAsia="华文中宋" w:cs="华文中宋"/>
          <w:color w:val="auto"/>
          <w:sz w:val="24"/>
          <w:szCs w:val="24"/>
        </w:rPr>
        <w:t>明确本项目的</w:t>
      </w:r>
      <w:r>
        <w:rPr>
          <w:rFonts w:hint="eastAsia" w:ascii="华文中宋" w:hAnsi="华文中宋" w:eastAsia="华文中宋" w:cs="华文中宋"/>
          <w:color w:val="auto"/>
          <w:sz w:val="24"/>
          <w:szCs w:val="24"/>
          <w:lang w:val="en-US" w:eastAsia="zh-CN"/>
        </w:rPr>
        <w:t>技术标准及</w:t>
      </w:r>
      <w:r>
        <w:rPr>
          <w:rFonts w:hint="eastAsia" w:ascii="华文中宋" w:hAnsi="华文中宋" w:eastAsia="华文中宋" w:cs="华文中宋"/>
          <w:color w:val="auto"/>
          <w:sz w:val="24"/>
          <w:szCs w:val="24"/>
        </w:rPr>
        <w:t>要求和合同草案在磋商过程中不作任何实质性变动，磋商供应商的响应文件全部实质性响应了磋商文件的要求，在满足3家以上磋商供应商的竞争要求的情况下，进入最后报价。</w:t>
      </w:r>
    </w:p>
    <w:p w14:paraId="4E570B4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.5</w:t>
      </w:r>
      <w:r>
        <w:rPr>
          <w:rFonts w:hint="eastAsia" w:ascii="华文中宋" w:hAnsi="华文中宋" w:eastAsia="华文中宋" w:cs="华文中宋"/>
          <w:color w:val="auto"/>
          <w:sz w:val="24"/>
          <w:szCs w:val="24"/>
          <w:highlight w:val="none"/>
        </w:rPr>
        <w:t>磋商供应商须知前</w:t>
      </w:r>
      <w:r>
        <w:rPr>
          <w:rFonts w:hint="eastAsia" w:ascii="华文中宋" w:hAnsi="华文中宋" w:eastAsia="华文中宋" w:cs="华文中宋"/>
          <w:color w:val="auto"/>
          <w:sz w:val="24"/>
          <w:szCs w:val="24"/>
        </w:rPr>
        <w:t>明确了在磋商过程中可能进行实质性变动本项目的</w:t>
      </w:r>
      <w:r>
        <w:rPr>
          <w:rFonts w:hint="eastAsia" w:ascii="华文中宋" w:hAnsi="华文中宋" w:eastAsia="华文中宋" w:cs="华文中宋"/>
          <w:color w:val="auto"/>
          <w:sz w:val="24"/>
          <w:szCs w:val="24"/>
          <w:lang w:val="en-US" w:eastAsia="zh-CN"/>
        </w:rPr>
        <w:t>技术标准及</w:t>
      </w:r>
      <w:r>
        <w:rPr>
          <w:rFonts w:hint="eastAsia" w:ascii="华文中宋" w:hAnsi="华文中宋" w:eastAsia="华文中宋" w:cs="华文中宋"/>
          <w:color w:val="auto"/>
          <w:sz w:val="24"/>
          <w:szCs w:val="24"/>
        </w:rPr>
        <w:t>要求和合同草案的内容，但在磋商过程中，磋商小组根据磋商情况，不进行任何实质性变动，磋商供应商的响应文件全部实质性响应了磋商文件的要求，在满足3家以上磋商供应商的竞争要求的情况下，进入最后报价。</w:t>
      </w:r>
    </w:p>
    <w:p w14:paraId="313767F4">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.6</w:t>
      </w:r>
      <w:r>
        <w:rPr>
          <w:rFonts w:hint="eastAsia" w:ascii="华文中宋" w:hAnsi="华文中宋" w:eastAsia="华文中宋" w:cs="华文中宋"/>
          <w:color w:val="auto"/>
          <w:sz w:val="24"/>
          <w:szCs w:val="24"/>
          <w:highlight w:val="none"/>
        </w:rPr>
        <w:t>磋商供应商须知前附表</w:t>
      </w:r>
      <w:r>
        <w:rPr>
          <w:rFonts w:hint="eastAsia" w:ascii="华文中宋" w:hAnsi="华文中宋" w:eastAsia="华文中宋" w:cs="华文中宋"/>
          <w:color w:val="auto"/>
          <w:sz w:val="24"/>
          <w:szCs w:val="24"/>
        </w:rPr>
        <w:t>明确了在磋商过程中可能进行实质性变动本项目的</w:t>
      </w:r>
      <w:r>
        <w:rPr>
          <w:rFonts w:hint="eastAsia" w:ascii="华文中宋" w:hAnsi="华文中宋" w:eastAsia="华文中宋" w:cs="华文中宋"/>
          <w:color w:val="auto"/>
          <w:sz w:val="24"/>
          <w:szCs w:val="24"/>
          <w:lang w:val="en-US" w:eastAsia="zh-CN"/>
        </w:rPr>
        <w:t>技术标准及</w:t>
      </w:r>
      <w:r>
        <w:rPr>
          <w:rFonts w:hint="eastAsia" w:ascii="华文中宋" w:hAnsi="华文中宋" w:eastAsia="华文中宋" w:cs="华文中宋"/>
          <w:color w:val="auto"/>
          <w:sz w:val="24"/>
          <w:szCs w:val="24"/>
        </w:rPr>
        <w:t>要求和合同草案的内容，在磋商过程中，磋商小组根据磋商情况，按照明确的可能实质性变动的内容，经采购人代表确认后，进行实质性变动，代理机构将及时通知所有参加磋商的磋商供应商，使每个磋商供应商均同时获得磋商文件的变动情况，磋商供应商接到该书面通知要按照代理机构要求由磋商供应商代表签字确认。</w:t>
      </w:r>
    </w:p>
    <w:p w14:paraId="25AC63B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.7 对磋商文件作出的实质性变动的内容是磋商文件的有效组成部分，该书面通知由磋商小组成员共同签字。</w:t>
      </w:r>
    </w:p>
    <w:p w14:paraId="08A9B0E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8 发生实质性变动时，磋商供应商应当按照磋商文件的变动情况和磋商小组的要求重新提交响应文件。重新提交响应文件包括现场提交响应文件补充文件的形式和另行约定时间提交响应文件的形式。</w:t>
      </w:r>
    </w:p>
    <w:p w14:paraId="137E16A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.8.1 如发生的实质性变动内容较简单，参加磋商的供应商在磋商现场能够做出书面承诺，并且经磋商小组认可，可以以提交响应文件补充文件的形式提交响应文件。</w:t>
      </w:r>
    </w:p>
    <w:p w14:paraId="1FD5EB9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.8.2 如发生的实质性变动内容较复杂，参加磋商的供应商在磋商现场不能马上做出承诺，而必须给予一定的时间根据实质性变动的内容重新制作响应文件，则在磋商现场由磋商小组另行约定时间提交响应文件。</w:t>
      </w:r>
    </w:p>
    <w:p w14:paraId="08DBE76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.9 磋商供应商按照磋商文件变动情况和磋商小组要求重新提交的响应文件，除要对磋商文件变动的内容做出实质性响应外，还要做出新的一轮报价。</w:t>
      </w:r>
    </w:p>
    <w:p w14:paraId="02A9694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.10磋商小组应对磋商供应商重新提交的响应文件按照本文件第23.13条要求进行审查。</w:t>
      </w:r>
    </w:p>
    <w:p w14:paraId="76E2DD3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.11根据磋商文件（包括实质性变动的内容）和磋商供应商重新提交的响应文件，磋商小组所有成员集中与单一磋商供应商分别进行新一轮的磋商。</w:t>
      </w:r>
    </w:p>
    <w:p w14:paraId="63FE8A6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.12 经磋商、审查，磋商供应商重新提交的响应文件全部实质性响应了磋商文件的要求，在满足3家以上磋商供应商的竞争要求的情况下，进入最后报价。</w:t>
      </w:r>
    </w:p>
    <w:p w14:paraId="39933292">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.13 磋商过程中，磋商供应商的所有包括书面承诺、书面补充文件以及重新提交的响应文件，必须由法定代表人（负责人）签字或其授权代表签字或者加盖公章。由授权代表签字的，应当附法定代表人授权书。磋商供应商为自然人的，应当由本人签字并附身份证明。</w:t>
      </w:r>
    </w:p>
    <w:p w14:paraId="59A9DBF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.14 已提交响应文件的供应商，在提交最后报价之前，可以根据磋商情况退出磋商，退出磋商要求书面提出，并由法定代表人（负责人）签字或其授权代表签字或者加盖公章。</w:t>
      </w:r>
    </w:p>
    <w:p w14:paraId="3F6D85F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i/>
          <w:color w:val="auto"/>
          <w:sz w:val="24"/>
          <w:szCs w:val="24"/>
        </w:rPr>
      </w:pPr>
      <w:r>
        <w:rPr>
          <w:rFonts w:hint="eastAsia" w:ascii="华文中宋" w:hAnsi="华文中宋" w:eastAsia="华文中宋" w:cs="华文中宋"/>
          <w:b/>
          <w:color w:val="auto"/>
          <w:sz w:val="24"/>
          <w:szCs w:val="24"/>
          <w:lang w:val="en-US" w:eastAsia="zh-CN"/>
        </w:rPr>
        <w:t>24</w:t>
      </w:r>
      <w:r>
        <w:rPr>
          <w:rFonts w:hint="eastAsia" w:ascii="华文中宋" w:hAnsi="华文中宋" w:eastAsia="华文中宋" w:cs="华文中宋"/>
          <w:b/>
          <w:color w:val="auto"/>
          <w:sz w:val="24"/>
          <w:szCs w:val="24"/>
        </w:rPr>
        <w:t>. 最后报价</w:t>
      </w:r>
    </w:p>
    <w:p w14:paraId="6AAC98C6">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lang w:val="en-US" w:eastAsia="zh-CN"/>
        </w:rPr>
        <w:t>24</w:t>
      </w:r>
      <w:r>
        <w:rPr>
          <w:rFonts w:hint="eastAsia" w:ascii="华文中宋" w:hAnsi="华文中宋" w:eastAsia="华文中宋" w:cs="华文中宋"/>
          <w:bCs/>
          <w:color w:val="auto"/>
          <w:sz w:val="24"/>
          <w:szCs w:val="24"/>
        </w:rPr>
        <w:t>.1磋商结束后，磋商小组将在“政采云平台”中下达最后报价通知及最后报价截止时间，磋商供应商在政采云平台进行最后报价，点击【提交】完成最后报价。最后报价是响应文件有效的组成部分。</w:t>
      </w:r>
    </w:p>
    <w:p w14:paraId="4D87F3A6">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2</w:t>
      </w:r>
      <w:r>
        <w:rPr>
          <w:rFonts w:hint="eastAsia" w:ascii="华文中宋" w:hAnsi="华文中宋" w:eastAsia="华文中宋" w:cs="华文中宋"/>
          <w:bCs/>
          <w:color w:val="auto"/>
          <w:sz w:val="24"/>
          <w:szCs w:val="24"/>
          <w:lang w:val="en-US" w:eastAsia="zh-CN"/>
        </w:rPr>
        <w:t>4</w:t>
      </w:r>
      <w:r>
        <w:rPr>
          <w:rFonts w:hint="eastAsia" w:ascii="华文中宋" w:hAnsi="华文中宋" w:eastAsia="华文中宋" w:cs="华文中宋"/>
          <w:bCs/>
          <w:color w:val="auto"/>
          <w:sz w:val="24"/>
          <w:szCs w:val="24"/>
        </w:rPr>
        <w:t>.2磋商供应商应在自行准备的电脑终端设备上及时关注磋商小组下达的最后报价通知，不论何种原因，磋商供应商如未在规定时间内完成最后报价，视为主动退出磋商。</w:t>
      </w:r>
    </w:p>
    <w:p w14:paraId="77B62A0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2</w:t>
      </w:r>
      <w:r>
        <w:rPr>
          <w:rFonts w:hint="eastAsia" w:ascii="华文中宋" w:hAnsi="华文中宋" w:eastAsia="华文中宋" w:cs="华文中宋"/>
          <w:bCs/>
          <w:color w:val="auto"/>
          <w:sz w:val="24"/>
          <w:szCs w:val="24"/>
          <w:lang w:val="en-US" w:eastAsia="zh-CN"/>
        </w:rPr>
        <w:t>4</w:t>
      </w:r>
      <w:r>
        <w:rPr>
          <w:rFonts w:hint="eastAsia" w:ascii="华文中宋" w:hAnsi="华文中宋" w:eastAsia="华文中宋" w:cs="华文中宋"/>
          <w:bCs/>
          <w:color w:val="auto"/>
          <w:sz w:val="24"/>
          <w:szCs w:val="24"/>
        </w:rPr>
        <w:t>.3供应商的最后报价需填写具体价格。</w:t>
      </w:r>
    </w:p>
    <w:p w14:paraId="21229584">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2</w:t>
      </w:r>
      <w:r>
        <w:rPr>
          <w:rFonts w:hint="eastAsia" w:ascii="华文中宋" w:hAnsi="华文中宋" w:eastAsia="华文中宋" w:cs="华文中宋"/>
          <w:bCs/>
          <w:color w:val="auto"/>
          <w:sz w:val="24"/>
          <w:szCs w:val="24"/>
          <w:lang w:val="en-US" w:eastAsia="zh-CN"/>
        </w:rPr>
        <w:t>4</w:t>
      </w:r>
      <w:r>
        <w:rPr>
          <w:rFonts w:hint="eastAsia" w:ascii="华文中宋" w:hAnsi="华文中宋" w:eastAsia="华文中宋" w:cs="华文中宋"/>
          <w:bCs/>
          <w:color w:val="auto"/>
          <w:sz w:val="24"/>
          <w:szCs w:val="24"/>
        </w:rPr>
        <w:t>.4当所有供应商完成最后报价后，“政采云评标系统”将所有磋商供应商的最后报价一次性统一显示给磋商小组。</w:t>
      </w:r>
    </w:p>
    <w:p w14:paraId="5A60CFD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5</w:t>
      </w:r>
      <w:r>
        <w:rPr>
          <w:rFonts w:hint="eastAsia" w:ascii="华文中宋" w:hAnsi="华文中宋" w:eastAsia="华文中宋" w:cs="华文中宋"/>
          <w:b/>
          <w:color w:val="auto"/>
          <w:sz w:val="24"/>
          <w:szCs w:val="24"/>
        </w:rPr>
        <w:t>.综合评审</w:t>
      </w:r>
    </w:p>
    <w:p w14:paraId="0792ADB3">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.1 经磋商确定最终采购需求和提交最后报价的供应商后，由磋商小组采用综合评分法对提交最后报价的磋商供应商的响应文件和最后报价进行综合评分。</w:t>
      </w:r>
    </w:p>
    <w:p w14:paraId="7E374DC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.2 采用综合评分法评审，应按照磋商文件</w:t>
      </w:r>
      <w:r>
        <w:rPr>
          <w:rFonts w:hint="eastAsia" w:ascii="华文中宋" w:hAnsi="华文中宋" w:eastAsia="华文中宋" w:cs="华文中宋"/>
          <w:bCs/>
          <w:color w:val="auto"/>
          <w:sz w:val="24"/>
          <w:szCs w:val="24"/>
        </w:rPr>
        <w:t>第六部分评定和成交标准</w:t>
      </w:r>
      <w:r>
        <w:rPr>
          <w:rFonts w:hint="eastAsia" w:ascii="华文中宋" w:hAnsi="华文中宋" w:eastAsia="华文中宋" w:cs="华文中宋"/>
          <w:color w:val="auto"/>
          <w:sz w:val="24"/>
          <w:szCs w:val="24"/>
        </w:rPr>
        <w:t>中规定的综合评分法评分细则进行。</w:t>
      </w:r>
    </w:p>
    <w:p w14:paraId="6F9D9C8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6</w:t>
      </w:r>
      <w:r>
        <w:rPr>
          <w:rFonts w:hint="eastAsia" w:ascii="华文中宋" w:hAnsi="华文中宋" w:eastAsia="华文中宋" w:cs="华文中宋"/>
          <w:b/>
          <w:color w:val="auto"/>
          <w:sz w:val="24"/>
          <w:szCs w:val="24"/>
        </w:rPr>
        <w:t>. 推荐成交候选供应商</w:t>
      </w:r>
    </w:p>
    <w:p w14:paraId="4F2EE0E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.1 磋商小组根据</w:t>
      </w:r>
      <w:r>
        <w:rPr>
          <w:rFonts w:hint="eastAsia" w:ascii="华文中宋" w:hAnsi="华文中宋" w:eastAsia="华文中宋" w:cs="华文中宋"/>
          <w:bCs/>
          <w:color w:val="auto"/>
          <w:sz w:val="24"/>
          <w:szCs w:val="24"/>
        </w:rPr>
        <w:t>综合评分情况，</w:t>
      </w:r>
      <w:r>
        <w:rPr>
          <w:rFonts w:hint="eastAsia" w:ascii="华文中宋" w:hAnsi="华文中宋" w:eastAsia="华文中宋" w:cs="华文中宋"/>
          <w:color w:val="auto"/>
          <w:sz w:val="24"/>
          <w:szCs w:val="24"/>
        </w:rPr>
        <w:t>按评审得分由高到低顺序推荐成交候选供应商，得分相同的，按最后报价由低到高顺序排列。得分和最后报价均相同的，按技术指标优劣顺序排列。</w:t>
      </w:r>
    </w:p>
    <w:p w14:paraId="33EA2D66">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.2 磋商小组组长根据磋商过程中形成的原始记录和评审结果编写评审报告，由磋商小组全体人员签字认可。</w:t>
      </w:r>
    </w:p>
    <w:p w14:paraId="36A6BBF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7</w:t>
      </w:r>
      <w:r>
        <w:rPr>
          <w:rFonts w:hint="eastAsia" w:ascii="华文中宋" w:hAnsi="华文中宋" w:eastAsia="华文中宋" w:cs="华文中宋"/>
          <w:b/>
          <w:color w:val="auto"/>
          <w:sz w:val="24"/>
          <w:szCs w:val="24"/>
        </w:rPr>
        <w:t xml:space="preserve">. 评审复核    </w:t>
      </w:r>
    </w:p>
    <w:p w14:paraId="64DAB8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.1评审结果汇总完成后，除下列情形外，任何人不得修改评审结果：</w:t>
      </w:r>
    </w:p>
    <w:p w14:paraId="69A63D2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A、分值汇总计算错误的；</w:t>
      </w:r>
    </w:p>
    <w:p w14:paraId="7B7A68B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B、分项评分超出评分标准范围的；</w:t>
      </w:r>
    </w:p>
    <w:p w14:paraId="16623CB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C、磋商小组对客观评审因素评分不一致的；</w:t>
      </w:r>
    </w:p>
    <w:p w14:paraId="1994544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D、经磋商小组认定评分畸高、畸低的；</w:t>
      </w:r>
    </w:p>
    <w:p w14:paraId="69C62E1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44A5441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8</w:t>
      </w:r>
      <w:r>
        <w:rPr>
          <w:rFonts w:hint="eastAsia" w:ascii="华文中宋" w:hAnsi="华文中宋" w:eastAsia="华文中宋" w:cs="华文中宋"/>
          <w:b/>
          <w:color w:val="auto"/>
          <w:sz w:val="24"/>
          <w:szCs w:val="24"/>
        </w:rPr>
        <w:t>. 磋商保密</w:t>
      </w:r>
    </w:p>
    <w:p w14:paraId="69D89C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8</w:t>
      </w:r>
      <w:r>
        <w:rPr>
          <w:rFonts w:hint="eastAsia" w:ascii="华文中宋" w:hAnsi="华文中宋" w:eastAsia="华文中宋" w:cs="华文中宋"/>
          <w:color w:val="auto"/>
          <w:sz w:val="24"/>
          <w:szCs w:val="24"/>
        </w:rPr>
        <w:t>.1采购人、采购代理机构要采取必要措施，保证磋商在严格保密的情况下进行。除采购人代表、磋商现场组织人员外，采购人的其他工作人员以及与磋商工作无关的人员不得进入磋商现场。</w:t>
      </w:r>
    </w:p>
    <w:p w14:paraId="6C2769B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8</w:t>
      </w:r>
      <w:r>
        <w:rPr>
          <w:rFonts w:hint="eastAsia" w:ascii="华文中宋" w:hAnsi="华文中宋" w:eastAsia="华文中宋" w:cs="华文中宋"/>
          <w:color w:val="auto"/>
          <w:sz w:val="24"/>
          <w:szCs w:val="24"/>
        </w:rPr>
        <w:t>.2有关人员对磋商情况以及在磋商过程中获悉的国家秘密、商业秘密负有保密责任；任何人不得透露与磋商有关的其他磋商供应商的技术资料、价格和其他信息。</w:t>
      </w:r>
    </w:p>
    <w:p w14:paraId="294E2E0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8</w:t>
      </w:r>
      <w:r>
        <w:rPr>
          <w:rFonts w:hint="eastAsia" w:ascii="华文中宋" w:hAnsi="华文中宋" w:eastAsia="华文中宋" w:cs="华文中宋"/>
          <w:color w:val="auto"/>
          <w:sz w:val="24"/>
          <w:szCs w:val="24"/>
        </w:rPr>
        <w:t>.3 磋商结束后，参与评审磋商的所有人员不得带走磋商现场的任何资料。</w:t>
      </w:r>
    </w:p>
    <w:p w14:paraId="5E946BC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9</w:t>
      </w:r>
      <w:r>
        <w:rPr>
          <w:rFonts w:hint="eastAsia" w:ascii="华文中宋" w:hAnsi="华文中宋" w:eastAsia="华文中宋" w:cs="华文中宋"/>
          <w:b/>
          <w:color w:val="auto"/>
          <w:sz w:val="24"/>
          <w:szCs w:val="24"/>
        </w:rPr>
        <w:t>. 关于磋商供应商瑕疵滞后发现的处理规则</w:t>
      </w:r>
    </w:p>
    <w:p w14:paraId="39D8D5F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14:paraId="438C14B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b/>
          <w:bCs/>
          <w:color w:val="auto"/>
          <w:sz w:val="24"/>
          <w:szCs w:val="24"/>
          <w:lang w:val="en-US" w:eastAsia="zh-CN"/>
        </w:rPr>
        <w:t>30</w:t>
      </w:r>
      <w:r>
        <w:rPr>
          <w:rFonts w:hint="eastAsia" w:ascii="华文中宋" w:hAnsi="华文中宋" w:eastAsia="华文中宋" w:cs="华文中宋"/>
          <w:b/>
          <w:bCs/>
          <w:color w:val="auto"/>
          <w:sz w:val="24"/>
          <w:szCs w:val="24"/>
        </w:rPr>
        <w:t>. 采购项目终止</w:t>
      </w:r>
    </w:p>
    <w:p w14:paraId="261FE22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30</w:t>
      </w:r>
      <w:r>
        <w:rPr>
          <w:rFonts w:hint="eastAsia" w:ascii="华文中宋" w:hAnsi="华文中宋" w:eastAsia="华文中宋" w:cs="华文中宋"/>
          <w:color w:val="auto"/>
          <w:sz w:val="24"/>
          <w:szCs w:val="24"/>
        </w:rPr>
        <w:t>.1 出现下列情形之一的，终止本次磋商活动：</w:t>
      </w:r>
    </w:p>
    <w:p w14:paraId="448F908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A、符合专业条件的磋商供应商或者对磋商文件作实质响应的供应商数量不足3家的；</w:t>
      </w:r>
    </w:p>
    <w:p w14:paraId="5D95D08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B、磋商供应商的报价均超过采购预算或最高限价的；</w:t>
      </w:r>
    </w:p>
    <w:p w14:paraId="4EDA514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C、出现影响采购公正的违法、违规行为的；</w:t>
      </w:r>
    </w:p>
    <w:p w14:paraId="7F1F7AA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D、因重大变故，采购任务取消的。</w:t>
      </w:r>
    </w:p>
    <w:p w14:paraId="3EA73D5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30</w:t>
      </w:r>
      <w:r>
        <w:rPr>
          <w:rFonts w:hint="eastAsia" w:ascii="华文中宋" w:hAnsi="华文中宋" w:eastAsia="华文中宋" w:cs="华文中宋"/>
          <w:color w:val="auto"/>
          <w:sz w:val="24"/>
          <w:szCs w:val="24"/>
        </w:rPr>
        <w:t>.2 项目终止磋商后，磋商小组应做出书面报告，采购代理机构将在财政部门指定的媒体上发布项目终止公告。</w:t>
      </w:r>
    </w:p>
    <w:p w14:paraId="3DB6BF8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30</w:t>
      </w:r>
      <w:r>
        <w:rPr>
          <w:rFonts w:hint="eastAsia" w:ascii="华文中宋" w:hAnsi="华文中宋" w:eastAsia="华文中宋" w:cs="华文中宋"/>
          <w:color w:val="auto"/>
          <w:sz w:val="24"/>
          <w:szCs w:val="24"/>
        </w:rPr>
        <w:t>.3 如本项目属于市场竞争不充分的科研项目，以及需要扶持的科技成果转化项目，符合竞争要求的提交最后报价的磋商供应商可以是2家，而不被终止。</w:t>
      </w:r>
    </w:p>
    <w:p w14:paraId="6BCAC47F">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34" w:name="_Toc17292"/>
      <w:bookmarkStart w:id="35" w:name="_Toc17210"/>
      <w:r>
        <w:rPr>
          <w:rFonts w:hint="eastAsia" w:ascii="华文中宋" w:hAnsi="华文中宋" w:eastAsia="华文中宋" w:cs="华文中宋"/>
          <w:color w:val="auto"/>
          <w:sz w:val="24"/>
          <w:szCs w:val="24"/>
        </w:rPr>
        <w:t>六、签订合同</w:t>
      </w:r>
      <w:bookmarkEnd w:id="34"/>
      <w:bookmarkEnd w:id="35"/>
    </w:p>
    <w:p w14:paraId="52ACFEE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31</w:t>
      </w:r>
      <w:r>
        <w:rPr>
          <w:rFonts w:hint="eastAsia" w:ascii="华文中宋" w:hAnsi="华文中宋" w:eastAsia="华文中宋" w:cs="华文中宋"/>
          <w:b/>
          <w:bCs/>
          <w:color w:val="auto"/>
          <w:sz w:val="24"/>
          <w:szCs w:val="24"/>
        </w:rPr>
        <w:t>．成交通知</w:t>
      </w:r>
    </w:p>
    <w:p w14:paraId="61BE663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31</w:t>
      </w:r>
      <w:r>
        <w:rPr>
          <w:rFonts w:hint="eastAsia" w:ascii="华文中宋" w:hAnsi="华文中宋" w:eastAsia="华文中宋" w:cs="华文中宋"/>
          <w:color w:val="auto"/>
          <w:sz w:val="24"/>
          <w:szCs w:val="24"/>
        </w:rPr>
        <w:t>.1 成交供应商确定后，代理机构将在刊登本次磋商公告的媒体上发布成交公告，并以书面形式向成交磋商供应商发出成交通知书，但该成交结果的有效性不依赖于未成交的磋商供应商是否知道成交结果。成交通知书对采购人和成交人具有同等法律效力。成交通知书发出以后，采购人改变成交结果或者成交供应商放弃成交，应当承担相应的法律责任。</w:t>
      </w:r>
    </w:p>
    <w:p w14:paraId="27646FD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31</w:t>
      </w:r>
      <w:r>
        <w:rPr>
          <w:rFonts w:hint="eastAsia" w:ascii="华文中宋" w:hAnsi="华文中宋" w:eastAsia="华文中宋" w:cs="华文中宋"/>
          <w:color w:val="auto"/>
          <w:sz w:val="24"/>
          <w:szCs w:val="24"/>
        </w:rPr>
        <w:t>.2 代理机构对未成交的磋商供应商不作未成交原因的解释。</w:t>
      </w:r>
    </w:p>
    <w:p w14:paraId="50EF1D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32.</w:t>
      </w:r>
      <w:r>
        <w:rPr>
          <w:rFonts w:hint="eastAsia" w:ascii="华文中宋" w:hAnsi="华文中宋" w:eastAsia="华文中宋" w:cs="华文中宋"/>
          <w:color w:val="auto"/>
          <w:sz w:val="24"/>
          <w:szCs w:val="24"/>
        </w:rPr>
        <w:t>3 成交通知书是合同的组成部分。</w:t>
      </w:r>
    </w:p>
    <w:p w14:paraId="04E34F2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33</w:t>
      </w:r>
      <w:r>
        <w:rPr>
          <w:rFonts w:hint="eastAsia" w:ascii="华文中宋" w:hAnsi="华文中宋" w:eastAsia="华文中宋" w:cs="华文中宋"/>
          <w:b/>
          <w:bCs/>
          <w:color w:val="auto"/>
          <w:sz w:val="24"/>
          <w:szCs w:val="24"/>
        </w:rPr>
        <w:t>．签订合同</w:t>
      </w:r>
    </w:p>
    <w:p w14:paraId="7CB6289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33</w:t>
      </w:r>
      <w:r>
        <w:rPr>
          <w:rFonts w:hint="eastAsia" w:ascii="华文中宋" w:hAnsi="华文中宋" w:eastAsia="华文中宋" w:cs="华文中宋"/>
          <w:color w:val="auto"/>
          <w:sz w:val="24"/>
          <w:szCs w:val="24"/>
        </w:rPr>
        <w:t>.1 成交供应商应在接到成交通知书30日内与采购人签订政府采购合同。</w:t>
      </w:r>
    </w:p>
    <w:p w14:paraId="67154D0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33</w:t>
      </w:r>
      <w:r>
        <w:rPr>
          <w:rFonts w:hint="eastAsia" w:ascii="华文中宋" w:hAnsi="华文中宋" w:eastAsia="华文中宋" w:cs="华文中宋"/>
          <w:color w:val="auto"/>
          <w:sz w:val="24"/>
          <w:szCs w:val="24"/>
        </w:rPr>
        <w:t>.2 成交供应商应按照磋商文件、响应文件及磋商过程中的有关澄清、说明或者补正文件的内容与采购人签订合同。成交供应商不得再与采购人签订背离合同实质性内容的其它协议或声明。</w:t>
      </w:r>
    </w:p>
    <w:p w14:paraId="3FA7CB5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33</w:t>
      </w:r>
      <w:r>
        <w:rPr>
          <w:rFonts w:hint="eastAsia" w:ascii="华文中宋" w:hAnsi="华文中宋" w:eastAsia="华文中宋" w:cs="华文中宋"/>
          <w:color w:val="auto"/>
          <w:sz w:val="24"/>
          <w:szCs w:val="24"/>
        </w:rPr>
        <w:t>.3本文件第四部分商务、技术中要求成交供应商提交履约保证金的，成交供应商须按照规定向采购人提交履约保证金。</w:t>
      </w:r>
    </w:p>
    <w:p w14:paraId="14311CE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pacing w:val="10"/>
          <w:sz w:val="24"/>
          <w:szCs w:val="24"/>
        </w:rPr>
      </w:pPr>
      <w:bookmarkStart w:id="36" w:name="_Toc6425"/>
      <w:bookmarkStart w:id="37" w:name="_Toc17471"/>
      <w:bookmarkStart w:id="38" w:name="_Toc25182"/>
      <w:bookmarkStart w:id="39" w:name="_Toc20731"/>
      <w:bookmarkStart w:id="40" w:name="_Toc32421"/>
      <w:r>
        <w:rPr>
          <w:rStyle w:val="41"/>
          <w:rFonts w:hint="eastAsia" w:ascii="华文中宋" w:hAnsi="华文中宋" w:eastAsia="华文中宋" w:cs="华文中宋"/>
          <w:color w:val="auto"/>
          <w:sz w:val="24"/>
          <w:szCs w:val="24"/>
        </w:rPr>
        <w:t>七、服务费</w:t>
      </w:r>
      <w:bookmarkEnd w:id="36"/>
      <w:bookmarkEnd w:id="37"/>
      <w:bookmarkEnd w:id="38"/>
      <w:bookmarkEnd w:id="39"/>
      <w:bookmarkEnd w:id="40"/>
      <w:r>
        <w:rPr>
          <w:rFonts w:hint="eastAsia" w:ascii="华文中宋" w:hAnsi="华文中宋" w:eastAsia="华文中宋" w:cs="华文中宋"/>
          <w:b/>
          <w:bCs/>
          <w:color w:val="auto"/>
          <w:spacing w:val="10"/>
          <w:sz w:val="24"/>
          <w:szCs w:val="24"/>
        </w:rPr>
        <w:t>　　</w:t>
      </w:r>
    </w:p>
    <w:p w14:paraId="5AA788D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34.</w:t>
      </w:r>
      <w:r>
        <w:rPr>
          <w:rFonts w:hint="eastAsia" w:ascii="华文中宋" w:hAnsi="华文中宋" w:eastAsia="华文中宋" w:cs="华文中宋"/>
          <w:b/>
          <w:color w:val="auto"/>
          <w:sz w:val="24"/>
          <w:szCs w:val="24"/>
        </w:rPr>
        <w:t xml:space="preserve"> 服务费</w:t>
      </w:r>
    </w:p>
    <w:p w14:paraId="639930E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成交人在接受“成交通知书”时应向</w:t>
      </w:r>
      <w:r>
        <w:rPr>
          <w:rFonts w:hint="eastAsia" w:ascii="华文中宋" w:hAnsi="华文中宋" w:eastAsia="华文中宋" w:cs="华文中宋"/>
          <w:color w:val="auto"/>
          <w:sz w:val="24"/>
          <w:szCs w:val="24"/>
          <w:lang w:val="en-US" w:eastAsia="zh-CN"/>
        </w:rPr>
        <w:t>采购</w:t>
      </w:r>
      <w:r>
        <w:rPr>
          <w:rFonts w:hint="eastAsia" w:ascii="华文中宋" w:hAnsi="华文中宋" w:eastAsia="华文中宋" w:cs="华文中宋"/>
          <w:color w:val="auto"/>
          <w:sz w:val="24"/>
          <w:szCs w:val="24"/>
        </w:rPr>
        <w:t>代理机构缴纳成交服务费。服务费金额</w:t>
      </w:r>
      <w:r>
        <w:rPr>
          <w:rFonts w:hint="eastAsia" w:ascii="华文中宋" w:hAnsi="华文中宋" w:eastAsia="华文中宋" w:cs="华文中宋"/>
          <w:color w:val="auto"/>
          <w:sz w:val="24"/>
          <w:szCs w:val="24"/>
          <w:lang w:val="en-US" w:eastAsia="zh-CN"/>
        </w:rPr>
        <w:t>参照</w:t>
      </w:r>
      <w:r>
        <w:rPr>
          <w:rFonts w:hint="eastAsia" w:ascii="华文中宋" w:hAnsi="华文中宋" w:eastAsia="华文中宋" w:cs="华文中宋"/>
          <w:color w:val="auto"/>
          <w:sz w:val="24"/>
          <w:szCs w:val="24"/>
        </w:rPr>
        <w:t>国家发改委“计价格（2011）534号”文件规定收取。具体标准如下：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768"/>
        <w:gridCol w:w="1773"/>
        <w:gridCol w:w="1770"/>
      </w:tblGrid>
      <w:tr w14:paraId="5005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59CE6ABC">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成交金额（万元）</w:t>
            </w:r>
          </w:p>
        </w:tc>
        <w:tc>
          <w:tcPr>
            <w:tcW w:w="1768" w:type="dxa"/>
            <w:noWrap w:val="0"/>
            <w:vAlign w:val="center"/>
          </w:tcPr>
          <w:p w14:paraId="7B13C849">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货物招标</w:t>
            </w:r>
          </w:p>
        </w:tc>
        <w:tc>
          <w:tcPr>
            <w:tcW w:w="1773" w:type="dxa"/>
            <w:noWrap w:val="0"/>
            <w:vAlign w:val="center"/>
          </w:tcPr>
          <w:p w14:paraId="7D226B7A">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服务招标</w:t>
            </w:r>
          </w:p>
        </w:tc>
        <w:tc>
          <w:tcPr>
            <w:tcW w:w="1770" w:type="dxa"/>
            <w:noWrap w:val="0"/>
            <w:vAlign w:val="center"/>
          </w:tcPr>
          <w:p w14:paraId="7B0972E7">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工程招标</w:t>
            </w:r>
          </w:p>
        </w:tc>
      </w:tr>
      <w:tr w14:paraId="23A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66790D4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100以下</w:t>
            </w:r>
          </w:p>
        </w:tc>
        <w:tc>
          <w:tcPr>
            <w:tcW w:w="1768" w:type="dxa"/>
            <w:noWrap w:val="0"/>
            <w:vAlign w:val="center"/>
          </w:tcPr>
          <w:p w14:paraId="6C63DECF">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w:t>
            </w:r>
          </w:p>
        </w:tc>
        <w:tc>
          <w:tcPr>
            <w:tcW w:w="1773" w:type="dxa"/>
            <w:noWrap w:val="0"/>
            <w:vAlign w:val="center"/>
          </w:tcPr>
          <w:p w14:paraId="402E605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w:t>
            </w:r>
          </w:p>
        </w:tc>
        <w:tc>
          <w:tcPr>
            <w:tcW w:w="1770" w:type="dxa"/>
            <w:noWrap w:val="0"/>
            <w:vAlign w:val="center"/>
          </w:tcPr>
          <w:p w14:paraId="08BEE17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w:t>
            </w:r>
          </w:p>
        </w:tc>
      </w:tr>
      <w:tr w14:paraId="0CB4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3DA0106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100-500</w:t>
            </w:r>
          </w:p>
        </w:tc>
        <w:tc>
          <w:tcPr>
            <w:tcW w:w="1768" w:type="dxa"/>
            <w:noWrap w:val="0"/>
            <w:vAlign w:val="center"/>
          </w:tcPr>
          <w:p w14:paraId="4968260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w:t>
            </w:r>
          </w:p>
        </w:tc>
        <w:tc>
          <w:tcPr>
            <w:tcW w:w="1773" w:type="dxa"/>
            <w:noWrap w:val="0"/>
            <w:vAlign w:val="center"/>
          </w:tcPr>
          <w:p w14:paraId="7293AC9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0.8%</w:t>
            </w:r>
          </w:p>
        </w:tc>
        <w:tc>
          <w:tcPr>
            <w:tcW w:w="1770" w:type="dxa"/>
            <w:noWrap w:val="0"/>
            <w:vAlign w:val="center"/>
          </w:tcPr>
          <w:p w14:paraId="430683A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0.7%</w:t>
            </w:r>
          </w:p>
        </w:tc>
      </w:tr>
    </w:tbl>
    <w:p w14:paraId="27E78CD2">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41" w:name="_Toc5526"/>
      <w:bookmarkStart w:id="42" w:name="_Toc28652"/>
      <w:r>
        <w:rPr>
          <w:rFonts w:hint="eastAsia" w:ascii="华文中宋" w:hAnsi="华文中宋" w:eastAsia="华文中宋" w:cs="华文中宋"/>
          <w:color w:val="auto"/>
          <w:sz w:val="24"/>
          <w:szCs w:val="24"/>
        </w:rPr>
        <w:t>八、保密和披露</w:t>
      </w:r>
      <w:bookmarkEnd w:id="41"/>
      <w:bookmarkEnd w:id="42"/>
    </w:p>
    <w:p w14:paraId="792A2B07">
      <w:pPr>
        <w:pStyle w:val="39"/>
        <w:keepNext w:val="0"/>
        <w:keepLines w:val="0"/>
        <w:pageBreakBefore w:val="0"/>
        <w:widowControl w:val="0"/>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35</w:t>
      </w:r>
      <w:r>
        <w:rPr>
          <w:rFonts w:hint="eastAsia" w:ascii="华文中宋" w:hAnsi="华文中宋" w:eastAsia="华文中宋" w:cs="华文中宋"/>
          <w:b/>
          <w:color w:val="auto"/>
          <w:sz w:val="24"/>
          <w:szCs w:val="24"/>
        </w:rPr>
        <w:t>. 保密</w:t>
      </w:r>
    </w:p>
    <w:p w14:paraId="7086370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磋商供应商自领取磋商文件之日起，须承诺承担本采购项目下的保密义务，不得将因本次磋商获得的信息向第三人外传。</w:t>
      </w:r>
    </w:p>
    <w:p w14:paraId="12808C6D">
      <w:pPr>
        <w:pStyle w:val="39"/>
        <w:keepNext w:val="0"/>
        <w:keepLines w:val="0"/>
        <w:pageBreakBefore w:val="0"/>
        <w:widowControl w:val="0"/>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36</w:t>
      </w:r>
      <w:r>
        <w:rPr>
          <w:rFonts w:hint="eastAsia" w:ascii="华文中宋" w:hAnsi="华文中宋" w:eastAsia="华文中宋" w:cs="华文中宋"/>
          <w:b/>
          <w:color w:val="auto"/>
          <w:sz w:val="24"/>
          <w:szCs w:val="24"/>
        </w:rPr>
        <w:t>. 披露</w:t>
      </w:r>
    </w:p>
    <w:p w14:paraId="1F2ED97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.1 采购代理机构有权将磋商供应商提供的所有资料向有关政府部门或评审文件的有关人员披露。</w:t>
      </w:r>
    </w:p>
    <w:p w14:paraId="6DC3970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华文中宋" w:hAnsi="华文中宋" w:eastAsia="华文中宋" w:cs="华文中宋"/>
          <w:b/>
          <w:color w:val="auto"/>
          <w:sz w:val="24"/>
          <w:szCs w:val="24"/>
        </w:rPr>
        <w:t>必须</w:t>
      </w:r>
      <w:r>
        <w:rPr>
          <w:rFonts w:hint="eastAsia" w:ascii="华文中宋" w:hAnsi="华文中宋" w:eastAsia="华文中宋" w:cs="华文中宋"/>
          <w:color w:val="auto"/>
          <w:sz w:val="24"/>
          <w:szCs w:val="24"/>
        </w:rPr>
        <w:t>在合理的必要范围内。对任何已经公布过的内容或与之内容相同的资料，以及磋商供应商/成交供应商已经泄露或公开的，无须再承担保密责任。</w:t>
      </w:r>
    </w:p>
    <w:p w14:paraId="2DE51A98">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43" w:name="_Toc493575829"/>
      <w:r>
        <w:rPr>
          <w:rFonts w:hint="eastAsia" w:ascii="华文中宋" w:hAnsi="华文中宋" w:eastAsia="华文中宋" w:cs="华文中宋"/>
          <w:color w:val="auto"/>
          <w:sz w:val="24"/>
          <w:szCs w:val="24"/>
        </w:rPr>
        <w:t>九、询问和质疑</w:t>
      </w:r>
      <w:bookmarkEnd w:id="43"/>
    </w:p>
    <w:p w14:paraId="4FF428F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kern w:val="2"/>
          <w:sz w:val="24"/>
          <w:szCs w:val="24"/>
        </w:rPr>
      </w:pPr>
      <w:r>
        <w:rPr>
          <w:rFonts w:hint="eastAsia" w:ascii="华文中宋" w:hAnsi="华文中宋" w:eastAsia="华文中宋" w:cs="华文中宋"/>
          <w:b/>
          <w:color w:val="auto"/>
          <w:kern w:val="2"/>
          <w:sz w:val="24"/>
          <w:szCs w:val="24"/>
        </w:rPr>
        <w:t>3</w:t>
      </w:r>
      <w:r>
        <w:rPr>
          <w:rFonts w:hint="eastAsia" w:ascii="华文中宋" w:hAnsi="华文中宋" w:eastAsia="华文中宋" w:cs="华文中宋"/>
          <w:b/>
          <w:color w:val="auto"/>
          <w:kern w:val="2"/>
          <w:sz w:val="24"/>
          <w:szCs w:val="24"/>
          <w:lang w:val="en-US" w:eastAsia="zh-CN"/>
        </w:rPr>
        <w:t>7</w:t>
      </w:r>
      <w:r>
        <w:rPr>
          <w:rFonts w:hint="eastAsia" w:ascii="华文中宋" w:hAnsi="华文中宋" w:eastAsia="华文中宋" w:cs="华文中宋"/>
          <w:b/>
          <w:color w:val="auto"/>
          <w:kern w:val="2"/>
          <w:sz w:val="24"/>
          <w:szCs w:val="24"/>
        </w:rPr>
        <w:t>.询问</w:t>
      </w:r>
    </w:p>
    <w:p w14:paraId="75CFE39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7</w:t>
      </w:r>
      <w:r>
        <w:rPr>
          <w:rFonts w:hint="eastAsia" w:ascii="华文中宋" w:hAnsi="华文中宋" w:eastAsia="华文中宋" w:cs="华文中宋"/>
          <w:color w:val="auto"/>
          <w:kern w:val="2"/>
          <w:sz w:val="24"/>
          <w:szCs w:val="24"/>
        </w:rPr>
        <w:t>.1磋商供应商对磋商文件、磋商过程、磋商结果有疑问的，可按第一部分磋商公告中载明的联系方式、地址，口头或书面形式向代理机构、采购人提出询问。</w:t>
      </w:r>
    </w:p>
    <w:p w14:paraId="50B46D5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7</w:t>
      </w:r>
      <w:r>
        <w:rPr>
          <w:rFonts w:hint="eastAsia" w:ascii="华文中宋" w:hAnsi="华文中宋" w:eastAsia="华文中宋" w:cs="华文中宋"/>
          <w:color w:val="auto"/>
          <w:kern w:val="2"/>
          <w:sz w:val="24"/>
          <w:szCs w:val="24"/>
        </w:rPr>
        <w:t>.2询问方式为书面询问的，磋商供应商须提供以下资料各2份，法定代表人身份证明书、法定代表人授权委托书、委托人和被委托人的身份证复印件、询问函。采购人或采购代理机构须在法定时间内向询问供应商进行书面答复。</w:t>
      </w:r>
    </w:p>
    <w:p w14:paraId="283DE26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kern w:val="2"/>
          <w:sz w:val="24"/>
          <w:szCs w:val="24"/>
        </w:rPr>
      </w:pPr>
      <w:r>
        <w:rPr>
          <w:rFonts w:hint="eastAsia" w:ascii="华文中宋" w:hAnsi="华文中宋" w:eastAsia="华文中宋" w:cs="华文中宋"/>
          <w:b/>
          <w:color w:val="auto"/>
          <w:kern w:val="2"/>
          <w:sz w:val="24"/>
          <w:szCs w:val="24"/>
        </w:rPr>
        <w:t>3</w:t>
      </w:r>
      <w:r>
        <w:rPr>
          <w:rFonts w:hint="eastAsia" w:ascii="华文中宋" w:hAnsi="华文中宋" w:eastAsia="华文中宋" w:cs="华文中宋"/>
          <w:b/>
          <w:color w:val="auto"/>
          <w:kern w:val="2"/>
          <w:sz w:val="24"/>
          <w:szCs w:val="24"/>
          <w:lang w:val="en-US" w:eastAsia="zh-CN"/>
        </w:rPr>
        <w:t>8</w:t>
      </w:r>
      <w:r>
        <w:rPr>
          <w:rFonts w:hint="eastAsia" w:ascii="华文中宋" w:hAnsi="华文中宋" w:eastAsia="华文中宋" w:cs="华文中宋"/>
          <w:b/>
          <w:color w:val="auto"/>
          <w:kern w:val="2"/>
          <w:sz w:val="24"/>
          <w:szCs w:val="24"/>
        </w:rPr>
        <w:t>.质疑</w:t>
      </w:r>
    </w:p>
    <w:p w14:paraId="71E1CAE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.1磋商供应商认为磋商文件、磋商过程和磋商结果使自己的权益受到损害，应当以书面形式提出质疑。</w:t>
      </w:r>
    </w:p>
    <w:p w14:paraId="5933896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对可以质疑的磋商文件提出质疑的，应在收到磋商文件之日起7个工作日内提出；对磋商过程提出质疑的，应在各磋商程序环节结束之日起7个工作日内提出；对磋商结果提出质疑的，应在成交公告期限届满之日起7个工作日内提出。</w:t>
      </w:r>
    </w:p>
    <w:p w14:paraId="1473CA9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.2质疑函须以书面形式提出，磋商供应商针对同一采购程序环节的质疑，必须在法定期限内一次性提出。</w:t>
      </w:r>
    </w:p>
    <w:p w14:paraId="5AC8DD1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质疑函应当包括下列内容：</w:t>
      </w:r>
    </w:p>
    <w:p w14:paraId="17CE7DB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a供应商的姓名或者名称、地址、邮编、联系人及联系电话；</w:t>
      </w:r>
    </w:p>
    <w:p w14:paraId="406DF71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b质疑项目的名称、编号；</w:t>
      </w:r>
    </w:p>
    <w:p w14:paraId="36BB10C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c具体、明确的质疑事项和与质疑事项相关的请求；</w:t>
      </w:r>
    </w:p>
    <w:p w14:paraId="70A0CC7F">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d事实依据；</w:t>
      </w:r>
    </w:p>
    <w:p w14:paraId="7342756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e必要的法律依据；</w:t>
      </w:r>
    </w:p>
    <w:p w14:paraId="3E3B025F">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f提出质疑的日期。</w:t>
      </w:r>
    </w:p>
    <w:p w14:paraId="385C216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质疑函不符合《政府采购质疑和投诉办法》相关规定的，应在规定期限内补齐的，采购代理机构自收到补齐材料之日起受理；逾期未补齐的，按自动撤回质疑处理。</w:t>
      </w:r>
    </w:p>
    <w:p w14:paraId="11978B0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.3对磋商文件编制内容、磋商过程、磋商结果提出质疑的，由代理机构进行书面答复。</w:t>
      </w:r>
    </w:p>
    <w:p w14:paraId="18F84C3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.4 代理机构、采购人将依据《中华人民共和国政府采购法实施条例》第五十二条及《中华人民共和国财政部令第94号—政府采购质疑和投诉办法》第十三条的规定时限对磋商供应商的询问、质疑做出处理和答复。</w:t>
      </w:r>
    </w:p>
    <w:p w14:paraId="6D4A31D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.5无效质疑情形</w:t>
      </w:r>
    </w:p>
    <w:p w14:paraId="779DFB9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A.未参与本次政府采购活动的供应商；</w:t>
      </w:r>
    </w:p>
    <w:p w14:paraId="70D46A3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B.不符合本次政府采购活动特定条件的供应商；</w:t>
      </w:r>
    </w:p>
    <w:p w14:paraId="0E94581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C.未在有效期内提出质疑的；</w:t>
      </w:r>
    </w:p>
    <w:p w14:paraId="5E65E13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D.不同质疑人委托同一人办理质疑事宜的；</w:t>
      </w:r>
    </w:p>
    <w:p w14:paraId="5190725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E.质疑没有明确请求和必要的证明材料；</w:t>
      </w:r>
    </w:p>
    <w:p w14:paraId="04F71E0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F.其它不符合受理条件的情形。</w:t>
      </w:r>
    </w:p>
    <w:p w14:paraId="3D92DB1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.6质疑供应商撤回质疑的，终止质疑处理；</w:t>
      </w:r>
    </w:p>
    <w:p w14:paraId="12B61E4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.7质疑供应商有下列情形之一的，属于虚假、恶意质疑，代理机构或采购人应当驳回质疑，并向政府采购监督管理部门报告将其列入不良行为记录名单，并依法予以处罚：</w:t>
      </w:r>
    </w:p>
    <w:p w14:paraId="23FC988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A、一年内三次以上质疑均查无实据的；</w:t>
      </w:r>
    </w:p>
    <w:p w14:paraId="5FA26DE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B、捏造事实或者提供虚假质疑材料的。</w:t>
      </w:r>
    </w:p>
    <w:p w14:paraId="75E3615E">
      <w:pPr>
        <w:bidi w:val="0"/>
        <w:jc w:val="center"/>
        <w:outlineLvl w:val="0"/>
        <w:rPr>
          <w:rFonts w:hint="eastAsia" w:ascii="华文中宋" w:hAnsi="华文中宋" w:eastAsia="华文中宋" w:cs="华文中宋"/>
          <w:color w:val="auto"/>
        </w:rPr>
      </w:pPr>
      <w:bookmarkStart w:id="44" w:name="_Toc175644026"/>
      <w:bookmarkStart w:id="45" w:name="_Toc278543498"/>
      <w:bookmarkStart w:id="46" w:name="_Toc13460"/>
      <w:bookmarkStart w:id="47" w:name="_Toc44690683"/>
      <w:bookmarkStart w:id="48" w:name="_Toc44690609"/>
      <w:r>
        <w:rPr>
          <w:rFonts w:hint="eastAsia" w:ascii="华文中宋" w:hAnsi="华文中宋" w:eastAsia="华文中宋" w:cs="华文中宋"/>
          <w:color w:val="auto"/>
        </w:rPr>
        <w:br w:type="page"/>
      </w:r>
      <w:bookmarkStart w:id="49" w:name="_Toc31083"/>
      <w:bookmarkStart w:id="50" w:name="_Toc20746"/>
      <w:r>
        <w:rPr>
          <w:rFonts w:hint="eastAsia" w:ascii="华文中宋" w:hAnsi="华文中宋" w:eastAsia="华文中宋" w:cs="华文中宋"/>
          <w:b/>
          <w:bCs/>
          <w:color w:val="auto"/>
          <w:spacing w:val="0"/>
          <w:kern w:val="44"/>
          <w:sz w:val="44"/>
          <w:szCs w:val="44"/>
          <w:lang w:val="en-US" w:eastAsia="zh-CN" w:bidi="ar-SA"/>
        </w:rPr>
        <w:t xml:space="preserve">第四部分 </w:t>
      </w:r>
      <w:bookmarkEnd w:id="44"/>
      <w:bookmarkEnd w:id="45"/>
      <w:bookmarkEnd w:id="46"/>
      <w:r>
        <w:rPr>
          <w:rFonts w:hint="eastAsia" w:ascii="华文中宋" w:hAnsi="华文中宋" w:eastAsia="华文中宋" w:cs="华文中宋"/>
          <w:b/>
          <w:bCs/>
          <w:color w:val="auto"/>
          <w:spacing w:val="0"/>
          <w:kern w:val="44"/>
          <w:sz w:val="44"/>
          <w:szCs w:val="44"/>
          <w:lang w:val="en-US" w:eastAsia="zh-CN" w:bidi="ar-SA"/>
        </w:rPr>
        <w:t>评审标准和评审方法</w:t>
      </w:r>
      <w:bookmarkEnd w:id="47"/>
      <w:bookmarkEnd w:id="48"/>
      <w:bookmarkEnd w:id="49"/>
      <w:bookmarkEnd w:id="50"/>
    </w:p>
    <w:p w14:paraId="3B5C644F">
      <w:pPr>
        <w:overflowPunct w:val="0"/>
        <w:topLinePunct/>
        <w:autoSpaceDN w:val="0"/>
        <w:adjustRightInd w:val="0"/>
        <w:snapToGrid w:val="0"/>
        <w:spacing w:line="360" w:lineRule="auto"/>
        <w:jc w:val="left"/>
        <w:outlineLvl w:val="9"/>
        <w:rPr>
          <w:rFonts w:hint="eastAsia" w:ascii="华文中宋" w:hAnsi="华文中宋" w:eastAsia="华文中宋" w:cs="华文中宋"/>
          <w:b/>
          <w:bCs/>
          <w:snapToGrid w:val="0"/>
          <w:color w:val="auto"/>
          <w:kern w:val="0"/>
          <w:sz w:val="24"/>
          <w:szCs w:val="24"/>
        </w:rPr>
      </w:pPr>
      <w:bookmarkStart w:id="51" w:name="_Toc43363081"/>
      <w:bookmarkStart w:id="52" w:name="_Toc44690610"/>
      <w:bookmarkStart w:id="53" w:name="_Toc44690684"/>
      <w:r>
        <w:rPr>
          <w:rFonts w:hint="eastAsia" w:ascii="华文中宋" w:hAnsi="华文中宋" w:eastAsia="华文中宋" w:cs="华文中宋"/>
          <w:b/>
          <w:bCs/>
          <w:snapToGrid w:val="0"/>
          <w:color w:val="auto"/>
          <w:kern w:val="0"/>
          <w:sz w:val="24"/>
          <w:szCs w:val="24"/>
        </w:rPr>
        <w:t>一、评审标准</w:t>
      </w:r>
      <w:bookmarkEnd w:id="51"/>
      <w:bookmarkEnd w:id="52"/>
      <w:bookmarkEnd w:id="53"/>
    </w:p>
    <w:p w14:paraId="023649B8">
      <w:pPr>
        <w:overflowPunct w:val="0"/>
        <w:topLinePunct/>
        <w:autoSpaceDN w:val="0"/>
        <w:adjustRightInd w:val="0"/>
        <w:snapToGrid w:val="0"/>
        <w:spacing w:line="360" w:lineRule="auto"/>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Cs/>
          <w:snapToGrid w:val="0"/>
          <w:color w:val="auto"/>
          <w:kern w:val="0"/>
          <w:sz w:val="24"/>
          <w:szCs w:val="24"/>
        </w:rPr>
        <w:t xml:space="preserve">  </w:t>
      </w:r>
      <w:r>
        <w:rPr>
          <w:rFonts w:hint="eastAsia" w:ascii="华文中宋" w:hAnsi="华文中宋" w:eastAsia="华文中宋" w:cs="华文中宋"/>
          <w:b/>
          <w:bCs/>
          <w:snapToGrid w:val="0"/>
          <w:color w:val="auto"/>
          <w:kern w:val="0"/>
          <w:sz w:val="24"/>
          <w:szCs w:val="24"/>
        </w:rPr>
        <w:t xml:space="preserve"> （一）评审原则和方法</w:t>
      </w:r>
    </w:p>
    <w:p w14:paraId="0841CA7D">
      <w:pPr>
        <w:overflowPunct w:val="0"/>
        <w:topLinePunct/>
        <w:autoSpaceDN w:val="0"/>
        <w:adjustRightInd w:val="0"/>
        <w:snapToGrid w:val="0"/>
        <w:spacing w:line="360" w:lineRule="auto"/>
        <w:ind w:firstLine="480" w:firstLineChars="200"/>
        <w:outlineLvl w:val="9"/>
        <w:rPr>
          <w:rFonts w:hint="eastAsia" w:ascii="华文中宋" w:hAnsi="华文中宋" w:eastAsia="华文中宋" w:cs="华文中宋"/>
          <w:snapToGrid w:val="0"/>
          <w:color w:val="auto"/>
          <w:kern w:val="0"/>
          <w:sz w:val="24"/>
          <w:szCs w:val="24"/>
        </w:rPr>
      </w:pPr>
      <w:r>
        <w:rPr>
          <w:rFonts w:hint="eastAsia" w:ascii="华文中宋" w:hAnsi="华文中宋" w:eastAsia="华文中宋" w:cs="华文中宋"/>
          <w:snapToGrid w:val="0"/>
          <w:color w:val="auto"/>
          <w:kern w:val="0"/>
          <w:sz w:val="24"/>
          <w:szCs w:val="24"/>
        </w:rPr>
        <w:t>磋商小组在评审时，依据最后报价和各项技术、服务等因素量化指标对磋商供应商进行综合评分（具体评分见评分细则），</w:t>
      </w:r>
      <w:r>
        <w:rPr>
          <w:rFonts w:hint="eastAsia" w:ascii="华文中宋" w:hAnsi="华文中宋" w:eastAsia="华文中宋" w:cs="华文中宋"/>
          <w:color w:val="auto"/>
          <w:sz w:val="24"/>
          <w:szCs w:val="24"/>
        </w:rPr>
        <w:t>得分最高的磋商供应商为成交供应</w:t>
      </w:r>
      <w:r>
        <w:rPr>
          <w:rFonts w:hint="eastAsia" w:ascii="华文中宋" w:hAnsi="华文中宋" w:eastAsia="华文中宋" w:cs="华文中宋"/>
          <w:snapToGrid w:val="0"/>
          <w:color w:val="auto"/>
          <w:kern w:val="0"/>
          <w:sz w:val="24"/>
          <w:szCs w:val="24"/>
        </w:rPr>
        <w:t>商或成交第一候选供应商。</w:t>
      </w:r>
    </w:p>
    <w:p w14:paraId="343156FF">
      <w:pPr>
        <w:overflowPunct w:val="0"/>
        <w:topLinePunct/>
        <w:autoSpaceDN w:val="0"/>
        <w:adjustRightInd w:val="0"/>
        <w:snapToGrid w:val="0"/>
        <w:spacing w:line="360" w:lineRule="auto"/>
        <w:ind w:firstLine="480" w:firstLineChars="200"/>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
          <w:bCs/>
          <w:snapToGrid w:val="0"/>
          <w:color w:val="auto"/>
          <w:kern w:val="0"/>
          <w:sz w:val="24"/>
          <w:szCs w:val="24"/>
        </w:rPr>
        <w:t>（二）资格审查内容及标准</w:t>
      </w:r>
    </w:p>
    <w:tbl>
      <w:tblPr>
        <w:tblStyle w:val="2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6"/>
        <w:gridCol w:w="2852"/>
        <w:gridCol w:w="5298"/>
      </w:tblGrid>
      <w:tr w14:paraId="76300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5A9B9190">
            <w:pPr>
              <w:spacing w:line="240" w:lineRule="auto"/>
              <w:jc w:val="center"/>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序号</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37B6CB49">
            <w:pPr>
              <w:spacing w:line="240" w:lineRule="auto"/>
              <w:jc w:val="center"/>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内容</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2D58DF83">
            <w:pPr>
              <w:spacing w:line="240" w:lineRule="auto"/>
              <w:jc w:val="center"/>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标准</w:t>
            </w:r>
          </w:p>
        </w:tc>
      </w:tr>
      <w:tr w14:paraId="04E593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4E4C0B66">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0409C301">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磋商供应商代表证明</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00DE3A0A">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（1）法定代表人（负责人）参加磋商的，提供“法定代表人（负责人）证明书”</w:t>
            </w:r>
          </w:p>
          <w:p w14:paraId="3B6E0031">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（2）委托代理人参加磋商的，提供“法定代表人（负责人）授权委托书”</w:t>
            </w:r>
          </w:p>
          <w:p w14:paraId="4BE5C45A">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（3）自然人参加磋商的，提供个人身份证明扫描件</w:t>
            </w:r>
          </w:p>
          <w:p w14:paraId="7972E0CB">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内容齐全，电子签章符合要求。</w:t>
            </w:r>
          </w:p>
        </w:tc>
      </w:tr>
      <w:tr w14:paraId="34849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23154C10">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3BB1D7B0">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响应函</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0F98E63A">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内容齐全，电子签章符合要求。</w:t>
            </w:r>
          </w:p>
        </w:tc>
      </w:tr>
      <w:tr w14:paraId="3C55F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2E256E5F">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03F3118C">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具有独立承担民事责任的能力</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14D2166A">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08E600A3">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75B12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77DF0E94">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4</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2D74C2A3">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具有良好</w:t>
            </w:r>
            <w:r>
              <w:rPr>
                <w:rFonts w:hint="eastAsia" w:ascii="华文中宋" w:hAnsi="华文中宋" w:eastAsia="华文中宋" w:cs="华文中宋"/>
                <w:color w:val="auto"/>
                <w:spacing w:val="0"/>
                <w:szCs w:val="21"/>
                <w:lang w:eastAsia="zh-CN"/>
              </w:rPr>
              <w:t>的商业信誉</w:t>
            </w:r>
            <w:r>
              <w:rPr>
                <w:rFonts w:hint="eastAsia" w:ascii="华文中宋" w:hAnsi="华文中宋" w:eastAsia="华文中宋" w:cs="华文中宋"/>
                <w:color w:val="auto"/>
                <w:spacing w:val="0"/>
                <w:szCs w:val="21"/>
              </w:rPr>
              <w:t>和健全的财务会计制度</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5B9E94A0">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26CF1ACA">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1E064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5AC2AA08">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5</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698CB728">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具有履行合同</w:t>
            </w:r>
            <w:r>
              <w:rPr>
                <w:rFonts w:hint="eastAsia" w:ascii="华文中宋" w:hAnsi="华文中宋" w:eastAsia="华文中宋" w:cs="华文中宋"/>
                <w:color w:val="auto"/>
                <w:spacing w:val="0"/>
                <w:szCs w:val="21"/>
                <w:lang w:val="en-US" w:eastAsia="zh-CN"/>
              </w:rPr>
              <w:t>所必须的设备和专业技术</w:t>
            </w:r>
            <w:r>
              <w:rPr>
                <w:rFonts w:hint="eastAsia" w:ascii="华文中宋" w:hAnsi="华文中宋" w:eastAsia="华文中宋" w:cs="华文中宋"/>
                <w:color w:val="auto"/>
                <w:spacing w:val="0"/>
                <w:szCs w:val="21"/>
              </w:rPr>
              <w:t>能力</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123AF3EE">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149ECDF6">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3F2E4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01614FF9">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6</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18057417">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有依法缴纳税收</w:t>
            </w:r>
            <w:r>
              <w:rPr>
                <w:rFonts w:hint="eastAsia" w:ascii="华文中宋" w:hAnsi="华文中宋" w:eastAsia="华文中宋" w:cs="华文中宋"/>
                <w:color w:val="auto"/>
                <w:spacing w:val="0"/>
                <w:szCs w:val="21"/>
                <w:lang w:val="en-US" w:eastAsia="zh-CN"/>
              </w:rPr>
              <w:t>和社会保障资金</w:t>
            </w:r>
            <w:r>
              <w:rPr>
                <w:rFonts w:hint="eastAsia" w:ascii="华文中宋" w:hAnsi="华文中宋" w:eastAsia="华文中宋" w:cs="华文中宋"/>
                <w:color w:val="auto"/>
                <w:spacing w:val="0"/>
                <w:szCs w:val="21"/>
              </w:rPr>
              <w:t>的良好记录</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4D6F8E06">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25D83351">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6B884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25E93E00">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7</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2337F06D">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参加政府采购活动前三年内，在经营活动中没有重大违法记录</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5279ECD3">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1473FD88">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17484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3FEBE428">
            <w:pPr>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8</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1200C933">
            <w:pPr>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本项目要求的其他资格条件</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04584E44">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扫描件清晰、符合要求。</w:t>
            </w:r>
          </w:p>
        </w:tc>
      </w:tr>
      <w:tr w14:paraId="745ED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5BE274E9">
            <w:pPr>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9</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04AB8863">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保证金的交纳及开户许可证</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295906A6">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rPr>
              <w:t>提供响应保证金交纳证明；</w:t>
            </w:r>
          </w:p>
          <w:p w14:paraId="5CC92C94">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rPr>
              <w:t>提供</w:t>
            </w:r>
            <w:r>
              <w:rPr>
                <w:rFonts w:hint="eastAsia" w:ascii="华文中宋" w:hAnsi="华文中宋" w:eastAsia="华文中宋" w:cs="华文中宋"/>
                <w:color w:val="auto"/>
                <w:sz w:val="21"/>
                <w:szCs w:val="21"/>
                <w:lang w:val="en-US" w:eastAsia="zh-CN"/>
              </w:rPr>
              <w:t>磋商供应商</w:t>
            </w:r>
            <w:r>
              <w:rPr>
                <w:rFonts w:hint="eastAsia" w:ascii="华文中宋" w:hAnsi="华文中宋" w:eastAsia="华文中宋" w:cs="华文中宋"/>
                <w:color w:val="auto"/>
                <w:sz w:val="21"/>
                <w:szCs w:val="21"/>
              </w:rPr>
              <w:t>基本存款账户</w:t>
            </w:r>
            <w:r>
              <w:rPr>
                <w:rFonts w:hint="eastAsia" w:ascii="华文中宋" w:hAnsi="华文中宋" w:eastAsia="华文中宋" w:cs="华文中宋"/>
                <w:color w:val="auto"/>
                <w:sz w:val="21"/>
                <w:szCs w:val="21"/>
                <w:lang w:val="en-US" w:eastAsia="zh-CN"/>
              </w:rPr>
              <w:t>或</w:t>
            </w:r>
            <w:r>
              <w:rPr>
                <w:rFonts w:hint="eastAsia" w:ascii="华文中宋" w:hAnsi="华文中宋" w:eastAsia="华文中宋" w:cs="华文中宋"/>
                <w:color w:val="auto"/>
                <w:sz w:val="21"/>
                <w:szCs w:val="21"/>
              </w:rPr>
              <w:t>开户许可证</w:t>
            </w:r>
            <w:r>
              <w:rPr>
                <w:rFonts w:hint="eastAsia" w:ascii="华文中宋" w:hAnsi="华文中宋" w:eastAsia="华文中宋" w:cs="华文中宋"/>
                <w:color w:val="auto"/>
                <w:sz w:val="21"/>
                <w:szCs w:val="21"/>
                <w:lang w:val="en-US" w:eastAsia="zh-CN"/>
              </w:rPr>
              <w:t>扫描件</w:t>
            </w:r>
            <w:r>
              <w:rPr>
                <w:rFonts w:hint="eastAsia" w:ascii="华文中宋" w:hAnsi="华文中宋" w:eastAsia="华文中宋" w:cs="华文中宋"/>
                <w:color w:val="auto"/>
                <w:sz w:val="21"/>
                <w:szCs w:val="21"/>
              </w:rPr>
              <w:t>。</w:t>
            </w:r>
          </w:p>
        </w:tc>
      </w:tr>
      <w:tr w14:paraId="4B787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4E5A523E">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10</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789520B1">
            <w:pPr>
              <w:kinsoku/>
              <w:wordWrap/>
              <w:overflowPunct/>
              <w:topLinePunct w:val="0"/>
              <w:bidi w:val="0"/>
              <w:spacing w:line="240" w:lineRule="auto"/>
              <w:jc w:val="center"/>
              <w:outlineLvl w:val="9"/>
              <w:rPr>
                <w:rFonts w:hint="eastAsia" w:ascii="华文中宋" w:hAnsi="华文中宋" w:eastAsia="华文中宋" w:cs="华文中宋"/>
                <w:color w:val="auto"/>
                <w:kern w:val="2"/>
                <w:sz w:val="21"/>
                <w:szCs w:val="21"/>
                <w:lang w:val="en-US" w:eastAsia="zh-CN" w:bidi="ar-SA"/>
              </w:rPr>
            </w:pPr>
            <w:r>
              <w:rPr>
                <w:rFonts w:hint="eastAsia" w:ascii="华文中宋" w:hAnsi="华文中宋" w:eastAsia="华文中宋" w:cs="华文中宋"/>
                <w:color w:val="auto"/>
                <w:kern w:val="2"/>
                <w:sz w:val="21"/>
                <w:szCs w:val="21"/>
                <w:lang w:val="en-US" w:eastAsia="zh-CN" w:bidi="ar-SA"/>
              </w:rPr>
              <w:t>本项目专门面向中小企业</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3037A0C9">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本项目是专门面向中小企业，需按照磋商文件格式要求提供“落实政府采购政策需满足的资格要求”规定的证明文件。</w:t>
            </w:r>
          </w:p>
        </w:tc>
      </w:tr>
    </w:tbl>
    <w:p w14:paraId="3A68BDC9">
      <w:pPr>
        <w:spacing w:line="360" w:lineRule="exact"/>
        <w:ind w:left="1102" w:hanging="1200" w:hangingChars="500"/>
        <w:outlineLvl w:val="9"/>
        <w:rPr>
          <w:rFonts w:hint="eastAsia" w:ascii="华文中宋" w:hAnsi="华文中宋" w:eastAsia="华文中宋" w:cs="华文中宋"/>
          <w:color w:val="auto"/>
          <w:sz w:val="24"/>
          <w:szCs w:val="24"/>
        </w:rPr>
      </w:pPr>
    </w:p>
    <w:p w14:paraId="3CA55719">
      <w:pP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说明：</w:t>
      </w:r>
    </w:p>
    <w:p w14:paraId="24C32B5D">
      <w:pPr>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1、资格检查的内容若有一项未提供或达不到检查标准，将导致其不具备磋商资格，且不允许在响应文件提交截止时间后补正。</w:t>
      </w:r>
    </w:p>
    <w:p w14:paraId="18BE0C6C">
      <w:pPr>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w:t>
      </w:r>
      <w:r>
        <w:rPr>
          <w:rFonts w:hint="eastAsia" w:ascii="华文中宋" w:hAnsi="华文中宋" w:eastAsia="华文中宋" w:cs="华文中宋"/>
          <w:color w:val="auto"/>
          <w:sz w:val="24"/>
          <w:szCs w:val="24"/>
        </w:rPr>
        <w:t>、磋商供应商提供的其他材料，不作为资格检查的内容。</w:t>
      </w:r>
    </w:p>
    <w:p w14:paraId="439B6CCB">
      <w:pPr>
        <w:overflowPunct w:val="0"/>
        <w:topLinePunct/>
        <w:autoSpaceDN w:val="0"/>
        <w:adjustRightInd w:val="0"/>
        <w:snapToGrid w:val="0"/>
        <w:spacing w:line="360" w:lineRule="auto"/>
        <w:ind w:firstLine="480" w:firstLineChars="200"/>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
          <w:bCs/>
          <w:snapToGrid w:val="0"/>
          <w:color w:val="auto"/>
          <w:kern w:val="0"/>
          <w:sz w:val="24"/>
          <w:szCs w:val="24"/>
        </w:rPr>
        <w:t>（三）</w:t>
      </w:r>
      <w:r>
        <w:rPr>
          <w:rFonts w:hint="eastAsia" w:ascii="华文中宋" w:hAnsi="华文中宋" w:eastAsia="华文中宋" w:cs="华文中宋"/>
          <w:b/>
          <w:bCs/>
          <w:snapToGrid w:val="0"/>
          <w:color w:val="auto"/>
          <w:kern w:val="0"/>
          <w:sz w:val="24"/>
          <w:szCs w:val="24"/>
          <w:lang w:eastAsia="zh-CN"/>
        </w:rPr>
        <w:t>符合性</w:t>
      </w:r>
      <w:r>
        <w:rPr>
          <w:rFonts w:hint="eastAsia" w:ascii="华文中宋" w:hAnsi="华文中宋" w:eastAsia="华文中宋" w:cs="华文中宋"/>
          <w:b/>
          <w:bCs/>
          <w:snapToGrid w:val="0"/>
          <w:color w:val="auto"/>
          <w:kern w:val="0"/>
          <w:sz w:val="24"/>
          <w:szCs w:val="24"/>
        </w:rPr>
        <w:t>审查内容及标准</w:t>
      </w:r>
    </w:p>
    <w:tbl>
      <w:tblPr>
        <w:tblStyle w:val="2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063"/>
        <w:gridCol w:w="3949"/>
        <w:gridCol w:w="1148"/>
      </w:tblGrid>
      <w:tr w14:paraId="5D36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1CDD9F90">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序号</w:t>
            </w:r>
          </w:p>
        </w:tc>
        <w:tc>
          <w:tcPr>
            <w:tcW w:w="1697" w:type="pct"/>
            <w:noWrap w:val="0"/>
            <w:vAlign w:val="center"/>
          </w:tcPr>
          <w:p w14:paraId="32151184">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内容</w:t>
            </w:r>
          </w:p>
        </w:tc>
        <w:tc>
          <w:tcPr>
            <w:tcW w:w="2188" w:type="pct"/>
            <w:noWrap w:val="0"/>
            <w:vAlign w:val="center"/>
          </w:tcPr>
          <w:p w14:paraId="00D29A9F">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评审标准</w:t>
            </w:r>
          </w:p>
        </w:tc>
        <w:tc>
          <w:tcPr>
            <w:tcW w:w="636" w:type="pct"/>
            <w:noWrap w:val="0"/>
            <w:vAlign w:val="center"/>
          </w:tcPr>
          <w:p w14:paraId="062E79B5">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备注</w:t>
            </w:r>
          </w:p>
        </w:tc>
      </w:tr>
      <w:tr w14:paraId="696D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58BE19A1">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lang w:val="en-US" w:eastAsia="zh-CN"/>
              </w:rPr>
            </w:pPr>
            <w:r>
              <w:rPr>
                <w:rFonts w:hint="eastAsia" w:ascii="华文中宋" w:hAnsi="华文中宋" w:eastAsia="华文中宋" w:cs="华文中宋"/>
                <w:snapToGrid w:val="0"/>
                <w:color w:val="auto"/>
                <w:kern w:val="0"/>
                <w:sz w:val="21"/>
                <w:szCs w:val="21"/>
                <w:lang w:val="en-US" w:eastAsia="zh-CN"/>
              </w:rPr>
              <w:t>1</w:t>
            </w:r>
          </w:p>
        </w:tc>
        <w:tc>
          <w:tcPr>
            <w:tcW w:w="1697" w:type="pct"/>
            <w:noWrap w:val="0"/>
            <w:vAlign w:val="center"/>
          </w:tcPr>
          <w:p w14:paraId="371E02B8">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p>
        </w:tc>
        <w:tc>
          <w:tcPr>
            <w:tcW w:w="2188" w:type="pct"/>
            <w:noWrap w:val="0"/>
            <w:vAlign w:val="center"/>
          </w:tcPr>
          <w:p w14:paraId="5C5BDC57">
            <w:pPr>
              <w:shd w:val="clear" w:color="auto" w:fill="auto"/>
              <w:overflowPunct w:val="0"/>
              <w:topLinePunct/>
              <w:autoSpaceDN w:val="0"/>
              <w:adjustRightInd w:val="0"/>
              <w:snapToGrid w:val="0"/>
              <w:spacing w:line="240" w:lineRule="auto"/>
              <w:ind w:firstLine="420" w:firstLineChars="200"/>
              <w:jc w:val="center"/>
              <w:outlineLvl w:val="9"/>
              <w:rPr>
                <w:rFonts w:hint="eastAsia" w:ascii="华文中宋" w:hAnsi="华文中宋" w:eastAsia="华文中宋" w:cs="华文中宋"/>
                <w:snapToGrid w:val="0"/>
                <w:color w:val="auto"/>
                <w:kern w:val="0"/>
                <w:sz w:val="21"/>
                <w:szCs w:val="21"/>
              </w:rPr>
            </w:pPr>
          </w:p>
        </w:tc>
        <w:tc>
          <w:tcPr>
            <w:tcW w:w="636" w:type="pct"/>
            <w:noWrap w:val="0"/>
            <w:vAlign w:val="center"/>
          </w:tcPr>
          <w:p w14:paraId="5679853E">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p>
        </w:tc>
      </w:tr>
      <w:tr w14:paraId="3E2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11477F62">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lang w:eastAsia="zh-CN"/>
              </w:rPr>
            </w:pPr>
            <w:r>
              <w:rPr>
                <w:rFonts w:hint="eastAsia" w:ascii="华文中宋" w:hAnsi="华文中宋" w:eastAsia="华文中宋" w:cs="华文中宋"/>
                <w:snapToGrid w:val="0"/>
                <w:color w:val="auto"/>
                <w:kern w:val="0"/>
                <w:sz w:val="21"/>
                <w:szCs w:val="21"/>
                <w:lang w:val="en-US" w:eastAsia="zh-CN"/>
              </w:rPr>
              <w:t>2</w:t>
            </w:r>
          </w:p>
        </w:tc>
        <w:tc>
          <w:tcPr>
            <w:tcW w:w="1697" w:type="pct"/>
            <w:noWrap w:val="0"/>
            <w:vAlign w:val="center"/>
          </w:tcPr>
          <w:p w14:paraId="2533A23E">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对总报价、工期、工程质量、响应有效期要求的响应内容</w:t>
            </w:r>
          </w:p>
        </w:tc>
        <w:tc>
          <w:tcPr>
            <w:tcW w:w="2188" w:type="pct"/>
            <w:noWrap w:val="0"/>
            <w:vAlign w:val="center"/>
          </w:tcPr>
          <w:p w14:paraId="1E5A480F">
            <w:pPr>
              <w:shd w:val="clear" w:color="auto" w:fill="auto"/>
              <w:overflowPunct w:val="0"/>
              <w:topLinePunct/>
              <w:autoSpaceDN w:val="0"/>
              <w:adjustRightInd w:val="0"/>
              <w:snapToGrid w:val="0"/>
              <w:spacing w:line="240" w:lineRule="auto"/>
              <w:ind w:firstLine="210" w:firstLineChars="100"/>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总报价应低于（含等于）控制总价，</w:t>
            </w:r>
          </w:p>
          <w:p w14:paraId="084E594E">
            <w:pPr>
              <w:shd w:val="clear" w:color="auto" w:fill="auto"/>
              <w:overflowPunct w:val="0"/>
              <w:topLinePunct/>
              <w:autoSpaceDN w:val="0"/>
              <w:adjustRightInd w:val="0"/>
              <w:snapToGrid w:val="0"/>
              <w:spacing w:line="240" w:lineRule="auto"/>
              <w:ind w:firstLine="420" w:firstLineChars="200"/>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符合磋商文件要求</w:t>
            </w:r>
          </w:p>
        </w:tc>
        <w:tc>
          <w:tcPr>
            <w:tcW w:w="636" w:type="pct"/>
            <w:noWrap w:val="0"/>
            <w:vAlign w:val="center"/>
          </w:tcPr>
          <w:p w14:paraId="3F553809">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p>
        </w:tc>
      </w:tr>
      <w:tr w14:paraId="65CB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1B068A0B">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Cs/>
                <w:snapToGrid w:val="0"/>
                <w:color w:val="auto"/>
                <w:kern w:val="0"/>
                <w:sz w:val="21"/>
                <w:szCs w:val="21"/>
                <w:lang w:eastAsia="zh-CN"/>
              </w:rPr>
            </w:pPr>
            <w:r>
              <w:rPr>
                <w:rFonts w:hint="eastAsia" w:ascii="华文中宋" w:hAnsi="华文中宋" w:eastAsia="华文中宋" w:cs="华文中宋"/>
                <w:bCs/>
                <w:snapToGrid w:val="0"/>
                <w:color w:val="auto"/>
                <w:kern w:val="0"/>
                <w:sz w:val="21"/>
                <w:szCs w:val="21"/>
                <w:lang w:val="en-US" w:eastAsia="zh-CN"/>
              </w:rPr>
              <w:t>3</w:t>
            </w:r>
          </w:p>
        </w:tc>
        <w:tc>
          <w:tcPr>
            <w:tcW w:w="1697" w:type="pct"/>
            <w:noWrap w:val="0"/>
            <w:vAlign w:val="center"/>
          </w:tcPr>
          <w:p w14:paraId="7810582C">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技术标准和要求</w:t>
            </w:r>
          </w:p>
        </w:tc>
        <w:tc>
          <w:tcPr>
            <w:tcW w:w="2188" w:type="pct"/>
            <w:noWrap w:val="0"/>
            <w:vAlign w:val="center"/>
          </w:tcPr>
          <w:p w14:paraId="220E8272">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符合磋商文件第五部分要求</w:t>
            </w:r>
          </w:p>
        </w:tc>
        <w:tc>
          <w:tcPr>
            <w:tcW w:w="636" w:type="pct"/>
            <w:noWrap w:val="0"/>
            <w:vAlign w:val="center"/>
          </w:tcPr>
          <w:p w14:paraId="111BEC69">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p>
        </w:tc>
      </w:tr>
      <w:tr w14:paraId="7D4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3B39CB91">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Cs/>
                <w:snapToGrid w:val="0"/>
                <w:color w:val="auto"/>
                <w:kern w:val="0"/>
                <w:sz w:val="21"/>
                <w:szCs w:val="21"/>
                <w:lang w:eastAsia="zh-CN"/>
              </w:rPr>
            </w:pPr>
            <w:r>
              <w:rPr>
                <w:rFonts w:hint="eastAsia" w:ascii="华文中宋" w:hAnsi="华文中宋" w:eastAsia="华文中宋" w:cs="华文中宋"/>
                <w:bCs/>
                <w:snapToGrid w:val="0"/>
                <w:color w:val="auto"/>
                <w:kern w:val="0"/>
                <w:sz w:val="21"/>
                <w:szCs w:val="21"/>
                <w:lang w:val="en-US" w:eastAsia="zh-CN"/>
              </w:rPr>
              <w:t>4</w:t>
            </w:r>
          </w:p>
        </w:tc>
        <w:tc>
          <w:tcPr>
            <w:tcW w:w="1697" w:type="pct"/>
            <w:noWrap w:val="0"/>
            <w:vAlign w:val="center"/>
          </w:tcPr>
          <w:p w14:paraId="7E199895">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对节能产品、环境标志产品承诺要求的响应内容</w:t>
            </w:r>
          </w:p>
        </w:tc>
        <w:tc>
          <w:tcPr>
            <w:tcW w:w="2188" w:type="pct"/>
            <w:noWrap w:val="0"/>
            <w:vAlign w:val="center"/>
          </w:tcPr>
          <w:p w14:paraId="5EA2CDE1">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符合磋商文件要求</w:t>
            </w:r>
          </w:p>
        </w:tc>
        <w:tc>
          <w:tcPr>
            <w:tcW w:w="636" w:type="pct"/>
            <w:noWrap w:val="0"/>
            <w:vAlign w:val="center"/>
          </w:tcPr>
          <w:p w14:paraId="64AF79E5">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p>
        </w:tc>
      </w:tr>
      <w:tr w14:paraId="006D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0461DA98">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lang w:eastAsia="zh-CN"/>
              </w:rPr>
            </w:pPr>
            <w:r>
              <w:rPr>
                <w:rFonts w:hint="eastAsia" w:ascii="华文中宋" w:hAnsi="华文中宋" w:eastAsia="华文中宋" w:cs="华文中宋"/>
                <w:snapToGrid w:val="0"/>
                <w:color w:val="auto"/>
                <w:kern w:val="0"/>
                <w:sz w:val="21"/>
                <w:szCs w:val="21"/>
                <w:lang w:val="en-US" w:eastAsia="zh-CN"/>
              </w:rPr>
              <w:t>5</w:t>
            </w:r>
          </w:p>
        </w:tc>
        <w:tc>
          <w:tcPr>
            <w:tcW w:w="1697" w:type="pct"/>
            <w:noWrap w:val="0"/>
            <w:vAlign w:val="center"/>
          </w:tcPr>
          <w:p w14:paraId="230F9A0C">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已标价工程量清单</w:t>
            </w:r>
          </w:p>
        </w:tc>
        <w:tc>
          <w:tcPr>
            <w:tcW w:w="2188" w:type="pct"/>
            <w:noWrap w:val="0"/>
            <w:vAlign w:val="center"/>
          </w:tcPr>
          <w:p w14:paraId="45236A64">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符合磋商文件要求</w:t>
            </w:r>
          </w:p>
        </w:tc>
        <w:tc>
          <w:tcPr>
            <w:tcW w:w="636" w:type="pct"/>
            <w:noWrap w:val="0"/>
            <w:vAlign w:val="center"/>
          </w:tcPr>
          <w:p w14:paraId="353D36BF">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p>
        </w:tc>
      </w:tr>
    </w:tbl>
    <w:p w14:paraId="5D8851BF">
      <w:pPr>
        <w:pStyle w:val="39"/>
        <w:keepNext w:val="0"/>
        <w:keepLines w:val="0"/>
        <w:pageBreakBefore w:val="0"/>
        <w:widowControl w:val="0"/>
        <w:kinsoku/>
        <w:wordWrap/>
        <w:overflowPunct/>
        <w:topLinePunct w:val="0"/>
        <w:autoSpaceDE/>
        <w:autoSpaceDN/>
        <w:bidi w:val="0"/>
        <w:snapToGrid w:val="0"/>
        <w:spacing w:line="500" w:lineRule="exact"/>
        <w:ind w:firstLine="240" w:firstLineChars="1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说明：</w:t>
      </w:r>
    </w:p>
    <w:p w14:paraId="7189040F">
      <w:pPr>
        <w:pStyle w:val="39"/>
        <w:keepNext w:val="0"/>
        <w:keepLines w:val="0"/>
        <w:pageBreakBefore w:val="0"/>
        <w:widowControl w:val="0"/>
        <w:kinsoku/>
        <w:wordWrap/>
        <w:overflowPunct/>
        <w:topLinePunct w:val="0"/>
        <w:autoSpaceDE/>
        <w:autoSpaceDN/>
        <w:bidi w:val="0"/>
        <w:snapToGrid w:val="0"/>
        <w:spacing w:line="500" w:lineRule="exact"/>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1、符合性检查的内容，经磋商小组共同认定没有做出实质性响应的，将导致磋商无效。</w:t>
      </w:r>
    </w:p>
    <w:p w14:paraId="2192A6DE">
      <w:pPr>
        <w:pStyle w:val="39"/>
        <w:keepNext w:val="0"/>
        <w:keepLines w:val="0"/>
        <w:pageBreakBefore w:val="0"/>
        <w:widowControl w:val="0"/>
        <w:kinsoku/>
        <w:wordWrap/>
        <w:overflowPunct/>
        <w:topLinePunct w:val="0"/>
        <w:autoSpaceDE/>
        <w:autoSpaceDN/>
        <w:bidi w:val="0"/>
        <w:snapToGrid w:val="0"/>
        <w:spacing w:line="500" w:lineRule="exact"/>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2、审查时，对特殊情况的处理评标委员会要遵循磋商文件第三部分磋商供应商须知规定的原则。</w:t>
      </w:r>
    </w:p>
    <w:p w14:paraId="330EF899">
      <w:pPr>
        <w:numPr>
          <w:ilvl w:val="0"/>
          <w:numId w:val="0"/>
        </w:numPr>
        <w:spacing w:line="360" w:lineRule="auto"/>
        <w:jc w:val="left"/>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
          <w:bCs/>
          <w:snapToGrid w:val="0"/>
          <w:color w:val="auto"/>
          <w:kern w:val="0"/>
          <w:sz w:val="24"/>
          <w:szCs w:val="24"/>
          <w:lang w:val="en-US" w:eastAsia="zh-CN"/>
        </w:rPr>
        <w:t>二、</w:t>
      </w:r>
      <w:r>
        <w:rPr>
          <w:rFonts w:hint="eastAsia" w:ascii="华文中宋" w:hAnsi="华文中宋" w:eastAsia="华文中宋" w:cs="华文中宋"/>
          <w:b/>
          <w:bCs/>
          <w:snapToGrid w:val="0"/>
          <w:color w:val="auto"/>
          <w:kern w:val="0"/>
          <w:sz w:val="24"/>
          <w:szCs w:val="24"/>
        </w:rPr>
        <w:t>评分细则</w:t>
      </w:r>
    </w:p>
    <w:p w14:paraId="4D9E055D">
      <w:pPr>
        <w:snapToGrid w:val="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w:t>
      </w:r>
      <w:r>
        <w:rPr>
          <w:rFonts w:hint="eastAsia" w:ascii="华文中宋" w:hAnsi="华文中宋" w:eastAsia="华文中宋" w:cs="华文中宋"/>
          <w:color w:val="auto"/>
          <w:sz w:val="24"/>
          <w:szCs w:val="24"/>
        </w:rPr>
        <w:t>技术、商务评分</w:t>
      </w:r>
    </w:p>
    <w:tbl>
      <w:tblPr>
        <w:tblStyle w:val="29"/>
        <w:tblW w:w="50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868"/>
        <w:gridCol w:w="1225"/>
        <w:gridCol w:w="110"/>
        <w:gridCol w:w="705"/>
        <w:gridCol w:w="5563"/>
      </w:tblGrid>
      <w:tr w14:paraId="235C1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6061BEC">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技术部分评分</w:t>
            </w:r>
          </w:p>
        </w:tc>
      </w:tr>
      <w:tr w14:paraId="4F50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E1155D5">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序号</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4B59786A">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评审内容</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745AB34E">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满分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3E4452CE">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评审标准和方法</w:t>
            </w:r>
          </w:p>
        </w:tc>
      </w:tr>
      <w:tr w14:paraId="474D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2963BCA">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69363864">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施工组织方案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24507DEA">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12</w:t>
            </w:r>
            <w:r>
              <w:rPr>
                <w:rFonts w:hint="eastAsia" w:ascii="华文中宋" w:hAnsi="华文中宋" w:eastAsia="华文中宋" w:cs="华文中宋"/>
                <w:color w:val="auto"/>
                <w:sz w:val="21"/>
                <w:szCs w:val="21"/>
              </w:rPr>
              <w:t>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D8B52FE">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根据磋商文件要求和服务响应情况，对供应商提供的施工组织方案进行评价，其中包括：</w:t>
            </w:r>
          </w:p>
          <w:p w14:paraId="44F3136E">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（1）施工总体方案</w:t>
            </w:r>
          </w:p>
          <w:p w14:paraId="704D3F71">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（2）拟投入的人员及设备</w:t>
            </w:r>
          </w:p>
          <w:p w14:paraId="2FB2FA80">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（3）劳动组织准备</w:t>
            </w:r>
          </w:p>
          <w:p w14:paraId="50EF893F">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（4）施工到竣工验收等组织方案</w:t>
            </w:r>
          </w:p>
          <w:p w14:paraId="31AA482D">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 xml:space="preserve">上述四项内容均进行了阐述且满足本项目服务要求的得12分； </w:t>
            </w:r>
          </w:p>
          <w:p w14:paraId="5CD8AA6C">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rPr>
              <w:t>扣</w:t>
            </w:r>
            <w:r>
              <w:rPr>
                <w:rFonts w:hint="eastAsia" w:ascii="华文中宋" w:hAnsi="华文中宋" w:eastAsia="华文中宋" w:cs="华文中宋"/>
                <w:color w:val="auto"/>
                <w:sz w:val="21"/>
                <w:szCs w:val="21"/>
                <w:lang w:val="en-US" w:eastAsia="zh-CN"/>
              </w:rPr>
              <w:t>0.5</w:t>
            </w:r>
            <w:r>
              <w:rPr>
                <w:rFonts w:hint="eastAsia" w:ascii="华文中宋" w:hAnsi="华文中宋" w:eastAsia="华文中宋" w:cs="华文中宋"/>
                <w:color w:val="auto"/>
                <w:sz w:val="21"/>
                <w:szCs w:val="21"/>
              </w:rPr>
              <w:t xml:space="preserve">分； </w:t>
            </w:r>
          </w:p>
          <w:p w14:paraId="30CF518E">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每有一项内容未阐述或不符合项目实际情况且未提供具体实施细节及措施，扣3分，最低得0分。</w:t>
            </w:r>
          </w:p>
        </w:tc>
      </w:tr>
      <w:tr w14:paraId="4C95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C019F1A">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44DF65D5">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施工进度计划方案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3538C0D9">
            <w:pPr>
              <w:wordWrap w:val="0"/>
              <w:snapToGrid w:val="0"/>
              <w:spacing w:line="240" w:lineRule="auto"/>
              <w:jc w:val="center"/>
              <w:outlineLvl w:val="9"/>
              <w:rPr>
                <w:rFonts w:hint="eastAsia" w:ascii="华文中宋" w:hAnsi="华文中宋" w:eastAsia="华文中宋" w:cs="华文中宋"/>
                <w:color w:val="auto"/>
                <w:sz w:val="21"/>
                <w:szCs w:val="21"/>
                <w:lang w:val="en-US"/>
              </w:rPr>
            </w:pPr>
            <w:r>
              <w:rPr>
                <w:rFonts w:hint="eastAsia" w:ascii="华文中宋" w:hAnsi="华文中宋" w:eastAsia="华文中宋" w:cs="华文中宋"/>
                <w:color w:val="auto"/>
                <w:sz w:val="21"/>
                <w:szCs w:val="21"/>
                <w:lang w:val="en-US" w:eastAsia="zh-CN"/>
              </w:rPr>
              <w:t>12分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DD519D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根据磋商文件要求和服务响应情况，对供应商提供的施工进度计划方案进行评价，其中包括：</w:t>
            </w:r>
          </w:p>
          <w:p w14:paraId="4B126DC5">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（1）施工过程</w:t>
            </w:r>
          </w:p>
          <w:p w14:paraId="393A239C">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（2）工期计划安排</w:t>
            </w:r>
          </w:p>
          <w:p w14:paraId="5F551407">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（3）保障措施</w:t>
            </w:r>
          </w:p>
          <w:p w14:paraId="4BBFFCD1">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上述三项内容均进行了阐述且满足本项目服务要求的得12分； </w:t>
            </w:r>
          </w:p>
          <w:p w14:paraId="510AB73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，扣1分； </w:t>
            </w:r>
          </w:p>
          <w:p w14:paraId="2368BC0D">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每有一项内容未阐述或不符合项目实际情况且未提供具体实施细节及措施，扣4分，最低得0分。</w:t>
            </w:r>
          </w:p>
        </w:tc>
      </w:tr>
      <w:tr w14:paraId="02244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3DDFA07">
            <w:pPr>
              <w:wordWrap w:val="0"/>
              <w:snapToGrid w:val="0"/>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3</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2F4F6EF3">
            <w:pPr>
              <w:snapToGrid w:val="0"/>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施工质量控制方案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624F06FD">
            <w:pPr>
              <w:wordWrap w:val="0"/>
              <w:snapToGrid w:val="0"/>
              <w:spacing w:line="240" w:lineRule="auto"/>
              <w:jc w:val="center"/>
              <w:outlineLvl w:val="9"/>
              <w:rPr>
                <w:rFonts w:hint="eastAsia" w:ascii="华文中宋" w:hAnsi="华文中宋" w:eastAsia="华文中宋" w:cs="华文中宋"/>
                <w:color w:val="auto"/>
                <w:sz w:val="21"/>
                <w:szCs w:val="21"/>
                <w:lang w:val="en-US"/>
              </w:rPr>
            </w:pPr>
            <w:r>
              <w:rPr>
                <w:rFonts w:hint="eastAsia" w:ascii="华文中宋" w:hAnsi="华文中宋" w:eastAsia="华文中宋" w:cs="华文中宋"/>
                <w:color w:val="auto"/>
                <w:sz w:val="21"/>
                <w:szCs w:val="21"/>
                <w:lang w:val="en-US" w:eastAsia="zh-CN"/>
              </w:rPr>
              <w:t>12分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10988DB9">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根据磋商文件要求和服务响应情况，对供应商提供的施工质量控制方案进行评价，其中包括：</w:t>
            </w:r>
          </w:p>
          <w:p w14:paraId="2AB8BAB9">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（1）工程技术管理</w:t>
            </w:r>
          </w:p>
          <w:p w14:paraId="2D28D51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（2）施工管理</w:t>
            </w:r>
          </w:p>
          <w:p w14:paraId="79C8997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（3）工程质量控制保障</w:t>
            </w:r>
          </w:p>
          <w:p w14:paraId="03F7AEF5">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（4）质量违约责任承诺</w:t>
            </w:r>
          </w:p>
          <w:p w14:paraId="2C2F898A">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上述四项内容均进行了阐述且满足本项目服务要求的得12分； </w:t>
            </w:r>
          </w:p>
          <w:p w14:paraId="3B0656D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扣0.5分； </w:t>
            </w:r>
          </w:p>
          <w:p w14:paraId="40BB0A0B">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每有一项内容未阐述或不符合项目实际情况且未提供具体实施细节及措施，扣3分，最低得0分。</w:t>
            </w:r>
          </w:p>
        </w:tc>
      </w:tr>
      <w:tr w14:paraId="6F3E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386CBF5">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4</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3BFE4B73">
            <w:pPr>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安全文明施工保障措施方案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2455D58C">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9分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3349F66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根据磋商文件要求和服务响应情况，对供应商提供的安全文明施工保障措施方案进行评价，其中包括：</w:t>
            </w:r>
          </w:p>
          <w:p w14:paraId="60B92226">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（1）施工管理制度</w:t>
            </w:r>
          </w:p>
          <w:p w14:paraId="42859E8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（2）施工操作规程</w:t>
            </w:r>
          </w:p>
          <w:p w14:paraId="5127B929">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（3）现场管控措施</w:t>
            </w:r>
          </w:p>
          <w:p w14:paraId="4CD2C096">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上述三项内容均进行了阐述且满足本项目服务要求的得9分； </w:t>
            </w:r>
          </w:p>
          <w:p w14:paraId="2D066AD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，扣0.5分； </w:t>
            </w:r>
          </w:p>
          <w:p w14:paraId="7EE99D19">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每有一项内容未阐述或不符合项目实际情况且未提供具体实施细节及措施，扣3分，最低得0分。</w:t>
            </w:r>
          </w:p>
        </w:tc>
      </w:tr>
      <w:tr w14:paraId="55C64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8FCD8B9">
            <w:pPr>
              <w:wordWrap w:val="0"/>
              <w:snapToGrid w:val="0"/>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5</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420184E3">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重、难点分析方案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16A3B2B0">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10分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86C474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根据磋商文件要求和服务响应情况，对供应商提供的重、难点分析方案进行评价，其中包括：</w:t>
            </w:r>
          </w:p>
          <w:p w14:paraId="009DA89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（1）关键重点、难点问题分析</w:t>
            </w:r>
          </w:p>
          <w:p w14:paraId="1F80F05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（2）相应的技术保障措施</w:t>
            </w:r>
          </w:p>
          <w:p w14:paraId="4A06854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上述两项内容均进行了阐述且满足本项目服务要求的得10分； </w:t>
            </w:r>
          </w:p>
          <w:p w14:paraId="184AE587">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，扣0.5分； </w:t>
            </w:r>
          </w:p>
          <w:p w14:paraId="5E54D1B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每有一项内容未阐述或不符合项目实际情况且未提供具体实施细节及措施，扣5分，最低得0分。</w:t>
            </w:r>
          </w:p>
        </w:tc>
      </w:tr>
      <w:tr w14:paraId="50FD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84CC6B9">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6</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144D9917">
            <w:pPr>
              <w:snapToGrid w:val="0"/>
              <w:spacing w:line="240" w:lineRule="auto"/>
              <w:jc w:val="center"/>
              <w:outlineLvl w:val="9"/>
              <w:rPr>
                <w:rFonts w:hint="eastAsia" w:ascii="华文中宋" w:hAnsi="华文中宋" w:eastAsia="华文中宋" w:cs="华文中宋"/>
                <w:color w:val="auto"/>
                <w:sz w:val="21"/>
                <w:szCs w:val="21"/>
                <w:lang w:val="en-US" w:eastAsia="zh-CN"/>
              </w:rPr>
            </w:pPr>
          </w:p>
          <w:p w14:paraId="02D7F2FF">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应急预案和紧急事件处置措施</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6E27A95B">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5分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2EFA4A3C">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根据磋商文件要求和服务响应情况，对供应商提供的应急预案和紧急事件处置措施进行评价，其中包括：</w:t>
            </w:r>
          </w:p>
          <w:p w14:paraId="072EB4DD">
            <w:pPr>
              <w:snapToGrid w:val="0"/>
              <w:spacing w:line="240" w:lineRule="auto"/>
              <w:jc w:val="left"/>
              <w:outlineLvl w:val="9"/>
              <w:rPr>
                <w:rFonts w:hint="eastAsia" w:ascii="华文中宋" w:hAnsi="华文中宋" w:eastAsia="华文中宋" w:cs="华文中宋"/>
                <w:color w:val="auto"/>
                <w:sz w:val="21"/>
                <w:szCs w:val="21"/>
                <w:lang w:val="zh-CN" w:eastAsia="zh-CN"/>
              </w:rPr>
            </w:pPr>
            <w:r>
              <w:rPr>
                <w:rFonts w:hint="eastAsia" w:ascii="华文中宋" w:hAnsi="华文中宋" w:eastAsia="华文中宋" w:cs="华文中宋"/>
                <w:color w:val="auto"/>
                <w:sz w:val="21"/>
                <w:szCs w:val="21"/>
                <w:lang w:val="zh-CN" w:eastAsia="zh-CN"/>
              </w:rPr>
              <w:t>（</w:t>
            </w:r>
            <w:r>
              <w:rPr>
                <w:rFonts w:hint="eastAsia" w:ascii="华文中宋" w:hAnsi="华文中宋" w:eastAsia="华文中宋" w:cs="华文中宋"/>
                <w:color w:val="auto"/>
                <w:sz w:val="21"/>
                <w:szCs w:val="21"/>
                <w:lang w:val="en-US" w:eastAsia="zh-CN"/>
              </w:rPr>
              <w:t>1）突发事件的处理措施</w:t>
            </w:r>
          </w:p>
          <w:p w14:paraId="14651FDF">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zh-CN" w:eastAsia="zh-CN"/>
              </w:rPr>
              <w:t>（</w:t>
            </w: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lang w:val="zh-CN" w:eastAsia="zh-CN"/>
              </w:rPr>
              <w:t>突发事故应急维修时间、响应速度</w:t>
            </w:r>
            <w:r>
              <w:rPr>
                <w:rFonts w:hint="eastAsia" w:ascii="华文中宋" w:hAnsi="华文中宋" w:eastAsia="华文中宋" w:cs="华文中宋"/>
                <w:color w:val="auto"/>
                <w:sz w:val="21"/>
                <w:szCs w:val="21"/>
                <w:lang w:val="en-US" w:eastAsia="zh-CN"/>
              </w:rPr>
              <w:t>及</w:t>
            </w:r>
            <w:r>
              <w:rPr>
                <w:rFonts w:hint="eastAsia" w:ascii="华文中宋" w:hAnsi="华文中宋" w:eastAsia="华文中宋" w:cs="华文中宋"/>
                <w:color w:val="auto"/>
                <w:sz w:val="21"/>
                <w:szCs w:val="21"/>
                <w:lang w:val="zh-CN" w:eastAsia="zh-CN"/>
              </w:rPr>
              <w:t>服务便捷性</w:t>
            </w:r>
          </w:p>
          <w:p w14:paraId="787DDC4C">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上述两项内容均进行了阐述且满足本项目服务要求的得5分； </w:t>
            </w:r>
          </w:p>
          <w:p w14:paraId="426C547E">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，扣1分； </w:t>
            </w:r>
          </w:p>
          <w:p w14:paraId="2485E52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每有一项内容未阐述或不符合项目实际情况且未提供具体实施细节及措施，扣2.5分，最低得0分。</w:t>
            </w:r>
          </w:p>
        </w:tc>
      </w:tr>
      <w:tr w14:paraId="5E4C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5000" w:type="pct"/>
            <w:gridSpan w:val="6"/>
            <w:tcBorders>
              <w:top w:val="single" w:color="auto" w:sz="4" w:space="0"/>
              <w:left w:val="single" w:color="auto" w:sz="4" w:space="0"/>
              <w:right w:val="single" w:color="auto" w:sz="4" w:space="0"/>
            </w:tcBorders>
            <w:noWrap w:val="0"/>
            <w:vAlign w:val="bottom"/>
          </w:tcPr>
          <w:p w14:paraId="5C03D5BA">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商务部分评分</w:t>
            </w:r>
          </w:p>
        </w:tc>
      </w:tr>
      <w:tr w14:paraId="12F9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384" w:type="pct"/>
            <w:vMerge w:val="restart"/>
            <w:tcBorders>
              <w:top w:val="single" w:color="auto" w:sz="4" w:space="0"/>
              <w:left w:val="single" w:color="auto" w:sz="4" w:space="0"/>
              <w:right w:val="single" w:color="auto" w:sz="4" w:space="0"/>
            </w:tcBorders>
            <w:noWrap w:val="0"/>
            <w:vAlign w:val="center"/>
          </w:tcPr>
          <w:p w14:paraId="1D10041F">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p w14:paraId="78065989">
            <w:pPr>
              <w:spacing w:line="240" w:lineRule="auto"/>
              <w:jc w:val="center"/>
              <w:outlineLvl w:val="9"/>
              <w:rPr>
                <w:rFonts w:hint="eastAsia" w:ascii="华文中宋" w:hAnsi="华文中宋" w:eastAsia="华文中宋" w:cs="华文中宋"/>
                <w:color w:val="auto"/>
                <w:sz w:val="21"/>
                <w:szCs w:val="21"/>
                <w:lang w:val="en-US" w:eastAsia="zh-CN"/>
              </w:rPr>
            </w:pPr>
          </w:p>
        </w:tc>
        <w:tc>
          <w:tcPr>
            <w:tcW w:w="472" w:type="pct"/>
            <w:vMerge w:val="restart"/>
            <w:tcBorders>
              <w:top w:val="single" w:color="auto" w:sz="4" w:space="0"/>
              <w:left w:val="single" w:color="auto" w:sz="4" w:space="0"/>
              <w:right w:val="single" w:color="auto" w:sz="4" w:space="0"/>
            </w:tcBorders>
            <w:noWrap w:val="0"/>
            <w:vAlign w:val="center"/>
          </w:tcPr>
          <w:p w14:paraId="52E423CB">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磋商供应商及项目经理资信</w:t>
            </w:r>
          </w:p>
          <w:p w14:paraId="1F8CA43A">
            <w:pPr>
              <w:spacing w:line="240" w:lineRule="auto"/>
              <w:jc w:val="center"/>
              <w:outlineLvl w:val="9"/>
              <w:rPr>
                <w:rFonts w:hint="eastAsia" w:ascii="华文中宋" w:hAnsi="华文中宋" w:eastAsia="华文中宋" w:cs="华文中宋"/>
                <w:color w:val="auto"/>
                <w:sz w:val="21"/>
                <w:szCs w:val="21"/>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14:paraId="21951288">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供应商同类合同案例</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7523B88">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6</w:t>
            </w:r>
            <w:r>
              <w:rPr>
                <w:rFonts w:hint="eastAsia" w:ascii="华文中宋" w:hAnsi="华文中宋" w:eastAsia="华文中宋" w:cs="华文中宋"/>
                <w:color w:val="auto"/>
                <w:sz w:val="21"/>
                <w:szCs w:val="21"/>
              </w:rPr>
              <w:t>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D2820CD">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供应商业绩以提供同类型近三年内的合同为准：</w:t>
            </w:r>
          </w:p>
          <w:p w14:paraId="21ED225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以中标通知书、合同及竣工验收证明为准（合同要求必须提供与最终用户签订的合同首页、合同金额所在页、签字盖章页复印件作为证明），每签署一份同类型项目合同的得3分，最高得6分。</w:t>
            </w:r>
          </w:p>
        </w:tc>
      </w:tr>
      <w:tr w14:paraId="3A3D2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79" w:hRule="atLeast"/>
          <w:jc w:val="center"/>
        </w:trPr>
        <w:tc>
          <w:tcPr>
            <w:tcW w:w="384" w:type="pct"/>
            <w:vMerge w:val="continue"/>
            <w:tcBorders>
              <w:left w:val="single" w:color="auto" w:sz="4" w:space="0"/>
              <w:right w:val="single" w:color="auto" w:sz="4" w:space="0"/>
            </w:tcBorders>
            <w:noWrap w:val="0"/>
            <w:vAlign w:val="center"/>
          </w:tcPr>
          <w:p w14:paraId="5001FD16">
            <w:pPr>
              <w:spacing w:line="240" w:lineRule="auto"/>
              <w:jc w:val="center"/>
              <w:outlineLvl w:val="9"/>
              <w:rPr>
                <w:rFonts w:hint="eastAsia" w:ascii="华文中宋" w:hAnsi="华文中宋" w:eastAsia="华文中宋" w:cs="华文中宋"/>
                <w:color w:val="auto"/>
                <w:sz w:val="21"/>
                <w:szCs w:val="21"/>
              </w:rPr>
            </w:pPr>
          </w:p>
        </w:tc>
        <w:tc>
          <w:tcPr>
            <w:tcW w:w="472" w:type="pct"/>
            <w:vMerge w:val="continue"/>
            <w:tcBorders>
              <w:left w:val="single" w:color="auto" w:sz="4" w:space="0"/>
              <w:right w:val="single" w:color="auto" w:sz="4" w:space="0"/>
            </w:tcBorders>
            <w:noWrap w:val="0"/>
            <w:vAlign w:val="center"/>
          </w:tcPr>
          <w:p w14:paraId="74F2B31A">
            <w:pPr>
              <w:spacing w:line="240" w:lineRule="auto"/>
              <w:jc w:val="center"/>
              <w:outlineLvl w:val="9"/>
              <w:rPr>
                <w:rFonts w:hint="eastAsia" w:ascii="华文中宋" w:hAnsi="华文中宋" w:eastAsia="华文中宋" w:cs="华文中宋"/>
                <w:color w:val="auto"/>
                <w:sz w:val="21"/>
                <w:szCs w:val="21"/>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14:paraId="72CD4651">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项目经理同类合同案例</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DE5E4A3">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rPr>
              <w:t>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4BFF31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项目经理近三年承担过一项与拟磋商工程同类型工程的以中标通知书、合同及竣工验收证明为准（合同要求必须提供与最终用户签订的合同首页、合同金额所在页、签字盖章页复印件作为证明），每签署一份同类型项目合同的得2分，最高得2分。</w:t>
            </w:r>
          </w:p>
        </w:tc>
      </w:tr>
      <w:tr w14:paraId="56EA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384" w:type="pct"/>
            <w:vMerge w:val="continue"/>
            <w:tcBorders>
              <w:left w:val="single" w:color="auto" w:sz="4" w:space="0"/>
              <w:right w:val="single" w:color="auto" w:sz="4" w:space="0"/>
            </w:tcBorders>
            <w:noWrap w:val="0"/>
            <w:vAlign w:val="center"/>
          </w:tcPr>
          <w:p w14:paraId="0569112E">
            <w:pPr>
              <w:spacing w:line="240" w:lineRule="auto"/>
              <w:jc w:val="center"/>
              <w:outlineLvl w:val="9"/>
              <w:rPr>
                <w:rFonts w:hint="eastAsia" w:ascii="华文中宋" w:hAnsi="华文中宋" w:eastAsia="华文中宋" w:cs="华文中宋"/>
                <w:color w:val="auto"/>
                <w:sz w:val="21"/>
                <w:szCs w:val="21"/>
                <w:lang w:val="en-US" w:eastAsia="zh-CN"/>
              </w:rPr>
            </w:pPr>
          </w:p>
        </w:tc>
        <w:tc>
          <w:tcPr>
            <w:tcW w:w="472" w:type="pct"/>
            <w:vMerge w:val="continue"/>
            <w:tcBorders>
              <w:left w:val="single" w:color="auto" w:sz="4" w:space="0"/>
              <w:right w:val="single" w:color="auto" w:sz="4" w:space="0"/>
            </w:tcBorders>
            <w:noWrap w:val="0"/>
            <w:vAlign w:val="center"/>
          </w:tcPr>
          <w:p w14:paraId="0819C2F4">
            <w:pPr>
              <w:spacing w:line="240" w:lineRule="auto"/>
              <w:jc w:val="center"/>
              <w:outlineLvl w:val="9"/>
              <w:rPr>
                <w:rFonts w:hint="eastAsia" w:ascii="华文中宋" w:hAnsi="华文中宋" w:eastAsia="华文中宋" w:cs="华文中宋"/>
                <w:color w:val="auto"/>
                <w:sz w:val="21"/>
                <w:szCs w:val="21"/>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14:paraId="6AA6E6B2">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磋商供应商</w:t>
            </w:r>
            <w:r>
              <w:rPr>
                <w:rFonts w:hint="eastAsia" w:ascii="华文中宋" w:hAnsi="华文中宋" w:eastAsia="华文中宋" w:cs="华文中宋"/>
                <w:color w:val="auto"/>
                <w:sz w:val="21"/>
                <w:szCs w:val="21"/>
                <w:lang w:val="en-US" w:eastAsia="zh-CN"/>
              </w:rPr>
              <w:t>及项目经理</w:t>
            </w:r>
            <w:r>
              <w:rPr>
                <w:rFonts w:hint="eastAsia" w:ascii="华文中宋" w:hAnsi="华文中宋" w:eastAsia="华文中宋" w:cs="华文中宋"/>
                <w:color w:val="auto"/>
                <w:sz w:val="21"/>
                <w:szCs w:val="21"/>
              </w:rPr>
              <w:t>不良记录</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812D7BB">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39EBE2D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rPr>
              <w:t>磋商供应商近一年无不良记录的得</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rPr>
              <w:t>分</w:t>
            </w:r>
            <w:r>
              <w:rPr>
                <w:rFonts w:hint="eastAsia" w:ascii="华文中宋" w:hAnsi="华文中宋" w:eastAsia="华文中宋" w:cs="华文中宋"/>
                <w:color w:val="auto"/>
                <w:sz w:val="21"/>
                <w:szCs w:val="21"/>
                <w:lang w:eastAsia="zh-CN"/>
              </w:rPr>
              <w:t>；项目经理近一年无不良行为记录的得</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lang w:eastAsia="zh-CN"/>
              </w:rPr>
              <w:t>分。</w:t>
            </w:r>
          </w:p>
        </w:tc>
      </w:tr>
      <w:tr w14:paraId="13B76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C91BD3B">
            <w:pPr>
              <w:adjustRightInd w:val="0"/>
              <w:snapToGrid w:val="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同类型工程定义：</w:t>
            </w:r>
          </w:p>
          <w:p w14:paraId="2D456FB0">
            <w:pPr>
              <w:adjustRightInd w:val="0"/>
              <w:snapToGrid w:val="0"/>
              <w:spacing w:line="240" w:lineRule="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1、同类型工程是指</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电力工程</w:t>
            </w:r>
            <w:r>
              <w:rPr>
                <w:rFonts w:hint="eastAsia" w:ascii="华文中宋" w:hAnsi="华文中宋" w:eastAsia="华文中宋" w:cs="华文中宋"/>
                <w:color w:val="auto"/>
                <w:sz w:val="21"/>
                <w:szCs w:val="21"/>
                <w:lang w:eastAsia="zh-CN"/>
              </w:rPr>
              <w:t>。</w:t>
            </w:r>
          </w:p>
          <w:p w14:paraId="399B9536">
            <w:pPr>
              <w:adjustRightInd w:val="0"/>
              <w:snapToGrid w:val="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2、近</w:t>
            </w:r>
            <w:r>
              <w:rPr>
                <w:rFonts w:hint="eastAsia" w:ascii="华文中宋" w:hAnsi="华文中宋" w:eastAsia="华文中宋" w:cs="华文中宋"/>
                <w:color w:val="auto"/>
                <w:sz w:val="21"/>
                <w:szCs w:val="21"/>
                <w:lang w:val="en-US" w:eastAsia="zh-CN"/>
              </w:rPr>
              <w:t>三</w:t>
            </w:r>
            <w:r>
              <w:rPr>
                <w:rFonts w:hint="eastAsia" w:ascii="华文中宋" w:hAnsi="华文中宋" w:eastAsia="华文中宋" w:cs="华文中宋"/>
                <w:color w:val="auto"/>
                <w:sz w:val="21"/>
                <w:szCs w:val="21"/>
              </w:rPr>
              <w:t>年完成的同类型工程：磋商截止日前</w:t>
            </w:r>
            <w:r>
              <w:rPr>
                <w:rFonts w:hint="eastAsia" w:ascii="华文中宋" w:hAnsi="华文中宋" w:eastAsia="华文中宋" w:cs="华文中宋"/>
                <w:color w:val="auto"/>
                <w:sz w:val="21"/>
                <w:szCs w:val="21"/>
                <w:lang w:val="en-US" w:eastAsia="zh-CN"/>
              </w:rPr>
              <w:t>3</w:t>
            </w:r>
            <w:r>
              <w:rPr>
                <w:rFonts w:hint="eastAsia" w:ascii="华文中宋" w:hAnsi="华文中宋" w:eastAsia="华文中宋" w:cs="华文中宋"/>
                <w:color w:val="auto"/>
                <w:sz w:val="21"/>
                <w:szCs w:val="21"/>
              </w:rPr>
              <w:t xml:space="preserve">年内 </w:t>
            </w:r>
          </w:p>
          <w:p w14:paraId="1062D272">
            <w:pPr>
              <w:pStyle w:val="2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3、不良记录是指已经被处罚或被通报的建筑市场主体的违法违规行为</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以全国建筑市场监管公共服务平台的查询结果为准</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 xml:space="preserve"> </w:t>
            </w:r>
            <w:r>
              <w:rPr>
                <w:rFonts w:hint="eastAsia" w:ascii="华文中宋" w:hAnsi="华文中宋" w:eastAsia="华文中宋" w:cs="华文中宋"/>
                <w:color w:val="auto"/>
                <w:sz w:val="21"/>
                <w:szCs w:val="21"/>
              </w:rPr>
              <w:t>。</w:t>
            </w:r>
          </w:p>
          <w:p w14:paraId="7F7D9CAB">
            <w:pPr>
              <w:adjustRightInd w:val="0"/>
              <w:snapToGrid w:val="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4、同类型工程业绩是以同一工程的</w:t>
            </w:r>
            <w:r>
              <w:rPr>
                <w:rFonts w:hint="eastAsia" w:ascii="华文中宋" w:hAnsi="华文中宋" w:eastAsia="华文中宋" w:cs="华文中宋"/>
                <w:color w:val="auto"/>
                <w:sz w:val="21"/>
                <w:szCs w:val="21"/>
                <w:lang w:val="en-US" w:eastAsia="zh-CN"/>
              </w:rPr>
              <w:t>中标通知书、合同及竣工验收证明为准（合同要求必须提供与最终用户签订的合同首页、合同金额所在页、签字盖章页复印件作为证明），</w:t>
            </w:r>
            <w:r>
              <w:rPr>
                <w:rFonts w:hint="eastAsia" w:ascii="华文中宋" w:hAnsi="华文中宋" w:eastAsia="华文中宋" w:cs="华文中宋"/>
                <w:color w:val="auto"/>
                <w:sz w:val="21"/>
                <w:szCs w:val="21"/>
              </w:rPr>
              <w:t>三项内容缺一不可，其他现场出示的证明无效。项目经理同类型工程业绩的合同（协议书）</w:t>
            </w:r>
            <w:r>
              <w:rPr>
                <w:rFonts w:hint="eastAsia" w:ascii="华文中宋" w:hAnsi="华文中宋" w:eastAsia="华文中宋" w:cs="华文中宋"/>
                <w:color w:val="auto"/>
                <w:sz w:val="21"/>
                <w:szCs w:val="21"/>
                <w:lang w:val="en-US" w:eastAsia="zh-CN"/>
              </w:rPr>
              <w:t>或</w:t>
            </w:r>
            <w:r>
              <w:rPr>
                <w:rFonts w:hint="eastAsia" w:ascii="华文中宋" w:hAnsi="华文中宋" w:eastAsia="华文中宋" w:cs="华文中宋"/>
                <w:color w:val="auto"/>
                <w:sz w:val="21"/>
                <w:szCs w:val="21"/>
              </w:rPr>
              <w:t>中标（成交）通知书中需显示项目经理姓名，否则不予确认。同</w:t>
            </w:r>
            <w:r>
              <w:rPr>
                <w:rFonts w:hint="eastAsia" w:ascii="华文中宋" w:hAnsi="华文中宋" w:eastAsia="华文中宋" w:cs="华文中宋"/>
                <w:color w:val="auto"/>
                <w:sz w:val="21"/>
                <w:szCs w:val="21"/>
                <w:lang w:val="en-US" w:eastAsia="zh-CN"/>
              </w:rPr>
              <w:t>一</w:t>
            </w:r>
            <w:r>
              <w:rPr>
                <w:rFonts w:hint="eastAsia" w:ascii="华文中宋" w:hAnsi="华文中宋" w:eastAsia="华文中宋" w:cs="华文中宋"/>
                <w:color w:val="auto"/>
                <w:sz w:val="21"/>
                <w:szCs w:val="21"/>
              </w:rPr>
              <w:t>工程业绩不重复得分。</w:t>
            </w:r>
          </w:p>
          <w:p w14:paraId="4071EBBD">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说明：</w:t>
            </w:r>
          </w:p>
          <w:p w14:paraId="1BA34763">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（1）磋商供应商的同类型工程业绩和项目经理的同类型工程业绩认定应按以上要求执行；</w:t>
            </w:r>
          </w:p>
          <w:p w14:paraId="20BCF6F2">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（2）同类型工程时间认定：以中标、成交通知书明确的时间为准。</w:t>
            </w:r>
          </w:p>
        </w:tc>
      </w:tr>
    </w:tbl>
    <w:p w14:paraId="611C7B81">
      <w:pPr>
        <w:pStyle w:val="20"/>
        <w:outlineLvl w:val="9"/>
        <w:rPr>
          <w:rFonts w:hint="eastAsia" w:ascii="华文中宋" w:hAnsi="华文中宋" w:eastAsia="华文中宋" w:cs="华文中宋"/>
          <w:color w:val="auto"/>
          <w:kern w:val="2"/>
          <w:sz w:val="24"/>
          <w:szCs w:val="24"/>
          <w:lang w:val="en-US" w:eastAsia="zh-CN" w:bidi="ar-SA"/>
        </w:rPr>
      </w:pPr>
      <w:bookmarkStart w:id="54" w:name="_Toc40954053"/>
      <w:bookmarkStart w:id="55" w:name="_Toc44690685"/>
      <w:bookmarkStart w:id="56" w:name="_Toc44690611"/>
      <w:bookmarkStart w:id="57" w:name="_Toc40877995"/>
    </w:p>
    <w:p w14:paraId="5377BC77">
      <w:pPr>
        <w:pStyle w:val="2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color w:val="auto"/>
          <w:kern w:val="2"/>
          <w:sz w:val="24"/>
          <w:szCs w:val="24"/>
          <w:lang w:val="en-US" w:eastAsia="zh-CN" w:bidi="ar-SA"/>
        </w:rPr>
        <w:t>2、价格评审</w:t>
      </w:r>
    </w:p>
    <w:tbl>
      <w:tblPr>
        <w:tblStyle w:val="29"/>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1503"/>
        <w:gridCol w:w="6903"/>
      </w:tblGrid>
      <w:tr w14:paraId="483A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5" w:type="pct"/>
            <w:noWrap w:val="0"/>
            <w:vAlign w:val="center"/>
          </w:tcPr>
          <w:p w14:paraId="0424B6A4">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en-US" w:eastAsia="zh-CN"/>
              </w:rPr>
              <w:t>序号</w:t>
            </w:r>
          </w:p>
        </w:tc>
        <w:tc>
          <w:tcPr>
            <w:tcW w:w="832" w:type="pct"/>
            <w:noWrap w:val="0"/>
            <w:vAlign w:val="center"/>
          </w:tcPr>
          <w:p w14:paraId="2C4F90B1">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评审项目</w:t>
            </w:r>
          </w:p>
        </w:tc>
        <w:tc>
          <w:tcPr>
            <w:tcW w:w="3821" w:type="pct"/>
            <w:noWrap w:val="0"/>
            <w:vAlign w:val="center"/>
          </w:tcPr>
          <w:p w14:paraId="0B27E9E5">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评分标准</w:t>
            </w:r>
          </w:p>
        </w:tc>
      </w:tr>
      <w:tr w14:paraId="55FA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5" w:type="pct"/>
            <w:vMerge w:val="restart"/>
            <w:noWrap w:val="0"/>
            <w:vAlign w:val="center"/>
          </w:tcPr>
          <w:p w14:paraId="4374F4BE">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1</w:t>
            </w:r>
          </w:p>
        </w:tc>
        <w:tc>
          <w:tcPr>
            <w:tcW w:w="832" w:type="pct"/>
            <w:vMerge w:val="restart"/>
            <w:noWrap w:val="0"/>
            <w:vAlign w:val="center"/>
          </w:tcPr>
          <w:p w14:paraId="30585D06">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响应报价</w:t>
            </w:r>
          </w:p>
          <w:p w14:paraId="25ED520C">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（满分</w:t>
            </w:r>
            <w:r>
              <w:rPr>
                <w:rFonts w:hint="eastAsia" w:ascii="华文中宋" w:hAnsi="华文中宋" w:eastAsia="华文中宋" w:cs="华文中宋"/>
                <w:color w:val="auto"/>
                <w:sz w:val="21"/>
                <w:szCs w:val="21"/>
                <w:lang w:val="en-US" w:eastAsia="zh-CN"/>
              </w:rPr>
              <w:t>30</w:t>
            </w:r>
            <w:r>
              <w:rPr>
                <w:rFonts w:hint="eastAsia" w:ascii="华文中宋" w:hAnsi="华文中宋" w:eastAsia="华文中宋" w:cs="华文中宋"/>
                <w:color w:val="auto"/>
                <w:sz w:val="21"/>
                <w:szCs w:val="21"/>
                <w:lang w:val="zh-CN"/>
              </w:rPr>
              <w:t>分）</w:t>
            </w:r>
          </w:p>
        </w:tc>
        <w:tc>
          <w:tcPr>
            <w:tcW w:w="3821" w:type="pct"/>
            <w:noWrap w:val="0"/>
            <w:vAlign w:val="center"/>
          </w:tcPr>
          <w:p w14:paraId="4C33BE86">
            <w:pPr>
              <w:adjustRightInd w:val="0"/>
              <w:snapToGrid w:val="0"/>
              <w:spacing w:line="240" w:lineRule="auto"/>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评标基准价即满足采购文件要求且响应价格最低的响应报价。</w:t>
            </w:r>
          </w:p>
          <w:p w14:paraId="077F1412">
            <w:pPr>
              <w:adjustRightInd w:val="0"/>
              <w:snapToGrid w:val="0"/>
              <w:spacing w:line="240" w:lineRule="auto"/>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响应报价得分=（评标基准价/响应报价）×分值</w:t>
            </w:r>
          </w:p>
        </w:tc>
      </w:tr>
      <w:tr w14:paraId="66A3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5" w:type="pct"/>
            <w:vMerge w:val="continue"/>
            <w:noWrap w:val="0"/>
            <w:vAlign w:val="center"/>
          </w:tcPr>
          <w:p w14:paraId="43571AA7">
            <w:pPr>
              <w:adjustRightInd w:val="0"/>
              <w:snapToGrid w:val="0"/>
              <w:spacing w:line="240" w:lineRule="auto"/>
              <w:outlineLvl w:val="9"/>
              <w:rPr>
                <w:rFonts w:hint="eastAsia" w:ascii="华文中宋" w:hAnsi="华文中宋" w:eastAsia="华文中宋" w:cs="华文中宋"/>
                <w:color w:val="auto"/>
                <w:sz w:val="21"/>
                <w:szCs w:val="21"/>
                <w:lang w:val="zh-CN"/>
              </w:rPr>
            </w:pPr>
          </w:p>
        </w:tc>
        <w:tc>
          <w:tcPr>
            <w:tcW w:w="832" w:type="pct"/>
            <w:vMerge w:val="continue"/>
            <w:noWrap w:val="0"/>
            <w:vAlign w:val="center"/>
          </w:tcPr>
          <w:p w14:paraId="54ABFF0C">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p>
        </w:tc>
        <w:tc>
          <w:tcPr>
            <w:tcW w:w="3821" w:type="pct"/>
            <w:noWrap w:val="0"/>
            <w:vAlign w:val="center"/>
          </w:tcPr>
          <w:p w14:paraId="115D728B">
            <w:pPr>
              <w:adjustRightInd w:val="0"/>
              <w:snapToGrid w:val="0"/>
              <w:spacing w:line="240" w:lineRule="auto"/>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因落实政府采购政策进行价格调整的，以调整后的价格计算评标基准价和响应报价。</w:t>
            </w:r>
          </w:p>
        </w:tc>
      </w:tr>
    </w:tbl>
    <w:p w14:paraId="3DB64DEC">
      <w:pPr>
        <w:adjustRightInd w:val="0"/>
        <w:snapToGrid w:val="0"/>
        <w:spacing w:line="360" w:lineRule="auto"/>
        <w:outlineLvl w:val="9"/>
        <w:rPr>
          <w:rFonts w:hint="eastAsia" w:ascii="华文中宋" w:hAnsi="华文中宋" w:eastAsia="华文中宋" w:cs="华文中宋"/>
          <w:color w:val="auto"/>
        </w:rPr>
      </w:pPr>
    </w:p>
    <w:p w14:paraId="45324A94">
      <w:pPr>
        <w:spacing w:before="0" w:after="0" w:line="240" w:lineRule="auto"/>
        <w:jc w:val="both"/>
        <w:outlineLvl w:val="9"/>
        <w:rPr>
          <w:rFonts w:hint="eastAsia" w:ascii="华文中宋" w:hAnsi="华文中宋" w:eastAsia="华文中宋" w:cs="华文中宋"/>
          <w:color w:val="auto"/>
          <w:sz w:val="32"/>
          <w:szCs w:val="32"/>
        </w:rPr>
      </w:pPr>
    </w:p>
    <w:p w14:paraId="47878900">
      <w:pPr>
        <w:spacing w:before="0" w:after="0" w:line="240" w:lineRule="auto"/>
        <w:jc w:val="center"/>
        <w:outlineLvl w:val="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br w:type="page"/>
      </w:r>
      <w:bookmarkStart w:id="58" w:name="_Toc25718"/>
      <w:bookmarkStart w:id="59" w:name="_Toc6114"/>
      <w:r>
        <w:rPr>
          <w:rFonts w:hint="eastAsia" w:ascii="华文中宋" w:hAnsi="华文中宋" w:eastAsia="华文中宋" w:cs="华文中宋"/>
          <w:b/>
          <w:bCs/>
          <w:color w:val="auto"/>
          <w:spacing w:val="0"/>
          <w:kern w:val="44"/>
          <w:sz w:val="44"/>
          <w:szCs w:val="44"/>
          <w:lang w:val="en-US" w:eastAsia="zh-CN" w:bidi="ar-SA"/>
        </w:rPr>
        <w:t>第五部分  技术标准和要求</w:t>
      </w:r>
      <w:bookmarkEnd w:id="54"/>
      <w:bookmarkEnd w:id="55"/>
      <w:bookmarkEnd w:id="56"/>
      <w:bookmarkEnd w:id="57"/>
      <w:bookmarkEnd w:id="58"/>
      <w:bookmarkEnd w:id="59"/>
    </w:p>
    <w:p w14:paraId="363D81B2">
      <w:pPr>
        <w:keepNext w:val="0"/>
        <w:keepLines w:val="0"/>
        <w:pageBreakBefore w:val="0"/>
        <w:widowControl w:val="0"/>
        <w:kinsoku/>
        <w:wordWrap w:val="0"/>
        <w:overflowPunct/>
        <w:topLinePunct w:val="0"/>
        <w:autoSpaceDE/>
        <w:autoSpaceDN/>
        <w:bidi w:val="0"/>
        <w:adjustRightInd/>
        <w:spacing w:line="500" w:lineRule="exact"/>
        <w:ind w:left="0" w:leftChars="0" w:firstLine="480" w:firstLineChars="200"/>
        <w:textAlignment w:val="auto"/>
        <w:outlineLvl w:val="9"/>
        <w:rPr>
          <w:rFonts w:hint="eastAsia" w:ascii="华文中宋" w:hAnsi="华文中宋" w:eastAsia="华文中宋" w:cs="华文中宋"/>
          <w:b/>
          <w:bCs/>
          <w:color w:val="auto"/>
          <w:sz w:val="24"/>
          <w:szCs w:val="24"/>
        </w:rPr>
      </w:pPr>
      <w:bookmarkStart w:id="60" w:name="_Toc44690612"/>
      <w:bookmarkStart w:id="61" w:name="_Toc43363083"/>
      <w:bookmarkStart w:id="62" w:name="_Toc40954054"/>
      <w:bookmarkStart w:id="63" w:name="_Toc44690686"/>
      <w:r>
        <w:rPr>
          <w:rFonts w:hint="eastAsia" w:ascii="华文中宋" w:hAnsi="华文中宋" w:eastAsia="华文中宋" w:cs="华文中宋"/>
          <w:b/>
          <w:bCs/>
          <w:color w:val="auto"/>
          <w:sz w:val="24"/>
          <w:szCs w:val="24"/>
        </w:rPr>
        <w:t>一、一般要求</w:t>
      </w:r>
      <w:bookmarkEnd w:id="60"/>
      <w:bookmarkEnd w:id="61"/>
      <w:bookmarkEnd w:id="62"/>
      <w:bookmarkEnd w:id="63"/>
    </w:p>
    <w:p w14:paraId="066AC7AA">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1.工程说明</w:t>
      </w:r>
    </w:p>
    <w:p w14:paraId="1A36537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1.1工程概况</w:t>
      </w:r>
    </w:p>
    <w:p w14:paraId="0D5A578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lang w:eastAsia="zh-CN"/>
        </w:rPr>
      </w:pPr>
      <w:r>
        <w:rPr>
          <w:rFonts w:hint="eastAsia" w:ascii="华文中宋" w:hAnsi="华文中宋" w:eastAsia="华文中宋" w:cs="华文中宋"/>
          <w:color w:val="auto"/>
          <w:sz w:val="24"/>
          <w:szCs w:val="24"/>
          <w:u w:val="single"/>
          <w:lang w:val="en-US" w:eastAsia="zh-CN"/>
        </w:rPr>
        <w:t>蒲县昕水河、北川河生态综合治理工程供电线路迁改工程工程</w:t>
      </w:r>
      <w:r>
        <w:rPr>
          <w:rFonts w:hint="eastAsia" w:ascii="华文中宋" w:hAnsi="华文中宋" w:eastAsia="华文中宋" w:cs="华文中宋"/>
          <w:color w:val="auto"/>
          <w:sz w:val="24"/>
          <w:szCs w:val="24"/>
          <w:u w:val="single"/>
        </w:rPr>
        <w:t>量清单中的全部内容</w:t>
      </w:r>
      <w:r>
        <w:rPr>
          <w:rFonts w:hint="eastAsia" w:ascii="华文中宋" w:hAnsi="华文中宋" w:eastAsia="华文中宋" w:cs="华文中宋"/>
          <w:color w:val="auto"/>
          <w:sz w:val="24"/>
          <w:szCs w:val="24"/>
          <w:u w:val="single"/>
          <w:lang w:eastAsia="zh-CN"/>
        </w:rPr>
        <w:t>。</w:t>
      </w:r>
    </w:p>
    <w:p w14:paraId="41192C6B">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default" w:ascii="华文中宋" w:hAnsi="华文中宋" w:eastAsia="华文中宋" w:cs="华文中宋"/>
          <w:color w:val="auto"/>
          <w:sz w:val="24"/>
          <w:szCs w:val="24"/>
          <w:u w:val="single"/>
          <w:lang w:val="en-US" w:eastAsia="zh-CN"/>
        </w:rPr>
      </w:pPr>
      <w:r>
        <w:rPr>
          <w:rFonts w:hint="eastAsia" w:ascii="华文中宋" w:hAnsi="华文中宋" w:eastAsia="华文中宋" w:cs="华文中宋"/>
          <w:color w:val="auto"/>
          <w:sz w:val="24"/>
          <w:szCs w:val="24"/>
          <w:u w:val="none"/>
        </w:rPr>
        <w:t>1.2本工程施工场地（现场）具体地理位置：</w:t>
      </w:r>
      <w:r>
        <w:rPr>
          <w:rFonts w:hint="eastAsia" w:ascii="华文中宋" w:hAnsi="华文中宋" w:eastAsia="华文中宋" w:cs="华文中宋"/>
          <w:color w:val="auto"/>
          <w:sz w:val="24"/>
          <w:szCs w:val="24"/>
          <w:u w:val="single"/>
          <w:lang w:val="en-US" w:eastAsia="zh-CN"/>
        </w:rPr>
        <w:t xml:space="preserve">蒲县 </w:t>
      </w:r>
    </w:p>
    <w:p w14:paraId="728FAA0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none"/>
        </w:rPr>
        <w:t>1.3</w:t>
      </w:r>
      <w:r>
        <w:rPr>
          <w:rFonts w:hint="eastAsia" w:ascii="华文中宋" w:hAnsi="华文中宋" w:eastAsia="华文中宋" w:cs="华文中宋"/>
          <w:color w:val="auto"/>
          <w:sz w:val="24"/>
          <w:szCs w:val="24"/>
        </w:rPr>
        <w:t>本工程施工场地（现场）已经具备施工条件。施工场地（现场）现状平面图见附件A。</w:t>
      </w:r>
    </w:p>
    <w:p w14:paraId="58F5082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1.4现场条件和周围环境的其他资料和信息数据：</w:t>
      </w:r>
      <w:r>
        <w:rPr>
          <w:rFonts w:hint="eastAsia" w:ascii="华文中宋" w:hAnsi="华文中宋" w:eastAsia="华文中宋" w:cs="华文中宋"/>
          <w:color w:val="auto"/>
          <w:sz w:val="24"/>
          <w:szCs w:val="24"/>
          <w:u w:val="single"/>
        </w:rPr>
        <w:t xml:space="preserve">  无   </w:t>
      </w:r>
    </w:p>
    <w:p w14:paraId="47CEA6D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1.5承包人被认为已在本工程磋商阶段踏勘现场时充分了解本工程现场条件和周围环境，并已在其磋商时就此给予了充分的考虑。</w:t>
      </w:r>
    </w:p>
    <w:p w14:paraId="498AD05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1.6合同文件中载明的涉及本工程的资料和信息数据，是发包人现有的和客观的，发包人保证有关资料和信息数据的真实、准确。但承包人据此作出的推论、判断和决策，由承包人自行负责。</w:t>
      </w:r>
    </w:p>
    <w:p w14:paraId="578BF5A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2.承包范围</w:t>
      </w:r>
    </w:p>
    <w:p w14:paraId="34B061C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2.1本工程承包人自行施工的工程范围：</w:t>
      </w:r>
    </w:p>
    <w:p w14:paraId="564BC20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u w:val="single"/>
          <w:lang w:val="en-US" w:eastAsia="zh-CN"/>
        </w:rPr>
        <w:t>蒲县昕水河、北川河生态综合治理工程供电线路迁改工程</w:t>
      </w:r>
      <w:r>
        <w:rPr>
          <w:rFonts w:hint="eastAsia" w:ascii="华文中宋" w:hAnsi="华文中宋" w:eastAsia="华文中宋" w:cs="华文中宋"/>
          <w:color w:val="auto"/>
          <w:sz w:val="24"/>
          <w:szCs w:val="24"/>
          <w:u w:val="single"/>
        </w:rPr>
        <w:t>工程量清单中的全部内容。</w:t>
      </w:r>
    </w:p>
    <w:p w14:paraId="3CDDEFAE">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lang w:val="en-US" w:eastAsia="zh-CN"/>
        </w:rPr>
      </w:pPr>
      <w:r>
        <w:rPr>
          <w:rFonts w:hint="eastAsia" w:ascii="华文中宋" w:hAnsi="华文中宋" w:eastAsia="华文中宋" w:cs="华文中宋"/>
          <w:color w:val="auto"/>
          <w:sz w:val="24"/>
          <w:szCs w:val="24"/>
        </w:rPr>
        <w:t>2.2发包人发包的专业工程：</w:t>
      </w:r>
      <w:r>
        <w:rPr>
          <w:rFonts w:hint="eastAsia" w:ascii="华文中宋" w:hAnsi="华文中宋" w:eastAsia="华文中宋" w:cs="华文中宋"/>
          <w:color w:val="auto"/>
          <w:sz w:val="24"/>
          <w:szCs w:val="24"/>
          <w:u w:val="single"/>
          <w:lang w:val="en-US" w:eastAsia="zh-CN"/>
        </w:rPr>
        <w:t xml:space="preserve">   /     </w:t>
      </w:r>
    </w:p>
    <w:p w14:paraId="18D3506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2.3发包人供应的材料和工程设备见合同附件二“发包人供应的材料和工程设备一览表”。</w:t>
      </w:r>
    </w:p>
    <w:p w14:paraId="4DEBA42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3.工期要求</w:t>
      </w:r>
    </w:p>
    <w:p w14:paraId="38D49A8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3.1合同工期</w:t>
      </w:r>
    </w:p>
    <w:p w14:paraId="0A8D054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本工程合同工期和计划开、竣工日期为承包人在报价函附录中承诺的工期和计划开、竣工日期，并在合同协议书中载明。</w:t>
      </w:r>
    </w:p>
    <w:p w14:paraId="483EA66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3.2关于工期的一般规定</w:t>
      </w:r>
    </w:p>
    <w:p w14:paraId="42E821D6">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3.2.1承包人在报价函中承诺的工期和计划开、竣工日期之间发生矛盾或者不一致时，以承包人承诺的工期为准。实际开工日期以通用合同条款第11.1款约定的监理人发出的开工通知中载明的开工日期为准。</w:t>
      </w:r>
    </w:p>
    <w:p w14:paraId="7AA77AF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3.2.2如果承包人在报价函附录中承诺的工期提前于发包人在本工程磋商文件中所要求的工期，承包人在施工组织设计中应当制定相应的工期保证措施，由此而增加的费用应当被认为已经包括在磋商总价中。除合同另有约定外，合同履约过程中发包人不会因此再向承包人支付任何性质技术措施费用、赶工费用或其他任何性质的提前完工奖励等费用。</w:t>
      </w:r>
    </w:p>
    <w:p w14:paraId="5E33CEC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4.质量要求</w:t>
      </w:r>
    </w:p>
    <w:p w14:paraId="10930B3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4.1质量标准</w:t>
      </w:r>
    </w:p>
    <w:p w14:paraId="7CFE943B">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highlight w:val="yellow"/>
        </w:rPr>
      </w:pPr>
      <w:r>
        <w:rPr>
          <w:rFonts w:hint="eastAsia" w:ascii="华文中宋" w:hAnsi="华文中宋" w:eastAsia="华文中宋" w:cs="华文中宋"/>
          <w:color w:val="auto"/>
          <w:sz w:val="24"/>
          <w:szCs w:val="24"/>
        </w:rPr>
        <w:t>本工程要求的质量标准为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highlight w:val="none"/>
          <w:u w:val="single"/>
        </w:rPr>
        <w:t>达到国家质量验评标准合格</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w:t>
      </w:r>
    </w:p>
    <w:p w14:paraId="094A944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4.2特殊质量要求</w:t>
      </w:r>
    </w:p>
    <w:p w14:paraId="3895EDC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有关本工程质量方面的特殊要求：</w:t>
      </w:r>
      <w:r>
        <w:rPr>
          <w:rFonts w:hint="eastAsia" w:ascii="华文中宋" w:hAnsi="华文中宋" w:eastAsia="华文中宋" w:cs="华文中宋"/>
          <w:color w:val="auto"/>
          <w:sz w:val="24"/>
          <w:szCs w:val="24"/>
          <w:u w:val="single"/>
        </w:rPr>
        <w:t xml:space="preserve"> 无 </w:t>
      </w:r>
    </w:p>
    <w:p w14:paraId="36843F7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5.适用规范和标准</w:t>
      </w:r>
    </w:p>
    <w:p w14:paraId="5B4D15B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5.1适用的规范、标准和规程</w:t>
      </w:r>
    </w:p>
    <w:p w14:paraId="3D6BF00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5.1.1除合同另有约定外，本工程适用现行国家、行业和地方规范、标准和规程。适用于本工程的国家、行业和地方的规范、标准和规范等的名录见本章第三部分。</w:t>
      </w:r>
    </w:p>
    <w:p w14:paraId="7E28E6F8">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37A0488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5.2特殊技术标准和要求</w:t>
      </w:r>
    </w:p>
    <w:p w14:paraId="48E477DA">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适用本工程的特殊技术标准和要求见本章第二部分。</w:t>
      </w:r>
    </w:p>
    <w:p w14:paraId="0C75CE4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6.安全文明施工</w:t>
      </w:r>
    </w:p>
    <w:p w14:paraId="411A81F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6.1安全防护</w:t>
      </w:r>
    </w:p>
    <w:p w14:paraId="686CB75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6.1.1在工程施工、竣工、交付及修补任何缺陷的过程中，承包人应当始终遵守国家和地方有关安全生产的法律、法规、规范、标准和规程等，按照通用合同条款第9.2款的约定履行其安全施工职责。</w:t>
      </w:r>
    </w:p>
    <w:p w14:paraId="7F5CEBA0">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6.1.2其他：</w:t>
      </w:r>
      <w:r>
        <w:rPr>
          <w:rFonts w:hint="eastAsia" w:ascii="华文中宋" w:hAnsi="华文中宋" w:eastAsia="华文中宋" w:cs="华文中宋"/>
          <w:color w:val="auto"/>
          <w:sz w:val="24"/>
          <w:szCs w:val="24"/>
          <w:u w:val="single"/>
        </w:rPr>
        <w:t xml:space="preserve">  无 </w:t>
      </w:r>
    </w:p>
    <w:p w14:paraId="707A2F6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6.2文明施工</w:t>
      </w:r>
    </w:p>
    <w:p w14:paraId="0385B11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6.2.1承包人应遵守国家和工程所在地有关法规、规范、规程和标准的规定，履行文明施工义务，确保文明施工专项费用专款专用。</w:t>
      </w:r>
    </w:p>
    <w:p w14:paraId="53E26068">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6.2.2文明施工方面的其他要求：</w:t>
      </w:r>
      <w:r>
        <w:rPr>
          <w:rFonts w:hint="eastAsia" w:ascii="华文中宋" w:hAnsi="华文中宋" w:eastAsia="华文中宋" w:cs="华文中宋"/>
          <w:color w:val="auto"/>
          <w:sz w:val="24"/>
          <w:szCs w:val="24"/>
          <w:u w:val="single"/>
        </w:rPr>
        <w:t xml:space="preserve"> 无 </w:t>
      </w:r>
    </w:p>
    <w:p w14:paraId="7D77F9D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7.治安保卫</w:t>
      </w:r>
    </w:p>
    <w:p w14:paraId="7A83670F">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7.1施工场地（现场）治安管理计划的要求：</w:t>
      </w:r>
      <w:r>
        <w:rPr>
          <w:rFonts w:hint="eastAsia" w:ascii="华文中宋" w:hAnsi="华文中宋" w:eastAsia="华文中宋" w:cs="华文中宋"/>
          <w:color w:val="auto"/>
          <w:sz w:val="24"/>
          <w:szCs w:val="24"/>
          <w:u w:val="single"/>
        </w:rPr>
        <w:t xml:space="preserve">无   </w:t>
      </w:r>
    </w:p>
    <w:p w14:paraId="1D4C8979">
      <w:pPr>
        <w:keepNext w:val="0"/>
        <w:keepLines w:val="0"/>
        <w:pageBreakBefore w:val="0"/>
        <w:widowControl w:val="0"/>
        <w:kinsoku/>
        <w:wordWrap w:val="0"/>
        <w:overflowPunct/>
        <w:topLinePunct w:val="0"/>
        <w:autoSpaceDE/>
        <w:autoSpaceDN/>
        <w:bidi w:val="0"/>
        <w:adjustRightInd/>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7.2突发治安事件紧急预案的要求：</w:t>
      </w:r>
      <w:r>
        <w:rPr>
          <w:rFonts w:hint="eastAsia" w:ascii="华文中宋" w:hAnsi="华文中宋" w:eastAsia="华文中宋" w:cs="华文中宋"/>
          <w:color w:val="auto"/>
          <w:sz w:val="24"/>
          <w:szCs w:val="24"/>
          <w:u w:val="single"/>
        </w:rPr>
        <w:t xml:space="preserve">无  </w:t>
      </w:r>
    </w:p>
    <w:p w14:paraId="090F81E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7.3治安保卫方面的其他要求如下：</w:t>
      </w:r>
      <w:r>
        <w:rPr>
          <w:rFonts w:hint="eastAsia" w:ascii="华文中宋" w:hAnsi="华文中宋" w:eastAsia="华文中宋" w:cs="华文中宋"/>
          <w:color w:val="auto"/>
          <w:sz w:val="24"/>
          <w:szCs w:val="24"/>
          <w:u w:val="single"/>
        </w:rPr>
        <w:t>无</w:t>
      </w:r>
    </w:p>
    <w:p w14:paraId="036F845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8.地上、地下设施和周边建筑物的临时保护</w:t>
      </w:r>
    </w:p>
    <w:p w14:paraId="4B70873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8.1发包人特别提醒承包人注意以下地上、地下设施和周边建筑物的保护：</w:t>
      </w:r>
      <w:r>
        <w:rPr>
          <w:rFonts w:hint="eastAsia" w:ascii="华文中宋" w:hAnsi="华文中宋" w:eastAsia="华文中宋" w:cs="华文中宋"/>
          <w:color w:val="auto"/>
          <w:sz w:val="24"/>
          <w:szCs w:val="24"/>
          <w:u w:val="single"/>
        </w:rPr>
        <w:t xml:space="preserve">无  </w:t>
      </w:r>
    </w:p>
    <w:p w14:paraId="7C66506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8.2地上、地下设施和周边建筑物的临时保护的其他要求</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u w:val="single"/>
        </w:rPr>
        <w:t xml:space="preserve">无   </w:t>
      </w:r>
    </w:p>
    <w:p w14:paraId="4381AB7F">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9.样品和材料代换</w:t>
      </w:r>
    </w:p>
    <w:p w14:paraId="7E944B6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9.1本工程需要承包人提供样品的材料和工程设备：</w:t>
      </w:r>
      <w:r>
        <w:rPr>
          <w:rFonts w:hint="eastAsia" w:ascii="华文中宋" w:hAnsi="华文中宋" w:eastAsia="华文中宋" w:cs="华文中宋"/>
          <w:color w:val="auto"/>
          <w:sz w:val="24"/>
          <w:szCs w:val="24"/>
          <w:u w:val="single"/>
        </w:rPr>
        <w:t xml:space="preserve">无  </w:t>
      </w:r>
    </w:p>
    <w:p w14:paraId="6572ED7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9.2材料代换</w:t>
      </w:r>
    </w:p>
    <w:p w14:paraId="5EC91A1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5CD5B508">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10.进口材料和工程设备</w:t>
      </w:r>
    </w:p>
    <w:p w14:paraId="4963041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10.1本工程需要进口的材料和工程设备：</w:t>
      </w:r>
      <w:r>
        <w:rPr>
          <w:rFonts w:hint="eastAsia" w:ascii="华文中宋" w:hAnsi="华文中宋" w:eastAsia="华文中宋" w:cs="华文中宋"/>
          <w:color w:val="auto"/>
          <w:sz w:val="24"/>
          <w:szCs w:val="24"/>
          <w:u w:val="single"/>
        </w:rPr>
        <w:t xml:space="preserve">  无  </w:t>
      </w:r>
    </w:p>
    <w:p w14:paraId="7FB3774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10.2上述进口材料和工程设备采购、进口、报关、清关、商检、境内运输（包括保险）、保管的责任以及费用承担方式划分如下：</w:t>
      </w:r>
      <w:r>
        <w:rPr>
          <w:rFonts w:hint="eastAsia" w:ascii="华文中宋" w:hAnsi="华文中宋" w:eastAsia="华文中宋" w:cs="华文中宋"/>
          <w:color w:val="auto"/>
          <w:sz w:val="24"/>
          <w:szCs w:val="24"/>
          <w:u w:val="single"/>
        </w:rPr>
        <w:t xml:space="preserve">  无  </w:t>
      </w:r>
    </w:p>
    <w:p w14:paraId="0AC9481E">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12.试验和检验</w:t>
      </w:r>
    </w:p>
    <w:p w14:paraId="781F35D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12.1本工程需要承包人进行试验和检验的材料、工程设备和工艺如下：</w:t>
      </w:r>
      <w:r>
        <w:rPr>
          <w:rFonts w:hint="eastAsia" w:ascii="华文中宋" w:hAnsi="华文中宋" w:eastAsia="华文中宋" w:cs="华文中宋"/>
          <w:color w:val="auto"/>
          <w:sz w:val="24"/>
          <w:szCs w:val="24"/>
          <w:u w:val="single"/>
        </w:rPr>
        <w:t xml:space="preserve">  无  </w:t>
      </w:r>
    </w:p>
    <w:p w14:paraId="53AAD42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12.2本工程需要由监理人和承包人共同进行试验和检验的材料、工程设备和工艺如下：</w:t>
      </w:r>
      <w:r>
        <w:rPr>
          <w:rFonts w:hint="eastAsia" w:ascii="华文中宋" w:hAnsi="华文中宋" w:eastAsia="华文中宋" w:cs="华文中宋"/>
          <w:color w:val="auto"/>
          <w:sz w:val="24"/>
          <w:szCs w:val="24"/>
          <w:u w:val="single"/>
        </w:rPr>
        <w:t xml:space="preserve">无   </w:t>
      </w:r>
    </w:p>
    <w:p w14:paraId="6D67F8D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13.计日工</w:t>
      </w:r>
    </w:p>
    <w:p w14:paraId="7A60886A">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13.1关于计日工的其他约定：</w:t>
      </w:r>
      <w:r>
        <w:rPr>
          <w:rFonts w:hint="eastAsia" w:ascii="华文中宋" w:hAnsi="华文中宋" w:eastAsia="华文中宋" w:cs="华文中宋"/>
          <w:color w:val="auto"/>
          <w:sz w:val="24"/>
          <w:szCs w:val="24"/>
          <w:u w:val="single"/>
        </w:rPr>
        <w:t xml:space="preserve">  无  </w:t>
      </w:r>
    </w:p>
    <w:p w14:paraId="2A74C82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14.其他约定</w:t>
      </w:r>
    </w:p>
    <w:p w14:paraId="5E9B2E7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其他约定内容：</w:t>
      </w:r>
      <w:r>
        <w:rPr>
          <w:rFonts w:hint="eastAsia" w:ascii="华文中宋" w:hAnsi="华文中宋" w:eastAsia="华文中宋" w:cs="华文中宋"/>
          <w:color w:val="auto"/>
          <w:sz w:val="24"/>
          <w:szCs w:val="24"/>
          <w:u w:val="single"/>
        </w:rPr>
        <w:t xml:space="preserve">  无  </w:t>
      </w:r>
    </w:p>
    <w:p w14:paraId="10953E0D">
      <w:pPr>
        <w:keepNext w:val="0"/>
        <w:keepLines w:val="0"/>
        <w:pageBreakBefore w:val="0"/>
        <w:widowControl w:val="0"/>
        <w:kinsoku/>
        <w:wordWrap w:val="0"/>
        <w:overflowPunct/>
        <w:topLinePunct w:val="0"/>
        <w:autoSpaceDE/>
        <w:autoSpaceDN/>
        <w:bidi w:val="0"/>
        <w:adjustRightInd/>
        <w:spacing w:line="500" w:lineRule="exact"/>
        <w:ind w:firstLine="480" w:firstLineChars="200"/>
        <w:textAlignment w:val="auto"/>
        <w:outlineLvl w:val="9"/>
        <w:rPr>
          <w:rFonts w:hint="eastAsia" w:ascii="华文中宋" w:hAnsi="华文中宋" w:eastAsia="华文中宋" w:cs="华文中宋"/>
          <w:b/>
          <w:bCs/>
          <w:color w:val="auto"/>
          <w:sz w:val="24"/>
          <w:szCs w:val="24"/>
        </w:rPr>
      </w:pPr>
      <w:bookmarkStart w:id="64" w:name="_Toc44690613"/>
      <w:bookmarkStart w:id="65" w:name="_Toc43363084"/>
      <w:bookmarkStart w:id="66" w:name="_Toc44690687"/>
      <w:bookmarkStart w:id="67" w:name="_Toc40954055"/>
      <w:r>
        <w:rPr>
          <w:rFonts w:hint="eastAsia" w:ascii="华文中宋" w:hAnsi="华文中宋" w:eastAsia="华文中宋" w:cs="华文中宋"/>
          <w:b/>
          <w:bCs/>
          <w:color w:val="auto"/>
          <w:sz w:val="24"/>
          <w:szCs w:val="24"/>
        </w:rPr>
        <w:t>二、特殊技术标准和要求</w:t>
      </w:r>
      <w:bookmarkEnd w:id="64"/>
      <w:bookmarkEnd w:id="65"/>
      <w:bookmarkEnd w:id="66"/>
      <w:bookmarkEnd w:id="67"/>
    </w:p>
    <w:p w14:paraId="3BBA469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1．材料和工程设备技术要求</w:t>
      </w:r>
    </w:p>
    <w:p w14:paraId="3D216E2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1.1承包人自行施工范围内的部分材料和工程设备技术要求如下：</w:t>
      </w:r>
    </w:p>
    <w:p w14:paraId="10005E01">
      <w:pPr>
        <w:keepNext w:val="0"/>
        <w:keepLines w:val="0"/>
        <w:pageBreakBefore w:val="0"/>
        <w:widowControl w:val="0"/>
        <w:kinsoku/>
        <w:wordWrap w:val="0"/>
        <w:overflowPunct/>
        <w:topLinePunct w:val="0"/>
        <w:autoSpaceDE/>
        <w:autoSpaceDN/>
        <w:bidi w:val="0"/>
        <w:adjustRightInd/>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u w:val="single"/>
        </w:rPr>
        <w:t xml:space="preserve">   符合国家验收标准</w:t>
      </w:r>
    </w:p>
    <w:p w14:paraId="0CCB910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1.2承包人自行施工范围内的材料和工程设备选型允许的偏离如下：</w:t>
      </w: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2889"/>
        <w:gridCol w:w="1864"/>
        <w:gridCol w:w="2092"/>
        <w:gridCol w:w="1215"/>
      </w:tblGrid>
      <w:tr w14:paraId="3467F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5F537892">
            <w:pPr>
              <w:keepNext w:val="0"/>
              <w:keepLines w:val="0"/>
              <w:pageBreakBefore w:val="0"/>
              <w:widowControl w:val="0"/>
              <w:kinsoku/>
              <w:wordWrap w:val="0"/>
              <w:overflowPunct/>
              <w:topLinePunct w:val="0"/>
              <w:autoSpaceDE/>
              <w:autoSpaceDN/>
              <w:bidi w:val="0"/>
              <w:adjustRightInd/>
              <w:snapToGrid w:val="0"/>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序号</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2025D806">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材料和工程设备名称</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431DE1C3">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技术指标</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53550082">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允许偏离范围</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1B9DA31">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备注</w:t>
            </w:r>
          </w:p>
        </w:tc>
      </w:tr>
      <w:tr w14:paraId="2956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3E68C955">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1044D1A9">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3BF5E86F">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6A1A6777">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9F66D9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r w14:paraId="2100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1102F8A9">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5B6E4181">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0F288154">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3B0624E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9FAB865">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r w14:paraId="32E8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1455F126">
            <w:pPr>
              <w:keepNext w:val="0"/>
              <w:keepLines w:val="0"/>
              <w:pageBreakBefore w:val="0"/>
              <w:widowControl w:val="0"/>
              <w:kinsoku/>
              <w:wordWrap w:val="0"/>
              <w:overflowPunct/>
              <w:topLinePunct w:val="0"/>
              <w:autoSpaceDE/>
              <w:autoSpaceDN/>
              <w:bidi w:val="0"/>
              <w:adjustRightInd/>
              <w:snapToGrid w:val="0"/>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69FDCC8E">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7473CFA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59699046">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F27C863">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r w14:paraId="1D48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3384C688">
            <w:pPr>
              <w:keepNext w:val="0"/>
              <w:keepLines w:val="0"/>
              <w:pageBreakBefore w:val="0"/>
              <w:widowControl w:val="0"/>
              <w:kinsoku/>
              <w:wordWrap w:val="0"/>
              <w:overflowPunct/>
              <w:topLinePunct w:val="0"/>
              <w:autoSpaceDE/>
              <w:autoSpaceDN/>
              <w:bidi w:val="0"/>
              <w:adjustRightInd/>
              <w:snapToGrid w:val="0"/>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0017485A">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11B528EC">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7B700C0A">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64FACC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bl>
    <w:p w14:paraId="3F42C296">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1.3本工程施工现场所用混凝土或砂浆的供应方式为</w:t>
      </w:r>
      <w:r>
        <w:rPr>
          <w:rFonts w:hint="eastAsia" w:ascii="华文中宋" w:hAnsi="华文中宋" w:eastAsia="华文中宋" w:cs="华文中宋"/>
          <w:color w:val="auto"/>
          <w:sz w:val="24"/>
          <w:szCs w:val="24"/>
          <w:u w:val="single"/>
        </w:rPr>
        <w:t>商砼</w:t>
      </w:r>
      <w:r>
        <w:rPr>
          <w:rFonts w:hint="eastAsia" w:ascii="华文中宋" w:hAnsi="华文中宋" w:eastAsia="华文中宋" w:cs="华文中宋"/>
          <w:color w:val="auto"/>
          <w:sz w:val="24"/>
          <w:szCs w:val="24"/>
        </w:rPr>
        <w:t>。</w:t>
      </w:r>
    </w:p>
    <w:p w14:paraId="5930766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2.特殊技术要求</w:t>
      </w:r>
    </w:p>
    <w:p w14:paraId="1C7B19FB">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2.1除合同约定的技术要求外，本工程的特殊技术要求如下：</w:t>
      </w:r>
      <w:r>
        <w:rPr>
          <w:rFonts w:hint="eastAsia" w:ascii="华文中宋" w:hAnsi="华文中宋" w:eastAsia="华文中宋" w:cs="华文中宋"/>
          <w:color w:val="auto"/>
          <w:sz w:val="24"/>
          <w:szCs w:val="24"/>
          <w:u w:val="single"/>
        </w:rPr>
        <w:t xml:space="preserve">   无   </w:t>
      </w:r>
    </w:p>
    <w:p w14:paraId="07411AF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3．新技术、新工艺和新材料</w:t>
      </w:r>
    </w:p>
    <w:p w14:paraId="00A8728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3.1本工/程涉及的新技术、新工艺和新材料及相应使用和操作说明如下：</w:t>
      </w:r>
      <w:r>
        <w:rPr>
          <w:rFonts w:hint="eastAsia" w:ascii="华文中宋" w:hAnsi="华文中宋" w:eastAsia="华文中宋" w:cs="华文中宋"/>
          <w:color w:val="auto"/>
          <w:sz w:val="24"/>
          <w:szCs w:val="24"/>
          <w:u w:val="single"/>
        </w:rPr>
        <w:t xml:space="preserve">  无 </w:t>
      </w:r>
    </w:p>
    <w:p w14:paraId="1FD15ECF">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4．其他特殊技术标准和要求</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u w:val="single"/>
        </w:rPr>
        <w:t xml:space="preserve">  无       </w:t>
      </w:r>
    </w:p>
    <w:p w14:paraId="1434F2F4">
      <w:pPr>
        <w:outlineLvl w:val="9"/>
        <w:rPr>
          <w:rFonts w:hint="eastAsia" w:ascii="华文中宋" w:hAnsi="华文中宋" w:eastAsia="华文中宋" w:cs="华文中宋"/>
          <w:color w:val="auto"/>
        </w:rPr>
      </w:pPr>
    </w:p>
    <w:p w14:paraId="03AC16B6">
      <w:pPr>
        <w:numPr>
          <w:ilvl w:val="0"/>
          <w:numId w:val="0"/>
        </w:numPr>
        <w:jc w:val="center"/>
        <w:outlineLvl w:val="0"/>
        <w:rPr>
          <w:rFonts w:hint="eastAsia" w:ascii="华文中宋" w:hAnsi="华文中宋" w:eastAsia="华文中宋" w:cs="华文中宋"/>
          <w:b/>
          <w:bCs/>
          <w:color w:val="auto"/>
          <w:spacing w:val="0"/>
          <w:kern w:val="44"/>
          <w:sz w:val="44"/>
          <w:szCs w:val="44"/>
          <w:lang w:val="en-US" w:eastAsia="zh-CN" w:bidi="ar-SA"/>
        </w:rPr>
      </w:pPr>
      <w:bookmarkStart w:id="68" w:name="_Toc44690689"/>
      <w:bookmarkStart w:id="69" w:name="_Toc8470"/>
      <w:bookmarkStart w:id="70" w:name="_Toc44690615"/>
    </w:p>
    <w:p w14:paraId="51E82D84">
      <w:pPr>
        <w:numPr>
          <w:ilvl w:val="0"/>
          <w:numId w:val="0"/>
        </w:numPr>
        <w:jc w:val="center"/>
        <w:outlineLvl w:val="0"/>
        <w:rPr>
          <w:rFonts w:hint="eastAsia" w:ascii="华文中宋" w:hAnsi="华文中宋" w:eastAsia="华文中宋" w:cs="华文中宋"/>
          <w:color w:val="auto"/>
          <w:spacing w:val="20"/>
          <w:sz w:val="32"/>
          <w:szCs w:val="32"/>
        </w:rPr>
      </w:pPr>
      <w:r>
        <w:rPr>
          <w:rFonts w:hint="eastAsia" w:ascii="华文中宋" w:hAnsi="华文中宋" w:eastAsia="华文中宋" w:cs="华文中宋"/>
          <w:b/>
          <w:bCs/>
          <w:color w:val="auto"/>
          <w:spacing w:val="0"/>
          <w:kern w:val="44"/>
          <w:sz w:val="44"/>
          <w:szCs w:val="44"/>
          <w:lang w:val="en-US" w:eastAsia="zh-CN" w:bidi="ar-SA"/>
        </w:rPr>
        <w:br w:type="page"/>
      </w:r>
      <w:bookmarkStart w:id="71" w:name="_Toc18328"/>
      <w:r>
        <w:rPr>
          <w:rFonts w:hint="eastAsia" w:ascii="华文中宋" w:hAnsi="华文中宋" w:eastAsia="华文中宋" w:cs="华文中宋"/>
          <w:b/>
          <w:bCs/>
          <w:color w:val="auto"/>
          <w:spacing w:val="0"/>
          <w:kern w:val="44"/>
          <w:sz w:val="44"/>
          <w:szCs w:val="44"/>
          <w:lang w:val="en-US" w:eastAsia="zh-CN" w:bidi="ar-SA"/>
        </w:rPr>
        <w:t>第六部分 工程量清单</w:t>
      </w:r>
      <w:bookmarkEnd w:id="68"/>
      <w:bookmarkEnd w:id="69"/>
      <w:bookmarkEnd w:id="70"/>
      <w:bookmarkEnd w:id="71"/>
    </w:p>
    <w:p w14:paraId="402E0845">
      <w:pPr>
        <w:keepNext w:val="0"/>
        <w:keepLines w:val="0"/>
        <w:pageBreakBefore w:val="0"/>
        <w:widowControl/>
        <w:suppressLineNumbers w:val="0"/>
        <w:kinsoku/>
        <w:wordWrap/>
        <w:overflowPunct/>
        <w:topLinePunct w:val="0"/>
        <w:autoSpaceDE/>
        <w:autoSpaceDN/>
        <w:bidi w:val="0"/>
        <w:adjustRightInd/>
        <w:snapToGrid/>
        <w:spacing w:line="240" w:lineRule="atLeast"/>
        <w:ind w:firstLine="4760" w:firstLineChars="1700"/>
        <w:jc w:val="both"/>
        <w:textAlignment w:val="center"/>
        <w:outlineLvl w:val="9"/>
        <w:rPr>
          <w:rFonts w:hint="eastAsia" w:ascii="华文中宋" w:hAnsi="华文中宋" w:eastAsia="华文中宋" w:cs="华文中宋"/>
          <w:color w:val="auto"/>
          <w:sz w:val="28"/>
          <w:szCs w:val="28"/>
          <w:lang w:val="en-US" w:eastAsia="zh-CN"/>
        </w:rPr>
      </w:pPr>
      <w:bookmarkStart w:id="72" w:name="_Toc44690690"/>
      <w:bookmarkStart w:id="73" w:name="_Toc44690616"/>
    </w:p>
    <w:p w14:paraId="427E2C38">
      <w:pPr>
        <w:keepNext w:val="0"/>
        <w:keepLines w:val="0"/>
        <w:pageBreakBefore w:val="0"/>
        <w:widowControl/>
        <w:suppressLineNumbers w:val="0"/>
        <w:kinsoku/>
        <w:wordWrap/>
        <w:overflowPunct/>
        <w:topLinePunct w:val="0"/>
        <w:autoSpaceDE/>
        <w:autoSpaceDN/>
        <w:bidi w:val="0"/>
        <w:adjustRightInd/>
        <w:snapToGrid/>
        <w:spacing w:line="240" w:lineRule="atLeast"/>
        <w:ind w:firstLine="4760" w:firstLineChars="1700"/>
        <w:jc w:val="both"/>
        <w:textAlignment w:val="center"/>
        <w:outlineLvl w:val="9"/>
        <w:rPr>
          <w:rFonts w:hint="eastAsia" w:ascii="华文中宋" w:hAnsi="华文中宋" w:eastAsia="华文中宋" w:cs="华文中宋"/>
          <w:color w:val="auto"/>
          <w:sz w:val="28"/>
          <w:szCs w:val="28"/>
          <w:lang w:val="en-US" w:eastAsia="zh-CN"/>
        </w:rPr>
      </w:pPr>
    </w:p>
    <w:p w14:paraId="0C1F99CB">
      <w:pPr>
        <w:keepNext/>
        <w:keepLines/>
        <w:pageBreakBefore w:val="0"/>
        <w:widowControl w:val="0"/>
        <w:numPr>
          <w:ilvl w:val="0"/>
          <w:numId w:val="0"/>
        </w:numPr>
        <w:kinsoku/>
        <w:wordWrap/>
        <w:overflowPunct/>
        <w:topLinePunct w:val="0"/>
        <w:autoSpaceDE/>
        <w:autoSpaceDN/>
        <w:bidi w:val="0"/>
        <w:adjustRightInd/>
        <w:snapToGrid/>
        <w:spacing w:before="0" w:after="0" w:line="579" w:lineRule="auto"/>
        <w:jc w:val="center"/>
        <w:textAlignment w:val="auto"/>
        <w:outlineLvl w:val="0"/>
        <w:rPr>
          <w:rFonts w:hint="eastAsia" w:ascii="华文中宋" w:hAnsi="华文中宋" w:eastAsia="华文中宋" w:cs="华文中宋"/>
          <w:b/>
          <w:bCs/>
          <w:color w:val="auto"/>
          <w:spacing w:val="0"/>
          <w:kern w:val="44"/>
          <w:sz w:val="44"/>
          <w:szCs w:val="44"/>
          <w:lang w:val="en-US" w:eastAsia="zh-CN" w:bidi="ar-SA"/>
        </w:rPr>
      </w:pPr>
      <w:bookmarkStart w:id="74" w:name="_Toc26977"/>
      <w:bookmarkStart w:id="75" w:name="_Toc32110"/>
      <w:r>
        <w:rPr>
          <w:rFonts w:hint="eastAsia" w:ascii="华文中宋" w:hAnsi="华文中宋" w:eastAsia="华文中宋" w:cs="华文中宋"/>
          <w:color w:val="auto"/>
          <w:sz w:val="24"/>
          <w:szCs w:val="24"/>
          <w:lang w:val="en-US" w:eastAsia="zh-CN"/>
        </w:rPr>
        <w:t>另 附</w:t>
      </w:r>
      <w:r>
        <w:rPr>
          <w:rFonts w:hint="eastAsia" w:ascii="华文中宋" w:hAnsi="华文中宋" w:eastAsia="华文中宋" w:cs="华文中宋"/>
          <w:b/>
          <w:bCs/>
          <w:i w:val="0"/>
          <w:iCs w:val="0"/>
          <w:color w:val="auto"/>
          <w:kern w:val="0"/>
          <w:sz w:val="40"/>
          <w:szCs w:val="40"/>
          <w:u w:val="none"/>
          <w:lang w:val="en-US" w:eastAsia="zh-CN" w:bidi="ar"/>
        </w:rPr>
        <w:br w:type="page"/>
      </w:r>
      <w:bookmarkEnd w:id="72"/>
      <w:bookmarkEnd w:id="73"/>
      <w:bookmarkEnd w:id="74"/>
      <w:bookmarkStart w:id="76" w:name="_Toc44690617"/>
      <w:bookmarkStart w:id="77" w:name="_Toc44690691"/>
      <w:bookmarkStart w:id="78" w:name="_Toc28604"/>
      <w:r>
        <w:rPr>
          <w:rFonts w:hint="eastAsia" w:ascii="华文中宋" w:hAnsi="华文中宋" w:eastAsia="华文中宋" w:cs="华文中宋"/>
          <w:b/>
          <w:bCs/>
          <w:color w:val="auto"/>
          <w:spacing w:val="0"/>
          <w:kern w:val="44"/>
          <w:sz w:val="44"/>
          <w:szCs w:val="44"/>
          <w:lang w:val="en-US" w:eastAsia="zh-CN" w:bidi="ar-SA"/>
        </w:rPr>
        <w:t>第七部分 合同条款</w:t>
      </w:r>
      <w:bookmarkEnd w:id="75"/>
      <w:bookmarkEnd w:id="76"/>
      <w:bookmarkEnd w:id="77"/>
      <w:bookmarkEnd w:id="78"/>
    </w:p>
    <w:p w14:paraId="72299D10">
      <w:pPr>
        <w:spacing w:line="500" w:lineRule="exact"/>
        <w:ind w:firstLine="440" w:firstLineChars="200"/>
        <w:jc w:val="center"/>
        <w:outlineLvl w:val="9"/>
        <w:rPr>
          <w:rFonts w:hint="eastAsia" w:ascii="华文中宋" w:hAnsi="华文中宋" w:eastAsia="华文中宋" w:cs="华文中宋"/>
          <w:b/>
          <w:bCs/>
          <w:color w:val="auto"/>
          <w:sz w:val="36"/>
          <w:szCs w:val="36"/>
          <w:lang w:eastAsia="zh-CN"/>
        </w:rPr>
      </w:pPr>
      <w:r>
        <w:rPr>
          <w:rFonts w:hint="eastAsia" w:ascii="华文中宋" w:hAnsi="华文中宋" w:eastAsia="华文中宋" w:cs="华文中宋"/>
          <w:color w:val="auto"/>
          <w:sz w:val="22"/>
          <w:szCs w:val="22"/>
        </w:rPr>
        <w:t>（本合同格式仅供参考，具体合同版本和条款以双方正式签订合同为准）</w:t>
      </w:r>
    </w:p>
    <w:p w14:paraId="659D298C">
      <w:pPr>
        <w:pStyle w:val="42"/>
        <w:pageBreakBefore w:val="0"/>
        <w:kinsoku/>
        <w:wordWrap/>
        <w:overflowPunct/>
        <w:topLinePunct w:val="0"/>
        <w:autoSpaceDE/>
        <w:autoSpaceDN/>
        <w:bidi w:val="0"/>
        <w:adjustRightInd/>
        <w:snapToGrid/>
        <w:spacing w:before="0" w:line="500" w:lineRule="exact"/>
        <w:ind w:right="0" w:rightChars="0"/>
        <w:jc w:val="center"/>
        <w:textAlignment w:val="auto"/>
        <w:rPr>
          <w:rFonts w:hint="eastAsia" w:ascii="华文中宋" w:hAnsi="华文中宋" w:eastAsia="华文中宋" w:cs="华文中宋"/>
          <w:color w:val="auto"/>
          <w:sz w:val="24"/>
          <w:szCs w:val="24"/>
          <w:lang w:val="zh-CN"/>
        </w:rPr>
      </w:pPr>
      <w:bookmarkStart w:id="79" w:name="_Toc296890982"/>
      <w:bookmarkStart w:id="80" w:name="_Toc296503025"/>
      <w:r>
        <w:rPr>
          <w:rFonts w:hint="eastAsia" w:ascii="华文中宋" w:hAnsi="华文中宋" w:eastAsia="华文中宋" w:cs="华文中宋"/>
          <w:color w:val="auto"/>
          <w:sz w:val="24"/>
          <w:szCs w:val="24"/>
          <w:lang w:val="zh-CN"/>
        </w:rPr>
        <w:t>说    明</w:t>
      </w:r>
    </w:p>
    <w:p w14:paraId="757E06B9">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768A235">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bCs/>
          <w:color w:val="auto"/>
          <w:sz w:val="24"/>
          <w:szCs w:val="24"/>
        </w:rPr>
      </w:pPr>
      <w:bookmarkStart w:id="81" w:name="_Toc375060690"/>
      <w:bookmarkStart w:id="82" w:name="_Toc22506"/>
      <w:bookmarkStart w:id="83" w:name="_Toc375060639"/>
      <w:r>
        <w:rPr>
          <w:rFonts w:hint="eastAsia" w:ascii="华文中宋" w:hAnsi="华文中宋" w:eastAsia="华文中宋" w:cs="华文中宋"/>
          <w:bCs/>
          <w:color w:val="auto"/>
          <w:sz w:val="24"/>
          <w:szCs w:val="24"/>
        </w:rPr>
        <w:t>一、《示范文本》的组成</w:t>
      </w:r>
      <w:bookmarkEnd w:id="81"/>
      <w:bookmarkEnd w:id="82"/>
      <w:bookmarkEnd w:id="83"/>
    </w:p>
    <w:p w14:paraId="4400736F">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《示范文本》由合同协议书、通用合同条款和专用合同条款三部分组成。</w:t>
      </w:r>
    </w:p>
    <w:p w14:paraId="694DE7ED">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color w:val="auto"/>
          <w:sz w:val="24"/>
          <w:szCs w:val="24"/>
        </w:rPr>
      </w:pPr>
      <w:bookmarkStart w:id="84" w:name="_Toc375060640"/>
      <w:bookmarkStart w:id="85" w:name="_Toc375060691"/>
      <w:bookmarkStart w:id="86" w:name="_Toc18278"/>
      <w:r>
        <w:rPr>
          <w:rFonts w:hint="eastAsia" w:ascii="华文中宋" w:hAnsi="华文中宋" w:eastAsia="华文中宋" w:cs="华文中宋"/>
          <w:color w:val="auto"/>
          <w:sz w:val="24"/>
          <w:szCs w:val="24"/>
        </w:rPr>
        <w:t>（一）合同协议书</w:t>
      </w:r>
      <w:bookmarkEnd w:id="84"/>
      <w:bookmarkEnd w:id="85"/>
      <w:bookmarkEnd w:id="86"/>
    </w:p>
    <w:p w14:paraId="5ACBF5FE">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F5D0762">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color w:val="auto"/>
          <w:sz w:val="24"/>
          <w:szCs w:val="24"/>
        </w:rPr>
      </w:pPr>
      <w:bookmarkStart w:id="87" w:name="_Toc375060692"/>
      <w:bookmarkStart w:id="88" w:name="_Toc375060641"/>
      <w:bookmarkStart w:id="89" w:name="_Toc25426"/>
      <w:r>
        <w:rPr>
          <w:rFonts w:hint="eastAsia" w:ascii="华文中宋" w:hAnsi="华文中宋" w:eastAsia="华文中宋" w:cs="华文中宋"/>
          <w:color w:val="auto"/>
          <w:sz w:val="24"/>
          <w:szCs w:val="24"/>
        </w:rPr>
        <w:t>（二）通用合同条款</w:t>
      </w:r>
      <w:bookmarkEnd w:id="87"/>
      <w:bookmarkEnd w:id="88"/>
      <w:bookmarkEnd w:id="89"/>
    </w:p>
    <w:p w14:paraId="6BA2D1F6">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通用合同条款是合同当事人根据《中华人民共和国建筑法》、《中华人民共和国合同法》等法律法规的规定，就工程建设的实施及相关事项，对合同当事人的权利义务作出的原则性约定。</w:t>
      </w:r>
    </w:p>
    <w:p w14:paraId="6940E89F">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4F41E4E">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color w:val="auto"/>
          <w:sz w:val="24"/>
          <w:szCs w:val="24"/>
        </w:rPr>
      </w:pPr>
      <w:bookmarkStart w:id="90" w:name="_Toc23263"/>
      <w:bookmarkStart w:id="91" w:name="_Toc375060693"/>
      <w:bookmarkStart w:id="92" w:name="_Toc375060642"/>
      <w:r>
        <w:rPr>
          <w:rFonts w:hint="eastAsia" w:ascii="华文中宋" w:hAnsi="华文中宋" w:eastAsia="华文中宋" w:cs="华文中宋"/>
          <w:color w:val="auto"/>
          <w:sz w:val="24"/>
          <w:szCs w:val="24"/>
        </w:rPr>
        <w:t>（三）专用合同条款</w:t>
      </w:r>
      <w:bookmarkEnd w:id="90"/>
      <w:bookmarkEnd w:id="91"/>
      <w:bookmarkEnd w:id="92"/>
    </w:p>
    <w:p w14:paraId="7BD3556E">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01E9425">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1、专用合同条款的编号应与相应的通用合同条款的编号一致；</w:t>
      </w:r>
    </w:p>
    <w:p w14:paraId="286ED84E">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2、合同当事人可以通过对专用合同条款的修改，满足具体建设工程的特殊要求，避免直接修改通用合同条款；</w:t>
      </w:r>
    </w:p>
    <w:p w14:paraId="40098D2B">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3、在专用合同条款中有横道线的地方，合同当事人可针对相应的通用合同条款进行细化、完善、补充、修改或另行约定；如无细化、完善、补充、修改或另行约定，则填写“无”或划“/”。</w:t>
      </w:r>
    </w:p>
    <w:p w14:paraId="7A3FCC4B">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b/>
          <w:color w:val="auto"/>
          <w:sz w:val="24"/>
          <w:szCs w:val="24"/>
        </w:rPr>
      </w:pPr>
      <w:bookmarkStart w:id="93" w:name="_Toc375060643"/>
      <w:bookmarkStart w:id="94" w:name="_Toc375060694"/>
      <w:bookmarkStart w:id="95" w:name="_Toc13048"/>
      <w:r>
        <w:rPr>
          <w:rFonts w:hint="eastAsia" w:ascii="华文中宋" w:hAnsi="华文中宋" w:eastAsia="华文中宋" w:cs="华文中宋"/>
          <w:bCs/>
          <w:color w:val="auto"/>
          <w:sz w:val="24"/>
          <w:szCs w:val="24"/>
        </w:rPr>
        <w:t>二、《示范文本》的性质和适用范围</w:t>
      </w:r>
      <w:bookmarkEnd w:id="93"/>
      <w:bookmarkEnd w:id="94"/>
      <w:bookmarkEnd w:id="95"/>
    </w:p>
    <w:p w14:paraId="594AC707">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sectPr>
          <w:headerReference r:id="rId9" w:type="first"/>
          <w:footerReference r:id="rId12" w:type="first"/>
          <w:headerReference r:id="rId8" w:type="default"/>
          <w:footerReference r:id="rId10" w:type="default"/>
          <w:footerReference r:id="rId11" w:type="even"/>
          <w:pgSz w:w="11906" w:h="16838"/>
          <w:pgMar w:top="1418" w:right="1555" w:bottom="1418" w:left="1531" w:header="851" w:footer="992" w:gutter="0"/>
          <w:pgNumType w:fmt="decimal"/>
          <w:cols w:space="720" w:num="1"/>
          <w:titlePg/>
          <w:docGrid w:type="lines" w:linePitch="312" w:charSpace="0"/>
        </w:sectPr>
      </w:pPr>
      <w:r>
        <w:rPr>
          <w:rFonts w:hint="eastAsia" w:ascii="华文中宋" w:hAnsi="华文中宋" w:eastAsia="华文中宋" w:cs="华文中宋"/>
          <w:color w:val="auto"/>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68840FB">
      <w:pPr>
        <w:spacing w:line="540" w:lineRule="exact"/>
        <w:jc w:val="center"/>
        <w:rPr>
          <w:rFonts w:hint="eastAsia" w:ascii="华文中宋" w:hAnsi="华文中宋" w:eastAsia="华文中宋" w:cs="华文中宋"/>
          <w:bCs w:val="0"/>
          <w:caps/>
          <w:color w:val="auto"/>
          <w:sz w:val="52"/>
          <w:szCs w:val="52"/>
        </w:rPr>
      </w:pPr>
      <w:r>
        <w:rPr>
          <w:rFonts w:hint="eastAsia" w:ascii="华文中宋" w:hAnsi="华文中宋" w:eastAsia="华文中宋" w:cs="华文中宋"/>
          <w:b/>
          <w:bCs/>
          <w:color w:val="auto"/>
          <w:kern w:val="44"/>
          <w:sz w:val="44"/>
          <w:szCs w:val="44"/>
          <w:lang w:val="zh-CN"/>
        </w:rPr>
        <w:t>目    录</w:t>
      </w:r>
      <w:r>
        <w:rPr>
          <w:rFonts w:hint="eastAsia" w:ascii="华文中宋" w:hAnsi="华文中宋" w:eastAsia="华文中宋" w:cs="华文中宋"/>
          <w:color w:val="auto"/>
          <w:sz w:val="52"/>
          <w:szCs w:val="52"/>
        </w:rPr>
        <w:fldChar w:fldCharType="begin"/>
      </w:r>
      <w:r>
        <w:rPr>
          <w:rFonts w:hint="eastAsia" w:ascii="华文中宋" w:hAnsi="华文中宋" w:eastAsia="华文中宋" w:cs="华文中宋"/>
          <w:color w:val="auto"/>
          <w:sz w:val="52"/>
          <w:szCs w:val="52"/>
        </w:rPr>
        <w:instrText xml:space="preserve"> TOC \o "1-5" \h \z \u </w:instrText>
      </w:r>
      <w:r>
        <w:rPr>
          <w:rFonts w:hint="eastAsia" w:ascii="华文中宋" w:hAnsi="华文中宋" w:eastAsia="华文中宋" w:cs="华文中宋"/>
          <w:color w:val="auto"/>
          <w:sz w:val="52"/>
          <w:szCs w:val="52"/>
        </w:rPr>
        <w:fldChar w:fldCharType="separate"/>
      </w:r>
      <w:r>
        <w:rPr>
          <w:rFonts w:hint="eastAsia" w:ascii="华文中宋" w:hAnsi="华文中宋" w:eastAsia="华文中宋" w:cs="华文中宋"/>
          <w:color w:val="auto"/>
        </w:rPr>
        <w:fldChar w:fldCharType="begin"/>
      </w:r>
      <w:r>
        <w:rPr>
          <w:rFonts w:hint="eastAsia" w:ascii="华文中宋" w:hAnsi="华文中宋" w:eastAsia="华文中宋" w:cs="华文中宋"/>
          <w:color w:val="auto"/>
        </w:rPr>
        <w:instrText xml:space="preserve"> HYPERLINK \l "_Toc375060690" </w:instrText>
      </w:r>
      <w:r>
        <w:rPr>
          <w:rFonts w:hint="eastAsia" w:ascii="华文中宋" w:hAnsi="华文中宋" w:eastAsia="华文中宋" w:cs="华文中宋"/>
          <w:color w:val="auto"/>
        </w:rPr>
        <w:fldChar w:fldCharType="separate"/>
      </w:r>
      <w:r>
        <w:rPr>
          <w:rFonts w:hint="eastAsia" w:ascii="华文中宋" w:hAnsi="华文中宋" w:eastAsia="华文中宋" w:cs="华文中宋"/>
          <w:color w:val="auto"/>
        </w:rPr>
        <w:fldChar w:fldCharType="end"/>
      </w:r>
    </w:p>
    <w:p w14:paraId="143091CD">
      <w:pPr>
        <w:pStyle w:val="18"/>
        <w:keepNext w:val="0"/>
        <w:keepLines w:val="0"/>
        <w:pageBreakBefore w:val="0"/>
        <w:tabs>
          <w:tab w:val="right" w:leader="dot" w:pos="8810"/>
        </w:tabs>
        <w:kinsoku/>
        <w:wordWrap/>
        <w:overflowPunct/>
        <w:topLinePunct w:val="0"/>
        <w:autoSpaceDE/>
        <w:autoSpaceDN/>
        <w:bidi w:val="0"/>
        <w:adjustRightInd/>
        <w:snapToGrid/>
        <w:spacing w:line="360" w:lineRule="auto"/>
        <w:ind w:left="105"/>
        <w:textAlignment w:val="auto"/>
        <w:rPr>
          <w:rFonts w:hint="eastAsia" w:ascii="华文中宋" w:hAnsi="华文中宋" w:eastAsia="华文中宋" w:cs="华文中宋"/>
          <w:b/>
          <w:i w:val="0"/>
          <w:iC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i w:val="0"/>
          <w:color w:val="auto"/>
          <w:sz w:val="21"/>
          <w:szCs w:val="21"/>
        </w:rPr>
        <w:t>第一部分 合同协议</w:t>
      </w:r>
      <w:bookmarkStart w:id="96" w:name="_Hlt78989206"/>
      <w:r>
        <w:rPr>
          <w:rStyle w:val="33"/>
          <w:rFonts w:hint="eastAsia" w:ascii="华文中宋" w:hAnsi="华文中宋" w:eastAsia="华文中宋" w:cs="华文中宋"/>
          <w:b/>
          <w:i w:val="0"/>
          <w:color w:val="auto"/>
          <w:sz w:val="21"/>
          <w:szCs w:val="21"/>
        </w:rPr>
        <w:t>书</w:t>
      </w:r>
      <w:bookmarkEnd w:id="96"/>
      <w:r>
        <w:rPr>
          <w:rFonts w:hint="eastAsia" w:ascii="华文中宋" w:hAnsi="华文中宋" w:eastAsia="华文中宋" w:cs="华文中宋"/>
          <w:b/>
          <w:i w:val="0"/>
          <w:color w:val="auto"/>
          <w:sz w:val="21"/>
          <w:szCs w:val="21"/>
        </w:rPr>
        <w:tab/>
      </w:r>
      <w:r>
        <w:rPr>
          <w:rFonts w:hint="eastAsia" w:ascii="华文中宋" w:hAnsi="华文中宋" w:eastAsia="华文中宋" w:cs="华文中宋"/>
          <w:b/>
          <w:i w:val="0"/>
          <w:color w:val="auto"/>
          <w:sz w:val="21"/>
          <w:szCs w:val="21"/>
        </w:rPr>
        <w:fldChar w:fldCharType="begin"/>
      </w:r>
      <w:r>
        <w:rPr>
          <w:rFonts w:hint="eastAsia" w:ascii="华文中宋" w:hAnsi="华文中宋" w:eastAsia="华文中宋" w:cs="华文中宋"/>
          <w:b/>
          <w:i w:val="0"/>
          <w:color w:val="auto"/>
          <w:sz w:val="21"/>
          <w:szCs w:val="21"/>
        </w:rPr>
        <w:instrText xml:space="preserve"> PAGEREF _Toc375060695 \h </w:instrText>
      </w:r>
      <w:r>
        <w:rPr>
          <w:rFonts w:hint="eastAsia" w:ascii="华文中宋" w:hAnsi="华文中宋" w:eastAsia="华文中宋" w:cs="华文中宋"/>
          <w:b/>
          <w:i w:val="0"/>
          <w:color w:val="auto"/>
          <w:sz w:val="21"/>
          <w:szCs w:val="21"/>
        </w:rPr>
        <w:fldChar w:fldCharType="separate"/>
      </w:r>
      <w:r>
        <w:rPr>
          <w:rFonts w:hint="eastAsia" w:ascii="华文中宋" w:hAnsi="华文中宋" w:eastAsia="华文中宋" w:cs="华文中宋"/>
          <w:b/>
          <w:i w:val="0"/>
          <w:color w:val="auto"/>
          <w:sz w:val="21"/>
          <w:szCs w:val="21"/>
        </w:rPr>
        <w:t>44</w:t>
      </w:r>
      <w:r>
        <w:rPr>
          <w:rFonts w:hint="eastAsia" w:ascii="华文中宋" w:hAnsi="华文中宋" w:eastAsia="华文中宋" w:cs="华文中宋"/>
          <w:b/>
          <w:i w:val="0"/>
          <w:color w:val="auto"/>
          <w:sz w:val="21"/>
          <w:szCs w:val="21"/>
        </w:rPr>
        <w:fldChar w:fldCharType="end"/>
      </w:r>
      <w:r>
        <w:rPr>
          <w:rFonts w:hint="eastAsia" w:ascii="华文中宋" w:hAnsi="华文中宋" w:eastAsia="华文中宋" w:cs="华文中宋"/>
          <w:b/>
          <w:i w:val="0"/>
          <w:color w:val="auto"/>
          <w:sz w:val="21"/>
          <w:szCs w:val="21"/>
        </w:rPr>
        <w:fldChar w:fldCharType="end"/>
      </w:r>
    </w:p>
    <w:p w14:paraId="19E0AEB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一、工程概况</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4AAC71F">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二、合同工期</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65C6012">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三、质量标准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6C20C9D">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四、签约合同价与合同价格形式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6E1943B">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五、项目经理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0A361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六、合同文件构成</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54C8A84">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七、承诺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13A0556">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八、词语含义</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7448FE9">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九、签订时间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F92C44">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十、签订地点</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AD4806B">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十一、补充协议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53DFB8C">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十二、合同生效</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741D27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十三、合同份数</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91B2EDA">
      <w:pPr>
        <w:pStyle w:val="18"/>
        <w:keepNext w:val="0"/>
        <w:keepLines w:val="0"/>
        <w:pageBreakBefore w:val="0"/>
        <w:tabs>
          <w:tab w:val="right" w:leader="dot" w:pos="8810"/>
        </w:tabs>
        <w:kinsoku/>
        <w:wordWrap/>
        <w:overflowPunct/>
        <w:topLinePunct w:val="0"/>
        <w:autoSpaceDE/>
        <w:autoSpaceDN/>
        <w:bidi w:val="0"/>
        <w:adjustRightInd/>
        <w:snapToGrid/>
        <w:spacing w:line="360" w:lineRule="auto"/>
        <w:ind w:left="105"/>
        <w:textAlignment w:val="auto"/>
        <w:rPr>
          <w:rFonts w:hint="eastAsia" w:ascii="华文中宋" w:hAnsi="华文中宋" w:eastAsia="华文中宋" w:cs="华文中宋"/>
          <w:b/>
          <w:i w:val="0"/>
          <w:iC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i w:val="0"/>
          <w:color w:val="auto"/>
          <w:sz w:val="21"/>
          <w:szCs w:val="21"/>
        </w:rPr>
        <w:t>第二部分 通用合同条款</w:t>
      </w:r>
      <w:r>
        <w:rPr>
          <w:rFonts w:hint="eastAsia" w:ascii="华文中宋" w:hAnsi="华文中宋" w:eastAsia="华文中宋" w:cs="华文中宋"/>
          <w:b/>
          <w:i w:val="0"/>
          <w:color w:val="auto"/>
          <w:sz w:val="21"/>
          <w:szCs w:val="21"/>
        </w:rPr>
        <w:tab/>
      </w:r>
      <w:r>
        <w:rPr>
          <w:rFonts w:hint="eastAsia" w:ascii="华文中宋" w:hAnsi="华文中宋" w:eastAsia="华文中宋" w:cs="华文中宋"/>
          <w:b/>
          <w:i w:val="0"/>
          <w:color w:val="auto"/>
          <w:sz w:val="21"/>
          <w:szCs w:val="21"/>
        </w:rPr>
        <w:fldChar w:fldCharType="begin"/>
      </w:r>
      <w:r>
        <w:rPr>
          <w:rFonts w:hint="eastAsia" w:ascii="华文中宋" w:hAnsi="华文中宋" w:eastAsia="华文中宋" w:cs="华文中宋"/>
          <w:b/>
          <w:i w:val="0"/>
          <w:color w:val="auto"/>
          <w:sz w:val="21"/>
          <w:szCs w:val="21"/>
        </w:rPr>
        <w:instrText xml:space="preserve"> PAGEREF _Toc375060709 \h </w:instrText>
      </w:r>
      <w:r>
        <w:rPr>
          <w:rFonts w:hint="eastAsia" w:ascii="华文中宋" w:hAnsi="华文中宋" w:eastAsia="华文中宋" w:cs="华文中宋"/>
          <w:b/>
          <w:i w:val="0"/>
          <w:color w:val="auto"/>
          <w:sz w:val="21"/>
          <w:szCs w:val="21"/>
        </w:rPr>
        <w:fldChar w:fldCharType="separate"/>
      </w:r>
      <w:r>
        <w:rPr>
          <w:rFonts w:hint="eastAsia" w:ascii="华文中宋" w:hAnsi="华文中宋" w:eastAsia="华文中宋" w:cs="华文中宋"/>
          <w:b/>
          <w:i w:val="0"/>
          <w:color w:val="auto"/>
          <w:sz w:val="21"/>
          <w:szCs w:val="21"/>
        </w:rPr>
        <w:t>48</w:t>
      </w:r>
      <w:r>
        <w:rPr>
          <w:rFonts w:hint="eastAsia" w:ascii="华文中宋" w:hAnsi="华文中宋" w:eastAsia="华文中宋" w:cs="华文中宋"/>
          <w:b/>
          <w:i w:val="0"/>
          <w:color w:val="auto"/>
          <w:sz w:val="21"/>
          <w:szCs w:val="21"/>
        </w:rPr>
        <w:fldChar w:fldCharType="end"/>
      </w:r>
      <w:r>
        <w:rPr>
          <w:rFonts w:hint="eastAsia" w:ascii="华文中宋" w:hAnsi="华文中宋" w:eastAsia="华文中宋" w:cs="华文中宋"/>
          <w:b/>
          <w:i w:val="0"/>
          <w:color w:val="auto"/>
          <w:sz w:val="21"/>
          <w:szCs w:val="21"/>
        </w:rPr>
        <w:fldChar w:fldCharType="end"/>
      </w:r>
    </w:p>
    <w:p w14:paraId="29EB54B1">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105" w:firstLineChars="5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 一般约定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91436E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1.1词语定义与解释</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B08BF3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1.2语言文字</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5520CD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1.3法律</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D4831E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 标准和规范</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37808B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 合同文件的优先顺序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67641D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1.6图纸和承包人文件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1280EA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1.7联络</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40F108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1.8严禁贿赂</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BE31FB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1.9化石、文物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2EAB8B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1.10交通运输</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85247F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1.11知识产权</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1BEE20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1.12保密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45B32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1.13工程量清单错误的修正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B706CA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 发包人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302A7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2.1 许可或批准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DD1047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2.2 发包人代表</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D95749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2.3 发包人人员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81445B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2.4 施工现场、施工条件和基础资料的提供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353E6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2.5 资金来源证明及支付担保</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B8ACD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2.6 支付合同价款</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EF221E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2.7 组织竣工验收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B0A06A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2.8 现场统一管理协议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639D87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 承包人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93ECE6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3.1 承包人的一般义务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9B24B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3.2 项目经理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9F229B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3.3 承包人人员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95C886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3.4 承包人现场查勘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7BD19C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3.5 分包</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203890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3.6 工程照管与成品、半成品保护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E58931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3.7 履约担保</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749B8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3.8 联合体</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746D66">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 监理人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7005AB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4.1监理人的一般规定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C475FE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4.2监理人员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5E0CD2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4.3监理人的指示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2502B38">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315" w:firstLineChars="15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4.4 商定或确定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525509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 工程质量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9C09E4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5.1质量要求</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39D668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5.2质量保证措施</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7A4D46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5.3 隐蔽工程检查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98CBB9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5.4不合格工程的处理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9C40B3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5.5 质量争议检测</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B66333E">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 安全文明施工与环境保护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F59675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6.1安全文明施工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4B1A9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6.2 职业健康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CAD2E9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6.3 环境保护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6241652">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 工期和进度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86C4BB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7.1施工组织设计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2FF4EE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7.2 施工进度计划</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89A3CE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7.3 开工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41D0F5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7.4测量放线</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22693D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7.5 工期延误</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E55CB7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7.6 不利物质条件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16DD1F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7.7 异常恶劣的气候条件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6D53A6D">
      <w:pPr>
        <w:pStyle w:val="22"/>
        <w:keepNext w:val="0"/>
        <w:keepLines w:val="0"/>
        <w:pageBreakBefore w:val="0"/>
        <w:tabs>
          <w:tab w:val="right" w:leader="dot" w:pos="8810"/>
        </w:tabs>
        <w:kinsoku/>
        <w:wordWrap/>
        <w:overflowPunct/>
        <w:topLinePunct w:val="0"/>
        <w:autoSpaceDE/>
        <w:autoSpaceDN/>
        <w:bidi w:val="0"/>
        <w:adjustRightInd/>
        <w:snapToGrid/>
        <w:spacing w:before="0" w:after="0" w:line="360" w:lineRule="auto"/>
        <w:ind w:firstLine="840" w:firstLineChars="400"/>
        <w:textAlignment w:val="auto"/>
        <w:rPr>
          <w:rFonts w:hint="eastAsia" w:ascii="华文中宋" w:hAnsi="华文中宋" w:eastAsia="华文中宋" w:cs="华文中宋"/>
          <w:b w:val="0"/>
          <w:bCs w:val="0"/>
          <w:cap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val="0"/>
          <w:color w:val="auto"/>
          <w:sz w:val="21"/>
          <w:szCs w:val="21"/>
        </w:rPr>
        <w:t>7.8 暂停施工</w:t>
      </w:r>
      <w:r>
        <w:rPr>
          <w:rFonts w:hint="eastAsia" w:ascii="华文中宋" w:hAnsi="华文中宋" w:eastAsia="华文中宋" w:cs="华文中宋"/>
          <w:b w:val="0"/>
          <w:color w:val="auto"/>
          <w:sz w:val="21"/>
          <w:szCs w:val="21"/>
        </w:rPr>
        <w:tab/>
      </w:r>
      <w:r>
        <w:rPr>
          <w:rFonts w:hint="eastAsia" w:ascii="华文中宋" w:hAnsi="华文中宋" w:eastAsia="华文中宋" w:cs="华文中宋"/>
          <w:b w:val="0"/>
          <w:color w:val="auto"/>
          <w:sz w:val="21"/>
          <w:szCs w:val="21"/>
        </w:rPr>
        <w:fldChar w:fldCharType="begin"/>
      </w:r>
      <w:r>
        <w:rPr>
          <w:rFonts w:hint="eastAsia" w:ascii="华文中宋" w:hAnsi="华文中宋" w:eastAsia="华文中宋" w:cs="华文中宋"/>
          <w:b w:val="0"/>
          <w:color w:val="auto"/>
          <w:sz w:val="21"/>
          <w:szCs w:val="21"/>
        </w:rPr>
        <w:instrText xml:space="preserve"> PAGEREF _Toc375060767 \h </w:instrText>
      </w:r>
      <w:r>
        <w:rPr>
          <w:rFonts w:hint="eastAsia" w:ascii="华文中宋" w:hAnsi="华文中宋" w:eastAsia="华文中宋" w:cs="华文中宋"/>
          <w:b w:val="0"/>
          <w:color w:val="auto"/>
          <w:sz w:val="21"/>
          <w:szCs w:val="21"/>
        </w:rPr>
        <w:fldChar w:fldCharType="separate"/>
      </w:r>
      <w:r>
        <w:rPr>
          <w:rFonts w:hint="eastAsia" w:ascii="华文中宋" w:hAnsi="华文中宋" w:eastAsia="华文中宋" w:cs="华文中宋"/>
          <w:b w:val="0"/>
          <w:color w:val="auto"/>
          <w:sz w:val="21"/>
          <w:szCs w:val="21"/>
        </w:rPr>
        <w:t>75</w:t>
      </w:r>
      <w:r>
        <w:rPr>
          <w:rFonts w:hint="eastAsia" w:ascii="华文中宋" w:hAnsi="华文中宋" w:eastAsia="华文中宋" w:cs="华文中宋"/>
          <w:b w:val="0"/>
          <w:color w:val="auto"/>
          <w:sz w:val="21"/>
          <w:szCs w:val="21"/>
        </w:rPr>
        <w:fldChar w:fldCharType="end"/>
      </w:r>
      <w:r>
        <w:rPr>
          <w:rFonts w:hint="eastAsia" w:ascii="华文中宋" w:hAnsi="华文中宋" w:eastAsia="华文中宋" w:cs="华文中宋"/>
          <w:b w:val="0"/>
          <w:color w:val="auto"/>
          <w:sz w:val="21"/>
          <w:szCs w:val="21"/>
        </w:rPr>
        <w:fldChar w:fldCharType="end"/>
      </w:r>
    </w:p>
    <w:p w14:paraId="46EA02E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7.9提前竣工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F8CF9E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 材料与设备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E24C8A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8.1发包人供应材料与工程设备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62B42C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8.2承包人采购材料与工程设备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FAA324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8.3材料与工程设备的接收与拒收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5C903E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8.4材料与工程设备的保管与使用</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F917EE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8.5禁止使用不合格的材料和工程设备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5358BE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8.6 样品</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AADD33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8.7材料与工程设备的替代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D11199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8.8施工设备和临时设施</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BC64DE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8.9材料与设备专用要求</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0E0A23C">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 试验与检验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725C8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9.1试验设备与试验人员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9DF775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9.2取样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082B65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9.3材料、工程设备和工程的试验和检验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DCF05D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9.4现场工艺试验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6F7262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 变更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21BAF2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10.1变更的范围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18AC8B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10.2变更权</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37B461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10.3变更程序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115AE5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10.4变更估价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B9C5F4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10.5承包人的合理化建议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433C6C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10.6变更引起的工期调整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B12ACD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10.7暂估价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FDB0C6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10.8暂列金额</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1344C5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10.9计日工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491C16">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 价格调整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58AAC4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11.1市场价格波动引起的调整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AF127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11.2法律变化引起的调整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1ECC600">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 合同价格、计量与支付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21334C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12.1 合同价格形式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97FA5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12.2预付款</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F5E62A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12.3计量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BDA05C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12.4工程进度款支付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E6F522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12.5支付账户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9F93E4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 验收和工程试车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D3FC8A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13.1分部分项工程验收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39601D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13.2竣工验收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C7505C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13.3工程试车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2306E1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13.4提前交付单位工程的验收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BF3B67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13.5 施工期运行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04565E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13.6 竣工退场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84712D1">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 竣工结算</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7B1C93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14.1 竣工结算申请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F1A490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14.2 竣工结算审核</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1325EA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14.3 甩项竣工协议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CC2F15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14.4 最终结清</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AF4ACE0">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 缺陷责任与保修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7CAB05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15.1 工程保修的原则</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21ACB5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15.2 缺陷责任期</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2BDC2B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15.3 质量保证金</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F307BE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15.4 保修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1812A8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 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603B08F">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16.1 发包人违约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E2B4D0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16.2 承包人违约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53018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16.3 第三人造成的违约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0924F4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 不可抗力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1AD8E2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17.1 不可抗力的确认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2D7635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17.2 不可抗力的通知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025434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17.3 不可抗力后果的承担</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0B56EB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17.4 因不可抗力解除合同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5E9FB99">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 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828CF5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18.1 工程保险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BC98E7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18.2 工伤保险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9824B5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18.3其他保险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AA5160F">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18.4持续保险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D2275D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18.5 保险凭证</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D314CF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18.6 未按约定投保的补救</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A95ACA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18.7 通知义务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9D4E49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 索赔</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91A9B6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19.1承包人的索赔</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4980AB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19.2 对承包人索赔的处理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C22A5E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19.3发包人的索赔</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149CA8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19.4 对发包人索赔的处理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410C69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19.5 提出索赔的期限</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7D226E9">
      <w:pPr>
        <w:pStyle w:val="17"/>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20.争议解决</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1EFF6C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20.1和解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007545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20.2调解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B6F55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20.3争议评审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C7F7B4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20.4仲裁或诉讼</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CCAB9D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20.5争议解决条款效力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CE8C160">
      <w:pPr>
        <w:pStyle w:val="18"/>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b/>
          <w:i w:val="0"/>
          <w:iC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i w:val="0"/>
          <w:color w:val="auto"/>
          <w:sz w:val="21"/>
          <w:szCs w:val="21"/>
        </w:rPr>
        <w:t>第三部分 专用合同条款</w:t>
      </w:r>
      <w:r>
        <w:rPr>
          <w:rFonts w:hint="eastAsia" w:ascii="华文中宋" w:hAnsi="华文中宋" w:eastAsia="华文中宋" w:cs="华文中宋"/>
          <w:b/>
          <w:i w:val="0"/>
          <w:color w:val="auto"/>
          <w:sz w:val="21"/>
          <w:szCs w:val="21"/>
        </w:rPr>
        <w:tab/>
      </w:r>
      <w:r>
        <w:rPr>
          <w:rFonts w:hint="eastAsia" w:ascii="华文中宋" w:hAnsi="华文中宋" w:eastAsia="华文中宋" w:cs="华文中宋"/>
          <w:b/>
          <w:i w:val="0"/>
          <w:color w:val="auto"/>
          <w:sz w:val="21"/>
          <w:szCs w:val="21"/>
        </w:rPr>
        <w:fldChar w:fldCharType="begin"/>
      </w:r>
      <w:r>
        <w:rPr>
          <w:rFonts w:hint="eastAsia" w:ascii="华文中宋" w:hAnsi="华文中宋" w:eastAsia="华文中宋" w:cs="华文中宋"/>
          <w:b/>
          <w:i w:val="0"/>
          <w:color w:val="auto"/>
          <w:sz w:val="21"/>
          <w:szCs w:val="21"/>
        </w:rPr>
        <w:instrText xml:space="preserve"> PAGEREF _Toc375060850 \h </w:instrText>
      </w:r>
      <w:r>
        <w:rPr>
          <w:rFonts w:hint="eastAsia" w:ascii="华文中宋" w:hAnsi="华文中宋" w:eastAsia="华文中宋" w:cs="华文中宋"/>
          <w:b/>
          <w:i w:val="0"/>
          <w:color w:val="auto"/>
          <w:sz w:val="21"/>
          <w:szCs w:val="21"/>
        </w:rPr>
        <w:fldChar w:fldCharType="separate"/>
      </w:r>
      <w:r>
        <w:rPr>
          <w:rFonts w:hint="eastAsia" w:ascii="华文中宋" w:hAnsi="华文中宋" w:eastAsia="华文中宋" w:cs="华文中宋"/>
          <w:b/>
          <w:i w:val="0"/>
          <w:color w:val="auto"/>
          <w:sz w:val="21"/>
          <w:szCs w:val="21"/>
        </w:rPr>
        <w:t>115</w:t>
      </w:r>
      <w:r>
        <w:rPr>
          <w:rFonts w:hint="eastAsia" w:ascii="华文中宋" w:hAnsi="华文中宋" w:eastAsia="华文中宋" w:cs="华文中宋"/>
          <w:b/>
          <w:i w:val="0"/>
          <w:color w:val="auto"/>
          <w:sz w:val="21"/>
          <w:szCs w:val="21"/>
        </w:rPr>
        <w:fldChar w:fldCharType="end"/>
      </w:r>
      <w:r>
        <w:rPr>
          <w:rFonts w:hint="eastAsia" w:ascii="华文中宋" w:hAnsi="华文中宋" w:eastAsia="华文中宋" w:cs="华文中宋"/>
          <w:b/>
          <w:i w:val="0"/>
          <w:color w:val="auto"/>
          <w:sz w:val="21"/>
          <w:szCs w:val="21"/>
        </w:rPr>
        <w:fldChar w:fldCharType="end"/>
      </w:r>
    </w:p>
    <w:p w14:paraId="1EBD17A5">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 一般约定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E5F1031">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 发包人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8673059">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 承包人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E8A0B45">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 监理人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178E58">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 工程质量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C0EB724">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 安全文明施工与环境保护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1E681BE">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 工期和进度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743450">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 材料与设备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7B1230F">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 试验与检验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1ABBB27">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 变更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5A49846">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 价格调整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C2EF70">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 合同价格、计量与支付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8C0C904">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 验收和工程试车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7BEB4BF">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 竣工结算</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2D0C69E">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 缺陷责任期与保修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68F6F98">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 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D1A3A81">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 不可抗力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131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AA73987">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 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131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ECCE080">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 争议解决</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131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505B747">
      <w:pPr>
        <w:pStyle w:val="22"/>
        <w:keepNext w:val="0"/>
        <w:keepLines w:val="0"/>
        <w:pageBreakBefore w:val="0"/>
        <w:tabs>
          <w:tab w:val="right" w:leader="dot" w:pos="8810"/>
        </w:tabs>
        <w:kinsoku/>
        <w:wordWrap/>
        <w:overflowPunct/>
        <w:topLinePunct w:val="0"/>
        <w:autoSpaceDE/>
        <w:autoSpaceDN/>
        <w:bidi w:val="0"/>
        <w:adjustRightInd/>
        <w:snapToGrid/>
        <w:spacing w:before="0" w:after="0" w:line="360" w:lineRule="auto"/>
        <w:ind w:firstLine="630" w:firstLineChars="300"/>
        <w:textAlignment w:val="auto"/>
        <w:rPr>
          <w:rFonts w:hint="eastAsia" w:ascii="华文中宋" w:hAnsi="华文中宋" w:eastAsia="华文中宋" w:cs="华文中宋"/>
          <w:b w:val="0"/>
          <w:bCs w:val="0"/>
          <w:cap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val="0"/>
          <w:color w:val="auto"/>
          <w:sz w:val="21"/>
          <w:szCs w:val="21"/>
        </w:rPr>
        <w:t>附件</w:t>
      </w:r>
      <w:r>
        <w:rPr>
          <w:rFonts w:hint="eastAsia" w:ascii="华文中宋" w:hAnsi="华文中宋" w:eastAsia="华文中宋" w:cs="华文中宋"/>
          <w:b w:val="0"/>
          <w:color w:val="auto"/>
          <w:sz w:val="21"/>
          <w:szCs w:val="21"/>
        </w:rPr>
        <w:tab/>
      </w:r>
      <w:r>
        <w:rPr>
          <w:rFonts w:hint="eastAsia" w:ascii="华文中宋" w:hAnsi="华文中宋" w:eastAsia="华文中宋" w:cs="华文中宋"/>
          <w:b w:val="0"/>
          <w:color w:val="auto"/>
          <w:sz w:val="21"/>
          <w:szCs w:val="21"/>
        </w:rPr>
        <w:t>94</w:t>
      </w:r>
      <w:r>
        <w:rPr>
          <w:rFonts w:hint="eastAsia" w:ascii="华文中宋" w:hAnsi="华文中宋" w:eastAsia="华文中宋" w:cs="华文中宋"/>
          <w:b w:val="0"/>
          <w:color w:val="auto"/>
          <w:sz w:val="21"/>
          <w:szCs w:val="21"/>
        </w:rPr>
        <w:fldChar w:fldCharType="end"/>
      </w:r>
    </w:p>
    <w:p w14:paraId="7CAB89E0">
      <w:pPr>
        <w:pStyle w:val="4"/>
        <w:spacing w:line="576" w:lineRule="auto"/>
        <w:jc w:val="center"/>
        <w:rPr>
          <w:rFonts w:hint="eastAsia" w:ascii="华文中宋" w:hAnsi="华文中宋" w:eastAsia="华文中宋" w:cs="华文中宋"/>
          <w:color w:val="auto"/>
          <w:sz w:val="28"/>
          <w:szCs w:val="28"/>
        </w:rPr>
        <w:sectPr>
          <w:pgSz w:w="11906" w:h="16838"/>
          <w:pgMar w:top="1418" w:right="1555" w:bottom="1418" w:left="1531" w:header="851" w:footer="992" w:gutter="0"/>
          <w:pgNumType w:fmt="decimal"/>
          <w:cols w:space="720" w:num="1"/>
          <w:titlePg/>
          <w:docGrid w:linePitch="312" w:charSpace="0"/>
        </w:sectPr>
      </w:pPr>
      <w:r>
        <w:rPr>
          <w:rFonts w:hint="eastAsia" w:ascii="华文中宋" w:hAnsi="华文中宋" w:eastAsia="华文中宋" w:cs="华文中宋"/>
          <w:b w:val="0"/>
          <w:color w:val="auto"/>
          <w:sz w:val="28"/>
          <w:szCs w:val="28"/>
        </w:rPr>
        <w:fldChar w:fldCharType="end"/>
      </w:r>
    </w:p>
    <w:p w14:paraId="5A9D79A0">
      <w:pPr>
        <w:pStyle w:val="4"/>
        <w:pageBreakBefore w:val="0"/>
        <w:kinsoku/>
        <w:wordWrap/>
        <w:overflowPunct/>
        <w:topLinePunct w:val="0"/>
        <w:bidi w:val="0"/>
        <w:snapToGrid/>
        <w:spacing w:before="0" w:after="0" w:line="360" w:lineRule="auto"/>
        <w:jc w:val="center"/>
        <w:rPr>
          <w:rFonts w:hint="eastAsia" w:ascii="华文中宋" w:hAnsi="华文中宋" w:eastAsia="华文中宋" w:cs="华文中宋"/>
          <w:b w:val="0"/>
          <w:color w:val="auto"/>
          <w:sz w:val="24"/>
          <w:szCs w:val="24"/>
        </w:rPr>
      </w:pPr>
      <w:bookmarkStart w:id="97" w:name="_Toc375060644"/>
      <w:bookmarkStart w:id="98" w:name="_Toc375060695"/>
      <w:bookmarkStart w:id="99" w:name="_Toc16695"/>
      <w:r>
        <w:rPr>
          <w:rFonts w:hint="eastAsia" w:ascii="华文中宋" w:hAnsi="华文中宋" w:eastAsia="华文中宋" w:cs="华文中宋"/>
          <w:b w:val="0"/>
          <w:color w:val="auto"/>
          <w:sz w:val="24"/>
          <w:szCs w:val="24"/>
        </w:rPr>
        <w:t>第一部分 合同协议书</w:t>
      </w:r>
      <w:bookmarkEnd w:id="79"/>
      <w:bookmarkEnd w:id="80"/>
      <w:bookmarkEnd w:id="97"/>
      <w:bookmarkEnd w:id="98"/>
      <w:bookmarkEnd w:id="99"/>
    </w:p>
    <w:p w14:paraId="5CA5B330">
      <w:pPr>
        <w:pageBreakBefore w:val="0"/>
        <w:kinsoku/>
        <w:wordWrap/>
        <w:overflowPunct/>
        <w:topLinePunct w:val="0"/>
        <w:bidi w:val="0"/>
        <w:snapToGrid/>
        <w:spacing w:line="360" w:lineRule="auto"/>
        <w:ind w:firstLine="470" w:firstLineChars="196"/>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发包人（全称）：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0E7DD04D">
      <w:pPr>
        <w:pageBreakBefore w:val="0"/>
        <w:kinsoku/>
        <w:wordWrap/>
        <w:overflowPunct/>
        <w:topLinePunct w:val="0"/>
        <w:bidi w:val="0"/>
        <w:snapToGrid/>
        <w:spacing w:line="360" w:lineRule="auto"/>
        <w:ind w:firstLine="470" w:firstLineChars="196"/>
        <w:rPr>
          <w:rFonts w:hint="eastAsia" w:ascii="华文中宋" w:hAnsi="华文中宋" w:eastAsia="华文中宋" w:cs="华文中宋"/>
          <w:bCs/>
          <w:color w:val="auto"/>
          <w:sz w:val="24"/>
          <w:szCs w:val="24"/>
          <w:u w:val="single"/>
          <w:lang w:val="en-US" w:eastAsia="zh-CN"/>
        </w:rPr>
      </w:pPr>
      <w:r>
        <w:rPr>
          <w:rFonts w:hint="eastAsia" w:ascii="华文中宋" w:hAnsi="华文中宋" w:eastAsia="华文中宋" w:cs="华文中宋"/>
          <w:color w:val="auto"/>
          <w:sz w:val="24"/>
          <w:szCs w:val="24"/>
        </w:rPr>
        <w:t>承包人（全称）：</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u w:val="single"/>
          <w:lang w:val="en-US" w:eastAsia="zh-CN"/>
        </w:rPr>
        <w:t xml:space="preserve">                            </w:t>
      </w:r>
    </w:p>
    <w:p w14:paraId="1B2E8B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根据《中华人民共和国民法典》、《中华人民共和国建筑法》及有关法律规定，遵循平等、自愿、公平和诚实信用的原则，双方就</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施工及有关事项协商一致，共同达成如下协议：</w:t>
      </w:r>
    </w:p>
    <w:p w14:paraId="0A8CEAE1">
      <w:pPr>
        <w:pStyle w:val="5"/>
        <w:pageBreakBefore w:val="0"/>
        <w:kinsoku/>
        <w:wordWrap/>
        <w:overflowPunct/>
        <w:topLinePunct w:val="0"/>
        <w:bidi w:val="0"/>
        <w:snapToGrid/>
        <w:spacing w:before="0" w:after="0" w:line="360" w:lineRule="auto"/>
        <w:ind w:firstLine="446" w:firstLineChars="186"/>
        <w:rPr>
          <w:rFonts w:hint="eastAsia" w:ascii="华文中宋" w:hAnsi="华文中宋" w:eastAsia="华文中宋" w:cs="华文中宋"/>
          <w:bCs w:val="0"/>
          <w:color w:val="auto"/>
          <w:sz w:val="24"/>
          <w:szCs w:val="24"/>
        </w:rPr>
      </w:pPr>
      <w:bookmarkStart w:id="100" w:name="_Toc375060696"/>
      <w:r>
        <w:rPr>
          <w:rFonts w:hint="eastAsia" w:ascii="华文中宋" w:hAnsi="华文中宋" w:eastAsia="华文中宋" w:cs="华文中宋"/>
          <w:b w:val="0"/>
          <w:color w:val="auto"/>
          <w:sz w:val="24"/>
          <w:szCs w:val="24"/>
        </w:rPr>
        <w:t>一、工程概况</w:t>
      </w:r>
      <w:bookmarkEnd w:id="100"/>
    </w:p>
    <w:p w14:paraId="781B591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1.工程名称：</w:t>
      </w:r>
      <w:r>
        <w:rPr>
          <w:rFonts w:hint="eastAsia" w:ascii="华文中宋" w:hAnsi="华文中宋" w:eastAsia="华文中宋" w:cs="华文中宋"/>
          <w:color w:val="auto"/>
          <w:sz w:val="24"/>
          <w:szCs w:val="24"/>
          <w:u w:val="single"/>
          <w:lang w:val="en-US" w:eastAsia="zh-CN"/>
        </w:rPr>
        <w:t xml:space="preserve">                               </w:t>
      </w:r>
    </w:p>
    <w:p w14:paraId="381D970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u w:val="single"/>
          <w:lang w:val="en-US" w:eastAsia="zh-CN"/>
        </w:rPr>
      </w:pPr>
      <w:r>
        <w:rPr>
          <w:rFonts w:hint="eastAsia" w:ascii="华文中宋" w:hAnsi="华文中宋" w:eastAsia="华文中宋" w:cs="华文中宋"/>
          <w:color w:val="auto"/>
          <w:sz w:val="24"/>
          <w:szCs w:val="24"/>
        </w:rPr>
        <w:t>2.工程地点：</w:t>
      </w:r>
      <w:r>
        <w:rPr>
          <w:rFonts w:hint="eastAsia" w:ascii="华文中宋" w:hAnsi="华文中宋" w:eastAsia="华文中宋" w:cs="华文中宋"/>
          <w:color w:val="auto"/>
          <w:sz w:val="24"/>
          <w:szCs w:val="24"/>
          <w:u w:val="single"/>
          <w:lang w:val="en-US" w:eastAsia="zh-CN"/>
        </w:rPr>
        <w:t xml:space="preserve">                               </w:t>
      </w:r>
    </w:p>
    <w:p w14:paraId="0204298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bCs/>
          <w:color w:val="auto"/>
          <w:sz w:val="24"/>
          <w:szCs w:val="24"/>
        </w:rPr>
        <w:t>3.工程立项批准文号：</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p>
    <w:p w14:paraId="7116F3B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lang w:val="en-US" w:eastAsia="zh-CN"/>
        </w:rPr>
      </w:pPr>
      <w:r>
        <w:rPr>
          <w:rFonts w:hint="eastAsia" w:ascii="华文中宋" w:hAnsi="华文中宋" w:eastAsia="华文中宋" w:cs="华文中宋"/>
          <w:bCs/>
          <w:color w:val="auto"/>
          <w:sz w:val="24"/>
          <w:szCs w:val="24"/>
        </w:rPr>
        <w:t>4.资金来源：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3D713A2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bCs/>
          <w:color w:val="auto"/>
          <w:sz w:val="24"/>
          <w:szCs w:val="24"/>
        </w:rPr>
        <w:t>5.工程内容：</w:t>
      </w:r>
      <w:r>
        <w:rPr>
          <w:rFonts w:hint="eastAsia" w:ascii="华文中宋" w:hAnsi="华文中宋" w:eastAsia="华文中宋" w:cs="华文中宋"/>
          <w:b/>
          <w:color w:val="auto"/>
          <w:sz w:val="24"/>
          <w:szCs w:val="24"/>
          <w:u w:val="single"/>
          <w:lang w:val="en-US" w:eastAsia="zh-CN"/>
        </w:rPr>
        <w:t xml:space="preserve">                                              </w:t>
      </w:r>
    </w:p>
    <w:p w14:paraId="691E17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color w:val="auto"/>
          <w:sz w:val="24"/>
          <w:szCs w:val="24"/>
        </w:rPr>
        <w:t>群体工程应附《承包人承揽工程项目一览表》（附件1）。</w:t>
      </w:r>
    </w:p>
    <w:p w14:paraId="4BCCA65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6.工程承包范围：</w:t>
      </w:r>
      <w:r>
        <w:rPr>
          <w:rFonts w:hint="eastAsia" w:ascii="华文中宋" w:hAnsi="华文中宋" w:eastAsia="华文中宋" w:cs="华文中宋"/>
          <w:bCs/>
          <w:color w:val="auto"/>
          <w:sz w:val="24"/>
          <w:szCs w:val="24"/>
          <w:u w:val="single"/>
          <w:lang w:val="en-US" w:eastAsia="zh-CN"/>
        </w:rPr>
        <w:t xml:space="preserve">                       </w:t>
      </w:r>
    </w:p>
    <w:p w14:paraId="010BBAD3">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01" w:name="_Toc375060697"/>
      <w:r>
        <w:rPr>
          <w:rFonts w:hint="eastAsia" w:ascii="华文中宋" w:hAnsi="华文中宋" w:eastAsia="华文中宋" w:cs="华文中宋"/>
          <w:b w:val="0"/>
          <w:color w:val="auto"/>
          <w:sz w:val="24"/>
          <w:szCs w:val="24"/>
        </w:rPr>
        <w:t>二、合同工期</w:t>
      </w:r>
      <w:bookmarkEnd w:id="101"/>
    </w:p>
    <w:p w14:paraId="4A25B20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计划开工日期：</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日。</w:t>
      </w:r>
    </w:p>
    <w:p w14:paraId="3FCC8AF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计划竣工日期：</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日。</w:t>
      </w:r>
    </w:p>
    <w:p w14:paraId="15B8E4F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工期总日历天数：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天。工期总日历天数与根据前述计划开竣工日期计算的工期天数不一致的，以工期总日历天数为准。</w:t>
      </w:r>
    </w:p>
    <w:p w14:paraId="442B74A9">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2" w:name="_Toc375060698"/>
      <w:r>
        <w:rPr>
          <w:rFonts w:hint="eastAsia" w:ascii="华文中宋" w:hAnsi="华文中宋" w:eastAsia="华文中宋" w:cs="华文中宋"/>
          <w:b w:val="0"/>
          <w:color w:val="auto"/>
          <w:sz w:val="24"/>
          <w:szCs w:val="24"/>
        </w:rPr>
        <w:t>三、质量标准</w:t>
      </w:r>
      <w:bookmarkEnd w:id="102"/>
    </w:p>
    <w:p w14:paraId="7037AFE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工程质量</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标准。</w:t>
      </w:r>
    </w:p>
    <w:p w14:paraId="4251EBBA">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3" w:name="_Toc375060699"/>
      <w:r>
        <w:rPr>
          <w:rFonts w:hint="eastAsia" w:ascii="华文中宋" w:hAnsi="华文中宋" w:eastAsia="华文中宋" w:cs="华文中宋"/>
          <w:b w:val="0"/>
          <w:color w:val="auto"/>
          <w:sz w:val="24"/>
          <w:szCs w:val="24"/>
        </w:rPr>
        <w:t>四、签约合同价与合同价格形式</w:t>
      </w:r>
      <w:bookmarkEnd w:id="103"/>
      <w:r>
        <w:rPr>
          <w:rFonts w:hint="eastAsia" w:ascii="华文中宋" w:hAnsi="华文中宋" w:eastAsia="华文中宋" w:cs="华文中宋"/>
          <w:b w:val="0"/>
          <w:color w:val="auto"/>
          <w:sz w:val="24"/>
          <w:szCs w:val="24"/>
        </w:rPr>
        <w:tab/>
      </w:r>
    </w:p>
    <w:p w14:paraId="75985B2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1.签约合同价为：</w:t>
      </w:r>
    </w:p>
    <w:p w14:paraId="5240B8A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bCs/>
          <w:color w:val="auto"/>
          <w:sz w:val="24"/>
          <w:szCs w:val="24"/>
        </w:rPr>
        <w:t>其中，不含税价款为</w:t>
      </w:r>
      <w:r>
        <w:rPr>
          <w:rFonts w:hint="eastAsia" w:ascii="华文中宋" w:hAnsi="华文中宋" w:eastAsia="华文中宋" w:cs="华文中宋"/>
          <w:color w:val="auto"/>
          <w:sz w:val="24"/>
          <w:szCs w:val="24"/>
        </w:rPr>
        <w:t>¥</w:t>
      </w:r>
      <w:r>
        <w:rPr>
          <w:rFonts w:hint="eastAsia" w:ascii="华文中宋" w:hAnsi="华文中宋" w:eastAsia="华文中宋" w:cs="华文中宋"/>
          <w:bCs/>
          <w:color w:val="auto"/>
          <w:sz w:val="24"/>
          <w:szCs w:val="24"/>
        </w:rPr>
        <w:t>：</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Cs/>
          <w:color w:val="auto"/>
          <w:sz w:val="24"/>
          <w:szCs w:val="24"/>
        </w:rPr>
        <w:t>元</w:t>
      </w:r>
      <w:r>
        <w:rPr>
          <w:rFonts w:hint="eastAsia" w:ascii="华文中宋" w:hAnsi="华文中宋" w:eastAsia="华文中宋" w:cs="华文中宋"/>
          <w:bCs/>
          <w:color w:val="auto"/>
          <w:kern w:val="0"/>
          <w:sz w:val="24"/>
          <w:szCs w:val="24"/>
        </w:rPr>
        <w:t>；</w:t>
      </w:r>
      <w:r>
        <w:rPr>
          <w:rFonts w:hint="eastAsia" w:ascii="华文中宋" w:hAnsi="华文中宋" w:eastAsia="华文中宋" w:cs="华文中宋"/>
          <w:bCs/>
          <w:color w:val="auto"/>
          <w:sz w:val="24"/>
          <w:szCs w:val="24"/>
        </w:rPr>
        <w:t>增值税税率：</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%，增值税税额为</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元</w:t>
      </w:r>
      <w:r>
        <w:rPr>
          <w:rFonts w:hint="eastAsia" w:ascii="华文中宋" w:hAnsi="华文中宋" w:eastAsia="华文中宋" w:cs="华文中宋"/>
          <w:color w:val="auto"/>
          <w:sz w:val="24"/>
          <w:szCs w:val="24"/>
        </w:rPr>
        <w:t>。</w:t>
      </w:r>
    </w:p>
    <w:p w14:paraId="7BAF363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其中：</w:t>
      </w:r>
    </w:p>
    <w:p w14:paraId="1996B91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（1）安全文明施工费：</w:t>
      </w:r>
    </w:p>
    <w:p w14:paraId="49BF868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元）；</w:t>
      </w:r>
    </w:p>
    <w:p w14:paraId="0B252AD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（2）材料和工程设备暂估价金额：</w:t>
      </w:r>
    </w:p>
    <w:p w14:paraId="12E642E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bCs/>
          <w:color w:val="auto"/>
          <w:sz w:val="24"/>
          <w:szCs w:val="24"/>
        </w:rPr>
        <w:t>）；</w:t>
      </w:r>
    </w:p>
    <w:p w14:paraId="7F68F56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（3）专业工程暂估价金额：</w:t>
      </w:r>
    </w:p>
    <w:p w14:paraId="4574ECE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Style w:val="43"/>
          <w:rFonts w:hint="eastAsia" w:ascii="华文中宋" w:hAnsi="华文中宋" w:eastAsia="华文中宋" w:cs="华文中宋"/>
          <w:b/>
          <w:bCs/>
          <w:color w:val="auto"/>
          <w:sz w:val="24"/>
          <w:szCs w:val="24"/>
          <w:u w:val="single"/>
        </w:rPr>
        <w:t xml:space="preserve"> </w:t>
      </w:r>
      <w:r>
        <w:rPr>
          <w:rStyle w:val="43"/>
          <w:rFonts w:hint="eastAsia" w:ascii="华文中宋" w:hAnsi="华文中宋" w:eastAsia="华文中宋" w:cs="华文中宋"/>
          <w:b/>
          <w:bCs/>
          <w:color w:val="auto"/>
          <w:sz w:val="24"/>
          <w:szCs w:val="24"/>
          <w:u w:val="single"/>
          <w:lang w:val="en-US"/>
        </w:rPr>
        <w:t xml:space="preserve">   </w:t>
      </w:r>
      <w:r>
        <w:rPr>
          <w:rStyle w:val="43"/>
          <w:rFonts w:hint="eastAsia" w:ascii="华文中宋" w:hAnsi="华文中宋" w:eastAsia="华文中宋" w:cs="华文中宋"/>
          <w:b/>
          <w:bCs/>
          <w:color w:val="auto"/>
          <w:sz w:val="24"/>
          <w:szCs w:val="24"/>
          <w:u w:val="single"/>
        </w:rPr>
        <w:t xml:space="preserve">   </w:t>
      </w:r>
      <w:r>
        <w:rPr>
          <w:rStyle w:val="43"/>
          <w:rFonts w:hint="eastAsia" w:ascii="华文中宋" w:hAnsi="华文中宋" w:eastAsia="华文中宋" w:cs="华文中宋"/>
          <w:b/>
          <w:bCs/>
          <w:color w:val="auto"/>
          <w:sz w:val="24"/>
          <w:szCs w:val="24"/>
          <w:u w:val="single" w:color="000000"/>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Style w:val="43"/>
          <w:rFonts w:hint="eastAsia" w:ascii="华文中宋" w:hAnsi="华文中宋" w:eastAsia="华文中宋" w:cs="华文中宋"/>
          <w:b/>
          <w:bCs/>
          <w:color w:val="auto"/>
          <w:sz w:val="24"/>
          <w:szCs w:val="24"/>
          <w:u w:val="single" w:color="000000"/>
        </w:rPr>
        <w:t xml:space="preserve"> </w:t>
      </w:r>
      <w:r>
        <w:rPr>
          <w:rFonts w:hint="eastAsia" w:ascii="华文中宋" w:hAnsi="华文中宋" w:eastAsia="华文中宋" w:cs="华文中宋"/>
          <w:color w:val="auto"/>
          <w:sz w:val="24"/>
          <w:szCs w:val="24"/>
        </w:rPr>
        <w:t>元）；</w:t>
      </w:r>
    </w:p>
    <w:p w14:paraId="2C97DD6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（4）暂列金额：</w:t>
      </w:r>
    </w:p>
    <w:p w14:paraId="65A83C0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p>
    <w:p w14:paraId="1D23957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2.合同价格形式：</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A3729CB">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04" w:name="_Toc375060700"/>
      <w:r>
        <w:rPr>
          <w:rFonts w:hint="eastAsia" w:ascii="华文中宋" w:hAnsi="华文中宋" w:eastAsia="华文中宋" w:cs="华文中宋"/>
          <w:b w:val="0"/>
          <w:color w:val="auto"/>
          <w:sz w:val="24"/>
          <w:szCs w:val="24"/>
        </w:rPr>
        <w:t>五、项目经理</w:t>
      </w:r>
      <w:bookmarkEnd w:id="104"/>
    </w:p>
    <w:p w14:paraId="4AF53A3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highlight w:val="cyan"/>
        </w:rPr>
      </w:pPr>
      <w:r>
        <w:rPr>
          <w:rFonts w:hint="eastAsia" w:ascii="华文中宋" w:hAnsi="华文中宋" w:eastAsia="华文中宋" w:cs="华文中宋"/>
          <w:color w:val="auto"/>
          <w:sz w:val="24"/>
          <w:szCs w:val="24"/>
        </w:rPr>
        <w:t>承包人项目经理：</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FCDFFFD">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5" w:name="_Toc375060701"/>
      <w:r>
        <w:rPr>
          <w:rFonts w:hint="eastAsia" w:ascii="华文中宋" w:hAnsi="华文中宋" w:eastAsia="华文中宋" w:cs="华文中宋"/>
          <w:b w:val="0"/>
          <w:color w:val="auto"/>
          <w:sz w:val="24"/>
          <w:szCs w:val="24"/>
        </w:rPr>
        <w:t>六、合同文件构成</w:t>
      </w:r>
      <w:bookmarkEnd w:id="105"/>
    </w:p>
    <w:p w14:paraId="25F4DE4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本协议书与下列文件一起构成合同文件：</w:t>
      </w:r>
    </w:p>
    <w:p w14:paraId="7B16C78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（1）中标通知书（如果有）；</w:t>
      </w:r>
    </w:p>
    <w:p w14:paraId="4A4F12F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（2）投标函及其附录（如果有）； </w:t>
      </w:r>
    </w:p>
    <w:p w14:paraId="5A67484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（3）专用合同条款及其附件；</w:t>
      </w:r>
    </w:p>
    <w:p w14:paraId="71D52E3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（4）通用合同条款；</w:t>
      </w:r>
    </w:p>
    <w:p w14:paraId="3CB7681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（5）技术标准和要求；</w:t>
      </w:r>
    </w:p>
    <w:p w14:paraId="3B46474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（6）图纸；</w:t>
      </w:r>
    </w:p>
    <w:p w14:paraId="6147FB0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（7）已标价工程量清单或预算书；</w:t>
      </w:r>
    </w:p>
    <w:p w14:paraId="772CE04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（8）其他合同文件。</w:t>
      </w:r>
    </w:p>
    <w:p w14:paraId="0D427D2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在合同订立及履行过程中形成的与合同有关的文件均构成合同文件组成部分。</w:t>
      </w:r>
    </w:p>
    <w:p w14:paraId="0E0C2D7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2CDB7D6A">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bCs w:val="0"/>
          <w:color w:val="auto"/>
          <w:sz w:val="24"/>
          <w:szCs w:val="24"/>
        </w:rPr>
      </w:pPr>
      <w:bookmarkStart w:id="106" w:name="_Toc375060702"/>
      <w:r>
        <w:rPr>
          <w:rFonts w:hint="eastAsia" w:ascii="华文中宋" w:hAnsi="华文中宋" w:eastAsia="华文中宋" w:cs="华文中宋"/>
          <w:b w:val="0"/>
          <w:color w:val="auto"/>
          <w:sz w:val="24"/>
          <w:szCs w:val="24"/>
        </w:rPr>
        <w:t>七、承诺</w:t>
      </w:r>
      <w:bookmarkEnd w:id="106"/>
    </w:p>
    <w:p w14:paraId="7486805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1.发包人承诺筹集工程建设资金并按照合同约定的期限和方式支付合同价款。</w:t>
      </w:r>
    </w:p>
    <w:p w14:paraId="18EBCD2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2.承包人承诺按照法律规定及合同约定组织完成工程施工，确保工程质量和安全，不进行转包及违法分包，并在缺陷责任期及保修期内承担相应的工程维修责任。</w:t>
      </w:r>
    </w:p>
    <w:p w14:paraId="210615C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color w:val="auto"/>
          <w:sz w:val="24"/>
          <w:szCs w:val="24"/>
        </w:rPr>
        <w:t>3.发包人和承包人通过招投标形式签订合同的，双方理解并承诺不再就同一工程另行签订与合同实质性内容相背离的协议。</w:t>
      </w:r>
    </w:p>
    <w:p w14:paraId="76D6AF69">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7" w:name="_Toc375060703"/>
      <w:r>
        <w:rPr>
          <w:rFonts w:hint="eastAsia" w:ascii="华文中宋" w:hAnsi="华文中宋" w:eastAsia="华文中宋" w:cs="华文中宋"/>
          <w:b w:val="0"/>
          <w:color w:val="auto"/>
          <w:sz w:val="24"/>
          <w:szCs w:val="24"/>
        </w:rPr>
        <w:t>八、词语含义</w:t>
      </w:r>
      <w:bookmarkEnd w:id="107"/>
    </w:p>
    <w:p w14:paraId="29FFA05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本协议书中词语含义与第二部分通用合同条款中赋予的含义相同。</w:t>
      </w:r>
    </w:p>
    <w:p w14:paraId="7634BD43">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8" w:name="_Toc375060704"/>
      <w:r>
        <w:rPr>
          <w:rFonts w:hint="eastAsia" w:ascii="华文中宋" w:hAnsi="华文中宋" w:eastAsia="华文中宋" w:cs="华文中宋"/>
          <w:b w:val="0"/>
          <w:color w:val="auto"/>
          <w:sz w:val="24"/>
          <w:szCs w:val="24"/>
        </w:rPr>
        <w:t>九、签订时间</w:t>
      </w:r>
      <w:bookmarkEnd w:id="108"/>
    </w:p>
    <w:p w14:paraId="4D19E82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本合同于</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年</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月</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日签订。</w:t>
      </w:r>
    </w:p>
    <w:p w14:paraId="5B7951E6">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9" w:name="_Toc375060705"/>
      <w:r>
        <w:rPr>
          <w:rFonts w:hint="eastAsia" w:ascii="华文中宋" w:hAnsi="华文中宋" w:eastAsia="华文中宋" w:cs="华文中宋"/>
          <w:b w:val="0"/>
          <w:color w:val="auto"/>
          <w:sz w:val="24"/>
          <w:szCs w:val="24"/>
        </w:rPr>
        <w:t>十、签订地点</w:t>
      </w:r>
      <w:bookmarkEnd w:id="109"/>
    </w:p>
    <w:p w14:paraId="065803D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本合同在</w:t>
      </w:r>
      <w:r>
        <w:rPr>
          <w:rFonts w:hint="eastAsia" w:ascii="华文中宋" w:hAnsi="华文中宋" w:eastAsia="华文中宋" w:cs="华文中宋"/>
          <w:bCs/>
          <w:color w:val="auto"/>
          <w:sz w:val="24"/>
          <w:szCs w:val="24"/>
          <w:lang w:val="en-US" w:eastAsia="zh-CN"/>
        </w:rPr>
        <w:t xml:space="preserve"> </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签订。</w:t>
      </w:r>
    </w:p>
    <w:p w14:paraId="09123539">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10" w:name="_Toc375060706"/>
      <w:r>
        <w:rPr>
          <w:rFonts w:hint="eastAsia" w:ascii="华文中宋" w:hAnsi="华文中宋" w:eastAsia="华文中宋" w:cs="华文中宋"/>
          <w:b w:val="0"/>
          <w:color w:val="auto"/>
          <w:sz w:val="24"/>
          <w:szCs w:val="24"/>
        </w:rPr>
        <w:t>十一、补充协议</w:t>
      </w:r>
      <w:bookmarkEnd w:id="110"/>
    </w:p>
    <w:p w14:paraId="2863987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bCs/>
          <w:color w:val="auto"/>
          <w:sz w:val="24"/>
          <w:szCs w:val="24"/>
        </w:rPr>
        <w:t>合同未尽事宜，合同当事人另行签订补充协议，补充协议是合同的组成部分。</w:t>
      </w:r>
    </w:p>
    <w:p w14:paraId="428B5938">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11" w:name="_Toc375060707"/>
      <w:r>
        <w:rPr>
          <w:rFonts w:hint="eastAsia" w:ascii="华文中宋" w:hAnsi="华文中宋" w:eastAsia="华文中宋" w:cs="华文中宋"/>
          <w:b w:val="0"/>
          <w:color w:val="auto"/>
          <w:sz w:val="24"/>
          <w:szCs w:val="24"/>
        </w:rPr>
        <w:t>十二、合同生效</w:t>
      </w:r>
      <w:bookmarkEnd w:id="111"/>
    </w:p>
    <w:p w14:paraId="2BDB999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本合同自</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生效。</w:t>
      </w:r>
    </w:p>
    <w:p w14:paraId="1941A288">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12" w:name="_Toc375060708"/>
      <w:r>
        <w:rPr>
          <w:rFonts w:hint="eastAsia" w:ascii="华文中宋" w:hAnsi="华文中宋" w:eastAsia="华文中宋" w:cs="华文中宋"/>
          <w:b w:val="0"/>
          <w:color w:val="auto"/>
          <w:sz w:val="24"/>
          <w:szCs w:val="24"/>
        </w:rPr>
        <w:t>十三、合同份数</w:t>
      </w:r>
      <w:bookmarkEnd w:id="112"/>
    </w:p>
    <w:p w14:paraId="6FBC767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本合同一式</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份，均具有同等法律效力，发包人执</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份，承包人执</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份。</w:t>
      </w:r>
    </w:p>
    <w:p w14:paraId="6D4FCEA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（正本</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份，双方各执</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份，副本</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份，发包人执</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份，承包人执</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w:t>
      </w:r>
    </w:p>
    <w:p w14:paraId="0E2E077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（本页以下无正文内容）</w:t>
      </w:r>
    </w:p>
    <w:tbl>
      <w:tblPr>
        <w:tblStyle w:val="29"/>
        <w:tblW w:w="10021" w:type="dxa"/>
        <w:jc w:val="center"/>
        <w:tblLayout w:type="autofit"/>
        <w:tblCellMar>
          <w:top w:w="0" w:type="dxa"/>
          <w:left w:w="108" w:type="dxa"/>
          <w:bottom w:w="0" w:type="dxa"/>
          <w:right w:w="108" w:type="dxa"/>
        </w:tblCellMar>
      </w:tblPr>
      <w:tblGrid>
        <w:gridCol w:w="1379"/>
        <w:gridCol w:w="283"/>
        <w:gridCol w:w="654"/>
        <w:gridCol w:w="2286"/>
        <w:gridCol w:w="1414"/>
        <w:gridCol w:w="265"/>
        <w:gridCol w:w="532"/>
        <w:gridCol w:w="3208"/>
      </w:tblGrid>
      <w:tr w14:paraId="24E03C5E">
        <w:tblPrEx>
          <w:tblCellMar>
            <w:top w:w="0" w:type="dxa"/>
            <w:left w:w="108" w:type="dxa"/>
            <w:bottom w:w="0" w:type="dxa"/>
            <w:right w:w="108" w:type="dxa"/>
          </w:tblCellMar>
        </w:tblPrEx>
        <w:trPr>
          <w:trHeight w:val="595" w:hRule="atLeast"/>
          <w:jc w:val="center"/>
        </w:trPr>
        <w:tc>
          <w:tcPr>
            <w:tcW w:w="2316" w:type="dxa"/>
            <w:gridSpan w:val="3"/>
            <w:noWrap w:val="0"/>
            <w:vAlign w:val="center"/>
          </w:tcPr>
          <w:p w14:paraId="553D19BC">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发包人：（公章）</w:t>
            </w:r>
          </w:p>
        </w:tc>
        <w:tc>
          <w:tcPr>
            <w:tcW w:w="2286" w:type="dxa"/>
            <w:noWrap w:val="0"/>
            <w:vAlign w:val="center"/>
          </w:tcPr>
          <w:p w14:paraId="26A4DC55">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p>
        </w:tc>
        <w:tc>
          <w:tcPr>
            <w:tcW w:w="2211" w:type="dxa"/>
            <w:gridSpan w:val="3"/>
            <w:noWrap w:val="0"/>
            <w:vAlign w:val="center"/>
          </w:tcPr>
          <w:p w14:paraId="1546068E">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承包人：（公章）</w:t>
            </w:r>
          </w:p>
        </w:tc>
        <w:tc>
          <w:tcPr>
            <w:tcW w:w="3208" w:type="dxa"/>
            <w:noWrap w:val="0"/>
            <w:vAlign w:val="center"/>
          </w:tcPr>
          <w:p w14:paraId="5C4C9098">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p>
        </w:tc>
      </w:tr>
      <w:tr w14:paraId="432A3CE6">
        <w:tblPrEx>
          <w:tblCellMar>
            <w:top w:w="0" w:type="dxa"/>
            <w:left w:w="108" w:type="dxa"/>
            <w:bottom w:w="0" w:type="dxa"/>
            <w:right w:w="108" w:type="dxa"/>
          </w:tblCellMar>
        </w:tblPrEx>
        <w:trPr>
          <w:trHeight w:val="1238" w:hRule="atLeast"/>
          <w:jc w:val="center"/>
        </w:trPr>
        <w:tc>
          <w:tcPr>
            <w:tcW w:w="4602" w:type="dxa"/>
            <w:gridSpan w:val="4"/>
            <w:noWrap w:val="0"/>
            <w:vAlign w:val="center"/>
          </w:tcPr>
          <w:p w14:paraId="14F4150E">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p>
          <w:p w14:paraId="2396F9BE">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（签字）</w:t>
            </w:r>
          </w:p>
        </w:tc>
        <w:tc>
          <w:tcPr>
            <w:tcW w:w="5419" w:type="dxa"/>
            <w:gridSpan w:val="4"/>
            <w:noWrap w:val="0"/>
            <w:vAlign w:val="center"/>
          </w:tcPr>
          <w:p w14:paraId="5A94383C">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p>
          <w:p w14:paraId="725DFF75">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（签字）</w:t>
            </w:r>
          </w:p>
        </w:tc>
      </w:tr>
      <w:tr w14:paraId="5828232C">
        <w:tblPrEx>
          <w:tblCellMar>
            <w:top w:w="0" w:type="dxa"/>
            <w:left w:w="108" w:type="dxa"/>
            <w:bottom w:w="0" w:type="dxa"/>
            <w:right w:w="108" w:type="dxa"/>
          </w:tblCellMar>
        </w:tblPrEx>
        <w:trPr>
          <w:trHeight w:val="794" w:hRule="atLeast"/>
          <w:jc w:val="center"/>
        </w:trPr>
        <w:tc>
          <w:tcPr>
            <w:tcW w:w="1379" w:type="dxa"/>
            <w:noWrap w:val="0"/>
            <w:vAlign w:val="center"/>
          </w:tcPr>
          <w:p w14:paraId="408EE734">
            <w:pPr>
              <w:pageBreakBefore w:val="0"/>
              <w:kinsoku/>
              <w:wordWrap/>
              <w:overflowPunct/>
              <w:topLinePunct w:val="0"/>
              <w:bidi w:val="0"/>
              <w:snapToGrid/>
              <w:spacing w:line="360" w:lineRule="auto"/>
              <w:ind w:right="-134" w:rightChars="-64"/>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统一社会</w:t>
            </w:r>
          </w:p>
          <w:p w14:paraId="0E3ECE90">
            <w:pPr>
              <w:pageBreakBefore w:val="0"/>
              <w:kinsoku/>
              <w:wordWrap/>
              <w:overflowPunct/>
              <w:topLinePunct w:val="0"/>
              <w:bidi w:val="0"/>
              <w:snapToGrid/>
              <w:spacing w:line="360" w:lineRule="auto"/>
              <w:ind w:right="-134" w:rightChars="-64"/>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信用代码：</w:t>
            </w:r>
          </w:p>
        </w:tc>
        <w:tc>
          <w:tcPr>
            <w:tcW w:w="3223" w:type="dxa"/>
            <w:gridSpan w:val="3"/>
            <w:noWrap w:val="0"/>
            <w:vAlign w:val="center"/>
          </w:tcPr>
          <w:p w14:paraId="2881B38A">
            <w:pPr>
              <w:pageBreakBefore w:val="0"/>
              <w:kinsoku/>
              <w:wordWrap/>
              <w:overflowPunct/>
              <w:topLinePunct w:val="0"/>
              <w:bidi w:val="0"/>
              <w:snapToGrid/>
              <w:spacing w:line="360" w:lineRule="auto"/>
              <w:ind w:left="-109" w:leftChars="-52" w:right="-111" w:rightChars="-53"/>
              <w:rPr>
                <w:rFonts w:hint="eastAsia" w:ascii="华文中宋" w:hAnsi="华文中宋" w:eastAsia="华文中宋" w:cs="华文中宋"/>
                <w:b/>
                <w:color w:val="auto"/>
                <w:sz w:val="24"/>
                <w:szCs w:val="24"/>
              </w:rPr>
            </w:pPr>
          </w:p>
        </w:tc>
        <w:tc>
          <w:tcPr>
            <w:tcW w:w="1414" w:type="dxa"/>
            <w:noWrap w:val="0"/>
            <w:vAlign w:val="center"/>
          </w:tcPr>
          <w:p w14:paraId="03801507">
            <w:pPr>
              <w:pageBreakBefore w:val="0"/>
              <w:kinsoku/>
              <w:wordWrap/>
              <w:overflowPunct/>
              <w:topLinePunct w:val="0"/>
              <w:bidi w:val="0"/>
              <w:snapToGrid/>
              <w:spacing w:line="360" w:lineRule="auto"/>
              <w:ind w:right="-134" w:rightChars="-64"/>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统一社会</w:t>
            </w:r>
          </w:p>
          <w:p w14:paraId="13B2F8CF">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信用代码：</w:t>
            </w:r>
          </w:p>
        </w:tc>
        <w:tc>
          <w:tcPr>
            <w:tcW w:w="4005" w:type="dxa"/>
            <w:gridSpan w:val="3"/>
            <w:noWrap w:val="0"/>
            <w:vAlign w:val="center"/>
          </w:tcPr>
          <w:p w14:paraId="603EC4C4">
            <w:pPr>
              <w:pageBreakBefore w:val="0"/>
              <w:kinsoku/>
              <w:wordWrap/>
              <w:overflowPunct/>
              <w:topLinePunct w:val="0"/>
              <w:bidi w:val="0"/>
              <w:snapToGrid/>
              <w:spacing w:line="360" w:lineRule="auto"/>
              <w:ind w:left="-109" w:leftChars="-52" w:right="-111" w:rightChars="-53"/>
              <w:rPr>
                <w:rFonts w:hint="eastAsia" w:ascii="华文中宋" w:hAnsi="华文中宋" w:eastAsia="华文中宋" w:cs="华文中宋"/>
                <w:b/>
                <w:color w:val="auto"/>
                <w:sz w:val="24"/>
                <w:szCs w:val="24"/>
              </w:rPr>
            </w:pPr>
          </w:p>
        </w:tc>
      </w:tr>
      <w:tr w14:paraId="2D07D33A">
        <w:tblPrEx>
          <w:tblCellMar>
            <w:top w:w="0" w:type="dxa"/>
            <w:left w:w="108" w:type="dxa"/>
            <w:bottom w:w="0" w:type="dxa"/>
            <w:right w:w="108" w:type="dxa"/>
          </w:tblCellMar>
        </w:tblPrEx>
        <w:trPr>
          <w:trHeight w:val="781" w:hRule="exact"/>
          <w:jc w:val="center"/>
        </w:trPr>
        <w:tc>
          <w:tcPr>
            <w:tcW w:w="1379" w:type="dxa"/>
            <w:noWrap w:val="0"/>
            <w:vAlign w:val="center"/>
          </w:tcPr>
          <w:p w14:paraId="65AD9ACD">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p>
        </w:tc>
        <w:tc>
          <w:tcPr>
            <w:tcW w:w="3223" w:type="dxa"/>
            <w:gridSpan w:val="3"/>
            <w:noWrap w:val="0"/>
            <w:vAlign w:val="center"/>
          </w:tcPr>
          <w:p w14:paraId="2E302DB1">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p>
        </w:tc>
        <w:tc>
          <w:tcPr>
            <w:tcW w:w="1414" w:type="dxa"/>
            <w:noWrap w:val="0"/>
            <w:vAlign w:val="center"/>
          </w:tcPr>
          <w:p w14:paraId="6EA70179">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p>
        </w:tc>
        <w:tc>
          <w:tcPr>
            <w:tcW w:w="4005" w:type="dxa"/>
            <w:gridSpan w:val="3"/>
            <w:noWrap w:val="0"/>
            <w:vAlign w:val="center"/>
          </w:tcPr>
          <w:p w14:paraId="413A10BE">
            <w:pPr>
              <w:pageBreakBefore w:val="0"/>
              <w:kinsoku/>
              <w:wordWrap/>
              <w:overflowPunct/>
              <w:topLinePunct w:val="0"/>
              <w:bidi w:val="0"/>
              <w:snapToGrid/>
              <w:spacing w:line="360" w:lineRule="auto"/>
              <w:ind w:left="-113" w:leftChars="-54"/>
              <w:rPr>
                <w:rFonts w:hint="eastAsia" w:ascii="华文中宋" w:hAnsi="华文中宋" w:eastAsia="华文中宋" w:cs="华文中宋"/>
                <w:b/>
                <w:color w:val="auto"/>
                <w:sz w:val="24"/>
                <w:szCs w:val="24"/>
              </w:rPr>
            </w:pPr>
          </w:p>
        </w:tc>
      </w:tr>
      <w:tr w14:paraId="3272C041">
        <w:tblPrEx>
          <w:tblCellMar>
            <w:top w:w="0" w:type="dxa"/>
            <w:left w:w="108" w:type="dxa"/>
            <w:bottom w:w="0" w:type="dxa"/>
            <w:right w:w="108" w:type="dxa"/>
          </w:tblCellMar>
        </w:tblPrEx>
        <w:trPr>
          <w:trHeight w:val="549" w:hRule="atLeast"/>
          <w:jc w:val="center"/>
        </w:trPr>
        <w:tc>
          <w:tcPr>
            <w:tcW w:w="1379" w:type="dxa"/>
            <w:noWrap w:val="0"/>
            <w:vAlign w:val="center"/>
          </w:tcPr>
          <w:p w14:paraId="113BCC27">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p>
        </w:tc>
        <w:tc>
          <w:tcPr>
            <w:tcW w:w="3223" w:type="dxa"/>
            <w:gridSpan w:val="3"/>
            <w:noWrap w:val="0"/>
            <w:vAlign w:val="center"/>
          </w:tcPr>
          <w:p w14:paraId="2FDB2C18">
            <w:pPr>
              <w:pageBreakBefore w:val="0"/>
              <w:kinsoku/>
              <w:wordWrap/>
              <w:overflowPunct/>
              <w:topLinePunct w:val="0"/>
              <w:bidi w:val="0"/>
              <w:snapToGrid/>
              <w:spacing w:line="360" w:lineRule="auto"/>
              <w:ind w:left="-69" w:leftChars="-37" w:hanging="9" w:hangingChars="4"/>
              <w:rPr>
                <w:rFonts w:hint="eastAsia" w:ascii="华文中宋" w:hAnsi="华文中宋" w:eastAsia="华文中宋" w:cs="华文中宋"/>
                <w:color w:val="auto"/>
                <w:sz w:val="24"/>
                <w:szCs w:val="24"/>
              </w:rPr>
            </w:pPr>
          </w:p>
        </w:tc>
        <w:tc>
          <w:tcPr>
            <w:tcW w:w="1414" w:type="dxa"/>
            <w:noWrap w:val="0"/>
            <w:vAlign w:val="center"/>
          </w:tcPr>
          <w:p w14:paraId="47D65A28">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p>
        </w:tc>
        <w:tc>
          <w:tcPr>
            <w:tcW w:w="4005" w:type="dxa"/>
            <w:gridSpan w:val="3"/>
            <w:noWrap w:val="0"/>
            <w:vAlign w:val="center"/>
          </w:tcPr>
          <w:p w14:paraId="5ACACAD6">
            <w:pPr>
              <w:pageBreakBefore w:val="0"/>
              <w:kinsoku/>
              <w:wordWrap/>
              <w:overflowPunct/>
              <w:topLinePunct w:val="0"/>
              <w:bidi w:val="0"/>
              <w:snapToGrid/>
              <w:spacing w:line="360" w:lineRule="auto"/>
              <w:ind w:left="-69" w:leftChars="-37" w:hanging="9" w:hangingChars="4"/>
              <w:rPr>
                <w:rFonts w:hint="eastAsia" w:ascii="华文中宋" w:hAnsi="华文中宋" w:eastAsia="华文中宋" w:cs="华文中宋"/>
                <w:color w:val="auto"/>
                <w:sz w:val="24"/>
                <w:szCs w:val="24"/>
              </w:rPr>
            </w:pPr>
          </w:p>
        </w:tc>
      </w:tr>
      <w:tr w14:paraId="6AF720EF">
        <w:tblPrEx>
          <w:tblCellMar>
            <w:top w:w="0" w:type="dxa"/>
            <w:left w:w="108" w:type="dxa"/>
            <w:bottom w:w="0" w:type="dxa"/>
            <w:right w:w="108" w:type="dxa"/>
          </w:tblCellMar>
        </w:tblPrEx>
        <w:trPr>
          <w:trHeight w:val="575" w:hRule="atLeast"/>
          <w:jc w:val="center"/>
        </w:trPr>
        <w:tc>
          <w:tcPr>
            <w:tcW w:w="1662" w:type="dxa"/>
            <w:gridSpan w:val="2"/>
            <w:noWrap w:val="0"/>
            <w:vAlign w:val="center"/>
          </w:tcPr>
          <w:p w14:paraId="2C62D768">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w:t>
            </w:r>
          </w:p>
        </w:tc>
        <w:tc>
          <w:tcPr>
            <w:tcW w:w="2940" w:type="dxa"/>
            <w:gridSpan w:val="2"/>
            <w:noWrap w:val="0"/>
            <w:vAlign w:val="center"/>
          </w:tcPr>
          <w:p w14:paraId="7FB34E99">
            <w:pPr>
              <w:pageBreakBefore w:val="0"/>
              <w:kinsoku/>
              <w:wordWrap/>
              <w:overflowPunct/>
              <w:topLinePunct w:val="0"/>
              <w:bidi w:val="0"/>
              <w:snapToGrid/>
              <w:spacing w:line="360" w:lineRule="auto"/>
              <w:rPr>
                <w:rFonts w:hint="eastAsia" w:ascii="华文中宋" w:hAnsi="华文中宋" w:eastAsia="华文中宋" w:cs="华文中宋"/>
                <w:b/>
                <w:bCs/>
                <w:color w:val="auto"/>
                <w:sz w:val="24"/>
                <w:szCs w:val="24"/>
              </w:rPr>
            </w:pPr>
          </w:p>
        </w:tc>
        <w:tc>
          <w:tcPr>
            <w:tcW w:w="1679" w:type="dxa"/>
            <w:gridSpan w:val="2"/>
            <w:noWrap w:val="0"/>
            <w:vAlign w:val="center"/>
          </w:tcPr>
          <w:p w14:paraId="457744C3">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w:t>
            </w:r>
          </w:p>
        </w:tc>
        <w:tc>
          <w:tcPr>
            <w:tcW w:w="3740" w:type="dxa"/>
            <w:gridSpan w:val="2"/>
            <w:noWrap w:val="0"/>
            <w:vAlign w:val="center"/>
          </w:tcPr>
          <w:p w14:paraId="2749CFE4">
            <w:pPr>
              <w:pageBreakBefore w:val="0"/>
              <w:kinsoku/>
              <w:wordWrap/>
              <w:overflowPunct/>
              <w:topLinePunct w:val="0"/>
              <w:bidi w:val="0"/>
              <w:snapToGrid/>
              <w:spacing w:line="360" w:lineRule="auto"/>
              <w:ind w:left="-68" w:leftChars="-37" w:hanging="10" w:hangingChars="4"/>
              <w:rPr>
                <w:rFonts w:hint="eastAsia" w:ascii="华文中宋" w:hAnsi="华文中宋" w:eastAsia="华文中宋" w:cs="华文中宋"/>
                <w:b/>
                <w:bCs/>
                <w:color w:val="auto"/>
                <w:sz w:val="24"/>
                <w:szCs w:val="24"/>
              </w:rPr>
            </w:pPr>
          </w:p>
        </w:tc>
      </w:tr>
      <w:tr w14:paraId="62F07D1A">
        <w:tblPrEx>
          <w:tblCellMar>
            <w:top w:w="0" w:type="dxa"/>
            <w:left w:w="108" w:type="dxa"/>
            <w:bottom w:w="0" w:type="dxa"/>
            <w:right w:w="108" w:type="dxa"/>
          </w:tblCellMar>
        </w:tblPrEx>
        <w:trPr>
          <w:trHeight w:val="603" w:hRule="atLeast"/>
          <w:jc w:val="center"/>
        </w:trPr>
        <w:tc>
          <w:tcPr>
            <w:tcW w:w="1662" w:type="dxa"/>
            <w:gridSpan w:val="2"/>
            <w:noWrap w:val="0"/>
            <w:vAlign w:val="center"/>
          </w:tcPr>
          <w:p w14:paraId="203E0916">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委托代理人：</w:t>
            </w:r>
          </w:p>
        </w:tc>
        <w:tc>
          <w:tcPr>
            <w:tcW w:w="2940" w:type="dxa"/>
            <w:gridSpan w:val="2"/>
            <w:noWrap w:val="0"/>
            <w:vAlign w:val="center"/>
          </w:tcPr>
          <w:p w14:paraId="18092DD3">
            <w:pPr>
              <w:pageBreakBefore w:val="0"/>
              <w:kinsoku/>
              <w:wordWrap/>
              <w:overflowPunct/>
              <w:topLinePunct w:val="0"/>
              <w:bidi w:val="0"/>
              <w:snapToGrid/>
              <w:spacing w:line="360" w:lineRule="auto"/>
              <w:rPr>
                <w:rFonts w:hint="eastAsia" w:ascii="华文中宋" w:hAnsi="华文中宋" w:eastAsia="华文中宋" w:cs="华文中宋"/>
                <w:b/>
                <w:bCs/>
                <w:color w:val="auto"/>
                <w:sz w:val="24"/>
                <w:szCs w:val="24"/>
              </w:rPr>
            </w:pPr>
          </w:p>
        </w:tc>
        <w:tc>
          <w:tcPr>
            <w:tcW w:w="1679" w:type="dxa"/>
            <w:gridSpan w:val="2"/>
            <w:noWrap w:val="0"/>
            <w:vAlign w:val="center"/>
          </w:tcPr>
          <w:p w14:paraId="50A8D527">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委托代理人：</w:t>
            </w:r>
          </w:p>
        </w:tc>
        <w:tc>
          <w:tcPr>
            <w:tcW w:w="3740" w:type="dxa"/>
            <w:gridSpan w:val="2"/>
            <w:noWrap w:val="0"/>
            <w:vAlign w:val="center"/>
          </w:tcPr>
          <w:p w14:paraId="7A8BA40D">
            <w:pPr>
              <w:pageBreakBefore w:val="0"/>
              <w:kinsoku/>
              <w:wordWrap/>
              <w:overflowPunct/>
              <w:topLinePunct w:val="0"/>
              <w:bidi w:val="0"/>
              <w:snapToGrid/>
              <w:spacing w:line="360" w:lineRule="auto"/>
              <w:ind w:left="-68" w:leftChars="-37" w:hanging="10" w:hangingChars="4"/>
              <w:rPr>
                <w:rFonts w:hint="eastAsia" w:ascii="华文中宋" w:hAnsi="华文中宋" w:eastAsia="华文中宋" w:cs="华文中宋"/>
                <w:b/>
                <w:bCs/>
                <w:color w:val="auto"/>
                <w:sz w:val="24"/>
                <w:szCs w:val="24"/>
              </w:rPr>
            </w:pPr>
          </w:p>
        </w:tc>
      </w:tr>
      <w:tr w14:paraId="2696C270">
        <w:tblPrEx>
          <w:tblCellMar>
            <w:top w:w="0" w:type="dxa"/>
            <w:left w:w="108" w:type="dxa"/>
            <w:bottom w:w="0" w:type="dxa"/>
            <w:right w:w="108" w:type="dxa"/>
          </w:tblCellMar>
        </w:tblPrEx>
        <w:trPr>
          <w:trHeight w:val="438" w:hRule="atLeast"/>
          <w:jc w:val="center"/>
        </w:trPr>
        <w:tc>
          <w:tcPr>
            <w:tcW w:w="1379" w:type="dxa"/>
            <w:noWrap w:val="0"/>
            <w:vAlign w:val="center"/>
          </w:tcPr>
          <w:p w14:paraId="7E086221">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    话：</w:t>
            </w:r>
          </w:p>
        </w:tc>
        <w:tc>
          <w:tcPr>
            <w:tcW w:w="3223" w:type="dxa"/>
            <w:gridSpan w:val="3"/>
            <w:noWrap w:val="0"/>
            <w:vAlign w:val="center"/>
          </w:tcPr>
          <w:p w14:paraId="0FC3E307">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c>
          <w:tcPr>
            <w:tcW w:w="1414" w:type="dxa"/>
            <w:noWrap w:val="0"/>
            <w:vAlign w:val="center"/>
          </w:tcPr>
          <w:p w14:paraId="20F717EB">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    话：</w:t>
            </w:r>
          </w:p>
        </w:tc>
        <w:tc>
          <w:tcPr>
            <w:tcW w:w="4005" w:type="dxa"/>
            <w:gridSpan w:val="3"/>
            <w:noWrap w:val="0"/>
            <w:vAlign w:val="center"/>
          </w:tcPr>
          <w:p w14:paraId="53AD752D">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r>
      <w:tr w14:paraId="366CBB66">
        <w:tblPrEx>
          <w:tblCellMar>
            <w:top w:w="0" w:type="dxa"/>
            <w:left w:w="108" w:type="dxa"/>
            <w:bottom w:w="0" w:type="dxa"/>
            <w:right w:w="108" w:type="dxa"/>
          </w:tblCellMar>
        </w:tblPrEx>
        <w:trPr>
          <w:trHeight w:val="398" w:hRule="atLeast"/>
          <w:jc w:val="center"/>
        </w:trPr>
        <w:tc>
          <w:tcPr>
            <w:tcW w:w="1379" w:type="dxa"/>
            <w:noWrap w:val="0"/>
            <w:vAlign w:val="center"/>
          </w:tcPr>
          <w:p w14:paraId="46B69720">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传    真：</w:t>
            </w:r>
          </w:p>
        </w:tc>
        <w:tc>
          <w:tcPr>
            <w:tcW w:w="3223" w:type="dxa"/>
            <w:gridSpan w:val="3"/>
            <w:noWrap w:val="0"/>
            <w:vAlign w:val="center"/>
          </w:tcPr>
          <w:p w14:paraId="45BC201B">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c>
          <w:tcPr>
            <w:tcW w:w="1414" w:type="dxa"/>
            <w:noWrap w:val="0"/>
            <w:vAlign w:val="center"/>
          </w:tcPr>
          <w:p w14:paraId="463DFFFB">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传    真：</w:t>
            </w:r>
          </w:p>
        </w:tc>
        <w:tc>
          <w:tcPr>
            <w:tcW w:w="4005" w:type="dxa"/>
            <w:gridSpan w:val="3"/>
            <w:noWrap w:val="0"/>
            <w:vAlign w:val="center"/>
          </w:tcPr>
          <w:p w14:paraId="60425A1F">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r>
      <w:tr w14:paraId="60F0CB2D">
        <w:tblPrEx>
          <w:tblCellMar>
            <w:top w:w="0" w:type="dxa"/>
            <w:left w:w="108" w:type="dxa"/>
            <w:bottom w:w="0" w:type="dxa"/>
            <w:right w:w="108" w:type="dxa"/>
          </w:tblCellMar>
        </w:tblPrEx>
        <w:trPr>
          <w:trHeight w:val="399" w:hRule="atLeast"/>
          <w:jc w:val="center"/>
        </w:trPr>
        <w:tc>
          <w:tcPr>
            <w:tcW w:w="1379" w:type="dxa"/>
            <w:noWrap w:val="0"/>
            <w:vAlign w:val="center"/>
          </w:tcPr>
          <w:p w14:paraId="62F6F1FF">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p>
        </w:tc>
        <w:tc>
          <w:tcPr>
            <w:tcW w:w="3223" w:type="dxa"/>
            <w:gridSpan w:val="3"/>
            <w:noWrap w:val="0"/>
            <w:vAlign w:val="center"/>
          </w:tcPr>
          <w:p w14:paraId="000D5CEA">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c>
          <w:tcPr>
            <w:tcW w:w="1414" w:type="dxa"/>
            <w:noWrap w:val="0"/>
            <w:vAlign w:val="center"/>
          </w:tcPr>
          <w:p w14:paraId="780FFEE7">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p>
        </w:tc>
        <w:tc>
          <w:tcPr>
            <w:tcW w:w="4005" w:type="dxa"/>
            <w:gridSpan w:val="3"/>
            <w:noWrap w:val="0"/>
            <w:vAlign w:val="center"/>
          </w:tcPr>
          <w:p w14:paraId="1F486B62">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r>
      <w:tr w14:paraId="07E2983B">
        <w:tblPrEx>
          <w:tblCellMar>
            <w:top w:w="0" w:type="dxa"/>
            <w:left w:w="108" w:type="dxa"/>
            <w:bottom w:w="0" w:type="dxa"/>
            <w:right w:w="108" w:type="dxa"/>
          </w:tblCellMar>
        </w:tblPrEx>
        <w:trPr>
          <w:trHeight w:val="869" w:hRule="atLeast"/>
          <w:jc w:val="center"/>
        </w:trPr>
        <w:tc>
          <w:tcPr>
            <w:tcW w:w="1379" w:type="dxa"/>
            <w:noWrap w:val="0"/>
            <w:vAlign w:val="center"/>
          </w:tcPr>
          <w:p w14:paraId="1BB834E2">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开户银行：</w:t>
            </w:r>
          </w:p>
        </w:tc>
        <w:tc>
          <w:tcPr>
            <w:tcW w:w="3223" w:type="dxa"/>
            <w:gridSpan w:val="3"/>
            <w:noWrap w:val="0"/>
            <w:vAlign w:val="center"/>
          </w:tcPr>
          <w:p w14:paraId="09FDB0D2">
            <w:pPr>
              <w:pageBreakBefore w:val="0"/>
              <w:kinsoku/>
              <w:wordWrap/>
              <w:overflowPunct/>
              <w:topLinePunct w:val="0"/>
              <w:bidi w:val="0"/>
              <w:snapToGrid/>
              <w:spacing w:line="360" w:lineRule="auto"/>
              <w:ind w:left="-113" w:leftChars="-54"/>
              <w:rPr>
                <w:rFonts w:hint="eastAsia" w:ascii="华文中宋" w:hAnsi="华文中宋" w:eastAsia="华文中宋" w:cs="华文中宋"/>
                <w:color w:val="auto"/>
                <w:sz w:val="24"/>
                <w:szCs w:val="24"/>
              </w:rPr>
            </w:pPr>
          </w:p>
        </w:tc>
        <w:tc>
          <w:tcPr>
            <w:tcW w:w="1414" w:type="dxa"/>
            <w:noWrap w:val="0"/>
            <w:vAlign w:val="center"/>
          </w:tcPr>
          <w:p w14:paraId="5FA185F6">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开户银行：</w:t>
            </w:r>
          </w:p>
        </w:tc>
        <w:tc>
          <w:tcPr>
            <w:tcW w:w="4005" w:type="dxa"/>
            <w:gridSpan w:val="3"/>
            <w:noWrap w:val="0"/>
            <w:vAlign w:val="center"/>
          </w:tcPr>
          <w:p w14:paraId="14AB6BE0">
            <w:pPr>
              <w:pageBreakBefore w:val="0"/>
              <w:kinsoku/>
              <w:wordWrap/>
              <w:overflowPunct/>
              <w:topLinePunct w:val="0"/>
              <w:bidi w:val="0"/>
              <w:snapToGrid/>
              <w:spacing w:line="360" w:lineRule="auto"/>
              <w:ind w:left="-113" w:leftChars="-54"/>
              <w:rPr>
                <w:rFonts w:hint="eastAsia" w:ascii="华文中宋" w:hAnsi="华文中宋" w:eastAsia="华文中宋" w:cs="华文中宋"/>
                <w:b/>
                <w:color w:val="auto"/>
                <w:sz w:val="24"/>
                <w:szCs w:val="24"/>
              </w:rPr>
            </w:pPr>
          </w:p>
        </w:tc>
      </w:tr>
      <w:tr w14:paraId="4A76F84E">
        <w:tblPrEx>
          <w:tblCellMar>
            <w:top w:w="0" w:type="dxa"/>
            <w:left w:w="108" w:type="dxa"/>
            <w:bottom w:w="0" w:type="dxa"/>
            <w:right w:w="108" w:type="dxa"/>
          </w:tblCellMar>
        </w:tblPrEx>
        <w:trPr>
          <w:trHeight w:val="556" w:hRule="atLeast"/>
          <w:jc w:val="center"/>
        </w:trPr>
        <w:tc>
          <w:tcPr>
            <w:tcW w:w="1379" w:type="dxa"/>
            <w:noWrap w:val="0"/>
            <w:vAlign w:val="center"/>
          </w:tcPr>
          <w:p w14:paraId="452CA76B">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    号：</w:t>
            </w:r>
          </w:p>
        </w:tc>
        <w:tc>
          <w:tcPr>
            <w:tcW w:w="3223" w:type="dxa"/>
            <w:gridSpan w:val="3"/>
            <w:noWrap w:val="0"/>
            <w:vAlign w:val="center"/>
          </w:tcPr>
          <w:p w14:paraId="2D44BD64">
            <w:pPr>
              <w:pageBreakBefore w:val="0"/>
              <w:kinsoku/>
              <w:wordWrap/>
              <w:overflowPunct/>
              <w:topLinePunct w:val="0"/>
              <w:bidi w:val="0"/>
              <w:snapToGrid/>
              <w:spacing w:line="360" w:lineRule="auto"/>
              <w:ind w:left="-67" w:leftChars="-32"/>
              <w:rPr>
                <w:rFonts w:hint="eastAsia" w:ascii="华文中宋" w:hAnsi="华文中宋" w:eastAsia="华文中宋" w:cs="华文中宋"/>
                <w:b/>
                <w:bCs/>
                <w:color w:val="auto"/>
                <w:sz w:val="24"/>
                <w:szCs w:val="24"/>
              </w:rPr>
            </w:pPr>
          </w:p>
        </w:tc>
        <w:tc>
          <w:tcPr>
            <w:tcW w:w="1414" w:type="dxa"/>
            <w:noWrap w:val="0"/>
            <w:vAlign w:val="center"/>
          </w:tcPr>
          <w:p w14:paraId="6243D53F">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    号：</w:t>
            </w:r>
          </w:p>
        </w:tc>
        <w:tc>
          <w:tcPr>
            <w:tcW w:w="4005" w:type="dxa"/>
            <w:gridSpan w:val="3"/>
            <w:noWrap w:val="0"/>
            <w:vAlign w:val="center"/>
          </w:tcPr>
          <w:p w14:paraId="4E0F4CFC">
            <w:pPr>
              <w:pageBreakBefore w:val="0"/>
              <w:kinsoku/>
              <w:wordWrap/>
              <w:overflowPunct/>
              <w:topLinePunct w:val="0"/>
              <w:bidi w:val="0"/>
              <w:snapToGrid/>
              <w:spacing w:line="360" w:lineRule="auto"/>
              <w:ind w:left="-67" w:leftChars="-32"/>
              <w:rPr>
                <w:rFonts w:hint="eastAsia" w:ascii="华文中宋" w:hAnsi="华文中宋" w:eastAsia="华文中宋" w:cs="华文中宋"/>
                <w:b/>
                <w:bCs/>
                <w:color w:val="auto"/>
                <w:sz w:val="24"/>
                <w:szCs w:val="24"/>
              </w:rPr>
            </w:pPr>
          </w:p>
        </w:tc>
      </w:tr>
    </w:tbl>
    <w:p w14:paraId="0ABCD780">
      <w:pPr>
        <w:pStyle w:val="4"/>
        <w:pageBreakBefore w:val="0"/>
        <w:kinsoku/>
        <w:wordWrap/>
        <w:overflowPunct/>
        <w:topLinePunct w:val="0"/>
        <w:bidi w:val="0"/>
        <w:snapToGrid/>
        <w:spacing w:before="0" w:after="0" w:line="360" w:lineRule="auto"/>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bookmarkStart w:id="113" w:name="_Toc375060709"/>
      <w:bookmarkStart w:id="114" w:name="_Toc375060645"/>
      <w:bookmarkStart w:id="115" w:name="_Toc27883"/>
      <w:r>
        <w:rPr>
          <w:rFonts w:hint="eastAsia" w:ascii="华文中宋" w:hAnsi="华文中宋" w:eastAsia="华文中宋" w:cs="华文中宋"/>
          <w:b w:val="0"/>
          <w:color w:val="auto"/>
          <w:sz w:val="24"/>
          <w:szCs w:val="24"/>
        </w:rPr>
        <w:t>第二部分 通用合同条款</w:t>
      </w:r>
      <w:bookmarkEnd w:id="113"/>
      <w:bookmarkEnd w:id="114"/>
      <w:bookmarkEnd w:id="115"/>
      <w:bookmarkStart w:id="116" w:name="_Toc337558727"/>
    </w:p>
    <w:p w14:paraId="448AA2B9">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17" w:name="_Toc375060710"/>
      <w:r>
        <w:rPr>
          <w:rFonts w:hint="eastAsia" w:ascii="华文中宋" w:hAnsi="华文中宋" w:eastAsia="华文中宋" w:cs="华文中宋"/>
          <w:b w:val="0"/>
          <w:color w:val="auto"/>
          <w:sz w:val="24"/>
          <w:szCs w:val="24"/>
        </w:rPr>
        <w:t>1.</w:t>
      </w:r>
      <w:bookmarkStart w:id="118" w:name="_Toc303538974"/>
      <w:bookmarkEnd w:id="118"/>
      <w:bookmarkStart w:id="119" w:name="_Toc303538975"/>
      <w:bookmarkEnd w:id="119"/>
      <w:bookmarkStart w:id="120" w:name="_Toc303538973"/>
      <w:bookmarkEnd w:id="120"/>
      <w:bookmarkStart w:id="121" w:name="_Toc303538972"/>
      <w:bookmarkEnd w:id="121"/>
      <w:bookmarkStart w:id="122" w:name="_Toc303538976"/>
      <w:bookmarkEnd w:id="122"/>
      <w:bookmarkStart w:id="123" w:name="_Toc296503027"/>
      <w:bookmarkStart w:id="124" w:name="_Toc296346528"/>
      <w:r>
        <w:rPr>
          <w:rFonts w:hint="eastAsia" w:ascii="华文中宋" w:hAnsi="华文中宋" w:eastAsia="华文中宋" w:cs="华文中宋"/>
          <w:b w:val="0"/>
          <w:color w:val="auto"/>
          <w:sz w:val="24"/>
          <w:szCs w:val="24"/>
        </w:rPr>
        <w:t xml:space="preserve"> 一般约定</w:t>
      </w:r>
      <w:bookmarkEnd w:id="116"/>
      <w:bookmarkEnd w:id="117"/>
      <w:bookmarkEnd w:id="123"/>
      <w:bookmarkEnd w:id="124"/>
    </w:p>
    <w:p w14:paraId="2DC5CF1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25" w:name="_Toc337558728"/>
      <w:bookmarkStart w:id="126" w:name="_Toc296346529"/>
      <w:bookmarkStart w:id="127" w:name="_Toc296503028"/>
      <w:bookmarkStart w:id="128" w:name="_Toc375060711"/>
      <w:r>
        <w:rPr>
          <w:rFonts w:hint="eastAsia" w:ascii="华文中宋" w:hAnsi="华文中宋" w:eastAsia="华文中宋" w:cs="华文中宋"/>
          <w:b w:val="0"/>
          <w:color w:val="auto"/>
          <w:sz w:val="24"/>
          <w:szCs w:val="24"/>
        </w:rPr>
        <w:t>1.1词语定义</w:t>
      </w:r>
      <w:bookmarkEnd w:id="125"/>
      <w:bookmarkEnd w:id="126"/>
      <w:bookmarkEnd w:id="127"/>
      <w:r>
        <w:rPr>
          <w:rFonts w:hint="eastAsia" w:ascii="华文中宋" w:hAnsi="华文中宋" w:eastAsia="华文中宋" w:cs="华文中宋"/>
          <w:b w:val="0"/>
          <w:color w:val="auto"/>
          <w:sz w:val="24"/>
          <w:szCs w:val="24"/>
        </w:rPr>
        <w:t>与解释</w:t>
      </w:r>
      <w:bookmarkEnd w:id="128"/>
    </w:p>
    <w:p w14:paraId="201BEE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合同协议书、通用合同条款、专用合同条款中的下列词语具有本款所赋予的含义：</w:t>
      </w:r>
    </w:p>
    <w:p w14:paraId="6F902C15">
      <w:pPr>
        <w:pageBreakBefore w:val="0"/>
        <w:kinsoku/>
        <w:wordWrap/>
        <w:overflowPunct/>
        <w:topLinePunct w:val="0"/>
        <w:autoSpaceDE w:val="0"/>
        <w:autoSpaceDN w:val="0"/>
        <w:bidi w:val="0"/>
        <w:adjustRightInd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1.1.1 合同</w:t>
      </w:r>
    </w:p>
    <w:p w14:paraId="0555A3D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华文中宋" w:hAnsi="华文中宋" w:eastAsia="华文中宋" w:cs="华文中宋"/>
          <w:color w:val="auto"/>
          <w:sz w:val="24"/>
          <w:szCs w:val="24"/>
        </w:rPr>
        <w:t>及其附件</w:t>
      </w:r>
      <w:r>
        <w:rPr>
          <w:rFonts w:hint="eastAsia" w:ascii="华文中宋" w:hAnsi="华文中宋" w:eastAsia="华文中宋" w:cs="华文中宋"/>
          <w:color w:val="auto"/>
          <w:kern w:val="0"/>
          <w:sz w:val="24"/>
          <w:szCs w:val="24"/>
        </w:rPr>
        <w:t>、通用合同条款、技术标准和要求、图纸、已标价工程量清单或预算书以及其他合同文件。</w:t>
      </w:r>
    </w:p>
    <w:p w14:paraId="1C07464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1.1.1.2 合同协议书：是指构成合同的由发包人和承包人共同签署的称为“合同协议书”的书面文件。</w:t>
      </w:r>
    </w:p>
    <w:p w14:paraId="023004C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1.1.1.3 中标通知书：是指构成合同的由发包人通知承包人中标的书面文件。</w:t>
      </w:r>
    </w:p>
    <w:p w14:paraId="75603F7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1.1.1.4 投标函：是指构成合同的由承包人填写并签署的用于投标的称为“投标函”的文件。</w:t>
      </w:r>
    </w:p>
    <w:p w14:paraId="564925B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1.1.1.5 投标函附录：是指构成合同的附在投标函后的称为“投标函附录”的文件。</w:t>
      </w:r>
    </w:p>
    <w:p w14:paraId="4A9310E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1.1.1.6 技术标准和要求：是指构成合同的施工应当遵守的或指导施工的国家、行业或地方的技术标准和要求，以及合同约定的技术标准和要求。</w:t>
      </w:r>
    </w:p>
    <w:p w14:paraId="5A3D707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327ABF82">
      <w:pPr>
        <w:pageBreakBefore w:val="0"/>
        <w:kinsoku/>
        <w:wordWrap/>
        <w:overflowPunct/>
        <w:topLinePunct w:val="0"/>
        <w:autoSpaceDE w:val="0"/>
        <w:autoSpaceDN w:val="0"/>
        <w:bidi w:val="0"/>
        <w:adjustRightInd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1.1.1.8 已标价工程量清单：是指构成合同的由承包人按照规定的格式和要求填写并标明价格的工程量清单，包括说明和表格。</w:t>
      </w:r>
    </w:p>
    <w:p w14:paraId="33CB0681">
      <w:pPr>
        <w:pageBreakBefore w:val="0"/>
        <w:kinsoku/>
        <w:wordWrap/>
        <w:overflowPunct/>
        <w:topLinePunct w:val="0"/>
        <w:autoSpaceDE w:val="0"/>
        <w:autoSpaceDN w:val="0"/>
        <w:bidi w:val="0"/>
        <w:adjustRightInd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1.1.1.9 预算书：是指构成合同的由承包人按照发包人规定的格式和要求编制的工程预算文件。</w:t>
      </w:r>
    </w:p>
    <w:p w14:paraId="0ACA768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1.1.1.10 其他合同文件：是指经合同当事人约定的与工程施工有关的具有合同约束力的文件或书面协议。合同当事人可以在专用合同条款中进行约定。</w:t>
      </w:r>
    </w:p>
    <w:p w14:paraId="210523DE">
      <w:pPr>
        <w:pageBreakBefore w:val="0"/>
        <w:kinsoku/>
        <w:wordWrap/>
        <w:overflowPunct/>
        <w:topLinePunct w:val="0"/>
        <w:autoSpaceDE w:val="0"/>
        <w:autoSpaceDN w:val="0"/>
        <w:bidi w:val="0"/>
        <w:adjustRightInd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1.1.2 合同当事人及其他相关方</w:t>
      </w:r>
    </w:p>
    <w:p w14:paraId="544BFD9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1.1.2.1 合同当事人：是指发包人和（或）承包人。</w:t>
      </w:r>
    </w:p>
    <w:p w14:paraId="595055F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1.1.2.2 发包人：是指与承包人签订合同协议书的当事人及取得该当事人资格的合法继承人。</w:t>
      </w:r>
    </w:p>
    <w:p w14:paraId="295A0DF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1.1.2.3 承包人：是指与发包人签订合同协议书的，具有相应工程施工承包资质的当事人及取得该当事人资格的合法继承人。</w:t>
      </w:r>
    </w:p>
    <w:p w14:paraId="0342EF6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1.1.2.4 监理人：是指在专用合同条款中指明的，受发包人委托按照法律规定进行工程监督管理的法人或其他组织。</w:t>
      </w:r>
    </w:p>
    <w:p w14:paraId="2CDF497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1.1.2.5 设计人：是指在专用合同条款中指明的，受发包人委托负责工程设计并具备相应工程设计资质的法人或其他组织。</w:t>
      </w:r>
    </w:p>
    <w:p w14:paraId="1EC94F62">
      <w:pPr>
        <w:pageBreakBefore w:val="0"/>
        <w:kinsoku/>
        <w:wordWrap/>
        <w:overflowPunct/>
        <w:topLinePunct w:val="0"/>
        <w:bidi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1.1.2.6 分包人：</w:t>
      </w:r>
      <w:bookmarkStart w:id="129" w:name="#go5"/>
      <w:bookmarkEnd w:id="129"/>
      <w:r>
        <w:rPr>
          <w:rFonts w:hint="eastAsia" w:ascii="华文中宋" w:hAnsi="华文中宋" w:eastAsia="华文中宋" w:cs="华文中宋"/>
          <w:color w:val="auto"/>
          <w:kern w:val="0"/>
          <w:sz w:val="24"/>
          <w:szCs w:val="24"/>
        </w:rPr>
        <w:t>是指按照法律规定和合同约定，分包部分工程或工作，并与承包人签订分包合同的具有相应资质的法人。</w:t>
      </w:r>
    </w:p>
    <w:p w14:paraId="76E16D9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1.1.2.7 发包人代表：是指由发包人任命并派驻施工现场在发包人授权范围内行使发包人权利的人。</w:t>
      </w:r>
    </w:p>
    <w:p w14:paraId="525415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1.1.2.8 项目经理：是指由承包人任命并派驻施工现场，在承包人授权范围内负责合同履行，且按照法律规定具有相应资格的项目负责人。</w:t>
      </w:r>
    </w:p>
    <w:p w14:paraId="4DBD2F0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1.1.2.9 总监理工程师：是指由监理人任命并派驻施工现场进行工程监理的总负责人。</w:t>
      </w:r>
    </w:p>
    <w:p w14:paraId="4EE2B6D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 工程和设备</w:t>
      </w:r>
    </w:p>
    <w:p w14:paraId="28351F6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1.1.3.1 工程：是指与合同协议书中工程承包范围对应的永久工程和（或）临时工程。</w:t>
      </w:r>
    </w:p>
    <w:p w14:paraId="4E8D4AB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1.1.3.2 永久工程：是指按合同约定建造并移交给发包人的工程，包括工程设备。</w:t>
      </w:r>
    </w:p>
    <w:p w14:paraId="5C14645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1.1.3.3 临时工程：是指为完成合同约定的永久工程所修建的各类临时性工程，不包括施工设备。</w:t>
      </w:r>
    </w:p>
    <w:p w14:paraId="28597B4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1.1.3.4 单位工程：是指在合同协议书中指明的，具备独立施工条件并能形成独立使用功能的永久工程。</w:t>
      </w:r>
    </w:p>
    <w:p w14:paraId="128F066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1.1.3.5 工程设备：是指构成永久工程的机电设备、金属结构设备、仪器及其他类似的设备和装置。</w:t>
      </w:r>
    </w:p>
    <w:p w14:paraId="0B27BF8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1.1.3.6 施工设备：是指为完成合同约定的各项工作所需的设备、器具和其他物品，但不包括工程设备、临时工程和材料。</w:t>
      </w:r>
    </w:p>
    <w:p w14:paraId="2052070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1.1.3.7 施工现场：是指用于工程施工的场所，以及在专用合同条款中指明作为施工场所组成部分的其他场所，包括永久占地和临时占地。</w:t>
      </w:r>
    </w:p>
    <w:p w14:paraId="5EC5251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1.1.3.8 临时设施：是指为完成合同约定的各项工作所服务的临时性生产和生活设施。</w:t>
      </w:r>
    </w:p>
    <w:p w14:paraId="3DC4F58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1.1.3.9 永久占地：是指专用合同条款中指明为实施工程需永久占用的土地。</w:t>
      </w:r>
    </w:p>
    <w:p w14:paraId="770738A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1.1.3.10 临时占地：是指专用合同条款中指明为实施工程需要临时占用的土地。</w:t>
      </w:r>
    </w:p>
    <w:p w14:paraId="4C06D52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 日期和期限</w:t>
      </w:r>
    </w:p>
    <w:p w14:paraId="6E7CD2A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873543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1.1.4.2 竣工日期：包括计划竣工日期和实际竣工日期。计划竣工日期是指合同协议书约定的竣工日期；实际竣工日期按照第13.2.3项〔竣工日期〕的约定确定。 </w:t>
      </w:r>
    </w:p>
    <w:p w14:paraId="6248E4EA">
      <w:pPr>
        <w:pageBreakBefore w:val="0"/>
        <w:kinsoku/>
        <w:wordWrap/>
        <w:overflowPunct/>
        <w:topLinePunct w:val="0"/>
        <w:bidi w:val="0"/>
        <w:snapToGrid/>
        <w:spacing w:line="360" w:lineRule="auto"/>
        <w:ind w:firstLine="487" w:firstLineChars="203"/>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1.1.4.3 工期：是指在合同协议书约定的承包人完成工程所需的期限，包括按照合同约定所作的期限变更。</w:t>
      </w:r>
    </w:p>
    <w:p w14:paraId="7CFDDC6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1.1.4.4 缺陷责任期：是指承包人按照合同约定承担缺陷修复义务，且发包人预留质量保证金（已缴纳履约保证金的除外）的期限，自工程实际竣工日期起计算。</w:t>
      </w:r>
    </w:p>
    <w:p w14:paraId="3CEF0FB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1.1.4.5 保修期：是指承包人按照合同约定对工程承担保修责任的期限，从工程竣工验收合格之日起计算。</w:t>
      </w:r>
    </w:p>
    <w:p w14:paraId="3DB913F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1.1.4.6 基准日期：招标发包的工程以投标截止日前28天的日期为基准日期，直接发包的工程以合同签订日前28天的日期为基准日期。</w:t>
      </w:r>
    </w:p>
    <w:p w14:paraId="134B0F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1.1.4.7 天：除特别指明外，均指日历天。合同中按天计算时间的，开始当天不计入，从次日开始计算，期限最后一天的截止时间为当天24∶00时。</w:t>
      </w:r>
    </w:p>
    <w:p w14:paraId="2869764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 合同价格和费用</w:t>
      </w:r>
    </w:p>
    <w:p w14:paraId="2D840A1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1.1.5.1 签约合同价：是指</w:t>
      </w:r>
      <w:r>
        <w:rPr>
          <w:rFonts w:hint="eastAsia" w:ascii="华文中宋" w:hAnsi="华文中宋" w:eastAsia="华文中宋" w:cs="华文中宋"/>
          <w:color w:val="auto"/>
          <w:sz w:val="24"/>
          <w:szCs w:val="24"/>
        </w:rPr>
        <w:t>发包人和承包人在合同协议书中确定的总金额，包括安全文明施工费、暂估价及暂列金额等。</w:t>
      </w:r>
    </w:p>
    <w:p w14:paraId="14922B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1.1.5.2 合同价格：是指发包人用于支付承包人按照合同约定完成承包范围内全部工作的金额，包括合同履行过程中按合同约定发生的价格变化。</w:t>
      </w:r>
    </w:p>
    <w:p w14:paraId="2AB84FB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1.1.5.3 费用：是指为履行合同所发生的或将要发生的所有必需的开支，包括管理费和应分摊的其他费用，但不包括利润。</w:t>
      </w:r>
    </w:p>
    <w:p w14:paraId="28D5E57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1.1.5.4 暂估价：是指发包人在工程量清单或预算书中提供的用于支付必然发生但暂时不能确定价格的材料、工程设备的单价、专业工程以及服务工作的金额。</w:t>
      </w:r>
    </w:p>
    <w:p w14:paraId="2B20125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52CAA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1.1.5.6 计日工：是指合同履行过程中，承包人完成发包人提出的零星工作或需要采用计日工计价的变更工作时，按合同中约定的单价计价的一种方式。</w:t>
      </w:r>
    </w:p>
    <w:p w14:paraId="1E12A26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1.1.5.7 质量保证金</w:t>
      </w:r>
      <w:bookmarkStart w:id="130" w:name="#go2"/>
      <w:bookmarkEnd w:id="130"/>
      <w:r>
        <w:rPr>
          <w:rFonts w:hint="eastAsia" w:ascii="华文中宋" w:hAnsi="华文中宋" w:eastAsia="华文中宋" w:cs="华文中宋"/>
          <w:color w:val="auto"/>
          <w:kern w:val="0"/>
          <w:sz w:val="24"/>
          <w:szCs w:val="24"/>
        </w:rPr>
        <w:t>：是指按照第15.3款〔质量保证金〕约定承包人用于保证其在缺陷责任期内履行缺陷修补义务的担保</w:t>
      </w:r>
      <w:r>
        <w:rPr>
          <w:rFonts w:hint="eastAsia" w:ascii="华文中宋" w:hAnsi="华文中宋" w:eastAsia="华文中宋" w:cs="华文中宋"/>
          <w:color w:val="auto"/>
          <w:sz w:val="24"/>
          <w:szCs w:val="24"/>
        </w:rPr>
        <w:t>。</w:t>
      </w:r>
    </w:p>
    <w:p w14:paraId="0B377D3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1.1.5.8 总价项目：是指在现行国家、行业以及地方的计量规则中无工程量计算规则，在已标价工程量清单或预算书中以总价或以费率形式计算的项目。</w:t>
      </w:r>
    </w:p>
    <w:p w14:paraId="37AE31E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1.1.6 其他</w:t>
      </w:r>
    </w:p>
    <w:p w14:paraId="64BFF4B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1.1.6.1 书面形式：是指合同文件、信函、电报、传真等可以有形地表现所载内容的形式。</w:t>
      </w:r>
    </w:p>
    <w:p w14:paraId="544D473E">
      <w:pPr>
        <w:pStyle w:val="6"/>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r>
        <w:rPr>
          <w:rFonts w:hint="eastAsia" w:ascii="华文中宋" w:hAnsi="华文中宋" w:eastAsia="华文中宋" w:cs="华文中宋"/>
          <w:b w:val="0"/>
          <w:color w:val="auto"/>
          <w:sz w:val="24"/>
          <w:szCs w:val="24"/>
        </w:rPr>
        <w:t xml:space="preserve">    </w:t>
      </w:r>
      <w:bookmarkStart w:id="131" w:name="_Toc337558729"/>
      <w:bookmarkStart w:id="132" w:name="_Toc375060712"/>
      <w:bookmarkStart w:id="133" w:name="_Toc296503029"/>
      <w:bookmarkStart w:id="134" w:name="_Toc296346530"/>
      <w:r>
        <w:rPr>
          <w:rFonts w:hint="eastAsia" w:ascii="华文中宋" w:hAnsi="华文中宋" w:eastAsia="华文中宋" w:cs="华文中宋"/>
          <w:b w:val="0"/>
          <w:color w:val="auto"/>
          <w:sz w:val="24"/>
          <w:szCs w:val="24"/>
        </w:rPr>
        <w:t>1.2语言文字</w:t>
      </w:r>
      <w:bookmarkEnd w:id="131"/>
      <w:bookmarkEnd w:id="132"/>
      <w:bookmarkEnd w:id="133"/>
      <w:bookmarkEnd w:id="134"/>
    </w:p>
    <w:p w14:paraId="11E0DD9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合同以中国的汉语简体文字编写、解释和说明。合同当事人在专用合同条款中约定使用两种以上语言时，汉语为优先解释和说明合同的语言。</w:t>
      </w:r>
    </w:p>
    <w:p w14:paraId="1A58417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35" w:name="_Toc375060713"/>
      <w:bookmarkStart w:id="136" w:name="_Toc337558730"/>
      <w:bookmarkStart w:id="137" w:name="_Toc296346531"/>
      <w:bookmarkStart w:id="138" w:name="_Toc296503030"/>
      <w:r>
        <w:rPr>
          <w:rFonts w:hint="eastAsia" w:ascii="华文中宋" w:hAnsi="华文中宋" w:eastAsia="华文中宋" w:cs="华文中宋"/>
          <w:b w:val="0"/>
          <w:color w:val="auto"/>
          <w:sz w:val="24"/>
          <w:szCs w:val="24"/>
        </w:rPr>
        <w:t>1.3法律</w:t>
      </w:r>
      <w:bookmarkEnd w:id="135"/>
      <w:bookmarkEnd w:id="136"/>
      <w:bookmarkEnd w:id="137"/>
      <w:bookmarkEnd w:id="138"/>
    </w:p>
    <w:p w14:paraId="345044B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合同所称法律是指中华人民共和国法律、行政法规、部门规章，以及工程所在地的地方性法规、自治条例、单行条例和地方政府规章等。</w:t>
      </w:r>
    </w:p>
    <w:p w14:paraId="6936B34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合同当事人可以在专用合同条款中约定合同适用的其他规范性文件。</w:t>
      </w:r>
    </w:p>
    <w:p w14:paraId="448D66B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39" w:name="_Toc375060714"/>
      <w:r>
        <w:rPr>
          <w:rFonts w:hint="eastAsia" w:ascii="华文中宋" w:hAnsi="华文中宋" w:eastAsia="华文中宋" w:cs="华文中宋"/>
          <w:b w:val="0"/>
          <w:color w:val="auto"/>
          <w:sz w:val="24"/>
          <w:szCs w:val="24"/>
        </w:rPr>
        <w:t>1.4 标准和规范</w:t>
      </w:r>
      <w:bookmarkEnd w:id="139"/>
    </w:p>
    <w:p w14:paraId="6C3C2C16">
      <w:pPr>
        <w:pageBreakBefore w:val="0"/>
        <w:kinsoku/>
        <w:wordWrap/>
        <w:overflowPunct/>
        <w:topLinePunct w:val="0"/>
        <w:autoSpaceDE w:val="0"/>
        <w:autoSpaceDN w:val="0"/>
        <w:bidi w:val="0"/>
        <w:adjustRightInd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1.4.1 适用于工程的国家标准、行业标准、工程所在地的地方性标准，以及相应的规范、规程等，合同当事人有特别要求的，应在专用合同条款中约定。</w:t>
      </w:r>
    </w:p>
    <w:p w14:paraId="63ACF043">
      <w:pPr>
        <w:pageBreakBefore w:val="0"/>
        <w:kinsoku/>
        <w:wordWrap/>
        <w:overflowPunct/>
        <w:topLinePunct w:val="0"/>
        <w:autoSpaceDE w:val="0"/>
        <w:autoSpaceDN w:val="0"/>
        <w:bidi w:val="0"/>
        <w:adjustRightInd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1.4.2 发包人要求使用国外标准、规范的，发包人负责提供原文版本和中文译本，并在专用合同条款中约定提供标准规范的名称、份数和时间。</w:t>
      </w:r>
    </w:p>
    <w:p w14:paraId="68B26366">
      <w:pPr>
        <w:pageBreakBefore w:val="0"/>
        <w:kinsoku/>
        <w:wordWrap/>
        <w:overflowPunct/>
        <w:topLinePunct w:val="0"/>
        <w:autoSpaceDE w:val="0"/>
        <w:autoSpaceDN w:val="0"/>
        <w:bidi w:val="0"/>
        <w:adjustRightInd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0F00CC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40" w:name="_Toc375060715"/>
      <w:r>
        <w:rPr>
          <w:rFonts w:hint="eastAsia" w:ascii="华文中宋" w:hAnsi="华文中宋" w:eastAsia="华文中宋" w:cs="华文中宋"/>
          <w:b w:val="0"/>
          <w:color w:val="auto"/>
          <w:sz w:val="24"/>
          <w:szCs w:val="24"/>
        </w:rPr>
        <w:t>1</w:t>
      </w:r>
      <w:bookmarkStart w:id="141" w:name="_Toc296503031"/>
      <w:bookmarkStart w:id="142" w:name="_Toc296346532"/>
      <w:bookmarkStart w:id="143" w:name="_Toc337558731"/>
      <w:r>
        <w:rPr>
          <w:rFonts w:hint="eastAsia" w:ascii="华文中宋" w:hAnsi="华文中宋" w:eastAsia="华文中宋" w:cs="华文中宋"/>
          <w:b w:val="0"/>
          <w:color w:val="auto"/>
          <w:sz w:val="24"/>
          <w:szCs w:val="24"/>
        </w:rPr>
        <w:t>.5 合同文件的优先顺序</w:t>
      </w:r>
      <w:bookmarkEnd w:id="140"/>
    </w:p>
    <w:bookmarkEnd w:id="141"/>
    <w:bookmarkEnd w:id="142"/>
    <w:bookmarkEnd w:id="143"/>
    <w:p w14:paraId="716AC99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组成合同的各项文件应互相解释，互为说明。除专用合同条款另有约定外，解释合同文件的优先顺序如下：</w:t>
      </w:r>
    </w:p>
    <w:p w14:paraId="4DD47D1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（1）合同协议书；</w:t>
      </w:r>
    </w:p>
    <w:p w14:paraId="422540F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（2）中标通知书（如果有）；</w:t>
      </w:r>
    </w:p>
    <w:p w14:paraId="1AC898B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（3）投标函及其附录（如果有）；</w:t>
      </w:r>
    </w:p>
    <w:p w14:paraId="067B226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（4）专用合同条款</w:t>
      </w:r>
      <w:r>
        <w:rPr>
          <w:rFonts w:hint="eastAsia" w:ascii="华文中宋" w:hAnsi="华文中宋" w:eastAsia="华文中宋" w:cs="华文中宋"/>
          <w:color w:val="auto"/>
          <w:sz w:val="24"/>
          <w:szCs w:val="24"/>
        </w:rPr>
        <w:t>及其附件</w:t>
      </w:r>
      <w:r>
        <w:rPr>
          <w:rFonts w:hint="eastAsia" w:ascii="华文中宋" w:hAnsi="华文中宋" w:eastAsia="华文中宋" w:cs="华文中宋"/>
          <w:color w:val="auto"/>
          <w:kern w:val="0"/>
          <w:sz w:val="24"/>
          <w:szCs w:val="24"/>
        </w:rPr>
        <w:t>；</w:t>
      </w:r>
    </w:p>
    <w:p w14:paraId="270AA55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（5）通用合同条款；</w:t>
      </w:r>
    </w:p>
    <w:p w14:paraId="107A5D1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（6）技术标准和要求；</w:t>
      </w:r>
    </w:p>
    <w:p w14:paraId="32C4DF3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（7）图纸；</w:t>
      </w:r>
    </w:p>
    <w:p w14:paraId="19E9BC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（8）已标价工程量清单或预算书；</w:t>
      </w:r>
    </w:p>
    <w:p w14:paraId="24F56F9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（9）其他合同文件。</w:t>
      </w:r>
    </w:p>
    <w:p w14:paraId="016A18E4">
      <w:pPr>
        <w:pageBreakBefore w:val="0"/>
        <w:kinsoku/>
        <w:wordWrap/>
        <w:overflowPunct/>
        <w:topLinePunct w:val="0"/>
        <w:bidi w:val="0"/>
        <w:snapToGrid/>
        <w:spacing w:line="360" w:lineRule="auto"/>
        <w:ind w:firstLine="511" w:firstLineChars="213"/>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上述各项合同文件包括合同当事人就该项合同文件所作出的补充和修改，属于同一类内容的文件，应以最新签署的为准。</w:t>
      </w:r>
    </w:p>
    <w:p w14:paraId="60EFDF7E">
      <w:pPr>
        <w:pageBreakBefore w:val="0"/>
        <w:kinsoku/>
        <w:wordWrap/>
        <w:overflowPunct/>
        <w:topLinePunct w:val="0"/>
        <w:bidi w:val="0"/>
        <w:snapToGrid/>
        <w:spacing w:line="360" w:lineRule="auto"/>
        <w:ind w:firstLine="511" w:firstLineChars="213"/>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在合同订立及履行过程中形成的与合同有关的文件均构成合同文件组成部分，并根据其性质确定优先解释顺序。</w:t>
      </w:r>
    </w:p>
    <w:p w14:paraId="4C6978D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44" w:name="_Toc375060716"/>
      <w:r>
        <w:rPr>
          <w:rFonts w:hint="eastAsia" w:ascii="华文中宋" w:hAnsi="华文中宋" w:eastAsia="华文中宋" w:cs="华文中宋"/>
          <w:b w:val="0"/>
          <w:color w:val="auto"/>
          <w:sz w:val="24"/>
          <w:szCs w:val="24"/>
        </w:rPr>
        <w:t>1</w:t>
      </w:r>
      <w:bookmarkStart w:id="145" w:name="_Toc296346533"/>
      <w:bookmarkStart w:id="146" w:name="_Toc337558732"/>
      <w:bookmarkStart w:id="147" w:name="_Toc296503032"/>
      <w:r>
        <w:rPr>
          <w:rFonts w:hint="eastAsia" w:ascii="华文中宋" w:hAnsi="华文中宋" w:eastAsia="华文中宋" w:cs="华文中宋"/>
          <w:b w:val="0"/>
          <w:color w:val="auto"/>
          <w:sz w:val="24"/>
          <w:szCs w:val="24"/>
        </w:rPr>
        <w:t>.6图纸和承包人文件</w:t>
      </w:r>
      <w:bookmarkEnd w:id="144"/>
    </w:p>
    <w:bookmarkEnd w:id="145"/>
    <w:bookmarkEnd w:id="146"/>
    <w:bookmarkEnd w:id="147"/>
    <w:p w14:paraId="56DA619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 图纸的提供和交底</w:t>
      </w:r>
    </w:p>
    <w:p w14:paraId="4164494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32B27C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因发包人未按合同约定提供图纸导致承包人费用增加和（或）工期延误的，按照第7.5.1项〔因发包人原因导致工期延误〕约定办理。</w:t>
      </w:r>
    </w:p>
    <w:p w14:paraId="61F0E7F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 图纸的错误</w:t>
      </w:r>
    </w:p>
    <w:p w14:paraId="7718BFD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3707DD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1.6.3 图纸的修改和补充</w:t>
      </w:r>
    </w:p>
    <w:p w14:paraId="329C347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BB48A0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1.6.4 承包人文件</w:t>
      </w:r>
    </w:p>
    <w:p w14:paraId="5D5EB1F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承包人应按照专用合同条款的约定提供应当由其编制的与工程施工有关的文件，并按照专用合同条款约定的期限、数量和形式提交监理人，并由监理人报送发包人。</w:t>
      </w:r>
    </w:p>
    <w:p w14:paraId="2EF2BAE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3D5B93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1.6.5 图纸和承包人文件的保管</w:t>
      </w:r>
    </w:p>
    <w:p w14:paraId="10FE9B4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除专用合同条款另有约定外，承包人应在施工现场另外保存一套完整的图纸和承包人文件，供发包人、监理人及有关人员进行工程检查时使用。</w:t>
      </w:r>
    </w:p>
    <w:p w14:paraId="0863400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48" w:name="_Toc375060717"/>
      <w:r>
        <w:rPr>
          <w:rFonts w:hint="eastAsia" w:ascii="华文中宋" w:hAnsi="华文中宋" w:eastAsia="华文中宋" w:cs="华文中宋"/>
          <w:b w:val="0"/>
          <w:color w:val="auto"/>
          <w:sz w:val="24"/>
          <w:szCs w:val="24"/>
        </w:rPr>
        <w:t>1</w:t>
      </w:r>
      <w:bookmarkStart w:id="149" w:name="_Toc296346534"/>
      <w:bookmarkStart w:id="150" w:name="_Toc296503033"/>
      <w:bookmarkStart w:id="151" w:name="_Toc337558733"/>
      <w:r>
        <w:rPr>
          <w:rFonts w:hint="eastAsia" w:ascii="华文中宋" w:hAnsi="华文中宋" w:eastAsia="华文中宋" w:cs="华文中宋"/>
          <w:b w:val="0"/>
          <w:color w:val="auto"/>
          <w:sz w:val="24"/>
          <w:szCs w:val="24"/>
        </w:rPr>
        <w:t>.7联络</w:t>
      </w:r>
      <w:bookmarkEnd w:id="148"/>
    </w:p>
    <w:bookmarkEnd w:id="149"/>
    <w:bookmarkEnd w:id="150"/>
    <w:bookmarkEnd w:id="151"/>
    <w:p w14:paraId="4C08553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1.7.1 与合同有关的通知、批准、证明、证书、指示、指令、要求、请求、同意、意见、确定和决定等，均应采用书面形式，并应在合同约定的期限内送达接收人和送达地点。</w:t>
      </w:r>
    </w:p>
    <w:p w14:paraId="0FF5245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14:paraId="141B2F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1.7.3 发包人和承包人应当及时签收另一方送达至送达地点和指定接收人的来往信函。拒不签收的，由此增加的费用和（或）延误的工期由拒绝接收一方承担。</w:t>
      </w:r>
    </w:p>
    <w:p w14:paraId="58BDD7A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52" w:name="_Toc375060718"/>
      <w:r>
        <w:rPr>
          <w:rFonts w:hint="eastAsia" w:ascii="华文中宋" w:hAnsi="华文中宋" w:eastAsia="华文中宋" w:cs="华文中宋"/>
          <w:b w:val="0"/>
          <w:color w:val="auto"/>
          <w:sz w:val="24"/>
          <w:szCs w:val="24"/>
        </w:rPr>
        <w:t>1</w:t>
      </w:r>
      <w:bookmarkStart w:id="153" w:name="_Toc296346536"/>
      <w:bookmarkStart w:id="154" w:name="_Toc296503035"/>
      <w:bookmarkStart w:id="155" w:name="_Toc337558734"/>
      <w:r>
        <w:rPr>
          <w:rFonts w:hint="eastAsia" w:ascii="华文中宋" w:hAnsi="华文中宋" w:eastAsia="华文中宋" w:cs="华文中宋"/>
          <w:b w:val="0"/>
          <w:color w:val="auto"/>
          <w:sz w:val="24"/>
          <w:szCs w:val="24"/>
        </w:rPr>
        <w:t>.8严禁贿赂</w:t>
      </w:r>
      <w:bookmarkEnd w:id="152"/>
    </w:p>
    <w:bookmarkEnd w:id="153"/>
    <w:bookmarkEnd w:id="154"/>
    <w:bookmarkEnd w:id="155"/>
    <w:p w14:paraId="6CCA8B4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合同当事人不得以贿赂或变相贿赂的方式，谋取非法利益或损害对方权益。因一方合同当事人的贿赂造成对方损失的，应赔偿损失，并承担相应的法律责任。</w:t>
      </w:r>
    </w:p>
    <w:p w14:paraId="3843F30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5E06A47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56" w:name="_Toc375060719"/>
      <w:r>
        <w:rPr>
          <w:rFonts w:hint="eastAsia" w:ascii="华文中宋" w:hAnsi="华文中宋" w:eastAsia="华文中宋" w:cs="华文中宋"/>
          <w:b w:val="0"/>
          <w:color w:val="auto"/>
          <w:sz w:val="24"/>
          <w:szCs w:val="24"/>
        </w:rPr>
        <w:t>1</w:t>
      </w:r>
      <w:bookmarkStart w:id="157" w:name="_Toc337558735"/>
      <w:bookmarkStart w:id="158" w:name="_Toc296346537"/>
      <w:bookmarkStart w:id="159" w:name="_Toc296503036"/>
      <w:r>
        <w:rPr>
          <w:rFonts w:hint="eastAsia" w:ascii="华文中宋" w:hAnsi="华文中宋" w:eastAsia="华文中宋" w:cs="华文中宋"/>
          <w:b w:val="0"/>
          <w:color w:val="auto"/>
          <w:sz w:val="24"/>
          <w:szCs w:val="24"/>
        </w:rPr>
        <w:t>.9化石、文物</w:t>
      </w:r>
      <w:bookmarkEnd w:id="156"/>
    </w:p>
    <w:bookmarkEnd w:id="157"/>
    <w:bookmarkEnd w:id="158"/>
    <w:bookmarkEnd w:id="159"/>
    <w:p w14:paraId="0BAF542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88AC26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发包人、监理人和承包人应按有关政府行政管理部门要求采取妥善的保护措施，由此增加的费用和（或）延误的工期由发包人承担。</w:t>
      </w:r>
    </w:p>
    <w:p w14:paraId="2DA1FCF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承包人发现文物后不及时报告或隐瞒不报，致使文物丢失或损坏的，应赔偿损失，并承担相应的法律责任。</w:t>
      </w:r>
    </w:p>
    <w:p w14:paraId="01686F7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0" w:name="_Toc375060720"/>
      <w:r>
        <w:rPr>
          <w:rFonts w:hint="eastAsia" w:ascii="华文中宋" w:hAnsi="华文中宋" w:eastAsia="华文中宋" w:cs="华文中宋"/>
          <w:b w:val="0"/>
          <w:color w:val="auto"/>
          <w:sz w:val="24"/>
          <w:szCs w:val="24"/>
        </w:rPr>
        <w:t>1</w:t>
      </w:r>
      <w:bookmarkStart w:id="161" w:name="_Toc337558736"/>
      <w:r>
        <w:rPr>
          <w:rFonts w:hint="eastAsia" w:ascii="华文中宋" w:hAnsi="华文中宋" w:eastAsia="华文中宋" w:cs="华文中宋"/>
          <w:b w:val="0"/>
          <w:color w:val="auto"/>
          <w:sz w:val="24"/>
          <w:szCs w:val="24"/>
        </w:rPr>
        <w:t>.10交通运输</w:t>
      </w:r>
      <w:bookmarkEnd w:id="160"/>
    </w:p>
    <w:bookmarkEnd w:id="161"/>
    <w:p w14:paraId="5256640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1.10.1 出入现场的权利</w:t>
      </w:r>
    </w:p>
    <w:p w14:paraId="0B1A0C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B38054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6D92919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1.10.2 场外交通</w:t>
      </w:r>
    </w:p>
    <w:p w14:paraId="322D22F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8AC9AA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1.10.3场内交通</w:t>
      </w:r>
    </w:p>
    <w:p w14:paraId="503CAF9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80963A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95170E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场外交通和场内交通的边界由合同当事人在专用合同条款中约定。</w:t>
      </w:r>
    </w:p>
    <w:p w14:paraId="0C3735B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1.10.4 超大件和超重件的运输</w:t>
      </w:r>
    </w:p>
    <w:p w14:paraId="479A75D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1BD04C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1.10.5 道路和桥梁的损坏责任</w:t>
      </w:r>
    </w:p>
    <w:p w14:paraId="48E6E1D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因承包人运输造成施工场地内外公共道路和桥梁损坏的，由承包人承担修复损坏的全部费用和可能引起的赔偿。</w:t>
      </w:r>
    </w:p>
    <w:p w14:paraId="143EBAE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1.10.6 水路和航空运输</w:t>
      </w:r>
    </w:p>
    <w:p w14:paraId="00627F8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5A43588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2" w:name="_Toc375060721"/>
      <w:r>
        <w:rPr>
          <w:rFonts w:hint="eastAsia" w:ascii="华文中宋" w:hAnsi="华文中宋" w:eastAsia="华文中宋" w:cs="华文中宋"/>
          <w:b w:val="0"/>
          <w:color w:val="auto"/>
          <w:sz w:val="24"/>
          <w:szCs w:val="24"/>
        </w:rPr>
        <w:t>1</w:t>
      </w:r>
      <w:bookmarkStart w:id="163" w:name="_Toc337558737"/>
      <w:bookmarkStart w:id="164" w:name="_Toc296346538"/>
      <w:bookmarkStart w:id="165" w:name="_Toc296503037"/>
      <w:r>
        <w:rPr>
          <w:rFonts w:hint="eastAsia" w:ascii="华文中宋" w:hAnsi="华文中宋" w:eastAsia="华文中宋" w:cs="华文中宋"/>
          <w:b w:val="0"/>
          <w:color w:val="auto"/>
          <w:sz w:val="24"/>
          <w:szCs w:val="24"/>
        </w:rPr>
        <w:t>.11知识产权</w:t>
      </w:r>
      <w:bookmarkEnd w:id="162"/>
      <w:r>
        <w:rPr>
          <w:rFonts w:hint="eastAsia" w:ascii="华文中宋" w:hAnsi="华文中宋" w:eastAsia="华文中宋" w:cs="华文中宋"/>
          <w:b w:val="0"/>
          <w:color w:val="auto"/>
          <w:sz w:val="24"/>
          <w:szCs w:val="24"/>
        </w:rPr>
        <w:t xml:space="preserve"> </w:t>
      </w:r>
      <w:bookmarkEnd w:id="163"/>
    </w:p>
    <w:bookmarkEnd w:id="164"/>
    <w:bookmarkEnd w:id="165"/>
    <w:p w14:paraId="1E5805B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3AC0FD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A79D9D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38A8FC7">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 xml:space="preserve">    </w:t>
      </w:r>
      <w:r>
        <w:rPr>
          <w:rFonts w:hint="eastAsia" w:ascii="华文中宋" w:hAnsi="华文中宋" w:eastAsia="华文中宋" w:cs="华文中宋"/>
          <w:color w:val="auto"/>
          <w:sz w:val="24"/>
          <w:szCs w:val="24"/>
        </w:rPr>
        <w:t>1.11.4 除专用合同条款另有约定外，承包人在合同签订前和签订时已确定采用的专利、专有技术、技术秘密的使用费已包含在签约合同价中。</w:t>
      </w:r>
    </w:p>
    <w:p w14:paraId="4A72824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6" w:name="_Toc375060722"/>
      <w:r>
        <w:rPr>
          <w:rFonts w:hint="eastAsia" w:ascii="华文中宋" w:hAnsi="华文中宋" w:eastAsia="华文中宋" w:cs="华文中宋"/>
          <w:b w:val="0"/>
          <w:color w:val="auto"/>
          <w:sz w:val="24"/>
          <w:szCs w:val="24"/>
        </w:rPr>
        <w:t>1</w:t>
      </w:r>
      <w:bookmarkStart w:id="167" w:name="_Toc337558738"/>
      <w:r>
        <w:rPr>
          <w:rFonts w:hint="eastAsia" w:ascii="华文中宋" w:hAnsi="华文中宋" w:eastAsia="华文中宋" w:cs="华文中宋"/>
          <w:b w:val="0"/>
          <w:color w:val="auto"/>
          <w:sz w:val="24"/>
          <w:szCs w:val="24"/>
        </w:rPr>
        <w:t>.12保密</w:t>
      </w:r>
      <w:bookmarkEnd w:id="166"/>
    </w:p>
    <w:bookmarkEnd w:id="167"/>
    <w:p w14:paraId="349CF6E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除法律规定或合同另有约定外，未经发包人同意，承包人不得将发包人提供的图纸、文件以及声明需要保密的资料信息等商业秘密泄露给第三方。</w:t>
      </w:r>
    </w:p>
    <w:p w14:paraId="09EB22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除法律规定或合同另有约定外，未经承包人同意，发包人不得将承包人提供的技术秘密及声明需要保密的资料信息等商业秘密泄露给第三方。</w:t>
      </w:r>
    </w:p>
    <w:p w14:paraId="59ADF10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8" w:name="_Toc375060723"/>
      <w:r>
        <w:rPr>
          <w:rFonts w:hint="eastAsia" w:ascii="华文中宋" w:hAnsi="华文中宋" w:eastAsia="华文中宋" w:cs="华文中宋"/>
          <w:b w:val="0"/>
          <w:color w:val="auto"/>
          <w:sz w:val="24"/>
          <w:szCs w:val="24"/>
        </w:rPr>
        <w:t>1.13工程量清单错误的修正</w:t>
      </w:r>
      <w:bookmarkEnd w:id="168"/>
    </w:p>
    <w:p w14:paraId="3522B8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除专用合同条款另有约定外，发包人提供的工程量清单，应被认为是准确的和完整的。出现下列情形之一时，发包人应予以修正，并相应调整合同价格：</w:t>
      </w:r>
    </w:p>
    <w:p w14:paraId="428B73E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（1）工程量清单存在缺项、漏项的；</w:t>
      </w:r>
    </w:p>
    <w:p w14:paraId="005412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（2）工程量清单偏差超出专用合同条款约定的工程量偏差范围的；</w:t>
      </w:r>
    </w:p>
    <w:p w14:paraId="16F6493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（3）未按照国家现行计量规范强制性规定计量的。</w:t>
      </w:r>
    </w:p>
    <w:p w14:paraId="0987353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69" w:name="_Toc375060724"/>
      <w:r>
        <w:rPr>
          <w:rFonts w:hint="eastAsia" w:ascii="华文中宋" w:hAnsi="华文中宋" w:eastAsia="华文中宋" w:cs="华文中宋"/>
          <w:b w:val="0"/>
          <w:color w:val="auto"/>
          <w:sz w:val="24"/>
          <w:szCs w:val="24"/>
        </w:rPr>
        <w:t>2</w:t>
      </w:r>
      <w:bookmarkStart w:id="170" w:name="_Toc296503038"/>
      <w:bookmarkStart w:id="171" w:name="_Toc337558739"/>
      <w:bookmarkStart w:id="172" w:name="_Toc296346539"/>
      <w:bookmarkStart w:id="173" w:name="OLE_LINK1"/>
      <w:bookmarkStart w:id="174" w:name="OLE_LINK2"/>
      <w:r>
        <w:rPr>
          <w:rFonts w:hint="eastAsia" w:ascii="华文中宋" w:hAnsi="华文中宋" w:eastAsia="华文中宋" w:cs="华文中宋"/>
          <w:b w:val="0"/>
          <w:color w:val="auto"/>
          <w:sz w:val="24"/>
          <w:szCs w:val="24"/>
        </w:rPr>
        <w:t>. 发包人</w:t>
      </w:r>
      <w:bookmarkEnd w:id="169"/>
    </w:p>
    <w:bookmarkEnd w:id="170"/>
    <w:bookmarkEnd w:id="171"/>
    <w:bookmarkEnd w:id="172"/>
    <w:p w14:paraId="1ADFBF8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75" w:name="_Toc375060725"/>
      <w:r>
        <w:rPr>
          <w:rFonts w:hint="eastAsia" w:ascii="华文中宋" w:hAnsi="华文中宋" w:eastAsia="华文中宋" w:cs="华文中宋"/>
          <w:b w:val="0"/>
          <w:color w:val="auto"/>
          <w:sz w:val="24"/>
          <w:szCs w:val="24"/>
        </w:rPr>
        <w:t>2</w:t>
      </w:r>
      <w:bookmarkStart w:id="176" w:name="_Toc337558740"/>
      <w:bookmarkStart w:id="177" w:name="_Toc296346540"/>
      <w:bookmarkStart w:id="178" w:name="_Toc296503039"/>
      <w:r>
        <w:rPr>
          <w:rFonts w:hint="eastAsia" w:ascii="华文中宋" w:hAnsi="华文中宋" w:eastAsia="华文中宋" w:cs="华文中宋"/>
          <w:b w:val="0"/>
          <w:color w:val="auto"/>
          <w:sz w:val="24"/>
          <w:szCs w:val="24"/>
        </w:rPr>
        <w:t>.1 许可或批准</w:t>
      </w:r>
      <w:bookmarkEnd w:id="175"/>
    </w:p>
    <w:p w14:paraId="394B877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C1812A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因发包人原因未能及时办理完毕前述许可、批准或备案，由发包人承担由此增加的费用和（或）延误的工期，并支付承包人合理的利润。</w:t>
      </w:r>
    </w:p>
    <w:p w14:paraId="10B8206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79" w:name="_Toc375060726"/>
      <w:r>
        <w:rPr>
          <w:rFonts w:hint="eastAsia" w:ascii="华文中宋" w:hAnsi="华文中宋" w:eastAsia="华文中宋" w:cs="华文中宋"/>
          <w:b w:val="0"/>
          <w:color w:val="auto"/>
          <w:sz w:val="24"/>
          <w:szCs w:val="24"/>
        </w:rPr>
        <w:t>2.2 发包人代表</w:t>
      </w:r>
      <w:bookmarkEnd w:id="179"/>
    </w:p>
    <w:p w14:paraId="0D7017B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7A06F1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发包人代表不能按照合同约定履行其职责及义务，并导致合同无法继续正常履行的，承包人可以要求发包人撤换发包人代表。</w:t>
      </w:r>
    </w:p>
    <w:p w14:paraId="220CB22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不属于法定必须监理的工程，监理人的职权可以由发包人代表或发包人指定的其他人员行使。</w:t>
      </w:r>
    </w:p>
    <w:p w14:paraId="487AF6B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0" w:name="_Toc375060727"/>
      <w:r>
        <w:rPr>
          <w:rFonts w:hint="eastAsia" w:ascii="华文中宋" w:hAnsi="华文中宋" w:eastAsia="华文中宋" w:cs="华文中宋"/>
          <w:b w:val="0"/>
          <w:color w:val="auto"/>
          <w:sz w:val="24"/>
          <w:szCs w:val="24"/>
        </w:rPr>
        <w:t>2.3 发包人人员</w:t>
      </w:r>
      <w:bookmarkEnd w:id="180"/>
    </w:p>
    <w:p w14:paraId="076C40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196337C0">
      <w:pPr>
        <w:pageBreakBefore w:val="0"/>
        <w:kinsoku/>
        <w:wordWrap/>
        <w:overflowPunct/>
        <w:topLinePunct w:val="0"/>
        <w:bidi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发包人人员包括发包人代表及其他由发包人派驻施工现场的人员。</w:t>
      </w:r>
      <w:bookmarkEnd w:id="176"/>
      <w:bookmarkEnd w:id="177"/>
      <w:bookmarkEnd w:id="178"/>
    </w:p>
    <w:p w14:paraId="6E46267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1" w:name="_Toc375060728"/>
      <w:r>
        <w:rPr>
          <w:rFonts w:hint="eastAsia" w:ascii="华文中宋" w:hAnsi="华文中宋" w:eastAsia="华文中宋" w:cs="华文中宋"/>
          <w:b w:val="0"/>
          <w:color w:val="auto"/>
          <w:sz w:val="24"/>
          <w:szCs w:val="24"/>
        </w:rPr>
        <w:t>2</w:t>
      </w:r>
      <w:bookmarkStart w:id="182" w:name="_Toc296346541"/>
      <w:bookmarkStart w:id="183" w:name="_Toc337558741"/>
      <w:bookmarkStart w:id="184" w:name="_Toc296503040"/>
      <w:r>
        <w:rPr>
          <w:rFonts w:hint="eastAsia" w:ascii="华文中宋" w:hAnsi="华文中宋" w:eastAsia="华文中宋" w:cs="华文中宋"/>
          <w:b w:val="0"/>
          <w:color w:val="auto"/>
          <w:sz w:val="24"/>
          <w:szCs w:val="24"/>
        </w:rPr>
        <w:t>.4 施工现场、施工条件和基础资料的提供</w:t>
      </w:r>
      <w:bookmarkEnd w:id="181"/>
      <w:r>
        <w:rPr>
          <w:rFonts w:hint="eastAsia" w:ascii="华文中宋" w:hAnsi="华文中宋" w:eastAsia="华文中宋" w:cs="华文中宋"/>
          <w:b w:val="0"/>
          <w:color w:val="auto"/>
          <w:sz w:val="24"/>
          <w:szCs w:val="24"/>
        </w:rPr>
        <w:t xml:space="preserve"> </w:t>
      </w:r>
      <w:bookmarkEnd w:id="182"/>
      <w:bookmarkEnd w:id="183"/>
      <w:bookmarkEnd w:id="184"/>
      <w:r>
        <w:rPr>
          <w:rFonts w:hint="eastAsia" w:ascii="华文中宋" w:hAnsi="华文中宋" w:eastAsia="华文中宋" w:cs="华文中宋"/>
          <w:b w:val="0"/>
          <w:color w:val="auto"/>
          <w:sz w:val="24"/>
          <w:szCs w:val="24"/>
        </w:rPr>
        <w:t xml:space="preserve"> </w:t>
      </w:r>
    </w:p>
    <w:p w14:paraId="7DB18BF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2.4.1 提供施工现场</w:t>
      </w:r>
    </w:p>
    <w:p w14:paraId="18D522D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w:t>
      </w:r>
      <w:bookmarkEnd w:id="173"/>
      <w:bookmarkEnd w:id="174"/>
      <w:r>
        <w:rPr>
          <w:rFonts w:hint="eastAsia" w:ascii="华文中宋" w:hAnsi="华文中宋" w:eastAsia="华文中宋" w:cs="华文中宋"/>
          <w:color w:val="auto"/>
          <w:kern w:val="0"/>
          <w:sz w:val="24"/>
          <w:szCs w:val="24"/>
        </w:rPr>
        <w:t>专用合同条款另有约定外，发包人应最迟于开工日期7天前向承包人移交施工现场。</w:t>
      </w:r>
    </w:p>
    <w:p w14:paraId="26F93B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2.4.2 提供施工条件</w:t>
      </w:r>
    </w:p>
    <w:p w14:paraId="0BA85F0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除专用合同条款另有约定外，发包人应负责提供施工所需要的条件，包括：</w:t>
      </w:r>
    </w:p>
    <w:p w14:paraId="0D2EC5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（1）将施工用水、电力、通讯线路等施工所必需的条件接至施工现场内；</w:t>
      </w:r>
    </w:p>
    <w:p w14:paraId="37240CE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（2）保证向承包人提供正常施工所需要的进入施工现场的交通条件；</w:t>
      </w:r>
    </w:p>
    <w:p w14:paraId="755752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（3）协调处理施工现场周围地下管线和邻近建筑物、构筑物、古树名木的保护工作，并承担相关费用；</w:t>
      </w:r>
    </w:p>
    <w:p w14:paraId="62F964E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（4）按照专用合同条款约定应提供的其他设施和条件。</w:t>
      </w:r>
    </w:p>
    <w:p w14:paraId="2FEDC6E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2.4.3 提供基础资料</w:t>
      </w:r>
    </w:p>
    <w:p w14:paraId="01DA323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40D3EA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按照法律规定确需在开工后方能提供的基础资料，发包人应尽其努力及时地在相应工程施工前的合理期限内提供，合理期限应以不影响承包人的正常施工为限。</w:t>
      </w:r>
    </w:p>
    <w:p w14:paraId="31851CB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2.4.4 逾期提供的责任</w:t>
      </w:r>
    </w:p>
    <w:p w14:paraId="6641160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因发包人原因未能按合同约定及时向承包人提供施工现场、施工条件、基础资料的，由发包人承担由此增加的费用和（或）延误的工期。</w:t>
      </w:r>
    </w:p>
    <w:p w14:paraId="167A60F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5" w:name="_Toc375060729"/>
      <w:r>
        <w:rPr>
          <w:rFonts w:hint="eastAsia" w:ascii="华文中宋" w:hAnsi="华文中宋" w:eastAsia="华文中宋" w:cs="华文中宋"/>
          <w:b w:val="0"/>
          <w:color w:val="auto"/>
          <w:sz w:val="24"/>
          <w:szCs w:val="24"/>
        </w:rPr>
        <w:t>2</w:t>
      </w:r>
      <w:bookmarkStart w:id="186" w:name="_Toc296503042"/>
      <w:bookmarkStart w:id="187" w:name="_Toc296346543"/>
      <w:bookmarkStart w:id="188" w:name="_Toc337558745"/>
      <w:r>
        <w:rPr>
          <w:rFonts w:hint="eastAsia" w:ascii="华文中宋" w:hAnsi="华文中宋" w:eastAsia="华文中宋" w:cs="华文中宋"/>
          <w:b w:val="0"/>
          <w:color w:val="auto"/>
          <w:sz w:val="24"/>
          <w:szCs w:val="24"/>
        </w:rPr>
        <w:t>.5 资</w:t>
      </w:r>
      <w:bookmarkEnd w:id="186"/>
      <w:bookmarkEnd w:id="187"/>
      <w:bookmarkEnd w:id="188"/>
      <w:r>
        <w:rPr>
          <w:rFonts w:hint="eastAsia" w:ascii="华文中宋" w:hAnsi="华文中宋" w:eastAsia="华文中宋" w:cs="华文中宋"/>
          <w:b w:val="0"/>
          <w:color w:val="auto"/>
          <w:sz w:val="24"/>
          <w:szCs w:val="24"/>
        </w:rPr>
        <w:t>金来源证明及支付担保</w:t>
      </w:r>
      <w:bookmarkEnd w:id="185"/>
    </w:p>
    <w:p w14:paraId="353B3ED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14:paraId="38EBB38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76DA03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9" w:name="_Toc375060730"/>
      <w:r>
        <w:rPr>
          <w:rFonts w:hint="eastAsia" w:ascii="华文中宋" w:hAnsi="华文中宋" w:eastAsia="华文中宋" w:cs="华文中宋"/>
          <w:b w:val="0"/>
          <w:color w:val="auto"/>
          <w:sz w:val="24"/>
          <w:szCs w:val="24"/>
        </w:rPr>
        <w:t>2.6 支付合同价款</w:t>
      </w:r>
      <w:bookmarkEnd w:id="189"/>
    </w:p>
    <w:p w14:paraId="5B824DE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发包人应按合同约定向承包人及时支付合同价款。</w:t>
      </w:r>
    </w:p>
    <w:p w14:paraId="4564EAF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90" w:name="_Toc375060731"/>
      <w:r>
        <w:rPr>
          <w:rFonts w:hint="eastAsia" w:ascii="华文中宋" w:hAnsi="华文中宋" w:eastAsia="华文中宋" w:cs="华文中宋"/>
          <w:b w:val="0"/>
          <w:color w:val="auto"/>
          <w:sz w:val="24"/>
          <w:szCs w:val="24"/>
        </w:rPr>
        <w:t>2.7 组织竣工验收</w:t>
      </w:r>
      <w:bookmarkEnd w:id="190"/>
    </w:p>
    <w:p w14:paraId="3EC83C5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发包人应按合同约定及时组织竣工验收。</w:t>
      </w:r>
    </w:p>
    <w:p w14:paraId="7CDA2E1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91" w:name="_Toc375060732"/>
      <w:r>
        <w:rPr>
          <w:rFonts w:hint="eastAsia" w:ascii="华文中宋" w:hAnsi="华文中宋" w:eastAsia="华文中宋" w:cs="华文中宋"/>
          <w:b w:val="0"/>
          <w:color w:val="auto"/>
          <w:sz w:val="24"/>
          <w:szCs w:val="24"/>
        </w:rPr>
        <w:t>2.8 现场统一管理协议</w:t>
      </w:r>
      <w:bookmarkEnd w:id="191"/>
    </w:p>
    <w:p w14:paraId="7EC0BC8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发包人应与承包人、由发包人直接发包的专业工程的承包人签订施工现场统一管理协议，明确各方的权利义务。施工现场统一管理协议作为专用合同条款的附件。</w:t>
      </w:r>
    </w:p>
    <w:p w14:paraId="66C2F1A6">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92" w:name="_Toc375060733"/>
      <w:r>
        <w:rPr>
          <w:rFonts w:hint="eastAsia" w:ascii="华文中宋" w:hAnsi="华文中宋" w:eastAsia="华文中宋" w:cs="华文中宋"/>
          <w:b w:val="0"/>
          <w:color w:val="auto"/>
          <w:sz w:val="24"/>
          <w:szCs w:val="24"/>
        </w:rPr>
        <w:t>3</w:t>
      </w:r>
      <w:bookmarkStart w:id="193" w:name="_Toc337558746"/>
      <w:bookmarkStart w:id="194" w:name="_Toc296346546"/>
      <w:bookmarkStart w:id="195" w:name="_Toc296503045"/>
      <w:r>
        <w:rPr>
          <w:rFonts w:hint="eastAsia" w:ascii="华文中宋" w:hAnsi="华文中宋" w:eastAsia="华文中宋" w:cs="华文中宋"/>
          <w:b w:val="0"/>
          <w:color w:val="auto"/>
          <w:sz w:val="24"/>
          <w:szCs w:val="24"/>
        </w:rPr>
        <w:t>. 承包人</w:t>
      </w:r>
      <w:bookmarkEnd w:id="192"/>
    </w:p>
    <w:bookmarkEnd w:id="193"/>
    <w:bookmarkEnd w:id="194"/>
    <w:bookmarkEnd w:id="195"/>
    <w:p w14:paraId="56E0FC7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96" w:name="_Toc375060734"/>
      <w:r>
        <w:rPr>
          <w:rFonts w:hint="eastAsia" w:ascii="华文中宋" w:hAnsi="华文中宋" w:eastAsia="华文中宋" w:cs="华文中宋"/>
          <w:b w:val="0"/>
          <w:color w:val="auto"/>
          <w:sz w:val="24"/>
          <w:szCs w:val="24"/>
        </w:rPr>
        <w:t>3</w:t>
      </w:r>
      <w:bookmarkStart w:id="197" w:name="_Toc337558747"/>
      <w:bookmarkStart w:id="198" w:name="_Toc296346547"/>
      <w:bookmarkStart w:id="199" w:name="_Toc296503046"/>
      <w:r>
        <w:rPr>
          <w:rFonts w:hint="eastAsia" w:ascii="华文中宋" w:hAnsi="华文中宋" w:eastAsia="华文中宋" w:cs="华文中宋"/>
          <w:b w:val="0"/>
          <w:color w:val="auto"/>
          <w:sz w:val="24"/>
          <w:szCs w:val="24"/>
        </w:rPr>
        <w:t>.1 承包人的一般义务</w:t>
      </w:r>
      <w:bookmarkEnd w:id="196"/>
    </w:p>
    <w:bookmarkEnd w:id="197"/>
    <w:bookmarkEnd w:id="198"/>
    <w:bookmarkEnd w:id="199"/>
    <w:p w14:paraId="4AE2C34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承包人在履行合同过程中应遵守法律和工程建设标准规范，并履行以下义务：</w:t>
      </w:r>
    </w:p>
    <w:p w14:paraId="58149B5B">
      <w:pPr>
        <w:pageBreakBefore w:val="0"/>
        <w:numPr>
          <w:ilvl w:val="0"/>
          <w:numId w:val="4"/>
        </w:numPr>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办理法律规定应由承包人办理的许可和批准，并将办理结果书面报送发包人留存；</w:t>
      </w:r>
    </w:p>
    <w:p w14:paraId="44A5A34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（2）按法律规定和合同约定完成工程，并在保修期内承担保修义务；</w:t>
      </w:r>
    </w:p>
    <w:p w14:paraId="45FF0A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（3）按法律规定和合同约定采取施工安全和环境保护措施，办理工伤保险，确保工程及人员、材料、设备和设施的安全；</w:t>
      </w:r>
    </w:p>
    <w:p w14:paraId="3A1156A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（4）按合同约定的工作内容和施工进度要求，编制施工组织设计和施工措施计划，并对所有施工作业和施工方法的完备性和安全可靠性负责；</w:t>
      </w:r>
    </w:p>
    <w:p w14:paraId="5411455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7A4025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（6）按照第6.3款〔环境保护〕约定负责施工场地及其周边环境与生态的保护工作；</w:t>
      </w:r>
    </w:p>
    <w:p w14:paraId="2ADD3C6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（7）按第6.1款〔安全文明施工〕约定采取施工安全措施，确保工程及其人员、材料、设备和设施的安全，防止因工程施工造成的人身伤害和财产损失；</w:t>
      </w:r>
    </w:p>
    <w:p w14:paraId="7BA52A7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（8）将发包人按合同约定支付的各项价款专用于合同工程，且应及时支付其雇用人员工资，并及时向分包人支付合同价款；</w:t>
      </w:r>
    </w:p>
    <w:p w14:paraId="792F0DC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（9）按照法律规定和合同约定编制竣工资料，完成竣工资料立卷及归档，并按专用合同条款约定的竣工资料的套数、内容、时间等要求移交发包人；</w:t>
      </w:r>
    </w:p>
    <w:p w14:paraId="65E5823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（10）应履行的其他义务。</w:t>
      </w:r>
    </w:p>
    <w:p w14:paraId="1430864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00" w:name="_Toc375060735"/>
      <w:r>
        <w:rPr>
          <w:rFonts w:hint="eastAsia" w:ascii="华文中宋" w:hAnsi="华文中宋" w:eastAsia="华文中宋" w:cs="华文中宋"/>
          <w:b w:val="0"/>
          <w:color w:val="auto"/>
          <w:sz w:val="24"/>
          <w:szCs w:val="24"/>
        </w:rPr>
        <w:t>3</w:t>
      </w:r>
      <w:bookmarkStart w:id="201" w:name="_Toc296346548"/>
      <w:bookmarkStart w:id="202" w:name="_Toc337558748"/>
      <w:bookmarkStart w:id="203" w:name="_Toc296503047"/>
      <w:r>
        <w:rPr>
          <w:rFonts w:hint="eastAsia" w:ascii="华文中宋" w:hAnsi="华文中宋" w:eastAsia="华文中宋" w:cs="华文中宋"/>
          <w:b w:val="0"/>
          <w:color w:val="auto"/>
          <w:sz w:val="24"/>
          <w:szCs w:val="24"/>
        </w:rPr>
        <w:t>.2 项目经理</w:t>
      </w:r>
      <w:bookmarkEnd w:id="200"/>
    </w:p>
    <w:bookmarkEnd w:id="201"/>
    <w:bookmarkEnd w:id="202"/>
    <w:bookmarkEnd w:id="203"/>
    <w:p w14:paraId="37A1F0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3205B5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6E4E41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承包人违反上述约定的，应按照专用合同条款的约定，承担违约责任。</w:t>
      </w:r>
    </w:p>
    <w:p w14:paraId="0EC895B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603114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0AC1A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FC7BC7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566D898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04" w:name="_Toc375060736"/>
      <w:r>
        <w:rPr>
          <w:rFonts w:hint="eastAsia" w:ascii="华文中宋" w:hAnsi="华文中宋" w:eastAsia="华文中宋" w:cs="华文中宋"/>
          <w:b w:val="0"/>
          <w:color w:val="auto"/>
          <w:sz w:val="24"/>
          <w:szCs w:val="24"/>
        </w:rPr>
        <w:t>3</w:t>
      </w:r>
      <w:bookmarkStart w:id="205" w:name="_Toc296503048"/>
      <w:bookmarkStart w:id="206" w:name="_Toc296346549"/>
      <w:bookmarkStart w:id="207" w:name="_Toc337558749"/>
      <w:r>
        <w:rPr>
          <w:rFonts w:hint="eastAsia" w:ascii="华文中宋" w:hAnsi="华文中宋" w:eastAsia="华文中宋" w:cs="华文中宋"/>
          <w:b w:val="0"/>
          <w:color w:val="auto"/>
          <w:sz w:val="24"/>
          <w:szCs w:val="24"/>
        </w:rPr>
        <w:t xml:space="preserve">.3 </w:t>
      </w:r>
      <w:bookmarkEnd w:id="205"/>
      <w:bookmarkEnd w:id="206"/>
      <w:r>
        <w:rPr>
          <w:rFonts w:hint="eastAsia" w:ascii="华文中宋" w:hAnsi="华文中宋" w:eastAsia="华文中宋" w:cs="华文中宋"/>
          <w:b w:val="0"/>
          <w:color w:val="auto"/>
          <w:sz w:val="24"/>
          <w:szCs w:val="24"/>
        </w:rPr>
        <w:t>承包人人员</w:t>
      </w:r>
      <w:bookmarkEnd w:id="204"/>
    </w:p>
    <w:bookmarkEnd w:id="207"/>
    <w:p w14:paraId="2D836D6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09C0C2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29A1E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特殊工种作业人员均应持有相应的资格证明，监理人可以随时检查。</w:t>
      </w:r>
    </w:p>
    <w:p w14:paraId="0D35DCE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F8B5ED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F2ABED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3.3.5 承包人擅自更换主要施工管理人员，或前述人员未经监理人或发包人同意擅自离开施工现场的，应按照专用合同条款约定承担违约责任。</w:t>
      </w:r>
    </w:p>
    <w:p w14:paraId="1430A89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08" w:name="_Toc375060737"/>
      <w:r>
        <w:rPr>
          <w:rFonts w:hint="eastAsia" w:ascii="华文中宋" w:hAnsi="华文中宋" w:eastAsia="华文中宋" w:cs="华文中宋"/>
          <w:b w:val="0"/>
          <w:color w:val="auto"/>
          <w:sz w:val="24"/>
          <w:szCs w:val="24"/>
        </w:rPr>
        <w:t>3</w:t>
      </w:r>
      <w:bookmarkStart w:id="209" w:name="_Toc296503050"/>
      <w:bookmarkStart w:id="210" w:name="_Toc337558750"/>
      <w:bookmarkStart w:id="211" w:name="_Toc296346551"/>
      <w:r>
        <w:rPr>
          <w:rFonts w:hint="eastAsia" w:ascii="华文中宋" w:hAnsi="华文中宋" w:eastAsia="华文中宋" w:cs="华文中宋"/>
          <w:b w:val="0"/>
          <w:color w:val="auto"/>
          <w:sz w:val="24"/>
          <w:szCs w:val="24"/>
        </w:rPr>
        <w:t>.4 承包人现场查勘</w:t>
      </w:r>
      <w:bookmarkEnd w:id="208"/>
    </w:p>
    <w:bookmarkEnd w:id="209"/>
    <w:bookmarkEnd w:id="210"/>
    <w:bookmarkEnd w:id="211"/>
    <w:p w14:paraId="58D90D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4E4F02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367A1D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12" w:name="_Toc375060738"/>
      <w:r>
        <w:rPr>
          <w:rFonts w:hint="eastAsia" w:ascii="华文中宋" w:hAnsi="华文中宋" w:eastAsia="华文中宋" w:cs="华文中宋"/>
          <w:b w:val="0"/>
          <w:color w:val="auto"/>
          <w:sz w:val="24"/>
          <w:szCs w:val="24"/>
        </w:rPr>
        <w:t>3</w:t>
      </w:r>
      <w:bookmarkStart w:id="213" w:name="_Toc296346552"/>
      <w:bookmarkStart w:id="214" w:name="_Toc337558751"/>
      <w:bookmarkStart w:id="215" w:name="_Toc296503051"/>
      <w:r>
        <w:rPr>
          <w:rFonts w:hint="eastAsia" w:ascii="华文中宋" w:hAnsi="华文中宋" w:eastAsia="华文中宋" w:cs="华文中宋"/>
          <w:b w:val="0"/>
          <w:color w:val="auto"/>
          <w:sz w:val="24"/>
          <w:szCs w:val="24"/>
        </w:rPr>
        <w:t>.5 分包</w:t>
      </w:r>
      <w:bookmarkEnd w:id="212"/>
    </w:p>
    <w:bookmarkEnd w:id="213"/>
    <w:bookmarkEnd w:id="214"/>
    <w:bookmarkEnd w:id="215"/>
    <w:p w14:paraId="4E3A737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3.5.1 分包的一般约定</w:t>
      </w:r>
    </w:p>
    <w:p w14:paraId="432EED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44C5D6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承包人不得以劳务分包的名义转包或违法分包工程。</w:t>
      </w:r>
    </w:p>
    <w:p w14:paraId="7DE61C7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3.5.2 分包的确定</w:t>
      </w:r>
    </w:p>
    <w:p w14:paraId="1143ADF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CCAE0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3.5.3 分包管理</w:t>
      </w:r>
    </w:p>
    <w:p w14:paraId="689221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承包人应向监理人提交分包人的主要施工管理人员表，并对分包人的施工人员进行实名制管理，包括但不限于进出场管理、登记造册以及各种证照的办理。</w:t>
      </w:r>
    </w:p>
    <w:p w14:paraId="380DB72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3.5.4 分包合同价款</w:t>
      </w:r>
    </w:p>
    <w:p w14:paraId="76ABDED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（1）除本项第（2）目约定的情况或专用合同条款另有约定外，分包合同价款由承包人与分包人结算，未经承包人同意，发包人不得向分包人支付分包工程价款；</w:t>
      </w:r>
    </w:p>
    <w:p w14:paraId="0BC96D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（2）生效法律文书要求发包人向分包人支付分包合同价款的，发包人有权从应付承包人工程款中扣除该部分款项。</w:t>
      </w:r>
    </w:p>
    <w:p w14:paraId="14BA694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3.5.5 分包合同权益的转让</w:t>
      </w:r>
    </w:p>
    <w:p w14:paraId="5573FD0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19D2D1F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16" w:name="_Toc375060739"/>
      <w:r>
        <w:rPr>
          <w:rFonts w:hint="eastAsia" w:ascii="华文中宋" w:hAnsi="华文中宋" w:eastAsia="华文中宋" w:cs="华文中宋"/>
          <w:b w:val="0"/>
          <w:color w:val="auto"/>
          <w:sz w:val="24"/>
          <w:szCs w:val="24"/>
        </w:rPr>
        <w:t>3.6 工程照管与成品、半成品保护</w:t>
      </w:r>
      <w:bookmarkEnd w:id="216"/>
    </w:p>
    <w:p w14:paraId="37362A9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（1）除专用合同条款另有约定外，自发包人向承包人移交施工现场之日起，承包人应负责照管工程及工程相关的材料、工程设备，直到颁发工程接收证书之日止。</w:t>
      </w:r>
    </w:p>
    <w:p w14:paraId="7489F0C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（2）在承包人负责照管期间，因承包人原因造成工程、材料、工程设备损坏的，由承包人负责修复或更换，并承担由此增加的费用和（或）延误的工期。</w:t>
      </w:r>
    </w:p>
    <w:p w14:paraId="07A947B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0EB3A5C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17" w:name="_Toc375060740"/>
      <w:r>
        <w:rPr>
          <w:rFonts w:hint="eastAsia" w:ascii="华文中宋" w:hAnsi="华文中宋" w:eastAsia="华文中宋" w:cs="华文中宋"/>
          <w:b w:val="0"/>
          <w:color w:val="auto"/>
          <w:sz w:val="24"/>
          <w:szCs w:val="24"/>
        </w:rPr>
        <w:t>3</w:t>
      </w:r>
      <w:bookmarkStart w:id="218" w:name="_Toc296346553"/>
      <w:bookmarkStart w:id="219" w:name="_Toc337558752"/>
      <w:bookmarkStart w:id="220" w:name="_Toc296503052"/>
      <w:r>
        <w:rPr>
          <w:rFonts w:hint="eastAsia" w:ascii="华文中宋" w:hAnsi="华文中宋" w:eastAsia="华文中宋" w:cs="华文中宋"/>
          <w:b w:val="0"/>
          <w:color w:val="auto"/>
          <w:sz w:val="24"/>
          <w:szCs w:val="24"/>
        </w:rPr>
        <w:t>.7 履约担保</w:t>
      </w:r>
      <w:bookmarkEnd w:id="217"/>
    </w:p>
    <w:bookmarkEnd w:id="218"/>
    <w:bookmarkEnd w:id="219"/>
    <w:bookmarkEnd w:id="220"/>
    <w:p w14:paraId="495432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A899A7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因承包人原因导致工期延长的，继续提供履约担保所增加的费用由承包人承担；非因承包人原因导致工期延长的，继续提供履约担保所增加的费用由发包人承担。</w:t>
      </w:r>
    </w:p>
    <w:p w14:paraId="3CDBB12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21" w:name="_Toc375060741"/>
      <w:r>
        <w:rPr>
          <w:rFonts w:hint="eastAsia" w:ascii="华文中宋" w:hAnsi="华文中宋" w:eastAsia="华文中宋" w:cs="华文中宋"/>
          <w:b w:val="0"/>
          <w:color w:val="auto"/>
          <w:sz w:val="24"/>
          <w:szCs w:val="24"/>
        </w:rPr>
        <w:t>3.8 联合体</w:t>
      </w:r>
      <w:bookmarkEnd w:id="221"/>
    </w:p>
    <w:p w14:paraId="7416BC8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3.8.1 联合体各方应共同与发包人签订合同协议书。联合体各方应为履行合同向发包人承担连带责任。</w:t>
      </w:r>
    </w:p>
    <w:p w14:paraId="793A42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3.8.2 联合体协议经发包人确认后作为合同附件。在履行合同过程中，未经发包人同意，不得修改联合体协议。</w:t>
      </w:r>
    </w:p>
    <w:p w14:paraId="48CD79D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3.8.3 联合体牵头人负责与发包人和监理人联系，并接受指示，负责组织联合体各成员全面履行合同。</w:t>
      </w:r>
    </w:p>
    <w:p w14:paraId="221C311B">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22" w:name="_Toc375060742"/>
      <w:r>
        <w:rPr>
          <w:rFonts w:hint="eastAsia" w:ascii="华文中宋" w:hAnsi="华文中宋" w:eastAsia="华文中宋" w:cs="华文中宋"/>
          <w:b w:val="0"/>
          <w:color w:val="auto"/>
          <w:sz w:val="24"/>
          <w:szCs w:val="24"/>
        </w:rPr>
        <w:t>4</w:t>
      </w:r>
      <w:bookmarkStart w:id="223" w:name="_Toc296503053"/>
      <w:bookmarkStart w:id="224" w:name="_Toc296346554"/>
      <w:bookmarkStart w:id="225" w:name="_Toc337558753"/>
      <w:r>
        <w:rPr>
          <w:rFonts w:hint="eastAsia" w:ascii="华文中宋" w:hAnsi="华文中宋" w:eastAsia="华文中宋" w:cs="华文中宋"/>
          <w:b w:val="0"/>
          <w:color w:val="auto"/>
          <w:sz w:val="24"/>
          <w:szCs w:val="24"/>
        </w:rPr>
        <w:t>. 监</w:t>
      </w:r>
      <w:bookmarkEnd w:id="223"/>
      <w:bookmarkEnd w:id="224"/>
      <w:r>
        <w:rPr>
          <w:rFonts w:hint="eastAsia" w:ascii="华文中宋" w:hAnsi="华文中宋" w:eastAsia="华文中宋" w:cs="华文中宋"/>
          <w:b w:val="0"/>
          <w:color w:val="auto"/>
          <w:sz w:val="24"/>
          <w:szCs w:val="24"/>
        </w:rPr>
        <w:t>理人</w:t>
      </w:r>
      <w:bookmarkEnd w:id="222"/>
    </w:p>
    <w:bookmarkEnd w:id="225"/>
    <w:p w14:paraId="2CD9F08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26" w:name="_Toc375060743"/>
      <w:r>
        <w:rPr>
          <w:rFonts w:hint="eastAsia" w:ascii="华文中宋" w:hAnsi="华文中宋" w:eastAsia="华文中宋" w:cs="华文中宋"/>
          <w:b w:val="0"/>
          <w:color w:val="auto"/>
          <w:sz w:val="24"/>
          <w:szCs w:val="24"/>
        </w:rPr>
        <w:t>4</w:t>
      </w:r>
      <w:bookmarkStart w:id="227" w:name="_Toc296346555"/>
      <w:bookmarkStart w:id="228" w:name="_Toc296503054"/>
      <w:bookmarkStart w:id="229" w:name="_Toc337558754"/>
      <w:r>
        <w:rPr>
          <w:rFonts w:hint="eastAsia" w:ascii="华文中宋" w:hAnsi="华文中宋" w:eastAsia="华文中宋" w:cs="华文中宋"/>
          <w:b w:val="0"/>
          <w:color w:val="auto"/>
          <w:sz w:val="24"/>
          <w:szCs w:val="24"/>
        </w:rPr>
        <w:t>.1监理人的一般规定</w:t>
      </w:r>
      <w:bookmarkEnd w:id="226"/>
    </w:p>
    <w:bookmarkEnd w:id="227"/>
    <w:bookmarkEnd w:id="228"/>
    <w:bookmarkEnd w:id="229"/>
    <w:p w14:paraId="10A134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E9EC80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除专用合同条款另有约定外，监理人在施工现场的办公场所、生活场所由承包人提供，所发生的费用由发包人承担。</w:t>
      </w:r>
    </w:p>
    <w:p w14:paraId="3F4B87E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30" w:name="_Toc375060744"/>
      <w:r>
        <w:rPr>
          <w:rFonts w:hint="eastAsia" w:ascii="华文中宋" w:hAnsi="华文中宋" w:eastAsia="华文中宋" w:cs="华文中宋"/>
          <w:b w:val="0"/>
          <w:color w:val="auto"/>
          <w:sz w:val="24"/>
          <w:szCs w:val="24"/>
        </w:rPr>
        <w:t>4</w:t>
      </w:r>
      <w:bookmarkStart w:id="231" w:name="_Toc337558755"/>
      <w:r>
        <w:rPr>
          <w:rFonts w:hint="eastAsia" w:ascii="华文中宋" w:hAnsi="华文中宋" w:eastAsia="华文中宋" w:cs="华文中宋"/>
          <w:b w:val="0"/>
          <w:color w:val="auto"/>
          <w:sz w:val="24"/>
          <w:szCs w:val="24"/>
        </w:rPr>
        <w:t>.2监理人员</w:t>
      </w:r>
      <w:bookmarkEnd w:id="230"/>
    </w:p>
    <w:bookmarkEnd w:id="231"/>
    <w:p w14:paraId="6D96198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3699D8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32" w:name="_Toc375060745"/>
      <w:r>
        <w:rPr>
          <w:rFonts w:hint="eastAsia" w:ascii="华文中宋" w:hAnsi="华文中宋" w:eastAsia="华文中宋" w:cs="华文中宋"/>
          <w:b w:val="0"/>
          <w:color w:val="auto"/>
          <w:sz w:val="24"/>
          <w:szCs w:val="24"/>
        </w:rPr>
        <w:t>4</w:t>
      </w:r>
      <w:bookmarkStart w:id="233" w:name="_Toc296503055"/>
      <w:bookmarkStart w:id="234" w:name="_Toc296346556"/>
      <w:bookmarkStart w:id="235" w:name="_Toc337558756"/>
      <w:r>
        <w:rPr>
          <w:rFonts w:hint="eastAsia" w:ascii="华文中宋" w:hAnsi="华文中宋" w:eastAsia="华文中宋" w:cs="华文中宋"/>
          <w:b w:val="0"/>
          <w:color w:val="auto"/>
          <w:sz w:val="24"/>
          <w:szCs w:val="24"/>
        </w:rPr>
        <w:t>.3</w:t>
      </w:r>
      <w:bookmarkEnd w:id="233"/>
      <w:bookmarkEnd w:id="234"/>
      <w:r>
        <w:rPr>
          <w:rFonts w:hint="eastAsia" w:ascii="华文中宋" w:hAnsi="华文中宋" w:eastAsia="华文中宋" w:cs="华文中宋"/>
          <w:b w:val="0"/>
          <w:color w:val="auto"/>
          <w:sz w:val="24"/>
          <w:szCs w:val="24"/>
        </w:rPr>
        <w:t>监理人的指</w:t>
      </w:r>
      <w:bookmarkEnd w:id="235"/>
      <w:r>
        <w:rPr>
          <w:rFonts w:hint="eastAsia" w:ascii="华文中宋" w:hAnsi="华文中宋" w:eastAsia="华文中宋" w:cs="华文中宋"/>
          <w:b w:val="0"/>
          <w:color w:val="auto"/>
          <w:sz w:val="24"/>
          <w:szCs w:val="24"/>
        </w:rPr>
        <w:t>示</w:t>
      </w:r>
      <w:bookmarkEnd w:id="232"/>
    </w:p>
    <w:p w14:paraId="7E1436E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B117DB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E2AE11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14:paraId="7F7A29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4658EE12">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36" w:name="_Toc375060746"/>
      <w:r>
        <w:rPr>
          <w:rFonts w:hint="eastAsia" w:ascii="华文中宋" w:hAnsi="华文中宋" w:eastAsia="华文中宋" w:cs="华文中宋"/>
          <w:b w:val="0"/>
          <w:color w:val="auto"/>
          <w:sz w:val="24"/>
          <w:szCs w:val="24"/>
        </w:rPr>
        <w:t>4</w:t>
      </w:r>
      <w:bookmarkStart w:id="237" w:name="_Toc337558757"/>
      <w:bookmarkStart w:id="238" w:name="_Toc296503057"/>
      <w:bookmarkStart w:id="239" w:name="_Toc296346558"/>
      <w:r>
        <w:rPr>
          <w:rFonts w:hint="eastAsia" w:ascii="华文中宋" w:hAnsi="华文中宋" w:eastAsia="华文中宋" w:cs="华文中宋"/>
          <w:b w:val="0"/>
          <w:color w:val="auto"/>
          <w:sz w:val="24"/>
          <w:szCs w:val="24"/>
        </w:rPr>
        <w:t>.4 商定或确定</w:t>
      </w:r>
      <w:bookmarkEnd w:id="236"/>
    </w:p>
    <w:bookmarkEnd w:id="237"/>
    <w:bookmarkEnd w:id="238"/>
    <w:bookmarkEnd w:id="239"/>
    <w:p w14:paraId="399460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合同当事人进行商定或确定时，总监理工程师应当会同合同当事人尽量通过协商达成一致，不能达成一致的，由总监理工程师按照合同约定审慎做出公正的确定。</w:t>
      </w:r>
    </w:p>
    <w:p w14:paraId="498E1B2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3DE4CDE">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40" w:name="_Toc375060747"/>
      <w:r>
        <w:rPr>
          <w:rFonts w:hint="eastAsia" w:ascii="华文中宋" w:hAnsi="华文中宋" w:eastAsia="华文中宋" w:cs="华文中宋"/>
          <w:b w:val="0"/>
          <w:color w:val="auto"/>
          <w:sz w:val="24"/>
          <w:szCs w:val="24"/>
        </w:rPr>
        <w:t>5</w:t>
      </w:r>
      <w:bookmarkStart w:id="241" w:name="_Toc337558758"/>
      <w:r>
        <w:rPr>
          <w:rFonts w:hint="eastAsia" w:ascii="华文中宋" w:hAnsi="华文中宋" w:eastAsia="华文中宋" w:cs="华文中宋"/>
          <w:b w:val="0"/>
          <w:color w:val="auto"/>
          <w:sz w:val="24"/>
          <w:szCs w:val="24"/>
        </w:rPr>
        <w:t>. 工程质量</w:t>
      </w:r>
      <w:bookmarkEnd w:id="240"/>
    </w:p>
    <w:bookmarkEnd w:id="241"/>
    <w:p w14:paraId="279D7B1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42" w:name="_Toc375060748"/>
      <w:r>
        <w:rPr>
          <w:rFonts w:hint="eastAsia" w:ascii="华文中宋" w:hAnsi="华文中宋" w:eastAsia="华文中宋" w:cs="华文中宋"/>
          <w:b w:val="0"/>
          <w:color w:val="auto"/>
          <w:sz w:val="24"/>
          <w:szCs w:val="24"/>
        </w:rPr>
        <w:t>5</w:t>
      </w:r>
      <w:bookmarkStart w:id="243" w:name="_Toc337558759"/>
      <w:r>
        <w:rPr>
          <w:rFonts w:hint="eastAsia" w:ascii="华文中宋" w:hAnsi="华文中宋" w:eastAsia="华文中宋" w:cs="华文中宋"/>
          <w:b w:val="0"/>
          <w:color w:val="auto"/>
          <w:sz w:val="24"/>
          <w:szCs w:val="24"/>
        </w:rPr>
        <w:t>.1质量要求</w:t>
      </w:r>
      <w:bookmarkEnd w:id="242"/>
    </w:p>
    <w:bookmarkEnd w:id="243"/>
    <w:p w14:paraId="2358815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5.1.1 工程质量标准必须符合现行国家有关工程施工质量验收规范和标准的要求。有关工程质量的特殊标准或要求由合同当事人在专用合同条款中约定。</w:t>
      </w:r>
    </w:p>
    <w:p w14:paraId="48F166E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5.1.2 因发包人原因造成工程质量未达到合同约定标准的，由发包人承担由此增加的费用和（或）延误的工期，并支付承包人合理的利润。</w:t>
      </w:r>
    </w:p>
    <w:p w14:paraId="6E2632B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1C6A485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44" w:name="_Toc375060749"/>
      <w:r>
        <w:rPr>
          <w:rFonts w:hint="eastAsia" w:ascii="华文中宋" w:hAnsi="华文中宋" w:eastAsia="华文中宋" w:cs="华文中宋"/>
          <w:b w:val="0"/>
          <w:color w:val="auto"/>
          <w:sz w:val="24"/>
          <w:szCs w:val="24"/>
        </w:rPr>
        <w:t>5</w:t>
      </w:r>
      <w:bookmarkStart w:id="245" w:name="_Toc337558760"/>
      <w:r>
        <w:rPr>
          <w:rFonts w:hint="eastAsia" w:ascii="华文中宋" w:hAnsi="华文中宋" w:eastAsia="华文中宋" w:cs="华文中宋"/>
          <w:b w:val="0"/>
          <w:color w:val="auto"/>
          <w:sz w:val="24"/>
          <w:szCs w:val="24"/>
        </w:rPr>
        <w:t>.2质量保证措施</w:t>
      </w:r>
      <w:bookmarkEnd w:id="244"/>
    </w:p>
    <w:bookmarkEnd w:id="245"/>
    <w:p w14:paraId="21B55AD6">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color w:val="auto"/>
          <w:kern w:val="0"/>
          <w:sz w:val="24"/>
          <w:szCs w:val="24"/>
        </w:rPr>
      </w:pPr>
      <w:bookmarkStart w:id="246" w:name="_Toc375060750"/>
      <w:bookmarkStart w:id="247" w:name="_Toc375060646"/>
      <w:bookmarkStart w:id="248" w:name="_Toc8936"/>
      <w:r>
        <w:rPr>
          <w:rFonts w:hint="eastAsia" w:ascii="华文中宋" w:hAnsi="华文中宋" w:eastAsia="华文中宋" w:cs="华文中宋"/>
          <w:color w:val="auto"/>
          <w:kern w:val="0"/>
          <w:sz w:val="24"/>
          <w:szCs w:val="24"/>
        </w:rPr>
        <w:t>5.2.1 发包人的质量管理</w:t>
      </w:r>
      <w:bookmarkEnd w:id="246"/>
      <w:bookmarkEnd w:id="247"/>
      <w:bookmarkEnd w:id="248"/>
    </w:p>
    <w:p w14:paraId="1FC8A8C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发包人应按照法律规定及合同约定完成与工程质量有关的各项工作。</w:t>
      </w:r>
    </w:p>
    <w:p w14:paraId="1596B48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5.2.2 承包人的质量管理</w:t>
      </w:r>
    </w:p>
    <w:p w14:paraId="2896721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E5804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承包人应对施工人员进行质量教育和技术培训，定期考核施工人员的劳动技能，严格执行施工规范和操作规程。</w:t>
      </w:r>
    </w:p>
    <w:p w14:paraId="1A5C9A1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C5448CE">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color w:val="auto"/>
          <w:kern w:val="0"/>
          <w:sz w:val="24"/>
          <w:szCs w:val="24"/>
        </w:rPr>
      </w:pPr>
      <w:bookmarkStart w:id="249" w:name="_Toc375060751"/>
      <w:bookmarkStart w:id="250" w:name="_Toc375060647"/>
      <w:bookmarkStart w:id="251" w:name="_Toc3732"/>
      <w:r>
        <w:rPr>
          <w:rFonts w:hint="eastAsia" w:ascii="华文中宋" w:hAnsi="华文中宋" w:eastAsia="华文中宋" w:cs="华文中宋"/>
          <w:color w:val="auto"/>
          <w:kern w:val="0"/>
          <w:sz w:val="24"/>
          <w:szCs w:val="24"/>
        </w:rPr>
        <w:t>5.2.3 监理人的质量检查和检验</w:t>
      </w:r>
      <w:bookmarkEnd w:id="249"/>
      <w:bookmarkEnd w:id="250"/>
      <w:bookmarkEnd w:id="251"/>
    </w:p>
    <w:p w14:paraId="6B28C3F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7D06FD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208579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2" w:name="_Toc375060752"/>
      <w:r>
        <w:rPr>
          <w:rFonts w:hint="eastAsia" w:ascii="华文中宋" w:hAnsi="华文中宋" w:eastAsia="华文中宋" w:cs="华文中宋"/>
          <w:b w:val="0"/>
          <w:color w:val="auto"/>
          <w:sz w:val="24"/>
          <w:szCs w:val="24"/>
        </w:rPr>
        <w:t>5</w:t>
      </w:r>
      <w:bookmarkStart w:id="253" w:name="_Toc337558761"/>
      <w:r>
        <w:rPr>
          <w:rFonts w:hint="eastAsia" w:ascii="华文中宋" w:hAnsi="华文中宋" w:eastAsia="华文中宋" w:cs="华文中宋"/>
          <w:b w:val="0"/>
          <w:color w:val="auto"/>
          <w:sz w:val="24"/>
          <w:szCs w:val="24"/>
        </w:rPr>
        <w:t>.3 隐蔽工程检查</w:t>
      </w:r>
      <w:bookmarkEnd w:id="252"/>
    </w:p>
    <w:bookmarkEnd w:id="253"/>
    <w:p w14:paraId="23F258B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5.3.1承包人自检</w:t>
      </w:r>
    </w:p>
    <w:p w14:paraId="18FD5F3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承包人应当对工程隐蔽部位进行自检，并经自检确认是否具备覆盖条件。</w:t>
      </w:r>
    </w:p>
    <w:p w14:paraId="228122E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5.3.2检查程序</w:t>
      </w:r>
    </w:p>
    <w:p w14:paraId="10B7A2E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CE6C5B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1D2EEB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E8DB32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5.3.3 重新检查</w:t>
      </w:r>
    </w:p>
    <w:p w14:paraId="7E470CD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F70AC4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5.3.4 承包人私自覆盖</w:t>
      </w:r>
    </w:p>
    <w:p w14:paraId="6718C0B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3366BA9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4" w:name="_Toc375060753"/>
      <w:r>
        <w:rPr>
          <w:rFonts w:hint="eastAsia" w:ascii="华文中宋" w:hAnsi="华文中宋" w:eastAsia="华文中宋" w:cs="华文中宋"/>
          <w:b w:val="0"/>
          <w:color w:val="auto"/>
          <w:sz w:val="24"/>
          <w:szCs w:val="24"/>
        </w:rPr>
        <w:t>5</w:t>
      </w:r>
      <w:bookmarkStart w:id="255" w:name="_Toc337558762"/>
      <w:r>
        <w:rPr>
          <w:rFonts w:hint="eastAsia" w:ascii="华文中宋" w:hAnsi="华文中宋" w:eastAsia="华文中宋" w:cs="华文中宋"/>
          <w:b w:val="0"/>
          <w:color w:val="auto"/>
          <w:sz w:val="24"/>
          <w:szCs w:val="24"/>
        </w:rPr>
        <w:t>.4不合格工程的处理</w:t>
      </w:r>
      <w:bookmarkEnd w:id="254"/>
    </w:p>
    <w:bookmarkEnd w:id="255"/>
    <w:p w14:paraId="6D02329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834054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5.4.2 因发包人原因造成工程不合格的，由此增加的费用和（或）延误的工期由发包人承担，并支付承包人合理的利润。</w:t>
      </w:r>
    </w:p>
    <w:p w14:paraId="30F8CC6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6" w:name="_Toc375060754"/>
      <w:r>
        <w:rPr>
          <w:rFonts w:hint="eastAsia" w:ascii="华文中宋" w:hAnsi="华文中宋" w:eastAsia="华文中宋" w:cs="华文中宋"/>
          <w:b w:val="0"/>
          <w:color w:val="auto"/>
          <w:sz w:val="24"/>
          <w:szCs w:val="24"/>
        </w:rPr>
        <w:t>5.5 质量争议检测</w:t>
      </w:r>
      <w:bookmarkEnd w:id="256"/>
    </w:p>
    <w:p w14:paraId="394869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合同当事人对工程质量有争议的，由双方协商确定的工程质量检测机构鉴定，由此产生的费用及因此造成的损失，由责任方承担。</w:t>
      </w:r>
    </w:p>
    <w:p w14:paraId="4830D14F">
      <w:pPr>
        <w:pageBreakBefore w:val="0"/>
        <w:kinsoku/>
        <w:wordWrap/>
        <w:overflowPunct/>
        <w:topLinePunct w:val="0"/>
        <w:autoSpaceDE w:val="0"/>
        <w:autoSpaceDN w:val="0"/>
        <w:bidi w:val="0"/>
        <w:adjustRightInd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合同当事人均有责任的，由双方根据其责任分别承担。合同当事人无法达成一致的，按照第4.4款〔商定或确定〕执行。</w:t>
      </w:r>
    </w:p>
    <w:p w14:paraId="19D46185">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57" w:name="_Toc375060755"/>
      <w:r>
        <w:rPr>
          <w:rFonts w:hint="eastAsia" w:ascii="华文中宋" w:hAnsi="华文中宋" w:eastAsia="华文中宋" w:cs="华文中宋"/>
          <w:b w:val="0"/>
          <w:color w:val="auto"/>
          <w:sz w:val="24"/>
          <w:szCs w:val="24"/>
        </w:rPr>
        <w:t>6</w:t>
      </w:r>
      <w:bookmarkStart w:id="258" w:name="_Toc337558763"/>
      <w:r>
        <w:rPr>
          <w:rFonts w:hint="eastAsia" w:ascii="华文中宋" w:hAnsi="华文中宋" w:eastAsia="华文中宋" w:cs="华文中宋"/>
          <w:b w:val="0"/>
          <w:color w:val="auto"/>
          <w:sz w:val="24"/>
          <w:szCs w:val="24"/>
        </w:rPr>
        <w:t>. 安全文明施工与环境保护</w:t>
      </w:r>
      <w:bookmarkEnd w:id="257"/>
    </w:p>
    <w:bookmarkEnd w:id="258"/>
    <w:p w14:paraId="5048D63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9" w:name="_Toc375060756"/>
      <w:r>
        <w:rPr>
          <w:rFonts w:hint="eastAsia" w:ascii="华文中宋" w:hAnsi="华文中宋" w:eastAsia="华文中宋" w:cs="华文中宋"/>
          <w:b w:val="0"/>
          <w:color w:val="auto"/>
          <w:sz w:val="24"/>
          <w:szCs w:val="24"/>
        </w:rPr>
        <w:t>6</w:t>
      </w:r>
      <w:bookmarkStart w:id="260" w:name="_Toc337558764"/>
      <w:r>
        <w:rPr>
          <w:rFonts w:hint="eastAsia" w:ascii="华文中宋" w:hAnsi="华文中宋" w:eastAsia="华文中宋" w:cs="华文中宋"/>
          <w:b w:val="0"/>
          <w:color w:val="auto"/>
          <w:sz w:val="24"/>
          <w:szCs w:val="24"/>
        </w:rPr>
        <w:t>.1安全文明施工</w:t>
      </w:r>
      <w:bookmarkEnd w:id="259"/>
    </w:p>
    <w:bookmarkEnd w:id="260"/>
    <w:p w14:paraId="548F54E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6.1.1安全生产要求</w:t>
      </w:r>
    </w:p>
    <w:p w14:paraId="5E67528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350E5D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在施工过程中，如遇到突发的地质变动、事先未知的地下施工障碍等影响施工安全的紧急情况，承包人应及时报告监理人和发包人，发包人应当及时下令停工并报</w:t>
      </w:r>
      <w:r>
        <w:rPr>
          <w:rFonts w:hint="eastAsia" w:ascii="华文中宋" w:hAnsi="华文中宋" w:eastAsia="华文中宋" w:cs="华文中宋"/>
          <w:color w:val="auto"/>
          <w:kern w:val="0"/>
          <w:sz w:val="24"/>
          <w:szCs w:val="24"/>
        </w:rPr>
        <w:t>政府有关行政管理部门</w:t>
      </w:r>
      <w:r>
        <w:rPr>
          <w:rFonts w:hint="eastAsia" w:ascii="华文中宋" w:hAnsi="华文中宋" w:eastAsia="华文中宋" w:cs="华文中宋"/>
          <w:color w:val="auto"/>
          <w:sz w:val="24"/>
          <w:szCs w:val="24"/>
        </w:rPr>
        <w:t>采取应急措施。</w:t>
      </w:r>
    </w:p>
    <w:p w14:paraId="6238D0A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因安全生产需要暂停施工的，按照第7.8款〔暂停施工〕的约定执行。</w:t>
      </w:r>
    </w:p>
    <w:p w14:paraId="5DDB3FA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6.1.2 安全生产保证措施</w:t>
      </w:r>
    </w:p>
    <w:p w14:paraId="42FEC4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承包人应当按照有关</w:t>
      </w:r>
      <w:r>
        <w:rPr>
          <w:rFonts w:hint="eastAsia" w:ascii="华文中宋" w:hAnsi="华文中宋" w:eastAsia="华文中宋" w:cs="华文中宋"/>
          <w:color w:val="auto"/>
          <w:kern w:val="0"/>
          <w:sz w:val="24"/>
          <w:szCs w:val="24"/>
        </w:rPr>
        <w:t>规定编制安全技术措施或者专项施工方案，</w:t>
      </w:r>
      <w:r>
        <w:rPr>
          <w:rFonts w:hint="eastAsia" w:ascii="华文中宋" w:hAnsi="华文中宋" w:eastAsia="华文中宋" w:cs="华文中宋"/>
          <w:color w:val="auto"/>
          <w:sz w:val="24"/>
          <w:szCs w:val="24"/>
        </w:rPr>
        <w:t>建立安全生产责任制度、治安保卫制度及安全生产教育培训制度，并</w:t>
      </w:r>
      <w:r>
        <w:rPr>
          <w:rFonts w:hint="eastAsia" w:ascii="华文中宋" w:hAnsi="华文中宋" w:eastAsia="华文中宋" w:cs="华文中宋"/>
          <w:color w:val="auto"/>
          <w:kern w:val="0"/>
          <w:sz w:val="24"/>
          <w:szCs w:val="24"/>
        </w:rPr>
        <w:t>按安全生产法律规定及合同约定履行安全职责，如实</w:t>
      </w:r>
      <w:r>
        <w:rPr>
          <w:rFonts w:hint="eastAsia" w:ascii="华文中宋" w:hAnsi="华文中宋" w:eastAsia="华文中宋" w:cs="华文中宋"/>
          <w:color w:val="auto"/>
          <w:sz w:val="24"/>
          <w:szCs w:val="24"/>
        </w:rPr>
        <w:t>编制工程安全生产的有关记录，</w:t>
      </w:r>
      <w:r>
        <w:rPr>
          <w:rFonts w:hint="eastAsia" w:ascii="华文中宋" w:hAnsi="华文中宋" w:eastAsia="华文中宋" w:cs="华文中宋"/>
          <w:color w:val="auto"/>
          <w:kern w:val="0"/>
          <w:sz w:val="24"/>
          <w:szCs w:val="24"/>
        </w:rPr>
        <w:t>接受发包人、监理人及政府安全监督部门的检查与监督。</w:t>
      </w:r>
    </w:p>
    <w:p w14:paraId="39C5E5F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6.1.3特别安全生产事项</w:t>
      </w:r>
    </w:p>
    <w:p w14:paraId="5185B82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77D92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73A62DE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6012F04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需单独编制危险性较大分部分项专项工程施工方案的，及要求进行专家论证的超过一定规模的危险性较大的分部分项工程，承包人应及时编制和组织论证。</w:t>
      </w:r>
    </w:p>
    <w:p w14:paraId="4D316F7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6.1.4 治安保卫</w:t>
      </w:r>
    </w:p>
    <w:p w14:paraId="20B3643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除专用合同条款另有约定外，发包人应与当地公安部门协商，在现场建立治安管理机构或联防组织，统一管理施工场地的治安保卫事项，履行合同工程的治安保卫职责。</w:t>
      </w:r>
    </w:p>
    <w:p w14:paraId="578CC6A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发包人和承包人除应协助现场治安管理机构或联防组织维护施工场地的社会治安外，还应做好包括生活区在内的各自管辖区的治安保卫工作。</w:t>
      </w:r>
    </w:p>
    <w:p w14:paraId="638F7DF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23C0C5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6.1.5 文明施工</w:t>
      </w:r>
    </w:p>
    <w:p w14:paraId="38BABA8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DB9435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E22C36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6.1.6 安全文明施工费</w:t>
      </w:r>
    </w:p>
    <w:p w14:paraId="79F301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14:paraId="6DC146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366A43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在开工后28天内预付安全文明施工费。发包人逾期支付安全文明施工费超过7天的，承包人有权向发包人发出要求预付的催告通知，发包人收到通知后7天内仍未支付的，承包人有权暂停施工，并按第16.1.1项〔发包人违约的情形〕执行。</w:t>
      </w:r>
    </w:p>
    <w:p w14:paraId="3D4B93A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D5D55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6.1.7 紧急情况处理</w:t>
      </w:r>
    </w:p>
    <w:p w14:paraId="311D503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46245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6.1.8 事故处理</w:t>
      </w:r>
    </w:p>
    <w:p w14:paraId="3EB050A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C59458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6.1.9 安全生产责任</w:t>
      </w:r>
    </w:p>
    <w:p w14:paraId="6BFDF22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6.1.9.1 承包人的安全责任</w:t>
      </w:r>
    </w:p>
    <w:p w14:paraId="49BAF99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由于承包人原因在施工场地内及其毗邻地带造成的发包人、监理人以及第三者人员伤亡和财产损失，由承包人负责赔偿。</w:t>
      </w:r>
    </w:p>
    <w:p w14:paraId="3C94461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61" w:name="_Toc375060757"/>
      <w:r>
        <w:rPr>
          <w:rFonts w:hint="eastAsia" w:ascii="华文中宋" w:hAnsi="华文中宋" w:eastAsia="华文中宋" w:cs="华文中宋"/>
          <w:b w:val="0"/>
          <w:color w:val="auto"/>
          <w:sz w:val="24"/>
          <w:szCs w:val="24"/>
        </w:rPr>
        <w:t>6</w:t>
      </w:r>
      <w:bookmarkStart w:id="262" w:name="_Toc337558765"/>
      <w:r>
        <w:rPr>
          <w:rFonts w:hint="eastAsia" w:ascii="华文中宋" w:hAnsi="华文中宋" w:eastAsia="华文中宋" w:cs="华文中宋"/>
          <w:b w:val="0"/>
          <w:color w:val="auto"/>
          <w:sz w:val="24"/>
          <w:szCs w:val="24"/>
        </w:rPr>
        <w:t>.2 职业健康</w:t>
      </w:r>
      <w:bookmarkEnd w:id="261"/>
    </w:p>
    <w:bookmarkEnd w:id="262"/>
    <w:p w14:paraId="61988F0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6.2.1 劳动保护</w:t>
      </w:r>
    </w:p>
    <w:p w14:paraId="6B91B95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7ECA8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25D3CE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A2C958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6.2.2 生活条件</w:t>
      </w:r>
    </w:p>
    <w:p w14:paraId="5EA8CC3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38BB66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63" w:name="_Toc375060758"/>
      <w:r>
        <w:rPr>
          <w:rFonts w:hint="eastAsia" w:ascii="华文中宋" w:hAnsi="华文中宋" w:eastAsia="华文中宋" w:cs="华文中宋"/>
          <w:b w:val="0"/>
          <w:color w:val="auto"/>
          <w:sz w:val="24"/>
          <w:szCs w:val="24"/>
        </w:rPr>
        <w:t>6</w:t>
      </w:r>
      <w:bookmarkStart w:id="264" w:name="_Toc337558766"/>
      <w:r>
        <w:rPr>
          <w:rFonts w:hint="eastAsia" w:ascii="华文中宋" w:hAnsi="华文中宋" w:eastAsia="华文中宋" w:cs="华文中宋"/>
          <w:b w:val="0"/>
          <w:color w:val="auto"/>
          <w:sz w:val="24"/>
          <w:szCs w:val="24"/>
        </w:rPr>
        <w:t>.3 环境保护</w:t>
      </w:r>
      <w:bookmarkEnd w:id="263"/>
    </w:p>
    <w:bookmarkEnd w:id="264"/>
    <w:p w14:paraId="68FDEE1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BC5A80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承包人应当承担因其原因引起的环境污染侵权损害赔偿责任，因上述环境污染引起纠纷而导致暂停施工的，由此增加的费用和（或）延误的工期由承包人承担。</w:t>
      </w:r>
    </w:p>
    <w:p w14:paraId="1712BC4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65" w:name="_Toc375060759"/>
      <w:r>
        <w:rPr>
          <w:rFonts w:hint="eastAsia" w:ascii="华文中宋" w:hAnsi="华文中宋" w:eastAsia="华文中宋" w:cs="华文中宋"/>
          <w:b w:val="0"/>
          <w:color w:val="auto"/>
          <w:sz w:val="24"/>
          <w:szCs w:val="24"/>
        </w:rPr>
        <w:t>7</w:t>
      </w:r>
      <w:bookmarkStart w:id="266" w:name="_Toc337558767"/>
      <w:r>
        <w:rPr>
          <w:rFonts w:hint="eastAsia" w:ascii="华文中宋" w:hAnsi="华文中宋" w:eastAsia="华文中宋" w:cs="华文中宋"/>
          <w:b w:val="0"/>
          <w:color w:val="auto"/>
          <w:sz w:val="24"/>
          <w:szCs w:val="24"/>
        </w:rPr>
        <w:t>. 工期和进度</w:t>
      </w:r>
      <w:bookmarkEnd w:id="265"/>
    </w:p>
    <w:bookmarkEnd w:id="266"/>
    <w:p w14:paraId="24A9A2C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67" w:name="_Toc375060760"/>
      <w:r>
        <w:rPr>
          <w:rFonts w:hint="eastAsia" w:ascii="华文中宋" w:hAnsi="华文中宋" w:eastAsia="华文中宋" w:cs="华文中宋"/>
          <w:b w:val="0"/>
          <w:color w:val="auto"/>
          <w:sz w:val="24"/>
          <w:szCs w:val="24"/>
        </w:rPr>
        <w:t>7</w:t>
      </w:r>
      <w:bookmarkStart w:id="268" w:name="_Toc337558768"/>
      <w:bookmarkStart w:id="269" w:name="_Toc296503066"/>
      <w:bookmarkStart w:id="270" w:name="_Toc296346567"/>
      <w:r>
        <w:rPr>
          <w:rFonts w:hint="eastAsia" w:ascii="华文中宋" w:hAnsi="华文中宋" w:eastAsia="华文中宋" w:cs="华文中宋"/>
          <w:b w:val="0"/>
          <w:color w:val="auto"/>
          <w:sz w:val="24"/>
          <w:szCs w:val="24"/>
        </w:rPr>
        <w:t>.1施工组织设计</w:t>
      </w:r>
      <w:bookmarkEnd w:id="267"/>
    </w:p>
    <w:bookmarkEnd w:id="268"/>
    <w:p w14:paraId="674925C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7.1.1 </w:t>
      </w:r>
      <w:r>
        <w:rPr>
          <w:rFonts w:hint="eastAsia" w:ascii="华文中宋" w:hAnsi="华文中宋" w:eastAsia="华文中宋" w:cs="华文中宋"/>
          <w:color w:val="auto"/>
          <w:kern w:val="0"/>
          <w:sz w:val="24"/>
          <w:szCs w:val="24"/>
        </w:rPr>
        <w:t>施工组织设计的内容</w:t>
      </w:r>
    </w:p>
    <w:p w14:paraId="4429A62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施工组织设计应包含以下内容：</w:t>
      </w:r>
    </w:p>
    <w:p w14:paraId="2C40FB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（1）施工方案； </w:t>
      </w:r>
    </w:p>
    <w:p w14:paraId="3EDEE4B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（2）施工现场平面布置图；</w:t>
      </w:r>
    </w:p>
    <w:p w14:paraId="17F2E73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（3）施工进度计划和保证措施； </w:t>
      </w:r>
    </w:p>
    <w:p w14:paraId="33520BB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（4）劳动力及材料供应计划；</w:t>
      </w:r>
    </w:p>
    <w:p w14:paraId="42EAEC6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（5）施工机械设备的选用；</w:t>
      </w:r>
    </w:p>
    <w:p w14:paraId="611C4DE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（6）质量保证体系及措施；</w:t>
      </w:r>
    </w:p>
    <w:p w14:paraId="7942CB0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（7）安全生产、文明施工措施；</w:t>
      </w:r>
    </w:p>
    <w:p w14:paraId="3798E2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（8）环境保护、成本控制措施；</w:t>
      </w:r>
    </w:p>
    <w:p w14:paraId="593E04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（9）合同当事人约定的其他内容。</w:t>
      </w:r>
    </w:p>
    <w:p w14:paraId="7AD90FA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7.1.2 </w:t>
      </w:r>
      <w:r>
        <w:rPr>
          <w:rFonts w:hint="eastAsia" w:ascii="华文中宋" w:hAnsi="华文中宋" w:eastAsia="华文中宋" w:cs="华文中宋"/>
          <w:color w:val="auto"/>
          <w:kern w:val="0"/>
          <w:sz w:val="24"/>
          <w:szCs w:val="24"/>
        </w:rPr>
        <w:t>施工组织设计的提交和修改</w:t>
      </w:r>
    </w:p>
    <w:p w14:paraId="22ACF9D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E1719F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施工进度计划的编制和修改按照第7.2款〔施工进度计划〕执行。</w:t>
      </w:r>
    </w:p>
    <w:p w14:paraId="002788A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1" w:name="_Toc375060761"/>
      <w:r>
        <w:rPr>
          <w:rFonts w:hint="eastAsia" w:ascii="华文中宋" w:hAnsi="华文中宋" w:eastAsia="华文中宋" w:cs="华文中宋"/>
          <w:b w:val="0"/>
          <w:color w:val="auto"/>
          <w:sz w:val="24"/>
          <w:szCs w:val="24"/>
        </w:rPr>
        <w:t>7</w:t>
      </w:r>
      <w:bookmarkStart w:id="272" w:name="_Toc337558769"/>
      <w:r>
        <w:rPr>
          <w:rFonts w:hint="eastAsia" w:ascii="华文中宋" w:hAnsi="华文中宋" w:eastAsia="华文中宋" w:cs="华文中宋"/>
          <w:b w:val="0"/>
          <w:color w:val="auto"/>
          <w:sz w:val="24"/>
          <w:szCs w:val="24"/>
        </w:rPr>
        <w:t>.2 施工进度计划</w:t>
      </w:r>
      <w:bookmarkEnd w:id="271"/>
    </w:p>
    <w:bookmarkEnd w:id="272"/>
    <w:p w14:paraId="61064CA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7.2.1 施工进度计划的编制</w:t>
      </w:r>
    </w:p>
    <w:p w14:paraId="1E9346D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267C1B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7.2.2 施工进度计划的修订</w:t>
      </w:r>
    </w:p>
    <w:p w14:paraId="655137F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B8F8A7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3" w:name="_Toc375060762"/>
      <w:r>
        <w:rPr>
          <w:rFonts w:hint="eastAsia" w:ascii="华文中宋" w:hAnsi="华文中宋" w:eastAsia="华文中宋" w:cs="华文中宋"/>
          <w:b w:val="0"/>
          <w:color w:val="auto"/>
          <w:sz w:val="24"/>
          <w:szCs w:val="24"/>
        </w:rPr>
        <w:t>7</w:t>
      </w:r>
      <w:bookmarkStart w:id="274" w:name="_Toc337558770"/>
      <w:r>
        <w:rPr>
          <w:rFonts w:hint="eastAsia" w:ascii="华文中宋" w:hAnsi="华文中宋" w:eastAsia="华文中宋" w:cs="华文中宋"/>
          <w:b w:val="0"/>
          <w:color w:val="auto"/>
          <w:sz w:val="24"/>
          <w:szCs w:val="24"/>
        </w:rPr>
        <w:t>.3 开工</w:t>
      </w:r>
      <w:bookmarkEnd w:id="273"/>
    </w:p>
    <w:p w14:paraId="4F6710E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7.3.1 开工准备</w:t>
      </w:r>
    </w:p>
    <w:p w14:paraId="02F2680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4CC493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除专用合同条款另有约定外，合同当事人应按约定完成开工准备工作。</w:t>
      </w:r>
    </w:p>
    <w:p w14:paraId="3572583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7.3.2 开工通知</w:t>
      </w:r>
    </w:p>
    <w:bookmarkEnd w:id="274"/>
    <w:p w14:paraId="5A52937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经发包人同意后，监理人发出的开工通知应符合法律规定。监理人应在计划开工日期7天前向承包人发出开工通知，工期自开工通知中载明的开工日期起算。</w:t>
      </w:r>
    </w:p>
    <w:p w14:paraId="5C51F71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5FC2D2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5" w:name="_Toc375060763"/>
      <w:r>
        <w:rPr>
          <w:rFonts w:hint="eastAsia" w:ascii="华文中宋" w:hAnsi="华文中宋" w:eastAsia="华文中宋" w:cs="华文中宋"/>
          <w:b w:val="0"/>
          <w:color w:val="auto"/>
          <w:sz w:val="24"/>
          <w:szCs w:val="24"/>
        </w:rPr>
        <w:t>7.4测量放线</w:t>
      </w:r>
      <w:bookmarkEnd w:id="275"/>
    </w:p>
    <w:p w14:paraId="3D59322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85088C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5F18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750AE1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施工过程中对施工现场内水准点等测量标志物的保护工作由承包人负责。</w:t>
      </w:r>
    </w:p>
    <w:p w14:paraId="08DF182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6" w:name="_Toc375060764"/>
      <w:r>
        <w:rPr>
          <w:rFonts w:hint="eastAsia" w:ascii="华文中宋" w:hAnsi="华文中宋" w:eastAsia="华文中宋" w:cs="华文中宋"/>
          <w:b w:val="0"/>
          <w:color w:val="auto"/>
          <w:sz w:val="24"/>
          <w:szCs w:val="24"/>
        </w:rPr>
        <w:t>7</w:t>
      </w:r>
      <w:bookmarkEnd w:id="269"/>
      <w:bookmarkEnd w:id="270"/>
      <w:bookmarkStart w:id="277" w:name="_Toc296503073"/>
      <w:bookmarkStart w:id="278" w:name="_Toc337558772"/>
      <w:bookmarkStart w:id="279" w:name="_Toc296346574"/>
      <w:r>
        <w:rPr>
          <w:rFonts w:hint="eastAsia" w:ascii="华文中宋" w:hAnsi="华文中宋" w:eastAsia="华文中宋" w:cs="华文中宋"/>
          <w:b w:val="0"/>
          <w:color w:val="auto"/>
          <w:sz w:val="24"/>
          <w:szCs w:val="24"/>
        </w:rPr>
        <w:t>.5 工期延误</w:t>
      </w:r>
      <w:bookmarkEnd w:id="276"/>
    </w:p>
    <w:bookmarkEnd w:id="277"/>
    <w:bookmarkEnd w:id="278"/>
    <w:bookmarkEnd w:id="279"/>
    <w:p w14:paraId="02E35CE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7.5.1 因发包人原因导致工期延误</w:t>
      </w:r>
    </w:p>
    <w:p w14:paraId="2F12FC1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在合同履行过程中，因下列情况导致工期延误和（或）费用增加的，由发包人承担由此延误的工期和（或）增加的费用，且发包人应支付承包人合理的利润： </w:t>
      </w:r>
    </w:p>
    <w:p w14:paraId="2978A1A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（1）发包人未能按合同约定提供图纸或所提供图纸不符合合同约定的；</w:t>
      </w:r>
    </w:p>
    <w:p w14:paraId="5A28BFF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（2）发包人未能按合同约定提供施工现场、施工条件、基础资料、许可、批准等开工条件的；</w:t>
      </w:r>
    </w:p>
    <w:p w14:paraId="354F592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（3）发包人提供的测量基准点、基准线和水准点及其书面资料存在错误或疏漏的；</w:t>
      </w:r>
    </w:p>
    <w:p w14:paraId="0A31224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（4）发包人未能在计划开工日期之日起7天内同意下达开工通知的；</w:t>
      </w:r>
    </w:p>
    <w:p w14:paraId="510042B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（5）发包人未能按合同约定日期支付工程预付款、进度款或竣工结算款的；</w:t>
      </w:r>
    </w:p>
    <w:p w14:paraId="3967AF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（6）监理人未按合同约定发出指示、批准等文件的；</w:t>
      </w:r>
    </w:p>
    <w:p w14:paraId="5AC37B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（7）专用合同条款中约定的其他情形。</w:t>
      </w:r>
    </w:p>
    <w:p w14:paraId="701D906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B54C5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7.5.2 因承包人原因导致工期延误</w:t>
      </w:r>
    </w:p>
    <w:p w14:paraId="4E2132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bookmarkStart w:id="280" w:name="_Toc296346577"/>
      <w:bookmarkStart w:id="281" w:name="_Toc296503076"/>
      <w:r>
        <w:rPr>
          <w:rFonts w:hint="eastAsia" w:ascii="华文中宋" w:hAnsi="华文中宋" w:eastAsia="华文中宋" w:cs="华文中宋"/>
          <w:color w:val="auto"/>
          <w:kern w:val="0"/>
          <w:sz w:val="24"/>
          <w:szCs w:val="24"/>
        </w:rPr>
        <w:t>因</w:t>
      </w:r>
      <w:bookmarkEnd w:id="280"/>
      <w:bookmarkEnd w:id="281"/>
      <w:r>
        <w:rPr>
          <w:rFonts w:hint="eastAsia" w:ascii="华文中宋" w:hAnsi="华文中宋" w:eastAsia="华文中宋" w:cs="华文中宋"/>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1FDD45D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82" w:name="_Toc375060765"/>
      <w:r>
        <w:rPr>
          <w:rFonts w:hint="eastAsia" w:ascii="华文中宋" w:hAnsi="华文中宋" w:eastAsia="华文中宋" w:cs="华文中宋"/>
          <w:b w:val="0"/>
          <w:color w:val="auto"/>
          <w:sz w:val="24"/>
          <w:szCs w:val="24"/>
        </w:rPr>
        <w:t>7</w:t>
      </w:r>
      <w:bookmarkStart w:id="283" w:name="_Toc296346575"/>
      <w:bookmarkStart w:id="284" w:name="_Toc337558773"/>
      <w:bookmarkStart w:id="285" w:name="_Toc296503074"/>
      <w:bookmarkStart w:id="286" w:name="_Toc296503077"/>
      <w:bookmarkStart w:id="287" w:name="_Toc296346578"/>
      <w:r>
        <w:rPr>
          <w:rFonts w:hint="eastAsia" w:ascii="华文中宋" w:hAnsi="华文中宋" w:eastAsia="华文中宋" w:cs="华文中宋"/>
          <w:b w:val="0"/>
          <w:color w:val="auto"/>
          <w:sz w:val="24"/>
          <w:szCs w:val="24"/>
        </w:rPr>
        <w:t>.6 不利物质条件</w:t>
      </w:r>
      <w:bookmarkEnd w:id="282"/>
    </w:p>
    <w:bookmarkEnd w:id="283"/>
    <w:bookmarkEnd w:id="284"/>
    <w:bookmarkEnd w:id="285"/>
    <w:p w14:paraId="026B40B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26410A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C47691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88" w:name="_Toc375060766"/>
      <w:r>
        <w:rPr>
          <w:rFonts w:hint="eastAsia" w:ascii="华文中宋" w:hAnsi="华文中宋" w:eastAsia="华文中宋" w:cs="华文中宋"/>
          <w:b w:val="0"/>
          <w:color w:val="auto"/>
          <w:sz w:val="24"/>
          <w:szCs w:val="24"/>
        </w:rPr>
        <w:t>7</w:t>
      </w:r>
      <w:bookmarkStart w:id="289" w:name="_Toc296346576"/>
      <w:bookmarkStart w:id="290" w:name="_Toc337558774"/>
      <w:bookmarkStart w:id="291" w:name="_Toc296503075"/>
      <w:r>
        <w:rPr>
          <w:rFonts w:hint="eastAsia" w:ascii="华文中宋" w:hAnsi="华文中宋" w:eastAsia="华文中宋" w:cs="华文中宋"/>
          <w:b w:val="0"/>
          <w:color w:val="auto"/>
          <w:sz w:val="24"/>
          <w:szCs w:val="24"/>
        </w:rPr>
        <w:t>.7 异常恶劣的气候条件</w:t>
      </w:r>
      <w:bookmarkEnd w:id="288"/>
    </w:p>
    <w:bookmarkEnd w:id="289"/>
    <w:bookmarkEnd w:id="290"/>
    <w:bookmarkEnd w:id="291"/>
    <w:p w14:paraId="00178F2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8BDAB0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21A51E1">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bCs/>
          <w:color w:val="auto"/>
          <w:sz w:val="24"/>
          <w:szCs w:val="24"/>
        </w:rPr>
      </w:pPr>
      <w:bookmarkStart w:id="292" w:name="_Toc375060767"/>
      <w:bookmarkStart w:id="293" w:name="_Toc14293"/>
      <w:bookmarkStart w:id="294" w:name="_Toc375060648"/>
      <w:r>
        <w:rPr>
          <w:rFonts w:hint="eastAsia" w:ascii="华文中宋" w:hAnsi="华文中宋" w:eastAsia="华文中宋" w:cs="华文中宋"/>
          <w:bCs/>
          <w:color w:val="auto"/>
          <w:sz w:val="24"/>
          <w:szCs w:val="24"/>
        </w:rPr>
        <w:t>7</w:t>
      </w:r>
      <w:bookmarkStart w:id="295" w:name="_Toc337558775"/>
      <w:r>
        <w:rPr>
          <w:rFonts w:hint="eastAsia" w:ascii="华文中宋" w:hAnsi="华文中宋" w:eastAsia="华文中宋" w:cs="华文中宋"/>
          <w:bCs/>
          <w:color w:val="auto"/>
          <w:sz w:val="24"/>
          <w:szCs w:val="24"/>
        </w:rPr>
        <w:t>.8 暂停施工</w:t>
      </w:r>
      <w:bookmarkEnd w:id="292"/>
      <w:bookmarkEnd w:id="293"/>
      <w:bookmarkEnd w:id="294"/>
    </w:p>
    <w:bookmarkEnd w:id="286"/>
    <w:bookmarkEnd w:id="287"/>
    <w:bookmarkEnd w:id="295"/>
    <w:p w14:paraId="51A9C6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7.8.1发包人原因引起的暂停施工</w:t>
      </w:r>
    </w:p>
    <w:p w14:paraId="1399EA3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因发包人原因引起暂停施工的，监理人经发包人同意后，应及时下达暂停施工指示。情况紧急且监理人未及时下达暂停施工指示的，按照第7.8.4项〔紧急情况下的暂停施工〕执行。</w:t>
      </w:r>
    </w:p>
    <w:p w14:paraId="616E98C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因发包人原因引起的暂停施工，发包人应承担由此增加的费用和（或）延误的工期，并支付承包人合理的利润。</w:t>
      </w:r>
    </w:p>
    <w:p w14:paraId="678521F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7.8.2 承包人原因引起的暂停施工</w:t>
      </w:r>
    </w:p>
    <w:p w14:paraId="460DB51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35DC22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7.8.3 指示暂停施工</w:t>
      </w:r>
    </w:p>
    <w:p w14:paraId="600C2F8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监理人认为有必要时，并经发包人批准后，可向承包人作出暂停施工的指示，承包人应按监理人指示暂停施工。</w:t>
      </w:r>
    </w:p>
    <w:p w14:paraId="0D0EEE5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7.8.4 紧急情况下的暂停施工</w:t>
      </w:r>
    </w:p>
    <w:p w14:paraId="39E455D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363026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7.8.5 暂停施工后的复工</w:t>
      </w:r>
    </w:p>
    <w:p w14:paraId="2BC78D7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D7DA81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承包人无故拖延和拒绝复工的，承包人承担由此增加的费用和（或）延误的工期；因发包人原因无法按时复工的，按照第7.5.1项〔因发包人原因导致工期延误〕约定办理。</w:t>
      </w:r>
    </w:p>
    <w:p w14:paraId="313ADB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7.8.6 暂停施工持续56天以上</w:t>
      </w:r>
    </w:p>
    <w:p w14:paraId="7AA3EF05">
      <w:pPr>
        <w:pageBreakBefore w:val="0"/>
        <w:kinsoku/>
        <w:wordWrap/>
        <w:overflowPunct/>
        <w:topLinePunct w:val="0"/>
        <w:bidi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81EA8DF">
      <w:pPr>
        <w:pageBreakBefore w:val="0"/>
        <w:kinsoku/>
        <w:wordWrap/>
        <w:overflowPunct/>
        <w:topLinePunct w:val="0"/>
        <w:bidi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28AF21F">
      <w:pPr>
        <w:pageBreakBefore w:val="0"/>
        <w:kinsoku/>
        <w:wordWrap/>
        <w:overflowPunct/>
        <w:topLinePunct w:val="0"/>
        <w:bidi w:val="0"/>
        <w:snapToGrid/>
        <w:spacing w:line="360" w:lineRule="auto"/>
        <w:ind w:left="16"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7.8.7 暂停施工期间的工程照管</w:t>
      </w:r>
    </w:p>
    <w:p w14:paraId="5D47DD7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暂停施工期间，承包人应负责妥善照管工程并提供安全保障，由此增加的费用由责任方承担。</w:t>
      </w:r>
    </w:p>
    <w:p w14:paraId="47AF5A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7.8.8 暂停施工的措施</w:t>
      </w:r>
    </w:p>
    <w:p w14:paraId="44D68A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暂停施工期间，发包人和承包人均应采取必要的措施确保工程质量及安全，防止因暂停施工扩大损失。</w:t>
      </w:r>
    </w:p>
    <w:p w14:paraId="420172D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96" w:name="_Toc375060768"/>
      <w:r>
        <w:rPr>
          <w:rFonts w:hint="eastAsia" w:ascii="华文中宋" w:hAnsi="华文中宋" w:eastAsia="华文中宋" w:cs="华文中宋"/>
          <w:b w:val="0"/>
          <w:color w:val="auto"/>
          <w:sz w:val="24"/>
          <w:szCs w:val="24"/>
        </w:rPr>
        <w:t>7.9提前竣工</w:t>
      </w:r>
      <w:bookmarkEnd w:id="296"/>
    </w:p>
    <w:p w14:paraId="695DD81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6872D6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7.9.2 发包人要求承包人提前竣工，或承包人提出提前竣工的建议能够给发包人带来效益的，合同当事人可以在专用合同条款中约定提前竣工的奖励。</w:t>
      </w:r>
    </w:p>
    <w:p w14:paraId="140E5C6F">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97" w:name="_Toc375060769"/>
      <w:r>
        <w:rPr>
          <w:rFonts w:hint="eastAsia" w:ascii="华文中宋" w:hAnsi="华文中宋" w:eastAsia="华文中宋" w:cs="华文中宋"/>
          <w:b w:val="0"/>
          <w:color w:val="auto"/>
          <w:sz w:val="24"/>
          <w:szCs w:val="24"/>
        </w:rPr>
        <w:t>8</w:t>
      </w:r>
      <w:bookmarkStart w:id="298" w:name="_Toc296503058"/>
      <w:bookmarkStart w:id="299" w:name="_Toc296346559"/>
      <w:bookmarkStart w:id="300" w:name="_Toc337558776"/>
      <w:r>
        <w:rPr>
          <w:rFonts w:hint="eastAsia" w:ascii="华文中宋" w:hAnsi="华文中宋" w:eastAsia="华文中宋" w:cs="华文中宋"/>
          <w:b w:val="0"/>
          <w:color w:val="auto"/>
          <w:sz w:val="24"/>
          <w:szCs w:val="24"/>
        </w:rPr>
        <w:t>. 材料与设备</w:t>
      </w:r>
      <w:bookmarkEnd w:id="297"/>
    </w:p>
    <w:bookmarkEnd w:id="298"/>
    <w:bookmarkEnd w:id="299"/>
    <w:bookmarkEnd w:id="300"/>
    <w:p w14:paraId="70756C3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01" w:name="_Toc375060770"/>
      <w:r>
        <w:rPr>
          <w:rFonts w:hint="eastAsia" w:ascii="华文中宋" w:hAnsi="华文中宋" w:eastAsia="华文中宋" w:cs="华文中宋"/>
          <w:b w:val="0"/>
          <w:color w:val="auto"/>
          <w:sz w:val="24"/>
          <w:szCs w:val="24"/>
        </w:rPr>
        <w:t>8</w:t>
      </w:r>
      <w:bookmarkStart w:id="302" w:name="_Toc296503059"/>
      <w:bookmarkStart w:id="303" w:name="_Toc296346560"/>
      <w:bookmarkStart w:id="304" w:name="_Toc337558777"/>
      <w:bookmarkStart w:id="305" w:name="_Toc468936960"/>
      <w:r>
        <w:rPr>
          <w:rFonts w:hint="eastAsia" w:ascii="华文中宋" w:hAnsi="华文中宋" w:eastAsia="华文中宋" w:cs="华文中宋"/>
          <w:b w:val="0"/>
          <w:color w:val="auto"/>
          <w:sz w:val="24"/>
          <w:szCs w:val="24"/>
        </w:rPr>
        <w:t>.1发包人供应材料与工程设备</w:t>
      </w:r>
      <w:bookmarkEnd w:id="301"/>
    </w:p>
    <w:bookmarkEnd w:id="302"/>
    <w:bookmarkEnd w:id="303"/>
    <w:bookmarkEnd w:id="304"/>
    <w:p w14:paraId="5F56A57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6677030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870DA5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color w:val="auto"/>
          <w:sz w:val="24"/>
          <w:szCs w:val="24"/>
        </w:rPr>
      </w:pPr>
      <w:bookmarkStart w:id="306" w:name="_Toc375060771"/>
      <w:r>
        <w:rPr>
          <w:rFonts w:hint="eastAsia" w:ascii="华文中宋" w:hAnsi="华文中宋" w:eastAsia="华文中宋" w:cs="华文中宋"/>
          <w:b w:val="0"/>
          <w:color w:val="auto"/>
          <w:sz w:val="24"/>
          <w:szCs w:val="24"/>
        </w:rPr>
        <w:t>8</w:t>
      </w:r>
      <w:bookmarkStart w:id="307" w:name="_Toc296503060"/>
      <w:bookmarkStart w:id="308" w:name="_Toc296346561"/>
      <w:bookmarkStart w:id="309" w:name="_Toc337558778"/>
      <w:r>
        <w:rPr>
          <w:rFonts w:hint="eastAsia" w:ascii="华文中宋" w:hAnsi="华文中宋" w:eastAsia="华文中宋" w:cs="华文中宋"/>
          <w:b w:val="0"/>
          <w:color w:val="auto"/>
          <w:sz w:val="24"/>
          <w:szCs w:val="24"/>
        </w:rPr>
        <w:t>.2承包人采购材料与工程设备</w:t>
      </w:r>
      <w:bookmarkEnd w:id="306"/>
    </w:p>
    <w:bookmarkEnd w:id="307"/>
    <w:bookmarkEnd w:id="308"/>
    <w:bookmarkEnd w:id="309"/>
    <w:p w14:paraId="7AF7BC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D586C3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10" w:name="_Toc375060772"/>
      <w:r>
        <w:rPr>
          <w:rFonts w:hint="eastAsia" w:ascii="华文中宋" w:hAnsi="华文中宋" w:eastAsia="华文中宋" w:cs="华文中宋"/>
          <w:b w:val="0"/>
          <w:color w:val="auto"/>
          <w:sz w:val="24"/>
          <w:szCs w:val="24"/>
        </w:rPr>
        <w:t>8</w:t>
      </w:r>
      <w:bookmarkStart w:id="311" w:name="_Toc296503061"/>
      <w:bookmarkStart w:id="312" w:name="_Toc296346562"/>
      <w:bookmarkStart w:id="313" w:name="_Toc337558779"/>
      <w:r>
        <w:rPr>
          <w:rFonts w:hint="eastAsia" w:ascii="华文中宋" w:hAnsi="华文中宋" w:eastAsia="华文中宋" w:cs="华文中宋"/>
          <w:b w:val="0"/>
          <w:color w:val="auto"/>
          <w:sz w:val="24"/>
          <w:szCs w:val="24"/>
        </w:rPr>
        <w:t>.3材料与工程设备的接收与拒收</w:t>
      </w:r>
      <w:bookmarkEnd w:id="310"/>
    </w:p>
    <w:bookmarkEnd w:id="311"/>
    <w:bookmarkEnd w:id="312"/>
    <w:bookmarkEnd w:id="313"/>
    <w:p w14:paraId="5CB68AB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BE06A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发包人提供的材料和工程设备的规格、数量或质量不符合合同约定的，或因发包人原因导致交货日期延误或交货地点变更等情况的，按照第16.1款〔发包人违约〕约定办理。</w:t>
      </w:r>
    </w:p>
    <w:p w14:paraId="6999F4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8.3.2 承包人采购的材料和工程设备，应保证产品质量合格，承包人应在材料和工程设备到货前24小时通知监理人检验。承</w:t>
      </w:r>
      <w:bookmarkStart w:id="314" w:name="_Toc250655469"/>
      <w:r>
        <w:rPr>
          <w:rFonts w:hint="eastAsia" w:ascii="华文中宋" w:hAnsi="华文中宋" w:eastAsia="华文中宋" w:cs="华文中宋"/>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314"/>
    <w:p w14:paraId="431E0870">
      <w:pPr>
        <w:pageBreakBefore w:val="0"/>
        <w:kinsoku/>
        <w:wordWrap/>
        <w:overflowPunct/>
        <w:topLinePunct w:val="0"/>
        <w:autoSpaceDE w:val="0"/>
        <w:autoSpaceDN w:val="0"/>
        <w:bidi w:val="0"/>
        <w:adjustRightInd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4B248D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15" w:name="_Toc375060773"/>
      <w:r>
        <w:rPr>
          <w:rFonts w:hint="eastAsia" w:ascii="华文中宋" w:hAnsi="华文中宋" w:eastAsia="华文中宋" w:cs="华文中宋"/>
          <w:b w:val="0"/>
          <w:color w:val="auto"/>
          <w:sz w:val="24"/>
          <w:szCs w:val="24"/>
        </w:rPr>
        <w:t>8</w:t>
      </w:r>
      <w:bookmarkStart w:id="316" w:name="_Toc296346563"/>
      <w:bookmarkStart w:id="317" w:name="_Toc296503062"/>
      <w:bookmarkStart w:id="318" w:name="_Toc337558780"/>
      <w:r>
        <w:rPr>
          <w:rFonts w:hint="eastAsia" w:ascii="华文中宋" w:hAnsi="华文中宋" w:eastAsia="华文中宋" w:cs="华文中宋"/>
          <w:b w:val="0"/>
          <w:color w:val="auto"/>
          <w:sz w:val="24"/>
          <w:szCs w:val="24"/>
        </w:rPr>
        <w:t>.4材料与工程设备的保管与使用</w:t>
      </w:r>
      <w:bookmarkEnd w:id="315"/>
    </w:p>
    <w:bookmarkEnd w:id="316"/>
    <w:bookmarkEnd w:id="317"/>
    <w:bookmarkEnd w:id="318"/>
    <w:p w14:paraId="7DE927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8.4.1 发包人供应</w:t>
      </w:r>
      <w:r>
        <w:rPr>
          <w:rFonts w:hint="eastAsia" w:ascii="华文中宋" w:hAnsi="华文中宋" w:eastAsia="华文中宋" w:cs="华文中宋"/>
          <w:color w:val="auto"/>
          <w:sz w:val="24"/>
          <w:szCs w:val="24"/>
        </w:rPr>
        <w:t>材料与</w:t>
      </w:r>
      <w:r>
        <w:rPr>
          <w:rFonts w:hint="eastAsia" w:ascii="华文中宋" w:hAnsi="华文中宋" w:eastAsia="华文中宋" w:cs="华文中宋"/>
          <w:color w:val="auto"/>
          <w:kern w:val="0"/>
          <w:sz w:val="24"/>
          <w:szCs w:val="24"/>
        </w:rPr>
        <w:t>工程</w:t>
      </w:r>
      <w:r>
        <w:rPr>
          <w:rFonts w:hint="eastAsia" w:ascii="华文中宋" w:hAnsi="华文中宋" w:eastAsia="华文中宋" w:cs="华文中宋"/>
          <w:color w:val="auto"/>
          <w:sz w:val="24"/>
          <w:szCs w:val="24"/>
        </w:rPr>
        <w:t>设备的保管与使用</w:t>
      </w:r>
    </w:p>
    <w:p w14:paraId="51B18DB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64B74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发包人供应的材料和工程设备使用前，由承包人负责检验，检验费用由发包人承担，不合格的不得使用。</w:t>
      </w:r>
    </w:p>
    <w:p w14:paraId="2A75BCF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8.4.2 承包人采购</w:t>
      </w:r>
      <w:r>
        <w:rPr>
          <w:rFonts w:hint="eastAsia" w:ascii="华文中宋" w:hAnsi="华文中宋" w:eastAsia="华文中宋" w:cs="华文中宋"/>
          <w:color w:val="auto"/>
          <w:sz w:val="24"/>
          <w:szCs w:val="24"/>
        </w:rPr>
        <w:t>材料与</w:t>
      </w:r>
      <w:r>
        <w:rPr>
          <w:rFonts w:hint="eastAsia" w:ascii="华文中宋" w:hAnsi="华文中宋" w:eastAsia="华文中宋" w:cs="华文中宋"/>
          <w:color w:val="auto"/>
          <w:kern w:val="0"/>
          <w:sz w:val="24"/>
          <w:szCs w:val="24"/>
        </w:rPr>
        <w:t>工程</w:t>
      </w:r>
      <w:r>
        <w:rPr>
          <w:rFonts w:hint="eastAsia" w:ascii="华文中宋" w:hAnsi="华文中宋" w:eastAsia="华文中宋" w:cs="华文中宋"/>
          <w:color w:val="auto"/>
          <w:sz w:val="24"/>
          <w:szCs w:val="24"/>
        </w:rPr>
        <w:t>设备的保管与使用</w:t>
      </w:r>
    </w:p>
    <w:p w14:paraId="2CD0ECD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049CB6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68B03B2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19" w:name="_Toc375060774"/>
      <w:r>
        <w:rPr>
          <w:rFonts w:hint="eastAsia" w:ascii="华文中宋" w:hAnsi="华文中宋" w:eastAsia="华文中宋" w:cs="华文中宋"/>
          <w:b w:val="0"/>
          <w:color w:val="auto"/>
          <w:sz w:val="24"/>
          <w:szCs w:val="24"/>
        </w:rPr>
        <w:t>8.5禁止使用不合格的材料和工程设备</w:t>
      </w:r>
      <w:bookmarkEnd w:id="319"/>
    </w:p>
    <w:p w14:paraId="6E2F9F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69132B5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8.5.2 监理人发现承包人使用了不合格的材料和工程设备，承包人应按照监理人的指示立即改正，并禁止在工程中继续使用不合格的材料和工程设备。</w:t>
      </w:r>
    </w:p>
    <w:p w14:paraId="55A7A05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8.5.3 发包人提供的材料或工程设备不符合合同要求的，承包人有权拒绝，并可要求发包人更换，由此增加的费用和（或）延误的工期由发包人承担，并支付承包人合理的利润。</w:t>
      </w:r>
    </w:p>
    <w:p w14:paraId="23B5116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0" w:name="_Toc375060775"/>
      <w:r>
        <w:rPr>
          <w:rFonts w:hint="eastAsia" w:ascii="华文中宋" w:hAnsi="华文中宋" w:eastAsia="华文中宋" w:cs="华文中宋"/>
          <w:b w:val="0"/>
          <w:color w:val="auto"/>
          <w:sz w:val="24"/>
          <w:szCs w:val="24"/>
        </w:rPr>
        <w:t>8.6 样品</w:t>
      </w:r>
      <w:bookmarkEnd w:id="320"/>
    </w:p>
    <w:p w14:paraId="5E6825B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8.6.1</w:t>
      </w:r>
      <w:r>
        <w:rPr>
          <w:rFonts w:hint="eastAsia" w:ascii="华文中宋" w:hAnsi="华文中宋" w:eastAsia="华文中宋" w:cs="华文中宋"/>
          <w:color w:val="auto"/>
          <w:kern w:val="0"/>
          <w:sz w:val="24"/>
          <w:szCs w:val="24"/>
        </w:rPr>
        <w:tab/>
      </w:r>
      <w:r>
        <w:rPr>
          <w:rFonts w:hint="eastAsia" w:ascii="华文中宋" w:hAnsi="华文中宋" w:eastAsia="华文中宋" w:cs="华文中宋"/>
          <w:color w:val="auto"/>
          <w:kern w:val="0"/>
          <w:sz w:val="24"/>
          <w:szCs w:val="24"/>
        </w:rPr>
        <w:t>样品的报送与封存</w:t>
      </w:r>
    </w:p>
    <w:p w14:paraId="126FBA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需要承包人报送样品的材料或工程设备，样品的种类、名称、规格、数量等要求均应在专用合同条款中约定。样品的报送程序如下：</w:t>
      </w:r>
    </w:p>
    <w:p w14:paraId="595AA9B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19CE43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6DD86B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（3）经发包人和监理人审批确认的样品应按约定的方法封样，封存的样品作为检验工程相关部分的标准之一。承包人在施工过程中不得使用与样品不符的材料或工程设备。</w:t>
      </w:r>
    </w:p>
    <w:p w14:paraId="7969D80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E4FD9A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8.6.2 样品的保管</w:t>
      </w:r>
    </w:p>
    <w:p w14:paraId="446C34D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经批准的样品应由监理人负责封存于现场，承包人应在现场为保存样品提供适当和固定的场所并保持适当和良好的存储环境条件。</w:t>
      </w:r>
    </w:p>
    <w:p w14:paraId="47A5ED5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1" w:name="_Toc375060776"/>
      <w:r>
        <w:rPr>
          <w:rFonts w:hint="eastAsia" w:ascii="华文中宋" w:hAnsi="华文中宋" w:eastAsia="华文中宋" w:cs="华文中宋"/>
          <w:b w:val="0"/>
          <w:color w:val="auto"/>
          <w:sz w:val="24"/>
          <w:szCs w:val="24"/>
        </w:rPr>
        <w:t>8.7材料与工程设备的替代</w:t>
      </w:r>
      <w:bookmarkEnd w:id="321"/>
    </w:p>
    <w:p w14:paraId="4E6142E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8.7.1 出现下列情况需要使用替代材料和工程设备的，承包人应按照第8.7.2项约定的程序执行：</w:t>
      </w:r>
    </w:p>
    <w:p w14:paraId="549AAD1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（1）基准日期后生效的法律规定禁止使用的；</w:t>
      </w:r>
    </w:p>
    <w:p w14:paraId="1167CC2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（2）发包人要求使用替代品的；</w:t>
      </w:r>
    </w:p>
    <w:p w14:paraId="3EDAEE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（3）因其他原因必须使用替代品的。</w:t>
      </w:r>
    </w:p>
    <w:p w14:paraId="590672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8.7.2 承包人应在使用替代材料和工程设备28天前书面通知监理人，并附下列文件：</w:t>
      </w:r>
    </w:p>
    <w:p w14:paraId="74722A3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（1）被替代的材料和工程设备的名称、数量、规格、型号、品牌、性能、价格及其他相关资料；</w:t>
      </w:r>
    </w:p>
    <w:p w14:paraId="1580281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（2）替代品的名称、数量、规格、型号、品牌、性能、价格及其他相关资料；</w:t>
      </w:r>
    </w:p>
    <w:p w14:paraId="3B5B8AD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（3）替代品与被替代产品之间的差异以及使用替代品可能对工程产生的影响；</w:t>
      </w:r>
    </w:p>
    <w:p w14:paraId="2774460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（4）替代品与被替代产品的价格差异；</w:t>
      </w:r>
    </w:p>
    <w:p w14:paraId="06F78B8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（5）使用替代品的理由和原因说明；</w:t>
      </w:r>
    </w:p>
    <w:p w14:paraId="0568716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（6）监理人要求的其他文件。</w:t>
      </w:r>
    </w:p>
    <w:p w14:paraId="290C4C4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监理人应在收到通知后14天内向承包人发出经发包人签认的书面指示；监理人逾期发出书面指示的，视为发包人和监理人同意使用替代品。</w:t>
      </w:r>
    </w:p>
    <w:p w14:paraId="4AB781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528832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2" w:name="_Toc375060777"/>
      <w:r>
        <w:rPr>
          <w:rFonts w:hint="eastAsia" w:ascii="华文中宋" w:hAnsi="华文中宋" w:eastAsia="华文中宋" w:cs="华文中宋"/>
          <w:b w:val="0"/>
          <w:color w:val="auto"/>
          <w:sz w:val="24"/>
          <w:szCs w:val="24"/>
        </w:rPr>
        <w:t>8.8施工设备和临时设施</w:t>
      </w:r>
      <w:bookmarkEnd w:id="322"/>
    </w:p>
    <w:p w14:paraId="5D76FA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8.8.1 承包人提供的施工设备和临时设施</w:t>
      </w:r>
    </w:p>
    <w:p w14:paraId="652B485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5AD4CF4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除专用合同条款另有约定外，承包人应自行承担修建临时设施的费用，需要临时占地的，应由发包人办理申请手续并承担相应费用。</w:t>
      </w:r>
    </w:p>
    <w:p w14:paraId="531AD2F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8.8.2发包人提供的施工设备和临时设施</w:t>
      </w:r>
    </w:p>
    <w:p w14:paraId="43931FA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发包人提供的施工设备或临时设施在专用合同条款中约定。</w:t>
      </w:r>
    </w:p>
    <w:p w14:paraId="162F7CE4">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color w:val="auto"/>
          <w:kern w:val="0"/>
          <w:sz w:val="24"/>
          <w:szCs w:val="24"/>
        </w:rPr>
      </w:pPr>
      <w:bookmarkStart w:id="323" w:name="_Toc30643"/>
      <w:bookmarkStart w:id="324" w:name="_Toc375060649"/>
      <w:bookmarkStart w:id="325" w:name="_Toc375060778"/>
      <w:r>
        <w:rPr>
          <w:rFonts w:hint="eastAsia" w:ascii="华文中宋" w:hAnsi="华文中宋" w:eastAsia="华文中宋" w:cs="华文中宋"/>
          <w:color w:val="auto"/>
          <w:kern w:val="0"/>
          <w:sz w:val="24"/>
          <w:szCs w:val="24"/>
        </w:rPr>
        <w:t>8.8.3要求承包人增加或更换施工设备</w:t>
      </w:r>
      <w:bookmarkEnd w:id="323"/>
      <w:bookmarkEnd w:id="324"/>
      <w:bookmarkEnd w:id="325"/>
    </w:p>
    <w:p w14:paraId="336105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49CF006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6" w:name="_Toc375060779"/>
      <w:r>
        <w:rPr>
          <w:rFonts w:hint="eastAsia" w:ascii="华文中宋" w:hAnsi="华文中宋" w:eastAsia="华文中宋" w:cs="华文中宋"/>
          <w:b w:val="0"/>
          <w:color w:val="auto"/>
          <w:sz w:val="24"/>
          <w:szCs w:val="24"/>
        </w:rPr>
        <w:t>8</w:t>
      </w:r>
      <w:bookmarkStart w:id="327" w:name="_Toc337558781"/>
      <w:bookmarkStart w:id="328" w:name="_Toc296503063"/>
      <w:bookmarkStart w:id="329" w:name="_Toc296346564"/>
      <w:r>
        <w:rPr>
          <w:rFonts w:hint="eastAsia" w:ascii="华文中宋" w:hAnsi="华文中宋" w:eastAsia="华文中宋" w:cs="华文中宋"/>
          <w:b w:val="0"/>
          <w:color w:val="auto"/>
          <w:sz w:val="24"/>
          <w:szCs w:val="24"/>
        </w:rPr>
        <w:t>.9材料与设备专用要求</w:t>
      </w:r>
      <w:bookmarkEnd w:id="326"/>
    </w:p>
    <w:bookmarkEnd w:id="327"/>
    <w:bookmarkEnd w:id="328"/>
    <w:bookmarkEnd w:id="329"/>
    <w:p w14:paraId="6F280A7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05"/>
      <w:r>
        <w:rPr>
          <w:rFonts w:hint="eastAsia" w:ascii="华文中宋" w:hAnsi="华文中宋" w:eastAsia="华文中宋" w:cs="华文中宋"/>
          <w:color w:val="auto"/>
          <w:kern w:val="0"/>
          <w:sz w:val="24"/>
          <w:szCs w:val="24"/>
        </w:rPr>
        <w:t>经发包人批准，承包人可以根据施工进度计划撤走闲置的施工设备和其他物品。</w:t>
      </w:r>
    </w:p>
    <w:p w14:paraId="325CCA72">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30" w:name="_Toc375060780"/>
      <w:r>
        <w:rPr>
          <w:rFonts w:hint="eastAsia" w:ascii="华文中宋" w:hAnsi="华文中宋" w:eastAsia="华文中宋" w:cs="华文中宋"/>
          <w:b w:val="0"/>
          <w:color w:val="auto"/>
          <w:sz w:val="24"/>
          <w:szCs w:val="24"/>
        </w:rPr>
        <w:t>9</w:t>
      </w:r>
      <w:bookmarkStart w:id="331" w:name="_Toc337558782"/>
      <w:bookmarkStart w:id="332" w:name="_Toc296346584"/>
      <w:bookmarkStart w:id="333" w:name="_Toc296503083"/>
      <w:r>
        <w:rPr>
          <w:rFonts w:hint="eastAsia" w:ascii="华文中宋" w:hAnsi="华文中宋" w:eastAsia="华文中宋" w:cs="华文中宋"/>
          <w:b w:val="0"/>
          <w:color w:val="auto"/>
          <w:sz w:val="24"/>
          <w:szCs w:val="24"/>
        </w:rPr>
        <w:t>. 试验与检验</w:t>
      </w:r>
      <w:bookmarkEnd w:id="330"/>
    </w:p>
    <w:bookmarkEnd w:id="331"/>
    <w:p w14:paraId="70ABA17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34" w:name="_Toc375060781"/>
      <w:r>
        <w:rPr>
          <w:rFonts w:hint="eastAsia" w:ascii="华文中宋" w:hAnsi="华文中宋" w:eastAsia="华文中宋" w:cs="华文中宋"/>
          <w:b w:val="0"/>
          <w:color w:val="auto"/>
          <w:sz w:val="24"/>
          <w:szCs w:val="24"/>
        </w:rPr>
        <w:t>9</w:t>
      </w:r>
      <w:bookmarkStart w:id="335" w:name="_Toc337558783"/>
      <w:r>
        <w:rPr>
          <w:rFonts w:hint="eastAsia" w:ascii="华文中宋" w:hAnsi="华文中宋" w:eastAsia="华文中宋" w:cs="华文中宋"/>
          <w:b w:val="0"/>
          <w:color w:val="auto"/>
          <w:sz w:val="24"/>
          <w:szCs w:val="24"/>
        </w:rPr>
        <w:t>.1试验设备与试验人员</w:t>
      </w:r>
      <w:bookmarkEnd w:id="334"/>
    </w:p>
    <w:bookmarkEnd w:id="335"/>
    <w:p w14:paraId="5B8898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AD8190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9.1.2 承包人应按专用合同条款的约定提供试验设备、取样装置、试验场所和试验条件，并向监理人提交相应进场计划表。</w:t>
      </w:r>
    </w:p>
    <w:p w14:paraId="27CFD2A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承包人配置的试验设备要符合相应试验规程的要求并经过具有资质的检测单位检测，且在正式使用该试验设备前，需要经过监理人与承包人共同校定。</w:t>
      </w:r>
    </w:p>
    <w:p w14:paraId="7B17FC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00F6988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36" w:name="_Toc375060782"/>
      <w:r>
        <w:rPr>
          <w:rFonts w:hint="eastAsia" w:ascii="华文中宋" w:hAnsi="华文中宋" w:eastAsia="华文中宋" w:cs="华文中宋"/>
          <w:b w:val="0"/>
          <w:color w:val="auto"/>
          <w:sz w:val="24"/>
          <w:szCs w:val="24"/>
        </w:rPr>
        <w:t>9</w:t>
      </w:r>
      <w:bookmarkStart w:id="337" w:name="_Toc337558784"/>
      <w:r>
        <w:rPr>
          <w:rFonts w:hint="eastAsia" w:ascii="华文中宋" w:hAnsi="华文中宋" w:eastAsia="华文中宋" w:cs="华文中宋"/>
          <w:b w:val="0"/>
          <w:color w:val="auto"/>
          <w:sz w:val="24"/>
          <w:szCs w:val="24"/>
        </w:rPr>
        <w:t>.2取样</w:t>
      </w:r>
      <w:bookmarkEnd w:id="336"/>
    </w:p>
    <w:bookmarkEnd w:id="337"/>
    <w:p w14:paraId="15952A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试验属于自检性质的，承包人可以单独取样。试验属于监理人抽检性质的，可由监理人取样，也可由承包人的试验人员在监理人的监督下取样。</w:t>
      </w:r>
    </w:p>
    <w:p w14:paraId="6CEBD01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38" w:name="_Toc375060783"/>
      <w:r>
        <w:rPr>
          <w:rFonts w:hint="eastAsia" w:ascii="华文中宋" w:hAnsi="华文中宋" w:eastAsia="华文中宋" w:cs="华文中宋"/>
          <w:b w:val="0"/>
          <w:color w:val="auto"/>
          <w:sz w:val="24"/>
          <w:szCs w:val="24"/>
        </w:rPr>
        <w:t>9</w:t>
      </w:r>
      <w:bookmarkStart w:id="339" w:name="_Toc337558785"/>
      <w:r>
        <w:rPr>
          <w:rFonts w:hint="eastAsia" w:ascii="华文中宋" w:hAnsi="华文中宋" w:eastAsia="华文中宋" w:cs="华文中宋"/>
          <w:b w:val="0"/>
          <w:color w:val="auto"/>
          <w:sz w:val="24"/>
          <w:szCs w:val="24"/>
        </w:rPr>
        <w:t>.3材料、工程设备和工程的试验和检验</w:t>
      </w:r>
      <w:bookmarkEnd w:id="338"/>
    </w:p>
    <w:bookmarkEnd w:id="339"/>
    <w:p w14:paraId="274AC42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24E1A2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4485A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DC3762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40" w:name="_Toc375060784"/>
      <w:r>
        <w:rPr>
          <w:rFonts w:hint="eastAsia" w:ascii="华文中宋" w:hAnsi="华文中宋" w:eastAsia="华文中宋" w:cs="华文中宋"/>
          <w:b w:val="0"/>
          <w:color w:val="auto"/>
          <w:sz w:val="24"/>
          <w:szCs w:val="24"/>
        </w:rPr>
        <w:t>9</w:t>
      </w:r>
      <w:bookmarkStart w:id="341" w:name="_Toc337558786"/>
      <w:r>
        <w:rPr>
          <w:rFonts w:hint="eastAsia" w:ascii="华文中宋" w:hAnsi="华文中宋" w:eastAsia="华文中宋" w:cs="华文中宋"/>
          <w:b w:val="0"/>
          <w:color w:val="auto"/>
          <w:sz w:val="24"/>
          <w:szCs w:val="24"/>
        </w:rPr>
        <w:t>.4现场工艺试验</w:t>
      </w:r>
      <w:bookmarkEnd w:id="340"/>
    </w:p>
    <w:bookmarkEnd w:id="341"/>
    <w:p w14:paraId="0A827D6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17253FA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42" w:name="_Toc375060785"/>
      <w:r>
        <w:rPr>
          <w:rFonts w:hint="eastAsia" w:ascii="华文中宋" w:hAnsi="华文中宋" w:eastAsia="华文中宋" w:cs="华文中宋"/>
          <w:b w:val="0"/>
          <w:color w:val="auto"/>
          <w:sz w:val="24"/>
          <w:szCs w:val="24"/>
        </w:rPr>
        <w:t>1</w:t>
      </w:r>
      <w:bookmarkStart w:id="343" w:name="_Toc337558787"/>
      <w:r>
        <w:rPr>
          <w:rFonts w:hint="eastAsia" w:ascii="华文中宋" w:hAnsi="华文中宋" w:eastAsia="华文中宋" w:cs="华文中宋"/>
          <w:b w:val="0"/>
          <w:color w:val="auto"/>
          <w:sz w:val="24"/>
          <w:szCs w:val="24"/>
        </w:rPr>
        <w:t>0. 变更</w:t>
      </w:r>
      <w:bookmarkEnd w:id="332"/>
      <w:bookmarkEnd w:id="333"/>
      <w:bookmarkEnd w:id="342"/>
    </w:p>
    <w:bookmarkEnd w:id="343"/>
    <w:p w14:paraId="73ED314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44" w:name="_Toc375060786"/>
      <w:r>
        <w:rPr>
          <w:rFonts w:hint="eastAsia" w:ascii="华文中宋" w:hAnsi="华文中宋" w:eastAsia="华文中宋" w:cs="华文中宋"/>
          <w:b w:val="0"/>
          <w:color w:val="auto"/>
          <w:sz w:val="24"/>
          <w:szCs w:val="24"/>
        </w:rPr>
        <w:t>1</w:t>
      </w:r>
      <w:bookmarkStart w:id="345" w:name="_Toc296503084"/>
      <w:bookmarkStart w:id="346" w:name="_Toc337558788"/>
      <w:bookmarkStart w:id="347" w:name="_Toc296346585"/>
      <w:r>
        <w:rPr>
          <w:rFonts w:hint="eastAsia" w:ascii="华文中宋" w:hAnsi="华文中宋" w:eastAsia="华文中宋" w:cs="华文中宋"/>
          <w:b w:val="0"/>
          <w:color w:val="auto"/>
          <w:sz w:val="24"/>
          <w:szCs w:val="24"/>
        </w:rPr>
        <w:t>0.1变更的范围</w:t>
      </w:r>
      <w:bookmarkEnd w:id="344"/>
    </w:p>
    <w:bookmarkEnd w:id="345"/>
    <w:bookmarkEnd w:id="346"/>
    <w:bookmarkEnd w:id="347"/>
    <w:p w14:paraId="666A8ED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除专用合同条款另有约定外，合同履行过程中发生以下情形的，应按照本条约定进行变更：</w:t>
      </w:r>
    </w:p>
    <w:p w14:paraId="69D8AAE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（1）增加或减少合同中任何工作，或追加额外的工作；</w:t>
      </w:r>
    </w:p>
    <w:p w14:paraId="04DF34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（2）取消合同中任何工作，但转由他人实施的工作除外；</w:t>
      </w:r>
    </w:p>
    <w:p w14:paraId="3A1942E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（3）改变合同中任何工作的质量标准或其他特性；</w:t>
      </w:r>
    </w:p>
    <w:p w14:paraId="637D9A9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（4）改变工程的基线、标高、位置和尺寸；</w:t>
      </w:r>
    </w:p>
    <w:p w14:paraId="1A546BD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（5）改变工程的时间安排或实施顺序。</w:t>
      </w:r>
    </w:p>
    <w:p w14:paraId="7812795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48" w:name="_Toc375060787"/>
      <w:r>
        <w:rPr>
          <w:rFonts w:hint="eastAsia" w:ascii="华文中宋" w:hAnsi="华文中宋" w:eastAsia="华文中宋" w:cs="华文中宋"/>
          <w:b w:val="0"/>
          <w:color w:val="auto"/>
          <w:sz w:val="24"/>
          <w:szCs w:val="24"/>
        </w:rPr>
        <w:t>1</w:t>
      </w:r>
      <w:bookmarkStart w:id="349" w:name="_Toc337558789"/>
      <w:bookmarkStart w:id="350" w:name="_Toc296503085"/>
      <w:bookmarkStart w:id="351" w:name="_Toc296346586"/>
      <w:r>
        <w:rPr>
          <w:rFonts w:hint="eastAsia" w:ascii="华文中宋" w:hAnsi="华文中宋" w:eastAsia="华文中宋" w:cs="华文中宋"/>
          <w:b w:val="0"/>
          <w:color w:val="auto"/>
          <w:sz w:val="24"/>
          <w:szCs w:val="24"/>
        </w:rPr>
        <w:t>0.2变更权</w:t>
      </w:r>
      <w:bookmarkEnd w:id="348"/>
    </w:p>
    <w:bookmarkEnd w:id="349"/>
    <w:bookmarkEnd w:id="350"/>
    <w:bookmarkEnd w:id="351"/>
    <w:p w14:paraId="1BBB5B7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4DFABA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涉及设计变更的，应由设计人提供变更后的图纸和说明。如变更超过原设计标准或批准的建设规模时，发包人应及时办理规划、设计变更等审批手续。</w:t>
      </w:r>
    </w:p>
    <w:p w14:paraId="40BAB31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52" w:name="_Toc375060788"/>
      <w:r>
        <w:rPr>
          <w:rFonts w:hint="eastAsia" w:ascii="华文中宋" w:hAnsi="华文中宋" w:eastAsia="华文中宋" w:cs="华文中宋"/>
          <w:b w:val="0"/>
          <w:color w:val="auto"/>
          <w:sz w:val="24"/>
          <w:szCs w:val="24"/>
        </w:rPr>
        <w:t>1</w:t>
      </w:r>
      <w:bookmarkStart w:id="353" w:name="_Toc296346587"/>
      <w:bookmarkStart w:id="354" w:name="_Toc296503086"/>
      <w:bookmarkStart w:id="355" w:name="_Toc337558790"/>
      <w:r>
        <w:rPr>
          <w:rFonts w:hint="eastAsia" w:ascii="华文中宋" w:hAnsi="华文中宋" w:eastAsia="华文中宋" w:cs="华文中宋"/>
          <w:b w:val="0"/>
          <w:color w:val="auto"/>
          <w:sz w:val="24"/>
          <w:szCs w:val="24"/>
        </w:rPr>
        <w:t>0.3变更程序</w:t>
      </w:r>
      <w:bookmarkEnd w:id="352"/>
    </w:p>
    <w:bookmarkEnd w:id="353"/>
    <w:bookmarkEnd w:id="354"/>
    <w:bookmarkEnd w:id="355"/>
    <w:p w14:paraId="2E0F3D6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w:t>
      </w:r>
      <w:r>
        <w:rPr>
          <w:rFonts w:hint="eastAsia" w:ascii="华文中宋" w:hAnsi="华文中宋" w:eastAsia="华文中宋" w:cs="华文中宋"/>
          <w:color w:val="auto"/>
          <w:kern w:val="0"/>
          <w:sz w:val="24"/>
          <w:szCs w:val="24"/>
        </w:rPr>
        <w:t>.3.1 发包人提出变更</w:t>
      </w:r>
    </w:p>
    <w:p w14:paraId="5C4789D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发包人提出变更的，应通过监理人向承包人发出变更指示，变更指示应说明计划变更的工程范围和变更的内容。</w:t>
      </w:r>
    </w:p>
    <w:p w14:paraId="224EE59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w:t>
      </w:r>
      <w:r>
        <w:rPr>
          <w:rFonts w:hint="eastAsia" w:ascii="华文中宋" w:hAnsi="华文中宋" w:eastAsia="华文中宋" w:cs="华文中宋"/>
          <w:color w:val="auto"/>
          <w:kern w:val="0"/>
          <w:sz w:val="24"/>
          <w:szCs w:val="24"/>
        </w:rPr>
        <w:t>.3.2 监理人提出变更建议</w:t>
      </w:r>
    </w:p>
    <w:p w14:paraId="7476BC6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5B59B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10.3.3 变更执行</w:t>
      </w:r>
    </w:p>
    <w:p w14:paraId="2533831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66DC1F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56" w:name="_Toc375060789"/>
      <w:r>
        <w:rPr>
          <w:rFonts w:hint="eastAsia" w:ascii="华文中宋" w:hAnsi="华文中宋" w:eastAsia="华文中宋" w:cs="华文中宋"/>
          <w:b w:val="0"/>
          <w:color w:val="auto"/>
          <w:sz w:val="24"/>
          <w:szCs w:val="24"/>
        </w:rPr>
        <w:t>1</w:t>
      </w:r>
      <w:bookmarkStart w:id="357" w:name="_Toc296346588"/>
      <w:bookmarkStart w:id="358" w:name="_Toc296503087"/>
      <w:bookmarkStart w:id="359" w:name="_Toc337558791"/>
      <w:r>
        <w:rPr>
          <w:rFonts w:hint="eastAsia" w:ascii="华文中宋" w:hAnsi="华文中宋" w:eastAsia="华文中宋" w:cs="华文中宋"/>
          <w:b w:val="0"/>
          <w:color w:val="auto"/>
          <w:sz w:val="24"/>
          <w:szCs w:val="24"/>
        </w:rPr>
        <w:t>0.4变更估价</w:t>
      </w:r>
      <w:bookmarkEnd w:id="356"/>
    </w:p>
    <w:bookmarkEnd w:id="357"/>
    <w:bookmarkEnd w:id="358"/>
    <w:bookmarkEnd w:id="359"/>
    <w:p w14:paraId="4A3CEBF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10.4.1 变更估价原则</w:t>
      </w:r>
    </w:p>
    <w:p w14:paraId="3C73BA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除专用合同条款另有约定外，变更估价按照本款约定处理：</w:t>
      </w:r>
    </w:p>
    <w:p w14:paraId="48C738D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（1）已标价工程量清单或预算书有相同项目的，按照相同项目单价认定；</w:t>
      </w:r>
    </w:p>
    <w:p w14:paraId="6E5509F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（2）已标价工程量清单或预算书中无相同项目，但有类似项目的，参照类似项目的单价认定；</w:t>
      </w:r>
    </w:p>
    <w:p w14:paraId="788B73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FADB1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10.4.2 变更估价程序</w:t>
      </w:r>
    </w:p>
    <w:p w14:paraId="1E5286D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77ABB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因变更引起的价格调整应计入最近一期的进度款中支付。</w:t>
      </w:r>
    </w:p>
    <w:p w14:paraId="3C4550E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60" w:name="_Toc375060790"/>
      <w:r>
        <w:rPr>
          <w:rFonts w:hint="eastAsia" w:ascii="华文中宋" w:hAnsi="华文中宋" w:eastAsia="华文中宋" w:cs="华文中宋"/>
          <w:b w:val="0"/>
          <w:color w:val="auto"/>
          <w:sz w:val="24"/>
          <w:szCs w:val="24"/>
        </w:rPr>
        <w:t>1</w:t>
      </w:r>
      <w:bookmarkStart w:id="361" w:name="_Toc337558792"/>
      <w:bookmarkStart w:id="362" w:name="_Toc296346595"/>
      <w:bookmarkStart w:id="363" w:name="_Toc296503094"/>
      <w:r>
        <w:rPr>
          <w:rFonts w:hint="eastAsia" w:ascii="华文中宋" w:hAnsi="华文中宋" w:eastAsia="华文中宋" w:cs="华文中宋"/>
          <w:b w:val="0"/>
          <w:color w:val="auto"/>
          <w:sz w:val="24"/>
          <w:szCs w:val="24"/>
        </w:rPr>
        <w:t>0.5承包人的合理化建议</w:t>
      </w:r>
      <w:bookmarkEnd w:id="360"/>
    </w:p>
    <w:bookmarkEnd w:id="361"/>
    <w:bookmarkEnd w:id="362"/>
    <w:bookmarkEnd w:id="363"/>
    <w:p w14:paraId="0CFEB57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承包人提出合理化建议的，应向监理人提交合理化建议说明，说明建议的内容和理由，以及实施该建议对合同价格和工期的影响。</w:t>
      </w:r>
    </w:p>
    <w:p w14:paraId="7D66AF7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3F009C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合理化建议降低了合同价格或者提高了工程经济效益的，发包人可对承包人给予奖励，奖励的方法和金额在专用合同条款中约定。</w:t>
      </w:r>
    </w:p>
    <w:p w14:paraId="190B1DA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color w:val="auto"/>
          <w:sz w:val="24"/>
          <w:szCs w:val="24"/>
        </w:rPr>
      </w:pPr>
      <w:bookmarkStart w:id="364" w:name="_Toc375060791"/>
      <w:r>
        <w:rPr>
          <w:rFonts w:hint="eastAsia" w:ascii="华文中宋" w:hAnsi="华文中宋" w:eastAsia="华文中宋" w:cs="华文中宋"/>
          <w:b w:val="0"/>
          <w:color w:val="auto"/>
          <w:sz w:val="24"/>
          <w:szCs w:val="24"/>
        </w:rPr>
        <w:t>1</w:t>
      </w:r>
      <w:bookmarkStart w:id="365" w:name="_Toc337558793"/>
      <w:r>
        <w:rPr>
          <w:rFonts w:hint="eastAsia" w:ascii="华文中宋" w:hAnsi="华文中宋" w:eastAsia="华文中宋" w:cs="华文中宋"/>
          <w:b w:val="0"/>
          <w:color w:val="auto"/>
          <w:sz w:val="24"/>
          <w:szCs w:val="24"/>
        </w:rPr>
        <w:t>0.6变更引起的工期调整</w:t>
      </w:r>
      <w:bookmarkEnd w:id="364"/>
      <w:r>
        <w:rPr>
          <w:rFonts w:hint="eastAsia" w:ascii="华文中宋" w:hAnsi="华文中宋" w:eastAsia="华文中宋" w:cs="华文中宋"/>
          <w:b w:val="0"/>
          <w:color w:val="auto"/>
          <w:sz w:val="24"/>
          <w:szCs w:val="24"/>
        </w:rPr>
        <w:t xml:space="preserve"> </w:t>
      </w:r>
      <w:bookmarkEnd w:id="365"/>
      <w:r>
        <w:rPr>
          <w:rFonts w:hint="eastAsia" w:ascii="华文中宋" w:hAnsi="华文中宋" w:eastAsia="华文中宋" w:cs="华文中宋"/>
          <w:b w:val="0"/>
          <w:color w:val="auto"/>
          <w:sz w:val="24"/>
          <w:szCs w:val="24"/>
        </w:rPr>
        <w:t xml:space="preserve"> </w:t>
      </w:r>
      <w:r>
        <w:rPr>
          <w:rFonts w:hint="eastAsia" w:ascii="华文中宋" w:hAnsi="华文中宋" w:eastAsia="华文中宋" w:cs="华文中宋"/>
          <w:color w:val="auto"/>
          <w:sz w:val="24"/>
          <w:szCs w:val="24"/>
        </w:rPr>
        <w:t xml:space="preserve"> </w:t>
      </w:r>
    </w:p>
    <w:p w14:paraId="33D15F4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因变更引起工期变化的，合同当事人均可要求调整合同工期，由合同当事人按照第4.4款〔商定或确定〕并参考工程所在地的工期定额标准确定增减工期天数。</w:t>
      </w:r>
    </w:p>
    <w:p w14:paraId="4D769A6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66" w:name="_Toc375060792"/>
      <w:r>
        <w:rPr>
          <w:rFonts w:hint="eastAsia" w:ascii="华文中宋" w:hAnsi="华文中宋" w:eastAsia="华文中宋" w:cs="华文中宋"/>
          <w:b w:val="0"/>
          <w:color w:val="auto"/>
          <w:sz w:val="24"/>
          <w:szCs w:val="24"/>
        </w:rPr>
        <w:t>10.7暂估价</w:t>
      </w:r>
      <w:bookmarkEnd w:id="366"/>
    </w:p>
    <w:p w14:paraId="0EFAA6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暂估价专业分包工程、服务、材料和工程设备的明细由合同当事人在专用合同条款中约定。</w:t>
      </w:r>
    </w:p>
    <w:p w14:paraId="288333E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10.7.1</w:t>
      </w:r>
      <w:r>
        <w:rPr>
          <w:rFonts w:hint="eastAsia" w:ascii="华文中宋" w:hAnsi="华文中宋" w:eastAsia="华文中宋" w:cs="华文中宋"/>
          <w:color w:val="auto"/>
          <w:kern w:val="0"/>
          <w:sz w:val="24"/>
          <w:szCs w:val="24"/>
        </w:rPr>
        <w:t xml:space="preserve"> 依法必须招标的暂估价项目</w:t>
      </w:r>
    </w:p>
    <w:p w14:paraId="46C04F6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对于依法必须招标的暂估价项目，采取以下第1种方式确定。合同当事人也可以在专用合同条款中选择其他招标方式。</w:t>
      </w:r>
    </w:p>
    <w:p w14:paraId="45395A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第1种方式：对于依法必须招标的暂估价项目，由承包人招标，对该暂估价项目的确认和批准按照以下约定执行：</w:t>
      </w:r>
    </w:p>
    <w:p w14:paraId="0F604C7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CDAE4E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3E48472">
      <w:pPr>
        <w:pageBreakBefore w:val="0"/>
        <w:kinsoku/>
        <w:wordWrap/>
        <w:overflowPunct/>
        <w:topLinePunct w:val="0"/>
        <w:bidi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BA454B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B909A7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10.7.2</w:t>
      </w:r>
      <w:r>
        <w:rPr>
          <w:rFonts w:hint="eastAsia" w:ascii="华文中宋" w:hAnsi="华文中宋" w:eastAsia="华文中宋" w:cs="华文中宋"/>
          <w:color w:val="auto"/>
          <w:kern w:val="0"/>
          <w:sz w:val="24"/>
          <w:szCs w:val="24"/>
        </w:rPr>
        <w:t>不属于依法必须招标的暂估价项目</w:t>
      </w:r>
    </w:p>
    <w:p w14:paraId="07E0C89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除专用合同条款另有约定外，对于不属于依法必须招标的暂估价项目，采取以下第1种方式确定： </w:t>
      </w:r>
    </w:p>
    <w:p w14:paraId="751A915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第1种方式：对于不属于依法必须招标的暂估价项目，按本项约定确认和批准：</w:t>
      </w:r>
    </w:p>
    <w:p w14:paraId="5844F1A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A162F1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（2）发包人认为承包人确定的供应商、分包人无法满足工程质量或合同要求的，发包人可以要求承包人重新确定暂估价项目的供应商、分包人;</w:t>
      </w:r>
    </w:p>
    <w:p w14:paraId="03DAFF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（3）承包人应当在签订暂估价合同后7天内，将暂估价合同副本报送发包人留存。</w:t>
      </w:r>
    </w:p>
    <w:p w14:paraId="4E833F0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第2种方式：承包人按照第10.7.1项〔依法必须招标的暂估价项目〕约定的第1种方式确定暂估价项目。</w:t>
      </w:r>
    </w:p>
    <w:p w14:paraId="5E698A5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第3种方式：</w:t>
      </w:r>
      <w:r>
        <w:rPr>
          <w:rFonts w:hint="eastAsia" w:ascii="华文中宋" w:hAnsi="华文中宋" w:eastAsia="华文中宋" w:cs="华文中宋"/>
          <w:color w:val="auto"/>
          <w:kern w:val="0"/>
          <w:sz w:val="24"/>
          <w:szCs w:val="24"/>
        </w:rPr>
        <w:t>承包人直接实施的暂估价项目</w:t>
      </w:r>
    </w:p>
    <w:p w14:paraId="5E24B61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承包人具备实施暂估价项目的资格和条件的，经发包人和承包人协商一致后，可由承包人自行实施暂估价项目，合同当事人可以在专用合同条款约定具体事项。</w:t>
      </w:r>
    </w:p>
    <w:p w14:paraId="318DC0B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2DECF2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67" w:name="_Toc375060793"/>
      <w:r>
        <w:rPr>
          <w:rFonts w:hint="eastAsia" w:ascii="华文中宋" w:hAnsi="华文中宋" w:eastAsia="华文中宋" w:cs="华文中宋"/>
          <w:b w:val="0"/>
          <w:color w:val="auto"/>
          <w:sz w:val="24"/>
          <w:szCs w:val="24"/>
        </w:rPr>
        <w:t>1</w:t>
      </w:r>
      <w:bookmarkStart w:id="368" w:name="_Toc337558794"/>
      <w:bookmarkStart w:id="369" w:name="_Toc322522561"/>
      <w:bookmarkStart w:id="370" w:name="_Toc296346591"/>
      <w:bookmarkStart w:id="371" w:name="_Toc296503090"/>
      <w:r>
        <w:rPr>
          <w:rFonts w:hint="eastAsia" w:ascii="华文中宋" w:hAnsi="华文中宋" w:eastAsia="华文中宋" w:cs="华文中宋"/>
          <w:b w:val="0"/>
          <w:color w:val="auto"/>
          <w:sz w:val="24"/>
          <w:szCs w:val="24"/>
        </w:rPr>
        <w:t>0.8暂列金额</w:t>
      </w:r>
      <w:bookmarkEnd w:id="367"/>
    </w:p>
    <w:bookmarkEnd w:id="368"/>
    <w:p w14:paraId="73BA197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暂列金额应按照发包人的要求使用，发包人的要求应通过监理人发出。合同当事人可以在专用合同条款中协商确定有关事项。</w:t>
      </w:r>
    </w:p>
    <w:bookmarkEnd w:id="369"/>
    <w:bookmarkEnd w:id="370"/>
    <w:bookmarkEnd w:id="371"/>
    <w:p w14:paraId="2175165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72" w:name="_Toc375060794"/>
      <w:r>
        <w:rPr>
          <w:rFonts w:hint="eastAsia" w:ascii="华文中宋" w:hAnsi="华文中宋" w:eastAsia="华文中宋" w:cs="华文中宋"/>
          <w:b w:val="0"/>
          <w:color w:val="auto"/>
          <w:sz w:val="24"/>
          <w:szCs w:val="24"/>
        </w:rPr>
        <w:t>1</w:t>
      </w:r>
      <w:bookmarkStart w:id="373" w:name="_Toc296346592"/>
      <w:bookmarkStart w:id="374" w:name="_Toc296503091"/>
      <w:bookmarkStart w:id="375" w:name="_Toc337558796"/>
      <w:r>
        <w:rPr>
          <w:rFonts w:hint="eastAsia" w:ascii="华文中宋" w:hAnsi="华文中宋" w:eastAsia="华文中宋" w:cs="华文中宋"/>
          <w:b w:val="0"/>
          <w:color w:val="auto"/>
          <w:sz w:val="24"/>
          <w:szCs w:val="24"/>
        </w:rPr>
        <w:t>0.9计日工</w:t>
      </w:r>
      <w:bookmarkEnd w:id="372"/>
      <w:r>
        <w:rPr>
          <w:rFonts w:hint="eastAsia" w:ascii="华文中宋" w:hAnsi="华文中宋" w:eastAsia="华文中宋" w:cs="华文中宋"/>
          <w:b w:val="0"/>
          <w:color w:val="auto"/>
          <w:sz w:val="24"/>
          <w:szCs w:val="24"/>
        </w:rPr>
        <w:t xml:space="preserve"> </w:t>
      </w:r>
      <w:bookmarkEnd w:id="373"/>
      <w:bookmarkEnd w:id="374"/>
      <w:bookmarkEnd w:id="375"/>
    </w:p>
    <w:p w14:paraId="2C6220E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617394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采用计日工计价的任何一项工作，承包人应在该项工作实施过程中，每天提交以下报表和有关凭证报送监理人审查：</w:t>
      </w:r>
    </w:p>
    <w:p w14:paraId="00A75F92">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（1）工作名称、内容和数量；</w:t>
      </w:r>
    </w:p>
    <w:p w14:paraId="7E2F82A8">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（2）投入该工作的所有人员的姓名、专业、工种、级别和耗用工时；</w:t>
      </w:r>
    </w:p>
    <w:p w14:paraId="6FD69E93">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（3）投入该工作的材料类别和数量；</w:t>
      </w:r>
    </w:p>
    <w:p w14:paraId="74C2429E">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（4）投入该工作的施工设备型号、台数和耗用台时；</w:t>
      </w:r>
    </w:p>
    <w:p w14:paraId="53EB43F8">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（5）其他有关资料和凭证。</w:t>
      </w:r>
    </w:p>
    <w:p w14:paraId="1CAFC912">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计日工由承包人汇总后，列入最近一期进度付款申请单，由监理人审查并经发包人批准后列入进度付款。</w:t>
      </w:r>
    </w:p>
    <w:p w14:paraId="36EA38F1">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76" w:name="_Toc375060795"/>
      <w:r>
        <w:rPr>
          <w:rFonts w:hint="eastAsia" w:ascii="华文中宋" w:hAnsi="华文中宋" w:eastAsia="华文中宋" w:cs="华文中宋"/>
          <w:b w:val="0"/>
          <w:color w:val="auto"/>
          <w:sz w:val="24"/>
          <w:szCs w:val="24"/>
        </w:rPr>
        <w:t>11. 价格调整</w:t>
      </w:r>
      <w:bookmarkEnd w:id="376"/>
    </w:p>
    <w:p w14:paraId="44352D6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77" w:name="_Toc375060796"/>
      <w:bookmarkStart w:id="378" w:name="_Toc296503092"/>
      <w:bookmarkStart w:id="379" w:name="_Toc337558797"/>
      <w:bookmarkStart w:id="380" w:name="_Toc296346593"/>
      <w:r>
        <w:rPr>
          <w:rFonts w:hint="eastAsia" w:ascii="华文中宋" w:hAnsi="华文中宋" w:eastAsia="华文中宋" w:cs="华文中宋"/>
          <w:b w:val="0"/>
          <w:color w:val="auto"/>
          <w:sz w:val="24"/>
          <w:szCs w:val="24"/>
        </w:rPr>
        <w:t>11.1市场价格波动引起的调整</w:t>
      </w:r>
      <w:bookmarkEnd w:id="377"/>
    </w:p>
    <w:bookmarkEnd w:id="378"/>
    <w:bookmarkEnd w:id="379"/>
    <w:bookmarkEnd w:id="380"/>
    <w:p w14:paraId="68D24BC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0AF9703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第1种方式：采用价格指数进行价格调整。</w:t>
      </w:r>
    </w:p>
    <w:p w14:paraId="5947C394">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（1）价格调整公式</w:t>
      </w:r>
    </w:p>
    <w:p w14:paraId="21B18F71">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因人工、材料和设备等价格波动影响合同价格时，根据专用合同条款中约定的数据，按以下公式计算差额并调整合同价格：</w:t>
      </w:r>
    </w:p>
    <w:p w14:paraId="0E201F48">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30"/>
          <w:sz w:val="24"/>
          <w:szCs w:val="24"/>
        </w:rPr>
        <w:object>
          <v:shape id="_x0000_i1025" o:spt="75" type="#_x0000_t75" style="height:43.45pt;width:360pt;" o:ole="t" filled="f" o:preferrelative="t" stroked="f" coordsize="21600,21600">
            <v:path/>
            <v:fill on="f" focussize="0,0"/>
            <v:stroke on="f" joinstyle="miter"/>
            <v:imagedata r:id="rId17" o:title=""/>
            <o:lock v:ext="edit" aspectratio="t"/>
            <w10:wrap type="none"/>
            <w10:anchorlock/>
          </v:shape>
          <o:OLEObject Type="Embed" ProgID="Equations" ShapeID="_x0000_i1025" DrawAspect="Content" ObjectID="_1468075725" r:id="rId16">
            <o:LockedField>false</o:LockedField>
          </o:OLEObject>
        </w:object>
      </w:r>
    </w:p>
    <w:p w14:paraId="0D2FBD07">
      <w:pPr>
        <w:pageBreakBefore w:val="0"/>
        <w:tabs>
          <w:tab w:val="left" w:pos="0"/>
          <w:tab w:val="left" w:pos="360"/>
          <w:tab w:val="left" w:pos="540"/>
        </w:tabs>
        <w:kinsoku/>
        <w:wordWrap/>
        <w:overflowPunct/>
        <w:topLinePunct w:val="0"/>
        <w:bidi w:val="0"/>
        <w:snapToGrid/>
        <w:spacing w:line="360" w:lineRule="auto"/>
        <w:ind w:firstLine="64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公式中：ΔP——需调整的价格差额；</w:t>
      </w:r>
    </w:p>
    <w:p w14:paraId="71EE93C6">
      <w:pPr>
        <w:pageBreakBefore w:val="0"/>
        <w:tabs>
          <w:tab w:val="left" w:pos="0"/>
          <w:tab w:val="left" w:pos="360"/>
          <w:tab w:val="left" w:pos="540"/>
        </w:tabs>
        <w:kinsoku/>
        <w:wordWrap/>
        <w:overflowPunct/>
        <w:topLinePunct w:val="0"/>
        <w:bidi w:val="0"/>
        <w:snapToGrid/>
        <w:spacing w:line="360" w:lineRule="auto"/>
        <w:ind w:firstLine="1440" w:firstLineChars="6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6"/>
          <w:sz w:val="24"/>
          <w:szCs w:val="24"/>
        </w:rPr>
        <w:object>
          <v:shape id="_x0000_i1026" o:spt="75" type="#_x0000_t75" style="height:17.4pt;width:17.4pt;" o:ole="t" filled="f" o:preferrelative="t" stroked="f" coordsize="21600,21600">
            <v:path/>
            <v:fill on="f" focussize="0,0"/>
            <v:stroke on="f" joinstyle="miter"/>
            <v:imagedata r:id="rId19" o:title=""/>
            <o:lock v:ext="edit" aspectratio="t"/>
            <w10:wrap type="none"/>
            <w10:anchorlock/>
          </v:shape>
          <o:OLEObject Type="Embed" ProgID="Equations" ShapeID="_x0000_i1026" DrawAspect="Content" ObjectID="_1468075726" r:id="rId18">
            <o:LockedField>false</o:LockedField>
          </o:OLEObject>
        </w:object>
      </w:r>
      <w:r>
        <w:rPr>
          <w:rFonts w:hint="eastAsia" w:ascii="华文中宋" w:hAnsi="华文中宋" w:eastAsia="华文中宋" w:cs="华文中宋"/>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2333E557">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A——定值权重（即不调部分的权重）；</w:t>
      </w:r>
    </w:p>
    <w:p w14:paraId="62B3AF1B">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10"/>
          <w:sz w:val="24"/>
          <w:szCs w:val="24"/>
        </w:rPr>
        <w:object>
          <v:shape id="_x0000_i1027" o:spt="75" type="#_x0000_t75" style="height:21.1pt;width:100.55pt;" o:ole="t" filled="f" o:preferrelative="t" stroked="f" coordsize="21600,21600">
            <v:path/>
            <v:fill on="f" focussize="0,0"/>
            <v:stroke on="f" joinstyle="miter"/>
            <v:imagedata r:id="rId21" o:title=""/>
            <o:lock v:ext="edit" aspectratio="t"/>
            <w10:wrap type="none"/>
            <w10:anchorlock/>
          </v:shape>
          <o:OLEObject Type="Embed" ProgID="Equations" ShapeID="_x0000_i1027" DrawAspect="Content" ObjectID="_1468075727" r:id="rId20">
            <o:LockedField>false</o:LockedField>
          </o:OLEObject>
        </w:object>
      </w:r>
      <w:r>
        <w:rPr>
          <w:rFonts w:hint="eastAsia" w:ascii="华文中宋" w:hAnsi="华文中宋" w:eastAsia="华文中宋" w:cs="华文中宋"/>
          <w:color w:val="auto"/>
          <w:sz w:val="24"/>
          <w:szCs w:val="24"/>
        </w:rPr>
        <w:t>——各可调因子的变值权重（即可调部分的权重），为各可调因子在签约合同价中所占的比例；</w:t>
      </w:r>
    </w:p>
    <w:p w14:paraId="302F7401">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10"/>
          <w:sz w:val="24"/>
          <w:szCs w:val="24"/>
        </w:rPr>
        <w:object>
          <v:shape id="_x0000_i1028" o:spt="75" type="#_x0000_t75" style="height:21.1pt;width:101.8pt;" o:ole="t" filled="f" o:preferrelative="t" stroked="f" coordsize="21600,21600">
            <v:path/>
            <v:fill on="f" focussize="0,0"/>
            <v:stroke on="f" joinstyle="miter"/>
            <v:imagedata r:id="rId23" o:title=""/>
            <o:lock v:ext="edit" aspectratio="t"/>
            <w10:wrap type="none"/>
            <w10:anchorlock/>
          </v:shape>
          <o:OLEObject Type="Embed" ProgID="Equations" ShapeID="_x0000_i1028" DrawAspect="Content" ObjectID="_1468075728" r:id="rId22">
            <o:LockedField>false</o:LockedField>
          </o:OLEObject>
        </w:object>
      </w:r>
      <w:r>
        <w:rPr>
          <w:rFonts w:hint="eastAsia" w:ascii="华文中宋" w:hAnsi="华文中宋" w:eastAsia="华文中宋" w:cs="华文中宋"/>
          <w:color w:val="auto"/>
          <w:sz w:val="24"/>
          <w:szCs w:val="24"/>
        </w:rPr>
        <w:t>——各可调因子的现行价格指数，指约定的付款证书相关周期最后一天的前42天的各可调因子的价格指数；</w:t>
      </w:r>
    </w:p>
    <w:p w14:paraId="6A5C85EB">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10"/>
          <w:sz w:val="24"/>
          <w:szCs w:val="24"/>
        </w:rPr>
        <w:object>
          <v:shape id="_x0000_i1029" o:spt="75" type="#_x0000_t75" style="height:19.85pt;width:108pt;" o:ole="t" filled="f" o:preferrelative="t" stroked="f" coordsize="21600,21600">
            <v:path/>
            <v:fill on="f" focussize="0,0"/>
            <v:stroke on="f" joinstyle="miter"/>
            <v:imagedata r:id="rId25" o:title=""/>
            <o:lock v:ext="edit" aspectratio="t"/>
            <w10:wrap type="none"/>
            <w10:anchorlock/>
          </v:shape>
          <o:OLEObject Type="Embed" ProgID="Equations" ShapeID="_x0000_i1029" DrawAspect="Content" ObjectID="_1468075729" r:id="rId24">
            <o:LockedField>false</o:LockedField>
          </o:OLEObject>
        </w:object>
      </w:r>
      <w:r>
        <w:rPr>
          <w:rFonts w:hint="eastAsia" w:ascii="华文中宋" w:hAnsi="华文中宋" w:eastAsia="华文中宋" w:cs="华文中宋"/>
          <w:color w:val="auto"/>
          <w:sz w:val="24"/>
          <w:szCs w:val="24"/>
        </w:rPr>
        <w:t>——各可调因子的基本价格指数，指基准日期的各可调因子的价格指数。</w:t>
      </w:r>
    </w:p>
    <w:p w14:paraId="0C9186A0">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4284EA3">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（2）暂时确定调整差额</w:t>
      </w:r>
    </w:p>
    <w:p w14:paraId="4CCA86A9">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在计算调整差额时无现行价格指数的，合同当事人同意暂用前次价格指数计算。实际价格指数有调整的，合同当事人进行相应调整。</w:t>
      </w:r>
    </w:p>
    <w:p w14:paraId="77FBB2B7">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（3）权重的调整</w:t>
      </w:r>
    </w:p>
    <w:p w14:paraId="09F7F933">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因变更导致合同约定的权重不合理时，按照第4.4款〔商定或确定〕执行。</w:t>
      </w:r>
    </w:p>
    <w:p w14:paraId="553A3A90">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（4）因承包人原因工期延误后的价格调整</w:t>
      </w:r>
    </w:p>
    <w:p w14:paraId="1AEFADA0">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0C1B4B2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第2种方式：采用造价信息进行价格调整。</w:t>
      </w:r>
    </w:p>
    <w:p w14:paraId="4DDF5BF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8C0D27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B59E1C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（2）材料、工程设备价格变化的价款调整按照发包人提供的基准价格，按以下风险范围规定执行:</w:t>
      </w:r>
    </w:p>
    <w:p w14:paraId="1FC16F6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3B188B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B061D6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7954D59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2318EA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6514F9B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（3）施工机械台班单价或施工机械使用费发生变化超过省级或行业建设主管部门或其授权的工程造价管理机构规定的范围时，按规定调整合同价格。</w:t>
      </w:r>
    </w:p>
    <w:p w14:paraId="621B4B6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第3种方式：专用合同条款约定的其他方式。</w:t>
      </w:r>
    </w:p>
    <w:p w14:paraId="5AFE35F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81" w:name="_Toc375060797"/>
      <w:bookmarkStart w:id="382" w:name="_Toc337558798"/>
      <w:bookmarkStart w:id="383" w:name="_Toc296503093"/>
      <w:bookmarkStart w:id="384" w:name="_Toc296346594"/>
      <w:r>
        <w:rPr>
          <w:rFonts w:hint="eastAsia" w:ascii="华文中宋" w:hAnsi="华文中宋" w:eastAsia="华文中宋" w:cs="华文中宋"/>
          <w:b w:val="0"/>
          <w:color w:val="auto"/>
          <w:sz w:val="24"/>
          <w:szCs w:val="24"/>
        </w:rPr>
        <w:t>11.2法律变化引起的调整</w:t>
      </w:r>
      <w:bookmarkEnd w:id="381"/>
    </w:p>
    <w:bookmarkEnd w:id="382"/>
    <w:bookmarkEnd w:id="383"/>
    <w:bookmarkEnd w:id="384"/>
    <w:p w14:paraId="52E4B1E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475F0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因法律变化引起的合同价格和工期调整，合同当事人无法达成一致的，由总监理工程师按第4.4款〔商定或确定〕的约定处理。</w:t>
      </w:r>
    </w:p>
    <w:p w14:paraId="7226E73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因承包人原因造成工期延误，在工期延误期间出现法律变化的，由此增加的费用和（或）延误的工期由承包人承担。</w:t>
      </w:r>
    </w:p>
    <w:p w14:paraId="2617C0E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85" w:name="_Toc375060798"/>
      <w:bookmarkStart w:id="386" w:name="_Toc337558799"/>
      <w:bookmarkStart w:id="387" w:name="_Toc296346597"/>
      <w:bookmarkStart w:id="388" w:name="_Toc296503096"/>
      <w:r>
        <w:rPr>
          <w:rFonts w:hint="eastAsia" w:ascii="华文中宋" w:hAnsi="华文中宋" w:eastAsia="华文中宋" w:cs="华文中宋"/>
          <w:b w:val="0"/>
          <w:color w:val="auto"/>
          <w:sz w:val="24"/>
          <w:szCs w:val="24"/>
        </w:rPr>
        <w:t>12. 合同价格、计量与支付</w:t>
      </w:r>
      <w:bookmarkEnd w:id="385"/>
    </w:p>
    <w:bookmarkEnd w:id="386"/>
    <w:p w14:paraId="05959C3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89" w:name="_Toc375060799"/>
      <w:bookmarkStart w:id="390" w:name="_Toc337558800"/>
      <w:r>
        <w:rPr>
          <w:rFonts w:hint="eastAsia" w:ascii="华文中宋" w:hAnsi="华文中宋" w:eastAsia="华文中宋" w:cs="华文中宋"/>
          <w:b w:val="0"/>
          <w:color w:val="auto"/>
          <w:sz w:val="24"/>
          <w:szCs w:val="24"/>
        </w:rPr>
        <w:t>12.1 合同价</w:t>
      </w:r>
      <w:bookmarkEnd w:id="387"/>
      <w:bookmarkEnd w:id="388"/>
      <w:r>
        <w:rPr>
          <w:rFonts w:hint="eastAsia" w:ascii="华文中宋" w:hAnsi="华文中宋" w:eastAsia="华文中宋" w:cs="华文中宋"/>
          <w:b w:val="0"/>
          <w:color w:val="auto"/>
          <w:sz w:val="24"/>
          <w:szCs w:val="24"/>
        </w:rPr>
        <w:t>格形式</w:t>
      </w:r>
      <w:bookmarkEnd w:id="389"/>
    </w:p>
    <w:bookmarkEnd w:id="390"/>
    <w:p w14:paraId="7522806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发包人和承包人应在合同协议书中选择下列一种合同价格形式： </w:t>
      </w:r>
    </w:p>
    <w:p w14:paraId="18B5267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1、单价合同</w:t>
      </w:r>
    </w:p>
    <w:p w14:paraId="55038D0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单价合同是指合同当事人约定以工程量清单及其综合单价进行合同价格计算、调整和确认的建设工程施工合同，</w:t>
      </w:r>
      <w:r>
        <w:rPr>
          <w:rFonts w:hint="eastAsia" w:ascii="华文中宋" w:hAnsi="华文中宋" w:eastAsia="华文中宋" w:cs="华文中宋"/>
          <w:color w:val="auto"/>
          <w:sz w:val="24"/>
          <w:szCs w:val="24"/>
        </w:rPr>
        <w:t>在约定的范围内合同单价不作调整</w:t>
      </w:r>
      <w:r>
        <w:rPr>
          <w:rFonts w:hint="eastAsia" w:ascii="华文中宋" w:hAnsi="华文中宋" w:eastAsia="华文中宋" w:cs="华文中宋"/>
          <w:color w:val="auto"/>
          <w:kern w:val="0"/>
          <w:sz w:val="24"/>
          <w:szCs w:val="24"/>
        </w:rPr>
        <w:t>。合同当事人应在专用合同条款中约定综合单价包含的风险范围和风险费用的计算方法</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kern w:val="0"/>
          <w:sz w:val="24"/>
          <w:szCs w:val="24"/>
        </w:rPr>
        <w:t>并约定风险范围以外的合同价格的调整方法，其中因市场价格波动引起的调整按第11.1款〔市场价格波动引起的调整〕约定执行。</w:t>
      </w:r>
    </w:p>
    <w:p w14:paraId="71A2457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2、总价合同</w:t>
      </w:r>
    </w:p>
    <w:p w14:paraId="420EEB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总价合同是指合同当事人约定以施工图、已标价工程量清单或预算书及有关条件进行合同价格计算、调整和确认的建设工程施工合同，</w:t>
      </w:r>
      <w:r>
        <w:rPr>
          <w:rFonts w:hint="eastAsia" w:ascii="华文中宋" w:hAnsi="华文中宋" w:eastAsia="华文中宋" w:cs="华文中宋"/>
          <w:color w:val="auto"/>
          <w:sz w:val="24"/>
          <w:szCs w:val="24"/>
        </w:rPr>
        <w:t>在约定的范围内合同总价不作调整</w:t>
      </w:r>
      <w:r>
        <w:rPr>
          <w:rFonts w:hint="eastAsia" w:ascii="华文中宋" w:hAnsi="华文中宋" w:eastAsia="华文中宋" w:cs="华文中宋"/>
          <w:color w:val="auto"/>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482C47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3、其它价格形式</w:t>
      </w:r>
    </w:p>
    <w:p w14:paraId="34D4A8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合同当事人可在专用合同条款中约定其他合同价格形式。</w:t>
      </w:r>
    </w:p>
    <w:p w14:paraId="6BEB538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91" w:name="_Toc296503097"/>
      <w:bookmarkStart w:id="392" w:name="_Toc296346598"/>
      <w:bookmarkStart w:id="393" w:name="_Toc375060800"/>
      <w:bookmarkStart w:id="394" w:name="_Toc337558801"/>
      <w:r>
        <w:rPr>
          <w:rFonts w:hint="eastAsia" w:ascii="华文中宋" w:hAnsi="华文中宋" w:eastAsia="华文中宋" w:cs="华文中宋"/>
          <w:b w:val="0"/>
          <w:color w:val="auto"/>
          <w:sz w:val="24"/>
          <w:szCs w:val="24"/>
        </w:rPr>
        <w:t>12.2预</w:t>
      </w:r>
      <w:bookmarkEnd w:id="391"/>
      <w:bookmarkEnd w:id="392"/>
      <w:bookmarkStart w:id="395" w:name="_Toc296503100"/>
      <w:bookmarkStart w:id="396" w:name="_Toc296346601"/>
      <w:r>
        <w:rPr>
          <w:rFonts w:hint="eastAsia" w:ascii="华文中宋" w:hAnsi="华文中宋" w:eastAsia="华文中宋" w:cs="华文中宋"/>
          <w:b w:val="0"/>
          <w:color w:val="auto"/>
          <w:sz w:val="24"/>
          <w:szCs w:val="24"/>
        </w:rPr>
        <w:t>付款</w:t>
      </w:r>
      <w:bookmarkEnd w:id="393"/>
    </w:p>
    <w:bookmarkEnd w:id="394"/>
    <w:bookmarkEnd w:id="395"/>
    <w:bookmarkEnd w:id="396"/>
    <w:p w14:paraId="3F9945C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12.2.</w:t>
      </w:r>
      <w:r>
        <w:rPr>
          <w:rFonts w:hint="eastAsia" w:ascii="华文中宋" w:hAnsi="华文中宋" w:eastAsia="华文中宋" w:cs="华文中宋"/>
          <w:color w:val="auto"/>
          <w:kern w:val="0"/>
          <w:sz w:val="24"/>
          <w:szCs w:val="24"/>
        </w:rPr>
        <w:t>1预付款的支付</w:t>
      </w:r>
    </w:p>
    <w:p w14:paraId="62427C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65DC600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除专用合同条款另有约定外，预付款在进度付款中同比例扣回。在颁发工程接收证书前，提前解除合同的，尚未扣完的预付款应与合同价款一并结算。</w:t>
      </w:r>
    </w:p>
    <w:p w14:paraId="06CFE73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4029986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12.2.2 预付款担保</w:t>
      </w:r>
    </w:p>
    <w:p w14:paraId="3FFD7D1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C2FEB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发包人在工程款中逐期扣回预付款后，预付款担保额度应相应减少，但剩余的预付款担保金额不得低于未被扣回的预付款金额。</w:t>
      </w:r>
    </w:p>
    <w:p w14:paraId="12E3002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97" w:name="_Toc375060801"/>
      <w:bookmarkStart w:id="398" w:name="_Toc337558802"/>
      <w:r>
        <w:rPr>
          <w:rFonts w:hint="eastAsia" w:ascii="华文中宋" w:hAnsi="华文中宋" w:eastAsia="华文中宋" w:cs="华文中宋"/>
          <w:b w:val="0"/>
          <w:color w:val="auto"/>
          <w:sz w:val="24"/>
          <w:szCs w:val="24"/>
        </w:rPr>
        <w:t>12.3计量</w:t>
      </w:r>
      <w:bookmarkEnd w:id="397"/>
    </w:p>
    <w:bookmarkEnd w:id="398"/>
    <w:p w14:paraId="43FA342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12.3.1 计量原则</w:t>
      </w:r>
    </w:p>
    <w:p w14:paraId="32133E6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工程量计量按照合同约定的工程量计算规则、图纸及变更指示等进行计量。工程量计算规则应以相关的国家标准、行业标准等为依据，由合同当事人在专用合同条款中约定。</w:t>
      </w:r>
    </w:p>
    <w:p w14:paraId="3BDEE7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12.3.2 计量周期</w:t>
      </w:r>
    </w:p>
    <w:p w14:paraId="2AB56AF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除专用合同条款另有约定外，工程量的计量按月进行。</w:t>
      </w:r>
    </w:p>
    <w:p w14:paraId="335F317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12.3.3 单价合同的计量</w:t>
      </w:r>
    </w:p>
    <w:p w14:paraId="152D246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除专用合同条款另有约定外，单价合同的计量按照本项约定执行：</w:t>
      </w:r>
    </w:p>
    <w:p w14:paraId="2CA62BB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（1）承包人应于每月25日向监理人报送上月20日至当月19日已完成的工程量报告，并附具进度付款申请单、已完成工程量报表和有关资料。</w:t>
      </w:r>
    </w:p>
    <w:p w14:paraId="1C33D76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4697D6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（3）监理人未在收到承包人提交的工程量报表后的7天内完成审核的，承包人报送的工程量报告中的工程量视为承包人实际完成的工程量，据此计算工程价款。</w:t>
      </w:r>
    </w:p>
    <w:p w14:paraId="6BF704F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12.3.4 总价合同的计量</w:t>
      </w:r>
    </w:p>
    <w:p w14:paraId="41105ED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除专用合同条款另有约定外，按月计量支付的总价合同，按照本项约定执行：</w:t>
      </w:r>
    </w:p>
    <w:p w14:paraId="23213B2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（1）承包人应于每月25日向监理人报送上月20日至当月19日已完成的工程量报告，并附具进度付款申请单、已完成工程量报表和有关资料。</w:t>
      </w:r>
    </w:p>
    <w:p w14:paraId="107F655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2262B3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（3）监理人未在收到承包人提交的工程量报表后的7天内完成复核的，承包人提交的工程量报告中的工程量视为承包人实际完成的工程量。</w:t>
      </w:r>
    </w:p>
    <w:p w14:paraId="1867E7E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12.3.5 总价合同采用支付分解表计量支付的，可以按照第12.3.4项〔总价合同的计量〕约定进行计量，但合同价款按照支付分解表进行支付。</w:t>
      </w:r>
    </w:p>
    <w:p w14:paraId="5A6290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12.3.6 其他价格形式合同的计量</w:t>
      </w:r>
    </w:p>
    <w:p w14:paraId="4268032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合同当事人可在专用合同条款中约定其他价格形式合同的计量方式和程序。</w:t>
      </w:r>
    </w:p>
    <w:p w14:paraId="2CB228C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99" w:name="_Toc296503101"/>
      <w:bookmarkStart w:id="400" w:name="_Toc296346602"/>
      <w:bookmarkStart w:id="401" w:name="_Toc375060802"/>
      <w:bookmarkStart w:id="402" w:name="_Toc337558803"/>
      <w:r>
        <w:rPr>
          <w:rFonts w:hint="eastAsia" w:ascii="华文中宋" w:hAnsi="华文中宋" w:eastAsia="华文中宋" w:cs="华文中宋"/>
          <w:b w:val="0"/>
          <w:color w:val="auto"/>
          <w:sz w:val="24"/>
          <w:szCs w:val="24"/>
        </w:rPr>
        <w:t>12.4工程进度款支</w:t>
      </w:r>
      <w:bookmarkEnd w:id="399"/>
      <w:bookmarkEnd w:id="400"/>
      <w:r>
        <w:rPr>
          <w:rFonts w:hint="eastAsia" w:ascii="华文中宋" w:hAnsi="华文中宋" w:eastAsia="华文中宋" w:cs="华文中宋"/>
          <w:b w:val="0"/>
          <w:color w:val="auto"/>
          <w:sz w:val="24"/>
          <w:szCs w:val="24"/>
        </w:rPr>
        <w:t>付</w:t>
      </w:r>
      <w:bookmarkEnd w:id="401"/>
    </w:p>
    <w:bookmarkEnd w:id="402"/>
    <w:p w14:paraId="163DC0D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12.4</w:t>
      </w:r>
      <w:r>
        <w:rPr>
          <w:rFonts w:hint="eastAsia" w:ascii="华文中宋" w:hAnsi="华文中宋" w:eastAsia="华文中宋" w:cs="华文中宋"/>
          <w:color w:val="auto"/>
          <w:kern w:val="0"/>
          <w:sz w:val="24"/>
          <w:szCs w:val="24"/>
        </w:rPr>
        <w:t>.1 付款周期</w:t>
      </w:r>
    </w:p>
    <w:p w14:paraId="48E0304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除专用合同条款另有约定外，付款周期应按照第12.3.2项〔计量周期〕的约定与计量周期保持一致。</w:t>
      </w:r>
    </w:p>
    <w:p w14:paraId="18BACC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12.4</w:t>
      </w:r>
      <w:r>
        <w:rPr>
          <w:rFonts w:hint="eastAsia" w:ascii="华文中宋" w:hAnsi="华文中宋" w:eastAsia="华文中宋" w:cs="华文中宋"/>
          <w:color w:val="auto"/>
          <w:kern w:val="0"/>
          <w:sz w:val="24"/>
          <w:szCs w:val="24"/>
        </w:rPr>
        <w:t>.2 进度付款申请单的编制</w:t>
      </w:r>
    </w:p>
    <w:p w14:paraId="1345C56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除专用合同条款另有约定外，进度付款申请单应包括下列内容：</w:t>
      </w:r>
    </w:p>
    <w:p w14:paraId="0F4DC5B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（1）截至本次付款周期已完成工作对应的金额；</w:t>
      </w:r>
    </w:p>
    <w:p w14:paraId="1CEA71A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（2）根据第10条〔变更〕应增加和扣减的变更金额；</w:t>
      </w:r>
    </w:p>
    <w:p w14:paraId="38A6D8B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（3）根据第12.2款〔预付款〕约定应支付的预付款和扣减的返还预付款；</w:t>
      </w:r>
    </w:p>
    <w:p w14:paraId="06F4856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（4）根据第15.3款〔质量保证金〕约定应扣减的质量保证金；</w:t>
      </w:r>
    </w:p>
    <w:p w14:paraId="06922A0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（5）根据第19条〔索赔〕应增加和扣减的索赔金额；</w:t>
      </w:r>
    </w:p>
    <w:p w14:paraId="6F6D77F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（6）对已签发的进度款支付证书中出现错误的修正，应在本次进度付款中支付或扣除的金额；</w:t>
      </w:r>
    </w:p>
    <w:p w14:paraId="1A5259B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（7）根据合同约定应增加和扣减的其他金额。</w:t>
      </w:r>
    </w:p>
    <w:p w14:paraId="7DA46D3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12.4.3 进度付款申请单的提交</w:t>
      </w:r>
    </w:p>
    <w:p w14:paraId="17F3B68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（1）单价合同进度付款申请单的提交</w:t>
      </w:r>
    </w:p>
    <w:p w14:paraId="07E0E23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509F99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（2）总价合同进度付款申请单的提交</w:t>
      </w:r>
    </w:p>
    <w:p w14:paraId="2D002E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总价合同按月计量支付的，承包人按照第12.3.4项〔总价合同的计量〕约定的时间按月向监理人提交进度付款申请单，并附上已完成工程量报表和有关资料。</w:t>
      </w:r>
    </w:p>
    <w:p w14:paraId="44DE2F8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总价合同按支付分解表支付的，承包人应按照第12.4.6项〔支付分解表〕及第12.4.2项〔进度付款申请单的编制〕的约定向监理人提交进度付款申请单。</w:t>
      </w:r>
    </w:p>
    <w:p w14:paraId="067C7DC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（3）其他价格形式合同的进度付款申请单的提交</w:t>
      </w:r>
    </w:p>
    <w:p w14:paraId="3795AC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合同当事人可在专用合同条款中约定其他价格形式合同的进度付款申请单的编制和提交程序。</w:t>
      </w:r>
    </w:p>
    <w:p w14:paraId="5762EF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12.4</w:t>
      </w:r>
      <w:r>
        <w:rPr>
          <w:rFonts w:hint="eastAsia" w:ascii="华文中宋" w:hAnsi="华文中宋" w:eastAsia="华文中宋" w:cs="华文中宋"/>
          <w:color w:val="auto"/>
          <w:kern w:val="0"/>
          <w:sz w:val="24"/>
          <w:szCs w:val="24"/>
        </w:rPr>
        <w:t>.4 进度款审核和支付</w:t>
      </w:r>
    </w:p>
    <w:p w14:paraId="25CE62A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7D7E6C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2AB4EC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637F79E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（3）发包人签发进度款支付证书或临时进度款支付证书，不表明发包人已同意、批准或接受了承包人完成的相应部分的工作。</w:t>
      </w:r>
    </w:p>
    <w:p w14:paraId="4DC1DAE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12.4.5 进度付款的修正</w:t>
      </w:r>
    </w:p>
    <w:p w14:paraId="01D102E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603E487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12.4.6 支付分解表</w:t>
      </w:r>
    </w:p>
    <w:p w14:paraId="244F6B2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1、支付分解表的编制要求</w:t>
      </w:r>
    </w:p>
    <w:p w14:paraId="54A93E8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（1）支付分解表中所列的每期付款金额，应为第12.4.2项〔进度付款申请单的编制〕第（1）目的估算金额；</w:t>
      </w:r>
    </w:p>
    <w:p w14:paraId="7E8CB46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（2）实际进度与施工进度计划不一致的，合同当事人可按照第4.4款〔商定或确定〕修改支付分解表；</w:t>
      </w:r>
    </w:p>
    <w:p w14:paraId="3E7470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（3）不采用支付分解表的，承包人应向发包人和监理人提交按季度编制的支付估算分解表，用于支付参考。</w:t>
      </w:r>
    </w:p>
    <w:p w14:paraId="183C6BD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2、总价合同支付分解表的编制与审批</w:t>
      </w:r>
    </w:p>
    <w:p w14:paraId="28D4531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044D5A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464C0260">
      <w:pPr>
        <w:pageBreakBefore w:val="0"/>
        <w:kinsoku/>
        <w:wordWrap/>
        <w:overflowPunct/>
        <w:topLinePunct w:val="0"/>
        <w:bidi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（3）发包人逾期未完成支付分解表审批的，也未及时要求承包人进行修正和提供补充资料的，则承包人提交的支付分解表视为已经获得发包人批准。</w:t>
      </w:r>
    </w:p>
    <w:p w14:paraId="237F7A2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3、单价合同的总价项目支付分解表的编制与审批</w:t>
      </w:r>
    </w:p>
    <w:p w14:paraId="35A169C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2E9B27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03" w:name="_Toc375060803"/>
      <w:r>
        <w:rPr>
          <w:rFonts w:hint="eastAsia" w:ascii="华文中宋" w:hAnsi="华文中宋" w:eastAsia="华文中宋" w:cs="华文中宋"/>
          <w:b w:val="0"/>
          <w:color w:val="auto"/>
          <w:sz w:val="24"/>
          <w:szCs w:val="24"/>
        </w:rPr>
        <w:t>12.5支付账户</w:t>
      </w:r>
      <w:bookmarkEnd w:id="403"/>
    </w:p>
    <w:p w14:paraId="2F4B6C5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发包人应将合同价款支付至合同协议书中约定的承包人账户。</w:t>
      </w:r>
    </w:p>
    <w:p w14:paraId="75DDE0C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04" w:name="_Toc375060804"/>
      <w:bookmarkStart w:id="405" w:name="_Toc337558804"/>
      <w:bookmarkStart w:id="406" w:name="_Toc296346607"/>
      <w:bookmarkStart w:id="407" w:name="_Toc322522574"/>
      <w:bookmarkStart w:id="408" w:name="_Toc296503106"/>
      <w:r>
        <w:rPr>
          <w:rFonts w:hint="eastAsia" w:ascii="华文中宋" w:hAnsi="华文中宋" w:eastAsia="华文中宋" w:cs="华文中宋"/>
          <w:b w:val="0"/>
          <w:color w:val="auto"/>
          <w:sz w:val="24"/>
          <w:szCs w:val="24"/>
        </w:rPr>
        <w:t>13. 验收和工程试车</w:t>
      </w:r>
      <w:bookmarkEnd w:id="404"/>
    </w:p>
    <w:bookmarkEnd w:id="405"/>
    <w:bookmarkEnd w:id="406"/>
    <w:bookmarkEnd w:id="407"/>
    <w:bookmarkEnd w:id="408"/>
    <w:p w14:paraId="5FDBA82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09" w:name="_Toc375060805"/>
      <w:bookmarkStart w:id="410" w:name="_Toc337558805"/>
      <w:bookmarkStart w:id="411" w:name="_Toc296503110"/>
      <w:bookmarkStart w:id="412" w:name="_Toc296346611"/>
      <w:r>
        <w:rPr>
          <w:rFonts w:hint="eastAsia" w:ascii="华文中宋" w:hAnsi="华文中宋" w:eastAsia="华文中宋" w:cs="华文中宋"/>
          <w:b w:val="0"/>
          <w:color w:val="auto"/>
          <w:sz w:val="24"/>
          <w:szCs w:val="24"/>
        </w:rPr>
        <w:t>13.1分部分项工程验收</w:t>
      </w:r>
      <w:bookmarkEnd w:id="409"/>
    </w:p>
    <w:bookmarkEnd w:id="410"/>
    <w:p w14:paraId="2B58FAF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13.1.1 分部分项工程质量应符合国家有关工程施工验收规范、标准及合同约定，承包人应按照施工组织设计的要求完成分部分项工程施工。</w:t>
      </w:r>
    </w:p>
    <w:p w14:paraId="4DB8329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13.1.2 除专用合同条款另有约定外，分部分项工程经承包人自检合格并具备验收条件的，承包人应提前48小时通知监理人进行验收。</w:t>
      </w:r>
      <w:r>
        <w:rPr>
          <w:rFonts w:hint="eastAsia" w:ascii="华文中宋" w:hAnsi="华文中宋" w:eastAsia="华文中宋" w:cs="华文中宋"/>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华文中宋" w:hAnsi="华文中宋" w:eastAsia="华文中宋" w:cs="华文中宋"/>
          <w:color w:val="auto"/>
          <w:sz w:val="24"/>
          <w:szCs w:val="24"/>
        </w:rPr>
        <w:t>分部分项工程未经验收的，不得进入下一道工序施工。</w:t>
      </w:r>
    </w:p>
    <w:p w14:paraId="02603B3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分部分项工程的验收资料应当作为竣工资料的组成部分。</w:t>
      </w:r>
    </w:p>
    <w:p w14:paraId="7BA32B4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13" w:name="_Toc375060806"/>
      <w:bookmarkStart w:id="414" w:name="_Toc337558806"/>
      <w:r>
        <w:rPr>
          <w:rFonts w:hint="eastAsia" w:ascii="华文中宋" w:hAnsi="华文中宋" w:eastAsia="华文中宋" w:cs="华文中宋"/>
          <w:b w:val="0"/>
          <w:color w:val="auto"/>
          <w:sz w:val="24"/>
          <w:szCs w:val="24"/>
        </w:rPr>
        <w:t>13.2竣工验收</w:t>
      </w:r>
      <w:bookmarkEnd w:id="413"/>
    </w:p>
    <w:bookmarkEnd w:id="411"/>
    <w:bookmarkEnd w:id="412"/>
    <w:bookmarkEnd w:id="414"/>
    <w:p w14:paraId="0602DE3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13.2.1竣工验收条件</w:t>
      </w:r>
    </w:p>
    <w:p w14:paraId="104B19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工程具备以下条件的，承包人可以申请竣工验收：</w:t>
      </w:r>
    </w:p>
    <w:p w14:paraId="1C3B0D2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（1）除发包人同意的甩项工作和缺陷修补工作外，合同范围内的全部工程以及有关工作，包括合同要求的试验、试运行以及检验均已完成，并符合合同要求；</w:t>
      </w:r>
    </w:p>
    <w:p w14:paraId="00EB995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（2）已按合同约定编制了甩项工作和缺陷修补工作清单以及相应的施工计划；</w:t>
      </w:r>
    </w:p>
    <w:p w14:paraId="2376CBC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（3）已按合同约定的内容和份数备齐竣工资料。</w:t>
      </w:r>
    </w:p>
    <w:p w14:paraId="50FD99E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13.2.2竣工验收程序</w:t>
      </w:r>
    </w:p>
    <w:p w14:paraId="30F38D1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除专用合同条款另有约定外，承包人申请竣工验收的，应当按照以下程序进行：</w:t>
      </w:r>
    </w:p>
    <w:p w14:paraId="5087417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F2927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A6DD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3B2B27D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3983C4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96E947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0BCDB6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13.2.3竣工日期</w:t>
      </w:r>
    </w:p>
    <w:p w14:paraId="5907CBA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15" w:name="#go14"/>
      <w:bookmarkEnd w:id="415"/>
      <w:r>
        <w:rPr>
          <w:rFonts w:hint="eastAsia" w:ascii="华文中宋" w:hAnsi="华文中宋" w:eastAsia="华文中宋" w:cs="华文中宋"/>
          <w:color w:val="auto"/>
          <w:kern w:val="0"/>
          <w:sz w:val="24"/>
          <w:szCs w:val="24"/>
        </w:rPr>
        <w:t>收申请报告的日期为实际竣工日期；工程未经竣工验收，发包人擅自使用的，以转移占有工程之日为实际竣工日期。</w:t>
      </w:r>
    </w:p>
    <w:p w14:paraId="196F8AC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13.2.4 拒绝接收全部或部分工程</w:t>
      </w:r>
    </w:p>
    <w:p w14:paraId="4C0557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6A2841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13.2.5 移交、接收全部与部分工程</w:t>
      </w:r>
    </w:p>
    <w:p w14:paraId="3365276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除专用合同条款另有约定外，合同当事人应当在颁发工程接收证书后7天内完成工程的移交。</w:t>
      </w:r>
    </w:p>
    <w:p w14:paraId="25D82E2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A0372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6D7393C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16" w:name="_Toc375060807"/>
      <w:bookmarkStart w:id="417" w:name="_Toc296503111"/>
      <w:bookmarkStart w:id="418" w:name="_Toc296346612"/>
      <w:bookmarkStart w:id="419" w:name="_Toc337558807"/>
      <w:r>
        <w:rPr>
          <w:rFonts w:hint="eastAsia" w:ascii="华文中宋" w:hAnsi="华文中宋" w:eastAsia="华文中宋" w:cs="华文中宋"/>
          <w:b w:val="0"/>
          <w:color w:val="auto"/>
          <w:sz w:val="24"/>
          <w:szCs w:val="24"/>
        </w:rPr>
        <w:t>13.3工程试车</w:t>
      </w:r>
      <w:bookmarkEnd w:id="416"/>
    </w:p>
    <w:bookmarkEnd w:id="417"/>
    <w:bookmarkEnd w:id="418"/>
    <w:bookmarkEnd w:id="419"/>
    <w:p w14:paraId="6C1746B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13.3.1试车程序</w:t>
      </w:r>
    </w:p>
    <w:p w14:paraId="406799F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工程需要试车的，除专用合同条款另有约定外，试车内容应与承包人承包范围相一致，试车费用由承包人承担。工程试车应按如下程序进行：</w:t>
      </w:r>
    </w:p>
    <w:p w14:paraId="13E0585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974021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6DFF1C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56D831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13.3.2 试车中的责任</w:t>
      </w:r>
    </w:p>
    <w:p w14:paraId="5E0BC65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C13DC8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FA33F0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13.3.3 投料试车</w:t>
      </w:r>
    </w:p>
    <w:p w14:paraId="4565F85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035188C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8ED9AE9">
      <w:pPr>
        <w:pStyle w:val="6"/>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20" w:name="_Toc337558808"/>
      <w:r>
        <w:rPr>
          <w:rFonts w:hint="eastAsia" w:ascii="华文中宋" w:hAnsi="华文中宋" w:eastAsia="华文中宋" w:cs="华文中宋"/>
          <w:b w:val="0"/>
          <w:color w:val="auto"/>
          <w:sz w:val="24"/>
          <w:szCs w:val="24"/>
        </w:rPr>
        <w:t xml:space="preserve">    </w:t>
      </w:r>
      <w:bookmarkStart w:id="421" w:name="_Toc375060808"/>
      <w:r>
        <w:rPr>
          <w:rFonts w:hint="eastAsia" w:ascii="华文中宋" w:hAnsi="华文中宋" w:eastAsia="华文中宋" w:cs="华文中宋"/>
          <w:b w:val="0"/>
          <w:color w:val="auto"/>
          <w:sz w:val="24"/>
          <w:szCs w:val="24"/>
        </w:rPr>
        <w:t>13.4提前交付单位工程的验收</w:t>
      </w:r>
      <w:bookmarkEnd w:id="421"/>
    </w:p>
    <w:bookmarkEnd w:id="420"/>
    <w:p w14:paraId="708687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009AB7F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5AE1A0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13.4.2 发包人要求在工程竣工前交付单位工程，由此导致承包人费用增加和（或）工期延误的，由发包人承担由此增加的费用和（或）延误的工期，并支付承包人合理的利润。</w:t>
      </w:r>
    </w:p>
    <w:p w14:paraId="455C014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22" w:name="_Toc375060809"/>
      <w:r>
        <w:rPr>
          <w:rFonts w:hint="eastAsia" w:ascii="华文中宋" w:hAnsi="华文中宋" w:eastAsia="华文中宋" w:cs="华文中宋"/>
          <w:b w:val="0"/>
          <w:color w:val="auto"/>
          <w:sz w:val="24"/>
          <w:szCs w:val="24"/>
        </w:rPr>
        <w:t>13.5 施工期运行</w:t>
      </w:r>
      <w:bookmarkEnd w:id="422"/>
    </w:p>
    <w:p w14:paraId="3D7A1C4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AA7B8A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13.5.2 在施工期运行中发现工程或工程设备损坏或存在缺陷的，由承包人按第15.2款〔缺陷责任期〕约定进行修复。</w:t>
      </w:r>
    </w:p>
    <w:p w14:paraId="0BFC10B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23" w:name="_Toc296346613"/>
      <w:bookmarkStart w:id="424" w:name="_Toc296503112"/>
      <w:bookmarkStart w:id="425" w:name="_Toc375060810"/>
      <w:bookmarkStart w:id="426" w:name="_Toc337558809"/>
      <w:r>
        <w:rPr>
          <w:rFonts w:hint="eastAsia" w:ascii="华文中宋" w:hAnsi="华文中宋" w:eastAsia="华文中宋" w:cs="华文中宋"/>
          <w:b w:val="0"/>
          <w:color w:val="auto"/>
          <w:sz w:val="24"/>
          <w:szCs w:val="24"/>
        </w:rPr>
        <w:t>13.6 竣工退</w:t>
      </w:r>
      <w:bookmarkEnd w:id="423"/>
      <w:bookmarkEnd w:id="424"/>
      <w:r>
        <w:rPr>
          <w:rFonts w:hint="eastAsia" w:ascii="华文中宋" w:hAnsi="华文中宋" w:eastAsia="华文中宋" w:cs="华文中宋"/>
          <w:b w:val="0"/>
          <w:color w:val="auto"/>
          <w:sz w:val="24"/>
          <w:szCs w:val="24"/>
        </w:rPr>
        <w:t>场</w:t>
      </w:r>
      <w:bookmarkEnd w:id="425"/>
    </w:p>
    <w:bookmarkEnd w:id="426"/>
    <w:p w14:paraId="40F7306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13.6.1 竣工退场</w:t>
      </w:r>
    </w:p>
    <w:p w14:paraId="71DEABB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颁发工程接收证书后，承包人应按以下要求对施工现场进行清理：</w:t>
      </w:r>
    </w:p>
    <w:p w14:paraId="3E65711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（1）施工现场内残留的垃圾已全部清除出场；</w:t>
      </w:r>
    </w:p>
    <w:p w14:paraId="7238C8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（2）临时工程已拆除，场地已进行清理、平整或复原；</w:t>
      </w:r>
    </w:p>
    <w:p w14:paraId="38923DF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（3）按合同约定应撤离的人员、承包人施工设备和剩余的材料，包括废弃的施工设备和材料，已按计划撤离施工现场；</w:t>
      </w:r>
    </w:p>
    <w:p w14:paraId="6F00AC8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（4）施工现场周边及其附近道路、河道的施工堆积物，已全部清理；</w:t>
      </w:r>
    </w:p>
    <w:p w14:paraId="1865D28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（5）施工现场其他场地清理工作已全部完成。</w:t>
      </w:r>
    </w:p>
    <w:p w14:paraId="41A483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46D7EF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13.6.2 地表还原</w:t>
      </w:r>
    </w:p>
    <w:p w14:paraId="3116F77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7373887D">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27" w:name="_Toc375060811"/>
      <w:bookmarkStart w:id="428" w:name="_Toc337558810"/>
      <w:bookmarkStart w:id="429" w:name="_Toc296503113"/>
      <w:bookmarkStart w:id="430" w:name="_Toc296346614"/>
      <w:r>
        <w:rPr>
          <w:rFonts w:hint="eastAsia" w:ascii="华文中宋" w:hAnsi="华文中宋" w:eastAsia="华文中宋" w:cs="华文中宋"/>
          <w:b w:val="0"/>
          <w:color w:val="auto"/>
          <w:sz w:val="24"/>
          <w:szCs w:val="24"/>
        </w:rPr>
        <w:t>14. 竣工结算</w:t>
      </w:r>
      <w:bookmarkEnd w:id="427"/>
    </w:p>
    <w:bookmarkEnd w:id="428"/>
    <w:p w14:paraId="22F8C3B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1" w:name="_Toc375060812"/>
      <w:bookmarkStart w:id="432" w:name="_Toc337558811"/>
      <w:r>
        <w:rPr>
          <w:rFonts w:hint="eastAsia" w:ascii="华文中宋" w:hAnsi="华文中宋" w:eastAsia="华文中宋" w:cs="华文中宋"/>
          <w:b w:val="0"/>
          <w:color w:val="auto"/>
          <w:sz w:val="24"/>
          <w:szCs w:val="24"/>
        </w:rPr>
        <w:t>14.1 竣工结算申请</w:t>
      </w:r>
      <w:bookmarkEnd w:id="431"/>
    </w:p>
    <w:bookmarkEnd w:id="432"/>
    <w:p w14:paraId="0A9C703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除专用合同条款另有约定外，</w:t>
      </w:r>
      <w:r>
        <w:rPr>
          <w:rFonts w:hint="eastAsia" w:ascii="华文中宋" w:hAnsi="华文中宋" w:eastAsia="华文中宋" w:cs="华文中宋"/>
          <w:color w:val="auto"/>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500CF13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除专用合同条款另有约定外，竣工结算申请单应包括以下内容：</w:t>
      </w:r>
    </w:p>
    <w:p w14:paraId="6B303E6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（1）竣工结算合同价格；</w:t>
      </w:r>
    </w:p>
    <w:p w14:paraId="09188A6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（2）发包人已支付承包人的款项；</w:t>
      </w:r>
    </w:p>
    <w:p w14:paraId="646EBA8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（3）应扣留的质量保证金。已缴纳履约保证金的或提供其他工程质量担保方式的除外； </w:t>
      </w:r>
    </w:p>
    <w:p w14:paraId="4153D65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（4）发包人应支付承包人的合同价款。</w:t>
      </w:r>
    </w:p>
    <w:p w14:paraId="4730F86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3" w:name="_Toc375060813"/>
      <w:bookmarkStart w:id="434" w:name="_Toc337558812"/>
      <w:r>
        <w:rPr>
          <w:rFonts w:hint="eastAsia" w:ascii="华文中宋" w:hAnsi="华文中宋" w:eastAsia="华文中宋" w:cs="华文中宋"/>
          <w:b w:val="0"/>
          <w:color w:val="auto"/>
          <w:sz w:val="24"/>
          <w:szCs w:val="24"/>
        </w:rPr>
        <w:t>14.2 竣工结算审核</w:t>
      </w:r>
      <w:bookmarkEnd w:id="433"/>
    </w:p>
    <w:bookmarkEnd w:id="434"/>
    <w:p w14:paraId="4E227EE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华文中宋" w:hAnsi="华文中宋" w:eastAsia="华文中宋" w:cs="华文中宋"/>
          <w:color w:val="auto"/>
          <w:sz w:val="24"/>
          <w:szCs w:val="24"/>
        </w:rPr>
        <w:t>发包人对竣工</w:t>
      </w:r>
      <w:r>
        <w:rPr>
          <w:rFonts w:hint="eastAsia" w:ascii="华文中宋" w:hAnsi="华文中宋" w:eastAsia="华文中宋" w:cs="华文中宋"/>
          <w:color w:val="auto"/>
          <w:kern w:val="0"/>
          <w:sz w:val="24"/>
          <w:szCs w:val="24"/>
        </w:rPr>
        <w:t>结算</w:t>
      </w:r>
      <w:r>
        <w:rPr>
          <w:rFonts w:hint="eastAsia" w:ascii="华文中宋" w:hAnsi="华文中宋" w:eastAsia="华文中宋" w:cs="华文中宋"/>
          <w:color w:val="auto"/>
          <w:sz w:val="24"/>
          <w:szCs w:val="24"/>
        </w:rPr>
        <w:t>申请单有异议的，有权要求承包人进行修正和提供补充资料，承包人应提交修正后的竣工</w:t>
      </w:r>
      <w:r>
        <w:rPr>
          <w:rFonts w:hint="eastAsia" w:ascii="华文中宋" w:hAnsi="华文中宋" w:eastAsia="华文中宋" w:cs="华文中宋"/>
          <w:color w:val="auto"/>
          <w:kern w:val="0"/>
          <w:sz w:val="24"/>
          <w:szCs w:val="24"/>
        </w:rPr>
        <w:t>结算</w:t>
      </w:r>
      <w:r>
        <w:rPr>
          <w:rFonts w:hint="eastAsia" w:ascii="华文中宋" w:hAnsi="华文中宋" w:eastAsia="华文中宋" w:cs="华文中宋"/>
          <w:color w:val="auto"/>
          <w:sz w:val="24"/>
          <w:szCs w:val="24"/>
        </w:rPr>
        <w:t>申请单。</w:t>
      </w:r>
    </w:p>
    <w:p w14:paraId="444BA16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C0F8DF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67D761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42516F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5" w:name="_Toc375060814"/>
      <w:bookmarkStart w:id="436" w:name="_Toc337558813"/>
      <w:r>
        <w:rPr>
          <w:rFonts w:hint="eastAsia" w:ascii="华文中宋" w:hAnsi="华文中宋" w:eastAsia="华文中宋" w:cs="华文中宋"/>
          <w:b w:val="0"/>
          <w:color w:val="auto"/>
          <w:sz w:val="24"/>
          <w:szCs w:val="24"/>
        </w:rPr>
        <w:t>14.3 甩项竣工协议</w:t>
      </w:r>
      <w:bookmarkEnd w:id="435"/>
    </w:p>
    <w:bookmarkEnd w:id="436"/>
    <w:p w14:paraId="44D48790">
      <w:pPr>
        <w:pageBreakBefore w:val="0"/>
        <w:kinsoku/>
        <w:wordWrap/>
        <w:overflowPunct/>
        <w:topLinePunct w:val="0"/>
        <w:autoSpaceDE w:val="0"/>
        <w:autoSpaceDN w:val="0"/>
        <w:bidi w:val="0"/>
        <w:adjustRightInd w:val="0"/>
        <w:snapToGrid/>
        <w:spacing w:line="360" w:lineRule="auto"/>
        <w:ind w:firstLine="470" w:firstLineChars="196"/>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E58407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7" w:name="_Toc375060815"/>
      <w:bookmarkStart w:id="438" w:name="_Toc337558814"/>
      <w:r>
        <w:rPr>
          <w:rFonts w:hint="eastAsia" w:ascii="华文中宋" w:hAnsi="华文中宋" w:eastAsia="华文中宋" w:cs="华文中宋"/>
          <w:b w:val="0"/>
          <w:color w:val="auto"/>
          <w:sz w:val="24"/>
          <w:szCs w:val="24"/>
        </w:rPr>
        <w:t>14.4 最终结清</w:t>
      </w:r>
      <w:bookmarkEnd w:id="437"/>
    </w:p>
    <w:bookmarkEnd w:id="438"/>
    <w:p w14:paraId="6C060BC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14.4.1 最终结清申请单</w:t>
      </w:r>
    </w:p>
    <w:p w14:paraId="74ADE5B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（1）除专用合同条款另有约定外，承包人应在缺陷责任期终止证书颁发后7天内，按专用合同条款约定的份数向发包人提交最终结清申请单，并提供相关证明材料。</w:t>
      </w:r>
    </w:p>
    <w:p w14:paraId="238D2D6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w:t>
      </w:r>
      <w:r>
        <w:rPr>
          <w:rFonts w:hint="eastAsia" w:ascii="华文中宋" w:hAnsi="华文中宋" w:eastAsia="华文中宋" w:cs="华文中宋"/>
          <w:color w:val="auto"/>
          <w:kern w:val="0"/>
          <w:sz w:val="24"/>
          <w:szCs w:val="24"/>
        </w:rPr>
        <w:t>最终结清申请单</w:t>
      </w:r>
      <w:r>
        <w:rPr>
          <w:rFonts w:hint="eastAsia" w:ascii="华文中宋" w:hAnsi="华文中宋" w:eastAsia="华文中宋" w:cs="华文中宋"/>
          <w:color w:val="auto"/>
          <w:sz w:val="24"/>
          <w:szCs w:val="24"/>
        </w:rPr>
        <w:t>应列明质量保证金、应扣除的质量保证金、缺陷责任期内发生的增减费用。</w:t>
      </w:r>
    </w:p>
    <w:p w14:paraId="6A1F03A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（2）发包人对最终结清申请单内容有异议的，有权要求承包人进行修正和提供补充资料，承包人应向发包人提交修正后的最终结清申请单。</w:t>
      </w:r>
    </w:p>
    <w:p w14:paraId="6E83521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14.4.2 最终结清证书和支付</w:t>
      </w:r>
    </w:p>
    <w:p w14:paraId="74BB1D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5E35D2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AA27B4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（3）承包人对发包人颁发的最终结清证书有异议的，按第20条〔争议解决〕的约定办理。</w:t>
      </w:r>
    </w:p>
    <w:p w14:paraId="474F2A87">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39" w:name="_Toc375060816"/>
      <w:bookmarkStart w:id="440" w:name="_Toc337558815"/>
      <w:r>
        <w:rPr>
          <w:rFonts w:hint="eastAsia" w:ascii="华文中宋" w:hAnsi="华文中宋" w:eastAsia="华文中宋" w:cs="华文中宋"/>
          <w:b w:val="0"/>
          <w:color w:val="auto"/>
          <w:sz w:val="24"/>
          <w:szCs w:val="24"/>
        </w:rPr>
        <w:t>15. 缺陷责任与保修</w:t>
      </w:r>
      <w:bookmarkEnd w:id="439"/>
    </w:p>
    <w:bookmarkEnd w:id="429"/>
    <w:bookmarkEnd w:id="430"/>
    <w:bookmarkEnd w:id="440"/>
    <w:p w14:paraId="5380D53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41" w:name="_Toc375060817"/>
      <w:bookmarkStart w:id="442" w:name="_Toc337558816"/>
      <w:bookmarkStart w:id="443" w:name="_Toc296346615"/>
      <w:bookmarkStart w:id="444" w:name="_Toc296503114"/>
      <w:r>
        <w:rPr>
          <w:rFonts w:hint="eastAsia" w:ascii="华文中宋" w:hAnsi="华文中宋" w:eastAsia="华文中宋" w:cs="华文中宋"/>
          <w:b w:val="0"/>
          <w:color w:val="auto"/>
          <w:sz w:val="24"/>
          <w:szCs w:val="24"/>
        </w:rPr>
        <w:t>15.1 工程保修的原则</w:t>
      </w:r>
      <w:bookmarkEnd w:id="441"/>
    </w:p>
    <w:bookmarkEnd w:id="442"/>
    <w:p w14:paraId="2AFE3B3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4F87936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45" w:name="_Toc375060818"/>
      <w:bookmarkStart w:id="446" w:name="_Toc337558817"/>
      <w:r>
        <w:rPr>
          <w:rFonts w:hint="eastAsia" w:ascii="华文中宋" w:hAnsi="华文中宋" w:eastAsia="华文中宋" w:cs="华文中宋"/>
          <w:b w:val="0"/>
          <w:color w:val="auto"/>
          <w:sz w:val="24"/>
          <w:szCs w:val="24"/>
        </w:rPr>
        <w:t>15.2 缺陷责任期</w:t>
      </w:r>
      <w:bookmarkEnd w:id="443"/>
      <w:bookmarkEnd w:id="444"/>
      <w:bookmarkEnd w:id="445"/>
    </w:p>
    <w:bookmarkEnd w:id="446"/>
    <w:p w14:paraId="34AD00E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15.2.1 缺陷责任期从工程通过竣工验收之日起计算，合同当事人应在专用合同条款约定缺陷责任期的具体期限，但该期限最长不超过24个月。</w:t>
      </w:r>
    </w:p>
    <w:p w14:paraId="6629762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C99943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15.2.2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09D289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由他人原因造成的缺陷，发包人负责组织维修，承包人不承担费用，且发包人不得从保证金中扣除费用。</w:t>
      </w:r>
    </w:p>
    <w:p w14:paraId="4CDDFA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3D7462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9AFD41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47" w:name="_Toc375060819"/>
      <w:bookmarkStart w:id="448" w:name="_Toc337558818"/>
      <w:bookmarkStart w:id="449" w:name="_Toc296346616"/>
      <w:bookmarkStart w:id="450" w:name="_Toc296503115"/>
      <w:r>
        <w:rPr>
          <w:rFonts w:hint="eastAsia" w:ascii="华文中宋" w:hAnsi="华文中宋" w:eastAsia="华文中宋" w:cs="华文中宋"/>
          <w:b w:val="0"/>
          <w:color w:val="auto"/>
          <w:sz w:val="24"/>
          <w:szCs w:val="24"/>
        </w:rPr>
        <w:t>15.3 质量保证金</w:t>
      </w:r>
      <w:bookmarkEnd w:id="447"/>
    </w:p>
    <w:bookmarkEnd w:id="448"/>
    <w:p w14:paraId="09BDDE8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经合同当事人协商一致扣留质量保证金的，应在专用合同条款中予以明确。</w:t>
      </w:r>
    </w:p>
    <w:p w14:paraId="29C2B09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在工程项目竣工前，承包人已经提供履约担保的，发包人不得同时预留工程质量保证金。</w:t>
      </w:r>
    </w:p>
    <w:p w14:paraId="416F082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15.3.1 承包人提供质量保证金的方式</w:t>
      </w:r>
    </w:p>
    <w:p w14:paraId="15796AD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承包人提供质量保证金有以下三种方式：</w:t>
      </w:r>
    </w:p>
    <w:p w14:paraId="2E91BF0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（1）质量保证金保函； </w:t>
      </w:r>
    </w:p>
    <w:p w14:paraId="72B7BEF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（2）相应比例的工程款；</w:t>
      </w:r>
    </w:p>
    <w:p w14:paraId="5C37FE6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（3）双方约定的其他方式。</w:t>
      </w:r>
    </w:p>
    <w:p w14:paraId="0ED16AF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除专用合同条款另有约定外，质量保证金原则上采用上述第（1）种方式。</w:t>
      </w:r>
    </w:p>
    <w:p w14:paraId="15F18B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15.3.2 质量保证金的扣留</w:t>
      </w:r>
    </w:p>
    <w:p w14:paraId="34C16AC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质量保证金的扣留有以下三种方式：</w:t>
      </w:r>
    </w:p>
    <w:p w14:paraId="3DCB136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（1）在支付工程进度款时逐次扣留，在此情形下，质量保证金的计算基数不包括预付款的支付、扣回以及价格调整的金额；</w:t>
      </w:r>
    </w:p>
    <w:p w14:paraId="5B14CB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（2）工</w:t>
      </w:r>
      <w:bookmarkStart w:id="451" w:name="#go6"/>
      <w:bookmarkEnd w:id="451"/>
      <w:r>
        <w:rPr>
          <w:rFonts w:hint="eastAsia" w:ascii="华文中宋" w:hAnsi="华文中宋" w:eastAsia="华文中宋" w:cs="华文中宋"/>
          <w:color w:val="auto"/>
          <w:kern w:val="0"/>
          <w:sz w:val="24"/>
          <w:szCs w:val="24"/>
        </w:rPr>
        <w:t>程竣工结算时一次性扣留质量保证金；</w:t>
      </w:r>
    </w:p>
    <w:p w14:paraId="3B0E1C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（3）双方约定的其他扣留方式。</w:t>
      </w:r>
    </w:p>
    <w:p w14:paraId="19F9F89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除专用合同条款另有约定外，质量保证金的扣留原则上采用上述第（1）种方式。</w:t>
      </w:r>
    </w:p>
    <w:p w14:paraId="36DF520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w:t>
      </w:r>
      <w:bookmarkStart w:id="452" w:name="#go4"/>
      <w:bookmarkEnd w:id="452"/>
      <w:r>
        <w:rPr>
          <w:rFonts w:hint="eastAsia" w:ascii="华文中宋" w:hAnsi="华文中宋" w:eastAsia="华文中宋" w:cs="华文中宋"/>
          <w:color w:val="auto"/>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5CDD90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发包人在退还质量保证金的同时按照中国人民银行发布的同期同类贷款基准利率支付利息。</w:t>
      </w:r>
    </w:p>
    <w:p w14:paraId="207731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15.3.3 </w:t>
      </w:r>
      <w:r>
        <w:rPr>
          <w:rFonts w:hint="eastAsia" w:ascii="华文中宋" w:hAnsi="华文中宋" w:eastAsia="华文中宋" w:cs="华文中宋"/>
          <w:color w:val="auto"/>
          <w:sz w:val="24"/>
          <w:szCs w:val="24"/>
        </w:rPr>
        <w:t>质量保证金</w:t>
      </w:r>
      <w:r>
        <w:rPr>
          <w:rFonts w:hint="eastAsia" w:ascii="华文中宋" w:hAnsi="华文中宋" w:eastAsia="华文中宋" w:cs="华文中宋"/>
          <w:color w:val="auto"/>
          <w:kern w:val="0"/>
          <w:sz w:val="24"/>
          <w:szCs w:val="24"/>
        </w:rPr>
        <w:t>的退还</w:t>
      </w:r>
    </w:p>
    <w:p w14:paraId="375C5F4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缺陷责任期内，承包人认真履行合同约定的责任，到期后，承包人可向发包人申请返还保证金。</w:t>
      </w:r>
    </w:p>
    <w:p w14:paraId="1FA0D1A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B852FA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发包人和承包人对保证金预留、返还以及工程维修质量、费用有争议的，按本合同第20条约定的争议和纠纷解决程序处理。</w:t>
      </w:r>
    </w:p>
    <w:p w14:paraId="7F803DE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53" w:name="_Toc375060820"/>
      <w:bookmarkStart w:id="454" w:name="_Toc337558819"/>
      <w:r>
        <w:rPr>
          <w:rFonts w:hint="eastAsia" w:ascii="华文中宋" w:hAnsi="华文中宋" w:eastAsia="华文中宋" w:cs="华文中宋"/>
          <w:b w:val="0"/>
          <w:color w:val="auto"/>
          <w:sz w:val="24"/>
          <w:szCs w:val="24"/>
        </w:rPr>
        <w:t>15.4 保修</w:t>
      </w:r>
      <w:bookmarkEnd w:id="453"/>
    </w:p>
    <w:bookmarkEnd w:id="449"/>
    <w:bookmarkEnd w:id="450"/>
    <w:bookmarkEnd w:id="454"/>
    <w:p w14:paraId="4471ED6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15.4.1保修责任</w:t>
      </w:r>
    </w:p>
    <w:p w14:paraId="29ED3E7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4FB217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发包人未经竣工验收擅自使用工程的，保修期自</w:t>
      </w:r>
      <w:r>
        <w:rPr>
          <w:rFonts w:hint="eastAsia" w:ascii="华文中宋" w:hAnsi="华文中宋" w:eastAsia="华文中宋" w:cs="华文中宋"/>
          <w:color w:val="auto"/>
          <w:kern w:val="0"/>
          <w:sz w:val="24"/>
          <w:szCs w:val="24"/>
        </w:rPr>
        <w:t>转移占有之日起算</w:t>
      </w:r>
      <w:r>
        <w:rPr>
          <w:rFonts w:hint="eastAsia" w:ascii="华文中宋" w:hAnsi="华文中宋" w:eastAsia="华文中宋" w:cs="华文中宋"/>
          <w:color w:val="auto"/>
          <w:sz w:val="24"/>
          <w:szCs w:val="24"/>
        </w:rPr>
        <w:t>。</w:t>
      </w:r>
    </w:p>
    <w:p w14:paraId="0DCCF9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15.4.2 修复费用</w:t>
      </w:r>
    </w:p>
    <w:p w14:paraId="29F573E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保修期内，修复的费用按照以下约定处理：</w:t>
      </w:r>
    </w:p>
    <w:p w14:paraId="180C30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（1）保修期内，因承包人原因造成工程的缺陷、损坏，承包人应负责修复，并承担修复的费用以及因工程的缺陷、损坏造成的人身伤害和财产损失；</w:t>
      </w:r>
    </w:p>
    <w:p w14:paraId="5CCC8D1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（2）保修期内，因发包人使用不当造成工程的缺陷、损坏，可以委托承包人修复，但发包人应承担修复的费用，并支付承包人合理利润；</w:t>
      </w:r>
    </w:p>
    <w:p w14:paraId="64C6419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14:paraId="0EC7531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15.4.3 修复通知</w:t>
      </w:r>
    </w:p>
    <w:p w14:paraId="65E2859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A71216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15.4.4 未能修复</w:t>
      </w:r>
    </w:p>
    <w:p w14:paraId="4BE022E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BB505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15.4.5 承包人出入权</w:t>
      </w:r>
    </w:p>
    <w:p w14:paraId="291EE8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3853DFE">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55" w:name="_Toc375060821"/>
      <w:bookmarkStart w:id="456" w:name="_Toc337558820"/>
      <w:r>
        <w:rPr>
          <w:rFonts w:hint="eastAsia" w:ascii="华文中宋" w:hAnsi="华文中宋" w:eastAsia="华文中宋" w:cs="华文中宋"/>
          <w:b w:val="0"/>
          <w:color w:val="auto"/>
          <w:sz w:val="24"/>
          <w:szCs w:val="24"/>
        </w:rPr>
        <w:t>16. 违约</w:t>
      </w:r>
      <w:bookmarkEnd w:id="455"/>
    </w:p>
    <w:bookmarkEnd w:id="456"/>
    <w:p w14:paraId="2D1E2AC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57" w:name="_Toc296503129"/>
      <w:bookmarkStart w:id="458" w:name="_Toc296346630"/>
      <w:bookmarkStart w:id="459" w:name="_Toc375060822"/>
      <w:bookmarkStart w:id="460" w:name="_Toc337558821"/>
      <w:r>
        <w:rPr>
          <w:rFonts w:hint="eastAsia" w:ascii="华文中宋" w:hAnsi="华文中宋" w:eastAsia="华文中宋" w:cs="华文中宋"/>
          <w:b w:val="0"/>
          <w:color w:val="auto"/>
          <w:sz w:val="24"/>
          <w:szCs w:val="24"/>
        </w:rPr>
        <w:t>16.1 发</w:t>
      </w:r>
      <w:bookmarkEnd w:id="457"/>
      <w:bookmarkEnd w:id="458"/>
      <w:r>
        <w:rPr>
          <w:rFonts w:hint="eastAsia" w:ascii="华文中宋" w:hAnsi="华文中宋" w:eastAsia="华文中宋" w:cs="华文中宋"/>
          <w:b w:val="0"/>
          <w:color w:val="auto"/>
          <w:sz w:val="24"/>
          <w:szCs w:val="24"/>
        </w:rPr>
        <w:t>包人违约</w:t>
      </w:r>
      <w:bookmarkEnd w:id="459"/>
    </w:p>
    <w:bookmarkEnd w:id="460"/>
    <w:p w14:paraId="7B6C131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16.1.1 发包人违约的情形</w:t>
      </w:r>
    </w:p>
    <w:p w14:paraId="05463DA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在合同履行过程中发生的下列情形，属于发包人违约：</w:t>
      </w:r>
    </w:p>
    <w:p w14:paraId="2ECC8BA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（1）因发包人原因未能在计划开工日期前7天内下达开工通知的；</w:t>
      </w:r>
    </w:p>
    <w:p w14:paraId="58D6F88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（2）因发包人原因未能按合同约定支付合同价款的；</w:t>
      </w:r>
    </w:p>
    <w:p w14:paraId="7700312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（3）发包人违反第10.1款〔变更的范围〕第（2）项约定，自行实施被取消的工作或转由他人实施的；</w:t>
      </w:r>
    </w:p>
    <w:p w14:paraId="46708DA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（4）发包人提供的材料、工程设备的规格、数量或质量不符合合同约定，或因发包人原因导致交货日期延误或交货地点变更等情况的；</w:t>
      </w:r>
    </w:p>
    <w:p w14:paraId="07C8D6E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（5）因发包人违反合同约定造成暂停施工的；</w:t>
      </w:r>
    </w:p>
    <w:p w14:paraId="3D2FCEE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（6）发包人无正当理由没有在约定期限内发出复工指示，导致承包人无法复工的；</w:t>
      </w:r>
    </w:p>
    <w:p w14:paraId="66E6529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（7）发包人明确表示或者以其行为表明不履行合同主要义务的；</w:t>
      </w:r>
    </w:p>
    <w:p w14:paraId="2706A62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（8）发包人未能按照合同约定履行其他义务的。</w:t>
      </w:r>
    </w:p>
    <w:p w14:paraId="0891D9A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B3A10A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16.1.2 发包人违约的责任</w:t>
      </w:r>
    </w:p>
    <w:p w14:paraId="23F3CA6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791BB45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16.1.3 因发包人违约解除合同</w:t>
      </w:r>
    </w:p>
    <w:p w14:paraId="52F298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62481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16.1.4 因发包人违约解除合同后的付款</w:t>
      </w:r>
    </w:p>
    <w:p w14:paraId="7E30AFF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承包人按照本款约定解除合同的，发包人应在解除合同后28天内支付下列款项，并解除履约担保：</w:t>
      </w:r>
    </w:p>
    <w:p w14:paraId="68C6D21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（1）合同解除前所完成工作的价款；</w:t>
      </w:r>
    </w:p>
    <w:p w14:paraId="5C2E959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（2）承包人为工程施工订购并已付款的材料、工程设备和其他物品的价款；</w:t>
      </w:r>
    </w:p>
    <w:p w14:paraId="0906472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（3）承包人撤离施工现场以及遣散承包人人员的款项；</w:t>
      </w:r>
    </w:p>
    <w:p w14:paraId="13C096B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（4）按照合同约定在合同解除前应支付的违约金；</w:t>
      </w:r>
    </w:p>
    <w:p w14:paraId="2FF7F0F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（5）按照合同约定应当支付给承包人的其他款项；</w:t>
      </w:r>
    </w:p>
    <w:p w14:paraId="1C365F4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（6）按照合同约定应退还的质量保证金；</w:t>
      </w:r>
    </w:p>
    <w:p w14:paraId="3678E61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（7）因解除合同给承包人造成的损失。</w:t>
      </w:r>
    </w:p>
    <w:p w14:paraId="196B86B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合同当事人未能就解除合同后的结清达成一致的，按照第20条〔争议解决〕的约定处理。</w:t>
      </w:r>
    </w:p>
    <w:p w14:paraId="0AF9619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承包人应妥善做好已完工程和与工程有关的已购材料、工程设备的保护和移交工作，并将施工设备和人员撤出施工现场，发包人应为承包人撤出提供必要条件。</w:t>
      </w:r>
    </w:p>
    <w:p w14:paraId="403C892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61" w:name="_Toc375060823"/>
      <w:bookmarkStart w:id="462" w:name="_Toc296503131"/>
      <w:bookmarkStart w:id="463" w:name="_Toc296346632"/>
      <w:bookmarkStart w:id="464" w:name="_Toc337558822"/>
      <w:r>
        <w:rPr>
          <w:rFonts w:hint="eastAsia" w:ascii="华文中宋" w:hAnsi="华文中宋" w:eastAsia="华文中宋" w:cs="华文中宋"/>
          <w:b w:val="0"/>
          <w:color w:val="auto"/>
          <w:sz w:val="24"/>
          <w:szCs w:val="24"/>
        </w:rPr>
        <w:t>16.2 承包人违约</w:t>
      </w:r>
      <w:bookmarkEnd w:id="461"/>
    </w:p>
    <w:bookmarkEnd w:id="462"/>
    <w:bookmarkEnd w:id="463"/>
    <w:bookmarkEnd w:id="464"/>
    <w:p w14:paraId="7EAA691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16.2.1 承包人违约的情形</w:t>
      </w:r>
    </w:p>
    <w:p w14:paraId="723C53A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在合同履行过程中发生的下列情形，属于承包人违约：</w:t>
      </w:r>
    </w:p>
    <w:p w14:paraId="6736D9A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（1）承包人违反合同约定进行转包或违法分包的；</w:t>
      </w:r>
    </w:p>
    <w:p w14:paraId="25F980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（2）承包人违反合同约定采购和使用不合格的材料和工程设备的；</w:t>
      </w:r>
    </w:p>
    <w:p w14:paraId="6ADABD1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（3）因承包人原因导致工程质量不符合合同要求的； </w:t>
      </w:r>
    </w:p>
    <w:p w14:paraId="753FB24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（4）承包人违反第8.9款〔材料与设备专用要求〕的约定，未经批准，私自将已按照合同约定进入施工现场的材料或设备撤离施工现场的；</w:t>
      </w:r>
    </w:p>
    <w:p w14:paraId="4196A08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（5）承包人未能按施工进度计划及时完成合同约定的工作，造成工期延误的；</w:t>
      </w:r>
    </w:p>
    <w:p w14:paraId="3CC7298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（6）承包人在缺陷责任期及保修期内，未能在合理期限对工程缺陷进行修复，或拒绝按发包人要求进行修复的；</w:t>
      </w:r>
    </w:p>
    <w:p w14:paraId="4206A5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（7）承包人明确表示或者以其行为表明不履行合同主要义务的；</w:t>
      </w:r>
    </w:p>
    <w:p w14:paraId="0A2BBA1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（8）承包人未能按照合同约定履行其他义务的。</w:t>
      </w:r>
    </w:p>
    <w:p w14:paraId="7062B83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承包人发生除本项第（7）目约定以外的其他违约情况时，监理人可向承包人发出整改通知，要求其在指定的期限内改正。</w:t>
      </w:r>
    </w:p>
    <w:p w14:paraId="438CE3B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16.2.2 承包人违约的责任</w:t>
      </w:r>
    </w:p>
    <w:p w14:paraId="77B7E2F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承包人应承担因其违约行为而增加的费用和（或）延误的工期。此外，合同当事人可在专用合同条款中另行约定承包人违约责任的承担方式和计算方法。</w:t>
      </w:r>
    </w:p>
    <w:p w14:paraId="6ADA1A9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16.2.3 因承包人违约解除合同</w:t>
      </w:r>
    </w:p>
    <w:p w14:paraId="7D9601B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037CB7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16.2.4因承包人违约解除合同后的处理</w:t>
      </w:r>
    </w:p>
    <w:p w14:paraId="7E88AB1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因承包人原因导致合同解除的，则合同当事人应在合同解除后28天内完成估价、付款和清算，并按以下约定执行：</w:t>
      </w:r>
    </w:p>
    <w:p w14:paraId="395C8FA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（1）合同解除后，按第4.4款〔商定或确定〕商定或确定承包人实际完成工作对应的合同价款，以及承包人已提供的材料、工程设备、施工设备和临时工程等的价值；</w:t>
      </w:r>
    </w:p>
    <w:p w14:paraId="1156925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（2）合同解除后，承包人应支付的违约金；</w:t>
      </w:r>
    </w:p>
    <w:p w14:paraId="6AC3A90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（3）合同解除后，因解除合同给发包人造成的损失；</w:t>
      </w:r>
    </w:p>
    <w:p w14:paraId="5D792B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（4）合同解除后，承包人应按照发包人要求和监理人的指示完成现场的清理和撤离；</w:t>
      </w:r>
    </w:p>
    <w:p w14:paraId="6E55FD5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（5）发包人和承包人应在合同解除后进行清算，出具最终结清付款证书，结清全部款项。</w:t>
      </w:r>
    </w:p>
    <w:p w14:paraId="5DA8D2A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155374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16.2.5采购合同权益转让</w:t>
      </w:r>
    </w:p>
    <w:p w14:paraId="11CB3FC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535F9B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65" w:name="_Toc375060824"/>
      <w:r>
        <w:rPr>
          <w:rFonts w:hint="eastAsia" w:ascii="华文中宋" w:hAnsi="华文中宋" w:eastAsia="华文中宋" w:cs="华文中宋"/>
          <w:b w:val="0"/>
          <w:color w:val="auto"/>
          <w:sz w:val="24"/>
          <w:szCs w:val="24"/>
        </w:rPr>
        <w:t>16.3 第三人造成的违约</w:t>
      </w:r>
      <w:bookmarkEnd w:id="465"/>
    </w:p>
    <w:p w14:paraId="1B29DAC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在履行合同过程中，一方当事人因第三人的原因造成违约的，应当向对方当事人承担违约责任。一方当事人和第三人之间的纠纷，依照法律规定或者按照约定解决。</w:t>
      </w:r>
    </w:p>
    <w:p w14:paraId="04958236">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66" w:name="_Toc375060825"/>
      <w:bookmarkStart w:id="467" w:name="_Toc296503116"/>
      <w:bookmarkStart w:id="468" w:name="_Toc296346617"/>
      <w:bookmarkStart w:id="469" w:name="_Toc337558823"/>
      <w:r>
        <w:rPr>
          <w:rFonts w:hint="eastAsia" w:ascii="华文中宋" w:hAnsi="华文中宋" w:eastAsia="华文中宋" w:cs="华文中宋"/>
          <w:b w:val="0"/>
          <w:color w:val="auto"/>
          <w:sz w:val="24"/>
          <w:szCs w:val="24"/>
        </w:rPr>
        <w:t>17. 不可抗力</w:t>
      </w:r>
      <w:bookmarkEnd w:id="466"/>
      <w:r>
        <w:rPr>
          <w:rFonts w:hint="eastAsia" w:ascii="华文中宋" w:hAnsi="华文中宋" w:eastAsia="华文中宋" w:cs="华文中宋"/>
          <w:b w:val="0"/>
          <w:color w:val="auto"/>
          <w:sz w:val="24"/>
          <w:szCs w:val="24"/>
        </w:rPr>
        <w:t xml:space="preserve"> </w:t>
      </w:r>
      <w:bookmarkEnd w:id="467"/>
      <w:bookmarkEnd w:id="468"/>
      <w:bookmarkEnd w:id="469"/>
    </w:p>
    <w:p w14:paraId="71C4056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70" w:name="_Toc375060826"/>
      <w:bookmarkStart w:id="471" w:name="_Toc296346618"/>
      <w:bookmarkStart w:id="472" w:name="_Toc296503117"/>
      <w:bookmarkStart w:id="473" w:name="_Toc337558824"/>
      <w:r>
        <w:rPr>
          <w:rFonts w:hint="eastAsia" w:ascii="华文中宋" w:hAnsi="华文中宋" w:eastAsia="华文中宋" w:cs="华文中宋"/>
          <w:b w:val="0"/>
          <w:color w:val="auto"/>
          <w:sz w:val="24"/>
          <w:szCs w:val="24"/>
        </w:rPr>
        <w:t>17.1 不可抗力的确认</w:t>
      </w:r>
      <w:bookmarkEnd w:id="470"/>
    </w:p>
    <w:bookmarkEnd w:id="471"/>
    <w:bookmarkEnd w:id="472"/>
    <w:bookmarkEnd w:id="473"/>
    <w:p w14:paraId="034671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CA11A9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95F488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74" w:name="_Toc375060827"/>
      <w:bookmarkStart w:id="475" w:name="_Toc337558825"/>
      <w:bookmarkStart w:id="476" w:name="_Toc296503118"/>
      <w:bookmarkStart w:id="477" w:name="_Toc296346619"/>
      <w:r>
        <w:rPr>
          <w:rFonts w:hint="eastAsia" w:ascii="华文中宋" w:hAnsi="华文中宋" w:eastAsia="华文中宋" w:cs="华文中宋"/>
          <w:b w:val="0"/>
          <w:color w:val="auto"/>
          <w:sz w:val="24"/>
          <w:szCs w:val="24"/>
        </w:rPr>
        <w:t>17.2 不可抗力的通知</w:t>
      </w:r>
      <w:bookmarkEnd w:id="474"/>
    </w:p>
    <w:bookmarkEnd w:id="475"/>
    <w:bookmarkEnd w:id="476"/>
    <w:bookmarkEnd w:id="477"/>
    <w:p w14:paraId="2DC4137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合同一方当事人遇到不可抗力事件，使其履行合同义务受到阻碍时，应立即通知合同另一方当事人和监理人，书面说明不可抗力和受阻碍的详细情况，并提供必要的证明。</w:t>
      </w:r>
    </w:p>
    <w:p w14:paraId="2BB67C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5741FD8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78" w:name="_Toc375060828"/>
      <w:bookmarkStart w:id="479" w:name="_Toc337558826"/>
      <w:bookmarkStart w:id="480" w:name="_Toc296346620"/>
      <w:bookmarkStart w:id="481" w:name="_Toc296503119"/>
      <w:r>
        <w:rPr>
          <w:rFonts w:hint="eastAsia" w:ascii="华文中宋" w:hAnsi="华文中宋" w:eastAsia="华文中宋" w:cs="华文中宋"/>
          <w:b w:val="0"/>
          <w:color w:val="auto"/>
          <w:sz w:val="24"/>
          <w:szCs w:val="24"/>
        </w:rPr>
        <w:t>17.3 不可抗力后果的承担</w:t>
      </w:r>
      <w:bookmarkEnd w:id="478"/>
    </w:p>
    <w:bookmarkEnd w:id="479"/>
    <w:bookmarkEnd w:id="480"/>
    <w:bookmarkEnd w:id="481"/>
    <w:p w14:paraId="18B548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17.3.1 不可抗力引起的后果及造成的损失由合同当事人按照法律规定及合同约定各自承担。不可抗力发生前已完成的工程应当按照合同约定进行计量支付。</w:t>
      </w:r>
    </w:p>
    <w:p w14:paraId="302DE3D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17.3.2 不可抗力导致的人员伤亡、财产损失、费用增加和（或）工期延误等后果，由合同当事人按以下原则承担：</w:t>
      </w:r>
    </w:p>
    <w:p w14:paraId="672F834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（1）永久工程、已运至施工现场的材料和工程设备的损坏，以及因工程损坏造成的第三人人员伤亡和财产损失由发包人承担；</w:t>
      </w:r>
    </w:p>
    <w:p w14:paraId="1958683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（2）承包人施工设备的损坏由承包人承担；</w:t>
      </w:r>
    </w:p>
    <w:p w14:paraId="427D1B6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（3）发包人和承包人承担各自人员伤亡和财产的损失；</w:t>
      </w:r>
    </w:p>
    <w:p w14:paraId="40BBC1C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04C5A8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（5）因不可抗力引起或将引起工期延误，发包人要求赶工的，由此增加的赶工费用由发包人承担；</w:t>
      </w:r>
    </w:p>
    <w:p w14:paraId="290E7AB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（6）承包人在停工期间按照发包人要求照管、清理和修复工程的费用由发包人承担。</w:t>
      </w:r>
    </w:p>
    <w:p w14:paraId="4C8166E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不可抗力发生后，合同当事人均应采取措施尽量避免和减少损失的扩大，任何一方当事人没有采取有效措施导致损失扩大的，应对扩大的损失承担责任。</w:t>
      </w:r>
    </w:p>
    <w:p w14:paraId="7340684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因合同一方迟延履行合同义务，在迟延履行期间遭遇不可抗力的，不免除其违约责任。</w:t>
      </w:r>
    </w:p>
    <w:p w14:paraId="3B1335B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82" w:name="_Toc375060829"/>
      <w:bookmarkStart w:id="483" w:name="_Toc337558827"/>
      <w:r>
        <w:rPr>
          <w:rFonts w:hint="eastAsia" w:ascii="华文中宋" w:hAnsi="华文中宋" w:eastAsia="华文中宋" w:cs="华文中宋"/>
          <w:b w:val="0"/>
          <w:color w:val="auto"/>
          <w:sz w:val="24"/>
          <w:szCs w:val="24"/>
        </w:rPr>
        <w:t>17.4 因不可抗力解除合同</w:t>
      </w:r>
      <w:bookmarkEnd w:id="482"/>
    </w:p>
    <w:bookmarkEnd w:id="483"/>
    <w:p w14:paraId="449C9C7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3AA6D42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（1）合同解除前承包人已完成工作的价款；</w:t>
      </w:r>
    </w:p>
    <w:p w14:paraId="6163D5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（2）承包人为工程订购的并已交付给承包人，或承包人有责任接受交付的材料、工程设备和其他物品的价款；</w:t>
      </w:r>
    </w:p>
    <w:p w14:paraId="00E630F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（3）发包人要求承包人退货或解除订货合同而产生的费用，或因不能退货或解除合同而产生的损失；</w:t>
      </w:r>
    </w:p>
    <w:p w14:paraId="1FCFD76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（4）承包人撤离施工现场以及遣散承包人人员的费用；</w:t>
      </w:r>
    </w:p>
    <w:p w14:paraId="0EC4B45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（5）按照合同约定在合同解除前应支付给承包人的其他款项；</w:t>
      </w:r>
    </w:p>
    <w:p w14:paraId="03C8182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（6）扣减承包人按照合同约定应向发包人支付的款项；</w:t>
      </w:r>
    </w:p>
    <w:p w14:paraId="1B60C3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（7）双方商定或确定的其他款项。</w:t>
      </w:r>
    </w:p>
    <w:p w14:paraId="2F0241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除专用合同条款另有约定外，合同解除后，发包人应在商定或确定上述款项后28天内完成上述款项的支付。</w:t>
      </w:r>
    </w:p>
    <w:p w14:paraId="4E424DF6">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84" w:name="_Toc375060830"/>
      <w:bookmarkStart w:id="485" w:name="_Toc296346621"/>
      <w:bookmarkStart w:id="486" w:name="_Toc337558828"/>
      <w:bookmarkStart w:id="487" w:name="_Toc296503120"/>
      <w:r>
        <w:rPr>
          <w:rFonts w:hint="eastAsia" w:ascii="华文中宋" w:hAnsi="华文中宋" w:eastAsia="华文中宋" w:cs="华文中宋"/>
          <w:b w:val="0"/>
          <w:color w:val="auto"/>
          <w:sz w:val="24"/>
          <w:szCs w:val="24"/>
        </w:rPr>
        <w:t>18. 保险</w:t>
      </w:r>
      <w:bookmarkEnd w:id="484"/>
    </w:p>
    <w:bookmarkEnd w:id="485"/>
    <w:bookmarkEnd w:id="486"/>
    <w:bookmarkEnd w:id="487"/>
    <w:p w14:paraId="28E710E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88" w:name="_Toc375060831"/>
      <w:bookmarkStart w:id="489" w:name="_Toc296346622"/>
      <w:bookmarkStart w:id="490" w:name="_Toc296503121"/>
      <w:bookmarkStart w:id="491" w:name="_Toc337558829"/>
      <w:r>
        <w:rPr>
          <w:rFonts w:hint="eastAsia" w:ascii="华文中宋" w:hAnsi="华文中宋" w:eastAsia="华文中宋" w:cs="华文中宋"/>
          <w:b w:val="0"/>
          <w:color w:val="auto"/>
          <w:sz w:val="24"/>
          <w:szCs w:val="24"/>
        </w:rPr>
        <w:t>18.1 工程保险</w:t>
      </w:r>
      <w:bookmarkEnd w:id="488"/>
    </w:p>
    <w:bookmarkEnd w:id="489"/>
    <w:bookmarkEnd w:id="490"/>
    <w:bookmarkEnd w:id="491"/>
    <w:p w14:paraId="14ED2A8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除专用合同条款另有约定外，发包人应投保建筑工程一切险或安装工程一切险；发包人委托承包人投保的，因投保产生的保险费和其他相关费用由发包人承担。</w:t>
      </w:r>
    </w:p>
    <w:p w14:paraId="00025D1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92" w:name="_Toc375060832"/>
      <w:bookmarkStart w:id="493" w:name="_Toc296503122"/>
      <w:bookmarkStart w:id="494" w:name="_Toc296346623"/>
      <w:bookmarkStart w:id="495" w:name="_Toc337558830"/>
      <w:r>
        <w:rPr>
          <w:rFonts w:hint="eastAsia" w:ascii="华文中宋" w:hAnsi="华文中宋" w:eastAsia="华文中宋" w:cs="华文中宋"/>
          <w:b w:val="0"/>
          <w:color w:val="auto"/>
          <w:sz w:val="24"/>
          <w:szCs w:val="24"/>
        </w:rPr>
        <w:t>18.2 工伤保险</w:t>
      </w:r>
      <w:bookmarkEnd w:id="492"/>
    </w:p>
    <w:bookmarkEnd w:id="493"/>
    <w:bookmarkEnd w:id="494"/>
    <w:bookmarkEnd w:id="495"/>
    <w:p w14:paraId="7D5D70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18.2.1 承包人应依照法律规定参加工伤保险，并为其履行合同的全部员工办理工伤保险，缴纳工伤保险费，并要求分包人及由承包人为履行合同聘请的第三方依法参加工伤保险。</w:t>
      </w:r>
    </w:p>
    <w:p w14:paraId="721E350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96" w:name="_Toc375060833"/>
      <w:bookmarkStart w:id="497" w:name="_Toc296503125"/>
      <w:bookmarkStart w:id="498" w:name="_Toc337558831"/>
      <w:bookmarkStart w:id="499" w:name="_Toc296346626"/>
      <w:r>
        <w:rPr>
          <w:rFonts w:hint="eastAsia" w:ascii="华文中宋" w:hAnsi="华文中宋" w:eastAsia="华文中宋" w:cs="华文中宋"/>
          <w:b w:val="0"/>
          <w:color w:val="auto"/>
          <w:sz w:val="24"/>
          <w:szCs w:val="24"/>
        </w:rPr>
        <w:t>18.3其他保险</w:t>
      </w:r>
      <w:bookmarkEnd w:id="496"/>
    </w:p>
    <w:bookmarkEnd w:id="497"/>
    <w:bookmarkEnd w:id="498"/>
    <w:bookmarkEnd w:id="499"/>
    <w:p w14:paraId="57F549C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3F6D6F1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除专用合同条款另有约定外，承包人应为其施工设备等办理财产保险。</w:t>
      </w:r>
    </w:p>
    <w:p w14:paraId="665C91A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0" w:name="_Toc375060834"/>
      <w:r>
        <w:rPr>
          <w:rFonts w:hint="eastAsia" w:ascii="华文中宋" w:hAnsi="华文中宋" w:eastAsia="华文中宋" w:cs="华文中宋"/>
          <w:b w:val="0"/>
          <w:color w:val="auto"/>
          <w:sz w:val="24"/>
          <w:szCs w:val="24"/>
        </w:rPr>
        <w:t>18.4持续保险</w:t>
      </w:r>
      <w:bookmarkEnd w:id="500"/>
    </w:p>
    <w:p w14:paraId="1793FED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合同当事人应与保险人保持联系，使保险人能够随时了解工程实施中的变动，并确保按保险合同条款要求持续保险。</w:t>
      </w:r>
    </w:p>
    <w:p w14:paraId="0D048EE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1" w:name="_Toc375060835"/>
      <w:bookmarkStart w:id="502" w:name="_Toc296503126"/>
      <w:bookmarkStart w:id="503" w:name="_Toc296346627"/>
      <w:bookmarkStart w:id="504" w:name="_Toc337558832"/>
      <w:r>
        <w:rPr>
          <w:rFonts w:hint="eastAsia" w:ascii="华文中宋" w:hAnsi="华文中宋" w:eastAsia="华文中宋" w:cs="华文中宋"/>
          <w:b w:val="0"/>
          <w:color w:val="auto"/>
          <w:sz w:val="24"/>
          <w:szCs w:val="24"/>
        </w:rPr>
        <w:t>18.5 保险凭证</w:t>
      </w:r>
      <w:bookmarkEnd w:id="501"/>
    </w:p>
    <w:bookmarkEnd w:id="502"/>
    <w:bookmarkEnd w:id="503"/>
    <w:bookmarkEnd w:id="504"/>
    <w:p w14:paraId="45DD0D3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合同当事人应及时向另一方当事人提交其已投保的各项保险的凭证和保险单复印件。</w:t>
      </w:r>
    </w:p>
    <w:p w14:paraId="3F15F6C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5" w:name="_Toc375060836"/>
      <w:bookmarkStart w:id="506" w:name="_Toc337558833"/>
      <w:bookmarkStart w:id="507" w:name="_Toc296346628"/>
      <w:bookmarkStart w:id="508" w:name="_Toc296503127"/>
      <w:r>
        <w:rPr>
          <w:rFonts w:hint="eastAsia" w:ascii="华文中宋" w:hAnsi="华文中宋" w:eastAsia="华文中宋" w:cs="华文中宋"/>
          <w:b w:val="0"/>
          <w:color w:val="auto"/>
          <w:sz w:val="24"/>
          <w:szCs w:val="24"/>
        </w:rPr>
        <w:t>18.6 未按约定投保的补救</w:t>
      </w:r>
      <w:bookmarkEnd w:id="505"/>
    </w:p>
    <w:bookmarkEnd w:id="506"/>
    <w:bookmarkEnd w:id="507"/>
    <w:bookmarkEnd w:id="508"/>
    <w:p w14:paraId="3022E0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7EEAE1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6746FE3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9" w:name="_Toc375060837"/>
      <w:bookmarkStart w:id="510" w:name="_Toc337558834"/>
      <w:r>
        <w:rPr>
          <w:rFonts w:hint="eastAsia" w:ascii="华文中宋" w:hAnsi="华文中宋" w:eastAsia="华文中宋" w:cs="华文中宋"/>
          <w:b w:val="0"/>
          <w:color w:val="auto"/>
          <w:sz w:val="24"/>
          <w:szCs w:val="24"/>
        </w:rPr>
        <w:t>18.7 通知义务</w:t>
      </w:r>
      <w:bookmarkEnd w:id="509"/>
    </w:p>
    <w:bookmarkEnd w:id="510"/>
    <w:p w14:paraId="25EA4A8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52994A8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保险事故发生时，投保人应按照保险合同规定的条件和期限及时向保险人报告。发包人和承包人应当在知道保险事故发生后及时通知对方。</w:t>
      </w:r>
    </w:p>
    <w:p w14:paraId="4893AA1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11" w:name="_Toc375060838"/>
      <w:bookmarkStart w:id="512" w:name="_Toc337558835"/>
      <w:bookmarkStart w:id="513" w:name="_Toc296346641"/>
      <w:bookmarkStart w:id="514" w:name="_Toc296503140"/>
      <w:r>
        <w:rPr>
          <w:rFonts w:hint="eastAsia" w:ascii="华文中宋" w:hAnsi="华文中宋" w:eastAsia="华文中宋" w:cs="华文中宋"/>
          <w:b w:val="0"/>
          <w:color w:val="auto"/>
          <w:sz w:val="24"/>
          <w:szCs w:val="24"/>
        </w:rPr>
        <w:t>19. 索赔</w:t>
      </w:r>
      <w:bookmarkEnd w:id="511"/>
    </w:p>
    <w:bookmarkEnd w:id="512"/>
    <w:bookmarkEnd w:id="513"/>
    <w:bookmarkEnd w:id="514"/>
    <w:p w14:paraId="76CF6AA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15" w:name="_Toc375060839"/>
      <w:bookmarkStart w:id="516" w:name="_Toc296346642"/>
      <w:bookmarkStart w:id="517" w:name="_Toc337558836"/>
      <w:bookmarkStart w:id="518" w:name="_Toc296503141"/>
      <w:r>
        <w:rPr>
          <w:rFonts w:hint="eastAsia" w:ascii="华文中宋" w:hAnsi="华文中宋" w:eastAsia="华文中宋" w:cs="华文中宋"/>
          <w:b w:val="0"/>
          <w:color w:val="auto"/>
          <w:sz w:val="24"/>
          <w:szCs w:val="24"/>
        </w:rPr>
        <w:t>19.1承包人的索赔</w:t>
      </w:r>
      <w:bookmarkEnd w:id="515"/>
    </w:p>
    <w:bookmarkEnd w:id="516"/>
    <w:bookmarkEnd w:id="517"/>
    <w:bookmarkEnd w:id="518"/>
    <w:p w14:paraId="1E66916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根据合同约定，承包人认为有权得到追加付款和（或）延长工期的，应按以下程序向发包人提出索赔：</w:t>
      </w:r>
    </w:p>
    <w:p w14:paraId="51D1653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57DCF9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4403BF2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（3）索赔事件具有持续影响的，承包人应按合理时间间隔继续递交延续索赔通知，说明持续影响的实际情况和记录，列出累计的追加付款金额和（或）工期延长天数；</w:t>
      </w:r>
    </w:p>
    <w:p w14:paraId="3CC2FF9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（4）在索赔事件影响结束后28天内，承包人应向监理人递交最终索赔报告，说明最终要求索赔的追加付款金额和（或）延长的工期，并附必要的记录和证明材料。</w:t>
      </w:r>
    </w:p>
    <w:p w14:paraId="7731E62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19" w:name="_Toc375060840"/>
      <w:bookmarkStart w:id="520" w:name="_Toc337558837"/>
      <w:bookmarkStart w:id="521" w:name="_Toc296503142"/>
      <w:bookmarkStart w:id="522" w:name="_Toc296346643"/>
      <w:r>
        <w:rPr>
          <w:rFonts w:hint="eastAsia" w:ascii="华文中宋" w:hAnsi="华文中宋" w:eastAsia="华文中宋" w:cs="华文中宋"/>
          <w:b w:val="0"/>
          <w:color w:val="auto"/>
          <w:sz w:val="24"/>
          <w:szCs w:val="24"/>
        </w:rPr>
        <w:t>19.2 对承包人索赔的处理</w:t>
      </w:r>
      <w:bookmarkEnd w:id="519"/>
    </w:p>
    <w:bookmarkEnd w:id="520"/>
    <w:bookmarkEnd w:id="521"/>
    <w:bookmarkEnd w:id="522"/>
    <w:p w14:paraId="0B04A3A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对承包人索赔的处理如下：</w:t>
      </w:r>
    </w:p>
    <w:p w14:paraId="45DB122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（1）监理人应在收到索赔报告后14天内完成审查并报送发包人。监理人对索赔报告存在异议的，有权要求承包人提交全部原始记录副本；</w:t>
      </w:r>
    </w:p>
    <w:p w14:paraId="4F487CF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320A031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（3）承包人接受索赔处理结果的，索赔款项在当期进度款中进行支付；承包人不接受索赔处理结果的，按照第20条〔争议解决〕约定处理。</w:t>
      </w:r>
    </w:p>
    <w:p w14:paraId="47298A3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23" w:name="_Toc375060841"/>
      <w:bookmarkStart w:id="524" w:name="_Toc337558838"/>
      <w:bookmarkStart w:id="525" w:name="_Toc296346644"/>
      <w:bookmarkStart w:id="526" w:name="_Toc296503143"/>
      <w:r>
        <w:rPr>
          <w:rFonts w:hint="eastAsia" w:ascii="华文中宋" w:hAnsi="华文中宋" w:eastAsia="华文中宋" w:cs="华文中宋"/>
          <w:b w:val="0"/>
          <w:color w:val="auto"/>
          <w:sz w:val="24"/>
          <w:szCs w:val="24"/>
        </w:rPr>
        <w:t>19.3发包人的索赔</w:t>
      </w:r>
      <w:bookmarkEnd w:id="523"/>
    </w:p>
    <w:bookmarkEnd w:id="524"/>
    <w:bookmarkEnd w:id="525"/>
    <w:bookmarkEnd w:id="526"/>
    <w:p w14:paraId="2A2FA0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根据合同约定，发包人认为有权得到赔付金额和（或）延长缺陷责任期的，监理人应向承包人发出通知并附有详细的证明。</w:t>
      </w:r>
    </w:p>
    <w:p w14:paraId="581400B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E984F9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27" w:name="_Toc375060842"/>
      <w:bookmarkStart w:id="528" w:name="_Toc337558839"/>
      <w:bookmarkStart w:id="529" w:name="_Toc296503144"/>
      <w:bookmarkStart w:id="530" w:name="_Toc296346645"/>
      <w:r>
        <w:rPr>
          <w:rFonts w:hint="eastAsia" w:ascii="华文中宋" w:hAnsi="华文中宋" w:eastAsia="华文中宋" w:cs="华文中宋"/>
          <w:b w:val="0"/>
          <w:color w:val="auto"/>
          <w:sz w:val="24"/>
          <w:szCs w:val="24"/>
        </w:rPr>
        <w:t>19.4 对发包人索赔的处理</w:t>
      </w:r>
      <w:bookmarkEnd w:id="527"/>
    </w:p>
    <w:bookmarkEnd w:id="528"/>
    <w:bookmarkEnd w:id="529"/>
    <w:bookmarkEnd w:id="530"/>
    <w:p w14:paraId="56E908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对发包人索赔的处理如下：</w:t>
      </w:r>
    </w:p>
    <w:p w14:paraId="365CAE3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（1）承包人收到发包人提交的索赔报告后，应及时审查索赔报告的内容、查验发包人证明材料；</w:t>
      </w:r>
    </w:p>
    <w:p w14:paraId="735A907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14:paraId="15A3766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（3）承包人接受索赔处理结果的，发包人可从应支付给承包人的合同价款中扣除赔付的金额或延长缺陷责任期；发包人不接受索赔处理结果的，按第20条〔争议解决〕约定处理。</w:t>
      </w:r>
    </w:p>
    <w:p w14:paraId="31117EE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31" w:name="_Toc375060843"/>
      <w:r>
        <w:rPr>
          <w:rFonts w:hint="eastAsia" w:ascii="华文中宋" w:hAnsi="华文中宋" w:eastAsia="华文中宋" w:cs="华文中宋"/>
          <w:b w:val="0"/>
          <w:color w:val="auto"/>
          <w:sz w:val="24"/>
          <w:szCs w:val="24"/>
        </w:rPr>
        <w:t>19.5 提出索赔的期限</w:t>
      </w:r>
      <w:bookmarkEnd w:id="531"/>
    </w:p>
    <w:p w14:paraId="6DF0AFF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（1）承包人按第14.2款〔竣工结算审核〕约定接收竣工付款证书后，应被视为已无权再提出在工程接收证书颁发前所发生的任何索赔。</w:t>
      </w:r>
    </w:p>
    <w:p w14:paraId="4F6F9B6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（2）承包人按第14.4款〔最终结清〕提交的最终结清申请单中，只限于提出工程接收证书颁发后发生的索赔。提出索赔的期限自接受最终结清证书时终止。</w:t>
      </w:r>
    </w:p>
    <w:p w14:paraId="6CA713B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32" w:name="_Toc375060844"/>
      <w:bookmarkStart w:id="533" w:name="_Toc337558840"/>
      <w:bookmarkStart w:id="534" w:name="_Toc296503146"/>
      <w:bookmarkStart w:id="535" w:name="_Toc296346647"/>
      <w:r>
        <w:rPr>
          <w:rFonts w:hint="eastAsia" w:ascii="华文中宋" w:hAnsi="华文中宋" w:eastAsia="华文中宋" w:cs="华文中宋"/>
          <w:b w:val="0"/>
          <w:color w:val="auto"/>
          <w:sz w:val="24"/>
          <w:szCs w:val="24"/>
        </w:rPr>
        <w:t>20.争议解决</w:t>
      </w:r>
      <w:bookmarkEnd w:id="532"/>
    </w:p>
    <w:bookmarkEnd w:id="533"/>
    <w:bookmarkEnd w:id="534"/>
    <w:bookmarkEnd w:id="535"/>
    <w:p w14:paraId="5A0D095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36" w:name="_Toc375060845"/>
      <w:bookmarkStart w:id="537" w:name="_Toc337558841"/>
      <w:bookmarkStart w:id="538" w:name="_Toc296346648"/>
      <w:bookmarkStart w:id="539" w:name="_Toc296503147"/>
      <w:r>
        <w:rPr>
          <w:rFonts w:hint="eastAsia" w:ascii="华文中宋" w:hAnsi="华文中宋" w:eastAsia="华文中宋" w:cs="华文中宋"/>
          <w:b w:val="0"/>
          <w:color w:val="auto"/>
          <w:sz w:val="24"/>
          <w:szCs w:val="24"/>
        </w:rPr>
        <w:t>20.1和解</w:t>
      </w:r>
      <w:bookmarkEnd w:id="536"/>
    </w:p>
    <w:bookmarkEnd w:id="537"/>
    <w:bookmarkEnd w:id="538"/>
    <w:bookmarkEnd w:id="539"/>
    <w:p w14:paraId="563663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合同当事人可以就争议自行和解，自行和解达成协议的经双方签字并盖章后作为合同补充文件，双方均应遵照执行。</w:t>
      </w:r>
    </w:p>
    <w:p w14:paraId="44F80BA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40" w:name="_Toc375060846"/>
      <w:r>
        <w:rPr>
          <w:rFonts w:hint="eastAsia" w:ascii="华文中宋" w:hAnsi="华文中宋" w:eastAsia="华文中宋" w:cs="华文中宋"/>
          <w:b w:val="0"/>
          <w:color w:val="auto"/>
          <w:sz w:val="24"/>
          <w:szCs w:val="24"/>
        </w:rPr>
        <w:t>20</w:t>
      </w:r>
      <w:bookmarkStart w:id="541" w:name="_Toc337558842"/>
      <w:bookmarkStart w:id="542" w:name="_Toc296503148"/>
      <w:bookmarkStart w:id="543" w:name="_Toc296346649"/>
      <w:r>
        <w:rPr>
          <w:rFonts w:hint="eastAsia" w:ascii="华文中宋" w:hAnsi="华文中宋" w:eastAsia="华文中宋" w:cs="华文中宋"/>
          <w:b w:val="0"/>
          <w:color w:val="auto"/>
          <w:sz w:val="24"/>
          <w:szCs w:val="24"/>
        </w:rPr>
        <w:t>.2调解</w:t>
      </w:r>
      <w:bookmarkEnd w:id="540"/>
    </w:p>
    <w:bookmarkEnd w:id="541"/>
    <w:bookmarkEnd w:id="542"/>
    <w:bookmarkEnd w:id="543"/>
    <w:p w14:paraId="644461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合同当事人可以就争议请求建设行政主管部门、行业协会或其他第三方进行调解，调解达成协议的，经双方签字并盖章后作为合同补充文件，双方均应遵照执行。</w:t>
      </w:r>
    </w:p>
    <w:p w14:paraId="6D1094A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44" w:name="_Toc375060847"/>
      <w:bookmarkStart w:id="545" w:name="_Toc337558843"/>
      <w:bookmarkStart w:id="546" w:name="_Toc296346650"/>
      <w:bookmarkStart w:id="547" w:name="_Toc296503149"/>
      <w:r>
        <w:rPr>
          <w:rFonts w:hint="eastAsia" w:ascii="华文中宋" w:hAnsi="华文中宋" w:eastAsia="华文中宋" w:cs="华文中宋"/>
          <w:b w:val="0"/>
          <w:color w:val="auto"/>
          <w:sz w:val="24"/>
          <w:szCs w:val="24"/>
        </w:rPr>
        <w:t>20.3争议评审</w:t>
      </w:r>
      <w:bookmarkEnd w:id="544"/>
    </w:p>
    <w:bookmarkEnd w:id="545"/>
    <w:bookmarkEnd w:id="546"/>
    <w:bookmarkEnd w:id="547"/>
    <w:p w14:paraId="49D6D59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合同当事人在专用合同条款中约定采取争议评审方式解决争议以及评审规则，并按下列约定执行： </w:t>
      </w:r>
    </w:p>
    <w:p w14:paraId="050919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20.3.1 争议评审小组的确定</w:t>
      </w:r>
    </w:p>
    <w:p w14:paraId="331EC2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52DDE59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6445AD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除专用合同条款另有约定外，评审员报酬由发包人和承包人各承担一半。</w:t>
      </w:r>
    </w:p>
    <w:p w14:paraId="2C854CA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20.3.2 争议评审小组的决定</w:t>
      </w:r>
    </w:p>
    <w:p w14:paraId="3AB155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DA7AB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20.3.3 争议评审小组决定的效力</w:t>
      </w:r>
    </w:p>
    <w:p w14:paraId="31CA6E9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争议评审小组作出的书面决定经合同当事人签字确认后，对双方具有约束力，双方应遵照执行。</w:t>
      </w:r>
    </w:p>
    <w:p w14:paraId="08432E0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任何一方当事人不接受争议评审小组决定或不履行争议评审小组决定的，双方可选择采用其他争议解决方式。</w:t>
      </w:r>
    </w:p>
    <w:p w14:paraId="101A196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48" w:name="_Toc375060848"/>
      <w:bookmarkStart w:id="549" w:name="_Toc337558844"/>
      <w:bookmarkStart w:id="550" w:name="_Toc296346651"/>
      <w:bookmarkStart w:id="551" w:name="_Toc296503150"/>
      <w:r>
        <w:rPr>
          <w:rFonts w:hint="eastAsia" w:ascii="华文中宋" w:hAnsi="华文中宋" w:eastAsia="华文中宋" w:cs="华文中宋"/>
          <w:b w:val="0"/>
          <w:color w:val="auto"/>
          <w:sz w:val="24"/>
          <w:szCs w:val="24"/>
        </w:rPr>
        <w:t>20.4仲裁或诉讼</w:t>
      </w:r>
      <w:bookmarkEnd w:id="548"/>
    </w:p>
    <w:bookmarkEnd w:id="549"/>
    <w:bookmarkEnd w:id="550"/>
    <w:bookmarkEnd w:id="551"/>
    <w:p w14:paraId="6089545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因合同及合同有关事项产生的争议，合同当事人可以在专用合同条款中约定以下一种方式解决争议：</w:t>
      </w:r>
    </w:p>
    <w:p w14:paraId="1A7814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（1）向约定的仲裁委员会申请仲裁；</w:t>
      </w:r>
    </w:p>
    <w:p w14:paraId="5109E0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（2）向有管辖权的人民法院起诉。</w:t>
      </w:r>
    </w:p>
    <w:p w14:paraId="52AC0B4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52" w:name="_Toc375060849"/>
      <w:bookmarkStart w:id="553" w:name="_Toc296503152"/>
      <w:bookmarkStart w:id="554" w:name="_Toc337558845"/>
      <w:bookmarkStart w:id="555" w:name="_Toc296346653"/>
      <w:r>
        <w:rPr>
          <w:rFonts w:hint="eastAsia" w:ascii="华文中宋" w:hAnsi="华文中宋" w:eastAsia="华文中宋" w:cs="华文中宋"/>
          <w:b w:val="0"/>
          <w:color w:val="auto"/>
          <w:sz w:val="24"/>
          <w:szCs w:val="24"/>
        </w:rPr>
        <w:t>20.5争议解决条款效力</w:t>
      </w:r>
      <w:bookmarkEnd w:id="552"/>
    </w:p>
    <w:bookmarkEnd w:id="553"/>
    <w:bookmarkEnd w:id="554"/>
    <w:bookmarkEnd w:id="555"/>
    <w:p w14:paraId="48934B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合同有关争议解决的条款独立存在，合同的变更、解除、终止、无效或者被撤销均不影响其效力。 </w:t>
      </w:r>
    </w:p>
    <w:p w14:paraId="2C119D27">
      <w:pPr>
        <w:pStyle w:val="4"/>
        <w:pageBreakBefore w:val="0"/>
        <w:kinsoku/>
        <w:wordWrap/>
        <w:overflowPunct/>
        <w:topLinePunct w:val="0"/>
        <w:bidi w:val="0"/>
        <w:snapToGrid/>
        <w:spacing w:before="0" w:after="0" w:line="360" w:lineRule="auto"/>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bookmarkStart w:id="556" w:name="_Toc17385"/>
      <w:bookmarkStart w:id="557" w:name="_Toc375060850"/>
      <w:bookmarkStart w:id="558" w:name="_Toc375060650"/>
      <w:r>
        <w:rPr>
          <w:rFonts w:hint="eastAsia" w:ascii="华文中宋" w:hAnsi="华文中宋" w:eastAsia="华文中宋" w:cs="华文中宋"/>
          <w:b w:val="0"/>
          <w:color w:val="auto"/>
          <w:sz w:val="24"/>
          <w:szCs w:val="24"/>
        </w:rPr>
        <w:t>第三部分 专用合同条款</w:t>
      </w:r>
      <w:bookmarkEnd w:id="556"/>
      <w:bookmarkEnd w:id="557"/>
      <w:bookmarkEnd w:id="558"/>
    </w:p>
    <w:p w14:paraId="085DD3F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59" w:name="_Toc375060851"/>
      <w:r>
        <w:rPr>
          <w:rFonts w:hint="eastAsia" w:ascii="华文中宋" w:hAnsi="华文中宋" w:eastAsia="华文中宋" w:cs="华文中宋"/>
          <w:b w:val="0"/>
          <w:color w:val="auto"/>
          <w:sz w:val="24"/>
          <w:szCs w:val="24"/>
        </w:rPr>
        <w:t>1</w:t>
      </w:r>
      <w:bookmarkStart w:id="560" w:name="_Toc297120456"/>
      <w:bookmarkStart w:id="561" w:name="_Toc296890984"/>
      <w:bookmarkStart w:id="562" w:name="_Toc296891196"/>
      <w:bookmarkStart w:id="563" w:name="_Toc296347155"/>
      <w:bookmarkStart w:id="564" w:name="_Toc296944495"/>
      <w:bookmarkStart w:id="565" w:name="_Toc296346657"/>
      <w:bookmarkStart w:id="566" w:name="_Toc297048342"/>
      <w:bookmarkStart w:id="567" w:name="_Toc292559361"/>
      <w:bookmarkStart w:id="568" w:name="_Toc296503156"/>
      <w:bookmarkStart w:id="569" w:name="_Toc292559866"/>
      <w:r>
        <w:rPr>
          <w:rFonts w:hint="eastAsia" w:ascii="华文中宋" w:hAnsi="华文中宋" w:eastAsia="华文中宋" w:cs="华文中宋"/>
          <w:b w:val="0"/>
          <w:color w:val="auto"/>
          <w:sz w:val="24"/>
          <w:szCs w:val="24"/>
        </w:rPr>
        <w:t>. 一般约定</w:t>
      </w:r>
      <w:bookmarkEnd w:id="559"/>
    </w:p>
    <w:bookmarkEnd w:id="560"/>
    <w:bookmarkEnd w:id="561"/>
    <w:bookmarkEnd w:id="562"/>
    <w:bookmarkEnd w:id="563"/>
    <w:bookmarkEnd w:id="564"/>
    <w:bookmarkEnd w:id="565"/>
    <w:bookmarkEnd w:id="566"/>
    <w:bookmarkEnd w:id="567"/>
    <w:bookmarkEnd w:id="568"/>
    <w:bookmarkEnd w:id="569"/>
    <w:p w14:paraId="2C51C3A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 词语定义</w:t>
      </w:r>
    </w:p>
    <w:p w14:paraId="63EC89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1.1.1合同</w:t>
      </w:r>
    </w:p>
    <w:p w14:paraId="242747F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1.1.1.10其他合同文件包括：</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sz w:val="24"/>
          <w:szCs w:val="24"/>
        </w:rPr>
        <w:t>。</w:t>
      </w:r>
    </w:p>
    <w:p w14:paraId="141BB42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1.1.2 合同当事人及其他相关方</w:t>
      </w:r>
    </w:p>
    <w:p w14:paraId="0A550E3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1.1.2.4监理人：</w:t>
      </w:r>
    </w:p>
    <w:p w14:paraId="3CD6E71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名    称：</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5540870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资质类别和等级：</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1135E8D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kern w:val="0"/>
          <w:sz w:val="24"/>
          <w:szCs w:val="24"/>
          <w:u w:val="single"/>
        </w:rPr>
        <w:t xml:space="preserve"> </w:t>
      </w:r>
      <w:r>
        <w:rPr>
          <w:rFonts w:hint="eastAsia" w:ascii="华文中宋" w:hAnsi="华文中宋" w:eastAsia="华文中宋" w:cs="华文中宋"/>
          <w:b/>
          <w:bCs/>
          <w:color w:val="auto"/>
          <w:sz w:val="24"/>
          <w:szCs w:val="24"/>
        </w:rPr>
        <w:t>；</w:t>
      </w:r>
    </w:p>
    <w:p w14:paraId="7002657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kern w:val="0"/>
          <w:sz w:val="24"/>
          <w:szCs w:val="24"/>
          <w:u w:val="single"/>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kern w:val="0"/>
          <w:sz w:val="24"/>
          <w:szCs w:val="24"/>
        </w:rPr>
        <w:t>；</w:t>
      </w:r>
    </w:p>
    <w:p w14:paraId="41260996">
      <w:pPr>
        <w:pageBreakBefore w:val="0"/>
        <w:kinsoku/>
        <w:wordWrap/>
        <w:overflowPunct/>
        <w:topLinePunct w:val="0"/>
        <w:bidi w:val="0"/>
        <w:snapToGrid/>
        <w:spacing w:line="360" w:lineRule="auto"/>
        <w:ind w:left="1759" w:leftChars="266" w:hanging="1200" w:hangingChars="5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p>
    <w:p w14:paraId="187CFAC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1.1.2.5 设计人：</w:t>
      </w:r>
    </w:p>
    <w:p w14:paraId="2E55E1C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名    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8062A4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资质类别和等级：</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bCs/>
          <w:color w:val="auto"/>
          <w:sz w:val="24"/>
          <w:szCs w:val="24"/>
        </w:rPr>
        <w:t>；</w:t>
      </w:r>
    </w:p>
    <w:p w14:paraId="056223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rPr>
        <w:t>；</w:t>
      </w:r>
    </w:p>
    <w:p w14:paraId="5F62B66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p w14:paraId="543CC6B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p w14:paraId="4F4661C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1.1.3 工程和设备</w:t>
      </w:r>
    </w:p>
    <w:p w14:paraId="411BAE7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 xml:space="preserve">1.1.3.7 </w:t>
      </w:r>
      <w:r>
        <w:rPr>
          <w:rFonts w:hint="eastAsia" w:ascii="华文中宋" w:hAnsi="华文中宋" w:eastAsia="华文中宋" w:cs="华文中宋"/>
          <w:color w:val="auto"/>
          <w:kern w:val="0"/>
          <w:sz w:val="24"/>
          <w:szCs w:val="24"/>
        </w:rPr>
        <w:t>作为施工现场组成部分的其他场所包括</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Cs/>
          <w:color w:val="auto"/>
          <w:sz w:val="24"/>
          <w:szCs w:val="24"/>
        </w:rPr>
        <w:t>。</w:t>
      </w:r>
    </w:p>
    <w:p w14:paraId="5624D93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1.1.3.9 </w:t>
      </w:r>
      <w:r>
        <w:rPr>
          <w:rFonts w:hint="eastAsia" w:ascii="华文中宋" w:hAnsi="华文中宋" w:eastAsia="华文中宋" w:cs="华文中宋"/>
          <w:color w:val="auto"/>
          <w:sz w:val="24"/>
          <w:szCs w:val="24"/>
        </w:rPr>
        <w:t>永久占地包括</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4F4A342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 xml:space="preserve">1.1.3.10 </w:t>
      </w:r>
      <w:r>
        <w:rPr>
          <w:rFonts w:hint="eastAsia" w:ascii="华文中宋" w:hAnsi="华文中宋" w:eastAsia="华文中宋" w:cs="华文中宋"/>
          <w:color w:val="auto"/>
          <w:sz w:val="24"/>
          <w:szCs w:val="24"/>
        </w:rPr>
        <w:t>临时占地包括</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3A7C802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1.3法律 </w:t>
      </w:r>
    </w:p>
    <w:p w14:paraId="579A72E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适用于合同的其他规范性文件：</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7EECCD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 标准和规范</w:t>
      </w:r>
    </w:p>
    <w:p w14:paraId="771F542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1.4.1适用于工程的标准规范包括：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C90843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1.4.2 </w:t>
      </w:r>
      <w:r>
        <w:rPr>
          <w:rFonts w:hint="eastAsia" w:ascii="华文中宋" w:hAnsi="华文中宋" w:eastAsia="华文中宋" w:cs="华文中宋"/>
          <w:color w:val="auto"/>
          <w:sz w:val="24"/>
          <w:szCs w:val="24"/>
        </w:rPr>
        <w:t>发包人提供国外标准</w:t>
      </w:r>
      <w:r>
        <w:rPr>
          <w:rFonts w:hint="eastAsia" w:ascii="华文中宋" w:hAnsi="华文中宋" w:eastAsia="华文中宋" w:cs="华文中宋"/>
          <w:color w:val="auto"/>
          <w:kern w:val="0"/>
          <w:sz w:val="24"/>
          <w:szCs w:val="24"/>
        </w:rPr>
        <w:t>、规范的名称：</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423C9BF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发包人提供国外标准</w:t>
      </w:r>
      <w:r>
        <w:rPr>
          <w:rFonts w:hint="eastAsia" w:ascii="华文中宋" w:hAnsi="华文中宋" w:eastAsia="华文中宋" w:cs="华文中宋"/>
          <w:color w:val="auto"/>
          <w:kern w:val="0"/>
          <w:sz w:val="24"/>
          <w:szCs w:val="24"/>
        </w:rPr>
        <w:t>、规范的份数：</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55F518A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发包人提供国外标准</w:t>
      </w:r>
      <w:r>
        <w:rPr>
          <w:rFonts w:hint="eastAsia" w:ascii="华文中宋" w:hAnsi="华文中宋" w:eastAsia="华文中宋" w:cs="华文中宋"/>
          <w:color w:val="auto"/>
          <w:kern w:val="0"/>
          <w:sz w:val="24"/>
          <w:szCs w:val="24"/>
        </w:rPr>
        <w:t>、规范的名称：</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1DCB1FD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1.4.3发包人对工程的技术标准和功能要求的特殊要求：</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2437AD8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 合同文件的优先顺序</w:t>
      </w:r>
    </w:p>
    <w:p w14:paraId="22A968A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合同文件组成及优先顺序为：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6B3573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 图纸和承包人文件</w:t>
      </w:r>
    </w:p>
    <w:p w14:paraId="4C76BC7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 图纸的提供</w:t>
      </w:r>
    </w:p>
    <w:p w14:paraId="6660551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发包人向承包人提供图纸的期限：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A8149D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发包人向承包人提供图纸的数量：</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EA5D7A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发包人向承包人提供图纸的内容：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23B422A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1.6.4 承包人文件</w:t>
      </w:r>
    </w:p>
    <w:p w14:paraId="0C85F4F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需要由承包人提供的文件，包括：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49EA381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承包人提供的文件的期限为：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450B6F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承包人提供的文件的数量为：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DC8641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承包人提供的文件的形式为：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49360D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发包人审批承包人文件的期限：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A9B40B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1.6.5 </w:t>
      </w:r>
      <w:r>
        <w:rPr>
          <w:rFonts w:hint="eastAsia" w:ascii="华文中宋" w:hAnsi="华文中宋" w:eastAsia="华文中宋" w:cs="华文中宋"/>
          <w:color w:val="auto"/>
          <w:kern w:val="0"/>
          <w:sz w:val="24"/>
          <w:szCs w:val="24"/>
        </w:rPr>
        <w:t>现场图纸准备</w:t>
      </w:r>
    </w:p>
    <w:p w14:paraId="3832D0C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关于现场图纸准备的约定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D9B81A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1.7 联络</w:t>
      </w:r>
    </w:p>
    <w:p w14:paraId="7306401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1.7.1发包人和承包人应当在</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天内将与合同有关的通知、批准、证明、证书、指示、指令、</w:t>
      </w:r>
      <w:r>
        <w:rPr>
          <w:rFonts w:hint="eastAsia" w:ascii="华文中宋" w:hAnsi="华文中宋" w:eastAsia="华文中宋" w:cs="华文中宋"/>
          <w:color w:val="auto"/>
          <w:sz w:val="24"/>
          <w:szCs w:val="24"/>
        </w:rPr>
        <w:t>要求</w:t>
      </w:r>
      <w:r>
        <w:rPr>
          <w:rFonts w:hint="eastAsia" w:ascii="华文中宋" w:hAnsi="华文中宋" w:eastAsia="华文中宋" w:cs="华文中宋"/>
          <w:color w:val="auto"/>
          <w:kern w:val="0"/>
          <w:sz w:val="24"/>
          <w:szCs w:val="24"/>
        </w:rPr>
        <w:t>、请求、同意、意见、确定和决定等书面函件送达对方当事人。</w:t>
      </w:r>
    </w:p>
    <w:p w14:paraId="4342D3C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1.7.2</w:t>
      </w:r>
      <w:r>
        <w:rPr>
          <w:rFonts w:hint="eastAsia" w:ascii="华文中宋" w:hAnsi="华文中宋" w:eastAsia="华文中宋" w:cs="华文中宋"/>
          <w:color w:val="auto"/>
          <w:sz w:val="24"/>
          <w:szCs w:val="24"/>
        </w:rPr>
        <w:t>发包人接收文件的地点</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21CBE26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发包人指定的接收人为</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kern w:val="0"/>
          <w:sz w:val="24"/>
          <w:szCs w:val="24"/>
        </w:rPr>
        <w:t>。</w:t>
      </w:r>
    </w:p>
    <w:p w14:paraId="0264701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承包人接收文件的地点</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3E997B3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w:t>
      </w:r>
      <w:r>
        <w:rPr>
          <w:rFonts w:hint="eastAsia" w:ascii="华文中宋" w:hAnsi="华文中宋" w:eastAsia="华文中宋" w:cs="华文中宋"/>
          <w:color w:val="auto"/>
          <w:sz w:val="24"/>
          <w:szCs w:val="24"/>
        </w:rPr>
        <w:t>人指定的接收人为：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4202F9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监理</w:t>
      </w:r>
      <w:r>
        <w:rPr>
          <w:rFonts w:hint="eastAsia" w:ascii="华文中宋" w:hAnsi="华文中宋" w:eastAsia="华文中宋" w:cs="华文中宋"/>
          <w:color w:val="auto"/>
          <w:kern w:val="0"/>
          <w:sz w:val="24"/>
          <w:szCs w:val="24"/>
        </w:rPr>
        <w:t>人接收文件的地点：</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2AFB59C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监理人指定的接收人为</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6A12F4D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570" w:name="_Toc375060651"/>
      <w:bookmarkStart w:id="571" w:name="_Toc375060852"/>
      <w:r>
        <w:rPr>
          <w:rFonts w:hint="eastAsia" w:ascii="华文中宋" w:hAnsi="华文中宋" w:eastAsia="华文中宋" w:cs="华文中宋"/>
          <w:color w:val="auto"/>
          <w:sz w:val="24"/>
          <w:szCs w:val="24"/>
        </w:rPr>
        <w:t>1.10 交通运输</w:t>
      </w:r>
      <w:bookmarkEnd w:id="570"/>
      <w:bookmarkEnd w:id="571"/>
    </w:p>
    <w:p w14:paraId="2707428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572" w:name="_Toc300934943"/>
      <w:bookmarkStart w:id="573" w:name="_Toc318581155"/>
      <w:bookmarkStart w:id="574" w:name="_Toc304295521"/>
      <w:bookmarkStart w:id="575" w:name="_Toc303539100"/>
      <w:bookmarkStart w:id="576" w:name="_Toc312677986"/>
      <w:r>
        <w:rPr>
          <w:rFonts w:hint="eastAsia" w:ascii="华文中宋" w:hAnsi="华文中宋" w:eastAsia="华文中宋" w:cs="华文中宋"/>
          <w:color w:val="auto"/>
          <w:sz w:val="24"/>
          <w:szCs w:val="24"/>
        </w:rPr>
        <w:t>.10.1 出入现场的权利</w:t>
      </w:r>
    </w:p>
    <w:p w14:paraId="3AD5604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关于出入现场的权利的约定：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bCs/>
          <w:color w:val="auto"/>
          <w:sz w:val="24"/>
          <w:szCs w:val="24"/>
        </w:rPr>
        <w:t>。</w:t>
      </w:r>
    </w:p>
    <w:bookmarkEnd w:id="572"/>
    <w:bookmarkEnd w:id="573"/>
    <w:bookmarkEnd w:id="574"/>
    <w:bookmarkEnd w:id="575"/>
    <w:bookmarkEnd w:id="576"/>
    <w:p w14:paraId="4213A77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577" w:name="_Toc312677987"/>
      <w:bookmarkStart w:id="578" w:name="_Toc300934944"/>
      <w:bookmarkStart w:id="579" w:name="_Toc318581156"/>
      <w:bookmarkStart w:id="580" w:name="_Toc304295522"/>
      <w:bookmarkStart w:id="581" w:name="_Toc303539101"/>
      <w:r>
        <w:rPr>
          <w:rFonts w:hint="eastAsia" w:ascii="华文中宋" w:hAnsi="华文中宋" w:eastAsia="华文中宋" w:cs="华文中宋"/>
          <w:color w:val="auto"/>
          <w:sz w:val="24"/>
          <w:szCs w:val="24"/>
        </w:rPr>
        <w:t>.10.3 场内交通</w:t>
      </w:r>
    </w:p>
    <w:p w14:paraId="2DF1809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关于场外交通和场内交通的边界的约定</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bCs/>
          <w:color w:val="auto"/>
          <w:sz w:val="24"/>
          <w:szCs w:val="24"/>
        </w:rPr>
        <w:t>。</w:t>
      </w:r>
    </w:p>
    <w:p w14:paraId="50064F9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关于发包人向承包人免费提供满足工程施工需要的场内道路和交通设施的约定：</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bookmarkEnd w:id="577"/>
      <w:bookmarkEnd w:id="578"/>
      <w:bookmarkEnd w:id="579"/>
      <w:bookmarkEnd w:id="580"/>
      <w:bookmarkEnd w:id="581"/>
      <w:bookmarkStart w:id="582" w:name="_Toc318581157"/>
    </w:p>
    <w:p w14:paraId="11E7E7C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1.10.4超大件和超重件的运输</w:t>
      </w:r>
    </w:p>
    <w:p w14:paraId="756F020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运输超大件或超重件所需的道路和桥梁临时加固改造费用和其他有关费用</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582"/>
    <w:p w14:paraId="6E067FD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583" w:name="_Toc375060853"/>
      <w:bookmarkStart w:id="584" w:name="_Toc375060652"/>
      <w:r>
        <w:rPr>
          <w:rFonts w:hint="eastAsia" w:ascii="华文中宋" w:hAnsi="华文中宋" w:eastAsia="华文中宋" w:cs="华文中宋"/>
          <w:color w:val="auto"/>
          <w:sz w:val="24"/>
          <w:szCs w:val="24"/>
        </w:rPr>
        <w:t>1.11 知识产权</w:t>
      </w:r>
      <w:bookmarkEnd w:id="583"/>
      <w:bookmarkEnd w:id="584"/>
    </w:p>
    <w:p w14:paraId="3CF8D29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005D9D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关于发包人提供的上述文件的使用限制的要求：</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1E8F76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1.11.2 关于承包人为实施工程所编制文件的著作权的归属：</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7CE6955C">
      <w:pPr>
        <w:pageBreakBefore w:val="0"/>
        <w:kinsoku/>
        <w:wordWrap/>
        <w:overflowPunct/>
        <w:topLinePunct w:val="0"/>
        <w:bidi w:val="0"/>
        <w:snapToGrid/>
        <w:spacing w:line="360" w:lineRule="auto"/>
        <w:ind w:firstLine="516" w:firstLineChars="21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关于承包人提供的上述文件的使用限制的要求：</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9EA663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1.11.4 承包人在施工过程中所采用的专利、专有技术、技术秘密的使用费的承担方式：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57CA90B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1.13工程量清单错误的修正</w:t>
      </w:r>
    </w:p>
    <w:p w14:paraId="11EDB00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出现工程量清单错误时，是否调整合同价格：</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1C693F2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允许调整合同价格的工程量偏差范围：</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w:t>
      </w:r>
    </w:p>
    <w:p w14:paraId="29F6A95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85" w:name="_Toc375060854"/>
      <w:r>
        <w:rPr>
          <w:rFonts w:hint="eastAsia" w:ascii="华文中宋" w:hAnsi="华文中宋" w:eastAsia="华文中宋" w:cs="华文中宋"/>
          <w:b w:val="0"/>
          <w:color w:val="auto"/>
          <w:sz w:val="24"/>
          <w:szCs w:val="24"/>
        </w:rPr>
        <w:t>2</w:t>
      </w:r>
      <w:bookmarkStart w:id="586" w:name="_Toc296944496"/>
      <w:bookmarkStart w:id="587" w:name="_Toc297120457"/>
      <w:bookmarkStart w:id="588" w:name="_Toc296891197"/>
      <w:bookmarkStart w:id="589" w:name="_Toc296503157"/>
      <w:bookmarkStart w:id="590" w:name="_Toc292559362"/>
      <w:bookmarkStart w:id="591" w:name="_Toc297048343"/>
      <w:bookmarkStart w:id="592" w:name="_Toc296346658"/>
      <w:bookmarkStart w:id="593" w:name="_Toc296347156"/>
      <w:bookmarkStart w:id="594" w:name="_Toc296890985"/>
      <w:bookmarkStart w:id="595" w:name="_Toc292559867"/>
      <w:r>
        <w:rPr>
          <w:rFonts w:hint="eastAsia" w:ascii="华文中宋" w:hAnsi="华文中宋" w:eastAsia="华文中宋" w:cs="华文中宋"/>
          <w:b w:val="0"/>
          <w:color w:val="auto"/>
          <w:sz w:val="24"/>
          <w:szCs w:val="24"/>
        </w:rPr>
        <w:t>. 发包人</w:t>
      </w:r>
      <w:bookmarkEnd w:id="585"/>
    </w:p>
    <w:bookmarkEnd w:id="586"/>
    <w:bookmarkEnd w:id="587"/>
    <w:bookmarkEnd w:id="588"/>
    <w:bookmarkEnd w:id="589"/>
    <w:bookmarkEnd w:id="590"/>
    <w:bookmarkEnd w:id="591"/>
    <w:bookmarkEnd w:id="592"/>
    <w:bookmarkEnd w:id="593"/>
    <w:bookmarkEnd w:id="594"/>
    <w:bookmarkEnd w:id="595"/>
    <w:p w14:paraId="4334CB7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2.2 发包人代表</w:t>
      </w:r>
    </w:p>
    <w:p w14:paraId="0775294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发包人代表：</w:t>
      </w:r>
    </w:p>
    <w:p w14:paraId="7300489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姓    名：</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4A54086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身份证号：</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2F5599A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职    务：</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7588442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6C42EEA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79D29C8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09B6978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发包人对发包人代表的授权范围如下：</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DC3183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2.4 施工现场、施工条件和基础资料的提供</w:t>
      </w:r>
    </w:p>
    <w:p w14:paraId="768E4EE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2.4.1 提供施工现场</w:t>
      </w:r>
    </w:p>
    <w:p w14:paraId="3B13737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关于发包人移交施工现场的期限要求：</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0A94D1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2.4.2 提供施工条件</w:t>
      </w:r>
    </w:p>
    <w:p w14:paraId="3DE2E53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关于发包人应负责提供施工所需要的条件，包括：</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4C02E9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2.5 资金来源证明及支付担保</w:t>
      </w:r>
    </w:p>
    <w:p w14:paraId="249579F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发包人提供资金来源证明的期限要求：</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49DE24C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发包人是否提供支付担保：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3D21396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发包人提供支付担保的形式：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722E0F2F">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96" w:name="_Toc375060855"/>
      <w:r>
        <w:rPr>
          <w:rFonts w:hint="eastAsia" w:ascii="华文中宋" w:hAnsi="华文中宋" w:eastAsia="华文中宋" w:cs="华文中宋"/>
          <w:b w:val="0"/>
          <w:color w:val="auto"/>
          <w:sz w:val="24"/>
          <w:szCs w:val="24"/>
        </w:rPr>
        <w:t>3</w:t>
      </w:r>
      <w:bookmarkStart w:id="597" w:name="_Toc296944497"/>
      <w:bookmarkStart w:id="598" w:name="_Toc296891198"/>
      <w:bookmarkStart w:id="599" w:name="_Toc296346659"/>
      <w:bookmarkStart w:id="600" w:name="_Toc296347157"/>
      <w:bookmarkStart w:id="601" w:name="_Toc292559363"/>
      <w:bookmarkStart w:id="602" w:name="_Toc296503158"/>
      <w:bookmarkStart w:id="603" w:name="_Toc292559868"/>
      <w:bookmarkStart w:id="604" w:name="_Toc297120458"/>
      <w:bookmarkStart w:id="605" w:name="_Toc297048344"/>
      <w:bookmarkStart w:id="606" w:name="_Toc296890986"/>
      <w:r>
        <w:rPr>
          <w:rFonts w:hint="eastAsia" w:ascii="华文中宋" w:hAnsi="华文中宋" w:eastAsia="华文中宋" w:cs="华文中宋"/>
          <w:b w:val="0"/>
          <w:color w:val="auto"/>
          <w:sz w:val="24"/>
          <w:szCs w:val="24"/>
        </w:rPr>
        <w:t>. 承包人</w:t>
      </w:r>
      <w:bookmarkEnd w:id="596"/>
    </w:p>
    <w:bookmarkEnd w:id="597"/>
    <w:bookmarkEnd w:id="598"/>
    <w:bookmarkEnd w:id="599"/>
    <w:bookmarkEnd w:id="600"/>
    <w:bookmarkEnd w:id="601"/>
    <w:bookmarkEnd w:id="602"/>
    <w:bookmarkEnd w:id="603"/>
    <w:bookmarkEnd w:id="604"/>
    <w:bookmarkEnd w:id="605"/>
    <w:bookmarkEnd w:id="606"/>
    <w:p w14:paraId="36AF3DD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 承包人的一般义务</w:t>
      </w:r>
    </w:p>
    <w:p w14:paraId="322CFFD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（9）承包人提交的竣工资料的内容：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E9E1FC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承包人需要提交的竣工资料套数：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p w14:paraId="5CAE20B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承包人提交的竣工资料的费用承担：</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B816D6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承包人提交的竣工资料移交时间：</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52DDD7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承包人提交的竣工资料形式要求：</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96457F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（10）</w:t>
      </w:r>
      <w:r>
        <w:rPr>
          <w:rFonts w:hint="eastAsia" w:ascii="华文中宋" w:hAnsi="华文中宋" w:eastAsia="华文中宋" w:cs="华文中宋"/>
          <w:color w:val="auto"/>
          <w:sz w:val="24"/>
          <w:szCs w:val="24"/>
        </w:rPr>
        <w:t>承包人应履行的其他义务</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3F28E6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 项目经理</w:t>
      </w:r>
    </w:p>
    <w:p w14:paraId="62FDCCF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 xml:space="preserve">3.2.1 </w:t>
      </w:r>
      <w:r>
        <w:rPr>
          <w:rFonts w:hint="eastAsia" w:ascii="华文中宋" w:hAnsi="华文中宋" w:eastAsia="华文中宋" w:cs="华文中宋"/>
          <w:color w:val="auto"/>
          <w:sz w:val="24"/>
          <w:szCs w:val="24"/>
        </w:rPr>
        <w:t>项目经理：</w:t>
      </w:r>
    </w:p>
    <w:p w14:paraId="34BDD94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姓    名：</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22BEA49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身份证号：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181394A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建造师执业资格等级：</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1382605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color w:val="auto"/>
          <w:sz w:val="24"/>
          <w:szCs w:val="24"/>
        </w:rPr>
        <w:t>建造师注册证书号：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w:t>
      </w:r>
    </w:p>
    <w:p w14:paraId="5389EDC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color w:val="auto"/>
          <w:sz w:val="24"/>
          <w:szCs w:val="24"/>
        </w:rPr>
        <w:t>建造师执业印章号</w:t>
      </w:r>
      <w:r>
        <w:rPr>
          <w:rFonts w:hint="eastAsia" w:ascii="华文中宋" w:hAnsi="华文中宋" w:eastAsia="华文中宋" w:cs="华文中宋"/>
          <w:bCs/>
          <w:color w:val="auto"/>
          <w:sz w:val="24"/>
          <w:szCs w:val="24"/>
        </w:rPr>
        <w:t>：</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
          <w:color w:val="auto"/>
          <w:sz w:val="24"/>
          <w:szCs w:val="24"/>
          <w:u w:val="single"/>
        </w:rPr>
        <w:t>；</w:t>
      </w:r>
    </w:p>
    <w:p w14:paraId="61AE3A9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安全生产考核合格证书号：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659F950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5E58E1A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EBAD80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B47808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承包人对项目经理的授权范围如下：</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80DA0C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关于项目经理每月在施工现场的时间要求</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821EA6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承包人未提交劳动合同，</w:t>
      </w:r>
      <w:r>
        <w:rPr>
          <w:rFonts w:hint="eastAsia" w:ascii="华文中宋" w:hAnsi="华文中宋" w:eastAsia="华文中宋" w:cs="华文中宋"/>
          <w:color w:val="auto"/>
          <w:sz w:val="24"/>
          <w:szCs w:val="24"/>
        </w:rPr>
        <w:t>以及没有为项目经理缴纳社会保险证明的违约责任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1B3D95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项目经理未经批准，</w:t>
      </w:r>
      <w:r>
        <w:rPr>
          <w:rFonts w:hint="eastAsia" w:ascii="华文中宋" w:hAnsi="华文中宋" w:eastAsia="华文中宋" w:cs="华文中宋"/>
          <w:color w:val="auto"/>
          <w:sz w:val="24"/>
          <w:szCs w:val="24"/>
        </w:rPr>
        <w:t>擅自离开施工现场的违约责任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5CF92A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3.2.3 承包人擅自更换项目经理的违约责任：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6C7760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3.2.4 承包人无正当理由拒绝更换项目经理的违约责任：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5CEFF1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3.3 承包人人员</w:t>
      </w:r>
    </w:p>
    <w:p w14:paraId="54023C2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3.3.1 承包人提交项目管理机构及施工现场管理人员安排报告的期限</w:t>
      </w:r>
      <w:r>
        <w:rPr>
          <w:rFonts w:hint="eastAsia" w:ascii="华文中宋" w:hAnsi="华文中宋" w:eastAsia="华文中宋" w:cs="华文中宋"/>
          <w:color w:val="auto"/>
          <w:sz w:val="24"/>
          <w:szCs w:val="24"/>
          <w:u w:val="single"/>
        </w:rPr>
        <w:t>：。</w:t>
      </w:r>
    </w:p>
    <w:p w14:paraId="6DFC81E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3.3.3 承包人无正当理由拒绝撤换主要施工管理人员的违约责任</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5D4604E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3.3.4 承包人主要施工管理人员离开施工现场的批准要求：</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003821F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3.3.5承包人擅自更换主要施工管理人员的违约责任：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75AAC50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承包人主要施工管理人员擅自离开施工现场的违约责任：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0DE573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bookmarkStart w:id="607" w:name="_Toc296891199"/>
      <w:bookmarkStart w:id="608" w:name="_Toc303539102"/>
      <w:bookmarkStart w:id="609" w:name="_Toc312677988"/>
      <w:bookmarkStart w:id="610" w:name="_Toc296347158"/>
      <w:bookmarkStart w:id="611" w:name="_Toc297216151"/>
      <w:bookmarkStart w:id="612" w:name="_Toc300934945"/>
      <w:bookmarkStart w:id="613" w:name="_Toc297123492"/>
      <w:bookmarkStart w:id="614" w:name="_Toc296346660"/>
      <w:bookmarkStart w:id="615" w:name="_Toc296503159"/>
      <w:bookmarkStart w:id="616" w:name="_Toc304295523"/>
      <w:bookmarkStart w:id="617" w:name="_Toc297120459"/>
      <w:bookmarkStart w:id="618" w:name="_Toc292559364"/>
      <w:bookmarkStart w:id="619" w:name="_Toc296944498"/>
      <w:bookmarkStart w:id="620" w:name="_Toc292559869"/>
      <w:bookmarkStart w:id="621" w:name="_Toc297048345"/>
      <w:bookmarkStart w:id="622" w:name="_Toc296890987"/>
      <w:r>
        <w:rPr>
          <w:rFonts w:hint="eastAsia" w:ascii="华文中宋" w:hAnsi="华文中宋" w:eastAsia="华文中宋" w:cs="华文中宋"/>
          <w:color w:val="auto"/>
          <w:sz w:val="24"/>
          <w:szCs w:val="24"/>
        </w:rPr>
        <w:t>.5 分包</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3B0644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bookmarkStart w:id="623" w:name="_Toc296891200"/>
      <w:bookmarkStart w:id="624" w:name="_Toc296503160"/>
      <w:bookmarkStart w:id="625" w:name="_Toc296347159"/>
      <w:bookmarkStart w:id="626" w:name="_Toc292559365"/>
      <w:bookmarkStart w:id="627" w:name="_Toc303539103"/>
      <w:bookmarkStart w:id="628" w:name="_Toc297120460"/>
      <w:bookmarkStart w:id="629" w:name="_Toc292559870"/>
      <w:bookmarkStart w:id="630" w:name="_Toc297123493"/>
      <w:bookmarkStart w:id="631" w:name="_Toc304295524"/>
      <w:bookmarkStart w:id="632" w:name="_Toc296890988"/>
      <w:bookmarkStart w:id="633" w:name="_Toc296346661"/>
      <w:bookmarkStart w:id="634" w:name="_Toc297048346"/>
      <w:bookmarkStart w:id="635" w:name="_Toc300934946"/>
      <w:bookmarkStart w:id="636" w:name="_Toc296944499"/>
      <w:bookmarkStart w:id="637" w:name="_Toc297216152"/>
      <w:bookmarkStart w:id="638" w:name="_Toc312677989"/>
      <w:bookmarkStart w:id="639" w:name="_Toc318581158"/>
      <w:r>
        <w:rPr>
          <w:rFonts w:hint="eastAsia" w:ascii="华文中宋" w:hAnsi="华文中宋" w:eastAsia="华文中宋" w:cs="华文中宋"/>
          <w:color w:val="auto"/>
          <w:sz w:val="24"/>
          <w:szCs w:val="24"/>
        </w:rPr>
        <w:t>.5.1 分包的一般约定</w:t>
      </w:r>
    </w:p>
    <w:p w14:paraId="4E38328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禁止分包的工程包括</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C7680D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主体结构、</w:t>
      </w:r>
      <w:r>
        <w:rPr>
          <w:rFonts w:hint="eastAsia" w:ascii="华文中宋" w:hAnsi="华文中宋" w:eastAsia="华文中宋" w:cs="华文中宋"/>
          <w:color w:val="auto"/>
          <w:kern w:val="0"/>
          <w:sz w:val="24"/>
          <w:szCs w:val="24"/>
        </w:rPr>
        <w:t>关键性工作的范围</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Start w:id="640" w:name="_Toc297123494"/>
      <w:bookmarkStart w:id="641" w:name="_Toc297048347"/>
      <w:bookmarkStart w:id="642" w:name="_Toc296346662"/>
      <w:bookmarkStart w:id="643" w:name="_Toc304295525"/>
      <w:bookmarkStart w:id="644" w:name="_Toc297120461"/>
      <w:bookmarkStart w:id="645" w:name="_Toc296891201"/>
      <w:bookmarkStart w:id="646" w:name="_Toc296944500"/>
      <w:bookmarkStart w:id="647" w:name="_Toc296890989"/>
      <w:bookmarkStart w:id="648" w:name="_Toc300934947"/>
      <w:bookmarkStart w:id="649" w:name="_Toc296347160"/>
      <w:bookmarkStart w:id="650" w:name="_Toc297216153"/>
      <w:bookmarkStart w:id="651" w:name="_Toc303539104"/>
      <w:bookmarkStart w:id="652" w:name="_Toc296503161"/>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14:paraId="72CC313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bookmarkStart w:id="653" w:name="_Toc312677990"/>
      <w:bookmarkStart w:id="654" w:name="_Toc318581159"/>
      <w:r>
        <w:rPr>
          <w:rFonts w:hint="eastAsia" w:ascii="华文中宋" w:hAnsi="华文中宋" w:eastAsia="华文中宋" w:cs="华文中宋"/>
          <w:color w:val="auto"/>
          <w:sz w:val="24"/>
          <w:szCs w:val="24"/>
        </w:rPr>
        <w:t>.5.2</w:t>
      </w:r>
      <w:r>
        <w:rPr>
          <w:rFonts w:hint="eastAsia" w:ascii="华文中宋" w:hAnsi="华文中宋" w:eastAsia="华文中宋" w:cs="华文中宋"/>
          <w:color w:val="auto"/>
          <w:kern w:val="0"/>
          <w:sz w:val="24"/>
          <w:szCs w:val="24"/>
        </w:rPr>
        <w:t>分包的确定</w:t>
      </w:r>
    </w:p>
    <w:p w14:paraId="6E61486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允许分包的专业工程包括</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0B7C75D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其他关于分包的约定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76C086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3.5.4 </w:t>
      </w:r>
      <w:r>
        <w:rPr>
          <w:rFonts w:hint="eastAsia" w:ascii="华文中宋" w:hAnsi="华文中宋" w:eastAsia="华文中宋" w:cs="华文中宋"/>
          <w:color w:val="auto"/>
          <w:kern w:val="0"/>
          <w:sz w:val="24"/>
          <w:szCs w:val="24"/>
        </w:rPr>
        <w:t>分包合同价款</w:t>
      </w:r>
    </w:p>
    <w:p w14:paraId="6D3351D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关于分包合同价款支付的约定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653"/>
    <w:bookmarkEnd w:id="654"/>
    <w:p w14:paraId="1C4BCEC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3.6 工程照管与成品、半成品保护</w:t>
      </w:r>
    </w:p>
    <w:p w14:paraId="125040B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承包人负责照管工程及工程相关的材料、</w:t>
      </w:r>
      <w:r>
        <w:rPr>
          <w:rFonts w:hint="eastAsia" w:ascii="华文中宋" w:hAnsi="华文中宋" w:eastAsia="华文中宋" w:cs="华文中宋"/>
          <w:color w:val="auto"/>
          <w:sz w:val="24"/>
          <w:szCs w:val="24"/>
        </w:rPr>
        <w:t>工程设备的起始时间</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u w:val="single"/>
        </w:rPr>
        <w:t>。</w:t>
      </w:r>
    </w:p>
    <w:p w14:paraId="3EDE1BC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3.7 履约担保</w:t>
      </w:r>
    </w:p>
    <w:p w14:paraId="6948FD0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承包人是否提供履约担保</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757010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承包人提供履约担保的形式、金额及期限的：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32E31FA2">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655" w:name="_Toc375060856"/>
      <w:r>
        <w:rPr>
          <w:rFonts w:hint="eastAsia" w:ascii="华文中宋" w:hAnsi="华文中宋" w:eastAsia="华文中宋" w:cs="华文中宋"/>
          <w:b w:val="0"/>
          <w:color w:val="auto"/>
          <w:sz w:val="24"/>
          <w:szCs w:val="24"/>
        </w:rPr>
        <w:t>4</w:t>
      </w:r>
      <w:bookmarkStart w:id="656" w:name="_Toc292559871"/>
      <w:bookmarkStart w:id="657" w:name="_Toc296891202"/>
      <w:bookmarkStart w:id="658" w:name="_Toc292559366"/>
      <w:bookmarkStart w:id="659" w:name="_Toc296346663"/>
      <w:bookmarkStart w:id="660" w:name="_Toc267251413"/>
      <w:bookmarkStart w:id="661" w:name="_Toc296944501"/>
      <w:bookmarkStart w:id="662" w:name="_Toc296503162"/>
      <w:bookmarkStart w:id="663" w:name="_Toc296347161"/>
      <w:bookmarkStart w:id="664" w:name="_Toc296890990"/>
      <w:bookmarkStart w:id="665" w:name="_Toc297048348"/>
      <w:bookmarkStart w:id="666" w:name="_Toc297120462"/>
      <w:r>
        <w:rPr>
          <w:rFonts w:hint="eastAsia" w:ascii="华文中宋" w:hAnsi="华文中宋" w:eastAsia="华文中宋" w:cs="华文中宋"/>
          <w:b w:val="0"/>
          <w:color w:val="auto"/>
          <w:sz w:val="24"/>
          <w:szCs w:val="24"/>
        </w:rPr>
        <w:t>. 监</w:t>
      </w:r>
      <w:bookmarkEnd w:id="656"/>
      <w:bookmarkEnd w:id="657"/>
      <w:bookmarkEnd w:id="658"/>
      <w:bookmarkEnd w:id="659"/>
      <w:bookmarkEnd w:id="660"/>
      <w:bookmarkEnd w:id="661"/>
      <w:bookmarkEnd w:id="662"/>
      <w:bookmarkEnd w:id="663"/>
      <w:bookmarkEnd w:id="664"/>
      <w:bookmarkEnd w:id="665"/>
      <w:bookmarkEnd w:id="666"/>
      <w:r>
        <w:rPr>
          <w:rFonts w:hint="eastAsia" w:ascii="华文中宋" w:hAnsi="华文中宋" w:eastAsia="华文中宋" w:cs="华文中宋"/>
          <w:b w:val="0"/>
          <w:color w:val="auto"/>
          <w:sz w:val="24"/>
          <w:szCs w:val="24"/>
        </w:rPr>
        <w:t>理人</w:t>
      </w:r>
      <w:bookmarkEnd w:id="655"/>
    </w:p>
    <w:p w14:paraId="5733D0B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4.1监理人的一般规定</w:t>
      </w:r>
    </w:p>
    <w:p w14:paraId="7E5DDF6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关于监理人的监理内容：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F9E0A1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关于监理人的监理权限：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FEC4E4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bCs/>
          <w:color w:val="auto"/>
          <w:sz w:val="24"/>
          <w:szCs w:val="24"/>
          <w:u w:val="single"/>
        </w:rPr>
      </w:pPr>
      <w:r>
        <w:rPr>
          <w:rFonts w:hint="eastAsia" w:ascii="华文中宋" w:hAnsi="华文中宋" w:eastAsia="华文中宋" w:cs="华文中宋"/>
          <w:color w:val="auto"/>
          <w:sz w:val="24"/>
          <w:szCs w:val="24"/>
        </w:rPr>
        <w:t>关于监理人在施工现场的办公场所、生活场所的提供和费用承担的约定</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bCs/>
          <w:color w:val="auto"/>
          <w:sz w:val="24"/>
          <w:szCs w:val="24"/>
          <w:u w:val="single"/>
        </w:rPr>
        <w:t>。</w:t>
      </w:r>
    </w:p>
    <w:p w14:paraId="4923BF3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4.2 监理人员</w:t>
      </w:r>
    </w:p>
    <w:p w14:paraId="1D62EB8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总监理工程师：</w:t>
      </w:r>
    </w:p>
    <w:p w14:paraId="2FB36AA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姓    名：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2A260A2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职    务：</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6406650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监理工程师执业资格证书号：</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bCs/>
          <w:color w:val="auto"/>
          <w:sz w:val="24"/>
          <w:szCs w:val="24"/>
        </w:rPr>
        <w:t>；</w:t>
      </w:r>
    </w:p>
    <w:p w14:paraId="3BBE12B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4610AA8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7C37256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54C8190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关于监理人的其他约定：</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8486FC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4.4 商定或确定</w:t>
      </w:r>
    </w:p>
    <w:p w14:paraId="7340422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667" w:name="_Toc267251418"/>
      <w:r>
        <w:rPr>
          <w:rFonts w:hint="eastAsia" w:ascii="华文中宋" w:hAnsi="华文中宋" w:eastAsia="华文中宋" w:cs="华文中宋"/>
          <w:color w:val="auto"/>
          <w:sz w:val="24"/>
          <w:szCs w:val="24"/>
        </w:rPr>
        <w:t>在</w:t>
      </w:r>
      <w:r>
        <w:rPr>
          <w:rFonts w:hint="eastAsia" w:ascii="华文中宋" w:hAnsi="华文中宋" w:eastAsia="华文中宋" w:cs="华文中宋"/>
          <w:color w:val="auto"/>
          <w:kern w:val="0"/>
          <w:sz w:val="24"/>
          <w:szCs w:val="24"/>
        </w:rPr>
        <w:t>发</w:t>
      </w:r>
      <w:r>
        <w:rPr>
          <w:rFonts w:hint="eastAsia" w:ascii="华文中宋" w:hAnsi="华文中宋" w:eastAsia="华文中宋" w:cs="华文中宋"/>
          <w:color w:val="auto"/>
          <w:sz w:val="24"/>
          <w:szCs w:val="24"/>
        </w:rPr>
        <w:t>包人和承包人不能通过协商达成一致意见时，发包人授权监理人对以下事项进行确定：</w:t>
      </w:r>
    </w:p>
    <w:p w14:paraId="7BF4309D">
      <w:pPr>
        <w:pageBreakBefore w:val="0"/>
        <w:numPr>
          <w:ilvl w:val="0"/>
          <w:numId w:val="5"/>
        </w:numPr>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82FDB90">
      <w:pPr>
        <w:pageBreakBefore w:val="0"/>
        <w:numPr>
          <w:ilvl w:val="0"/>
          <w:numId w:val="5"/>
        </w:numPr>
        <w:kinsoku/>
        <w:wordWrap/>
        <w:overflowPunct/>
        <w:topLinePunct w:val="0"/>
        <w:autoSpaceDE w:val="0"/>
        <w:autoSpaceDN w:val="0"/>
        <w:bidi w:val="0"/>
        <w:adjustRightInd w:val="0"/>
        <w:snapToGrid/>
        <w:spacing w:line="360" w:lineRule="auto"/>
        <w:ind w:left="0" w:leftChars="0"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 xml:space="preserve"> </w:t>
      </w:r>
    </w:p>
    <w:p w14:paraId="3ABFC0C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134BE8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668" w:name="_Toc375060857"/>
      <w:r>
        <w:rPr>
          <w:rFonts w:hint="eastAsia" w:ascii="华文中宋" w:hAnsi="华文中宋" w:eastAsia="华文中宋" w:cs="华文中宋"/>
          <w:b w:val="0"/>
          <w:color w:val="auto"/>
          <w:sz w:val="24"/>
          <w:szCs w:val="24"/>
        </w:rPr>
        <w:t>5</w:t>
      </w:r>
      <w:bookmarkEnd w:id="667"/>
      <w:bookmarkStart w:id="669" w:name="_Toc292559367"/>
      <w:bookmarkStart w:id="670" w:name="_Toc296346664"/>
      <w:bookmarkStart w:id="671" w:name="_Toc296891203"/>
      <w:bookmarkStart w:id="672" w:name="_Toc296503163"/>
      <w:bookmarkStart w:id="673" w:name="_Toc297048349"/>
      <w:bookmarkStart w:id="674" w:name="_Toc296944502"/>
      <w:bookmarkStart w:id="675" w:name="_Toc297120463"/>
      <w:bookmarkStart w:id="676" w:name="_Toc296347162"/>
      <w:bookmarkStart w:id="677" w:name="_Toc292559872"/>
      <w:bookmarkStart w:id="678" w:name="_Toc296890991"/>
      <w:r>
        <w:rPr>
          <w:rFonts w:hint="eastAsia" w:ascii="华文中宋" w:hAnsi="华文中宋" w:eastAsia="华文中宋" w:cs="华文中宋"/>
          <w:b w:val="0"/>
          <w:color w:val="auto"/>
          <w:sz w:val="24"/>
          <w:szCs w:val="24"/>
        </w:rPr>
        <w:t>. 工程质量</w:t>
      </w:r>
      <w:bookmarkEnd w:id="668"/>
    </w:p>
    <w:p w14:paraId="0A9F0D5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 质量要求</w:t>
      </w:r>
    </w:p>
    <w:p w14:paraId="0398511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w:t>
      </w:r>
      <w:bookmarkStart w:id="679" w:name="_Toc297123496"/>
      <w:bookmarkStart w:id="680" w:name="_Toc303539106"/>
      <w:bookmarkStart w:id="681" w:name="_Toc297216155"/>
      <w:bookmarkStart w:id="682" w:name="_Toc304295527"/>
      <w:bookmarkStart w:id="683" w:name="_Toc300934949"/>
      <w:bookmarkStart w:id="684" w:name="_Toc318581164"/>
      <w:bookmarkStart w:id="685" w:name="_Toc312677997"/>
      <w:r>
        <w:rPr>
          <w:rFonts w:hint="eastAsia" w:ascii="华文中宋" w:hAnsi="华文中宋" w:eastAsia="华文中宋" w:cs="华文中宋"/>
          <w:color w:val="auto"/>
          <w:sz w:val="24"/>
          <w:szCs w:val="24"/>
        </w:rPr>
        <w:t xml:space="preserve">.1.1 </w:t>
      </w:r>
      <w:r>
        <w:rPr>
          <w:rFonts w:hint="eastAsia" w:ascii="华文中宋" w:hAnsi="华文中宋" w:eastAsia="华文中宋" w:cs="华文中宋"/>
          <w:color w:val="auto"/>
          <w:kern w:val="0"/>
          <w:sz w:val="24"/>
          <w:szCs w:val="24"/>
        </w:rPr>
        <w:t>特殊质量标准和要求</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AA5976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关于工程奖项的约定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44C789A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5.3 隐蔽工程检查</w:t>
      </w:r>
    </w:p>
    <w:p w14:paraId="1CFEA79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5.3.2</w:t>
      </w:r>
      <w:r>
        <w:rPr>
          <w:rFonts w:hint="eastAsia" w:ascii="华文中宋" w:hAnsi="华文中宋" w:eastAsia="华文中宋" w:cs="华文中宋"/>
          <w:color w:val="auto"/>
          <w:kern w:val="0"/>
          <w:sz w:val="24"/>
          <w:szCs w:val="24"/>
        </w:rPr>
        <w:t>承包人提前通知监理人隐蔽工程检查的期限的约定</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A6BBC8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监理人不能按时进行检查时</w:t>
      </w:r>
      <w:r>
        <w:rPr>
          <w:rFonts w:hint="eastAsia" w:ascii="华文中宋" w:hAnsi="华文中宋" w:eastAsia="华文中宋" w:cs="华文中宋"/>
          <w:color w:val="auto"/>
          <w:sz w:val="24"/>
          <w:szCs w:val="24"/>
        </w:rPr>
        <w:t>，应提前</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小时提交书面延期要求。</w:t>
      </w:r>
    </w:p>
    <w:p w14:paraId="01D2FE7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关于延期最长不得超过</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小时。</w:t>
      </w:r>
    </w:p>
    <w:p w14:paraId="0BFF435E">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686" w:name="_Toc375060858"/>
      <w:r>
        <w:rPr>
          <w:rFonts w:hint="eastAsia" w:ascii="华文中宋" w:hAnsi="华文中宋" w:eastAsia="华文中宋" w:cs="华文中宋"/>
          <w:b w:val="0"/>
          <w:color w:val="auto"/>
          <w:sz w:val="24"/>
          <w:szCs w:val="24"/>
        </w:rPr>
        <w:t>6. 安全文明施工与环境保护</w:t>
      </w:r>
      <w:bookmarkEnd w:id="686"/>
    </w:p>
    <w:p w14:paraId="5438FEC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6.1安全文明施工</w:t>
      </w:r>
    </w:p>
    <w:p w14:paraId="72F74B7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 xml:space="preserve">6.1.1 </w:t>
      </w:r>
      <w:r>
        <w:rPr>
          <w:rFonts w:hint="eastAsia" w:ascii="华文中宋" w:hAnsi="华文中宋" w:eastAsia="华文中宋" w:cs="华文中宋"/>
          <w:color w:val="auto"/>
          <w:kern w:val="0"/>
          <w:sz w:val="24"/>
          <w:szCs w:val="24"/>
        </w:rPr>
        <w:t>项目安全生产的达标目标及相应事项的约定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37D07C8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6.1.4 </w:t>
      </w:r>
      <w:r>
        <w:rPr>
          <w:rFonts w:hint="eastAsia" w:ascii="华文中宋" w:hAnsi="华文中宋" w:eastAsia="华文中宋" w:cs="华文中宋"/>
          <w:color w:val="auto"/>
          <w:kern w:val="0"/>
          <w:sz w:val="24"/>
          <w:szCs w:val="24"/>
        </w:rPr>
        <w:t>关于治安保卫的特别约定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kern w:val="0"/>
          <w:sz w:val="24"/>
          <w:szCs w:val="24"/>
        </w:rPr>
        <w:t>发包人配合。</w:t>
      </w:r>
    </w:p>
    <w:p w14:paraId="2800CE9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关于编制施工场地治安管理计划的约定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FB436B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6.1.5 </w:t>
      </w:r>
      <w:r>
        <w:rPr>
          <w:rFonts w:hint="eastAsia" w:ascii="华文中宋" w:hAnsi="华文中宋" w:eastAsia="华文中宋" w:cs="华文中宋"/>
          <w:color w:val="auto"/>
          <w:kern w:val="0"/>
          <w:sz w:val="24"/>
          <w:szCs w:val="24"/>
        </w:rPr>
        <w:t>文明施工</w:t>
      </w:r>
    </w:p>
    <w:p w14:paraId="7A85852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合同当事人对文明施工的要求</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E86A98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6.1.6 </w:t>
      </w:r>
      <w:r>
        <w:rPr>
          <w:rFonts w:hint="eastAsia" w:ascii="华文中宋" w:hAnsi="华文中宋" w:eastAsia="华文中宋" w:cs="华文中宋"/>
          <w:color w:val="auto"/>
          <w:kern w:val="0"/>
          <w:sz w:val="24"/>
          <w:szCs w:val="24"/>
        </w:rPr>
        <w:t>关于安全文明施工费支付比例和支付期限的约定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679"/>
    <w:bookmarkEnd w:id="680"/>
    <w:bookmarkEnd w:id="681"/>
    <w:bookmarkEnd w:id="682"/>
    <w:bookmarkEnd w:id="683"/>
    <w:bookmarkEnd w:id="684"/>
    <w:bookmarkEnd w:id="685"/>
    <w:p w14:paraId="592297B9">
      <w:pPr>
        <w:pStyle w:val="5"/>
        <w:pageBreakBefore w:val="0"/>
        <w:kinsoku/>
        <w:wordWrap/>
        <w:overflowPunct/>
        <w:topLinePunct w:val="0"/>
        <w:bidi w:val="0"/>
        <w:snapToGrid/>
        <w:spacing w:before="0" w:after="0" w:line="360" w:lineRule="auto"/>
        <w:ind w:right="2"/>
        <w:rPr>
          <w:rFonts w:hint="eastAsia" w:ascii="华文中宋" w:hAnsi="华文中宋" w:eastAsia="华文中宋" w:cs="华文中宋"/>
          <w:b w:val="0"/>
          <w:color w:val="auto"/>
          <w:sz w:val="24"/>
          <w:szCs w:val="24"/>
        </w:rPr>
      </w:pPr>
      <w:bookmarkStart w:id="687" w:name="_Toc375060859"/>
      <w:r>
        <w:rPr>
          <w:rFonts w:hint="eastAsia" w:ascii="华文中宋" w:hAnsi="华文中宋" w:eastAsia="华文中宋" w:cs="华文中宋"/>
          <w:b w:val="0"/>
          <w:color w:val="auto"/>
          <w:sz w:val="24"/>
          <w:szCs w:val="24"/>
        </w:rPr>
        <w:t>7. 工期和进度</w:t>
      </w:r>
      <w:bookmarkEnd w:id="687"/>
    </w:p>
    <w:p w14:paraId="1EC402D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7.1 施工组织设计</w:t>
      </w:r>
    </w:p>
    <w:p w14:paraId="2B7444A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7.1.1 </w:t>
      </w:r>
      <w:r>
        <w:rPr>
          <w:rFonts w:hint="eastAsia" w:ascii="华文中宋" w:hAnsi="华文中宋" w:eastAsia="华文中宋" w:cs="华文中宋"/>
          <w:color w:val="auto"/>
          <w:kern w:val="0"/>
          <w:sz w:val="24"/>
          <w:szCs w:val="24"/>
        </w:rPr>
        <w:t>合同当事人约定的施工组织设计应包括的其他内容：</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DF69D7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7.1.2 </w:t>
      </w:r>
      <w:r>
        <w:rPr>
          <w:rFonts w:hint="eastAsia" w:ascii="华文中宋" w:hAnsi="华文中宋" w:eastAsia="华文中宋" w:cs="华文中宋"/>
          <w:color w:val="auto"/>
          <w:kern w:val="0"/>
          <w:sz w:val="24"/>
          <w:szCs w:val="24"/>
        </w:rPr>
        <w:t>施工组织设计的提交和修改</w:t>
      </w:r>
    </w:p>
    <w:p w14:paraId="27F58B3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承包人提交详细施工组织设计的期限的约定：</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D001C9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发包人和监理人在收到详细的施工组织设计后确认或提出修改意见的期限</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72F16F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688" w:name="_Toc312678005"/>
      <w:bookmarkStart w:id="689" w:name="_Toc304295541"/>
      <w:bookmarkStart w:id="690" w:name="_Toc300934966"/>
      <w:bookmarkStart w:id="691" w:name="_Toc297123514"/>
      <w:bookmarkStart w:id="692" w:name="_Toc297216173"/>
      <w:bookmarkStart w:id="693" w:name="_Toc303539123"/>
      <w:bookmarkStart w:id="694" w:name="_Toc312677479"/>
      <w:r>
        <w:rPr>
          <w:rFonts w:hint="eastAsia" w:ascii="华文中宋" w:hAnsi="华文中宋" w:eastAsia="华文中宋" w:cs="华文中宋"/>
          <w:color w:val="auto"/>
          <w:sz w:val="24"/>
          <w:szCs w:val="24"/>
        </w:rPr>
        <w:t>.2 施工进度计划</w:t>
      </w:r>
    </w:p>
    <w:p w14:paraId="65C7914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7.2.2 </w:t>
      </w:r>
      <w:r>
        <w:rPr>
          <w:rFonts w:hint="eastAsia" w:ascii="华文中宋" w:hAnsi="华文中宋" w:eastAsia="华文中宋" w:cs="华文中宋"/>
          <w:color w:val="auto"/>
          <w:kern w:val="0"/>
          <w:sz w:val="24"/>
          <w:szCs w:val="24"/>
        </w:rPr>
        <w:t>施工进度计划的修订</w:t>
      </w:r>
    </w:p>
    <w:p w14:paraId="46D6DCA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发包人和监理人在收到修订的施工进度计划后确认或提出修改意见的期限</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51BE57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 开工</w:t>
      </w:r>
    </w:p>
    <w:p w14:paraId="5690DD8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7.3.1 开工准备</w:t>
      </w:r>
    </w:p>
    <w:p w14:paraId="33D667A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val="0"/>
          <w:bCs/>
          <w:color w:val="auto"/>
          <w:sz w:val="24"/>
          <w:szCs w:val="24"/>
          <w:u w:val="single"/>
        </w:rPr>
      </w:pPr>
      <w:r>
        <w:rPr>
          <w:rFonts w:hint="eastAsia" w:ascii="华文中宋" w:hAnsi="华文中宋" w:eastAsia="华文中宋" w:cs="华文中宋"/>
          <w:color w:val="auto"/>
          <w:sz w:val="24"/>
          <w:szCs w:val="24"/>
        </w:rPr>
        <w:t>关于承包人提交</w:t>
      </w:r>
      <w:r>
        <w:rPr>
          <w:rFonts w:hint="eastAsia" w:ascii="华文中宋" w:hAnsi="华文中宋" w:eastAsia="华文中宋" w:cs="华文中宋"/>
          <w:color w:val="auto"/>
          <w:kern w:val="0"/>
          <w:sz w:val="24"/>
          <w:szCs w:val="24"/>
        </w:rPr>
        <w:t>工程开工报审表的期限</w:t>
      </w:r>
      <w:r>
        <w:rPr>
          <w:rFonts w:hint="eastAsia" w:ascii="华文中宋" w:hAnsi="华文中宋" w:eastAsia="华文中宋" w:cs="华文中宋"/>
          <w:color w:val="auto"/>
          <w:kern w:val="0"/>
          <w:sz w:val="24"/>
          <w:szCs w:val="24"/>
          <w:u w:val="none"/>
        </w:rPr>
        <w:t>：</w:t>
      </w:r>
      <w:r>
        <w:rPr>
          <w:rFonts w:hint="eastAsia" w:ascii="华文中宋" w:hAnsi="华文中宋" w:eastAsia="华文中宋" w:cs="华文中宋"/>
          <w:b w:val="0"/>
          <w:bCs/>
          <w:color w:val="auto"/>
          <w:sz w:val="24"/>
          <w:szCs w:val="24"/>
          <w:u w:val="single"/>
          <w:lang w:val="en-US" w:eastAsia="zh-CN"/>
        </w:rPr>
        <w:t xml:space="preserve">              。</w:t>
      </w:r>
    </w:p>
    <w:p w14:paraId="6462876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关于发包人应完成的其他开工准备工作及期限：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AADB1A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关于承包人应完成的其他开工准备工作及期限：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FBDFD7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7.3.2开工通知</w:t>
      </w:r>
    </w:p>
    <w:p w14:paraId="708C667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因发包人原因造成监理人未能在计划开工日期之日起</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天内发出开工通知的，承包人有权提出价格调整要求，或者解除合同。</w:t>
      </w:r>
    </w:p>
    <w:bookmarkEnd w:id="688"/>
    <w:bookmarkEnd w:id="689"/>
    <w:bookmarkEnd w:id="690"/>
    <w:bookmarkEnd w:id="691"/>
    <w:bookmarkEnd w:id="692"/>
    <w:bookmarkEnd w:id="693"/>
    <w:bookmarkEnd w:id="694"/>
    <w:p w14:paraId="429B5BC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7.4 测量放线</w:t>
      </w:r>
    </w:p>
    <w:p w14:paraId="581E2A8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7.4.1发包人通过监理人向承包人提供测量基准点、基准线和水准点及其书面资料的期限：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D982FEA">
      <w:pPr>
        <w:pageBreakBefore w:val="0"/>
        <w:kinsoku/>
        <w:wordWrap/>
        <w:overflowPunct/>
        <w:topLinePunct w:val="0"/>
        <w:bidi w:val="0"/>
        <w:snapToGrid/>
        <w:spacing w:line="360" w:lineRule="auto"/>
        <w:ind w:firstLine="491" w:firstLineChars="20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695" w:name="_Toc300934968"/>
      <w:bookmarkStart w:id="696" w:name="_Toc304295546"/>
      <w:bookmarkStart w:id="697" w:name="_Toc312678010"/>
      <w:bookmarkStart w:id="698" w:name="_Toc312677484"/>
      <w:bookmarkStart w:id="699" w:name="_Toc297216175"/>
      <w:bookmarkStart w:id="700" w:name="_Toc297123516"/>
      <w:bookmarkStart w:id="701" w:name="_Toc303539125"/>
      <w:r>
        <w:rPr>
          <w:rFonts w:hint="eastAsia" w:ascii="华文中宋" w:hAnsi="华文中宋" w:eastAsia="华文中宋" w:cs="华文中宋"/>
          <w:color w:val="auto"/>
          <w:sz w:val="24"/>
          <w:szCs w:val="24"/>
        </w:rPr>
        <w:t>.5 工期延误</w:t>
      </w:r>
    </w:p>
    <w:bookmarkEnd w:id="695"/>
    <w:bookmarkEnd w:id="696"/>
    <w:bookmarkEnd w:id="697"/>
    <w:bookmarkEnd w:id="698"/>
    <w:bookmarkEnd w:id="699"/>
    <w:bookmarkEnd w:id="700"/>
    <w:bookmarkEnd w:id="701"/>
    <w:p w14:paraId="22461CF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7.5.1 因发包人原因导致工期延误：</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47EAB89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（7）因发包人原因导致工期延误的其他情形：</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150589D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702" w:name="_Toc318581169"/>
      <w:bookmarkStart w:id="703" w:name="_Toc312678012"/>
      <w:bookmarkStart w:id="704" w:name="_Toc312677486"/>
      <w:bookmarkStart w:id="705" w:name="_Toc297216177"/>
      <w:bookmarkStart w:id="706" w:name="_Toc297123518"/>
      <w:bookmarkStart w:id="707" w:name="_Toc303539127"/>
      <w:bookmarkStart w:id="708" w:name="_Toc304295548"/>
      <w:bookmarkStart w:id="709" w:name="_Toc300934970"/>
      <w:r>
        <w:rPr>
          <w:rFonts w:hint="eastAsia" w:ascii="华文中宋" w:hAnsi="华文中宋" w:eastAsia="华文中宋" w:cs="华文中宋"/>
          <w:color w:val="auto"/>
          <w:sz w:val="24"/>
          <w:szCs w:val="24"/>
        </w:rPr>
        <w:t>.5.2 因承包人原因导致工期延误</w:t>
      </w:r>
    </w:p>
    <w:bookmarkEnd w:id="702"/>
    <w:bookmarkEnd w:id="703"/>
    <w:bookmarkEnd w:id="704"/>
    <w:p w14:paraId="1F3D3CF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w:t>
      </w:r>
      <w:bookmarkStart w:id="710" w:name="_Toc312677487"/>
      <w:bookmarkStart w:id="711" w:name="_Toc312678013"/>
      <w:bookmarkStart w:id="712" w:name="_Toc318581170"/>
      <w:r>
        <w:rPr>
          <w:rFonts w:hint="eastAsia" w:ascii="华文中宋" w:hAnsi="华文中宋" w:eastAsia="华文中宋" w:cs="华文中宋"/>
          <w:color w:val="auto"/>
          <w:sz w:val="24"/>
          <w:szCs w:val="24"/>
        </w:rPr>
        <w:t>承包人原因造成工期延误，逾期竣工违约金的计算方法为：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bookmarkEnd w:id="705"/>
      <w:bookmarkEnd w:id="706"/>
      <w:bookmarkEnd w:id="707"/>
      <w:bookmarkEnd w:id="708"/>
      <w:bookmarkEnd w:id="709"/>
      <w:bookmarkEnd w:id="710"/>
      <w:bookmarkEnd w:id="711"/>
    </w:p>
    <w:bookmarkEnd w:id="712"/>
    <w:p w14:paraId="6467C8B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因承包人原因造成工期延误，逾</w:t>
      </w:r>
      <w:bookmarkStart w:id="713" w:name="_Toc318581171"/>
      <w:bookmarkStart w:id="714" w:name="_Toc312678014"/>
      <w:r>
        <w:rPr>
          <w:rFonts w:hint="eastAsia" w:ascii="华文中宋" w:hAnsi="华文中宋" w:eastAsia="华文中宋" w:cs="华文中宋"/>
          <w:color w:val="auto"/>
          <w:sz w:val="24"/>
          <w:szCs w:val="24"/>
        </w:rPr>
        <w:t>期竣工违约金的上限：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713"/>
    <w:bookmarkEnd w:id="714"/>
    <w:p w14:paraId="710C419A">
      <w:pPr>
        <w:pageBreakBefore w:val="0"/>
        <w:kinsoku/>
        <w:wordWrap/>
        <w:overflowPunct/>
        <w:topLinePunct w:val="0"/>
        <w:bidi w:val="0"/>
        <w:snapToGrid/>
        <w:spacing w:line="360" w:lineRule="auto"/>
        <w:ind w:firstLine="491" w:firstLineChars="20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715" w:name="_Toc300934971"/>
      <w:bookmarkStart w:id="716" w:name="_Toc297123519"/>
      <w:bookmarkStart w:id="717" w:name="_Toc297216178"/>
      <w:bookmarkStart w:id="718" w:name="_Toc304295549"/>
      <w:bookmarkStart w:id="719" w:name="_Toc312678015"/>
      <w:bookmarkStart w:id="720" w:name="_Toc303539128"/>
      <w:r>
        <w:rPr>
          <w:rFonts w:hint="eastAsia" w:ascii="华文中宋" w:hAnsi="华文中宋" w:eastAsia="华文中宋" w:cs="华文中宋"/>
          <w:color w:val="auto"/>
          <w:sz w:val="24"/>
          <w:szCs w:val="24"/>
        </w:rPr>
        <w:t>.6 不</w:t>
      </w:r>
      <w:bookmarkEnd w:id="715"/>
      <w:bookmarkEnd w:id="716"/>
      <w:bookmarkEnd w:id="717"/>
      <w:bookmarkEnd w:id="718"/>
      <w:bookmarkEnd w:id="719"/>
      <w:bookmarkEnd w:id="720"/>
      <w:r>
        <w:rPr>
          <w:rFonts w:hint="eastAsia" w:ascii="华文中宋" w:hAnsi="华文中宋" w:eastAsia="华文中宋" w:cs="华文中宋"/>
          <w:color w:val="auto"/>
          <w:sz w:val="24"/>
          <w:szCs w:val="24"/>
        </w:rPr>
        <w:t>利物质条件</w:t>
      </w:r>
    </w:p>
    <w:p w14:paraId="37940B0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bookmarkStart w:id="721" w:name="_Toc304295550"/>
      <w:bookmarkStart w:id="722" w:name="_Toc312678016"/>
      <w:bookmarkStart w:id="723" w:name="_Toc303539129"/>
      <w:bookmarkStart w:id="724" w:name="_Toc318581172"/>
      <w:bookmarkStart w:id="725" w:name="_Toc297216179"/>
      <w:bookmarkStart w:id="726" w:name="_Toc300934972"/>
      <w:bookmarkStart w:id="727" w:name="_Toc297123520"/>
      <w:r>
        <w:rPr>
          <w:rFonts w:hint="eastAsia" w:ascii="华文中宋" w:hAnsi="华文中宋" w:eastAsia="华文中宋" w:cs="华文中宋"/>
          <w:color w:val="auto"/>
          <w:sz w:val="24"/>
          <w:szCs w:val="24"/>
        </w:rPr>
        <w:t>不利物质条件的其他情形和有关约定：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721"/>
    <w:bookmarkEnd w:id="722"/>
    <w:bookmarkEnd w:id="723"/>
    <w:bookmarkEnd w:id="724"/>
    <w:bookmarkEnd w:id="725"/>
    <w:bookmarkEnd w:id="726"/>
    <w:bookmarkEnd w:id="727"/>
    <w:p w14:paraId="5634C316">
      <w:pPr>
        <w:pageBreakBefore w:val="0"/>
        <w:kinsoku/>
        <w:wordWrap/>
        <w:overflowPunct/>
        <w:topLinePunct w:val="0"/>
        <w:bidi w:val="0"/>
        <w:snapToGrid/>
        <w:spacing w:line="360" w:lineRule="auto"/>
        <w:ind w:firstLine="491" w:firstLineChars="20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728" w:name="_Toc312678017"/>
      <w:bookmarkStart w:id="729" w:name="_Toc304295551"/>
      <w:bookmarkStart w:id="730" w:name="_Toc300934973"/>
      <w:bookmarkStart w:id="731" w:name="_Toc297123521"/>
      <w:bookmarkStart w:id="732" w:name="_Toc303539130"/>
      <w:bookmarkStart w:id="733" w:name="_Toc297216180"/>
      <w:r>
        <w:rPr>
          <w:rFonts w:hint="eastAsia" w:ascii="华文中宋" w:hAnsi="华文中宋" w:eastAsia="华文中宋" w:cs="华文中宋"/>
          <w:color w:val="auto"/>
          <w:sz w:val="24"/>
          <w:szCs w:val="24"/>
        </w:rPr>
        <w:t>.7异常恶劣的气候条件</w:t>
      </w:r>
    </w:p>
    <w:bookmarkEnd w:id="728"/>
    <w:bookmarkEnd w:id="729"/>
    <w:bookmarkEnd w:id="730"/>
    <w:bookmarkEnd w:id="731"/>
    <w:bookmarkEnd w:id="732"/>
    <w:bookmarkEnd w:id="733"/>
    <w:p w14:paraId="4E107F7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发包人和承包人同意以下情形视为异常恶劣的气候条件：</w:t>
      </w:r>
    </w:p>
    <w:p w14:paraId="467A71BC">
      <w:pPr>
        <w:pageBreakBefore w:val="0"/>
        <w:numPr>
          <w:ilvl w:val="0"/>
          <w:numId w:val="6"/>
        </w:numPr>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CB94E20">
      <w:pPr>
        <w:pageBreakBefore w:val="0"/>
        <w:numPr>
          <w:ilvl w:val="0"/>
          <w:numId w:val="6"/>
        </w:numPr>
        <w:kinsoku/>
        <w:wordWrap/>
        <w:overflowPunct/>
        <w:topLinePunct w:val="0"/>
        <w:bidi w:val="0"/>
        <w:snapToGrid/>
        <w:spacing w:line="360" w:lineRule="auto"/>
        <w:ind w:left="0" w:leftChars="0"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025FEC3">
      <w:pPr>
        <w:pageBreakBefore w:val="0"/>
        <w:numPr>
          <w:ilvl w:val="0"/>
          <w:numId w:val="6"/>
        </w:numPr>
        <w:kinsoku/>
        <w:wordWrap/>
        <w:overflowPunct/>
        <w:topLinePunct w:val="0"/>
        <w:bidi w:val="0"/>
        <w:snapToGrid/>
        <w:spacing w:line="360" w:lineRule="auto"/>
        <w:ind w:left="0" w:leftChars="0"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w:t>
      </w:r>
    </w:p>
    <w:p w14:paraId="752043BB">
      <w:pPr>
        <w:pageBreakBefore w:val="0"/>
        <w:kinsoku/>
        <w:wordWrap/>
        <w:overflowPunct/>
        <w:topLinePunct w:val="0"/>
        <w:bidi w:val="0"/>
        <w:snapToGrid/>
        <w:spacing w:line="360" w:lineRule="auto"/>
        <w:ind w:firstLine="480" w:firstLineChars="200"/>
        <w:outlineLvl w:val="0"/>
        <w:rPr>
          <w:rFonts w:hint="eastAsia" w:ascii="华文中宋" w:hAnsi="华文中宋" w:eastAsia="华文中宋" w:cs="华文中宋"/>
          <w:color w:val="auto"/>
          <w:sz w:val="24"/>
          <w:szCs w:val="24"/>
        </w:rPr>
      </w:pPr>
      <w:bookmarkStart w:id="734" w:name="_Toc375060860"/>
      <w:bookmarkStart w:id="735" w:name="_Toc16325"/>
      <w:bookmarkStart w:id="736" w:name="_Toc375060653"/>
      <w:r>
        <w:rPr>
          <w:rFonts w:hint="eastAsia" w:ascii="华文中宋" w:hAnsi="华文中宋" w:eastAsia="华文中宋" w:cs="华文中宋"/>
          <w:color w:val="auto"/>
          <w:sz w:val="24"/>
          <w:szCs w:val="24"/>
        </w:rPr>
        <w:t>7.9 提前竣工的奖励</w:t>
      </w:r>
      <w:bookmarkEnd w:id="734"/>
      <w:bookmarkEnd w:id="735"/>
      <w:bookmarkEnd w:id="736"/>
    </w:p>
    <w:p w14:paraId="23F5FF1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7.9.2提前竣工的奖励：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454E3C47">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737" w:name="_Toc375060861"/>
      <w:r>
        <w:rPr>
          <w:rFonts w:hint="eastAsia" w:ascii="华文中宋" w:hAnsi="华文中宋" w:eastAsia="华文中宋" w:cs="华文中宋"/>
          <w:b w:val="0"/>
          <w:color w:val="auto"/>
          <w:sz w:val="24"/>
          <w:szCs w:val="24"/>
        </w:rPr>
        <w:t>8. 材料与设备</w:t>
      </w:r>
      <w:bookmarkEnd w:id="737"/>
    </w:p>
    <w:bookmarkEnd w:id="669"/>
    <w:bookmarkEnd w:id="670"/>
    <w:bookmarkEnd w:id="671"/>
    <w:bookmarkEnd w:id="672"/>
    <w:bookmarkEnd w:id="673"/>
    <w:bookmarkEnd w:id="674"/>
    <w:bookmarkEnd w:id="675"/>
    <w:bookmarkEnd w:id="676"/>
    <w:bookmarkEnd w:id="677"/>
    <w:bookmarkEnd w:id="678"/>
    <w:p w14:paraId="0E006FF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w:t>
      </w:r>
      <w:bookmarkStart w:id="738" w:name="_Toc280868654"/>
      <w:bookmarkStart w:id="739" w:name="_Toc312678019"/>
      <w:bookmarkStart w:id="740" w:name="_Toc297123527"/>
      <w:bookmarkStart w:id="741" w:name="_Toc296944506"/>
      <w:bookmarkStart w:id="742" w:name="_Toc297048353"/>
      <w:bookmarkStart w:id="743" w:name="_Toc303539136"/>
      <w:bookmarkStart w:id="744" w:name="_Toc296346668"/>
      <w:bookmarkStart w:id="745" w:name="_Toc296503167"/>
      <w:bookmarkStart w:id="746" w:name="_Toc297120467"/>
      <w:bookmarkStart w:id="747" w:name="_Toc292559877"/>
      <w:bookmarkStart w:id="748" w:name="_Toc296347166"/>
      <w:bookmarkStart w:id="749" w:name="_Toc312677493"/>
      <w:bookmarkStart w:id="750" w:name="_Toc296891207"/>
      <w:bookmarkStart w:id="751" w:name="_Toc300934979"/>
      <w:bookmarkStart w:id="752" w:name="_Toc292559372"/>
      <w:bookmarkStart w:id="753" w:name="_Toc304295556"/>
      <w:bookmarkStart w:id="754" w:name="_Toc297216186"/>
      <w:bookmarkStart w:id="755" w:name="_Toc296890995"/>
      <w:bookmarkStart w:id="756" w:name="_Toc267251424"/>
      <w:bookmarkStart w:id="757" w:name="_Toc280868655"/>
      <w:bookmarkStart w:id="758" w:name="_Toc280868656"/>
      <w:r>
        <w:rPr>
          <w:rFonts w:hint="eastAsia" w:ascii="华文中宋" w:hAnsi="华文中宋" w:eastAsia="华文中宋" w:cs="华文中宋"/>
          <w:color w:val="auto"/>
          <w:sz w:val="24"/>
          <w:szCs w:val="24"/>
        </w:rPr>
        <w:t>.4材料与工程设备的保管与使用</w:t>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1763838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w:t>
      </w:r>
      <w:bookmarkStart w:id="759" w:name="_Toc292559373"/>
      <w:bookmarkStart w:id="760" w:name="_Toc292559878"/>
      <w:bookmarkStart w:id="761" w:name="_Toc312678020"/>
      <w:bookmarkStart w:id="762" w:name="_Toc296890996"/>
      <w:bookmarkStart w:id="763" w:name="_Toc312677494"/>
      <w:bookmarkStart w:id="764" w:name="_Toc296503168"/>
      <w:bookmarkStart w:id="765" w:name="_Toc297048354"/>
      <w:bookmarkStart w:id="766" w:name="_Toc318581173"/>
      <w:bookmarkStart w:id="767" w:name="_Toc296944507"/>
      <w:bookmarkStart w:id="768" w:name="_Toc297216187"/>
      <w:bookmarkStart w:id="769" w:name="_Toc304295557"/>
      <w:bookmarkStart w:id="770" w:name="_Toc297123528"/>
      <w:bookmarkStart w:id="771" w:name="_Toc297120468"/>
      <w:bookmarkStart w:id="772" w:name="_Toc300934980"/>
      <w:bookmarkStart w:id="773" w:name="_Toc303539137"/>
      <w:bookmarkStart w:id="774" w:name="_Toc296347167"/>
      <w:bookmarkStart w:id="775" w:name="_Toc296891208"/>
      <w:bookmarkStart w:id="776" w:name="_Toc296346669"/>
      <w:r>
        <w:rPr>
          <w:rFonts w:hint="eastAsia" w:ascii="华文中宋" w:hAnsi="华文中宋" w:eastAsia="华文中宋" w:cs="华文中宋"/>
          <w:color w:val="auto"/>
          <w:sz w:val="24"/>
          <w:szCs w:val="24"/>
        </w:rPr>
        <w:t>.4.1发包人供应的材料设备的保管费用的承担：</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Cs/>
          <w:color w:val="auto"/>
          <w:sz w:val="24"/>
          <w:szCs w:val="24"/>
        </w:rPr>
        <w:t>。</w:t>
      </w:r>
    </w:p>
    <w:bookmarkEnd w:id="759"/>
    <w:bookmarkEnd w:id="760"/>
    <w:p w14:paraId="5C02634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8.6 样品</w:t>
      </w:r>
    </w:p>
    <w:p w14:paraId="4E311AB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8.6.1</w:t>
      </w:r>
      <w:r>
        <w:rPr>
          <w:rFonts w:hint="eastAsia" w:ascii="华文中宋" w:hAnsi="华文中宋" w:eastAsia="华文中宋" w:cs="华文中宋"/>
          <w:color w:val="auto"/>
          <w:kern w:val="0"/>
          <w:sz w:val="24"/>
          <w:szCs w:val="24"/>
        </w:rPr>
        <w:tab/>
      </w:r>
      <w:r>
        <w:rPr>
          <w:rFonts w:hint="eastAsia" w:ascii="华文中宋" w:hAnsi="华文中宋" w:eastAsia="华文中宋" w:cs="华文中宋"/>
          <w:color w:val="auto"/>
          <w:sz w:val="24"/>
          <w:szCs w:val="24"/>
        </w:rPr>
        <w:t>样品的报送与封存</w:t>
      </w:r>
    </w:p>
    <w:p w14:paraId="07E9A70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需要承包人报送样品的材料或工程设备</w:t>
      </w:r>
      <w:r>
        <w:rPr>
          <w:rFonts w:hint="eastAsia" w:ascii="华文中宋" w:hAnsi="华文中宋" w:eastAsia="华文中宋" w:cs="华文中宋"/>
          <w:color w:val="auto"/>
          <w:kern w:val="0"/>
          <w:sz w:val="24"/>
          <w:szCs w:val="24"/>
        </w:rPr>
        <w:t>，样品的种类、名称、规格、数量要求：</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ECACA8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8.8 施工设备和临时设施</w:t>
      </w:r>
    </w:p>
    <w:p w14:paraId="0D383C8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8.8.1 承包人提供的施工设备和临时设施</w:t>
      </w:r>
    </w:p>
    <w:p w14:paraId="0FFD40D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关于修建临时设施费用承担的约定：</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61F6A9F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777" w:name="_Toc375060862"/>
      <w:r>
        <w:rPr>
          <w:rFonts w:hint="eastAsia" w:ascii="华文中宋" w:hAnsi="华文中宋" w:eastAsia="华文中宋" w:cs="华文中宋"/>
          <w:b w:val="0"/>
          <w:color w:val="auto"/>
          <w:sz w:val="24"/>
          <w:szCs w:val="24"/>
        </w:rPr>
        <w:t>9</w:t>
      </w:r>
      <w:bookmarkEnd w:id="756"/>
      <w:bookmarkEnd w:id="757"/>
      <w:bookmarkEnd w:id="758"/>
      <w:bookmarkStart w:id="778" w:name="_Toc297123533"/>
      <w:bookmarkStart w:id="779" w:name="_Toc297216192"/>
      <w:bookmarkStart w:id="780" w:name="_Toc304295559"/>
      <w:bookmarkStart w:id="781" w:name="_Toc303539139"/>
      <w:bookmarkStart w:id="782" w:name="_Toc312678021"/>
      <w:bookmarkStart w:id="783" w:name="_Toc300934982"/>
      <w:bookmarkStart w:id="784" w:name="_Toc312677495"/>
      <w:bookmarkStart w:id="785" w:name="_Toc296347172"/>
      <w:bookmarkStart w:id="786" w:name="_Toc296503173"/>
      <w:bookmarkStart w:id="787" w:name="_Toc292559883"/>
      <w:bookmarkStart w:id="788" w:name="_Toc292559378"/>
      <w:bookmarkStart w:id="789" w:name="_Toc297120473"/>
      <w:bookmarkStart w:id="790" w:name="_Toc267251428"/>
      <w:bookmarkStart w:id="791" w:name="_Toc296891213"/>
      <w:bookmarkStart w:id="792" w:name="_Toc296891001"/>
      <w:bookmarkStart w:id="793" w:name="_Toc296346674"/>
      <w:bookmarkStart w:id="794" w:name="_Toc267251427"/>
      <w:bookmarkStart w:id="795" w:name="_Toc296944512"/>
      <w:bookmarkStart w:id="796" w:name="_Toc297048359"/>
      <w:r>
        <w:rPr>
          <w:rFonts w:hint="eastAsia" w:ascii="华文中宋" w:hAnsi="华文中宋" w:eastAsia="华文中宋" w:cs="华文中宋"/>
          <w:b w:val="0"/>
          <w:color w:val="auto"/>
          <w:sz w:val="24"/>
          <w:szCs w:val="24"/>
        </w:rPr>
        <w:t>. 试验与检验</w:t>
      </w:r>
      <w:bookmarkEnd w:id="777"/>
    </w:p>
    <w:bookmarkEnd w:id="778"/>
    <w:bookmarkEnd w:id="779"/>
    <w:bookmarkEnd w:id="780"/>
    <w:bookmarkEnd w:id="781"/>
    <w:bookmarkEnd w:id="782"/>
    <w:bookmarkEnd w:id="783"/>
    <w:bookmarkEnd w:id="784"/>
    <w:p w14:paraId="5D5E3FF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w:t>
      </w:r>
      <w:bookmarkStart w:id="797" w:name="_Toc297123534"/>
      <w:bookmarkStart w:id="798" w:name="_Toc297216193"/>
      <w:bookmarkStart w:id="799" w:name="_Toc300934983"/>
      <w:bookmarkStart w:id="800" w:name="_Toc304295560"/>
      <w:bookmarkStart w:id="801" w:name="_Toc303539140"/>
      <w:bookmarkStart w:id="802" w:name="_Toc312677496"/>
      <w:bookmarkStart w:id="803" w:name="_Toc312678022"/>
      <w:r>
        <w:rPr>
          <w:rFonts w:hint="eastAsia" w:ascii="华文中宋" w:hAnsi="华文中宋" w:eastAsia="华文中宋" w:cs="华文中宋"/>
          <w:color w:val="auto"/>
          <w:sz w:val="24"/>
          <w:szCs w:val="24"/>
        </w:rPr>
        <w:t>.1试验设备与试验人员</w:t>
      </w:r>
    </w:p>
    <w:bookmarkEnd w:id="797"/>
    <w:bookmarkEnd w:id="798"/>
    <w:bookmarkEnd w:id="799"/>
    <w:bookmarkEnd w:id="800"/>
    <w:bookmarkEnd w:id="801"/>
    <w:bookmarkEnd w:id="802"/>
    <w:bookmarkEnd w:id="803"/>
    <w:p w14:paraId="2840CC5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w:t>
      </w:r>
      <w:bookmarkStart w:id="804" w:name="_Toc304295561"/>
      <w:bookmarkStart w:id="805" w:name="_Toc312678023"/>
      <w:bookmarkStart w:id="806" w:name="_Toc312677497"/>
      <w:bookmarkStart w:id="807" w:name="_Toc297216194"/>
      <w:bookmarkStart w:id="808" w:name="_Toc303539141"/>
      <w:bookmarkStart w:id="809" w:name="_Toc297123535"/>
      <w:bookmarkStart w:id="810" w:name="_Toc300934984"/>
      <w:bookmarkStart w:id="811" w:name="_Toc318581174"/>
      <w:r>
        <w:rPr>
          <w:rFonts w:hint="eastAsia" w:ascii="华文中宋" w:hAnsi="华文中宋" w:eastAsia="华文中宋" w:cs="华文中宋"/>
          <w:color w:val="auto"/>
          <w:sz w:val="24"/>
          <w:szCs w:val="24"/>
        </w:rPr>
        <w:t>.1.2 试验设备</w:t>
      </w:r>
    </w:p>
    <w:p w14:paraId="7D46783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施工现场需要配置的试验场所：</w:t>
      </w:r>
      <w:bookmarkEnd w:id="804"/>
      <w:bookmarkEnd w:id="805"/>
      <w:bookmarkEnd w:id="806"/>
      <w:bookmarkEnd w:id="807"/>
      <w:bookmarkEnd w:id="808"/>
      <w:bookmarkEnd w:id="809"/>
      <w:bookmarkEnd w:id="810"/>
      <w:bookmarkStart w:id="812" w:name="_Toc312677498"/>
      <w:bookmarkStart w:id="813" w:name="_Toc297123536"/>
      <w:bookmarkStart w:id="814" w:name="_Toc297216195"/>
      <w:bookmarkStart w:id="815" w:name="_Toc312678024"/>
      <w:bookmarkStart w:id="816" w:name="_Toc304295562"/>
      <w:bookmarkStart w:id="817" w:name="_Toc303539142"/>
      <w:bookmarkStart w:id="818" w:name="_Toc300934985"/>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B05720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施工现场需要配备的试验设备：</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0C876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施工现场需要具备的其他试验条件：</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55B08A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9.4 现场工艺试验 </w:t>
      </w:r>
    </w:p>
    <w:p w14:paraId="2319DBB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现场工艺试验的有关约定：</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811"/>
    <w:bookmarkEnd w:id="812"/>
    <w:bookmarkEnd w:id="813"/>
    <w:bookmarkEnd w:id="814"/>
    <w:bookmarkEnd w:id="815"/>
    <w:bookmarkEnd w:id="816"/>
    <w:bookmarkEnd w:id="817"/>
    <w:bookmarkEnd w:id="818"/>
    <w:p w14:paraId="480275EF">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819" w:name="_Toc375060863"/>
      <w:r>
        <w:rPr>
          <w:rFonts w:hint="eastAsia" w:ascii="华文中宋" w:hAnsi="华文中宋" w:eastAsia="华文中宋" w:cs="华文中宋"/>
          <w:b w:val="0"/>
          <w:color w:val="auto"/>
          <w:sz w:val="24"/>
          <w:szCs w:val="24"/>
        </w:rPr>
        <w:t>1</w:t>
      </w:r>
      <w:bookmarkEnd w:id="785"/>
      <w:bookmarkEnd w:id="786"/>
      <w:bookmarkEnd w:id="787"/>
      <w:bookmarkEnd w:id="788"/>
      <w:bookmarkEnd w:id="789"/>
      <w:bookmarkEnd w:id="790"/>
      <w:bookmarkEnd w:id="791"/>
      <w:bookmarkEnd w:id="792"/>
      <w:bookmarkEnd w:id="793"/>
      <w:bookmarkEnd w:id="794"/>
      <w:bookmarkEnd w:id="795"/>
      <w:bookmarkEnd w:id="796"/>
      <w:bookmarkStart w:id="820" w:name="_Toc296891233"/>
      <w:bookmarkStart w:id="821" w:name="_Toc304295566"/>
      <w:bookmarkStart w:id="822" w:name="_Toc296891021"/>
      <w:bookmarkStart w:id="823" w:name="_Toc300934989"/>
      <w:bookmarkStart w:id="824" w:name="_Toc296944532"/>
      <w:bookmarkStart w:id="825" w:name="_Toc292559903"/>
      <w:bookmarkStart w:id="826" w:name="_Toc292559398"/>
      <w:bookmarkStart w:id="827" w:name="_Toc297216199"/>
      <w:bookmarkStart w:id="828" w:name="_Toc296347192"/>
      <w:bookmarkStart w:id="829" w:name="_Toc296346694"/>
      <w:bookmarkStart w:id="830" w:name="_Toc297120493"/>
      <w:bookmarkStart w:id="831" w:name="_Toc297048379"/>
      <w:bookmarkStart w:id="832" w:name="_Toc297123540"/>
      <w:bookmarkStart w:id="833" w:name="_Toc303539146"/>
      <w:bookmarkStart w:id="834" w:name="_Toc296503193"/>
      <w:bookmarkStart w:id="835" w:name="_Toc312677499"/>
      <w:bookmarkStart w:id="836" w:name="_Toc312678025"/>
      <w:bookmarkStart w:id="837" w:name="_Toc267251440"/>
      <w:bookmarkStart w:id="838" w:name="_Toc267251437"/>
      <w:bookmarkStart w:id="839" w:name="_Toc267251441"/>
      <w:bookmarkStart w:id="840" w:name="_Toc267251439"/>
      <w:bookmarkStart w:id="841" w:name="_Toc267251433"/>
      <w:bookmarkStart w:id="842" w:name="_Toc267251435"/>
      <w:bookmarkStart w:id="843" w:name="_Toc267251442"/>
      <w:r>
        <w:rPr>
          <w:rFonts w:hint="eastAsia" w:ascii="华文中宋" w:hAnsi="华文中宋" w:eastAsia="华文中宋" w:cs="华文中宋"/>
          <w:b w:val="0"/>
          <w:color w:val="auto"/>
          <w:sz w:val="24"/>
          <w:szCs w:val="24"/>
        </w:rPr>
        <w:t>0. 变更</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bookmarkEnd w:id="835"/>
    <w:bookmarkEnd w:id="836"/>
    <w:p w14:paraId="5FD99CC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844" w:name="_Toc292559904"/>
      <w:bookmarkStart w:id="845" w:name="_Toc296347193"/>
      <w:bookmarkStart w:id="846" w:name="_Toc296891234"/>
      <w:bookmarkStart w:id="847" w:name="_Toc297216200"/>
      <w:bookmarkStart w:id="848" w:name="_Toc312678026"/>
      <w:bookmarkStart w:id="849" w:name="_Toc296346695"/>
      <w:bookmarkStart w:id="850" w:name="_Toc297048380"/>
      <w:bookmarkStart w:id="851" w:name="_Toc296944533"/>
      <w:bookmarkStart w:id="852" w:name="_Toc296503194"/>
      <w:bookmarkStart w:id="853" w:name="_Toc303539147"/>
      <w:bookmarkStart w:id="854" w:name="_Toc292559399"/>
      <w:bookmarkStart w:id="855" w:name="_Toc297123541"/>
      <w:bookmarkStart w:id="856" w:name="_Toc300934990"/>
      <w:bookmarkStart w:id="857" w:name="_Toc297120494"/>
      <w:bookmarkStart w:id="858" w:name="_Toc304295567"/>
      <w:bookmarkStart w:id="859" w:name="_Toc296891022"/>
      <w:bookmarkStart w:id="860" w:name="_Toc312677500"/>
      <w:r>
        <w:rPr>
          <w:rFonts w:hint="eastAsia" w:ascii="华文中宋" w:hAnsi="华文中宋" w:eastAsia="华文中宋" w:cs="华文中宋"/>
          <w:color w:val="auto"/>
          <w:sz w:val="24"/>
          <w:szCs w:val="24"/>
        </w:rPr>
        <w:t>0.1变更的范围</w:t>
      </w:r>
    </w:p>
    <w:p w14:paraId="6B75DF8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关于变更的范围的约定：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76936C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10.4 变更估价</w:t>
      </w:r>
    </w:p>
    <w:p w14:paraId="01B6898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10.4.1 变更估价原则</w:t>
      </w:r>
    </w:p>
    <w:p w14:paraId="5F8A992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关于变更估价的约定：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4EC714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Start w:id="861" w:name="_Toc292559402"/>
      <w:bookmarkStart w:id="862" w:name="_Toc297123544"/>
      <w:bookmarkStart w:id="863" w:name="_Toc292559907"/>
      <w:bookmarkStart w:id="864" w:name="_Toc296944536"/>
      <w:bookmarkStart w:id="865" w:name="_Toc296347196"/>
      <w:bookmarkStart w:id="866" w:name="_Toc296891237"/>
      <w:bookmarkStart w:id="867" w:name="_Toc296891025"/>
      <w:bookmarkStart w:id="868" w:name="_Toc296346698"/>
      <w:bookmarkStart w:id="869" w:name="_Toc300934993"/>
      <w:bookmarkStart w:id="870" w:name="_Toc296503197"/>
      <w:bookmarkStart w:id="871" w:name="_Toc297120497"/>
      <w:bookmarkStart w:id="872" w:name="_Toc303539150"/>
      <w:bookmarkStart w:id="873" w:name="_Toc297048383"/>
      <w:bookmarkStart w:id="874" w:name="_Toc297216203"/>
      <w:bookmarkStart w:id="875" w:name="_Toc304295570"/>
      <w:bookmarkStart w:id="876" w:name="_Toc312677503"/>
      <w:bookmarkStart w:id="877" w:name="_Toc312678029"/>
      <w:r>
        <w:rPr>
          <w:rFonts w:hint="eastAsia" w:ascii="华文中宋" w:hAnsi="华文中宋" w:eastAsia="华文中宋" w:cs="华文中宋"/>
          <w:color w:val="auto"/>
          <w:sz w:val="24"/>
          <w:szCs w:val="24"/>
        </w:rPr>
        <w:t>0.5承</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Start w:id="878" w:name="_Toc296891031"/>
      <w:bookmarkStart w:id="879" w:name="_Toc292559913"/>
      <w:bookmarkStart w:id="880" w:name="_Toc297120503"/>
      <w:bookmarkStart w:id="881" w:name="_Toc292559408"/>
      <w:bookmarkStart w:id="882" w:name="_Toc296503203"/>
      <w:bookmarkStart w:id="883" w:name="_Toc303539151"/>
      <w:bookmarkStart w:id="884" w:name="_Toc296347202"/>
      <w:bookmarkStart w:id="885" w:name="_Toc300934994"/>
      <w:bookmarkStart w:id="886" w:name="_Toc297123545"/>
      <w:bookmarkStart w:id="887" w:name="_Toc296944542"/>
      <w:bookmarkStart w:id="888" w:name="_Toc296891243"/>
      <w:bookmarkStart w:id="889" w:name="_Toc297048389"/>
      <w:bookmarkStart w:id="890" w:name="_Toc297216204"/>
      <w:bookmarkStart w:id="891" w:name="_Toc296346704"/>
      <w:r>
        <w:rPr>
          <w:rFonts w:hint="eastAsia" w:ascii="华文中宋" w:hAnsi="华文中宋" w:eastAsia="华文中宋" w:cs="华文中宋"/>
          <w:color w:val="auto"/>
          <w:sz w:val="24"/>
          <w:szCs w:val="24"/>
        </w:rPr>
        <w:t>包人的合理化建议</w:t>
      </w:r>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14:paraId="04E619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监理人审查承包人合理化建议的期限：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F28A6C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发包人审批承包人合理化建议的期限：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3A51FD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承</w:t>
      </w:r>
      <w:bookmarkStart w:id="892" w:name="_Toc304295571"/>
      <w:bookmarkStart w:id="893" w:name="_Toc312678030"/>
      <w:bookmarkStart w:id="894" w:name="_Toc297123546"/>
      <w:bookmarkStart w:id="895" w:name="_Toc296891032"/>
      <w:bookmarkStart w:id="896" w:name="_Toc296503204"/>
      <w:bookmarkStart w:id="897" w:name="_Toc296347203"/>
      <w:bookmarkStart w:id="898" w:name="_Toc297120504"/>
      <w:bookmarkStart w:id="899" w:name="_Toc297216205"/>
      <w:bookmarkStart w:id="900" w:name="_Toc297048390"/>
      <w:bookmarkStart w:id="901" w:name="_Toc312677504"/>
      <w:bookmarkStart w:id="902" w:name="_Toc292559914"/>
      <w:bookmarkStart w:id="903" w:name="_Toc296891244"/>
      <w:bookmarkStart w:id="904" w:name="_Toc303539152"/>
      <w:bookmarkStart w:id="905" w:name="_Toc292559409"/>
      <w:bookmarkStart w:id="906" w:name="_Toc300934995"/>
      <w:bookmarkStart w:id="907" w:name="_Toc296346705"/>
      <w:bookmarkStart w:id="908" w:name="_Toc296944543"/>
      <w:bookmarkStart w:id="909" w:name="_Toc318581175"/>
      <w:r>
        <w:rPr>
          <w:rFonts w:hint="eastAsia" w:ascii="华文中宋" w:hAnsi="华文中宋" w:eastAsia="华文中宋" w:cs="华文中宋"/>
          <w:color w:val="auto"/>
          <w:sz w:val="24"/>
          <w:szCs w:val="24"/>
        </w:rPr>
        <w:t>包人提出的合理化建议降低了合同价格或者提高了工程经济效益的奖励的方法和金额为：</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0C68209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910" w:name="_Toc296347198"/>
      <w:bookmarkStart w:id="911" w:name="_Toc297123548"/>
      <w:bookmarkStart w:id="912" w:name="_Toc292559404"/>
      <w:bookmarkStart w:id="913" w:name="_Toc297120499"/>
      <w:bookmarkStart w:id="914" w:name="_Toc297216207"/>
      <w:bookmarkStart w:id="915" w:name="_Toc312678033"/>
      <w:bookmarkStart w:id="916" w:name="_Toc296503199"/>
      <w:bookmarkStart w:id="917" w:name="_Toc304295574"/>
      <w:bookmarkStart w:id="918" w:name="_Toc296346700"/>
      <w:bookmarkStart w:id="919" w:name="_Toc296891239"/>
      <w:bookmarkStart w:id="920" w:name="_Toc296891027"/>
      <w:bookmarkStart w:id="921" w:name="_Toc292559909"/>
      <w:bookmarkStart w:id="922" w:name="_Toc300934997"/>
      <w:bookmarkStart w:id="923" w:name="_Toc296944538"/>
      <w:bookmarkStart w:id="924" w:name="_Toc303539154"/>
      <w:bookmarkStart w:id="925" w:name="_Toc297048385"/>
      <w:bookmarkStart w:id="926" w:name="_Toc312677507"/>
      <w:r>
        <w:rPr>
          <w:rFonts w:hint="eastAsia" w:ascii="华文中宋" w:hAnsi="华文中宋" w:eastAsia="华文中宋" w:cs="华文中宋"/>
          <w:color w:val="auto"/>
          <w:sz w:val="24"/>
          <w:szCs w:val="24"/>
        </w:rPr>
        <w:t>0.7 暂估价</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640AE3F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暂</w:t>
      </w:r>
      <w:bookmarkStart w:id="927" w:name="_Toc318581176"/>
      <w:bookmarkStart w:id="928" w:name="_Toc312678034"/>
      <w:bookmarkStart w:id="929" w:name="_Toc312677508"/>
      <w:r>
        <w:rPr>
          <w:rFonts w:hint="eastAsia" w:ascii="华文中宋" w:hAnsi="华文中宋" w:eastAsia="华文中宋" w:cs="华文中宋"/>
          <w:color w:val="auto"/>
          <w:kern w:val="0"/>
          <w:sz w:val="24"/>
          <w:szCs w:val="24"/>
        </w:rPr>
        <w:t>估价材料和工程设备的明细详见附件11：《</w:t>
      </w:r>
      <w:r>
        <w:rPr>
          <w:rFonts w:hint="eastAsia" w:ascii="华文中宋" w:hAnsi="华文中宋" w:eastAsia="华文中宋" w:cs="华文中宋"/>
          <w:color w:val="auto"/>
          <w:sz w:val="24"/>
          <w:szCs w:val="24"/>
        </w:rPr>
        <w:t>暂估价一览表》</w:t>
      </w:r>
      <w:r>
        <w:rPr>
          <w:rFonts w:hint="eastAsia" w:ascii="华文中宋" w:hAnsi="华文中宋" w:eastAsia="华文中宋" w:cs="华文中宋"/>
          <w:color w:val="auto"/>
          <w:kern w:val="0"/>
          <w:sz w:val="24"/>
          <w:szCs w:val="24"/>
        </w:rPr>
        <w:t>。</w:t>
      </w:r>
    </w:p>
    <w:bookmarkEnd w:id="927"/>
    <w:bookmarkEnd w:id="928"/>
    <w:bookmarkEnd w:id="929"/>
    <w:p w14:paraId="3A49809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930" w:name="_Toc318581177"/>
      <w:bookmarkStart w:id="931" w:name="_Toc312678035"/>
      <w:bookmarkStart w:id="932" w:name="_Toc312677509"/>
      <w:r>
        <w:rPr>
          <w:rFonts w:hint="eastAsia" w:ascii="华文中宋" w:hAnsi="华文中宋" w:eastAsia="华文中宋" w:cs="华文中宋"/>
          <w:color w:val="auto"/>
          <w:sz w:val="24"/>
          <w:szCs w:val="24"/>
        </w:rPr>
        <w:t>0.7.1 依法必须招标的暂估价项目</w:t>
      </w:r>
    </w:p>
    <w:bookmarkEnd w:id="930"/>
    <w:bookmarkEnd w:id="931"/>
    <w:bookmarkEnd w:id="932"/>
    <w:p w14:paraId="4E23F8B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对于依法必须招标的暂估价项目的确认和批准采取第</w:t>
      </w:r>
      <w:r>
        <w:rPr>
          <w:rFonts w:hint="eastAsia" w:ascii="华文中宋" w:hAnsi="华文中宋" w:eastAsia="华文中宋" w:cs="华文中宋"/>
          <w:b/>
          <w:color w:val="auto"/>
          <w:sz w:val="24"/>
          <w:szCs w:val="24"/>
          <w:u w:val="single"/>
        </w:rPr>
        <w:t>2</w:t>
      </w:r>
      <w:r>
        <w:rPr>
          <w:rFonts w:hint="eastAsia" w:ascii="华文中宋" w:hAnsi="华文中宋" w:eastAsia="华文中宋" w:cs="华文中宋"/>
          <w:color w:val="auto"/>
          <w:sz w:val="24"/>
          <w:szCs w:val="24"/>
        </w:rPr>
        <w:t>种方式确定。</w:t>
      </w:r>
    </w:p>
    <w:p w14:paraId="79925ED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10.7.2 不属于依法必须招标的暂估价项目</w:t>
      </w:r>
    </w:p>
    <w:p w14:paraId="4147B67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对于不属于依法必须招标的暂估价项目的确认和批准采取第</w:t>
      </w:r>
      <w:r>
        <w:rPr>
          <w:rFonts w:hint="eastAsia" w:ascii="华文中宋" w:hAnsi="华文中宋" w:eastAsia="华文中宋" w:cs="华文中宋"/>
          <w:b/>
          <w:color w:val="auto"/>
          <w:sz w:val="24"/>
          <w:szCs w:val="24"/>
          <w:u w:val="single"/>
        </w:rPr>
        <w:t>3</w:t>
      </w:r>
      <w:r>
        <w:rPr>
          <w:rFonts w:hint="eastAsia" w:ascii="华文中宋" w:hAnsi="华文中宋" w:eastAsia="华文中宋" w:cs="华文中宋"/>
          <w:color w:val="auto"/>
          <w:sz w:val="24"/>
          <w:szCs w:val="24"/>
        </w:rPr>
        <w:t>种方式确定。</w:t>
      </w:r>
    </w:p>
    <w:p w14:paraId="33EB9F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第3种方式：</w:t>
      </w:r>
      <w:r>
        <w:rPr>
          <w:rFonts w:hint="eastAsia" w:ascii="华文中宋" w:hAnsi="华文中宋" w:eastAsia="华文中宋" w:cs="华文中宋"/>
          <w:color w:val="auto"/>
          <w:kern w:val="0"/>
          <w:sz w:val="24"/>
          <w:szCs w:val="24"/>
        </w:rPr>
        <w:t>承包人直接实施的暂估价项目</w:t>
      </w:r>
    </w:p>
    <w:p w14:paraId="157DAAA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承包人直接实施的暂估价项目的约定：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08DB8F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10.8 暂列金额</w:t>
      </w:r>
    </w:p>
    <w:p w14:paraId="7EACE71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合同当事人关于暂列金额使用的约定：</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196EA0E2">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933" w:name="_Toc375060864"/>
      <w:r>
        <w:rPr>
          <w:rFonts w:hint="eastAsia" w:ascii="华文中宋" w:hAnsi="华文中宋" w:eastAsia="华文中宋" w:cs="华文中宋"/>
          <w:b w:val="0"/>
          <w:color w:val="auto"/>
          <w:sz w:val="24"/>
          <w:szCs w:val="24"/>
        </w:rPr>
        <w:t>11. 价格调整</w:t>
      </w:r>
      <w:bookmarkEnd w:id="933"/>
    </w:p>
    <w:p w14:paraId="68A7322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934" w:name="_Toc296347200"/>
      <w:bookmarkStart w:id="935" w:name="_Toc292559406"/>
      <w:bookmarkStart w:id="936" w:name="_Toc292559911"/>
      <w:bookmarkStart w:id="937" w:name="_Toc296346702"/>
      <w:bookmarkStart w:id="938" w:name="_Toc304295577"/>
      <w:bookmarkStart w:id="939" w:name="_Toc296944540"/>
      <w:bookmarkStart w:id="940" w:name="_Toc303539157"/>
      <w:bookmarkStart w:id="941" w:name="_Toc296891029"/>
      <w:bookmarkStart w:id="942" w:name="_Toc296891241"/>
      <w:bookmarkStart w:id="943" w:name="_Toc297120501"/>
      <w:bookmarkStart w:id="944" w:name="_Toc297123550"/>
      <w:bookmarkStart w:id="945" w:name="_Toc297216209"/>
      <w:bookmarkStart w:id="946" w:name="_Toc312678039"/>
      <w:bookmarkStart w:id="947" w:name="_Toc297048387"/>
      <w:bookmarkStart w:id="948" w:name="_Toc300935000"/>
      <w:bookmarkStart w:id="949" w:name="_Toc296503201"/>
      <w:r>
        <w:rPr>
          <w:rFonts w:hint="eastAsia" w:ascii="华文中宋" w:hAnsi="华文中宋" w:eastAsia="华文中宋" w:cs="华文中宋"/>
          <w:color w:val="auto"/>
          <w:sz w:val="24"/>
          <w:szCs w:val="24"/>
        </w:rPr>
        <w:t>11.1 市场价格波动引起的调整</w:t>
      </w:r>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1BEAA4A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bCs/>
          <w:color w:val="auto"/>
          <w:sz w:val="24"/>
          <w:szCs w:val="24"/>
        </w:rPr>
      </w:pPr>
      <w:r>
        <w:rPr>
          <w:rFonts w:hint="eastAsia" w:ascii="华文中宋" w:hAnsi="华文中宋" w:eastAsia="华文中宋" w:cs="华文中宋"/>
          <w:color w:val="auto"/>
          <w:kern w:val="0"/>
          <w:sz w:val="24"/>
          <w:szCs w:val="24"/>
        </w:rPr>
        <w:t>市场价格波动是否调整合同价格的约定：</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bCs/>
          <w:color w:val="auto"/>
          <w:sz w:val="24"/>
          <w:szCs w:val="24"/>
        </w:rPr>
        <w:t>。</w:t>
      </w:r>
    </w:p>
    <w:p w14:paraId="38C956F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因市场价格波动调整合同价格，采用以下第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种方式对合同价格进行调整：</w:t>
      </w:r>
    </w:p>
    <w:p w14:paraId="4767FD2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第1种方式：采用价格指数进行价格调整。</w:t>
      </w:r>
    </w:p>
    <w:p w14:paraId="6EA0E98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关于各可调因子、定值和变值权重，以及基本价格指数及其来源的约定：</w:t>
      </w:r>
    </w:p>
    <w:p w14:paraId="67DA1B96">
      <w:pPr>
        <w:pageBreakBefore w:val="0"/>
        <w:kinsoku/>
        <w:wordWrap/>
        <w:overflowPunct/>
        <w:topLinePunct w:val="0"/>
        <w:bidi w:val="0"/>
        <w:snapToGrid/>
        <w:spacing w:line="360" w:lineRule="auto"/>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w:t>
      </w:r>
    </w:p>
    <w:p w14:paraId="263A3CF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第2种方式：采用造价信息进行价格调整。</w:t>
      </w:r>
    </w:p>
    <w:p w14:paraId="1CE08DA3">
      <w:pPr>
        <w:pageBreakBefore w:val="0"/>
        <w:numPr>
          <w:ilvl w:val="0"/>
          <w:numId w:val="4"/>
        </w:numPr>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关于基准价格的约定：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2D23B0B">
      <w:pPr>
        <w:pStyle w:val="28"/>
        <w:pageBreakBefore w:val="0"/>
        <w:kinsoku/>
        <w:wordWrap/>
        <w:overflowPunct/>
        <w:topLinePunct w:val="0"/>
        <w:bidi w:val="0"/>
        <w:snapToGrid/>
        <w:spacing w:after="0" w:line="360" w:lineRule="auto"/>
        <w:ind w:left="420" w:leftChars="200" w:firstLine="240" w:firstLineChars="1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专用合同条款①承包人在已标价工程量清单或预算书中载明的材料单价低于基准价格的：专用合同条款履行期间材料单价涨幅以基准价格为基础超</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时，或材料单价跌幅以已标价工程量清单或预算书中载明材料单价为基础超过</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时，其超过部分据实调整。</w:t>
      </w:r>
    </w:p>
    <w:p w14:paraId="6D539855">
      <w:pPr>
        <w:pStyle w:val="28"/>
        <w:pageBreakBefore w:val="0"/>
        <w:kinsoku/>
        <w:wordWrap/>
        <w:overflowPunct/>
        <w:topLinePunct w:val="0"/>
        <w:bidi w:val="0"/>
        <w:snapToGrid/>
        <w:spacing w:after="0" w:line="360" w:lineRule="auto"/>
        <w:ind w:left="420" w:leftChars="200" w:firstLine="240" w:firstLineChars="1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②承包人在已标价工程量清单或预算书中载明的材料单价高于基准价格的：专用合同条款合同履行期间材料单价跌幅以基准价格为基础超过</w:t>
      </w:r>
    </w:p>
    <w:p w14:paraId="2FEDDA71">
      <w:pPr>
        <w:pStyle w:val="28"/>
        <w:pageBreakBefore w:val="0"/>
        <w:kinsoku/>
        <w:wordWrap/>
        <w:overflowPunct/>
        <w:topLinePunct w:val="0"/>
        <w:bidi w:val="0"/>
        <w:snapToGrid/>
        <w:spacing w:after="0" w:line="360" w:lineRule="auto"/>
        <w:ind w:left="559" w:leftChars="266" w:firstLine="0" w:firstLineChars="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时，材料单价涨幅以已标价工程量清单或预算书中载明材料单价为基础超过</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时，其超过部分据实调整。</w:t>
      </w:r>
    </w:p>
    <w:p w14:paraId="7CFD7219">
      <w:pPr>
        <w:pStyle w:val="28"/>
        <w:pageBreakBefore w:val="0"/>
        <w:kinsoku/>
        <w:wordWrap/>
        <w:overflowPunct/>
        <w:topLinePunct w:val="0"/>
        <w:bidi w:val="0"/>
        <w:snapToGrid/>
        <w:spacing w:after="0" w:line="360" w:lineRule="auto"/>
        <w:ind w:left="420" w:leftChars="200" w:firstLine="240" w:firstLineChars="100"/>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rPr>
        <w:t>③承包人在已标价工程量清单或预算书中载明的材料单价等于基准单价的：专用合同条款合同履行期间材料单价涨跌幅以基准单价为基础超过</w:t>
      </w:r>
      <w:r>
        <w:rPr>
          <w:rFonts w:hint="eastAsia" w:ascii="华文中宋" w:hAnsi="华文中宋" w:eastAsia="华文中宋" w:cs="华文中宋"/>
          <w:color w:val="auto"/>
          <w:sz w:val="24"/>
          <w:szCs w:val="24"/>
          <w:lang w:val="en-US" w:eastAsia="zh-CN"/>
        </w:rPr>
        <w:t xml:space="preserve">          </w:t>
      </w:r>
    </w:p>
    <w:p w14:paraId="223B6D86">
      <w:pPr>
        <w:pStyle w:val="28"/>
        <w:pageBreakBefore w:val="0"/>
        <w:kinsoku/>
        <w:wordWrap/>
        <w:overflowPunct/>
        <w:topLinePunct w:val="0"/>
        <w:bidi w:val="0"/>
        <w:snapToGrid/>
        <w:spacing w:after="0" w:line="360" w:lineRule="auto"/>
        <w:ind w:left="0" w:leftChars="0"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时，其超过部分据实调整。</w:t>
      </w:r>
    </w:p>
    <w:p w14:paraId="2EF76BB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第3种方式：其他价格调整方式：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837"/>
    <w:bookmarkEnd w:id="838"/>
    <w:bookmarkEnd w:id="839"/>
    <w:bookmarkEnd w:id="840"/>
    <w:bookmarkEnd w:id="841"/>
    <w:bookmarkEnd w:id="842"/>
    <w:p w14:paraId="78068F8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950" w:name="_Toc296347204"/>
      <w:bookmarkStart w:id="951" w:name="_Toc296346706"/>
      <w:bookmarkStart w:id="952" w:name="_Toc296891033"/>
      <w:bookmarkStart w:id="953" w:name="_Toc292559410"/>
      <w:bookmarkStart w:id="954" w:name="_Toc296944544"/>
      <w:bookmarkStart w:id="955" w:name="_Toc297048391"/>
      <w:bookmarkStart w:id="956" w:name="_Toc296891245"/>
      <w:bookmarkStart w:id="957" w:name="_Toc296503205"/>
      <w:bookmarkStart w:id="958" w:name="_Toc297120505"/>
      <w:bookmarkStart w:id="959" w:name="_Toc292559915"/>
      <w:bookmarkStart w:id="960" w:name="_Toc375060865"/>
      <w:bookmarkStart w:id="961" w:name="_Toc303539159"/>
      <w:bookmarkStart w:id="962" w:name="_Toc297216211"/>
      <w:bookmarkStart w:id="963" w:name="_Toc300935002"/>
      <w:bookmarkStart w:id="964" w:name="_Toc297123552"/>
      <w:bookmarkStart w:id="965" w:name="_Toc312678040"/>
      <w:bookmarkStart w:id="966" w:name="_Toc304295579"/>
      <w:r>
        <w:rPr>
          <w:rFonts w:hint="eastAsia" w:ascii="华文中宋" w:hAnsi="华文中宋" w:eastAsia="华文中宋" w:cs="华文中宋"/>
          <w:b w:val="0"/>
          <w:color w:val="auto"/>
          <w:sz w:val="24"/>
          <w:szCs w:val="24"/>
        </w:rPr>
        <w:t xml:space="preserve">12. </w:t>
      </w:r>
      <w:bookmarkEnd w:id="950"/>
      <w:bookmarkEnd w:id="951"/>
      <w:bookmarkEnd w:id="952"/>
      <w:bookmarkEnd w:id="953"/>
      <w:bookmarkEnd w:id="954"/>
      <w:bookmarkEnd w:id="955"/>
      <w:bookmarkEnd w:id="956"/>
      <w:bookmarkEnd w:id="957"/>
      <w:bookmarkEnd w:id="958"/>
      <w:bookmarkEnd w:id="959"/>
      <w:r>
        <w:rPr>
          <w:rFonts w:hint="eastAsia" w:ascii="华文中宋" w:hAnsi="华文中宋" w:eastAsia="华文中宋" w:cs="华文中宋"/>
          <w:b w:val="0"/>
          <w:color w:val="auto"/>
          <w:sz w:val="24"/>
          <w:szCs w:val="24"/>
        </w:rPr>
        <w:t>合同价格、计量与支付</w:t>
      </w:r>
      <w:bookmarkEnd w:id="960"/>
    </w:p>
    <w:bookmarkEnd w:id="961"/>
    <w:bookmarkEnd w:id="962"/>
    <w:bookmarkEnd w:id="963"/>
    <w:bookmarkEnd w:id="964"/>
    <w:bookmarkEnd w:id="965"/>
    <w:bookmarkEnd w:id="966"/>
    <w:p w14:paraId="5C83F1E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967" w:name="_Toc292559916"/>
      <w:bookmarkStart w:id="968" w:name="_Toc267251461"/>
      <w:bookmarkStart w:id="969" w:name="_Toc292559411"/>
      <w:bookmarkStart w:id="970" w:name="_Toc297048392"/>
      <w:bookmarkStart w:id="971" w:name="_Toc296503206"/>
      <w:bookmarkStart w:id="972" w:name="_Toc296944545"/>
      <w:bookmarkStart w:id="973" w:name="_Toc296346707"/>
      <w:bookmarkStart w:id="974" w:name="_Toc296891034"/>
      <w:bookmarkStart w:id="975" w:name="_Toc296891246"/>
      <w:bookmarkStart w:id="976" w:name="_Toc297120506"/>
      <w:bookmarkStart w:id="977" w:name="_Toc296347205"/>
      <w:bookmarkStart w:id="978" w:name="_Toc303539160"/>
      <w:bookmarkStart w:id="979" w:name="_Toc304295580"/>
      <w:bookmarkStart w:id="980" w:name="_Toc312678041"/>
      <w:bookmarkStart w:id="981" w:name="_Toc297216212"/>
      <w:bookmarkStart w:id="982" w:name="_Toc297123553"/>
      <w:bookmarkStart w:id="983" w:name="_Toc300935003"/>
      <w:r>
        <w:rPr>
          <w:rFonts w:hint="eastAsia" w:ascii="华文中宋" w:hAnsi="华文中宋" w:eastAsia="华文中宋" w:cs="华文中宋"/>
          <w:color w:val="auto"/>
          <w:sz w:val="24"/>
          <w:szCs w:val="24"/>
        </w:rPr>
        <w:t>12.1 合</w:t>
      </w:r>
      <w:bookmarkEnd w:id="967"/>
      <w:bookmarkEnd w:id="968"/>
      <w:bookmarkEnd w:id="969"/>
      <w:r>
        <w:rPr>
          <w:rFonts w:hint="eastAsia" w:ascii="华文中宋" w:hAnsi="华文中宋" w:eastAsia="华文中宋" w:cs="华文中宋"/>
          <w:color w:val="auto"/>
          <w:sz w:val="24"/>
          <w:szCs w:val="24"/>
        </w:rPr>
        <w:t>同价</w:t>
      </w:r>
      <w:bookmarkEnd w:id="970"/>
      <w:bookmarkEnd w:id="971"/>
      <w:bookmarkEnd w:id="972"/>
      <w:bookmarkEnd w:id="973"/>
      <w:bookmarkEnd w:id="974"/>
      <w:bookmarkEnd w:id="975"/>
      <w:bookmarkEnd w:id="976"/>
      <w:bookmarkEnd w:id="977"/>
      <w:r>
        <w:rPr>
          <w:rFonts w:hint="eastAsia" w:ascii="华文中宋" w:hAnsi="华文中宋" w:eastAsia="华文中宋" w:cs="华文中宋"/>
          <w:color w:val="auto"/>
          <w:sz w:val="24"/>
          <w:szCs w:val="24"/>
        </w:rPr>
        <w:t>格形式</w:t>
      </w:r>
    </w:p>
    <w:bookmarkEnd w:id="978"/>
    <w:bookmarkEnd w:id="979"/>
    <w:bookmarkEnd w:id="980"/>
    <w:bookmarkEnd w:id="981"/>
    <w:bookmarkEnd w:id="982"/>
    <w:bookmarkEnd w:id="983"/>
    <w:p w14:paraId="5D6F57B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1、单价合同。</w:t>
      </w:r>
    </w:p>
    <w:p w14:paraId="08CB4A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综合单价包含的风险范围：</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30E00F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风险费用的计算方法：</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C47668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风险范围以外合同价格的调整方法：</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FFC0D8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2、总价合同。</w:t>
      </w:r>
    </w:p>
    <w:p w14:paraId="6847A81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总价包含的风险范围：</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18CF3DF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风险费用的计算方法：</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6E4B5A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风险范围以外合同价格的调整方法：</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33F72E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3、其他价格方式：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DE8C7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984" w:name="_Toc300935004"/>
      <w:bookmarkStart w:id="985" w:name="_Toc303539161"/>
      <w:bookmarkStart w:id="986" w:name="_Toc312678042"/>
      <w:bookmarkStart w:id="987" w:name="_Toc297216213"/>
      <w:bookmarkStart w:id="988" w:name="_Toc297123554"/>
      <w:bookmarkStart w:id="989" w:name="_Toc304295581"/>
      <w:bookmarkStart w:id="990" w:name="_Toc296891035"/>
      <w:bookmarkStart w:id="991" w:name="_Toc297120507"/>
      <w:bookmarkStart w:id="992" w:name="_Toc297048393"/>
      <w:bookmarkStart w:id="993" w:name="_Toc296346708"/>
      <w:bookmarkStart w:id="994" w:name="_Toc292559917"/>
      <w:bookmarkStart w:id="995" w:name="_Toc296891247"/>
      <w:bookmarkStart w:id="996" w:name="_Toc292559412"/>
      <w:bookmarkStart w:id="997" w:name="_Toc296944546"/>
      <w:bookmarkStart w:id="998" w:name="_Toc296503207"/>
      <w:bookmarkStart w:id="999" w:name="_Toc296347206"/>
      <w:r>
        <w:rPr>
          <w:rFonts w:hint="eastAsia" w:ascii="华文中宋" w:hAnsi="华文中宋" w:eastAsia="华文中宋" w:cs="华文中宋"/>
          <w:color w:val="auto"/>
          <w:sz w:val="24"/>
          <w:szCs w:val="24"/>
        </w:rPr>
        <w:t>12.2 预付款</w:t>
      </w:r>
    </w:p>
    <w:bookmarkEnd w:id="984"/>
    <w:bookmarkEnd w:id="985"/>
    <w:bookmarkEnd w:id="986"/>
    <w:bookmarkEnd w:id="987"/>
    <w:bookmarkEnd w:id="988"/>
    <w:bookmarkEnd w:id="989"/>
    <w:p w14:paraId="02DEE2A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12.2.1 预付款的支付</w:t>
      </w:r>
    </w:p>
    <w:p w14:paraId="1F7410D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预付款支付比例或金额：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3DA6186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预付款支付期限：</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42433A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预付款扣回的方式：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5F6E1A1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12.2.2 预付款担保</w:t>
      </w:r>
    </w:p>
    <w:p w14:paraId="7100838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承包人提交预付款担保的期限：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861F15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预付款担保的形式为：</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990"/>
    <w:bookmarkEnd w:id="991"/>
    <w:bookmarkEnd w:id="992"/>
    <w:bookmarkEnd w:id="993"/>
    <w:bookmarkEnd w:id="994"/>
    <w:bookmarkEnd w:id="995"/>
    <w:bookmarkEnd w:id="996"/>
    <w:bookmarkEnd w:id="997"/>
    <w:bookmarkEnd w:id="998"/>
    <w:bookmarkEnd w:id="999"/>
    <w:p w14:paraId="6FA4FE7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 计量</w:t>
      </w:r>
    </w:p>
    <w:p w14:paraId="1A7B67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12.3.1 计量原则</w:t>
      </w:r>
    </w:p>
    <w:p w14:paraId="04A859B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工程量计算规则：</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ACAA94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12.3.2 计量周期</w:t>
      </w:r>
    </w:p>
    <w:p w14:paraId="27F796DA">
      <w:pPr>
        <w:pageBreakBefore w:val="0"/>
        <w:kinsoku/>
        <w:wordWrap/>
        <w:overflowPunct/>
        <w:topLinePunct w:val="0"/>
        <w:bidi w:val="0"/>
        <w:snapToGrid/>
        <w:spacing w:line="360" w:lineRule="auto"/>
        <w:ind w:right="-256" w:rightChars="-122"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关于计量周期的约定：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w:t>
      </w:r>
    </w:p>
    <w:p w14:paraId="329F6A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12.3.3 单价合同的计量</w:t>
      </w:r>
    </w:p>
    <w:p w14:paraId="5C24089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关于单价合同计量的约定：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5B393C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12.3.4 总价合同的计量</w:t>
      </w:r>
    </w:p>
    <w:p w14:paraId="2F3F19A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关于总价合同计量的约定：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CEF50E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12.3.5总价合同采用支付分解表计量支付的，是否适用第</w:t>
      </w:r>
      <w:r>
        <w:rPr>
          <w:rFonts w:hint="eastAsia" w:ascii="华文中宋" w:hAnsi="华文中宋" w:eastAsia="华文中宋" w:cs="华文中宋"/>
          <w:color w:val="auto"/>
          <w:kern w:val="0"/>
          <w:sz w:val="24"/>
          <w:szCs w:val="24"/>
        </w:rPr>
        <w:t xml:space="preserve">12.3.4 </w:t>
      </w:r>
      <w:r>
        <w:rPr>
          <w:rFonts w:hint="eastAsia" w:ascii="华文中宋" w:hAnsi="华文中宋" w:eastAsia="华文中宋" w:cs="华文中宋"/>
          <w:color w:val="auto"/>
          <w:sz w:val="24"/>
          <w:szCs w:val="24"/>
        </w:rPr>
        <w:t>项</w:t>
      </w:r>
      <w:r>
        <w:rPr>
          <w:rFonts w:hint="eastAsia" w:ascii="华文中宋" w:hAnsi="华文中宋" w:eastAsia="华文中宋" w:cs="华文中宋"/>
          <w:color w:val="auto"/>
          <w:kern w:val="0"/>
          <w:sz w:val="24"/>
          <w:szCs w:val="24"/>
        </w:rPr>
        <w:t>〔总价合同的计量〕</w:t>
      </w:r>
      <w:r>
        <w:rPr>
          <w:rFonts w:hint="eastAsia" w:ascii="华文中宋" w:hAnsi="华文中宋" w:eastAsia="华文中宋" w:cs="华文中宋"/>
          <w:color w:val="auto"/>
          <w:sz w:val="24"/>
          <w:szCs w:val="24"/>
        </w:rPr>
        <w:t>约定进行计量：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1383F3B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12.3.6 其他价格形式合同的计量</w:t>
      </w:r>
    </w:p>
    <w:p w14:paraId="1F90F68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其他价格形式的计量方式和程序：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4FD39A9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 工程进度款支付</w:t>
      </w:r>
    </w:p>
    <w:p w14:paraId="0BCC039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bookmarkStart w:id="1000" w:name="_Toc296347210"/>
      <w:bookmarkStart w:id="1001" w:name="_Toc297216215"/>
      <w:bookmarkStart w:id="1002" w:name="_Toc292559416"/>
      <w:bookmarkStart w:id="1003" w:name="_Toc292559921"/>
      <w:bookmarkStart w:id="1004" w:name="_Toc296503211"/>
      <w:bookmarkStart w:id="1005" w:name="_Toc296891039"/>
      <w:bookmarkStart w:id="1006" w:name="_Toc300935006"/>
      <w:bookmarkStart w:id="1007" w:name="_Toc297048397"/>
      <w:bookmarkStart w:id="1008" w:name="_Toc297123556"/>
      <w:bookmarkStart w:id="1009" w:name="_Toc296891251"/>
      <w:bookmarkStart w:id="1010" w:name="_Toc296346712"/>
      <w:bookmarkStart w:id="1011" w:name="_Toc303539163"/>
      <w:bookmarkStart w:id="1012" w:name="_Toc297120511"/>
      <w:bookmarkStart w:id="1013" w:name="_Toc296944550"/>
      <w:r>
        <w:rPr>
          <w:rFonts w:hint="eastAsia" w:ascii="华文中宋" w:hAnsi="华文中宋" w:eastAsia="华文中宋" w:cs="华文中宋"/>
          <w:color w:val="auto"/>
          <w:sz w:val="24"/>
          <w:szCs w:val="24"/>
        </w:rPr>
        <w:t>12.4.1 付款周期</w:t>
      </w:r>
    </w:p>
    <w:p w14:paraId="4E80675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highlight w:val="yellow"/>
        </w:rPr>
      </w:pPr>
      <w:r>
        <w:rPr>
          <w:rFonts w:hint="eastAsia" w:ascii="华文中宋" w:hAnsi="华文中宋" w:eastAsia="华文中宋" w:cs="华文中宋"/>
          <w:color w:val="auto"/>
          <w:sz w:val="24"/>
          <w:szCs w:val="24"/>
        </w:rPr>
        <w:t>关于付款周期的约定：</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013EFC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12.4.2 进度付款申请单的编制</w:t>
      </w:r>
    </w:p>
    <w:p w14:paraId="32AC30B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关于进度付款申请单编制的约定：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05442F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Fonts w:hint="eastAsia" w:ascii="华文中宋" w:hAnsi="华文中宋" w:eastAsia="华文中宋" w:cs="华文中宋"/>
          <w:color w:val="auto"/>
          <w:sz w:val="24"/>
          <w:szCs w:val="24"/>
        </w:rPr>
        <w:t>2.4.3 进度付款申请单的提交</w:t>
      </w:r>
    </w:p>
    <w:p w14:paraId="6E7232C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（1）单价合同进度付款申请单提交的约定：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9046FB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（2）总价合同进度付款申请单提交的约定：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37CD4C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（3）其他价格形式合同进度付款申请单提交的约定：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F0C6A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12.4.4 进度款审核和支付</w:t>
      </w:r>
    </w:p>
    <w:p w14:paraId="7F29925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（1）监理人审查并报送发包人的期限：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18F649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发包人完成审批并签发进度款支付证书的期限：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E1458D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（2）发包人支付进度款的期限：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FAAB96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发包人逾期支付进度款的违约金的计算方式：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C25917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12.4.6 支付分解表的编制</w:t>
      </w:r>
    </w:p>
    <w:p w14:paraId="48B8126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2、总价合同支付分解表的编制与审批：</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62F13BE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highlight w:val="cyan"/>
          <w:u w:val="single"/>
        </w:rPr>
      </w:pPr>
      <w:r>
        <w:rPr>
          <w:rFonts w:hint="eastAsia" w:ascii="华文中宋" w:hAnsi="华文中宋" w:eastAsia="华文中宋" w:cs="华文中宋"/>
          <w:color w:val="auto"/>
          <w:sz w:val="24"/>
          <w:szCs w:val="24"/>
        </w:rPr>
        <w:t>3、单价合同的总价项目支付分解表的编制与审批：</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bookmarkEnd w:id="843"/>
    <w:p w14:paraId="7F48AE68">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14" w:name="_Toc375060866"/>
      <w:bookmarkStart w:id="1015" w:name="_Toc296891259"/>
      <w:bookmarkStart w:id="1016" w:name="_Toc303539172"/>
      <w:bookmarkStart w:id="1017" w:name="_Toc300935015"/>
      <w:bookmarkStart w:id="1018" w:name="_Toc296503219"/>
      <w:bookmarkStart w:id="1019" w:name="_Toc312678053"/>
      <w:bookmarkStart w:id="1020" w:name="_Toc296347218"/>
      <w:bookmarkStart w:id="1021" w:name="_Toc304295593"/>
      <w:bookmarkStart w:id="1022" w:name="_Toc296891047"/>
      <w:bookmarkStart w:id="1023" w:name="_Toc297216223"/>
      <w:bookmarkStart w:id="1024" w:name="_Toc296944558"/>
      <w:bookmarkStart w:id="1025" w:name="_Toc292559424"/>
      <w:bookmarkStart w:id="1026" w:name="_Toc292559929"/>
      <w:bookmarkStart w:id="1027" w:name="_Toc297120519"/>
      <w:bookmarkStart w:id="1028" w:name="_Toc297123564"/>
      <w:bookmarkStart w:id="1029" w:name="_Toc297048405"/>
      <w:bookmarkStart w:id="1030" w:name="_Toc296346720"/>
      <w:r>
        <w:rPr>
          <w:rFonts w:hint="eastAsia" w:ascii="华文中宋" w:hAnsi="华文中宋" w:eastAsia="华文中宋" w:cs="华文中宋"/>
          <w:b w:val="0"/>
          <w:color w:val="auto"/>
          <w:sz w:val="24"/>
          <w:szCs w:val="24"/>
        </w:rPr>
        <w:t>13. 验收和工程试车</w:t>
      </w:r>
      <w:bookmarkEnd w:id="1014"/>
      <w:r>
        <w:rPr>
          <w:rFonts w:hint="eastAsia" w:ascii="华文中宋" w:hAnsi="华文中宋" w:eastAsia="华文中宋" w:cs="华文中宋"/>
          <w:b w:val="0"/>
          <w:color w:val="auto"/>
          <w:sz w:val="24"/>
          <w:szCs w:val="24"/>
        </w:rPr>
        <w:t xml:space="preserve"> </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44FD999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 分部分项工程验收</w:t>
      </w:r>
    </w:p>
    <w:p w14:paraId="709F939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13.1.2监理人不能按时进行验收时，应提前</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小时提交书面延期要求。</w:t>
      </w:r>
    </w:p>
    <w:p w14:paraId="6678558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b/>
          <w:color w:val="auto"/>
          <w:sz w:val="24"/>
          <w:szCs w:val="24"/>
        </w:rPr>
      </w:pPr>
      <w:r>
        <w:rPr>
          <w:rFonts w:hint="eastAsia" w:ascii="华文中宋" w:hAnsi="华文中宋" w:eastAsia="华文中宋" w:cs="华文中宋"/>
          <w:color w:val="auto"/>
          <w:sz w:val="24"/>
          <w:szCs w:val="24"/>
        </w:rPr>
        <w:t>关于延期最长不得超过：</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小时。</w:t>
      </w:r>
    </w:p>
    <w:p w14:paraId="208A9B6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1031" w:name="_Toc297216224"/>
      <w:bookmarkStart w:id="1032" w:name="_Toc296944562"/>
      <w:bookmarkStart w:id="1033" w:name="_Toc296891051"/>
      <w:bookmarkStart w:id="1034" w:name="_Toc292559428"/>
      <w:bookmarkStart w:id="1035" w:name="_Toc297120523"/>
      <w:bookmarkStart w:id="1036" w:name="_Toc296346724"/>
      <w:bookmarkStart w:id="1037" w:name="_Toc296347222"/>
      <w:bookmarkStart w:id="1038" w:name="_Toc297048409"/>
      <w:bookmarkStart w:id="1039" w:name="_Toc303539173"/>
      <w:bookmarkStart w:id="1040" w:name="_Toc304295596"/>
      <w:bookmarkStart w:id="1041" w:name="_Toc300935016"/>
      <w:bookmarkStart w:id="1042" w:name="_Toc296503223"/>
      <w:bookmarkStart w:id="1043" w:name="_Toc296891263"/>
      <w:bookmarkStart w:id="1044" w:name="_Toc297123565"/>
      <w:bookmarkStart w:id="1045" w:name="_Toc312678056"/>
      <w:bookmarkStart w:id="1046" w:name="_Toc292559933"/>
      <w:bookmarkStart w:id="1047" w:name="_Toc267251470"/>
      <w:bookmarkStart w:id="1048" w:name="_Toc267251476"/>
      <w:bookmarkStart w:id="1049" w:name="_Toc267251473"/>
      <w:bookmarkStart w:id="1050" w:name="_Toc267251474"/>
      <w:bookmarkStart w:id="1051" w:name="_Toc267251472"/>
      <w:bookmarkStart w:id="1052" w:name="_Toc267251471"/>
      <w:bookmarkStart w:id="1053" w:name="_Toc267251475"/>
      <w:r>
        <w:rPr>
          <w:rFonts w:hint="eastAsia" w:ascii="华文中宋" w:hAnsi="华文中宋" w:eastAsia="华文中宋" w:cs="华文中宋"/>
          <w:color w:val="auto"/>
          <w:sz w:val="24"/>
          <w:szCs w:val="24"/>
        </w:rPr>
        <w:t>13.2 竣工验收</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14:paraId="1C31745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bookmarkStart w:id="1054" w:name="_Toc280868704"/>
      <w:bookmarkStart w:id="1055" w:name="_Toc280868705"/>
      <w:bookmarkStart w:id="1056" w:name="_Toc280868706"/>
      <w:bookmarkStart w:id="1057" w:name="_Toc280868707"/>
      <w:bookmarkStart w:id="1058" w:name="_Toc280868708"/>
      <w:bookmarkStart w:id="1059" w:name="_Toc280868709"/>
      <w:r>
        <w:rPr>
          <w:rFonts w:hint="eastAsia" w:ascii="华文中宋" w:hAnsi="华文中宋" w:eastAsia="华文中宋" w:cs="华文中宋"/>
          <w:color w:val="auto"/>
          <w:sz w:val="24"/>
          <w:szCs w:val="24"/>
        </w:rPr>
        <w:t>13.2.2竣工验收程序</w:t>
      </w:r>
    </w:p>
    <w:bookmarkEnd w:id="1054"/>
    <w:p w14:paraId="05FC2556">
      <w:pPr>
        <w:pageBreakBefore w:val="0"/>
        <w:kinsoku/>
        <w:wordWrap/>
        <w:overflowPunct/>
        <w:topLinePunct w:val="0"/>
        <w:bidi w:val="0"/>
        <w:snapToGrid/>
        <w:spacing w:line="360" w:lineRule="auto"/>
        <w:ind w:right="-361" w:rightChars="-172"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关于竣工验收程序的约定</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2443829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发包人不按照本项约定组织竣工验收</w:t>
      </w:r>
      <w:r>
        <w:rPr>
          <w:rFonts w:hint="eastAsia" w:ascii="华文中宋" w:hAnsi="华文中宋" w:eastAsia="华文中宋" w:cs="华文中宋"/>
          <w:color w:val="auto"/>
          <w:kern w:val="0"/>
          <w:sz w:val="24"/>
          <w:szCs w:val="24"/>
        </w:rPr>
        <w:t>、颁发工程接收证书的违约金的计算方法：</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bookmarkEnd w:id="1055"/>
    <w:p w14:paraId="38EA30A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13.2.5移交、接收全部与部分工程</w:t>
      </w:r>
    </w:p>
    <w:bookmarkEnd w:id="1056"/>
    <w:p w14:paraId="71FC31C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承包人向发包人移交工程的期限</w:t>
      </w:r>
      <w:r>
        <w:rPr>
          <w:rFonts w:hint="eastAsia" w:ascii="华文中宋" w:hAnsi="华文中宋" w:eastAsia="华文中宋" w:cs="华文中宋"/>
          <w:bCs/>
          <w:color w:val="auto"/>
          <w:sz w:val="24"/>
          <w:szCs w:val="24"/>
        </w:rPr>
        <w:t>：</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8F649E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color w:val="auto"/>
          <w:sz w:val="24"/>
          <w:szCs w:val="24"/>
        </w:rPr>
        <w:t>发包人未按本合同约定接收全部或部分工程的</w:t>
      </w:r>
      <w:r>
        <w:rPr>
          <w:rFonts w:hint="eastAsia" w:ascii="华文中宋" w:hAnsi="华文中宋" w:eastAsia="华文中宋" w:cs="华文中宋"/>
          <w:color w:val="auto"/>
          <w:kern w:val="0"/>
          <w:sz w:val="24"/>
          <w:szCs w:val="24"/>
        </w:rPr>
        <w:t>，违约金的计算方法为：</w:t>
      </w:r>
    </w:p>
    <w:p w14:paraId="503E495A">
      <w:pPr>
        <w:pageBreakBefore w:val="0"/>
        <w:kinsoku/>
        <w:wordWrap/>
        <w:overflowPunct/>
        <w:topLinePunct w:val="0"/>
        <w:bidi w:val="0"/>
        <w:snapToGrid/>
        <w:spacing w:line="360" w:lineRule="auto"/>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bookmarkEnd w:id="1057"/>
    <w:p w14:paraId="3E4BFA0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承包人未按时移交工程的，违约金的计算方法为：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014D17F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13.3 工程试车</w:t>
      </w:r>
    </w:p>
    <w:bookmarkEnd w:id="1058"/>
    <w:p w14:paraId="63B2E5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13.3.1 试车程序</w:t>
      </w:r>
    </w:p>
    <w:p w14:paraId="3A1435B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工程试车内容：</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23E308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（1）单机无负荷试车费用由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承担；</w:t>
      </w:r>
    </w:p>
    <w:p w14:paraId="408C1D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（2）无负荷联动试车费用由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承担。</w:t>
      </w:r>
    </w:p>
    <w:p w14:paraId="611ED0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13.3.3 投料试车</w:t>
      </w:r>
    </w:p>
    <w:p w14:paraId="39C2903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关于投料试车相关事项的约定：</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425ACF7D">
      <w:pPr>
        <w:pageBreakBefore w:val="0"/>
        <w:kinsoku/>
        <w:wordWrap/>
        <w:overflowPunct/>
        <w:topLinePunct w:val="0"/>
        <w:bidi w:val="0"/>
        <w:snapToGrid/>
        <w:spacing w:line="360" w:lineRule="auto"/>
        <w:ind w:firstLine="480" w:firstLineChars="200"/>
        <w:outlineLvl w:val="0"/>
        <w:rPr>
          <w:rFonts w:hint="eastAsia" w:ascii="华文中宋" w:hAnsi="华文中宋" w:eastAsia="华文中宋" w:cs="华文中宋"/>
          <w:color w:val="auto"/>
          <w:sz w:val="24"/>
          <w:szCs w:val="24"/>
        </w:rPr>
      </w:pPr>
      <w:bookmarkStart w:id="1060" w:name="_Toc375060654"/>
      <w:bookmarkStart w:id="1061" w:name="_Toc375060867"/>
      <w:bookmarkStart w:id="1062" w:name="_Toc24293"/>
      <w:r>
        <w:rPr>
          <w:rFonts w:hint="eastAsia" w:ascii="华文中宋" w:hAnsi="华文中宋" w:eastAsia="华文中宋" w:cs="华文中宋"/>
          <w:color w:val="auto"/>
          <w:sz w:val="24"/>
          <w:szCs w:val="24"/>
        </w:rPr>
        <w:t>13.6 竣工退场</w:t>
      </w:r>
      <w:bookmarkEnd w:id="1060"/>
      <w:bookmarkEnd w:id="1061"/>
      <w:bookmarkEnd w:id="1062"/>
    </w:p>
    <w:p w14:paraId="1E3AE70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13.6.1 竣工退场</w:t>
      </w:r>
    </w:p>
    <w:p w14:paraId="4B20848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承包人完成竣工退场的期限：</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21354D91">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63" w:name="_Toc375060868"/>
      <w:r>
        <w:rPr>
          <w:rFonts w:hint="eastAsia" w:ascii="华文中宋" w:hAnsi="华文中宋" w:eastAsia="华文中宋" w:cs="华文中宋"/>
          <w:b w:val="0"/>
          <w:color w:val="auto"/>
          <w:sz w:val="24"/>
          <w:szCs w:val="24"/>
        </w:rPr>
        <w:t>14. 竣工结算</w:t>
      </w:r>
      <w:bookmarkEnd w:id="1063"/>
    </w:p>
    <w:p w14:paraId="542C5FF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14.1 竣工结算申请</w:t>
      </w:r>
    </w:p>
    <w:p w14:paraId="646DB84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承包人提交竣工结算申请单的期限：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B2E23F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竣工结算申请单应包括的内容：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C53CE1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14.2 竣工结算审核</w:t>
      </w:r>
    </w:p>
    <w:p w14:paraId="5292E18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承包人竣工结算以乡宁县政府委托的审计机构审计结果为竣工结算。</w:t>
      </w:r>
    </w:p>
    <w:p w14:paraId="165A516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发包人审批竣工付款申请单的期限：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8E7C28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发包人完成竣工付款的期限：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F08543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关于竣工付款证书异议部分复核的方式和程序：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A2785B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14.4 最终结清</w:t>
      </w:r>
    </w:p>
    <w:p w14:paraId="7815898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14.4.1 最终结清申请单</w:t>
      </w:r>
    </w:p>
    <w:p w14:paraId="22E6A99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承包人提交最终结清申请单的份数：</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2F79E36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承包人提交最终结算申请单的期限：</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8ECCE8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14.4.2 最终结清证书和支付</w:t>
      </w:r>
    </w:p>
    <w:p w14:paraId="66B9C1F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（1）发包人完成最终结清申请单的审批并颁发最终结清证书的期限</w:t>
      </w:r>
      <w:r>
        <w:rPr>
          <w:rFonts w:hint="eastAsia" w:ascii="华文中宋" w:hAnsi="华文中宋" w:eastAsia="华文中宋" w:cs="华文中宋"/>
          <w:color w:val="auto"/>
          <w:sz w:val="24"/>
          <w:szCs w:val="24"/>
          <w:u w:val="single"/>
        </w:rPr>
        <w:t>：。</w:t>
      </w:r>
    </w:p>
    <w:p w14:paraId="01642C2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（2）发包人完成支付的期限：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bookmarkEnd w:id="1047"/>
    <w:bookmarkEnd w:id="1048"/>
    <w:bookmarkEnd w:id="1049"/>
    <w:bookmarkEnd w:id="1050"/>
    <w:bookmarkEnd w:id="1051"/>
    <w:bookmarkEnd w:id="1052"/>
    <w:bookmarkEnd w:id="1053"/>
    <w:bookmarkEnd w:id="1059"/>
    <w:p w14:paraId="2FDF1995">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64" w:name="_Toc375060869"/>
      <w:bookmarkStart w:id="1065" w:name="_Toc267251483"/>
      <w:bookmarkStart w:id="1066" w:name="_Toc267251484"/>
      <w:bookmarkStart w:id="1067" w:name="_Toc267251482"/>
      <w:bookmarkStart w:id="1068" w:name="_Toc267251485"/>
      <w:bookmarkStart w:id="1069" w:name="_Toc267251486"/>
      <w:bookmarkStart w:id="1070" w:name="_Toc267251488"/>
      <w:bookmarkStart w:id="1071" w:name="_Toc267251489"/>
      <w:bookmarkStart w:id="1072" w:name="_Toc267251490"/>
      <w:bookmarkStart w:id="1073" w:name="_Toc267251496"/>
      <w:bookmarkStart w:id="1074" w:name="_Toc267251498"/>
      <w:bookmarkStart w:id="1075" w:name="_Toc267251494"/>
      <w:bookmarkStart w:id="1076" w:name="_Toc267251502"/>
      <w:bookmarkStart w:id="1077" w:name="_Toc267251503"/>
      <w:bookmarkStart w:id="1078" w:name="_Toc267251491"/>
      <w:bookmarkStart w:id="1079" w:name="_Toc267251493"/>
      <w:bookmarkStart w:id="1080" w:name="_Toc267251497"/>
      <w:bookmarkStart w:id="1081" w:name="_Toc267251499"/>
      <w:bookmarkStart w:id="1082" w:name="_Toc267251495"/>
      <w:bookmarkStart w:id="1083" w:name="_Toc267251501"/>
      <w:bookmarkStart w:id="1084" w:name="_Toc267251492"/>
      <w:bookmarkStart w:id="1085" w:name="_Toc267251504"/>
      <w:bookmarkStart w:id="1086" w:name="_Toc267251506"/>
      <w:bookmarkStart w:id="1087" w:name="_Toc267251507"/>
      <w:bookmarkStart w:id="1088" w:name="_Toc267251508"/>
      <w:bookmarkStart w:id="1089" w:name="_Toc267251509"/>
      <w:bookmarkStart w:id="1090" w:name="_Toc267251513"/>
      <w:bookmarkStart w:id="1091" w:name="_Toc267251515"/>
      <w:bookmarkStart w:id="1092" w:name="_Toc267251510"/>
      <w:bookmarkStart w:id="1093" w:name="_Toc267251514"/>
      <w:bookmarkStart w:id="1094" w:name="_Toc267251511"/>
      <w:r>
        <w:rPr>
          <w:rFonts w:hint="eastAsia" w:ascii="华文中宋" w:hAnsi="华文中宋" w:eastAsia="华文中宋" w:cs="华文中宋"/>
          <w:b w:val="0"/>
          <w:color w:val="auto"/>
          <w:sz w:val="24"/>
          <w:szCs w:val="24"/>
        </w:rPr>
        <w:t>15. 缺陷责任期与保修</w:t>
      </w:r>
      <w:bookmarkEnd w:id="1064"/>
    </w:p>
    <w:p w14:paraId="7EE9BE0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15.2缺陷责任期</w:t>
      </w:r>
      <w:bookmarkEnd w:id="1065"/>
    </w:p>
    <w:p w14:paraId="755BB49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缺陷责任期的具体期限</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2BF1CFA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15.3 质量保证金</w:t>
      </w:r>
    </w:p>
    <w:p w14:paraId="5DDC7E8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关于是否扣留质量保证金的约定</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4BD1754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在工程项目竣工前，承包人按专用合同条款第3.7条提供履约担保的，发包人不得同时预留工程质量保证金。</w:t>
      </w:r>
    </w:p>
    <w:p w14:paraId="64055C29">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15.3.1 承包人提供质量保证金的方式</w:t>
      </w:r>
    </w:p>
    <w:p w14:paraId="03AEBA0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质量保证金采用以下第</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w:t>
      </w:r>
    </w:p>
    <w:p w14:paraId="4FDCA07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（1）质量保证金保函，保证金额为：</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kern w:val="0"/>
          <w:sz w:val="24"/>
          <w:szCs w:val="24"/>
        </w:rPr>
        <w:t xml:space="preserve">； </w:t>
      </w:r>
    </w:p>
    <w:p w14:paraId="531815A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%的工程款；</w:t>
      </w:r>
    </w:p>
    <w:p w14:paraId="241A292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（3）其他方式：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D16930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15.3.2 质量保证金的扣留 </w:t>
      </w:r>
    </w:p>
    <w:p w14:paraId="2BEB7BE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质量保证金的扣留采取以下第</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w:t>
      </w:r>
    </w:p>
    <w:p w14:paraId="7D153F9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sz w:val="24"/>
          <w:szCs w:val="24"/>
        </w:rPr>
        <w:t>在支付工程进度款时逐次扣留</w:t>
      </w:r>
      <w:r>
        <w:rPr>
          <w:rFonts w:hint="eastAsia" w:ascii="华文中宋" w:hAnsi="华文中宋" w:eastAsia="华文中宋" w:cs="华文中宋"/>
          <w:color w:val="auto"/>
          <w:kern w:val="0"/>
          <w:sz w:val="24"/>
          <w:szCs w:val="24"/>
        </w:rPr>
        <w:t>，在此情形下，质量保证金的计算基数不包括预付款的支付、扣回以及价格调整的金额；</w:t>
      </w:r>
    </w:p>
    <w:p w14:paraId="04C0403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（2）工程竣工结算时一次性扣留质量保证金；</w:t>
      </w:r>
    </w:p>
    <w:p w14:paraId="651741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（3）其他扣留方式：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kern w:val="0"/>
          <w:sz w:val="24"/>
          <w:szCs w:val="24"/>
        </w:rPr>
        <w:t>。</w:t>
      </w:r>
    </w:p>
    <w:p w14:paraId="622253A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关于质量保证金的补充约定：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kern w:val="0"/>
          <w:sz w:val="24"/>
          <w:szCs w:val="24"/>
        </w:rPr>
        <w:t>。</w:t>
      </w:r>
    </w:p>
    <w:bookmarkEnd w:id="1066"/>
    <w:bookmarkEnd w:id="1067"/>
    <w:p w14:paraId="3C33A74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15.4保修</w:t>
      </w:r>
    </w:p>
    <w:bookmarkEnd w:id="1068"/>
    <w:p w14:paraId="13BFDCB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15.4.1 保修责任</w:t>
      </w:r>
    </w:p>
    <w:p w14:paraId="73E7F66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工程保修期为：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kern w:val="0"/>
          <w:sz w:val="24"/>
          <w:szCs w:val="24"/>
          <w:u w:val="single"/>
        </w:rPr>
        <w:t>。</w:t>
      </w:r>
    </w:p>
    <w:p w14:paraId="6D73E7B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15.4.3 修复通知</w:t>
      </w:r>
    </w:p>
    <w:p w14:paraId="664A646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sz w:val="24"/>
          <w:szCs w:val="24"/>
        </w:rPr>
        <w:t>承包人收到保修通知并到达工程现场的合理时间</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u w:val="single"/>
        </w:rPr>
        <w:t>。</w:t>
      </w:r>
    </w:p>
    <w:bookmarkEnd w:id="1069"/>
    <w:bookmarkEnd w:id="1070"/>
    <w:bookmarkEnd w:id="1071"/>
    <w:bookmarkEnd w:id="1072"/>
    <w:p w14:paraId="50DA878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95" w:name="_Toc375060870"/>
      <w:bookmarkStart w:id="1096" w:name="_Toc280868717"/>
      <w:bookmarkStart w:id="1097" w:name="_Toc280868718"/>
      <w:r>
        <w:rPr>
          <w:rFonts w:hint="eastAsia" w:ascii="华文中宋" w:hAnsi="华文中宋" w:eastAsia="华文中宋" w:cs="华文中宋"/>
          <w:b w:val="0"/>
          <w:color w:val="auto"/>
          <w:sz w:val="24"/>
          <w:szCs w:val="24"/>
        </w:rPr>
        <w:t>16. 违约</w:t>
      </w:r>
      <w:bookmarkEnd w:id="1095"/>
    </w:p>
    <w:p w14:paraId="40403CC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 发包人违约</w:t>
      </w:r>
    </w:p>
    <w:p w14:paraId="0E32D23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16.1.1发包人违约的情形</w:t>
      </w:r>
    </w:p>
    <w:p w14:paraId="0B3A653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发包人违约的其他情形：</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D5036DD">
      <w:pPr>
        <w:pageBreakBefore w:val="0"/>
        <w:kinsoku/>
        <w:wordWrap/>
        <w:overflowPunct/>
        <w:topLinePunct w:val="0"/>
        <w:bidi w:val="0"/>
        <w:snapToGrid/>
        <w:spacing w:line="360" w:lineRule="auto"/>
        <w:ind w:left="1400" w:hanging="1200" w:hangingChars="5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16.1.2 发包人违约的责任</w:t>
      </w:r>
    </w:p>
    <w:p w14:paraId="64DDDCF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发包人违约责任的承担方式和计算方法</w:t>
      </w:r>
      <w:r>
        <w:rPr>
          <w:rFonts w:hint="eastAsia" w:ascii="华文中宋" w:hAnsi="华文中宋" w:eastAsia="华文中宋" w:cs="华文中宋"/>
          <w:color w:val="auto"/>
          <w:kern w:val="0"/>
          <w:sz w:val="24"/>
          <w:szCs w:val="24"/>
        </w:rPr>
        <w:t>：</w:t>
      </w:r>
    </w:p>
    <w:p w14:paraId="22C3096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sz w:val="24"/>
          <w:szCs w:val="24"/>
        </w:rPr>
        <w:t>因发包人原因未能在计划开工日期前</w:t>
      </w:r>
      <w:r>
        <w:rPr>
          <w:rFonts w:hint="eastAsia" w:ascii="华文中宋" w:hAnsi="华文中宋" w:eastAsia="华文中宋" w:cs="华文中宋"/>
          <w:color w:val="auto"/>
          <w:kern w:val="0"/>
          <w:sz w:val="24"/>
          <w:szCs w:val="24"/>
        </w:rPr>
        <w:t>7天内下达开工通知的违约责任：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42B2B51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w:t>
      </w:r>
      <w:r>
        <w:rPr>
          <w:rFonts w:hint="eastAsia" w:ascii="华文中宋" w:hAnsi="华文中宋" w:eastAsia="华文中宋" w:cs="华文中宋"/>
          <w:color w:val="auto"/>
          <w:sz w:val="24"/>
          <w:szCs w:val="24"/>
        </w:rPr>
        <w:t>因发包人原因未能按合同约定支付合同价款的违约责任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4DB2403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（3）发包人违反第</w:t>
      </w:r>
      <w:r>
        <w:rPr>
          <w:rFonts w:hint="eastAsia" w:ascii="华文中宋" w:hAnsi="华文中宋" w:eastAsia="华文中宋" w:cs="华文中宋"/>
          <w:color w:val="auto"/>
          <w:sz w:val="24"/>
          <w:szCs w:val="24"/>
        </w:rPr>
        <w:t>10</w:t>
      </w:r>
      <w:r>
        <w:rPr>
          <w:rFonts w:hint="eastAsia" w:ascii="华文中宋" w:hAnsi="华文中宋" w:eastAsia="华文中宋" w:cs="华文中宋"/>
          <w:color w:val="auto"/>
          <w:kern w:val="0"/>
          <w:sz w:val="24"/>
          <w:szCs w:val="24"/>
        </w:rPr>
        <w:t>.1款〔变更的范围〕第（2）项约定，自行实施被取消的工作或转由他人实施的违约责任：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44799B8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w:t>
      </w:r>
      <w:r>
        <w:rPr>
          <w:rFonts w:hint="eastAsia" w:ascii="华文中宋" w:hAnsi="华文中宋" w:eastAsia="华文中宋" w:cs="华文中宋"/>
          <w:color w:val="auto"/>
          <w:sz w:val="24"/>
          <w:szCs w:val="24"/>
        </w:rPr>
        <w:t>发包人提供的材料</w:t>
      </w:r>
      <w:r>
        <w:rPr>
          <w:rFonts w:hint="eastAsia" w:ascii="华文中宋" w:hAnsi="华文中宋" w:eastAsia="华文中宋" w:cs="华文中宋"/>
          <w:color w:val="auto"/>
          <w:kern w:val="0"/>
          <w:sz w:val="24"/>
          <w:szCs w:val="24"/>
        </w:rPr>
        <w:t>、工程设备的规格、数量或质量不符合合同约定，或因发包人原因导致交货日期延误或交货地点变更等情况的违约责任：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350C554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（5）</w:t>
      </w:r>
      <w:r>
        <w:rPr>
          <w:rFonts w:hint="eastAsia" w:ascii="华文中宋" w:hAnsi="华文中宋" w:eastAsia="华文中宋" w:cs="华文中宋"/>
          <w:color w:val="auto"/>
          <w:sz w:val="24"/>
          <w:szCs w:val="24"/>
        </w:rPr>
        <w:t>因发包人违反合同约定造成暂停施工的违约责任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5229623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w:t>
      </w:r>
      <w:r>
        <w:rPr>
          <w:rFonts w:hint="eastAsia" w:ascii="华文中宋" w:hAnsi="华文中宋" w:eastAsia="华文中宋" w:cs="华文中宋"/>
          <w:color w:val="auto"/>
          <w:sz w:val="24"/>
          <w:szCs w:val="24"/>
        </w:rPr>
        <w:t>发包人无正当理由没有在约定期限内发出复工指示</w:t>
      </w:r>
      <w:r>
        <w:rPr>
          <w:rFonts w:hint="eastAsia" w:ascii="华文中宋" w:hAnsi="华文中宋" w:eastAsia="华文中宋" w:cs="华文中宋"/>
          <w:color w:val="auto"/>
          <w:kern w:val="0"/>
          <w:sz w:val="24"/>
          <w:szCs w:val="24"/>
        </w:rPr>
        <w:t>，导致承包人无法复工的违约责任：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17145B5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（7）其他：</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6C1D1D1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16.1.3 因发包人违约解除合同</w:t>
      </w:r>
    </w:p>
    <w:p w14:paraId="64EC0D2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承包人按16.1.1项〔</w:t>
      </w:r>
      <w:r>
        <w:rPr>
          <w:rFonts w:hint="eastAsia" w:ascii="华文中宋" w:hAnsi="华文中宋" w:eastAsia="华文中宋" w:cs="华文中宋"/>
          <w:color w:val="auto"/>
          <w:sz w:val="24"/>
          <w:szCs w:val="24"/>
        </w:rPr>
        <w:t>发包人违约的情形</w:t>
      </w:r>
      <w:r>
        <w:rPr>
          <w:rFonts w:hint="eastAsia" w:ascii="华文中宋" w:hAnsi="华文中宋" w:eastAsia="华文中宋" w:cs="华文中宋"/>
          <w:color w:val="auto"/>
          <w:kern w:val="0"/>
          <w:sz w:val="24"/>
          <w:szCs w:val="24"/>
        </w:rPr>
        <w:t>〕约定暂停施工满</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kern w:val="0"/>
          <w:sz w:val="24"/>
          <w:szCs w:val="24"/>
        </w:rPr>
        <w:t>天后发包人仍不纠正其违约行为并致使合同目的不能实现的，承包人有权解除合同。</w:t>
      </w:r>
    </w:p>
    <w:p w14:paraId="14C41F5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16.2 承包人违约</w:t>
      </w:r>
    </w:p>
    <w:p w14:paraId="67CA0B0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16.2.1 承包人违约的情形</w:t>
      </w:r>
    </w:p>
    <w:p w14:paraId="416CF92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承包人违约的其他情形：</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626BECF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16.2.2</w:t>
      </w:r>
      <w:r>
        <w:rPr>
          <w:rFonts w:hint="eastAsia" w:ascii="华文中宋" w:hAnsi="华文中宋" w:eastAsia="华文中宋" w:cs="华文中宋"/>
          <w:color w:val="auto"/>
          <w:sz w:val="24"/>
          <w:szCs w:val="24"/>
        </w:rPr>
        <w:t>承包人违约的责任</w:t>
      </w:r>
    </w:p>
    <w:p w14:paraId="50C2720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承包人违约责任的承担方式和计算方法：</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3E96AA4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16.2.3 因承包人违约解除合同</w:t>
      </w:r>
    </w:p>
    <w:p w14:paraId="4DAF4AD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sz w:val="24"/>
          <w:szCs w:val="24"/>
        </w:rPr>
        <w:t>关于承包人违约解除合同的特别约定</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014656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发包人继续使用承包人在施工现场的材料</w:t>
      </w:r>
      <w:r>
        <w:rPr>
          <w:rFonts w:hint="eastAsia" w:ascii="华文中宋" w:hAnsi="华文中宋" w:eastAsia="华文中宋" w:cs="华文中宋"/>
          <w:color w:val="auto"/>
          <w:kern w:val="0"/>
          <w:sz w:val="24"/>
          <w:szCs w:val="24"/>
        </w:rPr>
        <w:t>、设备、临时工程、承包人文件和由承包人或以其名义编制的其他文件的费用承担方式：</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14E8DE1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98" w:name="_Toc375060871"/>
      <w:r>
        <w:rPr>
          <w:rFonts w:hint="eastAsia" w:ascii="华文中宋" w:hAnsi="华文中宋" w:eastAsia="华文中宋" w:cs="华文中宋"/>
          <w:b w:val="0"/>
          <w:color w:val="auto"/>
          <w:sz w:val="24"/>
          <w:szCs w:val="24"/>
        </w:rPr>
        <w:t>17. 不可抗力</w:t>
      </w:r>
      <w:bookmarkEnd w:id="1098"/>
      <w:r>
        <w:rPr>
          <w:rFonts w:hint="eastAsia" w:ascii="华文中宋" w:hAnsi="华文中宋" w:eastAsia="华文中宋" w:cs="华文中宋"/>
          <w:b w:val="0"/>
          <w:color w:val="auto"/>
          <w:sz w:val="24"/>
          <w:szCs w:val="24"/>
        </w:rPr>
        <w:t xml:space="preserve"> </w:t>
      </w:r>
      <w:bookmarkEnd w:id="1096"/>
    </w:p>
    <w:p w14:paraId="35AB08D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17.1 不可抗力的确认</w:t>
      </w:r>
    </w:p>
    <w:p w14:paraId="46B34750">
      <w:pPr>
        <w:pageBreakBefore w:val="0"/>
        <w:kinsoku/>
        <w:wordWrap/>
        <w:overflowPunct/>
        <w:topLinePunct w:val="0"/>
        <w:bidi w:val="0"/>
        <w:snapToGrid/>
        <w:spacing w:line="360" w:lineRule="auto"/>
        <w:ind w:left="279" w:leftChars="133" w:right="2" w:rightChars="1" w:firstLine="240" w:firstLineChars="1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除通用合同条款约定的不可抗力事件之外，视为不可抗力的其他情形：</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rPr>
        <w:t xml:space="preserve"> </w:t>
      </w:r>
      <w:r>
        <w:rPr>
          <w:rFonts w:hint="eastAsia" w:ascii="华文中宋" w:hAnsi="华文中宋" w:eastAsia="华文中宋" w:cs="华文中宋"/>
          <w:bCs/>
          <w:color w:val="auto"/>
          <w:sz w:val="24"/>
          <w:szCs w:val="24"/>
        </w:rPr>
        <w:t xml:space="preserve">   </w:t>
      </w:r>
    </w:p>
    <w:p w14:paraId="1AF91C3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17.4因不可抗力解除合同</w:t>
      </w:r>
    </w:p>
    <w:p w14:paraId="00FD2FD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合同解除后，发包人应在商定或确定发包人应支付款项后</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天内完成款项的支付。</w:t>
      </w:r>
    </w:p>
    <w:p w14:paraId="19256511">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99" w:name="_Toc375060872"/>
      <w:r>
        <w:rPr>
          <w:rFonts w:hint="eastAsia" w:ascii="华文中宋" w:hAnsi="华文中宋" w:eastAsia="华文中宋" w:cs="华文中宋"/>
          <w:b w:val="0"/>
          <w:color w:val="auto"/>
          <w:sz w:val="24"/>
          <w:szCs w:val="24"/>
        </w:rPr>
        <w:t>18. 保险</w:t>
      </w:r>
      <w:bookmarkEnd w:id="1099"/>
    </w:p>
    <w:bookmarkEnd w:id="1097"/>
    <w:p w14:paraId="181DD0E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18.1 工程保险</w:t>
      </w:r>
    </w:p>
    <w:p w14:paraId="620896C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关于工程保险的特别约定：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318EB2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rPr>
        <w:t>18.3 其他保险</w:t>
      </w:r>
      <w:r>
        <w:rPr>
          <w:rFonts w:hint="eastAsia" w:ascii="华文中宋" w:hAnsi="华文中宋" w:eastAsia="华文中宋" w:cs="华文中宋"/>
          <w:color w:val="auto"/>
          <w:sz w:val="24"/>
          <w:szCs w:val="24"/>
          <w:lang w:val="en-US" w:eastAsia="zh-CN"/>
        </w:rPr>
        <w:t xml:space="preserve"> </w:t>
      </w:r>
    </w:p>
    <w:p w14:paraId="56C933B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关于其他保险的约定：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113BCC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承包人是否应为其施工设备等办理财产保险：</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0C5ECB0">
      <w:pPr>
        <w:pageBreakBefore w:val="0"/>
        <w:kinsoku/>
        <w:wordWrap/>
        <w:overflowPunct/>
        <w:topLinePunct w:val="0"/>
        <w:bidi w:val="0"/>
        <w:snapToGrid/>
        <w:spacing w:line="360" w:lineRule="auto"/>
        <w:ind w:firstLine="480" w:firstLineChars="200"/>
        <w:outlineLvl w:val="0"/>
        <w:rPr>
          <w:rFonts w:hint="eastAsia" w:ascii="华文中宋" w:hAnsi="华文中宋" w:eastAsia="华文中宋" w:cs="华文中宋"/>
          <w:color w:val="auto"/>
          <w:sz w:val="24"/>
          <w:szCs w:val="24"/>
        </w:rPr>
      </w:pPr>
      <w:bookmarkStart w:id="1100" w:name="_Toc375060873"/>
      <w:bookmarkStart w:id="1101" w:name="_Toc375060655"/>
      <w:bookmarkStart w:id="1102" w:name="_Toc27871"/>
      <w:r>
        <w:rPr>
          <w:rFonts w:hint="eastAsia" w:ascii="华文中宋" w:hAnsi="华文中宋" w:eastAsia="华文中宋" w:cs="华文中宋"/>
          <w:color w:val="auto"/>
          <w:sz w:val="24"/>
          <w:szCs w:val="24"/>
        </w:rPr>
        <w:t>18.7 通知义务</w:t>
      </w:r>
      <w:bookmarkEnd w:id="1100"/>
      <w:bookmarkEnd w:id="1101"/>
      <w:bookmarkEnd w:id="1102"/>
    </w:p>
    <w:p w14:paraId="00C764F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关于变更保险合同时的通知义务的约定：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1073"/>
    <w:bookmarkEnd w:id="1074"/>
    <w:bookmarkEnd w:id="1075"/>
    <w:bookmarkEnd w:id="1076"/>
    <w:bookmarkEnd w:id="1077"/>
    <w:bookmarkEnd w:id="1078"/>
    <w:bookmarkEnd w:id="1079"/>
    <w:bookmarkEnd w:id="1080"/>
    <w:bookmarkEnd w:id="1081"/>
    <w:bookmarkEnd w:id="1082"/>
    <w:bookmarkEnd w:id="1083"/>
    <w:bookmarkEnd w:id="1084"/>
    <w:p w14:paraId="31C1F68B">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103" w:name="_Toc375060874"/>
      <w:r>
        <w:rPr>
          <w:rFonts w:hint="eastAsia" w:ascii="华文中宋" w:hAnsi="华文中宋" w:eastAsia="华文中宋" w:cs="华文中宋"/>
          <w:b w:val="0"/>
          <w:color w:val="auto"/>
          <w:sz w:val="24"/>
          <w:szCs w:val="24"/>
        </w:rPr>
        <w:t>20. 争议解决</w:t>
      </w:r>
      <w:bookmarkEnd w:id="1103"/>
    </w:p>
    <w:bookmarkEnd w:id="1085"/>
    <w:bookmarkEnd w:id="1086"/>
    <w:p w14:paraId="62A6B28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20.3 争</w:t>
      </w:r>
      <w:bookmarkEnd w:id="1087"/>
      <w:r>
        <w:rPr>
          <w:rFonts w:hint="eastAsia" w:ascii="华文中宋" w:hAnsi="华文中宋" w:eastAsia="华文中宋" w:cs="华文中宋"/>
          <w:color w:val="auto"/>
          <w:sz w:val="24"/>
          <w:szCs w:val="24"/>
        </w:rPr>
        <w:t>议评审</w:t>
      </w:r>
    </w:p>
    <w:p w14:paraId="78A4BAC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合同当事人是否同意将工程争议提交争议评审小组决定：</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773F835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20.3.1 争议评审小组的确定</w:t>
      </w:r>
    </w:p>
    <w:p w14:paraId="0B9666F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争议评审小组成员的确定：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6AC3F2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选定争议评审员的期限：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90CEDC9">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争议评审小组成员的报酬承担方式：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4316DDE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其他事项的约定：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15FFEA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20.3.2 </w:t>
      </w:r>
      <w:r>
        <w:rPr>
          <w:rFonts w:hint="eastAsia" w:ascii="华文中宋" w:hAnsi="华文中宋" w:eastAsia="华文中宋" w:cs="华文中宋"/>
          <w:color w:val="auto"/>
          <w:sz w:val="24"/>
          <w:szCs w:val="24"/>
        </w:rPr>
        <w:t>争议评审小组的决定</w:t>
      </w:r>
    </w:p>
    <w:p w14:paraId="6579AC0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合同当事人关于本项的约定：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FA80FA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20.4仲裁或诉讼</w:t>
      </w:r>
      <w:bookmarkEnd w:id="1088"/>
    </w:p>
    <w:p w14:paraId="3569462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因合同及合同有关事项发生的争议，按下列第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种方式解决：</w:t>
      </w:r>
    </w:p>
    <w:p w14:paraId="460F0E9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（1）向</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仲裁委员会申请仲裁；</w:t>
      </w:r>
    </w:p>
    <w:p w14:paraId="0001B79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（2）向</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人民法院起诉。</w:t>
      </w:r>
      <w:bookmarkEnd w:id="1089"/>
      <w:bookmarkEnd w:id="1090"/>
      <w:bookmarkEnd w:id="1091"/>
      <w:bookmarkEnd w:id="1092"/>
      <w:bookmarkEnd w:id="1093"/>
      <w:bookmarkEnd w:id="1094"/>
    </w:p>
    <w:p w14:paraId="5FD169B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（本页以下无正文内容）</w:t>
      </w:r>
    </w:p>
    <w:p w14:paraId="012E9FDB">
      <w:pPr>
        <w:pageBreakBefore w:val="0"/>
        <w:kinsoku/>
        <w:wordWrap/>
        <w:overflowPunct/>
        <w:topLinePunct w:val="0"/>
        <w:bidi w:val="0"/>
        <w:snapToGrid/>
        <w:spacing w:line="360" w:lineRule="auto"/>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附件</w:t>
      </w:r>
    </w:p>
    <w:p w14:paraId="55929C6D">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协议书附件：</w:t>
      </w:r>
    </w:p>
    <w:p w14:paraId="3C0B863D">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附件1：承包人承揽工程项目一览表</w:t>
      </w:r>
    </w:p>
    <w:p w14:paraId="4C055B39">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专用合同条款附件：</w:t>
      </w:r>
    </w:p>
    <w:p w14:paraId="0A09D749">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附件2：发包人供应材料设备一览表</w:t>
      </w:r>
    </w:p>
    <w:p w14:paraId="70F0E8C8">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附件3：工程质量保修书</w:t>
      </w:r>
    </w:p>
    <w:p w14:paraId="4F85EAEE">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附件4：主要建设工程文件目录</w:t>
      </w:r>
    </w:p>
    <w:p w14:paraId="1E0973CE">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附件5：承包人用于本工程施工的机械设备表</w:t>
      </w:r>
    </w:p>
    <w:p w14:paraId="5725FE4F">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附件6：承包人主要施工管理人员表</w:t>
      </w:r>
    </w:p>
    <w:p w14:paraId="4B116059">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附件7：分包人主要施工管理人员表</w:t>
      </w:r>
    </w:p>
    <w:p w14:paraId="0EA28AA6">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附件8：履约担保格式</w:t>
      </w:r>
    </w:p>
    <w:p w14:paraId="1817D9D2">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附件9：预付款担保格式</w:t>
      </w:r>
    </w:p>
    <w:p w14:paraId="108D5F7A">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附件10：支付担保格式</w:t>
      </w:r>
    </w:p>
    <w:p w14:paraId="4A5FB85F">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sectPr>
          <w:pgSz w:w="11906" w:h="16838"/>
          <w:pgMar w:top="1418" w:right="1304" w:bottom="1418" w:left="1304" w:header="851" w:footer="992" w:gutter="0"/>
          <w:pgNumType w:fmt="decimal"/>
          <w:cols w:space="720" w:num="1"/>
          <w:titlePg/>
          <w:docGrid w:linePitch="312" w:charSpace="0"/>
        </w:sectPr>
      </w:pPr>
      <w:r>
        <w:rPr>
          <w:rFonts w:hint="eastAsia" w:ascii="华文中宋" w:hAnsi="华文中宋" w:eastAsia="华文中宋" w:cs="华文中宋"/>
          <w:color w:val="auto"/>
          <w:sz w:val="24"/>
          <w:szCs w:val="24"/>
        </w:rPr>
        <w:t>附件11：暂估价一览表</w:t>
      </w:r>
    </w:p>
    <w:p w14:paraId="4AC33230">
      <w:pPr>
        <w:spacing w:beforeLines="50" w:afterLines="50" w:line="440" w:lineRule="exact"/>
        <w:ind w:left="-391" w:leftChars="-186" w:firstLine="120" w:firstLineChars="5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附件1：</w:t>
      </w:r>
    </w:p>
    <w:p w14:paraId="39BBA790">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承包人承揽工程项目一览表</w:t>
      </w:r>
    </w:p>
    <w:tbl>
      <w:tblPr>
        <w:tblStyle w:val="29"/>
        <w:tblW w:w="14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632"/>
        <w:gridCol w:w="1568"/>
        <w:gridCol w:w="1316"/>
        <w:gridCol w:w="840"/>
        <w:gridCol w:w="420"/>
        <w:gridCol w:w="1155"/>
        <w:gridCol w:w="1575"/>
        <w:gridCol w:w="1510"/>
        <w:gridCol w:w="1288"/>
        <w:gridCol w:w="1297"/>
      </w:tblGrid>
      <w:tr w14:paraId="07DB4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632" w:type="dxa"/>
            <w:tcBorders>
              <w:top w:val="single" w:color="auto" w:sz="12" w:space="0"/>
              <w:bottom w:val="double" w:color="auto" w:sz="6" w:space="0"/>
            </w:tcBorders>
            <w:noWrap w:val="0"/>
            <w:vAlign w:val="center"/>
          </w:tcPr>
          <w:p w14:paraId="41D66E15">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单位工程名称</w:t>
            </w:r>
          </w:p>
        </w:tc>
        <w:tc>
          <w:tcPr>
            <w:tcW w:w="1568" w:type="dxa"/>
            <w:tcBorders>
              <w:top w:val="single" w:color="auto" w:sz="12" w:space="0"/>
              <w:bottom w:val="double" w:color="auto" w:sz="6" w:space="0"/>
            </w:tcBorders>
            <w:noWrap w:val="0"/>
            <w:vAlign w:val="center"/>
          </w:tcPr>
          <w:p w14:paraId="6F8BA70B">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建设规模</w:t>
            </w:r>
          </w:p>
        </w:tc>
        <w:tc>
          <w:tcPr>
            <w:tcW w:w="1316" w:type="dxa"/>
            <w:tcBorders>
              <w:top w:val="single" w:color="auto" w:sz="12" w:space="0"/>
              <w:bottom w:val="double" w:color="auto" w:sz="6" w:space="0"/>
            </w:tcBorders>
            <w:noWrap w:val="0"/>
            <w:vAlign w:val="center"/>
          </w:tcPr>
          <w:p w14:paraId="0F643604">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建筑面积</w:t>
            </w:r>
          </w:p>
          <w:p w14:paraId="59891C4D">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（平方米）</w:t>
            </w:r>
          </w:p>
        </w:tc>
        <w:tc>
          <w:tcPr>
            <w:tcW w:w="840" w:type="dxa"/>
            <w:tcBorders>
              <w:top w:val="single" w:color="auto" w:sz="12" w:space="0"/>
              <w:bottom w:val="double" w:color="auto" w:sz="6" w:space="0"/>
            </w:tcBorders>
            <w:noWrap w:val="0"/>
            <w:vAlign w:val="center"/>
          </w:tcPr>
          <w:p w14:paraId="4F2F9DAB">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结构</w:t>
            </w:r>
          </w:p>
          <w:p w14:paraId="12727DDB">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形式</w:t>
            </w:r>
          </w:p>
        </w:tc>
        <w:tc>
          <w:tcPr>
            <w:tcW w:w="420" w:type="dxa"/>
            <w:tcBorders>
              <w:top w:val="single" w:color="auto" w:sz="12" w:space="0"/>
              <w:bottom w:val="double" w:color="auto" w:sz="6" w:space="0"/>
            </w:tcBorders>
            <w:noWrap w:val="0"/>
            <w:vAlign w:val="center"/>
          </w:tcPr>
          <w:p w14:paraId="484DA882">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层</w:t>
            </w:r>
          </w:p>
          <w:p w14:paraId="040181D7">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w:t>
            </w:r>
          </w:p>
        </w:tc>
        <w:tc>
          <w:tcPr>
            <w:tcW w:w="1155" w:type="dxa"/>
            <w:tcBorders>
              <w:top w:val="single" w:color="auto" w:sz="12" w:space="0"/>
              <w:bottom w:val="double" w:color="auto" w:sz="6" w:space="0"/>
            </w:tcBorders>
            <w:noWrap w:val="0"/>
            <w:vAlign w:val="center"/>
          </w:tcPr>
          <w:p w14:paraId="72A172B8">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生产能力</w:t>
            </w:r>
          </w:p>
        </w:tc>
        <w:tc>
          <w:tcPr>
            <w:tcW w:w="1575" w:type="dxa"/>
            <w:tcBorders>
              <w:top w:val="single" w:color="auto" w:sz="12" w:space="0"/>
              <w:bottom w:val="double" w:color="auto" w:sz="6" w:space="0"/>
            </w:tcBorders>
            <w:noWrap w:val="0"/>
            <w:vAlign w:val="center"/>
          </w:tcPr>
          <w:p w14:paraId="00B1D152">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设备安装内容</w:t>
            </w:r>
          </w:p>
        </w:tc>
        <w:tc>
          <w:tcPr>
            <w:tcW w:w="1510" w:type="dxa"/>
            <w:tcBorders>
              <w:top w:val="single" w:color="auto" w:sz="12" w:space="0"/>
              <w:bottom w:val="double" w:color="auto" w:sz="6" w:space="0"/>
            </w:tcBorders>
            <w:noWrap w:val="0"/>
            <w:vAlign w:val="center"/>
          </w:tcPr>
          <w:p w14:paraId="11A86153">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合同价格</w:t>
            </w:r>
          </w:p>
          <w:p w14:paraId="3F228E3F">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1288" w:type="dxa"/>
            <w:tcBorders>
              <w:top w:val="single" w:color="auto" w:sz="12" w:space="0"/>
              <w:bottom w:val="double" w:color="auto" w:sz="6" w:space="0"/>
            </w:tcBorders>
            <w:noWrap w:val="0"/>
            <w:vAlign w:val="center"/>
          </w:tcPr>
          <w:p w14:paraId="36654C77">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开工日期</w:t>
            </w:r>
          </w:p>
        </w:tc>
        <w:tc>
          <w:tcPr>
            <w:tcW w:w="1297" w:type="dxa"/>
            <w:tcBorders>
              <w:top w:val="single" w:color="auto" w:sz="12" w:space="0"/>
              <w:bottom w:val="double" w:color="auto" w:sz="6" w:space="0"/>
            </w:tcBorders>
            <w:noWrap w:val="0"/>
            <w:vAlign w:val="center"/>
          </w:tcPr>
          <w:p w14:paraId="0764D8DA">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竣工日期</w:t>
            </w:r>
          </w:p>
        </w:tc>
      </w:tr>
      <w:tr w14:paraId="21ABD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double" w:color="auto" w:sz="6" w:space="0"/>
              <w:bottom w:val="single" w:color="auto" w:sz="6" w:space="0"/>
            </w:tcBorders>
            <w:noWrap w:val="0"/>
            <w:vAlign w:val="center"/>
          </w:tcPr>
          <w:p w14:paraId="7B0A6497">
            <w:pPr>
              <w:pStyle w:val="13"/>
              <w:keepNext/>
              <w:spacing w:line="440" w:lineRule="exact"/>
              <w:ind w:left="4" w:leftChars="2" w:right="-13" w:rightChars="-6"/>
              <w:rPr>
                <w:rFonts w:hint="eastAsia" w:ascii="华文中宋" w:hAnsi="华文中宋" w:eastAsia="华文中宋" w:cs="华文中宋"/>
                <w:b/>
                <w:color w:val="auto"/>
                <w:kern w:val="2"/>
                <w:sz w:val="21"/>
                <w:szCs w:val="21"/>
              </w:rPr>
            </w:pPr>
          </w:p>
        </w:tc>
        <w:tc>
          <w:tcPr>
            <w:tcW w:w="1568" w:type="dxa"/>
            <w:tcBorders>
              <w:top w:val="double" w:color="auto" w:sz="6" w:space="0"/>
              <w:bottom w:val="single" w:color="auto" w:sz="6" w:space="0"/>
            </w:tcBorders>
            <w:noWrap w:val="0"/>
            <w:vAlign w:val="center"/>
          </w:tcPr>
          <w:p w14:paraId="0155A35B">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double" w:color="auto" w:sz="6" w:space="0"/>
              <w:bottom w:val="single" w:color="auto" w:sz="6" w:space="0"/>
            </w:tcBorders>
            <w:noWrap w:val="0"/>
            <w:vAlign w:val="center"/>
          </w:tcPr>
          <w:p w14:paraId="32112A2F">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double" w:color="auto" w:sz="6" w:space="0"/>
              <w:bottom w:val="single" w:color="auto" w:sz="6" w:space="0"/>
            </w:tcBorders>
            <w:noWrap w:val="0"/>
            <w:vAlign w:val="center"/>
          </w:tcPr>
          <w:p w14:paraId="25E84C3C">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c>
          <w:tcPr>
            <w:tcW w:w="420" w:type="dxa"/>
            <w:tcBorders>
              <w:top w:val="double" w:color="auto" w:sz="6" w:space="0"/>
              <w:bottom w:val="single" w:color="auto" w:sz="6" w:space="0"/>
            </w:tcBorders>
            <w:noWrap w:val="0"/>
            <w:vAlign w:val="center"/>
          </w:tcPr>
          <w:p w14:paraId="0256773A">
            <w:pPr>
              <w:pStyle w:val="13"/>
              <w:keepNext/>
              <w:spacing w:line="440" w:lineRule="exact"/>
              <w:ind w:left="63" w:right="63"/>
              <w:rPr>
                <w:rFonts w:hint="eastAsia" w:ascii="华文中宋" w:hAnsi="华文中宋" w:eastAsia="华文中宋" w:cs="华文中宋"/>
                <w:b/>
                <w:color w:val="auto"/>
                <w:kern w:val="2"/>
                <w:sz w:val="21"/>
                <w:szCs w:val="21"/>
                <w:highlight w:val="cyan"/>
              </w:rPr>
            </w:pPr>
          </w:p>
        </w:tc>
        <w:tc>
          <w:tcPr>
            <w:tcW w:w="1155" w:type="dxa"/>
            <w:tcBorders>
              <w:top w:val="double" w:color="auto" w:sz="6" w:space="0"/>
              <w:bottom w:val="single" w:color="auto" w:sz="6" w:space="0"/>
            </w:tcBorders>
            <w:noWrap w:val="0"/>
            <w:vAlign w:val="center"/>
          </w:tcPr>
          <w:p w14:paraId="32EFAFEF">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c>
          <w:tcPr>
            <w:tcW w:w="1575" w:type="dxa"/>
            <w:tcBorders>
              <w:top w:val="double" w:color="auto" w:sz="6" w:space="0"/>
              <w:bottom w:val="single" w:color="auto" w:sz="6" w:space="0"/>
            </w:tcBorders>
            <w:noWrap w:val="0"/>
            <w:vAlign w:val="center"/>
          </w:tcPr>
          <w:p w14:paraId="68D41C7C">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c>
          <w:tcPr>
            <w:tcW w:w="1510" w:type="dxa"/>
            <w:tcBorders>
              <w:top w:val="double" w:color="auto" w:sz="6" w:space="0"/>
              <w:bottom w:val="single" w:color="auto" w:sz="6" w:space="0"/>
            </w:tcBorders>
            <w:noWrap w:val="0"/>
            <w:vAlign w:val="center"/>
          </w:tcPr>
          <w:p w14:paraId="465C0B73">
            <w:pPr>
              <w:pStyle w:val="13"/>
              <w:keepNext/>
              <w:spacing w:line="440" w:lineRule="exact"/>
              <w:ind w:left="-27" w:leftChars="-13" w:right="-27" w:rightChars="-13"/>
              <w:rPr>
                <w:rFonts w:hint="eastAsia" w:ascii="华文中宋" w:hAnsi="华文中宋" w:eastAsia="华文中宋" w:cs="华文中宋"/>
                <w:b/>
                <w:color w:val="auto"/>
                <w:kern w:val="2"/>
                <w:sz w:val="21"/>
                <w:szCs w:val="21"/>
                <w:highlight w:val="cyan"/>
              </w:rPr>
            </w:pPr>
          </w:p>
        </w:tc>
        <w:tc>
          <w:tcPr>
            <w:tcW w:w="1288" w:type="dxa"/>
            <w:tcBorders>
              <w:top w:val="double" w:color="auto" w:sz="6" w:space="0"/>
              <w:bottom w:val="single" w:color="auto" w:sz="6" w:space="0"/>
            </w:tcBorders>
            <w:noWrap w:val="0"/>
            <w:vAlign w:val="center"/>
          </w:tcPr>
          <w:p w14:paraId="4D94D459">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c>
          <w:tcPr>
            <w:tcW w:w="1297" w:type="dxa"/>
            <w:tcBorders>
              <w:top w:val="double" w:color="auto" w:sz="6" w:space="0"/>
              <w:bottom w:val="single" w:color="auto" w:sz="6" w:space="0"/>
            </w:tcBorders>
            <w:noWrap w:val="0"/>
            <w:vAlign w:val="center"/>
          </w:tcPr>
          <w:p w14:paraId="67B855D8">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r>
      <w:tr w14:paraId="7F380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5C8C9951">
            <w:pPr>
              <w:pStyle w:val="13"/>
              <w:keepNext/>
              <w:spacing w:line="440" w:lineRule="exact"/>
              <w:ind w:left="63" w:right="63"/>
              <w:jc w:val="both"/>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28D63956">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6B7F7CF9">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6D393C50">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18BF8EAE">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764272CF">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1A80055B">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54C2D465">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720EDDE4">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23CF6095">
            <w:pPr>
              <w:pStyle w:val="13"/>
              <w:keepNext/>
              <w:spacing w:line="440" w:lineRule="exact"/>
              <w:ind w:left="63" w:right="63"/>
              <w:rPr>
                <w:rFonts w:hint="eastAsia" w:ascii="华文中宋" w:hAnsi="华文中宋" w:eastAsia="华文中宋" w:cs="华文中宋"/>
                <w:color w:val="auto"/>
                <w:kern w:val="2"/>
                <w:sz w:val="21"/>
                <w:szCs w:val="21"/>
              </w:rPr>
            </w:pPr>
          </w:p>
        </w:tc>
      </w:tr>
      <w:tr w14:paraId="4FFA9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6E2BBADD">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4B84536F">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4EF0F3DE">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1D0942D7">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6ACB3DE1">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7A0D0324">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31487BF4">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02B94F43">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6FCE7D11">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49F7243D">
            <w:pPr>
              <w:pStyle w:val="13"/>
              <w:keepNext/>
              <w:spacing w:line="440" w:lineRule="exact"/>
              <w:ind w:left="63" w:right="63"/>
              <w:rPr>
                <w:rFonts w:hint="eastAsia" w:ascii="华文中宋" w:hAnsi="华文中宋" w:eastAsia="华文中宋" w:cs="华文中宋"/>
                <w:color w:val="auto"/>
                <w:kern w:val="2"/>
                <w:sz w:val="21"/>
                <w:szCs w:val="21"/>
              </w:rPr>
            </w:pPr>
          </w:p>
        </w:tc>
      </w:tr>
      <w:tr w14:paraId="7975E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031087C4">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4A72669A">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13AF6F84">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noWrap w:val="0"/>
            <w:vAlign w:val="center"/>
          </w:tcPr>
          <w:p w14:paraId="32CF8ED9">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26FA709A">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noWrap w:val="0"/>
            <w:vAlign w:val="center"/>
          </w:tcPr>
          <w:p w14:paraId="4EEABA01">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51022199">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43001EEE">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noWrap w:val="0"/>
            <w:vAlign w:val="center"/>
          </w:tcPr>
          <w:p w14:paraId="5C629A3D">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6563124E">
            <w:pPr>
              <w:pStyle w:val="13"/>
              <w:keepNext/>
              <w:spacing w:line="440" w:lineRule="exact"/>
              <w:ind w:left="63" w:right="63"/>
              <w:rPr>
                <w:rFonts w:hint="eastAsia" w:ascii="华文中宋" w:hAnsi="华文中宋" w:eastAsia="华文中宋" w:cs="华文中宋"/>
                <w:color w:val="auto"/>
                <w:kern w:val="2"/>
                <w:sz w:val="21"/>
                <w:szCs w:val="21"/>
              </w:rPr>
            </w:pPr>
          </w:p>
        </w:tc>
      </w:tr>
      <w:tr w14:paraId="231CB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30997B11">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7CB9BE8A">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6B49F428">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16BB8689">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4E7AF13B">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68A373AF">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35866C76">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30460183">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13262AB1">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7ED86A22">
            <w:pPr>
              <w:pStyle w:val="13"/>
              <w:keepNext/>
              <w:spacing w:line="440" w:lineRule="exact"/>
              <w:ind w:left="63" w:right="63"/>
              <w:rPr>
                <w:rFonts w:hint="eastAsia" w:ascii="华文中宋" w:hAnsi="华文中宋" w:eastAsia="华文中宋" w:cs="华文中宋"/>
                <w:color w:val="auto"/>
                <w:kern w:val="2"/>
                <w:sz w:val="21"/>
                <w:szCs w:val="21"/>
              </w:rPr>
            </w:pPr>
          </w:p>
        </w:tc>
      </w:tr>
      <w:tr w14:paraId="4DCE5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0B591E03">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7DB5FE0F">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27BF23F9">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noWrap w:val="0"/>
            <w:vAlign w:val="center"/>
          </w:tcPr>
          <w:p w14:paraId="4D002B3F">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07D6A7D0">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noWrap w:val="0"/>
            <w:vAlign w:val="center"/>
          </w:tcPr>
          <w:p w14:paraId="0DF6EDBD">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5B583A90">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78309A2C">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noWrap w:val="0"/>
            <w:vAlign w:val="center"/>
          </w:tcPr>
          <w:p w14:paraId="0AA1BE8A">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00B09E1E">
            <w:pPr>
              <w:pStyle w:val="13"/>
              <w:keepNext/>
              <w:spacing w:line="440" w:lineRule="exact"/>
              <w:ind w:left="63" w:right="63"/>
              <w:rPr>
                <w:rFonts w:hint="eastAsia" w:ascii="华文中宋" w:hAnsi="华文中宋" w:eastAsia="华文中宋" w:cs="华文中宋"/>
                <w:color w:val="auto"/>
                <w:kern w:val="2"/>
                <w:sz w:val="21"/>
                <w:szCs w:val="21"/>
              </w:rPr>
            </w:pPr>
          </w:p>
        </w:tc>
      </w:tr>
      <w:tr w14:paraId="63B28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32EAF9EB">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0BF483F3">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188B5AF6">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7982C906">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39BA03B2">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36C261EC">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6258BA1B">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138B25C1">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3CD71CFB">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c>
          <w:tcPr>
            <w:tcW w:w="1297" w:type="dxa"/>
            <w:tcBorders>
              <w:top w:val="nil"/>
            </w:tcBorders>
            <w:noWrap w:val="0"/>
            <w:vAlign w:val="center"/>
          </w:tcPr>
          <w:p w14:paraId="60F69DA2">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r>
      <w:tr w14:paraId="48CF7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4D3D4A29">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71C4F976">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30253B3C">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tcBorders>
              <w:top w:val="nil"/>
            </w:tcBorders>
            <w:noWrap w:val="0"/>
            <w:vAlign w:val="center"/>
          </w:tcPr>
          <w:p w14:paraId="3D854D9C">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2DDFD7A2">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3847FF6E">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374D2247">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40B0DCB1">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tcBorders>
              <w:top w:val="nil"/>
            </w:tcBorders>
            <w:noWrap w:val="0"/>
            <w:vAlign w:val="center"/>
          </w:tcPr>
          <w:p w14:paraId="6E581DB0">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1A310050">
            <w:pPr>
              <w:pStyle w:val="13"/>
              <w:keepNext/>
              <w:spacing w:line="440" w:lineRule="exact"/>
              <w:ind w:left="63" w:right="63"/>
              <w:rPr>
                <w:rFonts w:hint="eastAsia" w:ascii="华文中宋" w:hAnsi="华文中宋" w:eastAsia="华文中宋" w:cs="华文中宋"/>
                <w:color w:val="auto"/>
                <w:kern w:val="2"/>
                <w:sz w:val="21"/>
                <w:szCs w:val="21"/>
              </w:rPr>
            </w:pPr>
          </w:p>
        </w:tc>
      </w:tr>
      <w:tr w14:paraId="1D5D1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1E69FD73">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6FA49B2B">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44A94BAC">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noWrap w:val="0"/>
            <w:vAlign w:val="center"/>
          </w:tcPr>
          <w:p w14:paraId="784A3D8F">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6EFF92D8">
            <w:pPr>
              <w:pStyle w:val="13"/>
              <w:keepNext/>
              <w:spacing w:line="440" w:lineRule="exact"/>
              <w:ind w:left="63" w:right="63"/>
              <w:rPr>
                <w:rFonts w:hint="eastAsia" w:ascii="华文中宋" w:hAnsi="华文中宋" w:eastAsia="华文中宋" w:cs="华文中宋"/>
                <w:color w:val="auto"/>
                <w:kern w:val="2"/>
                <w:sz w:val="21"/>
                <w:szCs w:val="21"/>
              </w:rPr>
            </w:pPr>
          </w:p>
        </w:tc>
        <w:tc>
          <w:tcPr>
            <w:tcW w:w="1155" w:type="dxa"/>
            <w:noWrap w:val="0"/>
            <w:vAlign w:val="center"/>
          </w:tcPr>
          <w:p w14:paraId="79325E8B">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169039FA">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1ACA6BB1">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noWrap w:val="0"/>
            <w:vAlign w:val="center"/>
          </w:tcPr>
          <w:p w14:paraId="38F5DE6B">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5A01EFD6">
            <w:pPr>
              <w:pStyle w:val="13"/>
              <w:keepNext/>
              <w:spacing w:line="440" w:lineRule="exact"/>
              <w:ind w:left="63" w:right="63"/>
              <w:rPr>
                <w:rFonts w:hint="eastAsia" w:ascii="华文中宋" w:hAnsi="华文中宋" w:eastAsia="华文中宋" w:cs="华文中宋"/>
                <w:color w:val="auto"/>
                <w:kern w:val="2"/>
                <w:sz w:val="21"/>
                <w:szCs w:val="21"/>
              </w:rPr>
            </w:pPr>
          </w:p>
        </w:tc>
      </w:tr>
      <w:tr w14:paraId="2B927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2B58448B">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35CF0194">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4EA2D363">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tcBorders>
              <w:top w:val="nil"/>
            </w:tcBorders>
            <w:noWrap w:val="0"/>
            <w:vAlign w:val="center"/>
          </w:tcPr>
          <w:p w14:paraId="2CDC4592">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769107E1">
            <w:pPr>
              <w:pStyle w:val="13"/>
              <w:keepNext/>
              <w:spacing w:line="440" w:lineRule="exact"/>
              <w:ind w:left="63" w:right="63"/>
              <w:rPr>
                <w:rFonts w:hint="eastAsia" w:ascii="华文中宋" w:hAnsi="华文中宋" w:eastAsia="华文中宋" w:cs="华文中宋"/>
                <w:color w:val="auto"/>
                <w:kern w:val="2"/>
                <w:sz w:val="21"/>
                <w:szCs w:val="21"/>
              </w:rPr>
            </w:pPr>
          </w:p>
        </w:tc>
        <w:tc>
          <w:tcPr>
            <w:tcW w:w="1155" w:type="dxa"/>
            <w:tcBorders>
              <w:top w:val="nil"/>
            </w:tcBorders>
            <w:noWrap w:val="0"/>
            <w:vAlign w:val="center"/>
          </w:tcPr>
          <w:p w14:paraId="6F65877A">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11D81AEA">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3832279E">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tcBorders>
              <w:top w:val="nil"/>
            </w:tcBorders>
            <w:noWrap w:val="0"/>
            <w:vAlign w:val="center"/>
          </w:tcPr>
          <w:p w14:paraId="7DECAF82">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78325745">
            <w:pPr>
              <w:pStyle w:val="13"/>
              <w:keepNext/>
              <w:spacing w:line="440" w:lineRule="exact"/>
              <w:ind w:left="63" w:right="63"/>
              <w:rPr>
                <w:rFonts w:hint="eastAsia" w:ascii="华文中宋" w:hAnsi="华文中宋" w:eastAsia="华文中宋" w:cs="华文中宋"/>
                <w:color w:val="auto"/>
                <w:kern w:val="2"/>
                <w:sz w:val="21"/>
                <w:szCs w:val="21"/>
              </w:rPr>
            </w:pPr>
          </w:p>
        </w:tc>
      </w:tr>
      <w:tr w14:paraId="512FD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1945FC21">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7CD3B330">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109AB93C">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noWrap w:val="0"/>
            <w:vAlign w:val="center"/>
          </w:tcPr>
          <w:p w14:paraId="59581A8D">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4A0F1FD7">
            <w:pPr>
              <w:pStyle w:val="13"/>
              <w:keepNext/>
              <w:spacing w:line="440" w:lineRule="exact"/>
              <w:ind w:left="63" w:right="63"/>
              <w:rPr>
                <w:rFonts w:hint="eastAsia" w:ascii="华文中宋" w:hAnsi="华文中宋" w:eastAsia="华文中宋" w:cs="华文中宋"/>
                <w:color w:val="auto"/>
                <w:kern w:val="2"/>
                <w:sz w:val="21"/>
                <w:szCs w:val="21"/>
              </w:rPr>
            </w:pPr>
          </w:p>
        </w:tc>
        <w:tc>
          <w:tcPr>
            <w:tcW w:w="1155" w:type="dxa"/>
            <w:noWrap w:val="0"/>
            <w:vAlign w:val="center"/>
          </w:tcPr>
          <w:p w14:paraId="7D6F1CE3">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535B6CBB">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58DF317A">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noWrap w:val="0"/>
            <w:vAlign w:val="center"/>
          </w:tcPr>
          <w:p w14:paraId="56DBA0AD">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007A6318">
            <w:pPr>
              <w:pStyle w:val="13"/>
              <w:keepNext/>
              <w:spacing w:line="440" w:lineRule="exact"/>
              <w:ind w:left="63" w:right="63"/>
              <w:rPr>
                <w:rFonts w:hint="eastAsia" w:ascii="华文中宋" w:hAnsi="华文中宋" w:eastAsia="华文中宋" w:cs="华文中宋"/>
                <w:color w:val="auto"/>
                <w:kern w:val="2"/>
                <w:sz w:val="21"/>
                <w:szCs w:val="21"/>
              </w:rPr>
            </w:pPr>
          </w:p>
        </w:tc>
      </w:tr>
    </w:tbl>
    <w:p w14:paraId="734D2C7B">
      <w:pPr>
        <w:spacing w:line="440" w:lineRule="exact"/>
        <w:rPr>
          <w:rFonts w:hint="eastAsia" w:ascii="华文中宋" w:hAnsi="华文中宋" w:eastAsia="华文中宋" w:cs="华文中宋"/>
          <w:b/>
          <w:color w:val="auto"/>
          <w:sz w:val="30"/>
          <w:szCs w:val="30"/>
        </w:rPr>
        <w:sectPr>
          <w:pgSz w:w="16838" w:h="11906" w:orient="landscape"/>
          <w:pgMar w:top="1554" w:right="1418" w:bottom="1531" w:left="1418" w:header="851" w:footer="992" w:gutter="0"/>
          <w:pgNumType w:fmt="decimal"/>
          <w:cols w:space="720" w:num="1"/>
          <w:titlePg/>
          <w:docGrid w:linePitch="312" w:charSpace="0"/>
        </w:sectPr>
      </w:pPr>
    </w:p>
    <w:p w14:paraId="72ED4DEA">
      <w:pPr>
        <w:spacing w:line="440" w:lineRule="exact"/>
        <w:ind w:left="-840" w:leftChars="-400" w:right="-6" w:firstLine="360" w:firstLineChars="15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w:t>
      </w:r>
      <w:bookmarkStart w:id="1104" w:name="_Toc296891265"/>
      <w:bookmarkStart w:id="1105" w:name="_Toc296347224"/>
      <w:bookmarkStart w:id="1106" w:name="_Toc296346726"/>
      <w:bookmarkStart w:id="1107" w:name="_Toc296503225"/>
      <w:bookmarkStart w:id="1108" w:name="_Toc296891053"/>
      <w:bookmarkStart w:id="1109" w:name="_Toc267261692"/>
      <w:bookmarkStart w:id="1110" w:name="_Toc296944564"/>
      <w:r>
        <w:rPr>
          <w:rFonts w:hint="eastAsia" w:ascii="华文中宋" w:hAnsi="华文中宋" w:eastAsia="华文中宋" w:cs="华文中宋"/>
          <w:color w:val="auto"/>
          <w:sz w:val="24"/>
          <w:szCs w:val="24"/>
        </w:rPr>
        <w:t>件2：</w:t>
      </w:r>
    </w:p>
    <w:bookmarkEnd w:id="1104"/>
    <w:bookmarkEnd w:id="1105"/>
    <w:bookmarkEnd w:id="1106"/>
    <w:bookmarkEnd w:id="1107"/>
    <w:bookmarkEnd w:id="1108"/>
    <w:bookmarkEnd w:id="1109"/>
    <w:bookmarkEnd w:id="1110"/>
    <w:p w14:paraId="522E4A66">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发包人供应材料设备一览表</w:t>
      </w:r>
    </w:p>
    <w:tbl>
      <w:tblPr>
        <w:tblStyle w:val="29"/>
        <w:tblW w:w="10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1276"/>
        <w:gridCol w:w="1418"/>
        <w:gridCol w:w="940"/>
        <w:gridCol w:w="851"/>
        <w:gridCol w:w="1044"/>
        <w:gridCol w:w="992"/>
        <w:gridCol w:w="851"/>
        <w:gridCol w:w="1350"/>
        <w:gridCol w:w="852"/>
      </w:tblGrid>
      <w:tr w14:paraId="2037D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40" w:type="dxa"/>
            <w:tcBorders>
              <w:top w:val="single" w:color="auto" w:sz="12" w:space="0"/>
              <w:bottom w:val="double" w:color="auto" w:sz="6" w:space="0"/>
            </w:tcBorders>
            <w:noWrap w:val="0"/>
            <w:vAlign w:val="center"/>
          </w:tcPr>
          <w:p w14:paraId="3519EFD1">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序号</w:t>
            </w:r>
          </w:p>
        </w:tc>
        <w:tc>
          <w:tcPr>
            <w:tcW w:w="1276" w:type="dxa"/>
            <w:tcBorders>
              <w:top w:val="single" w:color="auto" w:sz="12" w:space="0"/>
              <w:bottom w:val="double" w:color="auto" w:sz="6" w:space="0"/>
            </w:tcBorders>
            <w:noWrap w:val="0"/>
            <w:vAlign w:val="center"/>
          </w:tcPr>
          <w:p w14:paraId="46D547A0">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材料、</w:t>
            </w:r>
          </w:p>
          <w:p w14:paraId="408C7BC8">
            <w:pPr>
              <w:pStyle w:val="13"/>
              <w:keepNext/>
              <w:spacing w:line="300" w:lineRule="exact"/>
              <w:ind w:left="0" w:leftChars="0"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设备品种</w:t>
            </w:r>
          </w:p>
        </w:tc>
        <w:tc>
          <w:tcPr>
            <w:tcW w:w="1418" w:type="dxa"/>
            <w:tcBorders>
              <w:top w:val="single" w:color="auto" w:sz="12" w:space="0"/>
              <w:bottom w:val="double" w:color="auto" w:sz="6" w:space="0"/>
            </w:tcBorders>
            <w:noWrap w:val="0"/>
            <w:vAlign w:val="center"/>
          </w:tcPr>
          <w:p w14:paraId="61394EAB">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规格型号</w:t>
            </w:r>
          </w:p>
        </w:tc>
        <w:tc>
          <w:tcPr>
            <w:tcW w:w="940" w:type="dxa"/>
            <w:tcBorders>
              <w:top w:val="single" w:color="auto" w:sz="12" w:space="0"/>
              <w:bottom w:val="double" w:color="auto" w:sz="6" w:space="0"/>
            </w:tcBorders>
            <w:noWrap w:val="0"/>
            <w:vAlign w:val="center"/>
          </w:tcPr>
          <w:p w14:paraId="5601AF03">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单位</w:t>
            </w:r>
          </w:p>
        </w:tc>
        <w:tc>
          <w:tcPr>
            <w:tcW w:w="851" w:type="dxa"/>
            <w:tcBorders>
              <w:top w:val="single" w:color="auto" w:sz="12" w:space="0"/>
              <w:bottom w:val="double" w:color="auto" w:sz="6" w:space="0"/>
            </w:tcBorders>
            <w:noWrap w:val="0"/>
            <w:vAlign w:val="center"/>
          </w:tcPr>
          <w:p w14:paraId="5D2DD75E">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数量</w:t>
            </w:r>
          </w:p>
        </w:tc>
        <w:tc>
          <w:tcPr>
            <w:tcW w:w="1044" w:type="dxa"/>
            <w:tcBorders>
              <w:top w:val="single" w:color="auto" w:sz="12" w:space="0"/>
              <w:bottom w:val="double" w:color="auto" w:sz="6" w:space="0"/>
            </w:tcBorders>
            <w:noWrap w:val="0"/>
            <w:vAlign w:val="center"/>
          </w:tcPr>
          <w:p w14:paraId="04F5828D">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单价</w:t>
            </w:r>
          </w:p>
          <w:p w14:paraId="0D865312">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992" w:type="dxa"/>
            <w:tcBorders>
              <w:top w:val="single" w:color="auto" w:sz="12" w:space="0"/>
              <w:bottom w:val="double" w:color="auto" w:sz="6" w:space="0"/>
            </w:tcBorders>
            <w:noWrap w:val="0"/>
            <w:vAlign w:val="center"/>
          </w:tcPr>
          <w:p w14:paraId="255BA5CF">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质量</w:t>
            </w:r>
          </w:p>
          <w:p w14:paraId="5F07DA98">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等级</w:t>
            </w:r>
          </w:p>
        </w:tc>
        <w:tc>
          <w:tcPr>
            <w:tcW w:w="851" w:type="dxa"/>
            <w:tcBorders>
              <w:top w:val="single" w:color="auto" w:sz="12" w:space="0"/>
              <w:bottom w:val="double" w:color="auto" w:sz="6" w:space="0"/>
            </w:tcBorders>
            <w:noWrap w:val="0"/>
            <w:vAlign w:val="center"/>
          </w:tcPr>
          <w:p w14:paraId="6C1B3749">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供应时间</w:t>
            </w:r>
          </w:p>
        </w:tc>
        <w:tc>
          <w:tcPr>
            <w:tcW w:w="1350" w:type="dxa"/>
            <w:tcBorders>
              <w:top w:val="single" w:color="auto" w:sz="12" w:space="0"/>
              <w:bottom w:val="double" w:color="auto" w:sz="6" w:space="0"/>
            </w:tcBorders>
            <w:noWrap w:val="0"/>
            <w:vAlign w:val="center"/>
          </w:tcPr>
          <w:p w14:paraId="7891A809">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送达地点</w:t>
            </w:r>
          </w:p>
        </w:tc>
        <w:tc>
          <w:tcPr>
            <w:tcW w:w="852" w:type="dxa"/>
            <w:tcBorders>
              <w:top w:val="single" w:color="auto" w:sz="12" w:space="0"/>
              <w:bottom w:val="double" w:color="auto" w:sz="6" w:space="0"/>
            </w:tcBorders>
            <w:noWrap w:val="0"/>
            <w:vAlign w:val="center"/>
          </w:tcPr>
          <w:p w14:paraId="08D2C7E3">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备注</w:t>
            </w:r>
          </w:p>
        </w:tc>
      </w:tr>
      <w:tr w14:paraId="03918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double" w:color="auto" w:sz="6" w:space="0"/>
              <w:bottom w:val="single" w:color="auto" w:sz="6" w:space="0"/>
            </w:tcBorders>
            <w:noWrap w:val="0"/>
            <w:vAlign w:val="center"/>
          </w:tcPr>
          <w:p w14:paraId="2C7F5E88">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tcBorders>
              <w:top w:val="double" w:color="auto" w:sz="6" w:space="0"/>
              <w:bottom w:val="single" w:color="auto" w:sz="6" w:space="0"/>
            </w:tcBorders>
            <w:noWrap w:val="0"/>
            <w:vAlign w:val="center"/>
          </w:tcPr>
          <w:p w14:paraId="10EC354D">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tcBorders>
              <w:top w:val="double" w:color="auto" w:sz="6" w:space="0"/>
              <w:bottom w:val="single" w:color="auto" w:sz="6" w:space="0"/>
            </w:tcBorders>
            <w:noWrap w:val="0"/>
            <w:vAlign w:val="center"/>
          </w:tcPr>
          <w:p w14:paraId="0671B535">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tcBorders>
              <w:top w:val="double" w:color="auto" w:sz="6" w:space="0"/>
              <w:bottom w:val="single" w:color="auto" w:sz="6" w:space="0"/>
            </w:tcBorders>
            <w:noWrap w:val="0"/>
            <w:vAlign w:val="center"/>
          </w:tcPr>
          <w:p w14:paraId="007BACB9">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double" w:color="auto" w:sz="6" w:space="0"/>
              <w:bottom w:val="single" w:color="auto" w:sz="6" w:space="0"/>
            </w:tcBorders>
            <w:noWrap w:val="0"/>
            <w:vAlign w:val="center"/>
          </w:tcPr>
          <w:p w14:paraId="68B58857">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tcBorders>
              <w:top w:val="double" w:color="auto" w:sz="6" w:space="0"/>
              <w:bottom w:val="single" w:color="auto" w:sz="6" w:space="0"/>
            </w:tcBorders>
            <w:noWrap w:val="0"/>
            <w:vAlign w:val="center"/>
          </w:tcPr>
          <w:p w14:paraId="0E4CAC1D">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tcBorders>
              <w:top w:val="double" w:color="auto" w:sz="6" w:space="0"/>
              <w:bottom w:val="single" w:color="auto" w:sz="6" w:space="0"/>
            </w:tcBorders>
            <w:noWrap w:val="0"/>
            <w:vAlign w:val="center"/>
          </w:tcPr>
          <w:p w14:paraId="7043F53E">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double" w:color="auto" w:sz="6" w:space="0"/>
              <w:bottom w:val="single" w:color="auto" w:sz="6" w:space="0"/>
            </w:tcBorders>
            <w:noWrap w:val="0"/>
            <w:vAlign w:val="center"/>
          </w:tcPr>
          <w:p w14:paraId="22D5FB8A">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tcBorders>
              <w:top w:val="double" w:color="auto" w:sz="6" w:space="0"/>
              <w:bottom w:val="single" w:color="auto" w:sz="6" w:space="0"/>
            </w:tcBorders>
            <w:noWrap w:val="0"/>
            <w:vAlign w:val="center"/>
          </w:tcPr>
          <w:p w14:paraId="53382485">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tcBorders>
              <w:top w:val="double" w:color="auto" w:sz="6" w:space="0"/>
              <w:bottom w:val="single" w:color="auto" w:sz="6" w:space="0"/>
            </w:tcBorders>
            <w:noWrap w:val="0"/>
            <w:vAlign w:val="center"/>
          </w:tcPr>
          <w:p w14:paraId="10BD902D">
            <w:pPr>
              <w:pStyle w:val="13"/>
              <w:keepNext/>
              <w:spacing w:line="440" w:lineRule="exact"/>
              <w:ind w:left="63" w:right="63"/>
              <w:rPr>
                <w:rFonts w:hint="eastAsia" w:ascii="华文中宋" w:hAnsi="华文中宋" w:eastAsia="华文中宋" w:cs="华文中宋"/>
                <w:color w:val="auto"/>
                <w:kern w:val="2"/>
                <w:sz w:val="30"/>
                <w:szCs w:val="30"/>
              </w:rPr>
            </w:pPr>
          </w:p>
        </w:tc>
      </w:tr>
      <w:tr w14:paraId="1CAB3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nil"/>
            </w:tcBorders>
            <w:noWrap w:val="0"/>
            <w:vAlign w:val="center"/>
          </w:tcPr>
          <w:p w14:paraId="45DCADC3">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tcBorders>
              <w:top w:val="nil"/>
            </w:tcBorders>
            <w:noWrap w:val="0"/>
            <w:vAlign w:val="center"/>
          </w:tcPr>
          <w:p w14:paraId="5B617D6E">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tcBorders>
              <w:top w:val="nil"/>
            </w:tcBorders>
            <w:noWrap w:val="0"/>
            <w:vAlign w:val="center"/>
          </w:tcPr>
          <w:p w14:paraId="4BF6FFB2">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tcBorders>
              <w:top w:val="nil"/>
            </w:tcBorders>
            <w:noWrap w:val="0"/>
            <w:vAlign w:val="center"/>
          </w:tcPr>
          <w:p w14:paraId="77EADE49">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nil"/>
            </w:tcBorders>
            <w:noWrap w:val="0"/>
            <w:vAlign w:val="center"/>
          </w:tcPr>
          <w:p w14:paraId="27440E2C">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tcBorders>
              <w:top w:val="nil"/>
            </w:tcBorders>
            <w:noWrap w:val="0"/>
            <w:vAlign w:val="center"/>
          </w:tcPr>
          <w:p w14:paraId="78BF0327">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tcBorders>
              <w:top w:val="nil"/>
            </w:tcBorders>
            <w:noWrap w:val="0"/>
            <w:vAlign w:val="center"/>
          </w:tcPr>
          <w:p w14:paraId="49A34F93">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nil"/>
            </w:tcBorders>
            <w:noWrap w:val="0"/>
            <w:vAlign w:val="center"/>
          </w:tcPr>
          <w:p w14:paraId="46E6DC2F">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tcBorders>
              <w:top w:val="nil"/>
            </w:tcBorders>
            <w:noWrap w:val="0"/>
            <w:vAlign w:val="center"/>
          </w:tcPr>
          <w:p w14:paraId="6ABCED3D">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tcBorders>
              <w:top w:val="nil"/>
            </w:tcBorders>
            <w:noWrap w:val="0"/>
            <w:vAlign w:val="center"/>
          </w:tcPr>
          <w:p w14:paraId="6AEAE006">
            <w:pPr>
              <w:pStyle w:val="13"/>
              <w:keepNext/>
              <w:spacing w:line="440" w:lineRule="exact"/>
              <w:ind w:left="63" w:right="63"/>
              <w:rPr>
                <w:rFonts w:hint="eastAsia" w:ascii="华文中宋" w:hAnsi="华文中宋" w:eastAsia="华文中宋" w:cs="华文中宋"/>
                <w:color w:val="auto"/>
                <w:kern w:val="2"/>
                <w:sz w:val="30"/>
                <w:szCs w:val="30"/>
              </w:rPr>
            </w:pPr>
          </w:p>
        </w:tc>
      </w:tr>
      <w:tr w14:paraId="76E68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FE533BE">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250E33CD">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61E69C4C">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0EA30E0">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DFD225C">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285909C2">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2B6AE75F">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0DD862DE">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2D0976AC">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1AB62F39">
            <w:pPr>
              <w:pStyle w:val="13"/>
              <w:keepNext/>
              <w:spacing w:line="440" w:lineRule="exact"/>
              <w:ind w:left="63" w:right="63"/>
              <w:rPr>
                <w:rFonts w:hint="eastAsia" w:ascii="华文中宋" w:hAnsi="华文中宋" w:eastAsia="华文中宋" w:cs="华文中宋"/>
                <w:color w:val="auto"/>
                <w:kern w:val="2"/>
                <w:sz w:val="30"/>
                <w:szCs w:val="30"/>
              </w:rPr>
            </w:pPr>
          </w:p>
        </w:tc>
      </w:tr>
      <w:tr w14:paraId="31216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01544479">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564CA5C3">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1AC28BE8">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6CCF5FE">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2A82F499">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10D90AC7">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095AE58A">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0C89F55B">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5A8DCCD9">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3D404BF5">
            <w:pPr>
              <w:pStyle w:val="13"/>
              <w:keepNext/>
              <w:spacing w:line="440" w:lineRule="exact"/>
              <w:ind w:left="63" w:right="63"/>
              <w:rPr>
                <w:rFonts w:hint="eastAsia" w:ascii="华文中宋" w:hAnsi="华文中宋" w:eastAsia="华文中宋" w:cs="华文中宋"/>
                <w:color w:val="auto"/>
                <w:kern w:val="2"/>
                <w:sz w:val="30"/>
                <w:szCs w:val="30"/>
              </w:rPr>
            </w:pPr>
          </w:p>
        </w:tc>
      </w:tr>
      <w:tr w14:paraId="6A653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5AB21D9">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0FE5958D">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745DB4D8">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FFD7E6F">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40AE0D11">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5C603E45">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3C1690CE">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5408D5F6">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7942D8BF">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4305F0FB">
            <w:pPr>
              <w:pStyle w:val="13"/>
              <w:keepNext/>
              <w:spacing w:line="440" w:lineRule="exact"/>
              <w:ind w:left="63" w:right="63"/>
              <w:rPr>
                <w:rFonts w:hint="eastAsia" w:ascii="华文中宋" w:hAnsi="华文中宋" w:eastAsia="华文中宋" w:cs="华文中宋"/>
                <w:color w:val="auto"/>
                <w:kern w:val="2"/>
                <w:sz w:val="30"/>
                <w:szCs w:val="30"/>
              </w:rPr>
            </w:pPr>
          </w:p>
        </w:tc>
      </w:tr>
      <w:tr w14:paraId="73FB9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4CC7230">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6B9971DF">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62710F6F">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28694CC0">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A2CA407">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473777D2">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223F64B2">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38F2F32">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5DADED50">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72FD418C">
            <w:pPr>
              <w:pStyle w:val="13"/>
              <w:keepNext/>
              <w:spacing w:line="440" w:lineRule="exact"/>
              <w:ind w:left="63" w:right="63"/>
              <w:rPr>
                <w:rFonts w:hint="eastAsia" w:ascii="华文中宋" w:hAnsi="华文中宋" w:eastAsia="华文中宋" w:cs="华文中宋"/>
                <w:color w:val="auto"/>
                <w:kern w:val="2"/>
                <w:sz w:val="30"/>
                <w:szCs w:val="30"/>
              </w:rPr>
            </w:pPr>
          </w:p>
        </w:tc>
      </w:tr>
      <w:tr w14:paraId="6767E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3BED87A">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4968F129">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16BEA3FC">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FD4E42B">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1D9AE3BF">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624FC757">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4D1258F5">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2212D6C8">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645F5263">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361F627F">
            <w:pPr>
              <w:pStyle w:val="13"/>
              <w:keepNext/>
              <w:spacing w:line="440" w:lineRule="exact"/>
              <w:ind w:left="63" w:right="63"/>
              <w:rPr>
                <w:rFonts w:hint="eastAsia" w:ascii="华文中宋" w:hAnsi="华文中宋" w:eastAsia="华文中宋" w:cs="华文中宋"/>
                <w:color w:val="auto"/>
                <w:kern w:val="2"/>
                <w:sz w:val="30"/>
                <w:szCs w:val="30"/>
              </w:rPr>
            </w:pPr>
          </w:p>
        </w:tc>
      </w:tr>
      <w:tr w14:paraId="339A6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23564BC1">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0523D9C8">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42B57BC0">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492B833B">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4F5943EC">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7C4A74C0">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5123B168">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5282937F">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35F3646F">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7F4F3B4A">
            <w:pPr>
              <w:pStyle w:val="13"/>
              <w:keepNext/>
              <w:spacing w:line="440" w:lineRule="exact"/>
              <w:ind w:left="63" w:right="63"/>
              <w:rPr>
                <w:rFonts w:hint="eastAsia" w:ascii="华文中宋" w:hAnsi="华文中宋" w:eastAsia="华文中宋" w:cs="华文中宋"/>
                <w:color w:val="auto"/>
                <w:kern w:val="2"/>
                <w:sz w:val="30"/>
                <w:szCs w:val="30"/>
              </w:rPr>
            </w:pPr>
          </w:p>
        </w:tc>
      </w:tr>
      <w:tr w14:paraId="3CFBB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287D386">
            <w:pPr>
              <w:jc w:val="center"/>
              <w:rPr>
                <w:rFonts w:hint="eastAsia" w:ascii="华文中宋" w:hAnsi="华文中宋" w:eastAsia="华文中宋" w:cs="华文中宋"/>
                <w:color w:val="auto"/>
                <w:sz w:val="30"/>
                <w:szCs w:val="30"/>
              </w:rPr>
            </w:pPr>
          </w:p>
        </w:tc>
        <w:tc>
          <w:tcPr>
            <w:tcW w:w="1276" w:type="dxa"/>
            <w:noWrap w:val="0"/>
            <w:vAlign w:val="center"/>
          </w:tcPr>
          <w:p w14:paraId="32C583C6">
            <w:pPr>
              <w:jc w:val="center"/>
              <w:rPr>
                <w:rFonts w:hint="eastAsia" w:ascii="华文中宋" w:hAnsi="华文中宋" w:eastAsia="华文中宋" w:cs="华文中宋"/>
                <w:color w:val="auto"/>
                <w:sz w:val="30"/>
                <w:szCs w:val="30"/>
              </w:rPr>
            </w:pPr>
          </w:p>
        </w:tc>
        <w:tc>
          <w:tcPr>
            <w:tcW w:w="1418" w:type="dxa"/>
            <w:noWrap w:val="0"/>
            <w:vAlign w:val="center"/>
          </w:tcPr>
          <w:p w14:paraId="319BF046">
            <w:pPr>
              <w:jc w:val="center"/>
              <w:rPr>
                <w:rFonts w:hint="eastAsia" w:ascii="华文中宋" w:hAnsi="华文中宋" w:eastAsia="华文中宋" w:cs="华文中宋"/>
                <w:color w:val="auto"/>
                <w:sz w:val="30"/>
                <w:szCs w:val="30"/>
              </w:rPr>
            </w:pPr>
          </w:p>
        </w:tc>
        <w:tc>
          <w:tcPr>
            <w:tcW w:w="940" w:type="dxa"/>
            <w:noWrap w:val="0"/>
            <w:vAlign w:val="center"/>
          </w:tcPr>
          <w:p w14:paraId="094E0350">
            <w:pPr>
              <w:jc w:val="center"/>
              <w:rPr>
                <w:rFonts w:hint="eastAsia" w:ascii="华文中宋" w:hAnsi="华文中宋" w:eastAsia="华文中宋" w:cs="华文中宋"/>
                <w:color w:val="auto"/>
                <w:sz w:val="30"/>
                <w:szCs w:val="30"/>
              </w:rPr>
            </w:pPr>
          </w:p>
        </w:tc>
        <w:tc>
          <w:tcPr>
            <w:tcW w:w="851" w:type="dxa"/>
            <w:noWrap w:val="0"/>
            <w:vAlign w:val="center"/>
          </w:tcPr>
          <w:p w14:paraId="60185C1F">
            <w:pPr>
              <w:jc w:val="center"/>
              <w:rPr>
                <w:rFonts w:hint="eastAsia" w:ascii="华文中宋" w:hAnsi="华文中宋" w:eastAsia="华文中宋" w:cs="华文中宋"/>
                <w:color w:val="auto"/>
                <w:sz w:val="30"/>
                <w:szCs w:val="30"/>
              </w:rPr>
            </w:pPr>
          </w:p>
        </w:tc>
        <w:tc>
          <w:tcPr>
            <w:tcW w:w="1044" w:type="dxa"/>
            <w:noWrap w:val="0"/>
            <w:vAlign w:val="center"/>
          </w:tcPr>
          <w:p w14:paraId="3B778673">
            <w:pPr>
              <w:jc w:val="center"/>
              <w:rPr>
                <w:rFonts w:hint="eastAsia" w:ascii="华文中宋" w:hAnsi="华文中宋" w:eastAsia="华文中宋" w:cs="华文中宋"/>
                <w:color w:val="auto"/>
                <w:sz w:val="30"/>
                <w:szCs w:val="30"/>
              </w:rPr>
            </w:pPr>
          </w:p>
        </w:tc>
        <w:tc>
          <w:tcPr>
            <w:tcW w:w="992" w:type="dxa"/>
            <w:noWrap w:val="0"/>
            <w:vAlign w:val="center"/>
          </w:tcPr>
          <w:p w14:paraId="441D344E">
            <w:pPr>
              <w:jc w:val="center"/>
              <w:rPr>
                <w:rFonts w:hint="eastAsia" w:ascii="华文中宋" w:hAnsi="华文中宋" w:eastAsia="华文中宋" w:cs="华文中宋"/>
                <w:color w:val="auto"/>
                <w:sz w:val="30"/>
                <w:szCs w:val="30"/>
              </w:rPr>
            </w:pPr>
          </w:p>
        </w:tc>
        <w:tc>
          <w:tcPr>
            <w:tcW w:w="851" w:type="dxa"/>
            <w:noWrap w:val="0"/>
            <w:vAlign w:val="center"/>
          </w:tcPr>
          <w:p w14:paraId="174F8DE9">
            <w:pPr>
              <w:jc w:val="center"/>
              <w:rPr>
                <w:rFonts w:hint="eastAsia" w:ascii="华文中宋" w:hAnsi="华文中宋" w:eastAsia="华文中宋" w:cs="华文中宋"/>
                <w:color w:val="auto"/>
                <w:sz w:val="30"/>
                <w:szCs w:val="30"/>
              </w:rPr>
            </w:pPr>
          </w:p>
        </w:tc>
        <w:tc>
          <w:tcPr>
            <w:tcW w:w="1350" w:type="dxa"/>
            <w:noWrap w:val="0"/>
            <w:vAlign w:val="center"/>
          </w:tcPr>
          <w:p w14:paraId="0C0BDD71">
            <w:pPr>
              <w:jc w:val="center"/>
              <w:rPr>
                <w:rFonts w:hint="eastAsia" w:ascii="华文中宋" w:hAnsi="华文中宋" w:eastAsia="华文中宋" w:cs="华文中宋"/>
                <w:color w:val="auto"/>
                <w:sz w:val="30"/>
                <w:szCs w:val="30"/>
              </w:rPr>
            </w:pPr>
          </w:p>
        </w:tc>
        <w:tc>
          <w:tcPr>
            <w:tcW w:w="852" w:type="dxa"/>
            <w:noWrap w:val="0"/>
            <w:vAlign w:val="center"/>
          </w:tcPr>
          <w:p w14:paraId="2AF46366">
            <w:pPr>
              <w:jc w:val="center"/>
              <w:rPr>
                <w:rFonts w:hint="eastAsia" w:ascii="华文中宋" w:hAnsi="华文中宋" w:eastAsia="华文中宋" w:cs="华文中宋"/>
                <w:color w:val="auto"/>
                <w:sz w:val="30"/>
                <w:szCs w:val="30"/>
              </w:rPr>
            </w:pPr>
          </w:p>
        </w:tc>
      </w:tr>
      <w:tr w14:paraId="67AA1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4D150F3">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575C5189">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4BC5336F">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83E0D33">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FE326D3">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1A892811">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0AB65718">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38F7BB65">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159E585F">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6B70C1DF">
            <w:pPr>
              <w:pStyle w:val="13"/>
              <w:keepNext/>
              <w:spacing w:line="440" w:lineRule="exact"/>
              <w:ind w:left="63" w:right="63"/>
              <w:rPr>
                <w:rFonts w:hint="eastAsia" w:ascii="华文中宋" w:hAnsi="华文中宋" w:eastAsia="华文中宋" w:cs="华文中宋"/>
                <w:color w:val="auto"/>
                <w:kern w:val="2"/>
                <w:sz w:val="30"/>
                <w:szCs w:val="30"/>
              </w:rPr>
            </w:pPr>
          </w:p>
        </w:tc>
      </w:tr>
      <w:tr w14:paraId="33C87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295ED404">
            <w:pPr>
              <w:jc w:val="center"/>
              <w:rPr>
                <w:rFonts w:hint="eastAsia" w:ascii="华文中宋" w:hAnsi="华文中宋" w:eastAsia="华文中宋" w:cs="华文中宋"/>
                <w:color w:val="auto"/>
                <w:sz w:val="30"/>
                <w:szCs w:val="30"/>
              </w:rPr>
            </w:pPr>
          </w:p>
        </w:tc>
        <w:tc>
          <w:tcPr>
            <w:tcW w:w="1276" w:type="dxa"/>
            <w:noWrap w:val="0"/>
            <w:vAlign w:val="center"/>
          </w:tcPr>
          <w:p w14:paraId="0B48EB9E">
            <w:pPr>
              <w:jc w:val="center"/>
              <w:rPr>
                <w:rFonts w:hint="eastAsia" w:ascii="华文中宋" w:hAnsi="华文中宋" w:eastAsia="华文中宋" w:cs="华文中宋"/>
                <w:color w:val="auto"/>
                <w:sz w:val="30"/>
                <w:szCs w:val="30"/>
              </w:rPr>
            </w:pPr>
          </w:p>
        </w:tc>
        <w:tc>
          <w:tcPr>
            <w:tcW w:w="1418" w:type="dxa"/>
            <w:noWrap w:val="0"/>
            <w:vAlign w:val="center"/>
          </w:tcPr>
          <w:p w14:paraId="75D7446C">
            <w:pPr>
              <w:jc w:val="center"/>
              <w:rPr>
                <w:rFonts w:hint="eastAsia" w:ascii="华文中宋" w:hAnsi="华文中宋" w:eastAsia="华文中宋" w:cs="华文中宋"/>
                <w:color w:val="auto"/>
                <w:sz w:val="30"/>
                <w:szCs w:val="30"/>
              </w:rPr>
            </w:pPr>
          </w:p>
        </w:tc>
        <w:tc>
          <w:tcPr>
            <w:tcW w:w="940" w:type="dxa"/>
            <w:noWrap w:val="0"/>
            <w:vAlign w:val="center"/>
          </w:tcPr>
          <w:p w14:paraId="46A9A144">
            <w:pPr>
              <w:jc w:val="center"/>
              <w:rPr>
                <w:rFonts w:hint="eastAsia" w:ascii="华文中宋" w:hAnsi="华文中宋" w:eastAsia="华文中宋" w:cs="华文中宋"/>
                <w:color w:val="auto"/>
                <w:sz w:val="30"/>
                <w:szCs w:val="30"/>
              </w:rPr>
            </w:pPr>
          </w:p>
        </w:tc>
        <w:tc>
          <w:tcPr>
            <w:tcW w:w="851" w:type="dxa"/>
            <w:noWrap w:val="0"/>
            <w:vAlign w:val="center"/>
          </w:tcPr>
          <w:p w14:paraId="038CF9B7">
            <w:pPr>
              <w:jc w:val="center"/>
              <w:rPr>
                <w:rFonts w:hint="eastAsia" w:ascii="华文中宋" w:hAnsi="华文中宋" w:eastAsia="华文中宋" w:cs="华文中宋"/>
                <w:color w:val="auto"/>
                <w:sz w:val="30"/>
                <w:szCs w:val="30"/>
              </w:rPr>
            </w:pPr>
          </w:p>
        </w:tc>
        <w:tc>
          <w:tcPr>
            <w:tcW w:w="1044" w:type="dxa"/>
            <w:noWrap w:val="0"/>
            <w:vAlign w:val="center"/>
          </w:tcPr>
          <w:p w14:paraId="3AC3365C">
            <w:pPr>
              <w:jc w:val="center"/>
              <w:rPr>
                <w:rFonts w:hint="eastAsia" w:ascii="华文中宋" w:hAnsi="华文中宋" w:eastAsia="华文中宋" w:cs="华文中宋"/>
                <w:color w:val="auto"/>
                <w:sz w:val="30"/>
                <w:szCs w:val="30"/>
              </w:rPr>
            </w:pPr>
          </w:p>
        </w:tc>
        <w:tc>
          <w:tcPr>
            <w:tcW w:w="992" w:type="dxa"/>
            <w:noWrap w:val="0"/>
            <w:vAlign w:val="center"/>
          </w:tcPr>
          <w:p w14:paraId="4D5375F5">
            <w:pPr>
              <w:jc w:val="center"/>
              <w:rPr>
                <w:rFonts w:hint="eastAsia" w:ascii="华文中宋" w:hAnsi="华文中宋" w:eastAsia="华文中宋" w:cs="华文中宋"/>
                <w:color w:val="auto"/>
                <w:sz w:val="30"/>
                <w:szCs w:val="30"/>
              </w:rPr>
            </w:pPr>
          </w:p>
        </w:tc>
        <w:tc>
          <w:tcPr>
            <w:tcW w:w="851" w:type="dxa"/>
            <w:noWrap w:val="0"/>
            <w:vAlign w:val="center"/>
          </w:tcPr>
          <w:p w14:paraId="79BA8B9D">
            <w:pPr>
              <w:jc w:val="center"/>
              <w:rPr>
                <w:rFonts w:hint="eastAsia" w:ascii="华文中宋" w:hAnsi="华文中宋" w:eastAsia="华文中宋" w:cs="华文中宋"/>
                <w:color w:val="auto"/>
                <w:sz w:val="30"/>
                <w:szCs w:val="30"/>
              </w:rPr>
            </w:pPr>
          </w:p>
        </w:tc>
        <w:tc>
          <w:tcPr>
            <w:tcW w:w="1350" w:type="dxa"/>
            <w:noWrap w:val="0"/>
            <w:vAlign w:val="center"/>
          </w:tcPr>
          <w:p w14:paraId="2484B5BF">
            <w:pPr>
              <w:jc w:val="center"/>
              <w:rPr>
                <w:rFonts w:hint="eastAsia" w:ascii="华文中宋" w:hAnsi="华文中宋" w:eastAsia="华文中宋" w:cs="华文中宋"/>
                <w:color w:val="auto"/>
                <w:sz w:val="30"/>
                <w:szCs w:val="30"/>
              </w:rPr>
            </w:pPr>
          </w:p>
        </w:tc>
        <w:tc>
          <w:tcPr>
            <w:tcW w:w="852" w:type="dxa"/>
            <w:noWrap w:val="0"/>
            <w:vAlign w:val="center"/>
          </w:tcPr>
          <w:p w14:paraId="51DE1CD6">
            <w:pPr>
              <w:jc w:val="center"/>
              <w:rPr>
                <w:rFonts w:hint="eastAsia" w:ascii="华文中宋" w:hAnsi="华文中宋" w:eastAsia="华文中宋" w:cs="华文中宋"/>
                <w:color w:val="auto"/>
                <w:sz w:val="30"/>
                <w:szCs w:val="30"/>
              </w:rPr>
            </w:pPr>
          </w:p>
        </w:tc>
      </w:tr>
      <w:tr w14:paraId="171AC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6887CEEE">
            <w:pPr>
              <w:jc w:val="center"/>
              <w:rPr>
                <w:rFonts w:hint="eastAsia" w:ascii="华文中宋" w:hAnsi="华文中宋" w:eastAsia="华文中宋" w:cs="华文中宋"/>
                <w:color w:val="auto"/>
                <w:sz w:val="30"/>
                <w:szCs w:val="30"/>
              </w:rPr>
            </w:pPr>
          </w:p>
        </w:tc>
        <w:tc>
          <w:tcPr>
            <w:tcW w:w="1276" w:type="dxa"/>
            <w:noWrap w:val="0"/>
            <w:vAlign w:val="center"/>
          </w:tcPr>
          <w:p w14:paraId="69FF5480">
            <w:pPr>
              <w:jc w:val="center"/>
              <w:rPr>
                <w:rFonts w:hint="eastAsia" w:ascii="华文中宋" w:hAnsi="华文中宋" w:eastAsia="华文中宋" w:cs="华文中宋"/>
                <w:color w:val="auto"/>
                <w:sz w:val="30"/>
                <w:szCs w:val="30"/>
              </w:rPr>
            </w:pPr>
          </w:p>
        </w:tc>
        <w:tc>
          <w:tcPr>
            <w:tcW w:w="1418" w:type="dxa"/>
            <w:noWrap w:val="0"/>
            <w:vAlign w:val="center"/>
          </w:tcPr>
          <w:p w14:paraId="56750C07">
            <w:pPr>
              <w:jc w:val="center"/>
              <w:rPr>
                <w:rFonts w:hint="eastAsia" w:ascii="华文中宋" w:hAnsi="华文中宋" w:eastAsia="华文中宋" w:cs="华文中宋"/>
                <w:color w:val="auto"/>
                <w:sz w:val="30"/>
                <w:szCs w:val="30"/>
              </w:rPr>
            </w:pPr>
          </w:p>
        </w:tc>
        <w:tc>
          <w:tcPr>
            <w:tcW w:w="940" w:type="dxa"/>
            <w:noWrap w:val="0"/>
            <w:vAlign w:val="center"/>
          </w:tcPr>
          <w:p w14:paraId="108CF955">
            <w:pPr>
              <w:jc w:val="center"/>
              <w:rPr>
                <w:rFonts w:hint="eastAsia" w:ascii="华文中宋" w:hAnsi="华文中宋" w:eastAsia="华文中宋" w:cs="华文中宋"/>
                <w:color w:val="auto"/>
                <w:sz w:val="30"/>
                <w:szCs w:val="30"/>
              </w:rPr>
            </w:pPr>
          </w:p>
        </w:tc>
        <w:tc>
          <w:tcPr>
            <w:tcW w:w="851" w:type="dxa"/>
            <w:noWrap w:val="0"/>
            <w:vAlign w:val="center"/>
          </w:tcPr>
          <w:p w14:paraId="116BC81B">
            <w:pPr>
              <w:jc w:val="center"/>
              <w:rPr>
                <w:rFonts w:hint="eastAsia" w:ascii="华文中宋" w:hAnsi="华文中宋" w:eastAsia="华文中宋" w:cs="华文中宋"/>
                <w:color w:val="auto"/>
                <w:sz w:val="30"/>
                <w:szCs w:val="30"/>
              </w:rPr>
            </w:pPr>
          </w:p>
        </w:tc>
        <w:tc>
          <w:tcPr>
            <w:tcW w:w="1044" w:type="dxa"/>
            <w:noWrap w:val="0"/>
            <w:vAlign w:val="center"/>
          </w:tcPr>
          <w:p w14:paraId="1579F8D9">
            <w:pPr>
              <w:jc w:val="center"/>
              <w:rPr>
                <w:rFonts w:hint="eastAsia" w:ascii="华文中宋" w:hAnsi="华文中宋" w:eastAsia="华文中宋" w:cs="华文中宋"/>
                <w:color w:val="auto"/>
                <w:sz w:val="30"/>
                <w:szCs w:val="30"/>
              </w:rPr>
            </w:pPr>
          </w:p>
        </w:tc>
        <w:tc>
          <w:tcPr>
            <w:tcW w:w="992" w:type="dxa"/>
            <w:noWrap w:val="0"/>
            <w:vAlign w:val="center"/>
          </w:tcPr>
          <w:p w14:paraId="44CEB946">
            <w:pPr>
              <w:jc w:val="center"/>
              <w:rPr>
                <w:rFonts w:hint="eastAsia" w:ascii="华文中宋" w:hAnsi="华文中宋" w:eastAsia="华文中宋" w:cs="华文中宋"/>
                <w:color w:val="auto"/>
                <w:sz w:val="30"/>
                <w:szCs w:val="30"/>
              </w:rPr>
            </w:pPr>
          </w:p>
        </w:tc>
        <w:tc>
          <w:tcPr>
            <w:tcW w:w="851" w:type="dxa"/>
            <w:noWrap w:val="0"/>
            <w:vAlign w:val="center"/>
          </w:tcPr>
          <w:p w14:paraId="58908BD4">
            <w:pPr>
              <w:jc w:val="center"/>
              <w:rPr>
                <w:rFonts w:hint="eastAsia" w:ascii="华文中宋" w:hAnsi="华文中宋" w:eastAsia="华文中宋" w:cs="华文中宋"/>
                <w:color w:val="auto"/>
                <w:sz w:val="30"/>
                <w:szCs w:val="30"/>
              </w:rPr>
            </w:pPr>
          </w:p>
        </w:tc>
        <w:tc>
          <w:tcPr>
            <w:tcW w:w="1350" w:type="dxa"/>
            <w:noWrap w:val="0"/>
            <w:vAlign w:val="center"/>
          </w:tcPr>
          <w:p w14:paraId="2FF40B53">
            <w:pPr>
              <w:jc w:val="center"/>
              <w:rPr>
                <w:rFonts w:hint="eastAsia" w:ascii="华文中宋" w:hAnsi="华文中宋" w:eastAsia="华文中宋" w:cs="华文中宋"/>
                <w:color w:val="auto"/>
                <w:sz w:val="30"/>
                <w:szCs w:val="30"/>
              </w:rPr>
            </w:pPr>
          </w:p>
        </w:tc>
        <w:tc>
          <w:tcPr>
            <w:tcW w:w="852" w:type="dxa"/>
            <w:noWrap w:val="0"/>
            <w:vAlign w:val="center"/>
          </w:tcPr>
          <w:p w14:paraId="35BCC776">
            <w:pPr>
              <w:jc w:val="center"/>
              <w:rPr>
                <w:rFonts w:hint="eastAsia" w:ascii="华文中宋" w:hAnsi="华文中宋" w:eastAsia="华文中宋" w:cs="华文中宋"/>
                <w:color w:val="auto"/>
                <w:sz w:val="30"/>
                <w:szCs w:val="30"/>
              </w:rPr>
            </w:pPr>
          </w:p>
        </w:tc>
      </w:tr>
      <w:tr w14:paraId="2D43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2801A6B0">
            <w:pPr>
              <w:jc w:val="center"/>
              <w:rPr>
                <w:rFonts w:hint="eastAsia" w:ascii="华文中宋" w:hAnsi="华文中宋" w:eastAsia="华文中宋" w:cs="华文中宋"/>
                <w:color w:val="auto"/>
                <w:sz w:val="30"/>
                <w:szCs w:val="30"/>
              </w:rPr>
            </w:pPr>
          </w:p>
        </w:tc>
        <w:tc>
          <w:tcPr>
            <w:tcW w:w="1276" w:type="dxa"/>
            <w:noWrap w:val="0"/>
            <w:vAlign w:val="center"/>
          </w:tcPr>
          <w:p w14:paraId="6C37E3F8">
            <w:pPr>
              <w:jc w:val="center"/>
              <w:rPr>
                <w:rFonts w:hint="eastAsia" w:ascii="华文中宋" w:hAnsi="华文中宋" w:eastAsia="华文中宋" w:cs="华文中宋"/>
                <w:color w:val="auto"/>
                <w:sz w:val="30"/>
                <w:szCs w:val="30"/>
              </w:rPr>
            </w:pPr>
          </w:p>
        </w:tc>
        <w:tc>
          <w:tcPr>
            <w:tcW w:w="1418" w:type="dxa"/>
            <w:noWrap w:val="0"/>
            <w:vAlign w:val="center"/>
          </w:tcPr>
          <w:p w14:paraId="5865A63D">
            <w:pPr>
              <w:jc w:val="center"/>
              <w:rPr>
                <w:rFonts w:hint="eastAsia" w:ascii="华文中宋" w:hAnsi="华文中宋" w:eastAsia="华文中宋" w:cs="华文中宋"/>
                <w:color w:val="auto"/>
                <w:sz w:val="30"/>
                <w:szCs w:val="30"/>
              </w:rPr>
            </w:pPr>
          </w:p>
        </w:tc>
        <w:tc>
          <w:tcPr>
            <w:tcW w:w="940" w:type="dxa"/>
            <w:noWrap w:val="0"/>
            <w:vAlign w:val="center"/>
          </w:tcPr>
          <w:p w14:paraId="10052189">
            <w:pPr>
              <w:jc w:val="center"/>
              <w:rPr>
                <w:rFonts w:hint="eastAsia" w:ascii="华文中宋" w:hAnsi="华文中宋" w:eastAsia="华文中宋" w:cs="华文中宋"/>
                <w:color w:val="auto"/>
                <w:sz w:val="30"/>
                <w:szCs w:val="30"/>
              </w:rPr>
            </w:pPr>
          </w:p>
        </w:tc>
        <w:tc>
          <w:tcPr>
            <w:tcW w:w="851" w:type="dxa"/>
            <w:noWrap w:val="0"/>
            <w:vAlign w:val="center"/>
          </w:tcPr>
          <w:p w14:paraId="428C67C2">
            <w:pPr>
              <w:jc w:val="center"/>
              <w:rPr>
                <w:rFonts w:hint="eastAsia" w:ascii="华文中宋" w:hAnsi="华文中宋" w:eastAsia="华文中宋" w:cs="华文中宋"/>
                <w:color w:val="auto"/>
                <w:sz w:val="30"/>
                <w:szCs w:val="30"/>
              </w:rPr>
            </w:pPr>
          </w:p>
        </w:tc>
        <w:tc>
          <w:tcPr>
            <w:tcW w:w="1044" w:type="dxa"/>
            <w:noWrap w:val="0"/>
            <w:vAlign w:val="center"/>
          </w:tcPr>
          <w:p w14:paraId="49E8BCDD">
            <w:pPr>
              <w:jc w:val="center"/>
              <w:rPr>
                <w:rFonts w:hint="eastAsia" w:ascii="华文中宋" w:hAnsi="华文中宋" w:eastAsia="华文中宋" w:cs="华文中宋"/>
                <w:color w:val="auto"/>
                <w:sz w:val="30"/>
                <w:szCs w:val="30"/>
              </w:rPr>
            </w:pPr>
          </w:p>
        </w:tc>
        <w:tc>
          <w:tcPr>
            <w:tcW w:w="992" w:type="dxa"/>
            <w:noWrap w:val="0"/>
            <w:vAlign w:val="center"/>
          </w:tcPr>
          <w:p w14:paraId="2CFAE1BD">
            <w:pPr>
              <w:jc w:val="center"/>
              <w:rPr>
                <w:rFonts w:hint="eastAsia" w:ascii="华文中宋" w:hAnsi="华文中宋" w:eastAsia="华文中宋" w:cs="华文中宋"/>
                <w:color w:val="auto"/>
                <w:sz w:val="30"/>
                <w:szCs w:val="30"/>
              </w:rPr>
            </w:pPr>
          </w:p>
        </w:tc>
        <w:tc>
          <w:tcPr>
            <w:tcW w:w="851" w:type="dxa"/>
            <w:noWrap w:val="0"/>
            <w:vAlign w:val="center"/>
          </w:tcPr>
          <w:p w14:paraId="4A2F6BBB">
            <w:pPr>
              <w:jc w:val="center"/>
              <w:rPr>
                <w:rFonts w:hint="eastAsia" w:ascii="华文中宋" w:hAnsi="华文中宋" w:eastAsia="华文中宋" w:cs="华文中宋"/>
                <w:color w:val="auto"/>
                <w:sz w:val="30"/>
                <w:szCs w:val="30"/>
              </w:rPr>
            </w:pPr>
          </w:p>
        </w:tc>
        <w:tc>
          <w:tcPr>
            <w:tcW w:w="1350" w:type="dxa"/>
            <w:noWrap w:val="0"/>
            <w:vAlign w:val="center"/>
          </w:tcPr>
          <w:p w14:paraId="6673B665">
            <w:pPr>
              <w:jc w:val="center"/>
              <w:rPr>
                <w:rFonts w:hint="eastAsia" w:ascii="华文中宋" w:hAnsi="华文中宋" w:eastAsia="华文中宋" w:cs="华文中宋"/>
                <w:color w:val="auto"/>
                <w:sz w:val="30"/>
                <w:szCs w:val="30"/>
              </w:rPr>
            </w:pPr>
          </w:p>
        </w:tc>
        <w:tc>
          <w:tcPr>
            <w:tcW w:w="852" w:type="dxa"/>
            <w:noWrap w:val="0"/>
            <w:vAlign w:val="center"/>
          </w:tcPr>
          <w:p w14:paraId="24AA0A14">
            <w:pPr>
              <w:jc w:val="center"/>
              <w:rPr>
                <w:rFonts w:hint="eastAsia" w:ascii="华文中宋" w:hAnsi="华文中宋" w:eastAsia="华文中宋" w:cs="华文中宋"/>
                <w:color w:val="auto"/>
                <w:sz w:val="30"/>
                <w:szCs w:val="30"/>
              </w:rPr>
            </w:pPr>
          </w:p>
        </w:tc>
      </w:tr>
      <w:tr w14:paraId="337C2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4B50280">
            <w:pPr>
              <w:jc w:val="center"/>
              <w:rPr>
                <w:rFonts w:hint="eastAsia" w:ascii="华文中宋" w:hAnsi="华文中宋" w:eastAsia="华文中宋" w:cs="华文中宋"/>
                <w:color w:val="auto"/>
                <w:sz w:val="30"/>
                <w:szCs w:val="30"/>
              </w:rPr>
            </w:pPr>
          </w:p>
        </w:tc>
        <w:tc>
          <w:tcPr>
            <w:tcW w:w="1276" w:type="dxa"/>
            <w:noWrap w:val="0"/>
            <w:vAlign w:val="center"/>
          </w:tcPr>
          <w:p w14:paraId="010F639F">
            <w:pPr>
              <w:jc w:val="center"/>
              <w:rPr>
                <w:rFonts w:hint="eastAsia" w:ascii="华文中宋" w:hAnsi="华文中宋" w:eastAsia="华文中宋" w:cs="华文中宋"/>
                <w:color w:val="auto"/>
                <w:sz w:val="30"/>
                <w:szCs w:val="30"/>
              </w:rPr>
            </w:pPr>
          </w:p>
        </w:tc>
        <w:tc>
          <w:tcPr>
            <w:tcW w:w="1418" w:type="dxa"/>
            <w:noWrap w:val="0"/>
            <w:vAlign w:val="center"/>
          </w:tcPr>
          <w:p w14:paraId="37BB6AEB">
            <w:pPr>
              <w:jc w:val="center"/>
              <w:rPr>
                <w:rFonts w:hint="eastAsia" w:ascii="华文中宋" w:hAnsi="华文中宋" w:eastAsia="华文中宋" w:cs="华文中宋"/>
                <w:color w:val="auto"/>
                <w:sz w:val="30"/>
                <w:szCs w:val="30"/>
              </w:rPr>
            </w:pPr>
          </w:p>
        </w:tc>
        <w:tc>
          <w:tcPr>
            <w:tcW w:w="940" w:type="dxa"/>
            <w:noWrap w:val="0"/>
            <w:vAlign w:val="center"/>
          </w:tcPr>
          <w:p w14:paraId="54285945">
            <w:pPr>
              <w:jc w:val="center"/>
              <w:rPr>
                <w:rFonts w:hint="eastAsia" w:ascii="华文中宋" w:hAnsi="华文中宋" w:eastAsia="华文中宋" w:cs="华文中宋"/>
                <w:color w:val="auto"/>
                <w:sz w:val="30"/>
                <w:szCs w:val="30"/>
              </w:rPr>
            </w:pPr>
          </w:p>
        </w:tc>
        <w:tc>
          <w:tcPr>
            <w:tcW w:w="851" w:type="dxa"/>
            <w:noWrap w:val="0"/>
            <w:vAlign w:val="center"/>
          </w:tcPr>
          <w:p w14:paraId="2EC0A555">
            <w:pPr>
              <w:jc w:val="center"/>
              <w:rPr>
                <w:rFonts w:hint="eastAsia" w:ascii="华文中宋" w:hAnsi="华文中宋" w:eastAsia="华文中宋" w:cs="华文中宋"/>
                <w:color w:val="auto"/>
                <w:sz w:val="30"/>
                <w:szCs w:val="30"/>
              </w:rPr>
            </w:pPr>
          </w:p>
        </w:tc>
        <w:tc>
          <w:tcPr>
            <w:tcW w:w="1044" w:type="dxa"/>
            <w:noWrap w:val="0"/>
            <w:vAlign w:val="center"/>
          </w:tcPr>
          <w:p w14:paraId="49E5A2FF">
            <w:pPr>
              <w:jc w:val="center"/>
              <w:rPr>
                <w:rFonts w:hint="eastAsia" w:ascii="华文中宋" w:hAnsi="华文中宋" w:eastAsia="华文中宋" w:cs="华文中宋"/>
                <w:color w:val="auto"/>
                <w:sz w:val="30"/>
                <w:szCs w:val="30"/>
              </w:rPr>
            </w:pPr>
          </w:p>
        </w:tc>
        <w:tc>
          <w:tcPr>
            <w:tcW w:w="992" w:type="dxa"/>
            <w:noWrap w:val="0"/>
            <w:vAlign w:val="center"/>
          </w:tcPr>
          <w:p w14:paraId="67DEF3D3">
            <w:pPr>
              <w:jc w:val="center"/>
              <w:rPr>
                <w:rFonts w:hint="eastAsia" w:ascii="华文中宋" w:hAnsi="华文中宋" w:eastAsia="华文中宋" w:cs="华文中宋"/>
                <w:color w:val="auto"/>
                <w:sz w:val="30"/>
                <w:szCs w:val="30"/>
              </w:rPr>
            </w:pPr>
          </w:p>
        </w:tc>
        <w:tc>
          <w:tcPr>
            <w:tcW w:w="851" w:type="dxa"/>
            <w:noWrap w:val="0"/>
            <w:vAlign w:val="center"/>
          </w:tcPr>
          <w:p w14:paraId="2118C934">
            <w:pPr>
              <w:jc w:val="center"/>
              <w:rPr>
                <w:rFonts w:hint="eastAsia" w:ascii="华文中宋" w:hAnsi="华文中宋" w:eastAsia="华文中宋" w:cs="华文中宋"/>
                <w:color w:val="auto"/>
                <w:sz w:val="30"/>
                <w:szCs w:val="30"/>
              </w:rPr>
            </w:pPr>
          </w:p>
        </w:tc>
        <w:tc>
          <w:tcPr>
            <w:tcW w:w="1350" w:type="dxa"/>
            <w:noWrap w:val="0"/>
            <w:vAlign w:val="center"/>
          </w:tcPr>
          <w:p w14:paraId="621F009B">
            <w:pPr>
              <w:jc w:val="center"/>
              <w:rPr>
                <w:rFonts w:hint="eastAsia" w:ascii="华文中宋" w:hAnsi="华文中宋" w:eastAsia="华文中宋" w:cs="华文中宋"/>
                <w:color w:val="auto"/>
                <w:sz w:val="30"/>
                <w:szCs w:val="30"/>
              </w:rPr>
            </w:pPr>
          </w:p>
        </w:tc>
        <w:tc>
          <w:tcPr>
            <w:tcW w:w="852" w:type="dxa"/>
            <w:noWrap w:val="0"/>
            <w:vAlign w:val="center"/>
          </w:tcPr>
          <w:p w14:paraId="0A956560">
            <w:pPr>
              <w:jc w:val="center"/>
              <w:rPr>
                <w:rFonts w:hint="eastAsia" w:ascii="华文中宋" w:hAnsi="华文中宋" w:eastAsia="华文中宋" w:cs="华文中宋"/>
                <w:color w:val="auto"/>
                <w:sz w:val="30"/>
                <w:szCs w:val="30"/>
              </w:rPr>
            </w:pPr>
          </w:p>
        </w:tc>
      </w:tr>
      <w:tr w14:paraId="0CF9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AE434C6">
            <w:pPr>
              <w:jc w:val="center"/>
              <w:rPr>
                <w:rFonts w:hint="eastAsia" w:ascii="华文中宋" w:hAnsi="华文中宋" w:eastAsia="华文中宋" w:cs="华文中宋"/>
                <w:color w:val="auto"/>
                <w:sz w:val="30"/>
                <w:szCs w:val="30"/>
              </w:rPr>
            </w:pPr>
          </w:p>
        </w:tc>
        <w:tc>
          <w:tcPr>
            <w:tcW w:w="1276" w:type="dxa"/>
            <w:noWrap w:val="0"/>
            <w:vAlign w:val="center"/>
          </w:tcPr>
          <w:p w14:paraId="5D48EF0D">
            <w:pPr>
              <w:jc w:val="center"/>
              <w:rPr>
                <w:rFonts w:hint="eastAsia" w:ascii="华文中宋" w:hAnsi="华文中宋" w:eastAsia="华文中宋" w:cs="华文中宋"/>
                <w:color w:val="auto"/>
                <w:sz w:val="30"/>
                <w:szCs w:val="30"/>
              </w:rPr>
            </w:pPr>
          </w:p>
        </w:tc>
        <w:tc>
          <w:tcPr>
            <w:tcW w:w="1418" w:type="dxa"/>
            <w:noWrap w:val="0"/>
            <w:vAlign w:val="center"/>
          </w:tcPr>
          <w:p w14:paraId="5FB9D277">
            <w:pPr>
              <w:jc w:val="center"/>
              <w:rPr>
                <w:rFonts w:hint="eastAsia" w:ascii="华文中宋" w:hAnsi="华文中宋" w:eastAsia="华文中宋" w:cs="华文中宋"/>
                <w:color w:val="auto"/>
                <w:sz w:val="30"/>
                <w:szCs w:val="30"/>
              </w:rPr>
            </w:pPr>
          </w:p>
        </w:tc>
        <w:tc>
          <w:tcPr>
            <w:tcW w:w="940" w:type="dxa"/>
            <w:noWrap w:val="0"/>
            <w:vAlign w:val="center"/>
          </w:tcPr>
          <w:p w14:paraId="74D2986B">
            <w:pPr>
              <w:jc w:val="center"/>
              <w:rPr>
                <w:rFonts w:hint="eastAsia" w:ascii="华文中宋" w:hAnsi="华文中宋" w:eastAsia="华文中宋" w:cs="华文中宋"/>
                <w:color w:val="auto"/>
                <w:sz w:val="30"/>
                <w:szCs w:val="30"/>
              </w:rPr>
            </w:pPr>
          </w:p>
        </w:tc>
        <w:tc>
          <w:tcPr>
            <w:tcW w:w="851" w:type="dxa"/>
            <w:noWrap w:val="0"/>
            <w:vAlign w:val="center"/>
          </w:tcPr>
          <w:p w14:paraId="4F770CD2">
            <w:pPr>
              <w:jc w:val="center"/>
              <w:rPr>
                <w:rFonts w:hint="eastAsia" w:ascii="华文中宋" w:hAnsi="华文中宋" w:eastAsia="华文中宋" w:cs="华文中宋"/>
                <w:color w:val="auto"/>
                <w:sz w:val="30"/>
                <w:szCs w:val="30"/>
              </w:rPr>
            </w:pPr>
          </w:p>
        </w:tc>
        <w:tc>
          <w:tcPr>
            <w:tcW w:w="1044" w:type="dxa"/>
            <w:noWrap w:val="0"/>
            <w:vAlign w:val="center"/>
          </w:tcPr>
          <w:p w14:paraId="58421135">
            <w:pPr>
              <w:jc w:val="center"/>
              <w:rPr>
                <w:rFonts w:hint="eastAsia" w:ascii="华文中宋" w:hAnsi="华文中宋" w:eastAsia="华文中宋" w:cs="华文中宋"/>
                <w:color w:val="auto"/>
                <w:sz w:val="30"/>
                <w:szCs w:val="30"/>
              </w:rPr>
            </w:pPr>
          </w:p>
        </w:tc>
        <w:tc>
          <w:tcPr>
            <w:tcW w:w="992" w:type="dxa"/>
            <w:noWrap w:val="0"/>
            <w:vAlign w:val="center"/>
          </w:tcPr>
          <w:p w14:paraId="676D4248">
            <w:pPr>
              <w:jc w:val="center"/>
              <w:rPr>
                <w:rFonts w:hint="eastAsia" w:ascii="华文中宋" w:hAnsi="华文中宋" w:eastAsia="华文中宋" w:cs="华文中宋"/>
                <w:color w:val="auto"/>
                <w:sz w:val="30"/>
                <w:szCs w:val="30"/>
              </w:rPr>
            </w:pPr>
          </w:p>
        </w:tc>
        <w:tc>
          <w:tcPr>
            <w:tcW w:w="851" w:type="dxa"/>
            <w:noWrap w:val="0"/>
            <w:vAlign w:val="center"/>
          </w:tcPr>
          <w:p w14:paraId="4BED5740">
            <w:pPr>
              <w:jc w:val="center"/>
              <w:rPr>
                <w:rFonts w:hint="eastAsia" w:ascii="华文中宋" w:hAnsi="华文中宋" w:eastAsia="华文中宋" w:cs="华文中宋"/>
                <w:color w:val="auto"/>
                <w:sz w:val="30"/>
                <w:szCs w:val="30"/>
              </w:rPr>
            </w:pPr>
          </w:p>
        </w:tc>
        <w:tc>
          <w:tcPr>
            <w:tcW w:w="1350" w:type="dxa"/>
            <w:noWrap w:val="0"/>
            <w:vAlign w:val="center"/>
          </w:tcPr>
          <w:p w14:paraId="617CFB2A">
            <w:pPr>
              <w:jc w:val="center"/>
              <w:rPr>
                <w:rFonts w:hint="eastAsia" w:ascii="华文中宋" w:hAnsi="华文中宋" w:eastAsia="华文中宋" w:cs="华文中宋"/>
                <w:color w:val="auto"/>
                <w:sz w:val="30"/>
                <w:szCs w:val="30"/>
              </w:rPr>
            </w:pPr>
          </w:p>
        </w:tc>
        <w:tc>
          <w:tcPr>
            <w:tcW w:w="852" w:type="dxa"/>
            <w:noWrap w:val="0"/>
            <w:vAlign w:val="center"/>
          </w:tcPr>
          <w:p w14:paraId="43E9FAA2">
            <w:pPr>
              <w:jc w:val="center"/>
              <w:rPr>
                <w:rFonts w:hint="eastAsia" w:ascii="华文中宋" w:hAnsi="华文中宋" w:eastAsia="华文中宋" w:cs="华文中宋"/>
                <w:color w:val="auto"/>
                <w:sz w:val="30"/>
                <w:szCs w:val="30"/>
              </w:rPr>
            </w:pPr>
          </w:p>
        </w:tc>
      </w:tr>
      <w:tr w14:paraId="390B2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88CD65B">
            <w:pPr>
              <w:jc w:val="center"/>
              <w:rPr>
                <w:rFonts w:hint="eastAsia" w:ascii="华文中宋" w:hAnsi="华文中宋" w:eastAsia="华文中宋" w:cs="华文中宋"/>
                <w:color w:val="auto"/>
                <w:sz w:val="30"/>
                <w:szCs w:val="30"/>
              </w:rPr>
            </w:pPr>
          </w:p>
        </w:tc>
        <w:tc>
          <w:tcPr>
            <w:tcW w:w="1276" w:type="dxa"/>
            <w:noWrap w:val="0"/>
            <w:vAlign w:val="center"/>
          </w:tcPr>
          <w:p w14:paraId="16E32390">
            <w:pPr>
              <w:jc w:val="center"/>
              <w:rPr>
                <w:rFonts w:hint="eastAsia" w:ascii="华文中宋" w:hAnsi="华文中宋" w:eastAsia="华文中宋" w:cs="华文中宋"/>
                <w:color w:val="auto"/>
                <w:sz w:val="30"/>
                <w:szCs w:val="30"/>
              </w:rPr>
            </w:pPr>
          </w:p>
        </w:tc>
        <w:tc>
          <w:tcPr>
            <w:tcW w:w="1418" w:type="dxa"/>
            <w:noWrap w:val="0"/>
            <w:vAlign w:val="center"/>
          </w:tcPr>
          <w:p w14:paraId="27DD16BF">
            <w:pPr>
              <w:jc w:val="center"/>
              <w:rPr>
                <w:rFonts w:hint="eastAsia" w:ascii="华文中宋" w:hAnsi="华文中宋" w:eastAsia="华文中宋" w:cs="华文中宋"/>
                <w:color w:val="auto"/>
                <w:sz w:val="30"/>
                <w:szCs w:val="30"/>
              </w:rPr>
            </w:pPr>
          </w:p>
        </w:tc>
        <w:tc>
          <w:tcPr>
            <w:tcW w:w="940" w:type="dxa"/>
            <w:noWrap w:val="0"/>
            <w:vAlign w:val="center"/>
          </w:tcPr>
          <w:p w14:paraId="01B37DCF">
            <w:pPr>
              <w:jc w:val="center"/>
              <w:rPr>
                <w:rFonts w:hint="eastAsia" w:ascii="华文中宋" w:hAnsi="华文中宋" w:eastAsia="华文中宋" w:cs="华文中宋"/>
                <w:color w:val="auto"/>
                <w:sz w:val="30"/>
                <w:szCs w:val="30"/>
              </w:rPr>
            </w:pPr>
          </w:p>
        </w:tc>
        <w:tc>
          <w:tcPr>
            <w:tcW w:w="851" w:type="dxa"/>
            <w:noWrap w:val="0"/>
            <w:vAlign w:val="center"/>
          </w:tcPr>
          <w:p w14:paraId="40C48840">
            <w:pPr>
              <w:jc w:val="center"/>
              <w:rPr>
                <w:rFonts w:hint="eastAsia" w:ascii="华文中宋" w:hAnsi="华文中宋" w:eastAsia="华文中宋" w:cs="华文中宋"/>
                <w:color w:val="auto"/>
                <w:sz w:val="30"/>
                <w:szCs w:val="30"/>
              </w:rPr>
            </w:pPr>
          </w:p>
        </w:tc>
        <w:tc>
          <w:tcPr>
            <w:tcW w:w="1044" w:type="dxa"/>
            <w:noWrap w:val="0"/>
            <w:vAlign w:val="center"/>
          </w:tcPr>
          <w:p w14:paraId="0F7C2879">
            <w:pPr>
              <w:jc w:val="center"/>
              <w:rPr>
                <w:rFonts w:hint="eastAsia" w:ascii="华文中宋" w:hAnsi="华文中宋" w:eastAsia="华文中宋" w:cs="华文中宋"/>
                <w:color w:val="auto"/>
                <w:sz w:val="30"/>
                <w:szCs w:val="30"/>
              </w:rPr>
            </w:pPr>
          </w:p>
        </w:tc>
        <w:tc>
          <w:tcPr>
            <w:tcW w:w="992" w:type="dxa"/>
            <w:noWrap w:val="0"/>
            <w:vAlign w:val="center"/>
          </w:tcPr>
          <w:p w14:paraId="6551AD72">
            <w:pPr>
              <w:jc w:val="center"/>
              <w:rPr>
                <w:rFonts w:hint="eastAsia" w:ascii="华文中宋" w:hAnsi="华文中宋" w:eastAsia="华文中宋" w:cs="华文中宋"/>
                <w:color w:val="auto"/>
                <w:sz w:val="30"/>
                <w:szCs w:val="30"/>
              </w:rPr>
            </w:pPr>
          </w:p>
        </w:tc>
        <w:tc>
          <w:tcPr>
            <w:tcW w:w="851" w:type="dxa"/>
            <w:noWrap w:val="0"/>
            <w:vAlign w:val="center"/>
          </w:tcPr>
          <w:p w14:paraId="42101C47">
            <w:pPr>
              <w:jc w:val="center"/>
              <w:rPr>
                <w:rFonts w:hint="eastAsia" w:ascii="华文中宋" w:hAnsi="华文中宋" w:eastAsia="华文中宋" w:cs="华文中宋"/>
                <w:color w:val="auto"/>
                <w:sz w:val="30"/>
                <w:szCs w:val="30"/>
              </w:rPr>
            </w:pPr>
          </w:p>
        </w:tc>
        <w:tc>
          <w:tcPr>
            <w:tcW w:w="1350" w:type="dxa"/>
            <w:noWrap w:val="0"/>
            <w:vAlign w:val="center"/>
          </w:tcPr>
          <w:p w14:paraId="633016FC">
            <w:pPr>
              <w:jc w:val="center"/>
              <w:rPr>
                <w:rFonts w:hint="eastAsia" w:ascii="华文中宋" w:hAnsi="华文中宋" w:eastAsia="华文中宋" w:cs="华文中宋"/>
                <w:color w:val="auto"/>
                <w:sz w:val="30"/>
                <w:szCs w:val="30"/>
              </w:rPr>
            </w:pPr>
          </w:p>
        </w:tc>
        <w:tc>
          <w:tcPr>
            <w:tcW w:w="852" w:type="dxa"/>
            <w:noWrap w:val="0"/>
            <w:vAlign w:val="center"/>
          </w:tcPr>
          <w:p w14:paraId="078F98DB">
            <w:pPr>
              <w:jc w:val="center"/>
              <w:rPr>
                <w:rFonts w:hint="eastAsia" w:ascii="华文中宋" w:hAnsi="华文中宋" w:eastAsia="华文中宋" w:cs="华文中宋"/>
                <w:color w:val="auto"/>
                <w:sz w:val="30"/>
                <w:szCs w:val="30"/>
              </w:rPr>
            </w:pPr>
          </w:p>
        </w:tc>
      </w:tr>
      <w:tr w14:paraId="0F23A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83B1904">
            <w:pPr>
              <w:jc w:val="center"/>
              <w:rPr>
                <w:rFonts w:hint="eastAsia" w:ascii="华文中宋" w:hAnsi="华文中宋" w:eastAsia="华文中宋" w:cs="华文中宋"/>
                <w:color w:val="auto"/>
                <w:sz w:val="30"/>
                <w:szCs w:val="30"/>
              </w:rPr>
            </w:pPr>
          </w:p>
        </w:tc>
        <w:tc>
          <w:tcPr>
            <w:tcW w:w="1276" w:type="dxa"/>
            <w:noWrap w:val="0"/>
            <w:vAlign w:val="center"/>
          </w:tcPr>
          <w:p w14:paraId="1A5D5871">
            <w:pPr>
              <w:jc w:val="center"/>
              <w:rPr>
                <w:rFonts w:hint="eastAsia" w:ascii="华文中宋" w:hAnsi="华文中宋" w:eastAsia="华文中宋" w:cs="华文中宋"/>
                <w:color w:val="auto"/>
                <w:sz w:val="30"/>
                <w:szCs w:val="30"/>
              </w:rPr>
            </w:pPr>
          </w:p>
        </w:tc>
        <w:tc>
          <w:tcPr>
            <w:tcW w:w="1418" w:type="dxa"/>
            <w:noWrap w:val="0"/>
            <w:vAlign w:val="center"/>
          </w:tcPr>
          <w:p w14:paraId="4C3CFB18">
            <w:pPr>
              <w:jc w:val="center"/>
              <w:rPr>
                <w:rFonts w:hint="eastAsia" w:ascii="华文中宋" w:hAnsi="华文中宋" w:eastAsia="华文中宋" w:cs="华文中宋"/>
                <w:color w:val="auto"/>
                <w:sz w:val="30"/>
                <w:szCs w:val="30"/>
              </w:rPr>
            </w:pPr>
          </w:p>
        </w:tc>
        <w:tc>
          <w:tcPr>
            <w:tcW w:w="940" w:type="dxa"/>
            <w:noWrap w:val="0"/>
            <w:vAlign w:val="center"/>
          </w:tcPr>
          <w:p w14:paraId="512E7F70">
            <w:pPr>
              <w:jc w:val="center"/>
              <w:rPr>
                <w:rFonts w:hint="eastAsia" w:ascii="华文中宋" w:hAnsi="华文中宋" w:eastAsia="华文中宋" w:cs="华文中宋"/>
                <w:color w:val="auto"/>
                <w:sz w:val="30"/>
                <w:szCs w:val="30"/>
              </w:rPr>
            </w:pPr>
          </w:p>
        </w:tc>
        <w:tc>
          <w:tcPr>
            <w:tcW w:w="851" w:type="dxa"/>
            <w:noWrap w:val="0"/>
            <w:vAlign w:val="center"/>
          </w:tcPr>
          <w:p w14:paraId="6A7974C9">
            <w:pPr>
              <w:jc w:val="center"/>
              <w:rPr>
                <w:rFonts w:hint="eastAsia" w:ascii="华文中宋" w:hAnsi="华文中宋" w:eastAsia="华文中宋" w:cs="华文中宋"/>
                <w:color w:val="auto"/>
                <w:sz w:val="30"/>
                <w:szCs w:val="30"/>
              </w:rPr>
            </w:pPr>
          </w:p>
        </w:tc>
        <w:tc>
          <w:tcPr>
            <w:tcW w:w="1044" w:type="dxa"/>
            <w:noWrap w:val="0"/>
            <w:vAlign w:val="center"/>
          </w:tcPr>
          <w:p w14:paraId="4DE18EC4">
            <w:pPr>
              <w:jc w:val="center"/>
              <w:rPr>
                <w:rFonts w:hint="eastAsia" w:ascii="华文中宋" w:hAnsi="华文中宋" w:eastAsia="华文中宋" w:cs="华文中宋"/>
                <w:color w:val="auto"/>
                <w:sz w:val="30"/>
                <w:szCs w:val="30"/>
              </w:rPr>
            </w:pPr>
          </w:p>
        </w:tc>
        <w:tc>
          <w:tcPr>
            <w:tcW w:w="992" w:type="dxa"/>
            <w:noWrap w:val="0"/>
            <w:vAlign w:val="center"/>
          </w:tcPr>
          <w:p w14:paraId="10669311">
            <w:pPr>
              <w:jc w:val="center"/>
              <w:rPr>
                <w:rFonts w:hint="eastAsia" w:ascii="华文中宋" w:hAnsi="华文中宋" w:eastAsia="华文中宋" w:cs="华文中宋"/>
                <w:color w:val="auto"/>
                <w:sz w:val="30"/>
                <w:szCs w:val="30"/>
              </w:rPr>
            </w:pPr>
          </w:p>
        </w:tc>
        <w:tc>
          <w:tcPr>
            <w:tcW w:w="851" w:type="dxa"/>
            <w:noWrap w:val="0"/>
            <w:vAlign w:val="center"/>
          </w:tcPr>
          <w:p w14:paraId="45BF42B8">
            <w:pPr>
              <w:jc w:val="center"/>
              <w:rPr>
                <w:rFonts w:hint="eastAsia" w:ascii="华文中宋" w:hAnsi="华文中宋" w:eastAsia="华文中宋" w:cs="华文中宋"/>
                <w:color w:val="auto"/>
                <w:sz w:val="30"/>
                <w:szCs w:val="30"/>
              </w:rPr>
            </w:pPr>
          </w:p>
        </w:tc>
        <w:tc>
          <w:tcPr>
            <w:tcW w:w="1350" w:type="dxa"/>
            <w:noWrap w:val="0"/>
            <w:vAlign w:val="center"/>
          </w:tcPr>
          <w:p w14:paraId="244A2B4B">
            <w:pPr>
              <w:jc w:val="center"/>
              <w:rPr>
                <w:rFonts w:hint="eastAsia" w:ascii="华文中宋" w:hAnsi="华文中宋" w:eastAsia="华文中宋" w:cs="华文中宋"/>
                <w:color w:val="auto"/>
                <w:sz w:val="30"/>
                <w:szCs w:val="30"/>
              </w:rPr>
            </w:pPr>
          </w:p>
        </w:tc>
        <w:tc>
          <w:tcPr>
            <w:tcW w:w="852" w:type="dxa"/>
            <w:noWrap w:val="0"/>
            <w:vAlign w:val="center"/>
          </w:tcPr>
          <w:p w14:paraId="01407AB5">
            <w:pPr>
              <w:jc w:val="center"/>
              <w:rPr>
                <w:rFonts w:hint="eastAsia" w:ascii="华文中宋" w:hAnsi="华文中宋" w:eastAsia="华文中宋" w:cs="华文中宋"/>
                <w:color w:val="auto"/>
                <w:sz w:val="30"/>
                <w:szCs w:val="30"/>
              </w:rPr>
            </w:pPr>
          </w:p>
        </w:tc>
      </w:tr>
      <w:tr w14:paraId="66F77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0E0B2A69">
            <w:pPr>
              <w:jc w:val="center"/>
              <w:rPr>
                <w:rFonts w:hint="eastAsia" w:ascii="华文中宋" w:hAnsi="华文中宋" w:eastAsia="华文中宋" w:cs="华文中宋"/>
                <w:color w:val="auto"/>
                <w:sz w:val="30"/>
                <w:szCs w:val="30"/>
              </w:rPr>
            </w:pPr>
          </w:p>
        </w:tc>
        <w:tc>
          <w:tcPr>
            <w:tcW w:w="1276" w:type="dxa"/>
            <w:noWrap w:val="0"/>
            <w:vAlign w:val="center"/>
          </w:tcPr>
          <w:p w14:paraId="5B22261E">
            <w:pPr>
              <w:jc w:val="center"/>
              <w:rPr>
                <w:rFonts w:hint="eastAsia" w:ascii="华文中宋" w:hAnsi="华文中宋" w:eastAsia="华文中宋" w:cs="华文中宋"/>
                <w:color w:val="auto"/>
                <w:sz w:val="30"/>
                <w:szCs w:val="30"/>
              </w:rPr>
            </w:pPr>
          </w:p>
        </w:tc>
        <w:tc>
          <w:tcPr>
            <w:tcW w:w="1418" w:type="dxa"/>
            <w:noWrap w:val="0"/>
            <w:vAlign w:val="center"/>
          </w:tcPr>
          <w:p w14:paraId="187D7F8C">
            <w:pPr>
              <w:jc w:val="center"/>
              <w:rPr>
                <w:rFonts w:hint="eastAsia" w:ascii="华文中宋" w:hAnsi="华文中宋" w:eastAsia="华文中宋" w:cs="华文中宋"/>
                <w:color w:val="auto"/>
                <w:sz w:val="30"/>
                <w:szCs w:val="30"/>
              </w:rPr>
            </w:pPr>
          </w:p>
        </w:tc>
        <w:tc>
          <w:tcPr>
            <w:tcW w:w="940" w:type="dxa"/>
            <w:noWrap w:val="0"/>
            <w:vAlign w:val="center"/>
          </w:tcPr>
          <w:p w14:paraId="30A04727">
            <w:pPr>
              <w:jc w:val="center"/>
              <w:rPr>
                <w:rFonts w:hint="eastAsia" w:ascii="华文中宋" w:hAnsi="华文中宋" w:eastAsia="华文中宋" w:cs="华文中宋"/>
                <w:color w:val="auto"/>
                <w:sz w:val="30"/>
                <w:szCs w:val="30"/>
              </w:rPr>
            </w:pPr>
          </w:p>
        </w:tc>
        <w:tc>
          <w:tcPr>
            <w:tcW w:w="851" w:type="dxa"/>
            <w:noWrap w:val="0"/>
            <w:vAlign w:val="center"/>
          </w:tcPr>
          <w:p w14:paraId="4DADE575">
            <w:pPr>
              <w:jc w:val="center"/>
              <w:rPr>
                <w:rFonts w:hint="eastAsia" w:ascii="华文中宋" w:hAnsi="华文中宋" w:eastAsia="华文中宋" w:cs="华文中宋"/>
                <w:color w:val="auto"/>
                <w:sz w:val="30"/>
                <w:szCs w:val="30"/>
              </w:rPr>
            </w:pPr>
          </w:p>
        </w:tc>
        <w:tc>
          <w:tcPr>
            <w:tcW w:w="1044" w:type="dxa"/>
            <w:noWrap w:val="0"/>
            <w:vAlign w:val="center"/>
          </w:tcPr>
          <w:p w14:paraId="65BA005B">
            <w:pPr>
              <w:jc w:val="center"/>
              <w:rPr>
                <w:rFonts w:hint="eastAsia" w:ascii="华文中宋" w:hAnsi="华文中宋" w:eastAsia="华文中宋" w:cs="华文中宋"/>
                <w:color w:val="auto"/>
                <w:sz w:val="30"/>
                <w:szCs w:val="30"/>
              </w:rPr>
            </w:pPr>
          </w:p>
        </w:tc>
        <w:tc>
          <w:tcPr>
            <w:tcW w:w="992" w:type="dxa"/>
            <w:noWrap w:val="0"/>
            <w:vAlign w:val="center"/>
          </w:tcPr>
          <w:p w14:paraId="68AE66D3">
            <w:pPr>
              <w:jc w:val="center"/>
              <w:rPr>
                <w:rFonts w:hint="eastAsia" w:ascii="华文中宋" w:hAnsi="华文中宋" w:eastAsia="华文中宋" w:cs="华文中宋"/>
                <w:color w:val="auto"/>
                <w:sz w:val="30"/>
                <w:szCs w:val="30"/>
              </w:rPr>
            </w:pPr>
          </w:p>
        </w:tc>
        <w:tc>
          <w:tcPr>
            <w:tcW w:w="851" w:type="dxa"/>
            <w:noWrap w:val="0"/>
            <w:vAlign w:val="center"/>
          </w:tcPr>
          <w:p w14:paraId="04E9A3ED">
            <w:pPr>
              <w:jc w:val="center"/>
              <w:rPr>
                <w:rFonts w:hint="eastAsia" w:ascii="华文中宋" w:hAnsi="华文中宋" w:eastAsia="华文中宋" w:cs="华文中宋"/>
                <w:color w:val="auto"/>
                <w:sz w:val="30"/>
                <w:szCs w:val="30"/>
              </w:rPr>
            </w:pPr>
          </w:p>
        </w:tc>
        <w:tc>
          <w:tcPr>
            <w:tcW w:w="1350" w:type="dxa"/>
            <w:noWrap w:val="0"/>
            <w:vAlign w:val="center"/>
          </w:tcPr>
          <w:p w14:paraId="70EE50D7">
            <w:pPr>
              <w:jc w:val="center"/>
              <w:rPr>
                <w:rFonts w:hint="eastAsia" w:ascii="华文中宋" w:hAnsi="华文中宋" w:eastAsia="华文中宋" w:cs="华文中宋"/>
                <w:color w:val="auto"/>
                <w:sz w:val="30"/>
                <w:szCs w:val="30"/>
              </w:rPr>
            </w:pPr>
          </w:p>
        </w:tc>
        <w:tc>
          <w:tcPr>
            <w:tcW w:w="852" w:type="dxa"/>
            <w:noWrap w:val="0"/>
            <w:vAlign w:val="center"/>
          </w:tcPr>
          <w:p w14:paraId="601C305A">
            <w:pPr>
              <w:jc w:val="center"/>
              <w:rPr>
                <w:rFonts w:hint="eastAsia" w:ascii="华文中宋" w:hAnsi="华文中宋" w:eastAsia="华文中宋" w:cs="华文中宋"/>
                <w:color w:val="auto"/>
                <w:sz w:val="30"/>
                <w:szCs w:val="30"/>
              </w:rPr>
            </w:pPr>
          </w:p>
        </w:tc>
      </w:tr>
      <w:tr w14:paraId="283D0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8C1C7CD">
            <w:pPr>
              <w:jc w:val="center"/>
              <w:rPr>
                <w:rFonts w:hint="eastAsia" w:ascii="华文中宋" w:hAnsi="华文中宋" w:eastAsia="华文中宋" w:cs="华文中宋"/>
                <w:color w:val="auto"/>
                <w:sz w:val="30"/>
                <w:szCs w:val="30"/>
              </w:rPr>
            </w:pPr>
          </w:p>
        </w:tc>
        <w:tc>
          <w:tcPr>
            <w:tcW w:w="1276" w:type="dxa"/>
            <w:noWrap w:val="0"/>
            <w:vAlign w:val="center"/>
          </w:tcPr>
          <w:p w14:paraId="6935F543">
            <w:pPr>
              <w:jc w:val="center"/>
              <w:rPr>
                <w:rFonts w:hint="eastAsia" w:ascii="华文中宋" w:hAnsi="华文中宋" w:eastAsia="华文中宋" w:cs="华文中宋"/>
                <w:color w:val="auto"/>
                <w:sz w:val="30"/>
                <w:szCs w:val="30"/>
              </w:rPr>
            </w:pPr>
          </w:p>
        </w:tc>
        <w:tc>
          <w:tcPr>
            <w:tcW w:w="1418" w:type="dxa"/>
            <w:noWrap w:val="0"/>
            <w:vAlign w:val="center"/>
          </w:tcPr>
          <w:p w14:paraId="41A63030">
            <w:pPr>
              <w:jc w:val="center"/>
              <w:rPr>
                <w:rFonts w:hint="eastAsia" w:ascii="华文中宋" w:hAnsi="华文中宋" w:eastAsia="华文中宋" w:cs="华文中宋"/>
                <w:color w:val="auto"/>
                <w:sz w:val="30"/>
                <w:szCs w:val="30"/>
              </w:rPr>
            </w:pPr>
          </w:p>
        </w:tc>
        <w:tc>
          <w:tcPr>
            <w:tcW w:w="940" w:type="dxa"/>
            <w:noWrap w:val="0"/>
            <w:vAlign w:val="center"/>
          </w:tcPr>
          <w:p w14:paraId="2B844448">
            <w:pPr>
              <w:jc w:val="center"/>
              <w:rPr>
                <w:rFonts w:hint="eastAsia" w:ascii="华文中宋" w:hAnsi="华文中宋" w:eastAsia="华文中宋" w:cs="华文中宋"/>
                <w:color w:val="auto"/>
                <w:sz w:val="30"/>
                <w:szCs w:val="30"/>
              </w:rPr>
            </w:pPr>
          </w:p>
        </w:tc>
        <w:tc>
          <w:tcPr>
            <w:tcW w:w="851" w:type="dxa"/>
            <w:noWrap w:val="0"/>
            <w:vAlign w:val="center"/>
          </w:tcPr>
          <w:p w14:paraId="6C901BEA">
            <w:pPr>
              <w:jc w:val="center"/>
              <w:rPr>
                <w:rFonts w:hint="eastAsia" w:ascii="华文中宋" w:hAnsi="华文中宋" w:eastAsia="华文中宋" w:cs="华文中宋"/>
                <w:color w:val="auto"/>
                <w:sz w:val="30"/>
                <w:szCs w:val="30"/>
              </w:rPr>
            </w:pPr>
          </w:p>
        </w:tc>
        <w:tc>
          <w:tcPr>
            <w:tcW w:w="1044" w:type="dxa"/>
            <w:noWrap w:val="0"/>
            <w:vAlign w:val="center"/>
          </w:tcPr>
          <w:p w14:paraId="6029829B">
            <w:pPr>
              <w:jc w:val="center"/>
              <w:rPr>
                <w:rFonts w:hint="eastAsia" w:ascii="华文中宋" w:hAnsi="华文中宋" w:eastAsia="华文中宋" w:cs="华文中宋"/>
                <w:color w:val="auto"/>
                <w:sz w:val="30"/>
                <w:szCs w:val="30"/>
              </w:rPr>
            </w:pPr>
          </w:p>
        </w:tc>
        <w:tc>
          <w:tcPr>
            <w:tcW w:w="992" w:type="dxa"/>
            <w:noWrap w:val="0"/>
            <w:vAlign w:val="center"/>
          </w:tcPr>
          <w:p w14:paraId="35D277EE">
            <w:pPr>
              <w:jc w:val="center"/>
              <w:rPr>
                <w:rFonts w:hint="eastAsia" w:ascii="华文中宋" w:hAnsi="华文中宋" w:eastAsia="华文中宋" w:cs="华文中宋"/>
                <w:color w:val="auto"/>
                <w:sz w:val="30"/>
                <w:szCs w:val="30"/>
              </w:rPr>
            </w:pPr>
          </w:p>
        </w:tc>
        <w:tc>
          <w:tcPr>
            <w:tcW w:w="851" w:type="dxa"/>
            <w:noWrap w:val="0"/>
            <w:vAlign w:val="center"/>
          </w:tcPr>
          <w:p w14:paraId="4D20B4D8">
            <w:pPr>
              <w:jc w:val="center"/>
              <w:rPr>
                <w:rFonts w:hint="eastAsia" w:ascii="华文中宋" w:hAnsi="华文中宋" w:eastAsia="华文中宋" w:cs="华文中宋"/>
                <w:color w:val="auto"/>
                <w:sz w:val="30"/>
                <w:szCs w:val="30"/>
              </w:rPr>
            </w:pPr>
          </w:p>
        </w:tc>
        <w:tc>
          <w:tcPr>
            <w:tcW w:w="1350" w:type="dxa"/>
            <w:noWrap w:val="0"/>
            <w:vAlign w:val="center"/>
          </w:tcPr>
          <w:p w14:paraId="16F0D715">
            <w:pPr>
              <w:jc w:val="center"/>
              <w:rPr>
                <w:rFonts w:hint="eastAsia" w:ascii="华文中宋" w:hAnsi="华文中宋" w:eastAsia="华文中宋" w:cs="华文中宋"/>
                <w:color w:val="auto"/>
                <w:sz w:val="30"/>
                <w:szCs w:val="30"/>
              </w:rPr>
            </w:pPr>
          </w:p>
        </w:tc>
        <w:tc>
          <w:tcPr>
            <w:tcW w:w="852" w:type="dxa"/>
            <w:noWrap w:val="0"/>
            <w:vAlign w:val="center"/>
          </w:tcPr>
          <w:p w14:paraId="7FF98045">
            <w:pPr>
              <w:jc w:val="center"/>
              <w:rPr>
                <w:rFonts w:hint="eastAsia" w:ascii="华文中宋" w:hAnsi="华文中宋" w:eastAsia="华文中宋" w:cs="华文中宋"/>
                <w:color w:val="auto"/>
                <w:sz w:val="30"/>
                <w:szCs w:val="30"/>
              </w:rPr>
            </w:pPr>
          </w:p>
        </w:tc>
      </w:tr>
      <w:tr w14:paraId="4374D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089B44D4">
            <w:pPr>
              <w:jc w:val="center"/>
              <w:rPr>
                <w:rFonts w:hint="eastAsia" w:ascii="华文中宋" w:hAnsi="华文中宋" w:eastAsia="华文中宋" w:cs="华文中宋"/>
                <w:color w:val="auto"/>
                <w:sz w:val="30"/>
                <w:szCs w:val="30"/>
              </w:rPr>
            </w:pPr>
          </w:p>
        </w:tc>
        <w:tc>
          <w:tcPr>
            <w:tcW w:w="1276" w:type="dxa"/>
            <w:noWrap w:val="0"/>
            <w:vAlign w:val="center"/>
          </w:tcPr>
          <w:p w14:paraId="5AB9E57B">
            <w:pPr>
              <w:jc w:val="center"/>
              <w:rPr>
                <w:rFonts w:hint="eastAsia" w:ascii="华文中宋" w:hAnsi="华文中宋" w:eastAsia="华文中宋" w:cs="华文中宋"/>
                <w:color w:val="auto"/>
                <w:sz w:val="30"/>
                <w:szCs w:val="30"/>
              </w:rPr>
            </w:pPr>
          </w:p>
        </w:tc>
        <w:tc>
          <w:tcPr>
            <w:tcW w:w="1418" w:type="dxa"/>
            <w:noWrap w:val="0"/>
            <w:vAlign w:val="center"/>
          </w:tcPr>
          <w:p w14:paraId="50BE6332">
            <w:pPr>
              <w:jc w:val="center"/>
              <w:rPr>
                <w:rFonts w:hint="eastAsia" w:ascii="华文中宋" w:hAnsi="华文中宋" w:eastAsia="华文中宋" w:cs="华文中宋"/>
                <w:color w:val="auto"/>
                <w:sz w:val="30"/>
                <w:szCs w:val="30"/>
              </w:rPr>
            </w:pPr>
          </w:p>
        </w:tc>
        <w:tc>
          <w:tcPr>
            <w:tcW w:w="940" w:type="dxa"/>
            <w:noWrap w:val="0"/>
            <w:vAlign w:val="center"/>
          </w:tcPr>
          <w:p w14:paraId="4542DA93">
            <w:pPr>
              <w:jc w:val="center"/>
              <w:rPr>
                <w:rFonts w:hint="eastAsia" w:ascii="华文中宋" w:hAnsi="华文中宋" w:eastAsia="华文中宋" w:cs="华文中宋"/>
                <w:color w:val="auto"/>
                <w:sz w:val="30"/>
                <w:szCs w:val="30"/>
              </w:rPr>
            </w:pPr>
          </w:p>
        </w:tc>
        <w:tc>
          <w:tcPr>
            <w:tcW w:w="851" w:type="dxa"/>
            <w:noWrap w:val="0"/>
            <w:vAlign w:val="center"/>
          </w:tcPr>
          <w:p w14:paraId="5B1ED511">
            <w:pPr>
              <w:jc w:val="center"/>
              <w:rPr>
                <w:rFonts w:hint="eastAsia" w:ascii="华文中宋" w:hAnsi="华文中宋" w:eastAsia="华文中宋" w:cs="华文中宋"/>
                <w:color w:val="auto"/>
                <w:sz w:val="30"/>
                <w:szCs w:val="30"/>
              </w:rPr>
            </w:pPr>
          </w:p>
        </w:tc>
        <w:tc>
          <w:tcPr>
            <w:tcW w:w="1044" w:type="dxa"/>
            <w:noWrap w:val="0"/>
            <w:vAlign w:val="center"/>
          </w:tcPr>
          <w:p w14:paraId="145260C4">
            <w:pPr>
              <w:jc w:val="center"/>
              <w:rPr>
                <w:rFonts w:hint="eastAsia" w:ascii="华文中宋" w:hAnsi="华文中宋" w:eastAsia="华文中宋" w:cs="华文中宋"/>
                <w:color w:val="auto"/>
                <w:sz w:val="30"/>
                <w:szCs w:val="30"/>
              </w:rPr>
            </w:pPr>
          </w:p>
        </w:tc>
        <w:tc>
          <w:tcPr>
            <w:tcW w:w="992" w:type="dxa"/>
            <w:noWrap w:val="0"/>
            <w:vAlign w:val="center"/>
          </w:tcPr>
          <w:p w14:paraId="49FE1F56">
            <w:pPr>
              <w:jc w:val="center"/>
              <w:rPr>
                <w:rFonts w:hint="eastAsia" w:ascii="华文中宋" w:hAnsi="华文中宋" w:eastAsia="华文中宋" w:cs="华文中宋"/>
                <w:color w:val="auto"/>
                <w:sz w:val="30"/>
                <w:szCs w:val="30"/>
              </w:rPr>
            </w:pPr>
          </w:p>
        </w:tc>
        <w:tc>
          <w:tcPr>
            <w:tcW w:w="851" w:type="dxa"/>
            <w:noWrap w:val="0"/>
            <w:vAlign w:val="center"/>
          </w:tcPr>
          <w:p w14:paraId="56880B4D">
            <w:pPr>
              <w:jc w:val="center"/>
              <w:rPr>
                <w:rFonts w:hint="eastAsia" w:ascii="华文中宋" w:hAnsi="华文中宋" w:eastAsia="华文中宋" w:cs="华文中宋"/>
                <w:color w:val="auto"/>
                <w:sz w:val="30"/>
                <w:szCs w:val="30"/>
              </w:rPr>
            </w:pPr>
          </w:p>
        </w:tc>
        <w:tc>
          <w:tcPr>
            <w:tcW w:w="1350" w:type="dxa"/>
            <w:noWrap w:val="0"/>
            <w:vAlign w:val="center"/>
          </w:tcPr>
          <w:p w14:paraId="03BFBC1C">
            <w:pPr>
              <w:jc w:val="center"/>
              <w:rPr>
                <w:rFonts w:hint="eastAsia" w:ascii="华文中宋" w:hAnsi="华文中宋" w:eastAsia="华文中宋" w:cs="华文中宋"/>
                <w:color w:val="auto"/>
                <w:sz w:val="30"/>
                <w:szCs w:val="30"/>
              </w:rPr>
            </w:pPr>
          </w:p>
        </w:tc>
        <w:tc>
          <w:tcPr>
            <w:tcW w:w="852" w:type="dxa"/>
            <w:noWrap w:val="0"/>
            <w:vAlign w:val="center"/>
          </w:tcPr>
          <w:p w14:paraId="0682387E">
            <w:pPr>
              <w:jc w:val="center"/>
              <w:rPr>
                <w:rFonts w:hint="eastAsia" w:ascii="华文中宋" w:hAnsi="华文中宋" w:eastAsia="华文中宋" w:cs="华文中宋"/>
                <w:color w:val="auto"/>
                <w:sz w:val="30"/>
                <w:szCs w:val="30"/>
              </w:rPr>
            </w:pPr>
          </w:p>
        </w:tc>
      </w:tr>
    </w:tbl>
    <w:p w14:paraId="4ADB0243">
      <w:pPr>
        <w:spacing w:line="440" w:lineRule="exact"/>
        <w:rPr>
          <w:rFonts w:hint="eastAsia" w:ascii="华文中宋" w:hAnsi="华文中宋" w:eastAsia="华文中宋" w:cs="华文中宋"/>
          <w:color w:val="auto"/>
          <w:sz w:val="30"/>
          <w:szCs w:val="30"/>
        </w:rPr>
        <w:sectPr>
          <w:pgSz w:w="11906" w:h="16838"/>
          <w:pgMar w:top="1418" w:right="1304" w:bottom="1418" w:left="1304" w:header="851" w:footer="992" w:gutter="0"/>
          <w:pgNumType w:fmt="decimal"/>
          <w:cols w:space="720" w:num="1"/>
          <w:titlePg/>
          <w:docGrid w:linePitch="312" w:charSpace="0"/>
        </w:sectPr>
      </w:pPr>
    </w:p>
    <w:p w14:paraId="2A6288C1">
      <w:pPr>
        <w:spacing w:line="44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w:t>
      </w:r>
      <w:bookmarkStart w:id="1111" w:name="_Toc296503226"/>
      <w:bookmarkStart w:id="1112" w:name="_Toc296346727"/>
      <w:bookmarkStart w:id="1113" w:name="_Toc296347225"/>
      <w:bookmarkStart w:id="1114" w:name="_Toc267261693"/>
      <w:bookmarkStart w:id="1115" w:name="_Toc296891266"/>
      <w:bookmarkStart w:id="1116" w:name="_Toc296944565"/>
      <w:bookmarkStart w:id="1117" w:name="_Toc296891054"/>
      <w:r>
        <w:rPr>
          <w:rFonts w:hint="eastAsia" w:ascii="华文中宋" w:hAnsi="华文中宋" w:eastAsia="华文中宋" w:cs="华文中宋"/>
          <w:color w:val="auto"/>
          <w:sz w:val="24"/>
          <w:szCs w:val="24"/>
        </w:rPr>
        <w:t>件3</w:t>
      </w:r>
      <w:bookmarkEnd w:id="1111"/>
      <w:bookmarkEnd w:id="1112"/>
      <w:bookmarkEnd w:id="1113"/>
      <w:bookmarkEnd w:id="1114"/>
      <w:bookmarkEnd w:id="1115"/>
      <w:bookmarkEnd w:id="1116"/>
      <w:bookmarkEnd w:id="1117"/>
      <w:r>
        <w:rPr>
          <w:rFonts w:hint="eastAsia" w:ascii="华文中宋" w:hAnsi="华文中宋" w:eastAsia="华文中宋" w:cs="华文中宋"/>
          <w:color w:val="auto"/>
          <w:sz w:val="24"/>
          <w:szCs w:val="24"/>
        </w:rPr>
        <w:t>：</w:t>
      </w:r>
    </w:p>
    <w:p w14:paraId="1D2BFB2A">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pacing w:val="100"/>
          <w:sz w:val="24"/>
          <w:szCs w:val="24"/>
        </w:rPr>
        <w:t>工程质量保修</w:t>
      </w:r>
      <w:r>
        <w:rPr>
          <w:rFonts w:hint="eastAsia" w:ascii="华文中宋" w:hAnsi="华文中宋" w:eastAsia="华文中宋" w:cs="华文中宋"/>
          <w:color w:val="auto"/>
          <w:sz w:val="24"/>
          <w:szCs w:val="24"/>
        </w:rPr>
        <w:t>书</w:t>
      </w:r>
    </w:p>
    <w:p w14:paraId="6B44D91C">
      <w:pPr>
        <w:spacing w:beforeLines="100" w:line="490" w:lineRule="exact"/>
        <w:ind w:right="-27" w:firstLine="470" w:firstLineChars="196"/>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发包人（全称）：</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030E686C">
      <w:pPr>
        <w:spacing w:line="480" w:lineRule="exact"/>
        <w:ind w:firstLine="480" w:firstLineChars="200"/>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承包人（全称）：</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7307437D">
      <w:pPr>
        <w:autoSpaceDE w:val="0"/>
        <w:autoSpaceDN w:val="0"/>
        <w:adjustRightInd w:val="0"/>
        <w:spacing w:beforeLines="50" w:line="480" w:lineRule="exact"/>
        <w:ind w:firstLine="470" w:firstLineChars="196"/>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发包人和承包人根据</w:t>
      </w:r>
      <w:r>
        <w:rPr>
          <w:rFonts w:hint="eastAsia" w:ascii="华文中宋" w:hAnsi="华文中宋" w:eastAsia="华文中宋" w:cs="华文中宋"/>
          <w:color w:val="auto"/>
          <w:sz w:val="24"/>
          <w:szCs w:val="24"/>
        </w:rPr>
        <w:t>《中华人民共和国建筑法》和《建设工程质量管理条例》，经协商一致就</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（工程全称）签订工程质量保修书。</w:t>
      </w:r>
    </w:p>
    <w:p w14:paraId="717BF000">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一、工程质量保修范围和内容</w:t>
      </w:r>
    </w:p>
    <w:p w14:paraId="0A2CF7A8">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承包人在质量保修期内，按照有关法律规定和合同约定，承担工程质量保修责任。</w:t>
      </w:r>
    </w:p>
    <w:p w14:paraId="6419E591">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7650A92">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二、质量保修期</w:t>
      </w:r>
    </w:p>
    <w:p w14:paraId="3D324A0B">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根据《建设工程质量管理条例》及有关规定，工程的质量保修期如下：</w:t>
      </w:r>
    </w:p>
    <w:p w14:paraId="2EA121F9">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1.地基基础工程和主体结构工程为设计文件规定的工程合理使用年限；</w:t>
      </w:r>
    </w:p>
    <w:p w14:paraId="3693D813">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2.屋面防水工程、有防水要求的卫生间、房间和外墙面的防渗</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2BBC2E79">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3.装修工程为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5883A73F">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4.电气管线、给排水管道、设备安装工程为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7CA0F825">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5.供热与供冷系统为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个采暖期、供冷期；</w:t>
      </w:r>
    </w:p>
    <w:p w14:paraId="375997EC">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6.住宅小区内的给排水设施、道路等配套工程为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01F3892D">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7.其他项目保修期限约定如下：</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DA01893">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质量保修期自工程竣工验收合格之日起计算。</w:t>
      </w:r>
    </w:p>
    <w:p w14:paraId="6FFA232E">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三、缺陷责任期</w:t>
      </w:r>
    </w:p>
    <w:p w14:paraId="7E944906">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工程缺陷责任期为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个月，缺陷责任期自工程通过竣工验收之日起计算。单位工程先于全部工程进行验收，单位工程缺陷责任期自单位工程验收合格之日起算。</w:t>
      </w:r>
    </w:p>
    <w:p w14:paraId="7D78E481">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缺陷责任期终止后，发包人应退还剩余的质量保证金。</w:t>
      </w:r>
    </w:p>
    <w:p w14:paraId="5E2BB9EA">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四、质量保修责任</w:t>
      </w:r>
    </w:p>
    <w:p w14:paraId="3A575F4D">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1.属于保修范围、内容的项目，承包人应当在接到保修通知之日起7天内派人保修。承包人不在约定期限内派人保修的，发包人可以委托他人修理。</w:t>
      </w:r>
    </w:p>
    <w:p w14:paraId="0A372AE4">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2.发生紧急事故需抢修的，承包人在接到事故通知后，应当立即到达事故现场抢修。</w:t>
      </w:r>
    </w:p>
    <w:p w14:paraId="72188513">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88A89C">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4.质量保修完成后，由发包人组织验收。</w:t>
      </w:r>
    </w:p>
    <w:p w14:paraId="50F634C8">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五、保修费用</w:t>
      </w:r>
    </w:p>
    <w:p w14:paraId="1F0810B7">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保修费用由造成质量缺陷的责任方承担。</w:t>
      </w:r>
    </w:p>
    <w:p w14:paraId="23582874">
      <w:pPr>
        <w:spacing w:line="480" w:lineRule="exact"/>
        <w:ind w:firstLine="470" w:firstLineChars="196"/>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六、双方约定的其他工程质量保修事项：</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C141A18">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工程质量保修书由发包人、承包人在工程竣工验收前共同签署，作为施工合同附件，其有效期限至保修期满。</w:t>
      </w:r>
    </w:p>
    <w:p w14:paraId="40672BB2">
      <w:pPr>
        <w:spacing w:line="480" w:lineRule="exact"/>
        <w:ind w:firstLine="471" w:firstLineChars="196"/>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（本页以下无正文内容）</w:t>
      </w:r>
    </w:p>
    <w:p w14:paraId="509E309C">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发包人（公章）：</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承包人（公章）：</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p>
    <w:p w14:paraId="4AA5C7CA">
      <w:pPr>
        <w:keepNext w:val="0"/>
        <w:keepLines w:val="0"/>
        <w:pageBreakBefore w:val="0"/>
        <w:widowControl w:val="0"/>
        <w:tabs>
          <w:tab w:val="left" w:pos="1260"/>
        </w:tabs>
        <w:kinsoku/>
        <w:wordWrap/>
        <w:overflowPunct/>
        <w:topLinePunct w:val="0"/>
        <w:autoSpaceDE/>
        <w:autoSpaceDN/>
        <w:bidi w:val="0"/>
        <w:adjustRightInd w:val="0"/>
        <w:snapToGrid/>
        <w:spacing w:line="600" w:lineRule="exact"/>
        <w:jc w:val="left"/>
        <w:textAlignment w:val="baseline"/>
        <w:rPr>
          <w:rFonts w:hint="eastAsia" w:ascii="华文中宋" w:hAnsi="华文中宋" w:eastAsia="华文中宋" w:cs="华文中宋"/>
          <w:b/>
          <w:color w:val="auto"/>
          <w:w w:val="75"/>
          <w:sz w:val="24"/>
          <w:szCs w:val="24"/>
          <w:u w:val="single"/>
          <w:lang w:val="en-US" w:eastAsia="zh-CN"/>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b/>
          <w:color w:val="auto"/>
          <w:w w:val="75"/>
          <w:sz w:val="24"/>
          <w:szCs w:val="24"/>
          <w:u w:val="single"/>
        </w:rPr>
        <w:t xml:space="preserve">   </w:t>
      </w:r>
      <w:r>
        <w:rPr>
          <w:rFonts w:hint="eastAsia" w:ascii="华文中宋" w:hAnsi="华文中宋" w:eastAsia="华文中宋" w:cs="华文中宋"/>
          <w:b/>
          <w:color w:val="auto"/>
          <w:w w:val="75"/>
          <w:sz w:val="24"/>
          <w:szCs w:val="24"/>
          <w:u w:val="single"/>
          <w:lang w:val="en-US" w:eastAsia="zh-CN"/>
        </w:rPr>
        <w:t xml:space="preserve">                        </w:t>
      </w:r>
      <w:r>
        <w:rPr>
          <w:rFonts w:hint="eastAsia" w:ascii="华文中宋" w:hAnsi="华文中宋" w:eastAsia="华文中宋" w:cs="华文中宋"/>
          <w:b/>
          <w:color w:val="auto"/>
          <w:w w:val="75"/>
          <w:sz w:val="24"/>
          <w:szCs w:val="24"/>
          <w:u w:val="none"/>
          <w:lang w:val="en-US" w:eastAsia="zh-CN"/>
        </w:rPr>
        <w:t xml:space="preserve">       </w:t>
      </w:r>
      <w:r>
        <w:rPr>
          <w:rFonts w:hint="eastAsia" w:ascii="华文中宋" w:hAnsi="华文中宋" w:eastAsia="华文中宋" w:cs="华文中宋"/>
          <w:b/>
          <w:color w:val="auto"/>
          <w:w w:val="75"/>
          <w:sz w:val="24"/>
          <w:szCs w:val="24"/>
        </w:rPr>
        <w:t xml:space="preserve"> </w:t>
      </w: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p>
    <w:p w14:paraId="3FBCB0F0">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法定代表人（签字）：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p>
    <w:p w14:paraId="27CF2048">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委托代理人（签字）：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委托代理人（签字）：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p>
    <w:p w14:paraId="67873D6A">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电  话：</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 xml:space="preserve">       电  话：</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p>
    <w:p w14:paraId="63BDE22F">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highlight w:val="cyan"/>
          <w:u w:val="single"/>
        </w:rPr>
      </w:pPr>
      <w:r>
        <w:rPr>
          <w:rFonts w:hint="eastAsia" w:ascii="华文中宋" w:hAnsi="华文中宋" w:eastAsia="华文中宋" w:cs="华文中宋"/>
          <w:color w:val="auto"/>
          <w:sz w:val="24"/>
          <w:szCs w:val="24"/>
        </w:rPr>
        <w:t>传  真：</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 xml:space="preserve"> 传  真：</w:t>
      </w:r>
      <w:r>
        <w:rPr>
          <w:rFonts w:hint="eastAsia" w:ascii="华文中宋" w:hAnsi="华文中宋" w:eastAsia="华文中宋" w:cs="华文中宋"/>
          <w:color w:val="auto"/>
          <w:sz w:val="24"/>
          <w:szCs w:val="24"/>
          <w:u w:val="single"/>
        </w:rPr>
        <w:t xml:space="preserve">                </w:t>
      </w:r>
    </w:p>
    <w:p w14:paraId="5C043DF5">
      <w:pPr>
        <w:keepNext w:val="0"/>
        <w:keepLines w:val="0"/>
        <w:pageBreakBefore w:val="0"/>
        <w:widowControl w:val="0"/>
        <w:tabs>
          <w:tab w:val="left" w:pos="1260"/>
        </w:tabs>
        <w:kinsoku/>
        <w:wordWrap/>
        <w:overflowPunct/>
        <w:topLinePunct w:val="0"/>
        <w:autoSpaceDE/>
        <w:autoSpaceDN/>
        <w:bidi w:val="0"/>
        <w:adjustRightInd w:val="0"/>
        <w:snapToGrid/>
        <w:spacing w:line="600" w:lineRule="exact"/>
        <w:textAlignment w:val="baseline"/>
        <w:rPr>
          <w:rFonts w:hint="eastAsia" w:ascii="华文中宋" w:hAnsi="华文中宋" w:eastAsia="华文中宋" w:cs="华文中宋"/>
          <w:b/>
          <w:color w:val="auto"/>
          <w:w w:val="75"/>
          <w:sz w:val="24"/>
          <w:szCs w:val="24"/>
          <w:u w:val="single"/>
          <w:lang w:val="en-US" w:eastAsia="zh-CN"/>
        </w:rPr>
      </w:pPr>
      <w:r>
        <w:rPr>
          <w:rFonts w:hint="eastAsia" w:ascii="华文中宋" w:hAnsi="华文中宋" w:eastAsia="华文中宋" w:cs="华文中宋"/>
          <w:color w:val="auto"/>
          <w:sz w:val="24"/>
          <w:szCs w:val="24"/>
        </w:rPr>
        <w:t>开户银行：</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non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开户银行</w:t>
      </w:r>
      <w:r>
        <w:rPr>
          <w:rFonts w:hint="eastAsia" w:ascii="华文中宋" w:hAnsi="华文中宋" w:eastAsia="华文中宋" w:cs="华文中宋"/>
          <w:b/>
          <w:color w:val="auto"/>
          <w:w w:val="75"/>
          <w:sz w:val="24"/>
          <w:szCs w:val="24"/>
          <w:u w:val="single"/>
        </w:rPr>
        <w:t>：</w:t>
      </w:r>
      <w:r>
        <w:rPr>
          <w:rFonts w:hint="eastAsia" w:ascii="华文中宋" w:hAnsi="华文中宋" w:eastAsia="华文中宋" w:cs="华文中宋"/>
          <w:b/>
          <w:color w:val="auto"/>
          <w:w w:val="75"/>
          <w:sz w:val="24"/>
          <w:szCs w:val="24"/>
          <w:u w:val="single"/>
          <w:lang w:val="en-US" w:eastAsia="zh-CN"/>
        </w:rPr>
        <w:t xml:space="preserve">                         </w:t>
      </w:r>
    </w:p>
    <w:p w14:paraId="55D06A33">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  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non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账  号：</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 xml:space="preserve"> </w:t>
      </w:r>
    </w:p>
    <w:p w14:paraId="45D1D95B">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8"/>
          <w:szCs w:val="28"/>
          <w:u w:val="none"/>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 xml:space="preserve">  邮政编码：</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none"/>
          <w:lang w:val="en-US" w:eastAsia="zh-CN"/>
        </w:rPr>
        <w:t xml:space="preserve">  </w:t>
      </w:r>
      <w:r>
        <w:rPr>
          <w:rFonts w:hint="eastAsia" w:ascii="华文中宋" w:hAnsi="华文中宋" w:eastAsia="华文中宋" w:cs="华文中宋"/>
          <w:b/>
          <w:color w:val="auto"/>
          <w:sz w:val="28"/>
          <w:szCs w:val="28"/>
          <w:u w:val="none"/>
          <w:lang w:val="en-US" w:eastAsia="zh-CN"/>
        </w:rPr>
        <w:t xml:space="preserve">    </w:t>
      </w:r>
      <w:r>
        <w:rPr>
          <w:rFonts w:hint="eastAsia" w:ascii="华文中宋" w:hAnsi="华文中宋" w:eastAsia="华文中宋" w:cs="华文中宋"/>
          <w:color w:val="auto"/>
          <w:sz w:val="28"/>
          <w:szCs w:val="28"/>
          <w:u w:val="none"/>
        </w:rPr>
        <w:t xml:space="preserve"> </w:t>
      </w:r>
    </w:p>
    <w:p w14:paraId="03888015">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8"/>
          <w:szCs w:val="28"/>
        </w:rPr>
      </w:pPr>
    </w:p>
    <w:p w14:paraId="68986477">
      <w:pPr>
        <w:pStyle w:val="28"/>
        <w:rPr>
          <w:rFonts w:hint="eastAsia" w:ascii="华文中宋" w:hAnsi="华文中宋" w:eastAsia="华文中宋" w:cs="华文中宋"/>
          <w:color w:val="auto"/>
          <w:sz w:val="28"/>
          <w:szCs w:val="28"/>
        </w:rPr>
      </w:pPr>
    </w:p>
    <w:p w14:paraId="4B883C29">
      <w:pPr>
        <w:pStyle w:val="27"/>
        <w:rPr>
          <w:rFonts w:hint="eastAsia" w:ascii="华文中宋" w:hAnsi="华文中宋" w:eastAsia="华文中宋" w:cs="华文中宋"/>
          <w:color w:val="auto"/>
          <w:sz w:val="28"/>
          <w:szCs w:val="28"/>
        </w:rPr>
      </w:pPr>
    </w:p>
    <w:p w14:paraId="0DE92464">
      <w:pPr>
        <w:pStyle w:val="27"/>
        <w:rPr>
          <w:rFonts w:hint="eastAsia" w:ascii="华文中宋" w:hAnsi="华文中宋" w:eastAsia="华文中宋" w:cs="华文中宋"/>
          <w:color w:val="auto"/>
          <w:sz w:val="28"/>
          <w:szCs w:val="28"/>
        </w:rPr>
      </w:pPr>
    </w:p>
    <w:p w14:paraId="1AA72945">
      <w:pPr>
        <w:spacing w:line="44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附件4：</w:t>
      </w:r>
    </w:p>
    <w:p w14:paraId="1A28F21D">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主要建设工程文件目录</w:t>
      </w:r>
    </w:p>
    <w:tbl>
      <w:tblPr>
        <w:tblStyle w:val="29"/>
        <w:tblW w:w="98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460"/>
        <w:gridCol w:w="1276"/>
        <w:gridCol w:w="1450"/>
        <w:gridCol w:w="1243"/>
        <w:gridCol w:w="1810"/>
        <w:gridCol w:w="1595"/>
      </w:tblGrid>
      <w:tr w14:paraId="52731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2460" w:type="dxa"/>
            <w:tcBorders>
              <w:top w:val="single" w:color="auto" w:sz="12" w:space="0"/>
              <w:bottom w:val="double" w:color="auto" w:sz="6" w:space="0"/>
            </w:tcBorders>
            <w:noWrap w:val="0"/>
            <w:vAlign w:val="center"/>
          </w:tcPr>
          <w:p w14:paraId="69A2766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文件名称</w:t>
            </w:r>
          </w:p>
        </w:tc>
        <w:tc>
          <w:tcPr>
            <w:tcW w:w="1276" w:type="dxa"/>
            <w:tcBorders>
              <w:top w:val="single" w:color="auto" w:sz="12" w:space="0"/>
              <w:bottom w:val="double" w:color="auto" w:sz="6" w:space="0"/>
            </w:tcBorders>
            <w:noWrap w:val="0"/>
            <w:vAlign w:val="center"/>
          </w:tcPr>
          <w:p w14:paraId="53AD0E28">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套数</w:t>
            </w:r>
          </w:p>
        </w:tc>
        <w:tc>
          <w:tcPr>
            <w:tcW w:w="1450" w:type="dxa"/>
            <w:tcBorders>
              <w:top w:val="single" w:color="auto" w:sz="12" w:space="0"/>
              <w:bottom w:val="double" w:color="auto" w:sz="6" w:space="0"/>
            </w:tcBorders>
            <w:noWrap w:val="0"/>
            <w:vAlign w:val="center"/>
          </w:tcPr>
          <w:p w14:paraId="11655870">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费用（元）</w:t>
            </w:r>
          </w:p>
        </w:tc>
        <w:tc>
          <w:tcPr>
            <w:tcW w:w="1243" w:type="dxa"/>
            <w:tcBorders>
              <w:top w:val="single" w:color="auto" w:sz="12" w:space="0"/>
              <w:bottom w:val="double" w:color="auto" w:sz="6" w:space="0"/>
            </w:tcBorders>
            <w:noWrap w:val="0"/>
            <w:vAlign w:val="center"/>
          </w:tcPr>
          <w:p w14:paraId="378136F6">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质量</w:t>
            </w:r>
          </w:p>
        </w:tc>
        <w:tc>
          <w:tcPr>
            <w:tcW w:w="1810" w:type="dxa"/>
            <w:tcBorders>
              <w:top w:val="single" w:color="auto" w:sz="12" w:space="0"/>
              <w:bottom w:val="double" w:color="auto" w:sz="6" w:space="0"/>
            </w:tcBorders>
            <w:noWrap w:val="0"/>
            <w:vAlign w:val="top"/>
          </w:tcPr>
          <w:p w14:paraId="2FDFBD2A">
            <w:pPr>
              <w:spacing w:line="440" w:lineRule="exact"/>
              <w:jc w:val="center"/>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移交时间</w:t>
            </w:r>
          </w:p>
        </w:tc>
        <w:tc>
          <w:tcPr>
            <w:tcW w:w="1595" w:type="dxa"/>
            <w:tcBorders>
              <w:top w:val="single" w:color="auto" w:sz="12" w:space="0"/>
              <w:bottom w:val="double" w:color="auto" w:sz="6" w:space="0"/>
            </w:tcBorders>
            <w:noWrap w:val="0"/>
            <w:vAlign w:val="top"/>
          </w:tcPr>
          <w:p w14:paraId="5E5C0CBD">
            <w:pPr>
              <w:spacing w:line="440" w:lineRule="exact"/>
              <w:jc w:val="center"/>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责任人</w:t>
            </w:r>
          </w:p>
        </w:tc>
      </w:tr>
      <w:tr w14:paraId="77096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60" w:type="dxa"/>
            <w:tcBorders>
              <w:top w:val="double" w:color="auto" w:sz="6" w:space="0"/>
              <w:bottom w:val="single" w:color="auto" w:sz="6" w:space="0"/>
            </w:tcBorders>
            <w:noWrap w:val="0"/>
            <w:vAlign w:val="center"/>
          </w:tcPr>
          <w:p w14:paraId="662495D2">
            <w:pPr>
              <w:pStyle w:val="13"/>
              <w:keepNext/>
              <w:spacing w:line="440" w:lineRule="exact"/>
              <w:ind w:left="63" w:right="63"/>
              <w:rPr>
                <w:rFonts w:hint="eastAsia" w:ascii="华文中宋" w:hAnsi="华文中宋" w:eastAsia="华文中宋" w:cs="华文中宋"/>
                <w:color w:val="auto"/>
                <w:kern w:val="2"/>
                <w:sz w:val="24"/>
                <w:szCs w:val="24"/>
              </w:rPr>
            </w:pPr>
          </w:p>
        </w:tc>
        <w:tc>
          <w:tcPr>
            <w:tcW w:w="1276" w:type="dxa"/>
            <w:tcBorders>
              <w:top w:val="double" w:color="auto" w:sz="6" w:space="0"/>
              <w:bottom w:val="single" w:color="auto" w:sz="6" w:space="0"/>
            </w:tcBorders>
            <w:noWrap w:val="0"/>
            <w:vAlign w:val="center"/>
          </w:tcPr>
          <w:p w14:paraId="5386D067">
            <w:pPr>
              <w:pStyle w:val="13"/>
              <w:keepNext/>
              <w:spacing w:line="440" w:lineRule="exact"/>
              <w:ind w:left="63" w:right="63"/>
              <w:rPr>
                <w:rFonts w:hint="eastAsia" w:ascii="华文中宋" w:hAnsi="华文中宋" w:eastAsia="华文中宋" w:cs="华文中宋"/>
                <w:color w:val="auto"/>
                <w:kern w:val="2"/>
                <w:sz w:val="24"/>
                <w:szCs w:val="24"/>
              </w:rPr>
            </w:pPr>
          </w:p>
        </w:tc>
        <w:tc>
          <w:tcPr>
            <w:tcW w:w="1450" w:type="dxa"/>
            <w:tcBorders>
              <w:top w:val="double" w:color="auto" w:sz="6" w:space="0"/>
              <w:bottom w:val="single" w:color="auto" w:sz="6" w:space="0"/>
            </w:tcBorders>
            <w:noWrap w:val="0"/>
            <w:vAlign w:val="center"/>
          </w:tcPr>
          <w:p w14:paraId="76571B0A">
            <w:pPr>
              <w:pStyle w:val="13"/>
              <w:keepNext/>
              <w:spacing w:line="440" w:lineRule="exact"/>
              <w:ind w:left="63" w:right="63"/>
              <w:rPr>
                <w:rFonts w:hint="eastAsia" w:ascii="华文中宋" w:hAnsi="华文中宋" w:eastAsia="华文中宋" w:cs="华文中宋"/>
                <w:color w:val="auto"/>
                <w:kern w:val="2"/>
                <w:sz w:val="24"/>
                <w:szCs w:val="24"/>
              </w:rPr>
            </w:pPr>
          </w:p>
        </w:tc>
        <w:tc>
          <w:tcPr>
            <w:tcW w:w="1243" w:type="dxa"/>
            <w:tcBorders>
              <w:top w:val="double" w:color="auto" w:sz="6" w:space="0"/>
              <w:bottom w:val="single" w:color="auto" w:sz="6" w:space="0"/>
            </w:tcBorders>
            <w:noWrap w:val="0"/>
            <w:vAlign w:val="center"/>
          </w:tcPr>
          <w:p w14:paraId="0BAC8315">
            <w:pPr>
              <w:pStyle w:val="13"/>
              <w:keepNext/>
              <w:spacing w:line="440" w:lineRule="exact"/>
              <w:ind w:left="63" w:right="63"/>
              <w:rPr>
                <w:rFonts w:hint="eastAsia" w:ascii="华文中宋" w:hAnsi="华文中宋" w:eastAsia="华文中宋" w:cs="华文中宋"/>
                <w:color w:val="auto"/>
                <w:kern w:val="2"/>
                <w:sz w:val="24"/>
                <w:szCs w:val="24"/>
              </w:rPr>
            </w:pPr>
          </w:p>
        </w:tc>
        <w:tc>
          <w:tcPr>
            <w:tcW w:w="1810" w:type="dxa"/>
            <w:tcBorders>
              <w:top w:val="double" w:color="auto" w:sz="6" w:space="0"/>
              <w:bottom w:val="single" w:color="auto" w:sz="6" w:space="0"/>
            </w:tcBorders>
            <w:noWrap w:val="0"/>
            <w:vAlign w:val="center"/>
          </w:tcPr>
          <w:p w14:paraId="04938520">
            <w:pPr>
              <w:pStyle w:val="13"/>
              <w:keepNext/>
              <w:spacing w:line="440" w:lineRule="exact"/>
              <w:ind w:left="63" w:right="63"/>
              <w:rPr>
                <w:rFonts w:hint="eastAsia" w:ascii="华文中宋" w:hAnsi="华文中宋" w:eastAsia="华文中宋" w:cs="华文中宋"/>
                <w:color w:val="auto"/>
                <w:kern w:val="2"/>
                <w:sz w:val="24"/>
                <w:szCs w:val="24"/>
              </w:rPr>
            </w:pPr>
          </w:p>
        </w:tc>
        <w:tc>
          <w:tcPr>
            <w:tcW w:w="1595" w:type="dxa"/>
            <w:tcBorders>
              <w:top w:val="double" w:color="auto" w:sz="6" w:space="0"/>
              <w:bottom w:val="single" w:color="auto" w:sz="6" w:space="0"/>
            </w:tcBorders>
            <w:noWrap w:val="0"/>
            <w:vAlign w:val="center"/>
          </w:tcPr>
          <w:p w14:paraId="1A15550B">
            <w:pPr>
              <w:pStyle w:val="13"/>
              <w:keepNext/>
              <w:spacing w:line="440" w:lineRule="exact"/>
              <w:ind w:left="63" w:right="63"/>
              <w:rPr>
                <w:rFonts w:hint="eastAsia" w:ascii="华文中宋" w:hAnsi="华文中宋" w:eastAsia="华文中宋" w:cs="华文中宋"/>
                <w:color w:val="auto"/>
                <w:kern w:val="2"/>
                <w:sz w:val="24"/>
                <w:szCs w:val="24"/>
              </w:rPr>
            </w:pPr>
          </w:p>
        </w:tc>
      </w:tr>
      <w:tr w14:paraId="38067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60" w:type="dxa"/>
            <w:noWrap w:val="0"/>
            <w:vAlign w:val="center"/>
          </w:tcPr>
          <w:p w14:paraId="037A3F81">
            <w:pPr>
              <w:pStyle w:val="13"/>
              <w:keepNext/>
              <w:spacing w:line="440" w:lineRule="exact"/>
              <w:ind w:left="63" w:right="63"/>
              <w:rPr>
                <w:rFonts w:hint="eastAsia" w:ascii="华文中宋" w:hAnsi="华文中宋" w:eastAsia="华文中宋" w:cs="华文中宋"/>
                <w:color w:val="auto"/>
                <w:kern w:val="2"/>
                <w:sz w:val="24"/>
                <w:szCs w:val="24"/>
              </w:rPr>
            </w:pPr>
          </w:p>
        </w:tc>
        <w:tc>
          <w:tcPr>
            <w:tcW w:w="1276" w:type="dxa"/>
            <w:noWrap w:val="0"/>
            <w:vAlign w:val="center"/>
          </w:tcPr>
          <w:p w14:paraId="04777FFE">
            <w:pPr>
              <w:pStyle w:val="13"/>
              <w:keepNext/>
              <w:spacing w:line="440" w:lineRule="exact"/>
              <w:ind w:left="63" w:right="63"/>
              <w:rPr>
                <w:rFonts w:hint="eastAsia" w:ascii="华文中宋" w:hAnsi="华文中宋" w:eastAsia="华文中宋" w:cs="华文中宋"/>
                <w:color w:val="auto"/>
                <w:kern w:val="2"/>
                <w:sz w:val="24"/>
                <w:szCs w:val="24"/>
              </w:rPr>
            </w:pPr>
          </w:p>
        </w:tc>
        <w:tc>
          <w:tcPr>
            <w:tcW w:w="1450" w:type="dxa"/>
            <w:noWrap w:val="0"/>
            <w:vAlign w:val="center"/>
          </w:tcPr>
          <w:p w14:paraId="041FE6C1">
            <w:pPr>
              <w:pStyle w:val="13"/>
              <w:keepNext/>
              <w:spacing w:line="440" w:lineRule="exact"/>
              <w:ind w:left="63" w:right="63"/>
              <w:rPr>
                <w:rFonts w:hint="eastAsia" w:ascii="华文中宋" w:hAnsi="华文中宋" w:eastAsia="华文中宋" w:cs="华文中宋"/>
                <w:color w:val="auto"/>
                <w:kern w:val="2"/>
                <w:sz w:val="24"/>
                <w:szCs w:val="24"/>
              </w:rPr>
            </w:pPr>
          </w:p>
        </w:tc>
        <w:tc>
          <w:tcPr>
            <w:tcW w:w="1243" w:type="dxa"/>
            <w:noWrap w:val="0"/>
            <w:vAlign w:val="center"/>
          </w:tcPr>
          <w:p w14:paraId="295F4641">
            <w:pPr>
              <w:pStyle w:val="13"/>
              <w:keepNext/>
              <w:spacing w:line="440" w:lineRule="exact"/>
              <w:ind w:left="63" w:right="63"/>
              <w:rPr>
                <w:rFonts w:hint="eastAsia" w:ascii="华文中宋" w:hAnsi="华文中宋" w:eastAsia="华文中宋" w:cs="华文中宋"/>
                <w:color w:val="auto"/>
                <w:kern w:val="2"/>
                <w:sz w:val="24"/>
                <w:szCs w:val="24"/>
              </w:rPr>
            </w:pPr>
          </w:p>
        </w:tc>
        <w:tc>
          <w:tcPr>
            <w:tcW w:w="1810" w:type="dxa"/>
            <w:noWrap w:val="0"/>
            <w:vAlign w:val="center"/>
          </w:tcPr>
          <w:p w14:paraId="235A7AB1">
            <w:pPr>
              <w:pStyle w:val="13"/>
              <w:keepNext/>
              <w:spacing w:line="440" w:lineRule="exact"/>
              <w:ind w:left="63" w:right="63"/>
              <w:rPr>
                <w:rFonts w:hint="eastAsia" w:ascii="华文中宋" w:hAnsi="华文中宋" w:eastAsia="华文中宋" w:cs="华文中宋"/>
                <w:color w:val="auto"/>
                <w:kern w:val="2"/>
                <w:sz w:val="24"/>
                <w:szCs w:val="24"/>
              </w:rPr>
            </w:pPr>
          </w:p>
        </w:tc>
        <w:tc>
          <w:tcPr>
            <w:tcW w:w="1595" w:type="dxa"/>
            <w:noWrap w:val="0"/>
            <w:vAlign w:val="center"/>
          </w:tcPr>
          <w:p w14:paraId="2BA56BD3">
            <w:pPr>
              <w:pStyle w:val="13"/>
              <w:keepNext/>
              <w:spacing w:line="440" w:lineRule="exact"/>
              <w:ind w:left="63" w:right="63"/>
              <w:rPr>
                <w:rFonts w:hint="eastAsia" w:ascii="华文中宋" w:hAnsi="华文中宋" w:eastAsia="华文中宋" w:cs="华文中宋"/>
                <w:color w:val="auto"/>
                <w:kern w:val="2"/>
                <w:sz w:val="24"/>
                <w:szCs w:val="24"/>
              </w:rPr>
            </w:pPr>
          </w:p>
        </w:tc>
      </w:tr>
      <w:tr w14:paraId="2F4C4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60" w:type="dxa"/>
            <w:noWrap w:val="0"/>
            <w:vAlign w:val="center"/>
          </w:tcPr>
          <w:p w14:paraId="44E8828A">
            <w:pPr>
              <w:pStyle w:val="13"/>
              <w:keepNext/>
              <w:spacing w:line="440" w:lineRule="exact"/>
              <w:ind w:left="63" w:right="63"/>
              <w:rPr>
                <w:rFonts w:hint="eastAsia" w:ascii="华文中宋" w:hAnsi="华文中宋" w:eastAsia="华文中宋" w:cs="华文中宋"/>
                <w:color w:val="auto"/>
                <w:kern w:val="2"/>
                <w:sz w:val="24"/>
                <w:szCs w:val="24"/>
              </w:rPr>
            </w:pPr>
          </w:p>
        </w:tc>
        <w:tc>
          <w:tcPr>
            <w:tcW w:w="1276" w:type="dxa"/>
            <w:noWrap w:val="0"/>
            <w:vAlign w:val="center"/>
          </w:tcPr>
          <w:p w14:paraId="2980CA87">
            <w:pPr>
              <w:pStyle w:val="13"/>
              <w:keepNext/>
              <w:spacing w:line="440" w:lineRule="exact"/>
              <w:ind w:left="63" w:right="63"/>
              <w:rPr>
                <w:rFonts w:hint="eastAsia" w:ascii="华文中宋" w:hAnsi="华文中宋" w:eastAsia="华文中宋" w:cs="华文中宋"/>
                <w:color w:val="auto"/>
                <w:kern w:val="2"/>
                <w:sz w:val="24"/>
                <w:szCs w:val="24"/>
              </w:rPr>
            </w:pPr>
          </w:p>
        </w:tc>
        <w:tc>
          <w:tcPr>
            <w:tcW w:w="1450" w:type="dxa"/>
            <w:noWrap w:val="0"/>
            <w:vAlign w:val="center"/>
          </w:tcPr>
          <w:p w14:paraId="104ECA1F">
            <w:pPr>
              <w:pStyle w:val="13"/>
              <w:keepNext/>
              <w:spacing w:line="440" w:lineRule="exact"/>
              <w:ind w:left="63" w:right="63"/>
              <w:rPr>
                <w:rFonts w:hint="eastAsia" w:ascii="华文中宋" w:hAnsi="华文中宋" w:eastAsia="华文中宋" w:cs="华文中宋"/>
                <w:color w:val="auto"/>
                <w:kern w:val="2"/>
                <w:sz w:val="24"/>
                <w:szCs w:val="24"/>
              </w:rPr>
            </w:pPr>
          </w:p>
        </w:tc>
        <w:tc>
          <w:tcPr>
            <w:tcW w:w="1243" w:type="dxa"/>
            <w:noWrap w:val="0"/>
            <w:vAlign w:val="center"/>
          </w:tcPr>
          <w:p w14:paraId="319BFE5A">
            <w:pPr>
              <w:pStyle w:val="13"/>
              <w:keepNext/>
              <w:spacing w:line="440" w:lineRule="exact"/>
              <w:ind w:left="63" w:right="63"/>
              <w:rPr>
                <w:rFonts w:hint="eastAsia" w:ascii="华文中宋" w:hAnsi="华文中宋" w:eastAsia="华文中宋" w:cs="华文中宋"/>
                <w:color w:val="auto"/>
                <w:kern w:val="2"/>
                <w:sz w:val="24"/>
                <w:szCs w:val="24"/>
              </w:rPr>
            </w:pPr>
          </w:p>
        </w:tc>
        <w:tc>
          <w:tcPr>
            <w:tcW w:w="1810" w:type="dxa"/>
            <w:noWrap w:val="0"/>
            <w:vAlign w:val="center"/>
          </w:tcPr>
          <w:p w14:paraId="5889A29B">
            <w:pPr>
              <w:pStyle w:val="13"/>
              <w:keepNext/>
              <w:spacing w:line="440" w:lineRule="exact"/>
              <w:ind w:left="63" w:right="63"/>
              <w:rPr>
                <w:rFonts w:hint="eastAsia" w:ascii="华文中宋" w:hAnsi="华文中宋" w:eastAsia="华文中宋" w:cs="华文中宋"/>
                <w:color w:val="auto"/>
                <w:kern w:val="2"/>
                <w:sz w:val="24"/>
                <w:szCs w:val="24"/>
              </w:rPr>
            </w:pPr>
          </w:p>
        </w:tc>
        <w:tc>
          <w:tcPr>
            <w:tcW w:w="1595" w:type="dxa"/>
            <w:noWrap w:val="0"/>
            <w:vAlign w:val="center"/>
          </w:tcPr>
          <w:p w14:paraId="11264479">
            <w:pPr>
              <w:pStyle w:val="13"/>
              <w:keepNext/>
              <w:spacing w:line="440" w:lineRule="exact"/>
              <w:ind w:left="63" w:right="63"/>
              <w:rPr>
                <w:rFonts w:hint="eastAsia" w:ascii="华文中宋" w:hAnsi="华文中宋" w:eastAsia="华文中宋" w:cs="华文中宋"/>
                <w:color w:val="auto"/>
                <w:kern w:val="2"/>
                <w:sz w:val="24"/>
                <w:szCs w:val="24"/>
              </w:rPr>
            </w:pPr>
          </w:p>
        </w:tc>
      </w:tr>
    </w:tbl>
    <w:p w14:paraId="6797E10B">
      <w:pPr>
        <w:spacing w:line="440" w:lineRule="exact"/>
        <w:rPr>
          <w:rFonts w:hint="eastAsia" w:ascii="华文中宋" w:hAnsi="华文中宋" w:eastAsia="华文中宋" w:cs="华文中宋"/>
          <w:color w:val="auto"/>
          <w:sz w:val="30"/>
          <w:szCs w:val="30"/>
        </w:rPr>
      </w:pPr>
    </w:p>
    <w:p w14:paraId="5BEA4F7C">
      <w:pPr>
        <w:keepNext w:val="0"/>
        <w:keepLines w:val="0"/>
        <w:pageBreakBefore w:val="0"/>
        <w:widowControl w:val="0"/>
        <w:kinsoku/>
        <w:wordWrap/>
        <w:overflowPunct/>
        <w:topLinePunct w:val="0"/>
        <w:autoSpaceDE/>
        <w:autoSpaceDN/>
        <w:bidi w:val="0"/>
        <w:adjustRightInd/>
        <w:snapToGrid/>
        <w:spacing w:line="240" w:lineRule="auto"/>
        <w:ind w:left="-489" w:leftChars="-233" w:firstLine="237" w:firstLineChars="99"/>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w:t>
      </w:r>
      <w:bookmarkStart w:id="1118" w:name="_Toc296944566"/>
      <w:bookmarkStart w:id="1119" w:name="_Toc296503227"/>
      <w:bookmarkStart w:id="1120" w:name="_Toc296347226"/>
      <w:bookmarkStart w:id="1121" w:name="_Toc296346728"/>
      <w:bookmarkStart w:id="1122" w:name="_Toc267261698"/>
      <w:bookmarkStart w:id="1123" w:name="_Toc296891055"/>
      <w:bookmarkStart w:id="1124" w:name="_Toc296891267"/>
      <w:r>
        <w:rPr>
          <w:rFonts w:hint="eastAsia" w:ascii="华文中宋" w:hAnsi="华文中宋" w:eastAsia="华文中宋" w:cs="华文中宋"/>
          <w:color w:val="auto"/>
          <w:sz w:val="24"/>
          <w:szCs w:val="24"/>
        </w:rPr>
        <w:t>件5：</w:t>
      </w:r>
    </w:p>
    <w:bookmarkEnd w:id="1118"/>
    <w:bookmarkEnd w:id="1119"/>
    <w:bookmarkEnd w:id="1120"/>
    <w:bookmarkEnd w:id="1121"/>
    <w:bookmarkEnd w:id="1122"/>
    <w:bookmarkEnd w:id="1123"/>
    <w:bookmarkEnd w:id="1124"/>
    <w:p w14:paraId="4D86439B">
      <w:pPr>
        <w:spacing w:beforeLines="50" w:afterLines="50" w:line="440" w:lineRule="exact"/>
        <w:jc w:val="center"/>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承包人用于本工程施工的机械设备表</w:t>
      </w:r>
    </w:p>
    <w:tbl>
      <w:tblPr>
        <w:tblStyle w:val="2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2040"/>
        <w:gridCol w:w="1645"/>
        <w:gridCol w:w="613"/>
        <w:gridCol w:w="900"/>
        <w:gridCol w:w="870"/>
        <w:gridCol w:w="1395"/>
        <w:gridCol w:w="885"/>
        <w:gridCol w:w="921"/>
      </w:tblGrid>
      <w:tr w14:paraId="22A1D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5" w:hRule="atLeast"/>
          <w:jc w:val="center"/>
        </w:trPr>
        <w:tc>
          <w:tcPr>
            <w:tcW w:w="540" w:type="dxa"/>
            <w:tcBorders>
              <w:top w:val="single" w:color="auto" w:sz="12" w:space="0"/>
              <w:bottom w:val="double" w:color="auto" w:sz="6" w:space="0"/>
            </w:tcBorders>
            <w:noWrap w:val="0"/>
            <w:vAlign w:val="center"/>
          </w:tcPr>
          <w:p w14:paraId="03E299C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7D139EE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2040" w:type="dxa"/>
            <w:tcBorders>
              <w:top w:val="single" w:color="auto" w:sz="12" w:space="0"/>
              <w:bottom w:val="double" w:color="auto" w:sz="6" w:space="0"/>
            </w:tcBorders>
            <w:noWrap w:val="0"/>
            <w:vAlign w:val="center"/>
          </w:tcPr>
          <w:p w14:paraId="21EDFDD4">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机械或</w:t>
            </w:r>
          </w:p>
          <w:p w14:paraId="5F458BAF">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设备名称</w:t>
            </w:r>
          </w:p>
        </w:tc>
        <w:tc>
          <w:tcPr>
            <w:tcW w:w="1645" w:type="dxa"/>
            <w:tcBorders>
              <w:top w:val="single" w:color="auto" w:sz="12" w:space="0"/>
              <w:bottom w:val="double" w:color="auto" w:sz="6" w:space="0"/>
            </w:tcBorders>
            <w:noWrap w:val="0"/>
            <w:vAlign w:val="center"/>
          </w:tcPr>
          <w:p w14:paraId="10864FC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规格型号</w:t>
            </w:r>
          </w:p>
        </w:tc>
        <w:tc>
          <w:tcPr>
            <w:tcW w:w="613" w:type="dxa"/>
            <w:tcBorders>
              <w:top w:val="single" w:color="auto" w:sz="12" w:space="0"/>
              <w:bottom w:val="double" w:color="auto" w:sz="6" w:space="0"/>
            </w:tcBorders>
            <w:noWrap w:val="0"/>
            <w:vAlign w:val="center"/>
          </w:tcPr>
          <w:p w14:paraId="01305A50">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w:t>
            </w:r>
          </w:p>
          <w:p w14:paraId="1DBCB4F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量</w:t>
            </w:r>
          </w:p>
        </w:tc>
        <w:tc>
          <w:tcPr>
            <w:tcW w:w="900" w:type="dxa"/>
            <w:tcBorders>
              <w:top w:val="single" w:color="auto" w:sz="12" w:space="0"/>
              <w:bottom w:val="double" w:color="auto" w:sz="6" w:space="0"/>
            </w:tcBorders>
            <w:noWrap w:val="0"/>
            <w:vAlign w:val="center"/>
          </w:tcPr>
          <w:p w14:paraId="547F06CB">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产地</w:t>
            </w:r>
          </w:p>
        </w:tc>
        <w:tc>
          <w:tcPr>
            <w:tcW w:w="870" w:type="dxa"/>
            <w:tcBorders>
              <w:top w:val="single" w:color="auto" w:sz="12" w:space="0"/>
              <w:bottom w:val="double" w:color="auto" w:sz="6" w:space="0"/>
            </w:tcBorders>
            <w:noWrap w:val="0"/>
            <w:vAlign w:val="center"/>
          </w:tcPr>
          <w:p w14:paraId="4A97F0C1">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制造</w:t>
            </w:r>
          </w:p>
          <w:p w14:paraId="69CC5A28">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年份</w:t>
            </w:r>
          </w:p>
        </w:tc>
        <w:tc>
          <w:tcPr>
            <w:tcW w:w="1395" w:type="dxa"/>
            <w:tcBorders>
              <w:top w:val="single" w:color="auto" w:sz="12" w:space="0"/>
              <w:bottom w:val="double" w:color="auto" w:sz="6" w:space="0"/>
            </w:tcBorders>
            <w:noWrap w:val="0"/>
            <w:vAlign w:val="center"/>
          </w:tcPr>
          <w:p w14:paraId="2137ADF5">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额定功率</w:t>
            </w:r>
          </w:p>
          <w:p w14:paraId="02D6F5C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（Kw）</w:t>
            </w:r>
          </w:p>
        </w:tc>
        <w:tc>
          <w:tcPr>
            <w:tcW w:w="885" w:type="dxa"/>
            <w:tcBorders>
              <w:top w:val="single" w:color="auto" w:sz="12" w:space="0"/>
              <w:bottom w:val="double" w:color="auto" w:sz="6" w:space="0"/>
            </w:tcBorders>
            <w:noWrap w:val="0"/>
            <w:vAlign w:val="center"/>
          </w:tcPr>
          <w:p w14:paraId="4E6619A7">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生产</w:t>
            </w:r>
          </w:p>
          <w:p w14:paraId="038E9D97">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能力</w:t>
            </w:r>
          </w:p>
        </w:tc>
        <w:tc>
          <w:tcPr>
            <w:tcW w:w="921" w:type="dxa"/>
            <w:tcBorders>
              <w:top w:val="single" w:color="auto" w:sz="12" w:space="0"/>
              <w:bottom w:val="double" w:color="auto" w:sz="6" w:space="0"/>
            </w:tcBorders>
            <w:noWrap w:val="0"/>
            <w:vAlign w:val="center"/>
          </w:tcPr>
          <w:p w14:paraId="237A84B4">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备注</w:t>
            </w:r>
          </w:p>
        </w:tc>
      </w:tr>
      <w:tr w14:paraId="531E2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double" w:color="auto" w:sz="6" w:space="0"/>
              <w:bottom w:val="single" w:color="auto" w:sz="6" w:space="0"/>
            </w:tcBorders>
            <w:noWrap w:val="0"/>
            <w:vAlign w:val="center"/>
          </w:tcPr>
          <w:p w14:paraId="7D8A4036">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w:t>
            </w:r>
          </w:p>
        </w:tc>
        <w:tc>
          <w:tcPr>
            <w:tcW w:w="2040" w:type="dxa"/>
            <w:tcBorders>
              <w:top w:val="double" w:color="auto" w:sz="6" w:space="0"/>
              <w:bottom w:val="single" w:color="auto" w:sz="6" w:space="0"/>
            </w:tcBorders>
            <w:noWrap w:val="0"/>
            <w:vAlign w:val="center"/>
          </w:tcPr>
          <w:p w14:paraId="320AD420">
            <w:pPr>
              <w:spacing w:line="480" w:lineRule="exact"/>
              <w:jc w:val="center"/>
              <w:rPr>
                <w:rFonts w:hint="eastAsia" w:ascii="华文中宋" w:hAnsi="华文中宋" w:eastAsia="华文中宋" w:cs="华文中宋"/>
                <w:b/>
                <w:color w:val="auto"/>
                <w:sz w:val="21"/>
                <w:szCs w:val="21"/>
                <w:highlight w:val="cyan"/>
              </w:rPr>
            </w:pPr>
          </w:p>
        </w:tc>
        <w:tc>
          <w:tcPr>
            <w:tcW w:w="1645" w:type="dxa"/>
            <w:tcBorders>
              <w:top w:val="double" w:color="auto" w:sz="6" w:space="0"/>
              <w:bottom w:val="single" w:color="auto" w:sz="6" w:space="0"/>
            </w:tcBorders>
            <w:noWrap w:val="0"/>
            <w:vAlign w:val="center"/>
          </w:tcPr>
          <w:p w14:paraId="7D2E89A7">
            <w:pPr>
              <w:spacing w:line="480" w:lineRule="exact"/>
              <w:jc w:val="center"/>
              <w:rPr>
                <w:rFonts w:hint="eastAsia" w:ascii="华文中宋" w:hAnsi="华文中宋" w:eastAsia="华文中宋" w:cs="华文中宋"/>
                <w:b/>
                <w:color w:val="auto"/>
                <w:sz w:val="21"/>
                <w:szCs w:val="21"/>
                <w:highlight w:val="cyan"/>
              </w:rPr>
            </w:pPr>
          </w:p>
        </w:tc>
        <w:tc>
          <w:tcPr>
            <w:tcW w:w="613" w:type="dxa"/>
            <w:tcBorders>
              <w:top w:val="double" w:color="auto" w:sz="6" w:space="0"/>
              <w:bottom w:val="single" w:color="auto" w:sz="6" w:space="0"/>
            </w:tcBorders>
            <w:noWrap w:val="0"/>
            <w:vAlign w:val="center"/>
          </w:tcPr>
          <w:p w14:paraId="05D3D1D7">
            <w:pPr>
              <w:spacing w:line="480" w:lineRule="exact"/>
              <w:jc w:val="center"/>
              <w:rPr>
                <w:rFonts w:hint="eastAsia" w:ascii="华文中宋" w:hAnsi="华文中宋" w:eastAsia="华文中宋" w:cs="华文中宋"/>
                <w:b/>
                <w:color w:val="auto"/>
                <w:sz w:val="21"/>
                <w:szCs w:val="21"/>
                <w:highlight w:val="cyan"/>
              </w:rPr>
            </w:pPr>
          </w:p>
        </w:tc>
        <w:tc>
          <w:tcPr>
            <w:tcW w:w="900" w:type="dxa"/>
            <w:tcBorders>
              <w:top w:val="double" w:color="auto" w:sz="6" w:space="0"/>
              <w:bottom w:val="single" w:color="auto" w:sz="6" w:space="0"/>
            </w:tcBorders>
            <w:noWrap w:val="0"/>
            <w:vAlign w:val="center"/>
          </w:tcPr>
          <w:p w14:paraId="27164579">
            <w:pPr>
              <w:spacing w:line="480" w:lineRule="exact"/>
              <w:jc w:val="center"/>
              <w:rPr>
                <w:rFonts w:hint="eastAsia" w:ascii="华文中宋" w:hAnsi="华文中宋" w:eastAsia="华文中宋" w:cs="华文中宋"/>
                <w:b/>
                <w:color w:val="auto"/>
                <w:sz w:val="21"/>
                <w:szCs w:val="21"/>
                <w:highlight w:val="cyan"/>
              </w:rPr>
            </w:pPr>
          </w:p>
        </w:tc>
        <w:tc>
          <w:tcPr>
            <w:tcW w:w="870" w:type="dxa"/>
            <w:tcBorders>
              <w:top w:val="double" w:color="auto" w:sz="6" w:space="0"/>
              <w:bottom w:val="single" w:color="auto" w:sz="6" w:space="0"/>
            </w:tcBorders>
            <w:noWrap w:val="0"/>
            <w:vAlign w:val="center"/>
          </w:tcPr>
          <w:p w14:paraId="64A9490B">
            <w:pPr>
              <w:spacing w:line="480" w:lineRule="exact"/>
              <w:jc w:val="center"/>
              <w:rPr>
                <w:rFonts w:hint="eastAsia" w:ascii="华文中宋" w:hAnsi="华文中宋" w:eastAsia="华文中宋" w:cs="华文中宋"/>
                <w:b/>
                <w:color w:val="auto"/>
                <w:sz w:val="21"/>
                <w:szCs w:val="21"/>
                <w:highlight w:val="cyan"/>
              </w:rPr>
            </w:pPr>
          </w:p>
        </w:tc>
        <w:tc>
          <w:tcPr>
            <w:tcW w:w="1395" w:type="dxa"/>
            <w:tcBorders>
              <w:top w:val="double" w:color="auto" w:sz="6" w:space="0"/>
              <w:bottom w:val="single" w:color="auto" w:sz="6" w:space="0"/>
            </w:tcBorders>
            <w:noWrap w:val="0"/>
            <w:vAlign w:val="center"/>
          </w:tcPr>
          <w:p w14:paraId="474325A9">
            <w:pPr>
              <w:spacing w:line="480" w:lineRule="exact"/>
              <w:jc w:val="center"/>
              <w:rPr>
                <w:rFonts w:hint="eastAsia" w:ascii="华文中宋" w:hAnsi="华文中宋" w:eastAsia="华文中宋" w:cs="华文中宋"/>
                <w:b/>
                <w:color w:val="auto"/>
                <w:sz w:val="21"/>
                <w:szCs w:val="21"/>
                <w:highlight w:val="cyan"/>
              </w:rPr>
            </w:pPr>
          </w:p>
        </w:tc>
        <w:tc>
          <w:tcPr>
            <w:tcW w:w="885" w:type="dxa"/>
            <w:tcBorders>
              <w:top w:val="double" w:color="auto" w:sz="6" w:space="0"/>
              <w:bottom w:val="single" w:color="auto" w:sz="6" w:space="0"/>
            </w:tcBorders>
            <w:noWrap w:val="0"/>
            <w:vAlign w:val="center"/>
          </w:tcPr>
          <w:p w14:paraId="7FB18C2D">
            <w:pPr>
              <w:spacing w:line="480" w:lineRule="exact"/>
              <w:jc w:val="center"/>
              <w:rPr>
                <w:rFonts w:hint="eastAsia" w:ascii="华文中宋" w:hAnsi="华文中宋" w:eastAsia="华文中宋" w:cs="华文中宋"/>
                <w:b/>
                <w:color w:val="auto"/>
                <w:sz w:val="21"/>
                <w:szCs w:val="21"/>
                <w:highlight w:val="cyan"/>
              </w:rPr>
            </w:pPr>
          </w:p>
        </w:tc>
        <w:tc>
          <w:tcPr>
            <w:tcW w:w="921" w:type="dxa"/>
            <w:tcBorders>
              <w:top w:val="double" w:color="auto" w:sz="6" w:space="0"/>
              <w:bottom w:val="single" w:color="auto" w:sz="6" w:space="0"/>
            </w:tcBorders>
            <w:noWrap w:val="0"/>
            <w:vAlign w:val="center"/>
          </w:tcPr>
          <w:p w14:paraId="34841606">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97F1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nil"/>
            </w:tcBorders>
            <w:noWrap w:val="0"/>
            <w:vAlign w:val="center"/>
          </w:tcPr>
          <w:p w14:paraId="70BC9420">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2</w:t>
            </w:r>
          </w:p>
        </w:tc>
        <w:tc>
          <w:tcPr>
            <w:tcW w:w="2040" w:type="dxa"/>
            <w:tcBorders>
              <w:top w:val="nil"/>
            </w:tcBorders>
            <w:noWrap w:val="0"/>
            <w:vAlign w:val="center"/>
          </w:tcPr>
          <w:p w14:paraId="0DA34108">
            <w:pPr>
              <w:spacing w:line="480" w:lineRule="exact"/>
              <w:jc w:val="center"/>
              <w:rPr>
                <w:rFonts w:hint="eastAsia" w:ascii="华文中宋" w:hAnsi="华文中宋" w:eastAsia="华文中宋" w:cs="华文中宋"/>
                <w:b/>
                <w:color w:val="auto"/>
                <w:sz w:val="21"/>
                <w:szCs w:val="21"/>
                <w:highlight w:val="cyan"/>
              </w:rPr>
            </w:pPr>
          </w:p>
        </w:tc>
        <w:tc>
          <w:tcPr>
            <w:tcW w:w="1645" w:type="dxa"/>
            <w:tcBorders>
              <w:top w:val="nil"/>
            </w:tcBorders>
            <w:noWrap w:val="0"/>
            <w:vAlign w:val="center"/>
          </w:tcPr>
          <w:p w14:paraId="4D732052">
            <w:pPr>
              <w:spacing w:line="480" w:lineRule="exact"/>
              <w:jc w:val="center"/>
              <w:rPr>
                <w:rFonts w:hint="eastAsia" w:ascii="华文中宋" w:hAnsi="华文中宋" w:eastAsia="华文中宋" w:cs="华文中宋"/>
                <w:b/>
                <w:color w:val="auto"/>
                <w:sz w:val="21"/>
                <w:szCs w:val="21"/>
                <w:highlight w:val="cyan"/>
              </w:rPr>
            </w:pPr>
          </w:p>
        </w:tc>
        <w:tc>
          <w:tcPr>
            <w:tcW w:w="613" w:type="dxa"/>
            <w:tcBorders>
              <w:top w:val="nil"/>
            </w:tcBorders>
            <w:noWrap w:val="0"/>
            <w:vAlign w:val="center"/>
          </w:tcPr>
          <w:p w14:paraId="0D0FA862">
            <w:pPr>
              <w:spacing w:line="480" w:lineRule="exact"/>
              <w:jc w:val="center"/>
              <w:rPr>
                <w:rFonts w:hint="eastAsia" w:ascii="华文中宋" w:hAnsi="华文中宋" w:eastAsia="华文中宋" w:cs="华文中宋"/>
                <w:b/>
                <w:color w:val="auto"/>
                <w:sz w:val="21"/>
                <w:szCs w:val="21"/>
                <w:highlight w:val="cyan"/>
              </w:rPr>
            </w:pPr>
          </w:p>
        </w:tc>
        <w:tc>
          <w:tcPr>
            <w:tcW w:w="900" w:type="dxa"/>
            <w:tcBorders>
              <w:top w:val="nil"/>
            </w:tcBorders>
            <w:noWrap w:val="0"/>
            <w:vAlign w:val="center"/>
          </w:tcPr>
          <w:p w14:paraId="52AEA7D6">
            <w:pPr>
              <w:spacing w:line="480" w:lineRule="exact"/>
              <w:jc w:val="center"/>
              <w:rPr>
                <w:rFonts w:hint="eastAsia" w:ascii="华文中宋" w:hAnsi="华文中宋" w:eastAsia="华文中宋" w:cs="华文中宋"/>
                <w:b/>
                <w:color w:val="auto"/>
                <w:sz w:val="21"/>
                <w:szCs w:val="21"/>
                <w:highlight w:val="cyan"/>
              </w:rPr>
            </w:pPr>
          </w:p>
        </w:tc>
        <w:tc>
          <w:tcPr>
            <w:tcW w:w="870" w:type="dxa"/>
            <w:tcBorders>
              <w:top w:val="nil"/>
            </w:tcBorders>
            <w:noWrap w:val="0"/>
            <w:vAlign w:val="center"/>
          </w:tcPr>
          <w:p w14:paraId="5F7590F5">
            <w:pPr>
              <w:spacing w:line="480" w:lineRule="exact"/>
              <w:jc w:val="center"/>
              <w:rPr>
                <w:rFonts w:hint="eastAsia" w:ascii="华文中宋" w:hAnsi="华文中宋" w:eastAsia="华文中宋" w:cs="华文中宋"/>
                <w:b/>
                <w:color w:val="auto"/>
                <w:sz w:val="21"/>
                <w:szCs w:val="21"/>
                <w:highlight w:val="cyan"/>
              </w:rPr>
            </w:pPr>
          </w:p>
        </w:tc>
        <w:tc>
          <w:tcPr>
            <w:tcW w:w="1395" w:type="dxa"/>
            <w:tcBorders>
              <w:top w:val="nil"/>
            </w:tcBorders>
            <w:noWrap w:val="0"/>
            <w:vAlign w:val="center"/>
          </w:tcPr>
          <w:p w14:paraId="24AA43DA">
            <w:pPr>
              <w:spacing w:line="480" w:lineRule="exact"/>
              <w:jc w:val="center"/>
              <w:rPr>
                <w:rFonts w:hint="eastAsia" w:ascii="华文中宋" w:hAnsi="华文中宋" w:eastAsia="华文中宋" w:cs="华文中宋"/>
                <w:b/>
                <w:color w:val="auto"/>
                <w:sz w:val="21"/>
                <w:szCs w:val="21"/>
                <w:highlight w:val="cyan"/>
              </w:rPr>
            </w:pPr>
          </w:p>
        </w:tc>
        <w:tc>
          <w:tcPr>
            <w:tcW w:w="885" w:type="dxa"/>
            <w:tcBorders>
              <w:top w:val="nil"/>
            </w:tcBorders>
            <w:noWrap w:val="0"/>
            <w:vAlign w:val="center"/>
          </w:tcPr>
          <w:p w14:paraId="446BB04C">
            <w:pPr>
              <w:spacing w:line="480" w:lineRule="exact"/>
              <w:jc w:val="center"/>
              <w:rPr>
                <w:rFonts w:hint="eastAsia" w:ascii="华文中宋" w:hAnsi="华文中宋" w:eastAsia="华文中宋" w:cs="华文中宋"/>
                <w:b/>
                <w:color w:val="auto"/>
                <w:sz w:val="21"/>
                <w:szCs w:val="21"/>
                <w:highlight w:val="cyan"/>
              </w:rPr>
            </w:pPr>
          </w:p>
        </w:tc>
        <w:tc>
          <w:tcPr>
            <w:tcW w:w="921" w:type="dxa"/>
            <w:tcBorders>
              <w:top w:val="nil"/>
            </w:tcBorders>
            <w:noWrap w:val="0"/>
            <w:vAlign w:val="center"/>
          </w:tcPr>
          <w:p w14:paraId="7C880B45">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7633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3657940">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3</w:t>
            </w:r>
          </w:p>
        </w:tc>
        <w:tc>
          <w:tcPr>
            <w:tcW w:w="2040" w:type="dxa"/>
            <w:noWrap w:val="0"/>
            <w:vAlign w:val="center"/>
          </w:tcPr>
          <w:p w14:paraId="7BEAB8B4">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430FE72D">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63D79CE">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1A572AAB">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2EF4F036">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5E091F3">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413EC316">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656F2343">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1ABE0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1352372">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4</w:t>
            </w:r>
          </w:p>
        </w:tc>
        <w:tc>
          <w:tcPr>
            <w:tcW w:w="2040" w:type="dxa"/>
            <w:noWrap w:val="0"/>
            <w:vAlign w:val="center"/>
          </w:tcPr>
          <w:p w14:paraId="229BF6EE">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0C9A5F7D">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0B7E3FF4">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7FA0C5FB">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42FE9B2B">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6A85F8F">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2CEC1AFA">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3A09B980">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09F73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63EE7E7C">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5</w:t>
            </w:r>
          </w:p>
        </w:tc>
        <w:tc>
          <w:tcPr>
            <w:tcW w:w="2040" w:type="dxa"/>
            <w:noWrap w:val="0"/>
            <w:vAlign w:val="center"/>
          </w:tcPr>
          <w:p w14:paraId="79C0EED7">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5CCCC349">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7950E533">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36DF154D">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46A399C9">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9EA5B73">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4D88E8A9">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0C4752E2">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4CA1F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39F6150">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6</w:t>
            </w:r>
          </w:p>
        </w:tc>
        <w:tc>
          <w:tcPr>
            <w:tcW w:w="2040" w:type="dxa"/>
            <w:noWrap w:val="0"/>
            <w:vAlign w:val="center"/>
          </w:tcPr>
          <w:p w14:paraId="2FF964A5">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4121238B">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0EC87A8">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56B37E91">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200405B7">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2CAF72A2">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2AABB8FC">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29A4A3A4">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6891C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7238214">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7</w:t>
            </w:r>
          </w:p>
        </w:tc>
        <w:tc>
          <w:tcPr>
            <w:tcW w:w="2040" w:type="dxa"/>
            <w:noWrap w:val="0"/>
            <w:vAlign w:val="center"/>
          </w:tcPr>
          <w:p w14:paraId="5F54A023">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2C894C39">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4536594E">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141F411E">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3380A902">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B00E09B">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18A1CDD3">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0A67EFDD">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44F7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124239D">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8</w:t>
            </w:r>
          </w:p>
        </w:tc>
        <w:tc>
          <w:tcPr>
            <w:tcW w:w="2040" w:type="dxa"/>
            <w:noWrap w:val="0"/>
            <w:vAlign w:val="center"/>
          </w:tcPr>
          <w:p w14:paraId="4D1D9ADE">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54AB4FB8">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2F4CEF7">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7B9F7F77">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50CBAAD3">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03560832">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1A0BB27B">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742736E2">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0B29C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2FFB88E">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9</w:t>
            </w:r>
          </w:p>
        </w:tc>
        <w:tc>
          <w:tcPr>
            <w:tcW w:w="2040" w:type="dxa"/>
            <w:noWrap w:val="0"/>
            <w:vAlign w:val="center"/>
          </w:tcPr>
          <w:p w14:paraId="050A3288">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652A2D54">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59073B1C">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0273F485">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6FCC5E45">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69EF4475">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02722EB1">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top"/>
          </w:tcPr>
          <w:p w14:paraId="4AB4CBA0">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7FEC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68D58201">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10</w:t>
            </w:r>
          </w:p>
        </w:tc>
        <w:tc>
          <w:tcPr>
            <w:tcW w:w="2040" w:type="dxa"/>
            <w:noWrap w:val="0"/>
            <w:vAlign w:val="center"/>
          </w:tcPr>
          <w:p w14:paraId="76F42A17">
            <w:pPr>
              <w:spacing w:line="32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3628CB01">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7234FDD1">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3FF5385B">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64C1C2ED">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549624E9">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4165E46D">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top"/>
          </w:tcPr>
          <w:p w14:paraId="30A40C79">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092C3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B6B861A">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11</w:t>
            </w:r>
          </w:p>
        </w:tc>
        <w:tc>
          <w:tcPr>
            <w:tcW w:w="2040" w:type="dxa"/>
            <w:noWrap w:val="0"/>
            <w:vAlign w:val="center"/>
          </w:tcPr>
          <w:p w14:paraId="7DCCEA56">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56E97E58">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71ABA8D">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702D26A7">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16F81CD5">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2D16EBCF">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37D48F2C">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top"/>
          </w:tcPr>
          <w:p w14:paraId="58379FDA">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bl>
    <w:p w14:paraId="1956966A">
      <w:pPr>
        <w:spacing w:line="440" w:lineRule="exact"/>
        <w:ind w:left="-489" w:leftChars="-233" w:firstLine="297" w:firstLineChars="9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30"/>
          <w:szCs w:val="30"/>
        </w:rPr>
        <w:br w:type="page"/>
      </w:r>
      <w:r>
        <w:rPr>
          <w:rFonts w:hint="eastAsia" w:ascii="华文中宋" w:hAnsi="华文中宋" w:eastAsia="华文中宋" w:cs="华文中宋"/>
          <w:color w:val="auto"/>
          <w:sz w:val="24"/>
          <w:szCs w:val="24"/>
        </w:rPr>
        <w:t>附</w:t>
      </w:r>
      <w:bookmarkStart w:id="1125" w:name="_Toc296891056"/>
      <w:bookmarkStart w:id="1126" w:name="_Toc296891268"/>
      <w:bookmarkStart w:id="1127" w:name="_Toc296346729"/>
      <w:bookmarkStart w:id="1128" w:name="_Toc296503228"/>
      <w:bookmarkStart w:id="1129" w:name="_Toc267261699"/>
      <w:bookmarkStart w:id="1130" w:name="_Toc296944567"/>
      <w:bookmarkStart w:id="1131" w:name="_Toc296347227"/>
      <w:r>
        <w:rPr>
          <w:rFonts w:hint="eastAsia" w:ascii="华文中宋" w:hAnsi="华文中宋" w:eastAsia="华文中宋" w:cs="华文中宋"/>
          <w:color w:val="auto"/>
          <w:sz w:val="24"/>
          <w:szCs w:val="24"/>
        </w:rPr>
        <w:t>件6：</w:t>
      </w:r>
    </w:p>
    <w:bookmarkEnd w:id="1125"/>
    <w:bookmarkEnd w:id="1126"/>
    <w:bookmarkEnd w:id="1127"/>
    <w:bookmarkEnd w:id="1128"/>
    <w:bookmarkEnd w:id="1129"/>
    <w:bookmarkEnd w:id="1130"/>
    <w:bookmarkEnd w:id="1131"/>
    <w:p w14:paraId="58E15E65">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承包人主要施工管理人员表</w:t>
      </w:r>
    </w:p>
    <w:tbl>
      <w:tblPr>
        <w:tblStyle w:val="29"/>
        <w:tblW w:w="95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283"/>
        <w:gridCol w:w="1640"/>
        <w:gridCol w:w="1317"/>
        <w:gridCol w:w="3438"/>
      </w:tblGrid>
      <w:tr w14:paraId="66ED0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noWrap w:val="0"/>
            <w:vAlign w:val="center"/>
          </w:tcPr>
          <w:p w14:paraId="6C907C4F">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名    称</w:t>
            </w:r>
          </w:p>
        </w:tc>
        <w:tc>
          <w:tcPr>
            <w:tcW w:w="1283" w:type="dxa"/>
            <w:tcBorders>
              <w:top w:val="single" w:color="auto" w:sz="12" w:space="0"/>
              <w:bottom w:val="double" w:color="auto" w:sz="6" w:space="0"/>
            </w:tcBorders>
            <w:noWrap w:val="0"/>
            <w:vAlign w:val="center"/>
          </w:tcPr>
          <w:p w14:paraId="43F6E4B2">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姓名</w:t>
            </w:r>
          </w:p>
        </w:tc>
        <w:tc>
          <w:tcPr>
            <w:tcW w:w="1640" w:type="dxa"/>
            <w:tcBorders>
              <w:top w:val="single" w:color="auto" w:sz="12" w:space="0"/>
              <w:bottom w:val="double" w:color="auto" w:sz="6" w:space="0"/>
            </w:tcBorders>
            <w:noWrap w:val="0"/>
            <w:vAlign w:val="center"/>
          </w:tcPr>
          <w:p w14:paraId="73023902">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职务</w:t>
            </w:r>
          </w:p>
        </w:tc>
        <w:tc>
          <w:tcPr>
            <w:tcW w:w="1317" w:type="dxa"/>
            <w:tcBorders>
              <w:top w:val="single" w:color="auto" w:sz="12" w:space="0"/>
              <w:bottom w:val="double" w:color="auto" w:sz="6" w:space="0"/>
            </w:tcBorders>
            <w:noWrap w:val="0"/>
            <w:vAlign w:val="center"/>
          </w:tcPr>
          <w:p w14:paraId="251052DC">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职称</w:t>
            </w:r>
          </w:p>
        </w:tc>
        <w:tc>
          <w:tcPr>
            <w:tcW w:w="3438" w:type="dxa"/>
            <w:tcBorders>
              <w:top w:val="single" w:color="auto" w:sz="12" w:space="0"/>
              <w:bottom w:val="double" w:color="auto" w:sz="6" w:space="0"/>
            </w:tcBorders>
            <w:noWrap w:val="0"/>
            <w:vAlign w:val="center"/>
          </w:tcPr>
          <w:p w14:paraId="77BBF6E5">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主要资历、经验及承担过的项目</w:t>
            </w:r>
          </w:p>
        </w:tc>
      </w:tr>
      <w:tr w14:paraId="6025D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9" w:type="dxa"/>
            <w:gridSpan w:val="5"/>
            <w:tcBorders>
              <w:top w:val="double" w:color="auto" w:sz="6" w:space="0"/>
              <w:bottom w:val="single" w:color="auto" w:sz="6" w:space="0"/>
            </w:tcBorders>
            <w:noWrap w:val="0"/>
            <w:vAlign w:val="center"/>
          </w:tcPr>
          <w:p w14:paraId="5279AD15">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一、总部人员</w:t>
            </w:r>
          </w:p>
        </w:tc>
      </w:tr>
      <w:tr w14:paraId="6FEEE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81FB7A1">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项目主管</w:t>
            </w:r>
          </w:p>
        </w:tc>
        <w:tc>
          <w:tcPr>
            <w:tcW w:w="1283" w:type="dxa"/>
            <w:tcBorders>
              <w:top w:val="nil"/>
            </w:tcBorders>
            <w:noWrap w:val="0"/>
            <w:vAlign w:val="center"/>
          </w:tcPr>
          <w:p w14:paraId="27B9334C">
            <w:pPr>
              <w:spacing w:line="440" w:lineRule="exact"/>
              <w:jc w:val="center"/>
              <w:rPr>
                <w:rFonts w:hint="eastAsia" w:ascii="华文中宋" w:hAnsi="华文中宋" w:eastAsia="华文中宋" w:cs="华文中宋"/>
                <w:b/>
                <w:color w:val="auto"/>
                <w:sz w:val="24"/>
                <w:szCs w:val="24"/>
              </w:rPr>
            </w:pPr>
          </w:p>
        </w:tc>
        <w:tc>
          <w:tcPr>
            <w:tcW w:w="1640" w:type="dxa"/>
            <w:tcBorders>
              <w:top w:val="nil"/>
            </w:tcBorders>
            <w:noWrap w:val="0"/>
            <w:vAlign w:val="center"/>
          </w:tcPr>
          <w:p w14:paraId="4F568079">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tcBorders>
              <w:top w:val="nil"/>
            </w:tcBorders>
            <w:noWrap w:val="0"/>
            <w:vAlign w:val="center"/>
          </w:tcPr>
          <w:p w14:paraId="614BE3AB">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tcBorders>
              <w:top w:val="nil"/>
            </w:tcBorders>
            <w:noWrap w:val="0"/>
            <w:vAlign w:val="center"/>
          </w:tcPr>
          <w:p w14:paraId="6DA7DAF9">
            <w:pPr>
              <w:pStyle w:val="13"/>
              <w:keepNext/>
              <w:spacing w:line="440" w:lineRule="exact"/>
              <w:ind w:left="63" w:right="63"/>
              <w:rPr>
                <w:rFonts w:hint="eastAsia" w:ascii="华文中宋" w:hAnsi="华文中宋" w:eastAsia="华文中宋" w:cs="华文中宋"/>
                <w:color w:val="auto"/>
                <w:kern w:val="2"/>
                <w:sz w:val="24"/>
                <w:szCs w:val="24"/>
              </w:rPr>
            </w:pPr>
          </w:p>
        </w:tc>
      </w:tr>
      <w:tr w14:paraId="3E2C6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21553A9">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62524045">
            <w:pPr>
              <w:spacing w:line="480" w:lineRule="exact"/>
              <w:jc w:val="center"/>
              <w:rPr>
                <w:rFonts w:hint="eastAsia" w:ascii="华文中宋" w:hAnsi="华文中宋" w:eastAsia="华文中宋" w:cs="华文中宋"/>
                <w:b/>
                <w:color w:val="auto"/>
                <w:sz w:val="24"/>
                <w:szCs w:val="24"/>
              </w:rPr>
            </w:pPr>
          </w:p>
        </w:tc>
        <w:tc>
          <w:tcPr>
            <w:tcW w:w="1640" w:type="dxa"/>
            <w:noWrap w:val="0"/>
            <w:vAlign w:val="center"/>
          </w:tcPr>
          <w:p w14:paraId="7798D0DB">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noWrap w:val="0"/>
            <w:vAlign w:val="center"/>
          </w:tcPr>
          <w:p w14:paraId="782CA422">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noWrap w:val="0"/>
            <w:vAlign w:val="center"/>
          </w:tcPr>
          <w:p w14:paraId="15EDEEF2">
            <w:pPr>
              <w:pStyle w:val="13"/>
              <w:keepNext/>
              <w:spacing w:line="440" w:lineRule="exact"/>
              <w:ind w:left="63" w:right="63"/>
              <w:rPr>
                <w:rFonts w:hint="eastAsia" w:ascii="华文中宋" w:hAnsi="华文中宋" w:eastAsia="华文中宋" w:cs="华文中宋"/>
                <w:color w:val="auto"/>
                <w:kern w:val="2"/>
                <w:sz w:val="24"/>
                <w:szCs w:val="24"/>
              </w:rPr>
            </w:pPr>
          </w:p>
        </w:tc>
      </w:tr>
      <w:tr w14:paraId="1DAB1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FA26B3A">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其他人员</w:t>
            </w:r>
          </w:p>
        </w:tc>
        <w:tc>
          <w:tcPr>
            <w:tcW w:w="1283" w:type="dxa"/>
            <w:noWrap w:val="0"/>
            <w:vAlign w:val="center"/>
          </w:tcPr>
          <w:p w14:paraId="772BA46E">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699B0184">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noWrap w:val="0"/>
            <w:vAlign w:val="center"/>
          </w:tcPr>
          <w:p w14:paraId="034FAB26">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noWrap w:val="0"/>
            <w:vAlign w:val="center"/>
          </w:tcPr>
          <w:p w14:paraId="0C16D779">
            <w:pPr>
              <w:pStyle w:val="13"/>
              <w:keepNext/>
              <w:spacing w:line="440" w:lineRule="exact"/>
              <w:ind w:left="63" w:right="63"/>
              <w:rPr>
                <w:rFonts w:hint="eastAsia" w:ascii="华文中宋" w:hAnsi="华文中宋" w:eastAsia="华文中宋" w:cs="华文中宋"/>
                <w:color w:val="auto"/>
                <w:kern w:val="2"/>
                <w:sz w:val="24"/>
                <w:szCs w:val="24"/>
              </w:rPr>
            </w:pPr>
          </w:p>
        </w:tc>
      </w:tr>
      <w:tr w14:paraId="3DF98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771D83E">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5BC5AC72">
            <w:pPr>
              <w:spacing w:line="440" w:lineRule="exact"/>
              <w:rPr>
                <w:rFonts w:hint="eastAsia" w:ascii="华文中宋" w:hAnsi="华文中宋" w:eastAsia="华文中宋" w:cs="华文中宋"/>
                <w:b/>
                <w:color w:val="auto"/>
                <w:sz w:val="24"/>
                <w:szCs w:val="24"/>
              </w:rPr>
            </w:pPr>
          </w:p>
        </w:tc>
        <w:tc>
          <w:tcPr>
            <w:tcW w:w="1640" w:type="dxa"/>
            <w:noWrap w:val="0"/>
            <w:vAlign w:val="center"/>
          </w:tcPr>
          <w:p w14:paraId="0957B370">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noWrap w:val="0"/>
            <w:vAlign w:val="center"/>
          </w:tcPr>
          <w:p w14:paraId="6B1AA6B4">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noWrap w:val="0"/>
            <w:vAlign w:val="center"/>
          </w:tcPr>
          <w:p w14:paraId="4823E68D">
            <w:pPr>
              <w:pStyle w:val="13"/>
              <w:keepNext/>
              <w:spacing w:line="440" w:lineRule="exact"/>
              <w:ind w:left="63" w:right="63"/>
              <w:rPr>
                <w:rFonts w:hint="eastAsia" w:ascii="华文中宋" w:hAnsi="华文中宋" w:eastAsia="华文中宋" w:cs="华文中宋"/>
                <w:color w:val="auto"/>
                <w:kern w:val="2"/>
                <w:sz w:val="24"/>
                <w:szCs w:val="24"/>
              </w:rPr>
            </w:pPr>
          </w:p>
        </w:tc>
      </w:tr>
      <w:tr w14:paraId="11F31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9" w:type="dxa"/>
            <w:gridSpan w:val="5"/>
            <w:tcBorders>
              <w:top w:val="single" w:color="auto" w:sz="6" w:space="0"/>
              <w:bottom w:val="single" w:color="auto" w:sz="6" w:space="0"/>
            </w:tcBorders>
            <w:noWrap w:val="0"/>
            <w:vAlign w:val="center"/>
          </w:tcPr>
          <w:p w14:paraId="30CD8567">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二、现场人员</w:t>
            </w:r>
          </w:p>
        </w:tc>
      </w:tr>
      <w:tr w14:paraId="35F8B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524FB524">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项目经理</w:t>
            </w:r>
          </w:p>
        </w:tc>
        <w:tc>
          <w:tcPr>
            <w:tcW w:w="1283" w:type="dxa"/>
            <w:noWrap w:val="0"/>
            <w:vAlign w:val="center"/>
          </w:tcPr>
          <w:p w14:paraId="2B611F07">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0402C5AB">
            <w:pPr>
              <w:spacing w:line="440" w:lineRule="exact"/>
              <w:jc w:val="center"/>
              <w:rPr>
                <w:rFonts w:hint="eastAsia" w:ascii="华文中宋" w:hAnsi="华文中宋" w:eastAsia="华文中宋" w:cs="华文中宋"/>
                <w:b/>
                <w:bCs/>
                <w:color w:val="auto"/>
                <w:sz w:val="24"/>
                <w:szCs w:val="24"/>
              </w:rPr>
            </w:pPr>
          </w:p>
        </w:tc>
        <w:tc>
          <w:tcPr>
            <w:tcW w:w="1317" w:type="dxa"/>
            <w:noWrap w:val="0"/>
            <w:vAlign w:val="center"/>
          </w:tcPr>
          <w:p w14:paraId="68889257">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3F8C01EC">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2CE47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0F44D4EE">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项目副经理</w:t>
            </w:r>
          </w:p>
        </w:tc>
        <w:tc>
          <w:tcPr>
            <w:tcW w:w="1283" w:type="dxa"/>
            <w:noWrap w:val="0"/>
            <w:vAlign w:val="center"/>
          </w:tcPr>
          <w:p w14:paraId="6CFA852D">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1C6290D1">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1317" w:type="dxa"/>
            <w:noWrap w:val="0"/>
            <w:vAlign w:val="center"/>
          </w:tcPr>
          <w:p w14:paraId="397310DB">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26808184">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CF22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71" w:type="dxa"/>
            <w:tcBorders>
              <w:top w:val="single" w:color="auto" w:sz="6" w:space="0"/>
              <w:bottom w:val="single" w:color="auto" w:sz="6" w:space="0"/>
            </w:tcBorders>
            <w:noWrap w:val="0"/>
            <w:vAlign w:val="center"/>
          </w:tcPr>
          <w:p w14:paraId="49E8B9BE">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技术负责人</w:t>
            </w:r>
          </w:p>
        </w:tc>
        <w:tc>
          <w:tcPr>
            <w:tcW w:w="1283" w:type="dxa"/>
            <w:noWrap w:val="0"/>
            <w:vAlign w:val="center"/>
          </w:tcPr>
          <w:p w14:paraId="027270FF">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773668DA">
            <w:pPr>
              <w:spacing w:line="320" w:lineRule="exact"/>
              <w:jc w:val="center"/>
              <w:rPr>
                <w:rFonts w:hint="eastAsia" w:ascii="华文中宋" w:hAnsi="华文中宋" w:eastAsia="华文中宋" w:cs="华文中宋"/>
                <w:b/>
                <w:color w:val="auto"/>
                <w:sz w:val="24"/>
                <w:szCs w:val="24"/>
              </w:rPr>
            </w:pPr>
          </w:p>
        </w:tc>
        <w:tc>
          <w:tcPr>
            <w:tcW w:w="1317" w:type="dxa"/>
            <w:noWrap w:val="0"/>
            <w:vAlign w:val="center"/>
          </w:tcPr>
          <w:p w14:paraId="0C2DB7BD">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3A17E7C5">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02D77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jc w:val="center"/>
        </w:trPr>
        <w:tc>
          <w:tcPr>
            <w:tcW w:w="1871" w:type="dxa"/>
            <w:tcBorders>
              <w:top w:val="single" w:color="auto" w:sz="6" w:space="0"/>
              <w:bottom w:val="single" w:color="auto" w:sz="6" w:space="0"/>
            </w:tcBorders>
            <w:noWrap w:val="0"/>
            <w:vAlign w:val="center"/>
          </w:tcPr>
          <w:p w14:paraId="6149381A">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造价管理</w:t>
            </w:r>
          </w:p>
        </w:tc>
        <w:tc>
          <w:tcPr>
            <w:tcW w:w="1283" w:type="dxa"/>
            <w:noWrap w:val="0"/>
            <w:vAlign w:val="center"/>
          </w:tcPr>
          <w:p w14:paraId="6D8CE7C7">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73C18841">
            <w:pPr>
              <w:spacing w:line="320" w:lineRule="exact"/>
              <w:jc w:val="center"/>
              <w:rPr>
                <w:rFonts w:hint="eastAsia" w:ascii="华文中宋" w:hAnsi="华文中宋" w:eastAsia="华文中宋" w:cs="华文中宋"/>
                <w:b/>
                <w:color w:val="auto"/>
                <w:sz w:val="24"/>
                <w:szCs w:val="24"/>
              </w:rPr>
            </w:pPr>
          </w:p>
        </w:tc>
        <w:tc>
          <w:tcPr>
            <w:tcW w:w="1317" w:type="dxa"/>
            <w:noWrap w:val="0"/>
            <w:vAlign w:val="center"/>
          </w:tcPr>
          <w:p w14:paraId="446E3307">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108EC8D3">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1F56B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3F488D45">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质量管理</w:t>
            </w:r>
          </w:p>
        </w:tc>
        <w:tc>
          <w:tcPr>
            <w:tcW w:w="1283" w:type="dxa"/>
            <w:noWrap w:val="0"/>
            <w:vAlign w:val="center"/>
          </w:tcPr>
          <w:p w14:paraId="4B9069A7">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53E1CA98">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68D0A8B0">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7441C105">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6C399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6A35C12F">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安全管理</w:t>
            </w:r>
          </w:p>
        </w:tc>
        <w:tc>
          <w:tcPr>
            <w:tcW w:w="1283" w:type="dxa"/>
            <w:noWrap w:val="0"/>
            <w:vAlign w:val="center"/>
          </w:tcPr>
          <w:p w14:paraId="5AF0BC51">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62FD22AF">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2A3F3259">
            <w:pPr>
              <w:spacing w:line="320" w:lineRule="exact"/>
              <w:jc w:val="center"/>
              <w:rPr>
                <w:rFonts w:hint="eastAsia" w:ascii="华文中宋" w:hAnsi="华文中宋" w:eastAsia="华文中宋" w:cs="华文中宋"/>
                <w:b/>
                <w:color w:val="auto"/>
                <w:sz w:val="24"/>
                <w:szCs w:val="24"/>
              </w:rPr>
            </w:pPr>
          </w:p>
        </w:tc>
        <w:tc>
          <w:tcPr>
            <w:tcW w:w="3438" w:type="dxa"/>
            <w:noWrap w:val="0"/>
            <w:vAlign w:val="center"/>
          </w:tcPr>
          <w:p w14:paraId="3AC46E6F">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20E4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0" w:hRule="atLeast"/>
          <w:jc w:val="center"/>
        </w:trPr>
        <w:tc>
          <w:tcPr>
            <w:tcW w:w="1871" w:type="dxa"/>
            <w:vMerge w:val="restart"/>
            <w:tcBorders>
              <w:top w:val="single" w:color="auto" w:sz="6" w:space="0"/>
            </w:tcBorders>
            <w:noWrap w:val="0"/>
            <w:vAlign w:val="center"/>
          </w:tcPr>
          <w:p w14:paraId="50D91481">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其他人员</w:t>
            </w:r>
          </w:p>
        </w:tc>
        <w:tc>
          <w:tcPr>
            <w:tcW w:w="1283" w:type="dxa"/>
            <w:noWrap w:val="0"/>
            <w:vAlign w:val="center"/>
          </w:tcPr>
          <w:p w14:paraId="31E4C4DD">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2573644F">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7C38AD07">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3438" w:type="dxa"/>
            <w:noWrap w:val="0"/>
            <w:vAlign w:val="center"/>
          </w:tcPr>
          <w:p w14:paraId="7887BE77">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FD60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exact"/>
          <w:jc w:val="center"/>
        </w:trPr>
        <w:tc>
          <w:tcPr>
            <w:tcW w:w="1871" w:type="dxa"/>
            <w:vMerge w:val="continue"/>
            <w:noWrap w:val="0"/>
            <w:vAlign w:val="center"/>
          </w:tcPr>
          <w:p w14:paraId="07AD0B87">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211CACAA">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3247AD8B">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02B78156">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3438" w:type="dxa"/>
            <w:noWrap w:val="0"/>
            <w:vAlign w:val="center"/>
          </w:tcPr>
          <w:p w14:paraId="1AE27911">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6B810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vMerge w:val="continue"/>
            <w:noWrap w:val="0"/>
            <w:vAlign w:val="center"/>
          </w:tcPr>
          <w:p w14:paraId="446ED59A">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076528F4">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768C1B54">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5B69C424">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3438" w:type="dxa"/>
            <w:noWrap w:val="0"/>
            <w:vAlign w:val="center"/>
          </w:tcPr>
          <w:p w14:paraId="068111CD">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6B33E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vMerge w:val="continue"/>
            <w:noWrap w:val="0"/>
            <w:vAlign w:val="center"/>
          </w:tcPr>
          <w:p w14:paraId="036903E0">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5064B72A">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16B15A9E">
            <w:pPr>
              <w:spacing w:line="440" w:lineRule="exact"/>
              <w:jc w:val="center"/>
              <w:rPr>
                <w:rFonts w:hint="eastAsia" w:ascii="华文中宋" w:hAnsi="华文中宋" w:eastAsia="华文中宋" w:cs="华文中宋"/>
                <w:b/>
                <w:color w:val="auto"/>
                <w:sz w:val="24"/>
                <w:szCs w:val="24"/>
                <w:highlight w:val="cyan"/>
              </w:rPr>
            </w:pPr>
          </w:p>
        </w:tc>
        <w:tc>
          <w:tcPr>
            <w:tcW w:w="1317" w:type="dxa"/>
            <w:noWrap w:val="0"/>
            <w:vAlign w:val="center"/>
          </w:tcPr>
          <w:p w14:paraId="5CEAB41A">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3438" w:type="dxa"/>
            <w:noWrap w:val="0"/>
            <w:vAlign w:val="center"/>
          </w:tcPr>
          <w:p w14:paraId="33DB5C86">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E56D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vMerge w:val="continue"/>
            <w:tcBorders>
              <w:bottom w:val="single" w:color="auto" w:sz="12" w:space="0"/>
            </w:tcBorders>
            <w:noWrap w:val="0"/>
            <w:vAlign w:val="center"/>
          </w:tcPr>
          <w:p w14:paraId="24AF2115">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tcBorders>
              <w:bottom w:val="single" w:color="auto" w:sz="12" w:space="0"/>
            </w:tcBorders>
            <w:noWrap w:val="0"/>
            <w:vAlign w:val="center"/>
          </w:tcPr>
          <w:p w14:paraId="37AAC191">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1640" w:type="dxa"/>
            <w:tcBorders>
              <w:bottom w:val="single" w:color="auto" w:sz="12" w:space="0"/>
            </w:tcBorders>
            <w:noWrap w:val="0"/>
            <w:vAlign w:val="center"/>
          </w:tcPr>
          <w:p w14:paraId="49DF645F">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1317" w:type="dxa"/>
            <w:tcBorders>
              <w:bottom w:val="single" w:color="auto" w:sz="12" w:space="0"/>
            </w:tcBorders>
            <w:noWrap w:val="0"/>
            <w:vAlign w:val="center"/>
          </w:tcPr>
          <w:p w14:paraId="792DF108">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3438" w:type="dxa"/>
            <w:tcBorders>
              <w:bottom w:val="single" w:color="auto" w:sz="12" w:space="0"/>
            </w:tcBorders>
            <w:noWrap w:val="0"/>
            <w:vAlign w:val="center"/>
          </w:tcPr>
          <w:p w14:paraId="6D8088D4">
            <w:pPr>
              <w:pStyle w:val="13"/>
              <w:keepNext/>
              <w:spacing w:line="440" w:lineRule="exact"/>
              <w:ind w:left="63" w:right="63"/>
              <w:rPr>
                <w:rFonts w:hint="eastAsia" w:ascii="华文中宋" w:hAnsi="华文中宋" w:eastAsia="华文中宋" w:cs="华文中宋"/>
                <w:color w:val="auto"/>
                <w:kern w:val="2"/>
                <w:sz w:val="24"/>
                <w:szCs w:val="24"/>
              </w:rPr>
            </w:pPr>
          </w:p>
        </w:tc>
      </w:tr>
    </w:tbl>
    <w:p w14:paraId="146DBFA1">
      <w:pPr>
        <w:spacing w:line="440" w:lineRule="exact"/>
        <w:ind w:left="-489" w:leftChars="-233" w:firstLine="297" w:firstLineChars="9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30"/>
          <w:szCs w:val="30"/>
        </w:rPr>
        <w:br w:type="page"/>
      </w:r>
      <w:r>
        <w:rPr>
          <w:rFonts w:hint="eastAsia" w:ascii="华文中宋" w:hAnsi="华文中宋" w:eastAsia="华文中宋" w:cs="华文中宋"/>
          <w:color w:val="auto"/>
          <w:sz w:val="24"/>
          <w:szCs w:val="24"/>
        </w:rPr>
        <w:t>附</w:t>
      </w:r>
      <w:bookmarkStart w:id="1132" w:name="_Toc296891057"/>
      <w:bookmarkStart w:id="1133" w:name="_Toc296503229"/>
      <w:bookmarkStart w:id="1134" w:name="_Toc296346730"/>
      <w:bookmarkStart w:id="1135" w:name="_Toc296944568"/>
      <w:bookmarkStart w:id="1136" w:name="_Toc296347228"/>
      <w:bookmarkStart w:id="1137" w:name="_Toc296891269"/>
      <w:r>
        <w:rPr>
          <w:rFonts w:hint="eastAsia" w:ascii="华文中宋" w:hAnsi="华文中宋" w:eastAsia="华文中宋" w:cs="华文中宋"/>
          <w:color w:val="auto"/>
          <w:sz w:val="24"/>
          <w:szCs w:val="24"/>
        </w:rPr>
        <w:t>件7：</w:t>
      </w:r>
    </w:p>
    <w:bookmarkEnd w:id="1132"/>
    <w:bookmarkEnd w:id="1133"/>
    <w:bookmarkEnd w:id="1134"/>
    <w:bookmarkEnd w:id="1135"/>
    <w:bookmarkEnd w:id="1136"/>
    <w:bookmarkEnd w:id="1137"/>
    <w:p w14:paraId="6B8F1A79">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分包人主要施工管理人员表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ED49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F58179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名    称</w:t>
            </w:r>
          </w:p>
        </w:tc>
        <w:tc>
          <w:tcPr>
            <w:tcW w:w="1418" w:type="dxa"/>
            <w:tcBorders>
              <w:top w:val="single" w:color="auto" w:sz="12" w:space="0"/>
              <w:bottom w:val="double" w:color="auto" w:sz="6" w:space="0"/>
            </w:tcBorders>
            <w:noWrap w:val="0"/>
            <w:vAlign w:val="center"/>
          </w:tcPr>
          <w:p w14:paraId="63B9DF2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姓名</w:t>
            </w:r>
          </w:p>
        </w:tc>
        <w:tc>
          <w:tcPr>
            <w:tcW w:w="1134" w:type="dxa"/>
            <w:tcBorders>
              <w:top w:val="single" w:color="auto" w:sz="12" w:space="0"/>
              <w:bottom w:val="double" w:color="auto" w:sz="6" w:space="0"/>
            </w:tcBorders>
            <w:noWrap w:val="0"/>
            <w:vAlign w:val="center"/>
          </w:tcPr>
          <w:p w14:paraId="22955FAE">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职务</w:t>
            </w:r>
          </w:p>
        </w:tc>
        <w:tc>
          <w:tcPr>
            <w:tcW w:w="1134" w:type="dxa"/>
            <w:tcBorders>
              <w:top w:val="single" w:color="auto" w:sz="12" w:space="0"/>
              <w:bottom w:val="double" w:color="auto" w:sz="6" w:space="0"/>
            </w:tcBorders>
            <w:noWrap w:val="0"/>
            <w:vAlign w:val="center"/>
          </w:tcPr>
          <w:p w14:paraId="156F4F3F">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职称</w:t>
            </w:r>
          </w:p>
        </w:tc>
        <w:tc>
          <w:tcPr>
            <w:tcW w:w="4252" w:type="dxa"/>
            <w:tcBorders>
              <w:top w:val="single" w:color="auto" w:sz="12" w:space="0"/>
              <w:bottom w:val="double" w:color="auto" w:sz="6" w:space="0"/>
            </w:tcBorders>
            <w:noWrap w:val="0"/>
            <w:vAlign w:val="center"/>
          </w:tcPr>
          <w:p w14:paraId="78692CD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主要资历、经验及承担过的项目</w:t>
            </w:r>
          </w:p>
        </w:tc>
      </w:tr>
      <w:tr w14:paraId="68B65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66E4EF9">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一、总部人员</w:t>
            </w:r>
          </w:p>
        </w:tc>
      </w:tr>
      <w:tr w14:paraId="258B3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8ABB782">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项目主管</w:t>
            </w:r>
          </w:p>
        </w:tc>
        <w:tc>
          <w:tcPr>
            <w:tcW w:w="1418" w:type="dxa"/>
            <w:tcBorders>
              <w:top w:val="nil"/>
            </w:tcBorders>
            <w:noWrap w:val="0"/>
            <w:vAlign w:val="center"/>
          </w:tcPr>
          <w:p w14:paraId="225CAF3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top w:val="nil"/>
            </w:tcBorders>
            <w:noWrap w:val="0"/>
            <w:vAlign w:val="center"/>
          </w:tcPr>
          <w:p w14:paraId="2F0CC0E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top w:val="nil"/>
            </w:tcBorders>
            <w:noWrap w:val="0"/>
            <w:vAlign w:val="center"/>
          </w:tcPr>
          <w:p w14:paraId="4C9AC88C">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tcBorders>
              <w:top w:val="nil"/>
            </w:tcBorders>
            <w:noWrap w:val="0"/>
            <w:vAlign w:val="center"/>
          </w:tcPr>
          <w:p w14:paraId="23A4F034">
            <w:pPr>
              <w:pStyle w:val="13"/>
              <w:keepNext/>
              <w:spacing w:line="440" w:lineRule="exact"/>
              <w:ind w:left="63" w:right="63"/>
              <w:rPr>
                <w:rFonts w:hint="eastAsia" w:ascii="华文中宋" w:hAnsi="华文中宋" w:eastAsia="华文中宋" w:cs="华文中宋"/>
                <w:color w:val="auto"/>
                <w:kern w:val="2"/>
                <w:sz w:val="21"/>
                <w:szCs w:val="21"/>
              </w:rPr>
            </w:pPr>
          </w:p>
        </w:tc>
      </w:tr>
      <w:tr w14:paraId="6403E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B27649A">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51BAB60B">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0D2D0F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F56FAEF">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236ECA4A">
            <w:pPr>
              <w:pStyle w:val="13"/>
              <w:keepNext/>
              <w:spacing w:line="440" w:lineRule="exact"/>
              <w:ind w:left="63" w:right="63"/>
              <w:rPr>
                <w:rFonts w:hint="eastAsia" w:ascii="华文中宋" w:hAnsi="华文中宋" w:eastAsia="华文中宋" w:cs="华文中宋"/>
                <w:color w:val="auto"/>
                <w:kern w:val="2"/>
                <w:sz w:val="21"/>
                <w:szCs w:val="21"/>
              </w:rPr>
            </w:pPr>
          </w:p>
        </w:tc>
      </w:tr>
      <w:tr w14:paraId="40BA1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3022A9">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其他人员</w:t>
            </w:r>
          </w:p>
        </w:tc>
        <w:tc>
          <w:tcPr>
            <w:tcW w:w="1418" w:type="dxa"/>
            <w:noWrap w:val="0"/>
            <w:vAlign w:val="center"/>
          </w:tcPr>
          <w:p w14:paraId="7DB2D62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4627E0B4">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77B24A6">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E42BAD4">
            <w:pPr>
              <w:pStyle w:val="13"/>
              <w:keepNext/>
              <w:spacing w:line="440" w:lineRule="exact"/>
              <w:ind w:left="63" w:right="63"/>
              <w:rPr>
                <w:rFonts w:hint="eastAsia" w:ascii="华文中宋" w:hAnsi="华文中宋" w:eastAsia="华文中宋" w:cs="华文中宋"/>
                <w:color w:val="auto"/>
                <w:kern w:val="2"/>
                <w:sz w:val="21"/>
                <w:szCs w:val="21"/>
              </w:rPr>
            </w:pPr>
          </w:p>
        </w:tc>
      </w:tr>
      <w:tr w14:paraId="18D9A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91E5049">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3EE70D32">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102ED83">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3E51A025">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065A7C7D">
            <w:pPr>
              <w:pStyle w:val="13"/>
              <w:keepNext/>
              <w:spacing w:line="440" w:lineRule="exact"/>
              <w:ind w:left="63" w:right="63"/>
              <w:rPr>
                <w:rFonts w:hint="eastAsia" w:ascii="华文中宋" w:hAnsi="华文中宋" w:eastAsia="华文中宋" w:cs="华文中宋"/>
                <w:color w:val="auto"/>
                <w:kern w:val="2"/>
                <w:sz w:val="21"/>
                <w:szCs w:val="21"/>
              </w:rPr>
            </w:pPr>
          </w:p>
        </w:tc>
      </w:tr>
      <w:tr w14:paraId="2375F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FFC6998">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二、现场人员</w:t>
            </w:r>
          </w:p>
        </w:tc>
      </w:tr>
      <w:tr w14:paraId="71109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30B450">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项目经理</w:t>
            </w:r>
          </w:p>
        </w:tc>
        <w:tc>
          <w:tcPr>
            <w:tcW w:w="1418" w:type="dxa"/>
            <w:noWrap w:val="0"/>
            <w:vAlign w:val="center"/>
          </w:tcPr>
          <w:p w14:paraId="0C99C3D4">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F342EF8">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FC00304">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08B132AC">
            <w:pPr>
              <w:pStyle w:val="13"/>
              <w:keepNext/>
              <w:spacing w:line="440" w:lineRule="exact"/>
              <w:ind w:left="63" w:right="63"/>
              <w:rPr>
                <w:rFonts w:hint="eastAsia" w:ascii="华文中宋" w:hAnsi="华文中宋" w:eastAsia="华文中宋" w:cs="华文中宋"/>
                <w:color w:val="auto"/>
                <w:kern w:val="2"/>
                <w:sz w:val="21"/>
                <w:szCs w:val="21"/>
              </w:rPr>
            </w:pPr>
          </w:p>
        </w:tc>
      </w:tr>
      <w:tr w14:paraId="60986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AD885EE">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项目副经理</w:t>
            </w:r>
          </w:p>
        </w:tc>
        <w:tc>
          <w:tcPr>
            <w:tcW w:w="1418" w:type="dxa"/>
            <w:noWrap w:val="0"/>
            <w:vAlign w:val="center"/>
          </w:tcPr>
          <w:p w14:paraId="1B4F7E3B">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A6F793C">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2BBD17B">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4B200A4D">
            <w:pPr>
              <w:pStyle w:val="13"/>
              <w:keepNext/>
              <w:spacing w:line="440" w:lineRule="exact"/>
              <w:ind w:left="63" w:right="63"/>
              <w:rPr>
                <w:rFonts w:hint="eastAsia" w:ascii="华文中宋" w:hAnsi="华文中宋" w:eastAsia="华文中宋" w:cs="华文中宋"/>
                <w:color w:val="auto"/>
                <w:kern w:val="2"/>
                <w:sz w:val="21"/>
                <w:szCs w:val="21"/>
              </w:rPr>
            </w:pPr>
          </w:p>
        </w:tc>
      </w:tr>
      <w:tr w14:paraId="700A4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55981E">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技术负责人</w:t>
            </w:r>
          </w:p>
        </w:tc>
        <w:tc>
          <w:tcPr>
            <w:tcW w:w="1418" w:type="dxa"/>
            <w:noWrap w:val="0"/>
            <w:vAlign w:val="center"/>
          </w:tcPr>
          <w:p w14:paraId="73A0815D">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30ED5E7">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CB5C56D">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5B04310F">
            <w:pPr>
              <w:pStyle w:val="13"/>
              <w:keepNext/>
              <w:spacing w:line="440" w:lineRule="exact"/>
              <w:ind w:left="63" w:right="63"/>
              <w:rPr>
                <w:rFonts w:hint="eastAsia" w:ascii="华文中宋" w:hAnsi="华文中宋" w:eastAsia="华文中宋" w:cs="华文中宋"/>
                <w:color w:val="auto"/>
                <w:kern w:val="2"/>
                <w:sz w:val="21"/>
                <w:szCs w:val="21"/>
              </w:rPr>
            </w:pPr>
          </w:p>
        </w:tc>
      </w:tr>
      <w:tr w14:paraId="764F5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D2DE1F">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造价管理</w:t>
            </w:r>
          </w:p>
        </w:tc>
        <w:tc>
          <w:tcPr>
            <w:tcW w:w="1418" w:type="dxa"/>
            <w:noWrap w:val="0"/>
            <w:vAlign w:val="center"/>
          </w:tcPr>
          <w:p w14:paraId="1968D9C5">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4F9749C7">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2FF5A69">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51B91630">
            <w:pPr>
              <w:pStyle w:val="13"/>
              <w:keepNext/>
              <w:spacing w:line="440" w:lineRule="exact"/>
              <w:ind w:left="63" w:right="63"/>
              <w:rPr>
                <w:rFonts w:hint="eastAsia" w:ascii="华文中宋" w:hAnsi="华文中宋" w:eastAsia="华文中宋" w:cs="华文中宋"/>
                <w:color w:val="auto"/>
                <w:kern w:val="2"/>
                <w:sz w:val="21"/>
                <w:szCs w:val="21"/>
              </w:rPr>
            </w:pPr>
          </w:p>
        </w:tc>
      </w:tr>
      <w:tr w14:paraId="17DC3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C3B65B4">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质量管理</w:t>
            </w:r>
          </w:p>
        </w:tc>
        <w:tc>
          <w:tcPr>
            <w:tcW w:w="1418" w:type="dxa"/>
            <w:noWrap w:val="0"/>
            <w:vAlign w:val="center"/>
          </w:tcPr>
          <w:p w14:paraId="0BB3128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8ABF430">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3B6B229">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3471720C">
            <w:pPr>
              <w:pStyle w:val="13"/>
              <w:keepNext/>
              <w:spacing w:line="440" w:lineRule="exact"/>
              <w:ind w:left="63" w:right="63"/>
              <w:rPr>
                <w:rFonts w:hint="eastAsia" w:ascii="华文中宋" w:hAnsi="华文中宋" w:eastAsia="华文中宋" w:cs="华文中宋"/>
                <w:color w:val="auto"/>
                <w:kern w:val="2"/>
                <w:sz w:val="21"/>
                <w:szCs w:val="21"/>
              </w:rPr>
            </w:pPr>
          </w:p>
        </w:tc>
      </w:tr>
      <w:tr w14:paraId="4D3D8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1AEF4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材料管理</w:t>
            </w:r>
          </w:p>
        </w:tc>
        <w:tc>
          <w:tcPr>
            <w:tcW w:w="1418" w:type="dxa"/>
            <w:noWrap w:val="0"/>
            <w:vAlign w:val="center"/>
          </w:tcPr>
          <w:p w14:paraId="4475D26F">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4F6EEE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29DDDA1">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2D0115C7">
            <w:pPr>
              <w:pStyle w:val="13"/>
              <w:keepNext/>
              <w:spacing w:line="440" w:lineRule="exact"/>
              <w:ind w:left="63" w:right="63"/>
              <w:rPr>
                <w:rFonts w:hint="eastAsia" w:ascii="华文中宋" w:hAnsi="华文中宋" w:eastAsia="华文中宋" w:cs="华文中宋"/>
                <w:color w:val="auto"/>
                <w:kern w:val="2"/>
                <w:sz w:val="21"/>
                <w:szCs w:val="21"/>
              </w:rPr>
            </w:pPr>
          </w:p>
        </w:tc>
      </w:tr>
      <w:tr w14:paraId="413E1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E7FB19">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计划管理</w:t>
            </w:r>
          </w:p>
        </w:tc>
        <w:tc>
          <w:tcPr>
            <w:tcW w:w="1418" w:type="dxa"/>
            <w:noWrap w:val="0"/>
            <w:vAlign w:val="center"/>
          </w:tcPr>
          <w:p w14:paraId="714FB70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2E297308">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B65D610">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5DB0622D">
            <w:pPr>
              <w:pStyle w:val="13"/>
              <w:keepNext/>
              <w:spacing w:line="440" w:lineRule="exact"/>
              <w:ind w:left="63" w:right="63"/>
              <w:rPr>
                <w:rFonts w:hint="eastAsia" w:ascii="华文中宋" w:hAnsi="华文中宋" w:eastAsia="华文中宋" w:cs="华文中宋"/>
                <w:color w:val="auto"/>
                <w:kern w:val="2"/>
                <w:sz w:val="21"/>
                <w:szCs w:val="21"/>
              </w:rPr>
            </w:pPr>
          </w:p>
        </w:tc>
      </w:tr>
      <w:tr w14:paraId="6F5E3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B34502">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安全管理</w:t>
            </w:r>
          </w:p>
        </w:tc>
        <w:tc>
          <w:tcPr>
            <w:tcW w:w="1418" w:type="dxa"/>
            <w:noWrap w:val="0"/>
            <w:vAlign w:val="center"/>
          </w:tcPr>
          <w:p w14:paraId="72C625B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B783EE4">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B354E1D">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504EADC">
            <w:pPr>
              <w:pStyle w:val="13"/>
              <w:keepNext/>
              <w:spacing w:line="440" w:lineRule="exact"/>
              <w:ind w:left="63" w:right="63"/>
              <w:rPr>
                <w:rFonts w:hint="eastAsia" w:ascii="华文中宋" w:hAnsi="华文中宋" w:eastAsia="华文中宋" w:cs="华文中宋"/>
                <w:color w:val="auto"/>
                <w:kern w:val="2"/>
                <w:sz w:val="21"/>
                <w:szCs w:val="21"/>
              </w:rPr>
            </w:pPr>
          </w:p>
        </w:tc>
      </w:tr>
      <w:tr w14:paraId="43FB6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FDF4E45">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其他人员</w:t>
            </w:r>
          </w:p>
        </w:tc>
        <w:tc>
          <w:tcPr>
            <w:tcW w:w="1418" w:type="dxa"/>
            <w:noWrap w:val="0"/>
            <w:vAlign w:val="center"/>
          </w:tcPr>
          <w:p w14:paraId="4713AC8C">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32374C67">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8042D93">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124A4558">
            <w:pPr>
              <w:pStyle w:val="13"/>
              <w:keepNext/>
              <w:spacing w:line="440" w:lineRule="exact"/>
              <w:ind w:left="63" w:right="63"/>
              <w:rPr>
                <w:rFonts w:hint="eastAsia" w:ascii="华文中宋" w:hAnsi="华文中宋" w:eastAsia="华文中宋" w:cs="华文中宋"/>
                <w:color w:val="auto"/>
                <w:kern w:val="2"/>
                <w:sz w:val="21"/>
                <w:szCs w:val="21"/>
              </w:rPr>
            </w:pPr>
          </w:p>
        </w:tc>
      </w:tr>
      <w:tr w14:paraId="3B835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7EACF8">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tcBorders>
              <w:bottom w:val="nil"/>
            </w:tcBorders>
            <w:noWrap w:val="0"/>
            <w:vAlign w:val="center"/>
          </w:tcPr>
          <w:p w14:paraId="4E6C047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nil"/>
            </w:tcBorders>
            <w:noWrap w:val="0"/>
            <w:vAlign w:val="center"/>
          </w:tcPr>
          <w:p w14:paraId="2565724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nil"/>
            </w:tcBorders>
            <w:noWrap w:val="0"/>
            <w:vAlign w:val="center"/>
          </w:tcPr>
          <w:p w14:paraId="773CB9DA">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tcBorders>
              <w:bottom w:val="nil"/>
            </w:tcBorders>
            <w:noWrap w:val="0"/>
            <w:vAlign w:val="center"/>
          </w:tcPr>
          <w:p w14:paraId="4F9D2D19">
            <w:pPr>
              <w:pStyle w:val="13"/>
              <w:keepNext/>
              <w:spacing w:line="440" w:lineRule="exact"/>
              <w:ind w:left="63" w:right="63"/>
              <w:rPr>
                <w:rFonts w:hint="eastAsia" w:ascii="华文中宋" w:hAnsi="华文中宋" w:eastAsia="华文中宋" w:cs="华文中宋"/>
                <w:color w:val="auto"/>
                <w:kern w:val="2"/>
                <w:sz w:val="21"/>
                <w:szCs w:val="21"/>
              </w:rPr>
            </w:pPr>
          </w:p>
        </w:tc>
      </w:tr>
      <w:tr w14:paraId="72069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C0695C8">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15EC35AC">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A9E96AE">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C69723E">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C7DCBB8">
            <w:pPr>
              <w:pStyle w:val="13"/>
              <w:keepNext/>
              <w:spacing w:line="440" w:lineRule="exact"/>
              <w:ind w:left="63" w:right="63"/>
              <w:rPr>
                <w:rFonts w:hint="eastAsia" w:ascii="华文中宋" w:hAnsi="华文中宋" w:eastAsia="华文中宋" w:cs="华文中宋"/>
                <w:color w:val="auto"/>
                <w:kern w:val="2"/>
                <w:sz w:val="21"/>
                <w:szCs w:val="21"/>
              </w:rPr>
            </w:pPr>
          </w:p>
        </w:tc>
      </w:tr>
      <w:tr w14:paraId="0FCD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C5E632A">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03272FC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B29AB7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8341278">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D0E7987">
            <w:pPr>
              <w:pStyle w:val="13"/>
              <w:keepNext/>
              <w:spacing w:line="440" w:lineRule="exact"/>
              <w:ind w:left="63" w:right="63"/>
              <w:rPr>
                <w:rFonts w:hint="eastAsia" w:ascii="华文中宋" w:hAnsi="华文中宋" w:eastAsia="华文中宋" w:cs="华文中宋"/>
                <w:color w:val="auto"/>
                <w:kern w:val="2"/>
                <w:sz w:val="21"/>
                <w:szCs w:val="21"/>
              </w:rPr>
            </w:pPr>
          </w:p>
        </w:tc>
      </w:tr>
      <w:tr w14:paraId="59BB4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2572632">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0E617098">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7E62A8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1B0F35F">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0B2A2C9D">
            <w:pPr>
              <w:pStyle w:val="13"/>
              <w:keepNext/>
              <w:spacing w:line="440" w:lineRule="exact"/>
              <w:ind w:left="63" w:right="63"/>
              <w:rPr>
                <w:rFonts w:hint="eastAsia" w:ascii="华文中宋" w:hAnsi="华文中宋" w:eastAsia="华文中宋" w:cs="华文中宋"/>
                <w:color w:val="auto"/>
                <w:kern w:val="2"/>
                <w:sz w:val="21"/>
                <w:szCs w:val="21"/>
              </w:rPr>
            </w:pPr>
          </w:p>
        </w:tc>
      </w:tr>
      <w:tr w14:paraId="1E80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84342BB">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tcBorders>
              <w:bottom w:val="single" w:color="auto" w:sz="12" w:space="0"/>
            </w:tcBorders>
            <w:noWrap w:val="0"/>
            <w:vAlign w:val="center"/>
          </w:tcPr>
          <w:p w14:paraId="6A6DF8A0">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single" w:color="auto" w:sz="12" w:space="0"/>
            </w:tcBorders>
            <w:noWrap w:val="0"/>
            <w:vAlign w:val="center"/>
          </w:tcPr>
          <w:p w14:paraId="599E4460">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single" w:color="auto" w:sz="12" w:space="0"/>
            </w:tcBorders>
            <w:noWrap w:val="0"/>
            <w:vAlign w:val="center"/>
          </w:tcPr>
          <w:p w14:paraId="45B2BBB9">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tcBorders>
              <w:bottom w:val="single" w:color="auto" w:sz="12" w:space="0"/>
            </w:tcBorders>
            <w:noWrap w:val="0"/>
            <w:vAlign w:val="center"/>
          </w:tcPr>
          <w:p w14:paraId="21E0B546">
            <w:pPr>
              <w:pStyle w:val="13"/>
              <w:keepNext/>
              <w:spacing w:line="440" w:lineRule="exact"/>
              <w:ind w:left="63" w:right="63"/>
              <w:rPr>
                <w:rFonts w:hint="eastAsia" w:ascii="华文中宋" w:hAnsi="华文中宋" w:eastAsia="华文中宋" w:cs="华文中宋"/>
                <w:color w:val="auto"/>
                <w:kern w:val="2"/>
                <w:sz w:val="21"/>
                <w:szCs w:val="21"/>
              </w:rPr>
            </w:pPr>
          </w:p>
        </w:tc>
      </w:tr>
    </w:tbl>
    <w:p w14:paraId="760E1BD8">
      <w:pPr>
        <w:keepNext w:val="0"/>
        <w:keepLines w:val="0"/>
        <w:pageBreakBefore w:val="0"/>
        <w:widowControl w:val="0"/>
        <w:kinsoku/>
        <w:wordWrap/>
        <w:overflowPunct/>
        <w:topLinePunct w:val="0"/>
        <w:autoSpaceDE/>
        <w:autoSpaceDN/>
        <w:bidi w:val="0"/>
        <w:adjustRightInd/>
        <w:snapToGrid/>
        <w:spacing w:line="500" w:lineRule="exact"/>
        <w:ind w:left="-489" w:leftChars="-233" w:firstLine="450" w:firstLineChars="15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30"/>
          <w:szCs w:val="30"/>
        </w:rPr>
        <w:br w:type="page"/>
      </w:r>
      <w:bookmarkStart w:id="1138" w:name="_Toc267261701"/>
      <w:r>
        <w:rPr>
          <w:rFonts w:hint="eastAsia" w:ascii="华文中宋" w:hAnsi="华文中宋" w:eastAsia="华文中宋" w:cs="华文中宋"/>
          <w:color w:val="auto"/>
          <w:sz w:val="24"/>
          <w:szCs w:val="24"/>
        </w:rPr>
        <w:t>附</w:t>
      </w:r>
      <w:bookmarkStart w:id="1139" w:name="_Toc296891271"/>
      <w:bookmarkStart w:id="1140" w:name="_Toc296503231"/>
      <w:bookmarkStart w:id="1141" w:name="_Toc296346732"/>
      <w:bookmarkStart w:id="1142" w:name="_Toc296891059"/>
      <w:bookmarkStart w:id="1143" w:name="_Toc296944570"/>
      <w:bookmarkStart w:id="1144" w:name="_Toc296347230"/>
      <w:r>
        <w:rPr>
          <w:rFonts w:hint="eastAsia" w:ascii="华文中宋" w:hAnsi="华文中宋" w:eastAsia="华文中宋" w:cs="华文中宋"/>
          <w:color w:val="auto"/>
          <w:sz w:val="24"/>
          <w:szCs w:val="24"/>
        </w:rPr>
        <w:t>件8：</w:t>
      </w:r>
    </w:p>
    <w:bookmarkEnd w:id="1138"/>
    <w:bookmarkEnd w:id="1139"/>
    <w:bookmarkEnd w:id="1140"/>
    <w:bookmarkEnd w:id="1141"/>
    <w:bookmarkEnd w:id="1142"/>
    <w:bookmarkEnd w:id="1143"/>
    <w:bookmarkEnd w:id="1144"/>
    <w:p w14:paraId="0A149924">
      <w:pPr>
        <w:keepNext w:val="0"/>
        <w:keepLines w:val="0"/>
        <w:pageBreakBefore w:val="0"/>
        <w:widowControl w:val="0"/>
        <w:kinsoku/>
        <w:wordWrap/>
        <w:overflowPunct/>
        <w:topLinePunct w:val="0"/>
        <w:autoSpaceDE/>
        <w:autoSpaceDN/>
        <w:bidi w:val="0"/>
        <w:adjustRightInd/>
        <w:snapToGrid/>
        <w:spacing w:beforeLines="50" w:afterLines="50" w:line="500" w:lineRule="exact"/>
        <w:jc w:val="center"/>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履约担保</w:t>
      </w:r>
    </w:p>
    <w:p w14:paraId="642B95D4">
      <w:pPr>
        <w:keepNext w:val="0"/>
        <w:keepLines w:val="0"/>
        <w:pageBreakBefore w:val="0"/>
        <w:widowControl w:val="0"/>
        <w:kinsoku/>
        <w:wordWrap/>
        <w:overflowPunct/>
        <w:topLinePunct w:val="0"/>
        <w:autoSpaceDE/>
        <w:autoSpaceDN/>
        <w:bidi w:val="0"/>
        <w:adjustRightInd/>
        <w:snapToGrid/>
        <w:spacing w:beforeLines="100"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rPr>
        <w:tab/>
      </w:r>
      <w:r>
        <w:rPr>
          <w:rFonts w:hint="eastAsia" w:ascii="华文中宋" w:hAnsi="华文中宋" w:eastAsia="华文中宋" w:cs="华文中宋"/>
          <w:color w:val="auto"/>
          <w:sz w:val="24"/>
          <w:szCs w:val="24"/>
        </w:rPr>
        <w:t>（发包人名称）：</w:t>
      </w:r>
    </w:p>
    <w:p w14:paraId="35242C2C">
      <w:pPr>
        <w:keepNext w:val="0"/>
        <w:keepLines w:val="0"/>
        <w:pageBreakBefore w:val="0"/>
        <w:widowControl w:val="0"/>
        <w:kinsoku/>
        <w:wordWrap/>
        <w:overflowPunct/>
        <w:topLinePunct w:val="0"/>
        <w:autoSpaceDE/>
        <w:autoSpaceDN/>
        <w:bidi w:val="0"/>
        <w:adjustRightInd/>
        <w:snapToGrid/>
        <w:spacing w:beforeLines="10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鉴于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（发包人名称，以下简称“发包人”）与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（承包人名称）（以下称“承包人”）于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58F2E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1.担保金额人民币（大写）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50D71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2.担保有效期自你方与承包人签订的合同生效之日起至你方签发或应签发工程接收证书之日止。</w:t>
      </w:r>
    </w:p>
    <w:p w14:paraId="3CE0C3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3.在本担保有效期内，因承包人违反合同约定的义务给你方造成经济损失时，我方在收到你方以书面形式提出的在担保金额内的赔偿要求后，在7天内无条件支付。</w:t>
      </w:r>
    </w:p>
    <w:p w14:paraId="22E834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4.你方和承包人按合同约定变更合同时，我方承担本担保规定的义务不变。</w:t>
      </w:r>
    </w:p>
    <w:p w14:paraId="64FA6F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5.因本保函发生的纠纷，可由双方协商解决，协商不成的，任何一方均可提请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仲裁委员会仲裁。</w:t>
      </w:r>
    </w:p>
    <w:p w14:paraId="46275E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6.本保函自我方法定代表人（或其授权代理人）签字并加盖公章之日起生效。</w:t>
      </w:r>
    </w:p>
    <w:p w14:paraId="67B389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中宋" w:hAnsi="华文中宋" w:eastAsia="华文中宋" w:cs="华文中宋"/>
          <w:color w:val="auto"/>
          <w:sz w:val="24"/>
          <w:szCs w:val="24"/>
        </w:rPr>
      </w:pPr>
    </w:p>
    <w:p w14:paraId="2441E3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担 保 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（盖单位章）</w:t>
      </w:r>
    </w:p>
    <w:p w14:paraId="49D06E22">
      <w:pPr>
        <w:keepNext w:val="0"/>
        <w:keepLines w:val="0"/>
        <w:pageBreakBefore w:val="0"/>
        <w:widowControl w:val="0"/>
        <w:kinsoku/>
        <w:wordWrap/>
        <w:overflowPunct/>
        <w:topLinePunct w:val="0"/>
        <w:autoSpaceDE/>
        <w:autoSpaceDN/>
        <w:bidi w:val="0"/>
        <w:adjustRightInd/>
        <w:snapToGrid/>
        <w:spacing w:beforeLines="8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（签字）</w:t>
      </w:r>
    </w:p>
    <w:p w14:paraId="0FEC90E0">
      <w:pPr>
        <w:keepNext w:val="0"/>
        <w:keepLines w:val="0"/>
        <w:pageBreakBefore w:val="0"/>
        <w:widowControl w:val="0"/>
        <w:kinsoku/>
        <w:wordWrap/>
        <w:overflowPunct/>
        <w:topLinePunct w:val="0"/>
        <w:autoSpaceDE/>
        <w:autoSpaceDN/>
        <w:bidi w:val="0"/>
        <w:adjustRightInd/>
        <w:snapToGrid/>
        <w:spacing w:beforeLines="8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u w:val="single"/>
        </w:rPr>
        <w:t xml:space="preserve">                                      </w:t>
      </w:r>
    </w:p>
    <w:p w14:paraId="37B5F70A">
      <w:pPr>
        <w:keepNext w:val="0"/>
        <w:keepLines w:val="0"/>
        <w:pageBreakBefore w:val="0"/>
        <w:widowControl w:val="0"/>
        <w:kinsoku/>
        <w:wordWrap/>
        <w:overflowPunct/>
        <w:topLinePunct w:val="0"/>
        <w:autoSpaceDE/>
        <w:autoSpaceDN/>
        <w:bidi w:val="0"/>
        <w:adjustRightInd/>
        <w:snapToGrid/>
        <w:spacing w:beforeLines="8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传真：</w:t>
      </w:r>
      <w:r>
        <w:rPr>
          <w:rFonts w:hint="eastAsia" w:ascii="华文中宋" w:hAnsi="华文中宋" w:eastAsia="华文中宋" w:cs="华文中宋"/>
          <w:color w:val="auto"/>
          <w:sz w:val="24"/>
          <w:szCs w:val="24"/>
          <w:u w:val="single"/>
        </w:rPr>
        <w:t xml:space="preserve">           </w:t>
      </w:r>
    </w:p>
    <w:p w14:paraId="3EF6E2D7">
      <w:pPr>
        <w:keepNext w:val="0"/>
        <w:keepLines w:val="0"/>
        <w:pageBreakBefore w:val="0"/>
        <w:widowControl w:val="0"/>
        <w:kinsoku/>
        <w:wordWrap/>
        <w:overflowPunct/>
        <w:topLinePunct w:val="0"/>
        <w:autoSpaceDE/>
        <w:autoSpaceDN/>
        <w:bidi w:val="0"/>
        <w:adjustRightInd/>
        <w:snapToGrid/>
        <w:spacing w:beforeLines="80" w:line="500" w:lineRule="exact"/>
        <w:ind w:left="1772" w:hanging="1519" w:hangingChars="633"/>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w:t>
      </w:r>
    </w:p>
    <w:p w14:paraId="6929BBD9">
      <w:pPr>
        <w:keepNext w:val="0"/>
        <w:keepLines w:val="0"/>
        <w:pageBreakBefore w:val="0"/>
        <w:widowControl w:val="0"/>
        <w:kinsoku/>
        <w:wordWrap/>
        <w:overflowPunct/>
        <w:topLinePunct w:val="0"/>
        <w:autoSpaceDE/>
        <w:autoSpaceDN/>
        <w:bidi w:val="0"/>
        <w:adjustRightInd/>
        <w:snapToGrid/>
        <w:spacing w:line="500" w:lineRule="exact"/>
        <w:ind w:left="-489" w:leftChars="-233" w:firstLine="360" w:firstLineChars="15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w:t>
      </w:r>
      <w:bookmarkStart w:id="1145" w:name="_Toc296346733"/>
      <w:bookmarkStart w:id="1146" w:name="_Toc296347231"/>
      <w:bookmarkStart w:id="1147" w:name="_Toc296891272"/>
      <w:bookmarkStart w:id="1148" w:name="_Toc296503232"/>
      <w:bookmarkStart w:id="1149" w:name="_Toc296891060"/>
      <w:bookmarkStart w:id="1150" w:name="_Toc267261702"/>
      <w:bookmarkStart w:id="1151" w:name="_Toc296944571"/>
      <w:r>
        <w:rPr>
          <w:rFonts w:hint="eastAsia" w:ascii="华文中宋" w:hAnsi="华文中宋" w:eastAsia="华文中宋" w:cs="华文中宋"/>
          <w:color w:val="auto"/>
          <w:sz w:val="24"/>
          <w:szCs w:val="24"/>
        </w:rPr>
        <w:t>件9：</w:t>
      </w:r>
    </w:p>
    <w:bookmarkEnd w:id="1145"/>
    <w:bookmarkEnd w:id="1146"/>
    <w:bookmarkEnd w:id="1147"/>
    <w:bookmarkEnd w:id="1148"/>
    <w:bookmarkEnd w:id="1149"/>
    <w:bookmarkEnd w:id="1150"/>
    <w:bookmarkEnd w:id="1151"/>
    <w:p w14:paraId="66532593">
      <w:pPr>
        <w:keepNext w:val="0"/>
        <w:keepLines w:val="0"/>
        <w:pageBreakBefore w:val="0"/>
        <w:widowControl w:val="0"/>
        <w:kinsoku/>
        <w:wordWrap/>
        <w:overflowPunct/>
        <w:topLinePunct w:val="0"/>
        <w:autoSpaceDE/>
        <w:autoSpaceDN/>
        <w:bidi w:val="0"/>
        <w:adjustRightInd/>
        <w:snapToGrid/>
        <w:spacing w:beforeLines="50" w:afterLines="50" w:line="500" w:lineRule="exact"/>
        <w:jc w:val="center"/>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预付款担保</w:t>
      </w:r>
    </w:p>
    <w:p w14:paraId="46CB7811">
      <w:pPr>
        <w:keepNext w:val="0"/>
        <w:keepLines w:val="0"/>
        <w:pageBreakBefore w:val="0"/>
        <w:widowControl w:val="0"/>
        <w:kinsoku/>
        <w:wordWrap/>
        <w:overflowPunct/>
        <w:topLinePunct w:val="0"/>
        <w:autoSpaceDE/>
        <w:autoSpaceDN/>
        <w:bidi w:val="0"/>
        <w:adjustRightInd/>
        <w:snapToGrid/>
        <w:spacing w:beforeLines="100"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rPr>
        <w:tab/>
      </w:r>
      <w:r>
        <w:rPr>
          <w:rFonts w:hint="eastAsia" w:ascii="华文中宋" w:hAnsi="华文中宋" w:eastAsia="华文中宋" w:cs="华文中宋"/>
          <w:color w:val="auto"/>
          <w:sz w:val="24"/>
          <w:szCs w:val="24"/>
          <w:u w:val="single"/>
        </w:rPr>
        <w:tab/>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（发包人名称）：</w:t>
      </w:r>
    </w:p>
    <w:p w14:paraId="210F6FD1">
      <w:pPr>
        <w:keepNext w:val="0"/>
        <w:keepLines w:val="0"/>
        <w:pageBreakBefore w:val="0"/>
        <w:widowControl w:val="0"/>
        <w:kinsoku/>
        <w:wordWrap/>
        <w:overflowPunct/>
        <w:topLinePunct w:val="0"/>
        <w:autoSpaceDE/>
        <w:autoSpaceDN/>
        <w:bidi w:val="0"/>
        <w:adjustRightInd/>
        <w:snapToGrid/>
        <w:spacing w:beforeLines="2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根据</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（承包人名称）（以下称“承包人”）与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（发包人名称）（以下简称“发包人”）于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日签订的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05A7C2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1.担保金额人民币（大写）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3FDE28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2.担保有效期自预付款支付给承包人起生效，至你方签发的进度款支付证书说明已完全扣清止。</w:t>
      </w:r>
    </w:p>
    <w:p w14:paraId="337748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10129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4.你方和承包人按合同约定变更合同时，我方承担本保函规定的义务不变。</w:t>
      </w:r>
    </w:p>
    <w:p w14:paraId="778694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5.因本保函发生的纠纷，可由双方协商解决，协商不成的，任何一方均可提请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仲裁委员会仲裁。</w:t>
      </w:r>
    </w:p>
    <w:p w14:paraId="694576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6.本保函自我方法定代表人（或其授权代理人）签字并加盖公章之日起生效。</w:t>
      </w:r>
    </w:p>
    <w:p w14:paraId="406A60B9">
      <w:pPr>
        <w:keepNext w:val="0"/>
        <w:keepLines w:val="0"/>
        <w:pageBreakBefore w:val="0"/>
        <w:widowControl w:val="0"/>
        <w:kinsoku/>
        <w:wordWrap/>
        <w:overflowPunct/>
        <w:topLinePunct w:val="0"/>
        <w:autoSpaceDE/>
        <w:autoSpaceDN/>
        <w:bidi w:val="0"/>
        <w:adjustRightInd/>
        <w:snapToGrid/>
        <w:spacing w:beforeLines="1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担保人：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（盖单位章）</w:t>
      </w:r>
    </w:p>
    <w:p w14:paraId="15F264EC">
      <w:pPr>
        <w:keepNext w:val="0"/>
        <w:keepLines w:val="0"/>
        <w:pageBreakBefore w:val="0"/>
        <w:widowControl w:val="0"/>
        <w:kinsoku/>
        <w:wordWrap/>
        <w:overflowPunct/>
        <w:topLinePunct w:val="0"/>
        <w:autoSpaceDE/>
        <w:autoSpaceDN/>
        <w:bidi w:val="0"/>
        <w:adjustRightInd/>
        <w:snapToGrid/>
        <w:spacing w:beforeLines="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（签字）</w:t>
      </w:r>
    </w:p>
    <w:p w14:paraId="7B4FFD7F">
      <w:pPr>
        <w:keepNext w:val="0"/>
        <w:keepLines w:val="0"/>
        <w:pageBreakBefore w:val="0"/>
        <w:widowControl w:val="0"/>
        <w:kinsoku/>
        <w:wordWrap/>
        <w:overflowPunct/>
        <w:topLinePunct w:val="0"/>
        <w:autoSpaceDE/>
        <w:autoSpaceDN/>
        <w:bidi w:val="0"/>
        <w:adjustRightInd/>
        <w:snapToGrid/>
        <w:spacing w:beforeLines="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u w:val="single"/>
        </w:rPr>
        <w:t xml:space="preserve">                                      </w:t>
      </w:r>
    </w:p>
    <w:p w14:paraId="0DE869DE">
      <w:pPr>
        <w:keepNext w:val="0"/>
        <w:keepLines w:val="0"/>
        <w:pageBreakBefore w:val="0"/>
        <w:widowControl w:val="0"/>
        <w:kinsoku/>
        <w:wordWrap/>
        <w:overflowPunct/>
        <w:topLinePunct w:val="0"/>
        <w:autoSpaceDE/>
        <w:autoSpaceDN/>
        <w:bidi w:val="0"/>
        <w:adjustRightInd/>
        <w:snapToGrid/>
        <w:spacing w:beforeLines="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传真：</w:t>
      </w:r>
      <w:r>
        <w:rPr>
          <w:rFonts w:hint="eastAsia" w:ascii="华文中宋" w:hAnsi="华文中宋" w:eastAsia="华文中宋" w:cs="华文中宋"/>
          <w:color w:val="auto"/>
          <w:sz w:val="24"/>
          <w:szCs w:val="24"/>
          <w:u w:val="single"/>
        </w:rPr>
        <w:t xml:space="preserve">           </w:t>
      </w:r>
    </w:p>
    <w:p w14:paraId="52185A26">
      <w:pPr>
        <w:keepNext w:val="0"/>
        <w:keepLines w:val="0"/>
        <w:pageBreakBefore w:val="0"/>
        <w:widowControl w:val="0"/>
        <w:kinsoku/>
        <w:wordWrap/>
        <w:overflowPunct/>
        <w:topLinePunct w:val="0"/>
        <w:autoSpaceDE/>
        <w:autoSpaceDN/>
        <w:bidi w:val="0"/>
        <w:adjustRightInd/>
        <w:snapToGrid/>
        <w:spacing w:beforeLines="50"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w:t>
      </w:r>
    </w:p>
    <w:p w14:paraId="3D02BD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w:t>
      </w:r>
      <w:bookmarkStart w:id="1152" w:name="_Toc296503233"/>
      <w:bookmarkStart w:id="1153" w:name="_Toc296891273"/>
      <w:bookmarkStart w:id="1154" w:name="_Toc296891061"/>
      <w:bookmarkStart w:id="1155" w:name="_Toc296346734"/>
      <w:bookmarkStart w:id="1156" w:name="_Toc296347232"/>
      <w:bookmarkStart w:id="1157" w:name="_Toc296944572"/>
      <w:r>
        <w:rPr>
          <w:rFonts w:hint="eastAsia" w:ascii="华文中宋" w:hAnsi="华文中宋" w:eastAsia="华文中宋" w:cs="华文中宋"/>
          <w:color w:val="auto"/>
          <w:sz w:val="24"/>
          <w:szCs w:val="24"/>
        </w:rPr>
        <w:t>件10:</w:t>
      </w:r>
    </w:p>
    <w:bookmarkEnd w:id="1152"/>
    <w:bookmarkEnd w:id="1153"/>
    <w:bookmarkEnd w:id="1154"/>
    <w:bookmarkEnd w:id="1155"/>
    <w:bookmarkEnd w:id="1156"/>
    <w:bookmarkEnd w:id="1157"/>
    <w:p w14:paraId="7327963A">
      <w:pPr>
        <w:keepNext w:val="0"/>
        <w:keepLines w:val="0"/>
        <w:pageBreakBefore w:val="0"/>
        <w:widowControl w:val="0"/>
        <w:kinsoku/>
        <w:wordWrap/>
        <w:overflowPunct/>
        <w:topLinePunct w:val="0"/>
        <w:autoSpaceDE/>
        <w:autoSpaceDN/>
        <w:bidi w:val="0"/>
        <w:adjustRightInd/>
        <w:snapToGrid/>
        <w:spacing w:beforeLines="50" w:afterLines="50" w:line="500" w:lineRule="exact"/>
        <w:jc w:val="center"/>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支付担保</w:t>
      </w:r>
    </w:p>
    <w:p w14:paraId="5C735D06">
      <w:pPr>
        <w:keepNext w:val="0"/>
        <w:keepLines w:val="0"/>
        <w:pageBreakBefore w:val="0"/>
        <w:widowControl w:val="0"/>
        <w:kinsoku/>
        <w:wordWrap/>
        <w:overflowPunct/>
        <w:topLinePunct w:val="0"/>
        <w:autoSpaceDE/>
        <w:autoSpaceDN/>
        <w:bidi w:val="0"/>
        <w:adjustRightInd/>
        <w:snapToGrid/>
        <w:spacing w:beforeLines="50" w:line="500" w:lineRule="exact"/>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（承包人）：</w:t>
      </w:r>
    </w:p>
    <w:p w14:paraId="7EA05BC3">
      <w:pPr>
        <w:keepNext w:val="0"/>
        <w:keepLines w:val="0"/>
        <w:pageBreakBefore w:val="0"/>
        <w:widowControl w:val="0"/>
        <w:kinsoku/>
        <w:wordWrap/>
        <w:overflowPunct/>
        <w:topLinePunct w:val="0"/>
        <w:autoSpaceDE/>
        <w:autoSpaceDN/>
        <w:bidi w:val="0"/>
        <w:adjustRightInd/>
        <w:snapToGrid/>
        <w:spacing w:beforeLines="100"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鉴于你方作为承包人已经与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（发包人名称）（以下称“发包人”）于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日签订了</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（工程名称）《建设工程施工合同》（以下称“主合同”），应发包人的申请，我方愿就发包人履行主合同约定的工程款支付义务以保证的方式向你方提供如下担保：</w:t>
      </w:r>
    </w:p>
    <w:p w14:paraId="7B379F0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58" w:name="_Toc375060875"/>
      <w:bookmarkStart w:id="1159" w:name="_Toc375060656"/>
      <w:bookmarkStart w:id="1160" w:name="_Toc22163"/>
      <w:r>
        <w:rPr>
          <w:rFonts w:hint="eastAsia" w:ascii="华文中宋" w:hAnsi="华文中宋" w:eastAsia="华文中宋" w:cs="华文中宋"/>
          <w:color w:val="auto"/>
          <w:sz w:val="24"/>
          <w:szCs w:val="24"/>
        </w:rPr>
        <w:t>一、保证的范围及保证金额</w:t>
      </w:r>
      <w:bookmarkEnd w:id="1158"/>
      <w:bookmarkEnd w:id="1159"/>
      <w:bookmarkEnd w:id="1160"/>
    </w:p>
    <w:p w14:paraId="6DC96CC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1.我方的保证范围是主合同约定的工程款。</w:t>
      </w:r>
    </w:p>
    <w:p w14:paraId="23629D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2.本保函所称主合同约定的工程款是指主合同约定的除工程质量保证金以外的合同价款。</w:t>
      </w:r>
    </w:p>
    <w:p w14:paraId="07B2935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3.我方保证的金额是主合同约定的工程款的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%，数额最高不超过人民币元（大写：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B8275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61" w:name="_Toc375060657"/>
      <w:bookmarkStart w:id="1162" w:name="_Toc375060876"/>
      <w:bookmarkStart w:id="1163" w:name="_Toc7549"/>
      <w:r>
        <w:rPr>
          <w:rFonts w:hint="eastAsia" w:ascii="华文中宋" w:hAnsi="华文中宋" w:eastAsia="华文中宋" w:cs="华文中宋"/>
          <w:color w:val="auto"/>
          <w:sz w:val="24"/>
          <w:szCs w:val="24"/>
        </w:rPr>
        <w:t>二、保证的方式及保证期间</w:t>
      </w:r>
      <w:bookmarkEnd w:id="1161"/>
      <w:bookmarkEnd w:id="1162"/>
      <w:bookmarkEnd w:id="1163"/>
    </w:p>
    <w:p w14:paraId="1E9E75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1.我方保证的方式为：连带责任保证。</w:t>
      </w:r>
    </w:p>
    <w:p w14:paraId="4093491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2.我方保证的期间为：自本合同生效之日起至主合同约定的工程款支付完毕之日后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日内。</w:t>
      </w:r>
    </w:p>
    <w:p w14:paraId="6571C7B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3.你方与发包人协议变更工程款支付日期的，经我方书面同意后，保证期间按照变更后的支付日期做相应调整。</w:t>
      </w:r>
    </w:p>
    <w:p w14:paraId="1BA998D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64" w:name="_Toc375060658"/>
      <w:bookmarkStart w:id="1165" w:name="_Toc375060877"/>
      <w:bookmarkStart w:id="1166" w:name="_Toc16346"/>
      <w:r>
        <w:rPr>
          <w:rFonts w:hint="eastAsia" w:ascii="华文中宋" w:hAnsi="华文中宋" w:eastAsia="华文中宋" w:cs="华文中宋"/>
          <w:color w:val="auto"/>
          <w:sz w:val="24"/>
          <w:szCs w:val="24"/>
        </w:rPr>
        <w:t>三、承担保证责任的形式</w:t>
      </w:r>
      <w:bookmarkEnd w:id="1164"/>
      <w:bookmarkEnd w:id="1165"/>
      <w:bookmarkEnd w:id="1166"/>
    </w:p>
    <w:p w14:paraId="5DC6335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我方承担保证责任的形式是代为支付。发包人未按主合同约定向你方支付工程款的，由我方在保证金额内代为支付。</w:t>
      </w:r>
    </w:p>
    <w:p w14:paraId="4BD46B1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67" w:name="_Toc10723"/>
      <w:bookmarkStart w:id="1168" w:name="_Toc375060878"/>
      <w:bookmarkStart w:id="1169" w:name="_Toc375060659"/>
      <w:r>
        <w:rPr>
          <w:rFonts w:hint="eastAsia" w:ascii="华文中宋" w:hAnsi="华文中宋" w:eastAsia="华文中宋" w:cs="华文中宋"/>
          <w:color w:val="auto"/>
          <w:sz w:val="24"/>
          <w:szCs w:val="24"/>
        </w:rPr>
        <w:t>四、代偿的安排</w:t>
      </w:r>
      <w:bookmarkEnd w:id="1167"/>
      <w:bookmarkEnd w:id="1168"/>
      <w:bookmarkEnd w:id="1169"/>
    </w:p>
    <w:p w14:paraId="38CA0F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1.你方要求我方承担保证责任的，应向我方发出书面索赔通知及发包人未支付主合同约定工程款的证明材料。索赔通知应写明要求索赔的金额，支付款项应到达的账号。</w:t>
      </w:r>
    </w:p>
    <w:p w14:paraId="5683489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2.在出现你方与发包人因工程质量发生争议，发包人拒绝向你方支付工程款的情形时，你方要求我方履行保证责任代为支付的，需提供符合相应条件要求的工程质量检测机构出具的质量说明材料。</w:t>
      </w:r>
    </w:p>
    <w:p w14:paraId="3819B220">
      <w:pPr>
        <w:keepNext w:val="0"/>
        <w:keepLines w:val="0"/>
        <w:pageBreakBefore w:val="0"/>
        <w:widowControl w:val="0"/>
        <w:kinsoku/>
        <w:wordWrap/>
        <w:overflowPunct/>
        <w:topLinePunct w:val="0"/>
        <w:autoSpaceDE/>
        <w:autoSpaceDN/>
        <w:bidi w:val="0"/>
        <w:adjustRightInd/>
        <w:snapToGrid/>
        <w:spacing w:line="500" w:lineRule="exact"/>
        <w:ind w:right="-151" w:rightChars="-72"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3.我方收到你方的书面索赔通知及相应的证明材料后７天内无条件支付。</w:t>
      </w:r>
    </w:p>
    <w:p w14:paraId="1E6100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0" w:name="_Toc375060660"/>
      <w:bookmarkStart w:id="1171" w:name="_Toc375060879"/>
      <w:bookmarkStart w:id="1172" w:name="_Toc5403"/>
      <w:r>
        <w:rPr>
          <w:rFonts w:hint="eastAsia" w:ascii="华文中宋" w:hAnsi="华文中宋" w:eastAsia="华文中宋" w:cs="华文中宋"/>
          <w:color w:val="auto"/>
          <w:sz w:val="24"/>
          <w:szCs w:val="24"/>
        </w:rPr>
        <w:t>五、保证责任的解除</w:t>
      </w:r>
      <w:bookmarkEnd w:id="1170"/>
      <w:bookmarkEnd w:id="1171"/>
      <w:bookmarkEnd w:id="1172"/>
    </w:p>
    <w:p w14:paraId="77474C4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1.在本保函承诺的保证期间内，你方未书面向我方主张保证责任的，自保证期间届满次日起，我方保证责任解除。</w:t>
      </w:r>
    </w:p>
    <w:p w14:paraId="5BD7EE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2.发包人按主合同约定履行了工程款的全部支付义务的，自本保函承诺的保证期间届满次日起，我方保证责任解除。</w:t>
      </w:r>
    </w:p>
    <w:p w14:paraId="0359E9D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3.我方按照本保函向你方履行保证责任所支付金额达到本保函保证金额时，自我方向你方支付（支付款项从我方账户划出）之日起，保证责任即解除。</w:t>
      </w:r>
    </w:p>
    <w:p w14:paraId="310E21B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4.按照法律法规的规定或出现应解除我方保证责任的其他情形的，我方在本保函项下的保证责任亦解除。</w:t>
      </w:r>
    </w:p>
    <w:p w14:paraId="200BB5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5.我方解除保证责任后，你方应自我方保证责任解除之日起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个工作日内，将本保函原件返还我方。</w:t>
      </w:r>
    </w:p>
    <w:p w14:paraId="527C0D0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3" w:name="_Toc375060880"/>
      <w:bookmarkStart w:id="1174" w:name="_Toc16748"/>
      <w:bookmarkStart w:id="1175" w:name="_Toc375060661"/>
      <w:r>
        <w:rPr>
          <w:rFonts w:hint="eastAsia" w:ascii="华文中宋" w:hAnsi="华文中宋" w:eastAsia="华文中宋" w:cs="华文中宋"/>
          <w:color w:val="auto"/>
          <w:sz w:val="24"/>
          <w:szCs w:val="24"/>
        </w:rPr>
        <w:t>六、免责条款</w:t>
      </w:r>
      <w:bookmarkEnd w:id="1173"/>
      <w:bookmarkEnd w:id="1174"/>
      <w:bookmarkEnd w:id="1175"/>
    </w:p>
    <w:p w14:paraId="5778B73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1.因你方违约致使发包人不能履行义务的，我方不承担保证责任。</w:t>
      </w:r>
    </w:p>
    <w:p w14:paraId="693774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2.依照法律法规的规定或你方与发包人的另行约定，免除发包人部分或全部义务的，我方亦免除其相应的保证责任。</w:t>
      </w:r>
    </w:p>
    <w:p w14:paraId="673946C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3.你方与发包人协议变更主合同的，如加重发包人责任致使我方保证责任加重的，需征得我方书面同意，否则我方不再承担因此而加重部分的保证责任，但主合同第10条〔变更〕约定的变更不受本款限制。</w:t>
      </w:r>
    </w:p>
    <w:p w14:paraId="190908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4.因不可抗力造成发包人不能履行义务的，我方不承担保证责任。</w:t>
      </w:r>
    </w:p>
    <w:p w14:paraId="161727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6" w:name="_Toc375060881"/>
      <w:bookmarkStart w:id="1177" w:name="_Toc29882"/>
      <w:bookmarkStart w:id="1178" w:name="_Toc375060662"/>
      <w:r>
        <w:rPr>
          <w:rFonts w:hint="eastAsia" w:ascii="华文中宋" w:hAnsi="华文中宋" w:eastAsia="华文中宋" w:cs="华文中宋"/>
          <w:color w:val="auto"/>
          <w:sz w:val="24"/>
          <w:szCs w:val="24"/>
        </w:rPr>
        <w:t>七、争议解决</w:t>
      </w:r>
      <w:bookmarkEnd w:id="1176"/>
      <w:bookmarkEnd w:id="1177"/>
      <w:bookmarkEnd w:id="1178"/>
    </w:p>
    <w:p w14:paraId="6AAB330E">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因本保函或本保函相关事项发生的纠纷，可由双方协商解决，协商不成的，按下列第</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种方式解决：</w:t>
      </w:r>
    </w:p>
    <w:p w14:paraId="13FA3E5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（1）向</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仲裁委员会申请仲裁；</w:t>
      </w:r>
    </w:p>
    <w:p w14:paraId="4608D4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（2）向</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人民法院起诉。</w:t>
      </w:r>
    </w:p>
    <w:p w14:paraId="6A1250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9" w:name="_Toc375060663"/>
      <w:bookmarkStart w:id="1180" w:name="_Toc375060882"/>
      <w:bookmarkStart w:id="1181" w:name="_Toc27520"/>
      <w:r>
        <w:rPr>
          <w:rFonts w:hint="eastAsia" w:ascii="华文中宋" w:hAnsi="华文中宋" w:eastAsia="华文中宋" w:cs="华文中宋"/>
          <w:color w:val="auto"/>
          <w:sz w:val="24"/>
          <w:szCs w:val="24"/>
        </w:rPr>
        <w:t>八、保函的生效</w:t>
      </w:r>
      <w:bookmarkEnd w:id="1179"/>
      <w:bookmarkEnd w:id="1180"/>
      <w:bookmarkEnd w:id="1181"/>
    </w:p>
    <w:p w14:paraId="683644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本保函自我方法定代表人（或其授权代理人）签字并加盖公章之日起生效。</w:t>
      </w:r>
    </w:p>
    <w:p w14:paraId="2F72DE9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p>
    <w:p w14:paraId="2BF2941B">
      <w:pPr>
        <w:keepNext w:val="0"/>
        <w:keepLines w:val="0"/>
        <w:pageBreakBefore w:val="0"/>
        <w:widowControl w:val="0"/>
        <w:kinsoku/>
        <w:wordWrap/>
        <w:overflowPunct/>
        <w:topLinePunct w:val="0"/>
        <w:autoSpaceDE/>
        <w:autoSpaceDN/>
        <w:bidi w:val="0"/>
        <w:adjustRightInd/>
        <w:snapToGrid/>
        <w:spacing w:line="500" w:lineRule="exact"/>
        <w:ind w:right="600"/>
        <w:jc w:val="left"/>
        <w:textAlignment w:val="auto"/>
        <w:rPr>
          <w:rFonts w:hint="eastAsia" w:ascii="华文中宋" w:hAnsi="华文中宋" w:eastAsia="华文中宋" w:cs="华文中宋"/>
          <w:color w:val="auto"/>
          <w:sz w:val="24"/>
          <w:szCs w:val="24"/>
        </w:rPr>
      </w:pPr>
    </w:p>
    <w:p w14:paraId="37C186DE">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担保人：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（盖章）</w:t>
      </w:r>
    </w:p>
    <w:p w14:paraId="4E585FF3">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法定代表人或委托代理人：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（签字）</w:t>
      </w:r>
    </w:p>
    <w:p w14:paraId="2625CE4A">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u w:val="single"/>
        </w:rPr>
        <w:t xml:space="preserve">                                        </w:t>
      </w:r>
    </w:p>
    <w:p w14:paraId="29C2AFF3">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p>
    <w:p w14:paraId="344CE3E3">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传    真：</w:t>
      </w:r>
      <w:r>
        <w:rPr>
          <w:rFonts w:hint="eastAsia" w:ascii="华文中宋" w:hAnsi="华文中宋" w:eastAsia="华文中宋" w:cs="华文中宋"/>
          <w:color w:val="auto"/>
          <w:sz w:val="24"/>
          <w:szCs w:val="24"/>
          <w:u w:val="single"/>
        </w:rPr>
        <w:t xml:space="preserve">                                        </w:t>
      </w:r>
    </w:p>
    <w:p w14:paraId="336942EC">
      <w:pPr>
        <w:keepNext w:val="0"/>
        <w:keepLines w:val="0"/>
        <w:pageBreakBefore w:val="0"/>
        <w:widowControl w:val="0"/>
        <w:kinsoku/>
        <w:wordWrap/>
        <w:overflowPunct/>
        <w:topLinePunct w:val="0"/>
        <w:autoSpaceDE/>
        <w:autoSpaceDN/>
        <w:bidi w:val="0"/>
        <w:adjustRightInd/>
        <w:snapToGrid/>
        <w:spacing w:line="500" w:lineRule="exact"/>
        <w:ind w:right="150" w:firstLine="480" w:firstLineChars="200"/>
        <w:jc w:val="left"/>
        <w:textAlignment w:val="auto"/>
        <w:rPr>
          <w:rFonts w:hint="eastAsia" w:ascii="华文中宋" w:hAnsi="华文中宋" w:eastAsia="华文中宋" w:cs="华文中宋"/>
          <w:color w:val="auto"/>
          <w:sz w:val="24"/>
          <w:szCs w:val="24"/>
          <w:u w:val="single"/>
        </w:rPr>
      </w:pPr>
    </w:p>
    <w:p w14:paraId="5C0CA0C6">
      <w:pPr>
        <w:keepNext w:val="0"/>
        <w:keepLines w:val="0"/>
        <w:pageBreakBefore w:val="0"/>
        <w:widowControl w:val="0"/>
        <w:kinsoku/>
        <w:wordWrap/>
        <w:overflowPunct/>
        <w:topLinePunct w:val="0"/>
        <w:autoSpaceDE/>
        <w:autoSpaceDN/>
        <w:bidi w:val="0"/>
        <w:adjustRightInd/>
        <w:snapToGrid/>
        <w:spacing w:line="500" w:lineRule="exact"/>
        <w:ind w:right="150"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w:t>
      </w:r>
    </w:p>
    <w:p w14:paraId="072B588B">
      <w:pPr>
        <w:spacing w:line="44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附件11：</w:t>
      </w:r>
    </w:p>
    <w:p w14:paraId="00CB2A9F">
      <w:pPr>
        <w:spacing w:beforeLines="50" w:afterLines="50" w:line="440" w:lineRule="exact"/>
        <w:jc w:val="center"/>
        <w:outlineLvl w:val="0"/>
        <w:rPr>
          <w:rFonts w:hint="eastAsia" w:ascii="华文中宋" w:hAnsi="华文中宋" w:eastAsia="华文中宋" w:cs="华文中宋"/>
          <w:color w:val="auto"/>
          <w:sz w:val="24"/>
          <w:szCs w:val="24"/>
        </w:rPr>
      </w:pPr>
      <w:bookmarkStart w:id="1182" w:name="_Toc26826"/>
      <w:bookmarkStart w:id="1183" w:name="_Toc375060883"/>
      <w:bookmarkStart w:id="1184" w:name="_Toc375060664"/>
      <w:r>
        <w:rPr>
          <w:rFonts w:hint="eastAsia" w:ascii="华文中宋" w:hAnsi="华文中宋" w:eastAsia="华文中宋" w:cs="华文中宋"/>
          <w:color w:val="auto"/>
          <w:sz w:val="24"/>
          <w:szCs w:val="24"/>
        </w:rPr>
        <w:t>11-1：材料暂估价表</w:t>
      </w:r>
      <w:bookmarkEnd w:id="1182"/>
      <w:bookmarkEnd w:id="1183"/>
      <w:bookmarkEnd w:id="1184"/>
    </w:p>
    <w:tbl>
      <w:tblPr>
        <w:tblStyle w:val="29"/>
        <w:tblW w:w="9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6"/>
        <w:gridCol w:w="2744"/>
        <w:gridCol w:w="538"/>
        <w:gridCol w:w="1178"/>
        <w:gridCol w:w="1141"/>
        <w:gridCol w:w="1417"/>
        <w:gridCol w:w="2119"/>
      </w:tblGrid>
      <w:tr w14:paraId="33D94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6" w:type="dxa"/>
            <w:tcBorders>
              <w:top w:val="single" w:color="auto" w:sz="12" w:space="0"/>
              <w:bottom w:val="double" w:color="auto" w:sz="6" w:space="0"/>
            </w:tcBorders>
            <w:noWrap w:val="0"/>
            <w:vAlign w:val="center"/>
          </w:tcPr>
          <w:p w14:paraId="01283C9F">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76855A2C">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2744" w:type="dxa"/>
            <w:tcBorders>
              <w:top w:val="single" w:color="auto" w:sz="12" w:space="0"/>
              <w:bottom w:val="double" w:color="auto" w:sz="6" w:space="0"/>
            </w:tcBorders>
            <w:noWrap w:val="0"/>
            <w:vAlign w:val="center"/>
          </w:tcPr>
          <w:p w14:paraId="117A5005">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名  称</w:t>
            </w:r>
          </w:p>
        </w:tc>
        <w:tc>
          <w:tcPr>
            <w:tcW w:w="538" w:type="dxa"/>
            <w:tcBorders>
              <w:top w:val="single" w:color="auto" w:sz="12" w:space="0"/>
              <w:bottom w:val="double" w:color="auto" w:sz="6" w:space="0"/>
            </w:tcBorders>
            <w:noWrap w:val="0"/>
            <w:vAlign w:val="center"/>
          </w:tcPr>
          <w:p w14:paraId="3585CED9">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w:t>
            </w:r>
          </w:p>
          <w:p w14:paraId="6C9F7BE9">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位</w:t>
            </w:r>
          </w:p>
        </w:tc>
        <w:tc>
          <w:tcPr>
            <w:tcW w:w="1178" w:type="dxa"/>
            <w:tcBorders>
              <w:top w:val="single" w:color="auto" w:sz="12" w:space="0"/>
              <w:bottom w:val="double" w:color="auto" w:sz="6" w:space="0"/>
            </w:tcBorders>
            <w:noWrap w:val="0"/>
            <w:vAlign w:val="center"/>
          </w:tcPr>
          <w:p w14:paraId="74DD36EB">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数量</w:t>
            </w:r>
          </w:p>
        </w:tc>
        <w:tc>
          <w:tcPr>
            <w:tcW w:w="1141" w:type="dxa"/>
            <w:tcBorders>
              <w:top w:val="single" w:color="auto" w:sz="12" w:space="0"/>
              <w:bottom w:val="double" w:color="auto" w:sz="6" w:space="0"/>
            </w:tcBorders>
            <w:noWrap w:val="0"/>
            <w:vAlign w:val="center"/>
          </w:tcPr>
          <w:p w14:paraId="6B01AB48">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单价</w:t>
            </w:r>
          </w:p>
          <w:p w14:paraId="665AC281">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1417" w:type="dxa"/>
            <w:tcBorders>
              <w:top w:val="single" w:color="auto" w:sz="12" w:space="0"/>
              <w:bottom w:val="double" w:color="auto" w:sz="6" w:space="0"/>
            </w:tcBorders>
            <w:noWrap w:val="0"/>
            <w:vAlign w:val="center"/>
          </w:tcPr>
          <w:p w14:paraId="23D19C30">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合价</w:t>
            </w:r>
          </w:p>
          <w:p w14:paraId="2C3C2B07">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2119" w:type="dxa"/>
            <w:tcBorders>
              <w:top w:val="single" w:color="auto" w:sz="12" w:space="0"/>
              <w:bottom w:val="double" w:color="auto" w:sz="6" w:space="0"/>
            </w:tcBorders>
            <w:noWrap w:val="0"/>
            <w:vAlign w:val="center"/>
          </w:tcPr>
          <w:p w14:paraId="0781B23D">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 注</w:t>
            </w:r>
          </w:p>
        </w:tc>
      </w:tr>
      <w:tr w14:paraId="2DB6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tcBorders>
              <w:top w:val="double" w:color="auto" w:sz="6" w:space="0"/>
              <w:bottom w:val="single" w:color="auto" w:sz="6" w:space="0"/>
            </w:tcBorders>
            <w:noWrap w:val="0"/>
            <w:vAlign w:val="center"/>
          </w:tcPr>
          <w:p w14:paraId="7B100D89">
            <w:pPr>
              <w:spacing w:line="320" w:lineRule="exact"/>
              <w:jc w:val="center"/>
              <w:rPr>
                <w:rFonts w:hint="eastAsia" w:ascii="华文中宋" w:hAnsi="华文中宋" w:eastAsia="华文中宋" w:cs="华文中宋"/>
                <w:b/>
                <w:color w:val="auto"/>
                <w:sz w:val="24"/>
                <w:szCs w:val="24"/>
                <w:highlight w:val="cyan"/>
              </w:rPr>
            </w:pPr>
          </w:p>
        </w:tc>
        <w:tc>
          <w:tcPr>
            <w:tcW w:w="2744" w:type="dxa"/>
            <w:tcBorders>
              <w:top w:val="double" w:color="auto" w:sz="6" w:space="0"/>
              <w:bottom w:val="single" w:color="auto" w:sz="6" w:space="0"/>
            </w:tcBorders>
            <w:noWrap w:val="0"/>
            <w:vAlign w:val="center"/>
          </w:tcPr>
          <w:p w14:paraId="421061D8">
            <w:pPr>
              <w:spacing w:line="320" w:lineRule="exact"/>
              <w:jc w:val="center"/>
              <w:rPr>
                <w:rFonts w:hint="eastAsia" w:ascii="华文中宋" w:hAnsi="华文中宋" w:eastAsia="华文中宋" w:cs="华文中宋"/>
                <w:b/>
                <w:color w:val="auto"/>
                <w:sz w:val="24"/>
                <w:szCs w:val="24"/>
                <w:highlight w:val="cyan"/>
              </w:rPr>
            </w:pPr>
          </w:p>
        </w:tc>
        <w:tc>
          <w:tcPr>
            <w:tcW w:w="538" w:type="dxa"/>
            <w:tcBorders>
              <w:top w:val="double" w:color="auto" w:sz="6" w:space="0"/>
              <w:bottom w:val="single" w:color="auto" w:sz="6" w:space="0"/>
            </w:tcBorders>
            <w:noWrap w:val="0"/>
            <w:vAlign w:val="center"/>
          </w:tcPr>
          <w:p w14:paraId="206CCFB0">
            <w:pPr>
              <w:spacing w:line="320" w:lineRule="exact"/>
              <w:jc w:val="center"/>
              <w:rPr>
                <w:rFonts w:hint="eastAsia" w:ascii="华文中宋" w:hAnsi="华文中宋" w:eastAsia="华文中宋" w:cs="华文中宋"/>
                <w:b/>
                <w:color w:val="auto"/>
                <w:sz w:val="24"/>
                <w:szCs w:val="24"/>
                <w:highlight w:val="cyan"/>
              </w:rPr>
            </w:pPr>
          </w:p>
        </w:tc>
        <w:tc>
          <w:tcPr>
            <w:tcW w:w="1178" w:type="dxa"/>
            <w:tcBorders>
              <w:top w:val="double" w:color="auto" w:sz="6" w:space="0"/>
              <w:bottom w:val="single" w:color="auto" w:sz="6" w:space="0"/>
            </w:tcBorders>
            <w:noWrap w:val="0"/>
            <w:vAlign w:val="center"/>
          </w:tcPr>
          <w:p w14:paraId="3A20FF12">
            <w:pPr>
              <w:spacing w:line="320" w:lineRule="exact"/>
              <w:jc w:val="center"/>
              <w:rPr>
                <w:rFonts w:hint="eastAsia" w:ascii="华文中宋" w:hAnsi="华文中宋" w:eastAsia="华文中宋" w:cs="华文中宋"/>
                <w:b/>
                <w:color w:val="auto"/>
                <w:sz w:val="24"/>
                <w:szCs w:val="24"/>
                <w:highlight w:val="cyan"/>
              </w:rPr>
            </w:pPr>
          </w:p>
        </w:tc>
        <w:tc>
          <w:tcPr>
            <w:tcW w:w="1141" w:type="dxa"/>
            <w:tcBorders>
              <w:top w:val="double" w:color="auto" w:sz="6" w:space="0"/>
              <w:bottom w:val="single" w:color="auto" w:sz="6" w:space="0"/>
            </w:tcBorders>
            <w:noWrap w:val="0"/>
            <w:vAlign w:val="center"/>
          </w:tcPr>
          <w:p w14:paraId="713A32B1">
            <w:pPr>
              <w:spacing w:line="320" w:lineRule="exact"/>
              <w:jc w:val="center"/>
              <w:rPr>
                <w:rFonts w:hint="eastAsia" w:ascii="华文中宋" w:hAnsi="华文中宋" w:eastAsia="华文中宋" w:cs="华文中宋"/>
                <w:b/>
                <w:color w:val="auto"/>
                <w:sz w:val="24"/>
                <w:szCs w:val="24"/>
                <w:highlight w:val="cyan"/>
              </w:rPr>
            </w:pPr>
          </w:p>
        </w:tc>
        <w:tc>
          <w:tcPr>
            <w:tcW w:w="1417" w:type="dxa"/>
            <w:tcBorders>
              <w:top w:val="double" w:color="auto" w:sz="6" w:space="0"/>
              <w:bottom w:val="single" w:color="auto" w:sz="6" w:space="0"/>
            </w:tcBorders>
            <w:noWrap w:val="0"/>
            <w:vAlign w:val="center"/>
          </w:tcPr>
          <w:p w14:paraId="6DBC5DBD">
            <w:pPr>
              <w:spacing w:line="320" w:lineRule="exact"/>
              <w:jc w:val="center"/>
              <w:rPr>
                <w:rFonts w:hint="eastAsia" w:ascii="华文中宋" w:hAnsi="华文中宋" w:eastAsia="华文中宋" w:cs="华文中宋"/>
                <w:b/>
                <w:color w:val="auto"/>
                <w:sz w:val="24"/>
                <w:szCs w:val="24"/>
                <w:highlight w:val="cyan"/>
              </w:rPr>
            </w:pPr>
          </w:p>
        </w:tc>
        <w:tc>
          <w:tcPr>
            <w:tcW w:w="2119" w:type="dxa"/>
            <w:tcBorders>
              <w:top w:val="double" w:color="auto" w:sz="6" w:space="0"/>
              <w:bottom w:val="single" w:color="auto" w:sz="6" w:space="0"/>
            </w:tcBorders>
            <w:noWrap w:val="0"/>
            <w:vAlign w:val="center"/>
          </w:tcPr>
          <w:p w14:paraId="1B5BF9D4">
            <w:pPr>
              <w:spacing w:line="320" w:lineRule="exact"/>
              <w:ind w:left="63" w:leftChars="30" w:right="63"/>
              <w:jc w:val="center"/>
              <w:rPr>
                <w:rFonts w:hint="eastAsia" w:ascii="华文中宋" w:hAnsi="华文中宋" w:eastAsia="华文中宋" w:cs="华文中宋"/>
                <w:b/>
                <w:color w:val="auto"/>
                <w:sz w:val="24"/>
                <w:szCs w:val="24"/>
                <w:highlight w:val="cyan"/>
              </w:rPr>
            </w:pPr>
          </w:p>
        </w:tc>
      </w:tr>
      <w:tr w14:paraId="278A5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tcBorders>
              <w:top w:val="nil"/>
            </w:tcBorders>
            <w:noWrap w:val="0"/>
            <w:vAlign w:val="center"/>
          </w:tcPr>
          <w:p w14:paraId="366FC6E7">
            <w:pPr>
              <w:spacing w:line="320" w:lineRule="exact"/>
              <w:jc w:val="center"/>
              <w:rPr>
                <w:rFonts w:hint="eastAsia" w:ascii="华文中宋" w:hAnsi="华文中宋" w:eastAsia="华文中宋" w:cs="华文中宋"/>
                <w:b/>
                <w:color w:val="auto"/>
                <w:sz w:val="24"/>
                <w:szCs w:val="24"/>
                <w:highlight w:val="cyan"/>
              </w:rPr>
            </w:pPr>
          </w:p>
        </w:tc>
        <w:tc>
          <w:tcPr>
            <w:tcW w:w="2744" w:type="dxa"/>
            <w:tcBorders>
              <w:top w:val="nil"/>
            </w:tcBorders>
            <w:noWrap w:val="0"/>
            <w:vAlign w:val="center"/>
          </w:tcPr>
          <w:p w14:paraId="52A0D204">
            <w:pPr>
              <w:spacing w:line="320" w:lineRule="exact"/>
              <w:jc w:val="center"/>
              <w:rPr>
                <w:rFonts w:hint="eastAsia" w:ascii="华文中宋" w:hAnsi="华文中宋" w:eastAsia="华文中宋" w:cs="华文中宋"/>
                <w:b/>
                <w:color w:val="auto"/>
                <w:spacing w:val="-8"/>
                <w:sz w:val="24"/>
                <w:szCs w:val="24"/>
                <w:highlight w:val="cyan"/>
              </w:rPr>
            </w:pPr>
          </w:p>
        </w:tc>
        <w:tc>
          <w:tcPr>
            <w:tcW w:w="538" w:type="dxa"/>
            <w:tcBorders>
              <w:top w:val="nil"/>
            </w:tcBorders>
            <w:noWrap w:val="0"/>
            <w:vAlign w:val="center"/>
          </w:tcPr>
          <w:p w14:paraId="5415BF11">
            <w:pPr>
              <w:spacing w:line="320" w:lineRule="exact"/>
              <w:jc w:val="center"/>
              <w:rPr>
                <w:rFonts w:hint="eastAsia" w:ascii="华文中宋" w:hAnsi="华文中宋" w:eastAsia="华文中宋" w:cs="华文中宋"/>
                <w:b/>
                <w:color w:val="auto"/>
                <w:sz w:val="24"/>
                <w:szCs w:val="24"/>
                <w:highlight w:val="cyan"/>
              </w:rPr>
            </w:pPr>
          </w:p>
        </w:tc>
        <w:tc>
          <w:tcPr>
            <w:tcW w:w="1178" w:type="dxa"/>
            <w:tcBorders>
              <w:top w:val="nil"/>
            </w:tcBorders>
            <w:noWrap w:val="0"/>
            <w:vAlign w:val="center"/>
          </w:tcPr>
          <w:p w14:paraId="0E855CC2">
            <w:pPr>
              <w:spacing w:line="320" w:lineRule="exact"/>
              <w:jc w:val="center"/>
              <w:rPr>
                <w:rFonts w:hint="eastAsia" w:ascii="华文中宋" w:hAnsi="华文中宋" w:eastAsia="华文中宋" w:cs="华文中宋"/>
                <w:b/>
                <w:color w:val="auto"/>
                <w:sz w:val="24"/>
                <w:szCs w:val="24"/>
                <w:highlight w:val="cyan"/>
              </w:rPr>
            </w:pPr>
          </w:p>
        </w:tc>
        <w:tc>
          <w:tcPr>
            <w:tcW w:w="1141" w:type="dxa"/>
            <w:tcBorders>
              <w:top w:val="nil"/>
            </w:tcBorders>
            <w:noWrap w:val="0"/>
            <w:vAlign w:val="center"/>
          </w:tcPr>
          <w:p w14:paraId="5065A76D">
            <w:pPr>
              <w:spacing w:line="320" w:lineRule="exact"/>
              <w:jc w:val="center"/>
              <w:rPr>
                <w:rFonts w:hint="eastAsia" w:ascii="华文中宋" w:hAnsi="华文中宋" w:eastAsia="华文中宋" w:cs="华文中宋"/>
                <w:b/>
                <w:color w:val="auto"/>
                <w:sz w:val="24"/>
                <w:szCs w:val="24"/>
                <w:highlight w:val="cyan"/>
              </w:rPr>
            </w:pPr>
          </w:p>
        </w:tc>
        <w:tc>
          <w:tcPr>
            <w:tcW w:w="1417" w:type="dxa"/>
            <w:tcBorders>
              <w:top w:val="nil"/>
            </w:tcBorders>
            <w:noWrap w:val="0"/>
            <w:vAlign w:val="center"/>
          </w:tcPr>
          <w:p w14:paraId="5D445A42">
            <w:pPr>
              <w:spacing w:line="320" w:lineRule="exact"/>
              <w:jc w:val="center"/>
              <w:rPr>
                <w:rFonts w:hint="eastAsia" w:ascii="华文中宋" w:hAnsi="华文中宋" w:eastAsia="华文中宋" w:cs="华文中宋"/>
                <w:b/>
                <w:color w:val="auto"/>
                <w:sz w:val="24"/>
                <w:szCs w:val="24"/>
                <w:highlight w:val="cyan"/>
              </w:rPr>
            </w:pPr>
          </w:p>
        </w:tc>
        <w:tc>
          <w:tcPr>
            <w:tcW w:w="2119" w:type="dxa"/>
            <w:tcBorders>
              <w:top w:val="nil"/>
            </w:tcBorders>
            <w:noWrap w:val="0"/>
            <w:vAlign w:val="center"/>
          </w:tcPr>
          <w:p w14:paraId="6BB370A5">
            <w:pPr>
              <w:spacing w:line="320" w:lineRule="exact"/>
              <w:ind w:left="63" w:leftChars="30" w:right="63"/>
              <w:jc w:val="center"/>
              <w:rPr>
                <w:rFonts w:hint="eastAsia" w:ascii="华文中宋" w:hAnsi="华文中宋" w:eastAsia="华文中宋" w:cs="华文中宋"/>
                <w:b/>
                <w:color w:val="auto"/>
                <w:sz w:val="24"/>
                <w:szCs w:val="24"/>
                <w:highlight w:val="cyan"/>
              </w:rPr>
            </w:pPr>
          </w:p>
        </w:tc>
      </w:tr>
      <w:tr w14:paraId="1291B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1DFF846D">
            <w:pPr>
              <w:spacing w:line="320" w:lineRule="exact"/>
              <w:jc w:val="center"/>
              <w:rPr>
                <w:rFonts w:hint="eastAsia" w:ascii="华文中宋" w:hAnsi="华文中宋" w:eastAsia="华文中宋" w:cs="华文中宋"/>
                <w:b/>
                <w:color w:val="auto"/>
                <w:sz w:val="24"/>
                <w:szCs w:val="24"/>
                <w:highlight w:val="cyan"/>
              </w:rPr>
            </w:pPr>
          </w:p>
        </w:tc>
        <w:tc>
          <w:tcPr>
            <w:tcW w:w="2744" w:type="dxa"/>
            <w:noWrap w:val="0"/>
            <w:vAlign w:val="center"/>
          </w:tcPr>
          <w:p w14:paraId="5C694097">
            <w:pPr>
              <w:spacing w:line="320" w:lineRule="exact"/>
              <w:jc w:val="center"/>
              <w:rPr>
                <w:rFonts w:hint="eastAsia" w:ascii="华文中宋" w:hAnsi="华文中宋" w:eastAsia="华文中宋" w:cs="华文中宋"/>
                <w:b/>
                <w:color w:val="auto"/>
                <w:sz w:val="24"/>
                <w:szCs w:val="24"/>
                <w:highlight w:val="cyan"/>
              </w:rPr>
            </w:pPr>
          </w:p>
        </w:tc>
        <w:tc>
          <w:tcPr>
            <w:tcW w:w="538" w:type="dxa"/>
            <w:noWrap w:val="0"/>
            <w:vAlign w:val="center"/>
          </w:tcPr>
          <w:p w14:paraId="653B45C8">
            <w:pPr>
              <w:spacing w:line="320" w:lineRule="exact"/>
              <w:jc w:val="center"/>
              <w:rPr>
                <w:rFonts w:hint="eastAsia" w:ascii="华文中宋" w:hAnsi="华文中宋" w:eastAsia="华文中宋" w:cs="华文中宋"/>
                <w:b/>
                <w:color w:val="auto"/>
                <w:sz w:val="24"/>
                <w:szCs w:val="24"/>
                <w:highlight w:val="cyan"/>
              </w:rPr>
            </w:pPr>
          </w:p>
        </w:tc>
        <w:tc>
          <w:tcPr>
            <w:tcW w:w="1178" w:type="dxa"/>
            <w:noWrap w:val="0"/>
            <w:vAlign w:val="center"/>
          </w:tcPr>
          <w:p w14:paraId="03365326">
            <w:pPr>
              <w:spacing w:line="320" w:lineRule="exact"/>
              <w:jc w:val="center"/>
              <w:rPr>
                <w:rFonts w:hint="eastAsia" w:ascii="华文中宋" w:hAnsi="华文中宋" w:eastAsia="华文中宋" w:cs="华文中宋"/>
                <w:b/>
                <w:color w:val="auto"/>
                <w:sz w:val="24"/>
                <w:szCs w:val="24"/>
                <w:highlight w:val="cyan"/>
              </w:rPr>
            </w:pPr>
          </w:p>
        </w:tc>
        <w:tc>
          <w:tcPr>
            <w:tcW w:w="1141" w:type="dxa"/>
            <w:noWrap w:val="0"/>
            <w:vAlign w:val="center"/>
          </w:tcPr>
          <w:p w14:paraId="4CF1E2A8">
            <w:pPr>
              <w:spacing w:line="320" w:lineRule="exact"/>
              <w:jc w:val="center"/>
              <w:rPr>
                <w:rFonts w:hint="eastAsia" w:ascii="华文中宋" w:hAnsi="华文中宋" w:eastAsia="华文中宋" w:cs="华文中宋"/>
                <w:b/>
                <w:color w:val="auto"/>
                <w:sz w:val="24"/>
                <w:szCs w:val="24"/>
                <w:highlight w:val="cyan"/>
              </w:rPr>
            </w:pPr>
          </w:p>
        </w:tc>
        <w:tc>
          <w:tcPr>
            <w:tcW w:w="1417" w:type="dxa"/>
            <w:noWrap w:val="0"/>
            <w:vAlign w:val="center"/>
          </w:tcPr>
          <w:p w14:paraId="7FFF412B">
            <w:pPr>
              <w:spacing w:line="320" w:lineRule="exact"/>
              <w:jc w:val="center"/>
              <w:rPr>
                <w:rFonts w:hint="eastAsia" w:ascii="华文中宋" w:hAnsi="华文中宋" w:eastAsia="华文中宋" w:cs="华文中宋"/>
                <w:b/>
                <w:color w:val="auto"/>
                <w:sz w:val="24"/>
                <w:szCs w:val="24"/>
                <w:highlight w:val="cyan"/>
              </w:rPr>
            </w:pPr>
          </w:p>
        </w:tc>
        <w:tc>
          <w:tcPr>
            <w:tcW w:w="2119" w:type="dxa"/>
            <w:noWrap w:val="0"/>
            <w:vAlign w:val="center"/>
          </w:tcPr>
          <w:p w14:paraId="78D7453D">
            <w:pPr>
              <w:spacing w:line="340" w:lineRule="exact"/>
              <w:ind w:left="63" w:leftChars="30" w:right="62"/>
              <w:jc w:val="center"/>
              <w:rPr>
                <w:rFonts w:hint="eastAsia" w:ascii="华文中宋" w:hAnsi="华文中宋" w:eastAsia="华文中宋" w:cs="华文中宋"/>
                <w:b/>
                <w:color w:val="auto"/>
                <w:sz w:val="24"/>
                <w:szCs w:val="24"/>
                <w:highlight w:val="cyan"/>
              </w:rPr>
            </w:pPr>
          </w:p>
        </w:tc>
      </w:tr>
      <w:tr w14:paraId="6C7CB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25010C48">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18E05308">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1382E3AE">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1AEEB55B">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7265837E">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7D84413B">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747CEB69">
            <w:pPr>
              <w:spacing w:line="320" w:lineRule="exact"/>
              <w:ind w:left="63" w:leftChars="30" w:right="63"/>
              <w:jc w:val="center"/>
              <w:rPr>
                <w:rFonts w:hint="eastAsia" w:ascii="华文中宋" w:hAnsi="华文中宋" w:eastAsia="华文中宋" w:cs="华文中宋"/>
                <w:b/>
                <w:color w:val="auto"/>
                <w:sz w:val="24"/>
                <w:szCs w:val="24"/>
              </w:rPr>
            </w:pPr>
          </w:p>
        </w:tc>
      </w:tr>
      <w:tr w14:paraId="23761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1E85F42D">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79173815">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477C459F">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62E97079">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76620965">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11310CA2">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41B996C5">
            <w:pPr>
              <w:spacing w:line="320" w:lineRule="exact"/>
              <w:ind w:left="63" w:leftChars="30" w:right="63"/>
              <w:jc w:val="center"/>
              <w:rPr>
                <w:rFonts w:hint="eastAsia" w:ascii="华文中宋" w:hAnsi="华文中宋" w:eastAsia="华文中宋" w:cs="华文中宋"/>
                <w:b/>
                <w:color w:val="auto"/>
                <w:sz w:val="24"/>
                <w:szCs w:val="24"/>
              </w:rPr>
            </w:pPr>
          </w:p>
        </w:tc>
      </w:tr>
      <w:tr w14:paraId="67397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0042B32E">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3F8DBC8B">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5EC70132">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74A03355">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5EE0E261">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04D1AD49">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7CDE1F12">
            <w:pPr>
              <w:spacing w:line="320" w:lineRule="exact"/>
              <w:ind w:left="63" w:leftChars="30" w:right="63"/>
              <w:jc w:val="center"/>
              <w:rPr>
                <w:rFonts w:hint="eastAsia" w:ascii="华文中宋" w:hAnsi="华文中宋" w:eastAsia="华文中宋" w:cs="华文中宋"/>
                <w:b/>
                <w:color w:val="auto"/>
                <w:sz w:val="24"/>
                <w:szCs w:val="24"/>
              </w:rPr>
            </w:pPr>
          </w:p>
        </w:tc>
      </w:tr>
      <w:tr w14:paraId="36B55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7E565E41">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00687EBF">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482DC713">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67B409B3">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0228A12B">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76220812">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670B747D">
            <w:pPr>
              <w:spacing w:line="320" w:lineRule="exact"/>
              <w:ind w:left="63" w:leftChars="30" w:right="63"/>
              <w:jc w:val="center"/>
              <w:rPr>
                <w:rFonts w:hint="eastAsia" w:ascii="华文中宋" w:hAnsi="华文中宋" w:eastAsia="华文中宋" w:cs="华文中宋"/>
                <w:b/>
                <w:color w:val="auto"/>
                <w:sz w:val="24"/>
                <w:szCs w:val="24"/>
              </w:rPr>
            </w:pPr>
          </w:p>
        </w:tc>
      </w:tr>
    </w:tbl>
    <w:p w14:paraId="76EA5ADE">
      <w:pPr>
        <w:spacing w:beforeLines="50" w:afterLines="50" w:line="440" w:lineRule="exact"/>
        <w:jc w:val="center"/>
        <w:outlineLvl w:val="0"/>
        <w:rPr>
          <w:rFonts w:hint="eastAsia" w:ascii="华文中宋" w:hAnsi="华文中宋" w:eastAsia="华文中宋" w:cs="华文中宋"/>
          <w:color w:val="auto"/>
          <w:sz w:val="24"/>
          <w:szCs w:val="24"/>
        </w:rPr>
      </w:pPr>
      <w:bookmarkStart w:id="1185" w:name="_Toc20744"/>
      <w:r>
        <w:rPr>
          <w:rFonts w:hint="eastAsia" w:ascii="华文中宋" w:hAnsi="华文中宋" w:eastAsia="华文中宋" w:cs="华文中宋"/>
          <w:color w:val="auto"/>
          <w:sz w:val="24"/>
          <w:szCs w:val="24"/>
        </w:rPr>
        <w:t>11-2：工程设备暂估价表</w:t>
      </w:r>
      <w:bookmarkEnd w:id="1185"/>
    </w:p>
    <w:tbl>
      <w:tblPr>
        <w:tblStyle w:val="29"/>
        <w:tblW w:w="96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2"/>
        <w:gridCol w:w="3020"/>
        <w:gridCol w:w="630"/>
        <w:gridCol w:w="826"/>
        <w:gridCol w:w="1133"/>
        <w:gridCol w:w="1442"/>
        <w:gridCol w:w="2098"/>
      </w:tblGrid>
      <w:tr w14:paraId="5913B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32" w:type="dxa"/>
            <w:tcBorders>
              <w:top w:val="single" w:color="auto" w:sz="12" w:space="0"/>
              <w:bottom w:val="double" w:color="auto" w:sz="6" w:space="0"/>
            </w:tcBorders>
            <w:noWrap w:val="0"/>
            <w:vAlign w:val="center"/>
          </w:tcPr>
          <w:p w14:paraId="6D99858F">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31E402C8">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3020" w:type="dxa"/>
            <w:tcBorders>
              <w:top w:val="single" w:color="auto" w:sz="12" w:space="0"/>
              <w:bottom w:val="double" w:color="auto" w:sz="6" w:space="0"/>
            </w:tcBorders>
            <w:noWrap w:val="0"/>
            <w:vAlign w:val="center"/>
          </w:tcPr>
          <w:p w14:paraId="0AA3018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名  称</w:t>
            </w:r>
          </w:p>
        </w:tc>
        <w:tc>
          <w:tcPr>
            <w:tcW w:w="630" w:type="dxa"/>
            <w:tcBorders>
              <w:top w:val="single" w:color="auto" w:sz="12" w:space="0"/>
              <w:bottom w:val="double" w:color="auto" w:sz="6" w:space="0"/>
            </w:tcBorders>
            <w:noWrap w:val="0"/>
            <w:vAlign w:val="center"/>
          </w:tcPr>
          <w:p w14:paraId="3926D872">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w:t>
            </w:r>
          </w:p>
          <w:p w14:paraId="762FD830">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位</w:t>
            </w:r>
          </w:p>
        </w:tc>
        <w:tc>
          <w:tcPr>
            <w:tcW w:w="826" w:type="dxa"/>
            <w:tcBorders>
              <w:top w:val="single" w:color="auto" w:sz="12" w:space="0"/>
              <w:bottom w:val="double" w:color="auto" w:sz="6" w:space="0"/>
            </w:tcBorders>
            <w:noWrap w:val="0"/>
            <w:vAlign w:val="center"/>
          </w:tcPr>
          <w:p w14:paraId="0FBC2AE3">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数量</w:t>
            </w:r>
          </w:p>
        </w:tc>
        <w:tc>
          <w:tcPr>
            <w:tcW w:w="1133" w:type="dxa"/>
            <w:tcBorders>
              <w:top w:val="single" w:color="auto" w:sz="12" w:space="0"/>
              <w:bottom w:val="double" w:color="auto" w:sz="6" w:space="0"/>
            </w:tcBorders>
            <w:noWrap w:val="0"/>
            <w:vAlign w:val="center"/>
          </w:tcPr>
          <w:p w14:paraId="7B348D88">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单价</w:t>
            </w:r>
          </w:p>
          <w:p w14:paraId="170BCEE7">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1442" w:type="dxa"/>
            <w:tcBorders>
              <w:top w:val="single" w:color="auto" w:sz="12" w:space="0"/>
              <w:bottom w:val="double" w:color="auto" w:sz="6" w:space="0"/>
            </w:tcBorders>
            <w:noWrap w:val="0"/>
            <w:vAlign w:val="center"/>
          </w:tcPr>
          <w:p w14:paraId="56B221C3">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合价</w:t>
            </w:r>
          </w:p>
          <w:p w14:paraId="3ECEFB06">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2098" w:type="dxa"/>
            <w:tcBorders>
              <w:top w:val="single" w:color="auto" w:sz="12" w:space="0"/>
              <w:bottom w:val="double" w:color="auto" w:sz="6" w:space="0"/>
            </w:tcBorders>
            <w:noWrap w:val="0"/>
            <w:vAlign w:val="center"/>
          </w:tcPr>
          <w:p w14:paraId="59C957DD">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 注</w:t>
            </w:r>
          </w:p>
        </w:tc>
      </w:tr>
      <w:tr w14:paraId="265CF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2" w:type="dxa"/>
            <w:tcBorders>
              <w:top w:val="double" w:color="auto" w:sz="6" w:space="0"/>
              <w:bottom w:val="single" w:color="auto" w:sz="6" w:space="0"/>
            </w:tcBorders>
            <w:noWrap w:val="0"/>
            <w:vAlign w:val="center"/>
          </w:tcPr>
          <w:p w14:paraId="46B2BC6B">
            <w:pPr>
              <w:spacing w:line="320" w:lineRule="exact"/>
              <w:jc w:val="center"/>
              <w:rPr>
                <w:rFonts w:hint="eastAsia" w:ascii="华文中宋" w:hAnsi="华文中宋" w:eastAsia="华文中宋" w:cs="华文中宋"/>
                <w:b/>
                <w:color w:val="auto"/>
                <w:sz w:val="24"/>
                <w:szCs w:val="24"/>
              </w:rPr>
            </w:pPr>
          </w:p>
        </w:tc>
        <w:tc>
          <w:tcPr>
            <w:tcW w:w="3020" w:type="dxa"/>
            <w:tcBorders>
              <w:top w:val="double" w:color="auto" w:sz="6" w:space="0"/>
              <w:bottom w:val="single" w:color="auto" w:sz="6" w:space="0"/>
            </w:tcBorders>
            <w:noWrap w:val="0"/>
            <w:vAlign w:val="center"/>
          </w:tcPr>
          <w:p w14:paraId="5A1C6A84">
            <w:pPr>
              <w:spacing w:line="320" w:lineRule="exact"/>
              <w:jc w:val="center"/>
              <w:rPr>
                <w:rFonts w:hint="eastAsia" w:ascii="华文中宋" w:hAnsi="华文中宋" w:eastAsia="华文中宋" w:cs="华文中宋"/>
                <w:b/>
                <w:color w:val="auto"/>
                <w:sz w:val="24"/>
                <w:szCs w:val="24"/>
              </w:rPr>
            </w:pPr>
          </w:p>
        </w:tc>
        <w:tc>
          <w:tcPr>
            <w:tcW w:w="630" w:type="dxa"/>
            <w:tcBorders>
              <w:top w:val="double" w:color="auto" w:sz="6" w:space="0"/>
              <w:bottom w:val="single" w:color="auto" w:sz="6" w:space="0"/>
            </w:tcBorders>
            <w:noWrap w:val="0"/>
            <w:vAlign w:val="center"/>
          </w:tcPr>
          <w:p w14:paraId="5EFB3994">
            <w:pPr>
              <w:spacing w:line="320" w:lineRule="exact"/>
              <w:jc w:val="center"/>
              <w:rPr>
                <w:rFonts w:hint="eastAsia" w:ascii="华文中宋" w:hAnsi="华文中宋" w:eastAsia="华文中宋" w:cs="华文中宋"/>
                <w:b/>
                <w:color w:val="auto"/>
                <w:sz w:val="24"/>
                <w:szCs w:val="24"/>
              </w:rPr>
            </w:pPr>
          </w:p>
        </w:tc>
        <w:tc>
          <w:tcPr>
            <w:tcW w:w="826" w:type="dxa"/>
            <w:tcBorders>
              <w:top w:val="double" w:color="auto" w:sz="6" w:space="0"/>
              <w:bottom w:val="single" w:color="auto" w:sz="6" w:space="0"/>
            </w:tcBorders>
            <w:noWrap w:val="0"/>
            <w:vAlign w:val="center"/>
          </w:tcPr>
          <w:p w14:paraId="135DCF54">
            <w:pPr>
              <w:spacing w:line="320" w:lineRule="exact"/>
              <w:jc w:val="center"/>
              <w:rPr>
                <w:rFonts w:hint="eastAsia" w:ascii="华文中宋" w:hAnsi="华文中宋" w:eastAsia="华文中宋" w:cs="华文中宋"/>
                <w:b/>
                <w:color w:val="auto"/>
                <w:sz w:val="24"/>
                <w:szCs w:val="24"/>
              </w:rPr>
            </w:pPr>
          </w:p>
        </w:tc>
        <w:tc>
          <w:tcPr>
            <w:tcW w:w="1133" w:type="dxa"/>
            <w:tcBorders>
              <w:top w:val="double" w:color="auto" w:sz="6" w:space="0"/>
              <w:bottom w:val="single" w:color="auto" w:sz="6" w:space="0"/>
            </w:tcBorders>
            <w:noWrap w:val="0"/>
            <w:vAlign w:val="center"/>
          </w:tcPr>
          <w:p w14:paraId="6A12C88C">
            <w:pPr>
              <w:spacing w:line="320" w:lineRule="exact"/>
              <w:jc w:val="center"/>
              <w:rPr>
                <w:rFonts w:hint="eastAsia" w:ascii="华文中宋" w:hAnsi="华文中宋" w:eastAsia="华文中宋" w:cs="华文中宋"/>
                <w:b/>
                <w:color w:val="auto"/>
                <w:sz w:val="24"/>
                <w:szCs w:val="24"/>
              </w:rPr>
            </w:pPr>
          </w:p>
        </w:tc>
        <w:tc>
          <w:tcPr>
            <w:tcW w:w="1442" w:type="dxa"/>
            <w:tcBorders>
              <w:top w:val="double" w:color="auto" w:sz="6" w:space="0"/>
              <w:bottom w:val="single" w:color="auto" w:sz="6" w:space="0"/>
            </w:tcBorders>
            <w:noWrap w:val="0"/>
            <w:vAlign w:val="center"/>
          </w:tcPr>
          <w:p w14:paraId="5FEC0FF2">
            <w:pPr>
              <w:spacing w:line="320" w:lineRule="exact"/>
              <w:jc w:val="center"/>
              <w:rPr>
                <w:rFonts w:hint="eastAsia" w:ascii="华文中宋" w:hAnsi="华文中宋" w:eastAsia="华文中宋" w:cs="华文中宋"/>
                <w:b/>
                <w:color w:val="auto"/>
                <w:sz w:val="24"/>
                <w:szCs w:val="24"/>
              </w:rPr>
            </w:pPr>
          </w:p>
        </w:tc>
        <w:tc>
          <w:tcPr>
            <w:tcW w:w="2098" w:type="dxa"/>
            <w:tcBorders>
              <w:top w:val="double" w:color="auto" w:sz="6" w:space="0"/>
              <w:bottom w:val="single" w:color="auto" w:sz="6" w:space="0"/>
            </w:tcBorders>
            <w:noWrap w:val="0"/>
            <w:vAlign w:val="center"/>
          </w:tcPr>
          <w:p w14:paraId="6EED08E0">
            <w:pPr>
              <w:spacing w:line="320" w:lineRule="exact"/>
              <w:ind w:right="-2"/>
              <w:jc w:val="center"/>
              <w:rPr>
                <w:rFonts w:hint="eastAsia" w:ascii="华文中宋" w:hAnsi="华文中宋" w:eastAsia="华文中宋" w:cs="华文中宋"/>
                <w:b/>
                <w:color w:val="auto"/>
                <w:sz w:val="24"/>
                <w:szCs w:val="24"/>
              </w:rPr>
            </w:pPr>
          </w:p>
        </w:tc>
      </w:tr>
      <w:tr w14:paraId="14658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2" w:type="dxa"/>
            <w:tcBorders>
              <w:top w:val="nil"/>
            </w:tcBorders>
            <w:noWrap w:val="0"/>
            <w:vAlign w:val="center"/>
          </w:tcPr>
          <w:p w14:paraId="7B35E58E">
            <w:pPr>
              <w:spacing w:line="320" w:lineRule="exact"/>
              <w:jc w:val="center"/>
              <w:rPr>
                <w:rFonts w:hint="eastAsia" w:ascii="华文中宋" w:hAnsi="华文中宋" w:eastAsia="华文中宋" w:cs="华文中宋"/>
                <w:b/>
                <w:color w:val="auto"/>
                <w:sz w:val="24"/>
                <w:szCs w:val="24"/>
              </w:rPr>
            </w:pPr>
          </w:p>
        </w:tc>
        <w:tc>
          <w:tcPr>
            <w:tcW w:w="3020" w:type="dxa"/>
            <w:tcBorders>
              <w:top w:val="nil"/>
            </w:tcBorders>
            <w:noWrap w:val="0"/>
            <w:vAlign w:val="center"/>
          </w:tcPr>
          <w:p w14:paraId="0B30E6B2">
            <w:pPr>
              <w:spacing w:line="320" w:lineRule="exact"/>
              <w:jc w:val="center"/>
              <w:rPr>
                <w:rFonts w:hint="eastAsia" w:ascii="华文中宋" w:hAnsi="华文中宋" w:eastAsia="华文中宋" w:cs="华文中宋"/>
                <w:b/>
                <w:color w:val="auto"/>
                <w:sz w:val="24"/>
                <w:szCs w:val="24"/>
              </w:rPr>
            </w:pPr>
          </w:p>
        </w:tc>
        <w:tc>
          <w:tcPr>
            <w:tcW w:w="630" w:type="dxa"/>
            <w:tcBorders>
              <w:top w:val="nil"/>
            </w:tcBorders>
            <w:noWrap w:val="0"/>
            <w:vAlign w:val="center"/>
          </w:tcPr>
          <w:p w14:paraId="541957BA">
            <w:pPr>
              <w:spacing w:line="320" w:lineRule="exact"/>
              <w:jc w:val="center"/>
              <w:rPr>
                <w:rFonts w:hint="eastAsia" w:ascii="华文中宋" w:hAnsi="华文中宋" w:eastAsia="华文中宋" w:cs="华文中宋"/>
                <w:b/>
                <w:color w:val="auto"/>
                <w:sz w:val="24"/>
                <w:szCs w:val="24"/>
              </w:rPr>
            </w:pPr>
          </w:p>
        </w:tc>
        <w:tc>
          <w:tcPr>
            <w:tcW w:w="826" w:type="dxa"/>
            <w:tcBorders>
              <w:top w:val="nil"/>
            </w:tcBorders>
            <w:noWrap w:val="0"/>
            <w:vAlign w:val="center"/>
          </w:tcPr>
          <w:p w14:paraId="23003D43">
            <w:pPr>
              <w:spacing w:line="320" w:lineRule="exact"/>
              <w:jc w:val="center"/>
              <w:rPr>
                <w:rFonts w:hint="eastAsia" w:ascii="华文中宋" w:hAnsi="华文中宋" w:eastAsia="华文中宋" w:cs="华文中宋"/>
                <w:b/>
                <w:color w:val="auto"/>
                <w:sz w:val="24"/>
                <w:szCs w:val="24"/>
              </w:rPr>
            </w:pPr>
          </w:p>
        </w:tc>
        <w:tc>
          <w:tcPr>
            <w:tcW w:w="1133" w:type="dxa"/>
            <w:tcBorders>
              <w:top w:val="nil"/>
            </w:tcBorders>
            <w:noWrap w:val="0"/>
            <w:vAlign w:val="center"/>
          </w:tcPr>
          <w:p w14:paraId="74855C65">
            <w:pPr>
              <w:spacing w:line="320" w:lineRule="exact"/>
              <w:jc w:val="center"/>
              <w:rPr>
                <w:rFonts w:hint="eastAsia" w:ascii="华文中宋" w:hAnsi="华文中宋" w:eastAsia="华文中宋" w:cs="华文中宋"/>
                <w:b/>
                <w:color w:val="auto"/>
                <w:sz w:val="24"/>
                <w:szCs w:val="24"/>
              </w:rPr>
            </w:pPr>
          </w:p>
        </w:tc>
        <w:tc>
          <w:tcPr>
            <w:tcW w:w="1442" w:type="dxa"/>
            <w:tcBorders>
              <w:top w:val="nil"/>
            </w:tcBorders>
            <w:noWrap w:val="0"/>
            <w:vAlign w:val="center"/>
          </w:tcPr>
          <w:p w14:paraId="37B1A721">
            <w:pPr>
              <w:spacing w:line="320" w:lineRule="exact"/>
              <w:jc w:val="center"/>
              <w:rPr>
                <w:rFonts w:hint="eastAsia" w:ascii="华文中宋" w:hAnsi="华文中宋" w:eastAsia="华文中宋" w:cs="华文中宋"/>
                <w:b/>
                <w:color w:val="auto"/>
                <w:sz w:val="24"/>
                <w:szCs w:val="24"/>
              </w:rPr>
            </w:pPr>
          </w:p>
        </w:tc>
        <w:tc>
          <w:tcPr>
            <w:tcW w:w="2098" w:type="dxa"/>
            <w:tcBorders>
              <w:top w:val="nil"/>
            </w:tcBorders>
            <w:noWrap w:val="0"/>
            <w:vAlign w:val="center"/>
          </w:tcPr>
          <w:p w14:paraId="329179D6">
            <w:pPr>
              <w:spacing w:line="320" w:lineRule="exact"/>
              <w:ind w:right="-2"/>
              <w:jc w:val="center"/>
              <w:rPr>
                <w:rFonts w:hint="eastAsia" w:ascii="华文中宋" w:hAnsi="华文中宋" w:eastAsia="华文中宋" w:cs="华文中宋"/>
                <w:b/>
                <w:color w:val="auto"/>
                <w:sz w:val="24"/>
                <w:szCs w:val="24"/>
              </w:rPr>
            </w:pPr>
          </w:p>
        </w:tc>
      </w:tr>
      <w:tr w14:paraId="68CD6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2" w:type="dxa"/>
            <w:tcBorders>
              <w:top w:val="nil"/>
            </w:tcBorders>
            <w:noWrap w:val="0"/>
            <w:vAlign w:val="center"/>
          </w:tcPr>
          <w:p w14:paraId="1A66C689">
            <w:pPr>
              <w:spacing w:line="320" w:lineRule="exact"/>
              <w:jc w:val="center"/>
              <w:rPr>
                <w:rFonts w:hint="eastAsia" w:ascii="华文中宋" w:hAnsi="华文中宋" w:eastAsia="华文中宋" w:cs="华文中宋"/>
                <w:b/>
                <w:color w:val="auto"/>
                <w:sz w:val="24"/>
                <w:szCs w:val="24"/>
              </w:rPr>
            </w:pPr>
          </w:p>
        </w:tc>
        <w:tc>
          <w:tcPr>
            <w:tcW w:w="3020" w:type="dxa"/>
            <w:tcBorders>
              <w:top w:val="nil"/>
            </w:tcBorders>
            <w:noWrap w:val="0"/>
            <w:vAlign w:val="center"/>
          </w:tcPr>
          <w:p w14:paraId="3B568243">
            <w:pPr>
              <w:spacing w:line="320" w:lineRule="exact"/>
              <w:jc w:val="center"/>
              <w:rPr>
                <w:rFonts w:hint="eastAsia" w:ascii="华文中宋" w:hAnsi="华文中宋" w:eastAsia="华文中宋" w:cs="华文中宋"/>
                <w:b/>
                <w:color w:val="auto"/>
                <w:sz w:val="24"/>
                <w:szCs w:val="24"/>
              </w:rPr>
            </w:pPr>
          </w:p>
        </w:tc>
        <w:tc>
          <w:tcPr>
            <w:tcW w:w="630" w:type="dxa"/>
            <w:tcBorders>
              <w:top w:val="nil"/>
            </w:tcBorders>
            <w:noWrap w:val="0"/>
            <w:vAlign w:val="center"/>
          </w:tcPr>
          <w:p w14:paraId="49E30C7B">
            <w:pPr>
              <w:spacing w:line="320" w:lineRule="exact"/>
              <w:jc w:val="center"/>
              <w:rPr>
                <w:rFonts w:hint="eastAsia" w:ascii="华文中宋" w:hAnsi="华文中宋" w:eastAsia="华文中宋" w:cs="华文中宋"/>
                <w:b/>
                <w:color w:val="auto"/>
                <w:sz w:val="24"/>
                <w:szCs w:val="24"/>
              </w:rPr>
            </w:pPr>
          </w:p>
        </w:tc>
        <w:tc>
          <w:tcPr>
            <w:tcW w:w="826" w:type="dxa"/>
            <w:tcBorders>
              <w:top w:val="nil"/>
            </w:tcBorders>
            <w:noWrap w:val="0"/>
            <w:vAlign w:val="center"/>
          </w:tcPr>
          <w:p w14:paraId="1388E046">
            <w:pPr>
              <w:spacing w:line="320" w:lineRule="exact"/>
              <w:jc w:val="center"/>
              <w:rPr>
                <w:rFonts w:hint="eastAsia" w:ascii="华文中宋" w:hAnsi="华文中宋" w:eastAsia="华文中宋" w:cs="华文中宋"/>
                <w:b/>
                <w:color w:val="auto"/>
                <w:sz w:val="24"/>
                <w:szCs w:val="24"/>
              </w:rPr>
            </w:pPr>
          </w:p>
        </w:tc>
        <w:tc>
          <w:tcPr>
            <w:tcW w:w="1133" w:type="dxa"/>
            <w:tcBorders>
              <w:top w:val="nil"/>
            </w:tcBorders>
            <w:noWrap w:val="0"/>
            <w:vAlign w:val="center"/>
          </w:tcPr>
          <w:p w14:paraId="7B2F88CC">
            <w:pPr>
              <w:spacing w:line="320" w:lineRule="exact"/>
              <w:jc w:val="center"/>
              <w:rPr>
                <w:rFonts w:hint="eastAsia" w:ascii="华文中宋" w:hAnsi="华文中宋" w:eastAsia="华文中宋" w:cs="华文中宋"/>
                <w:b/>
                <w:color w:val="auto"/>
                <w:sz w:val="24"/>
                <w:szCs w:val="24"/>
              </w:rPr>
            </w:pPr>
          </w:p>
        </w:tc>
        <w:tc>
          <w:tcPr>
            <w:tcW w:w="1442" w:type="dxa"/>
            <w:tcBorders>
              <w:top w:val="nil"/>
            </w:tcBorders>
            <w:noWrap w:val="0"/>
            <w:vAlign w:val="center"/>
          </w:tcPr>
          <w:p w14:paraId="496F9736">
            <w:pPr>
              <w:spacing w:line="320" w:lineRule="exact"/>
              <w:jc w:val="center"/>
              <w:rPr>
                <w:rFonts w:hint="eastAsia" w:ascii="华文中宋" w:hAnsi="华文中宋" w:eastAsia="华文中宋" w:cs="华文中宋"/>
                <w:b/>
                <w:color w:val="auto"/>
                <w:sz w:val="24"/>
                <w:szCs w:val="24"/>
              </w:rPr>
            </w:pPr>
          </w:p>
        </w:tc>
        <w:tc>
          <w:tcPr>
            <w:tcW w:w="2098" w:type="dxa"/>
            <w:tcBorders>
              <w:top w:val="nil"/>
            </w:tcBorders>
            <w:noWrap w:val="0"/>
            <w:vAlign w:val="center"/>
          </w:tcPr>
          <w:p w14:paraId="42640C9C">
            <w:pPr>
              <w:spacing w:line="320" w:lineRule="exact"/>
              <w:ind w:right="-2"/>
              <w:jc w:val="center"/>
              <w:rPr>
                <w:rFonts w:hint="eastAsia" w:ascii="华文中宋" w:hAnsi="华文中宋" w:eastAsia="华文中宋" w:cs="华文中宋"/>
                <w:b/>
                <w:color w:val="auto"/>
                <w:sz w:val="24"/>
                <w:szCs w:val="24"/>
              </w:rPr>
            </w:pPr>
          </w:p>
        </w:tc>
      </w:tr>
    </w:tbl>
    <w:p w14:paraId="2FB28A4D">
      <w:pPr>
        <w:spacing w:beforeLines="100" w:afterLines="50" w:line="440" w:lineRule="exact"/>
        <w:jc w:val="center"/>
        <w:outlineLvl w:val="0"/>
        <w:rPr>
          <w:rFonts w:hint="eastAsia" w:ascii="华文中宋" w:hAnsi="华文中宋" w:eastAsia="华文中宋" w:cs="华文中宋"/>
          <w:color w:val="auto"/>
          <w:sz w:val="24"/>
          <w:szCs w:val="24"/>
        </w:rPr>
      </w:pPr>
      <w:bookmarkStart w:id="1186" w:name="_Toc10541"/>
      <w:r>
        <w:rPr>
          <w:rFonts w:hint="eastAsia" w:ascii="华文中宋" w:hAnsi="华文中宋" w:eastAsia="华文中宋" w:cs="华文中宋"/>
          <w:color w:val="auto"/>
          <w:sz w:val="24"/>
          <w:szCs w:val="24"/>
        </w:rPr>
        <w:t>11-3：专业工程暂估价表</w:t>
      </w:r>
      <w:bookmarkEnd w:id="1186"/>
    </w:p>
    <w:tbl>
      <w:tblPr>
        <w:tblStyle w:val="29"/>
        <w:tblW w:w="96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4"/>
        <w:gridCol w:w="2814"/>
        <w:gridCol w:w="4107"/>
        <w:gridCol w:w="2019"/>
      </w:tblGrid>
      <w:tr w14:paraId="5334F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734" w:type="dxa"/>
            <w:tcBorders>
              <w:top w:val="single" w:color="auto" w:sz="12" w:space="0"/>
              <w:bottom w:val="double" w:color="auto" w:sz="6" w:space="0"/>
            </w:tcBorders>
            <w:noWrap w:val="0"/>
            <w:vAlign w:val="center"/>
          </w:tcPr>
          <w:p w14:paraId="13413A2A">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58F5B794">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2814" w:type="dxa"/>
            <w:tcBorders>
              <w:top w:val="single" w:color="auto" w:sz="12" w:space="0"/>
              <w:bottom w:val="double" w:color="auto" w:sz="6" w:space="0"/>
            </w:tcBorders>
            <w:noWrap w:val="0"/>
            <w:vAlign w:val="center"/>
          </w:tcPr>
          <w:p w14:paraId="5528C57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专业工程名称</w:t>
            </w:r>
          </w:p>
        </w:tc>
        <w:tc>
          <w:tcPr>
            <w:tcW w:w="4107" w:type="dxa"/>
            <w:tcBorders>
              <w:top w:val="single" w:color="auto" w:sz="12" w:space="0"/>
              <w:bottom w:val="double" w:color="auto" w:sz="6" w:space="0"/>
            </w:tcBorders>
            <w:noWrap w:val="0"/>
            <w:vAlign w:val="center"/>
          </w:tcPr>
          <w:p w14:paraId="7B193B9A">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工程内容</w:t>
            </w:r>
          </w:p>
        </w:tc>
        <w:tc>
          <w:tcPr>
            <w:tcW w:w="2019" w:type="dxa"/>
            <w:tcBorders>
              <w:top w:val="single" w:color="auto" w:sz="12" w:space="0"/>
              <w:bottom w:val="double" w:color="auto" w:sz="6" w:space="0"/>
            </w:tcBorders>
            <w:noWrap w:val="0"/>
            <w:vAlign w:val="center"/>
          </w:tcPr>
          <w:p w14:paraId="608EC064">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金额（元）</w:t>
            </w:r>
          </w:p>
        </w:tc>
      </w:tr>
      <w:tr w14:paraId="6EFC8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734" w:type="dxa"/>
            <w:tcBorders>
              <w:top w:val="double" w:color="auto" w:sz="6" w:space="0"/>
              <w:bottom w:val="single" w:color="auto" w:sz="6" w:space="0"/>
            </w:tcBorders>
            <w:noWrap w:val="0"/>
            <w:vAlign w:val="center"/>
          </w:tcPr>
          <w:p w14:paraId="4452BF87">
            <w:pPr>
              <w:pStyle w:val="13"/>
              <w:keepNext/>
              <w:spacing w:line="440" w:lineRule="exact"/>
              <w:ind w:left="63" w:right="63"/>
              <w:rPr>
                <w:rFonts w:hint="eastAsia" w:ascii="华文中宋" w:hAnsi="华文中宋" w:eastAsia="华文中宋" w:cs="华文中宋"/>
                <w:color w:val="auto"/>
                <w:kern w:val="2"/>
                <w:sz w:val="24"/>
                <w:szCs w:val="24"/>
              </w:rPr>
            </w:pPr>
          </w:p>
        </w:tc>
        <w:tc>
          <w:tcPr>
            <w:tcW w:w="2814" w:type="dxa"/>
            <w:tcBorders>
              <w:top w:val="double" w:color="auto" w:sz="6" w:space="0"/>
              <w:bottom w:val="single" w:color="auto" w:sz="6" w:space="0"/>
            </w:tcBorders>
            <w:noWrap w:val="0"/>
            <w:vAlign w:val="center"/>
          </w:tcPr>
          <w:p w14:paraId="0F30B451">
            <w:pPr>
              <w:pStyle w:val="13"/>
              <w:keepNext/>
              <w:spacing w:line="440" w:lineRule="exact"/>
              <w:ind w:left="63" w:right="63"/>
              <w:rPr>
                <w:rFonts w:hint="eastAsia" w:ascii="华文中宋" w:hAnsi="华文中宋" w:eastAsia="华文中宋" w:cs="华文中宋"/>
                <w:color w:val="auto"/>
                <w:kern w:val="2"/>
                <w:sz w:val="24"/>
                <w:szCs w:val="24"/>
              </w:rPr>
            </w:pPr>
          </w:p>
        </w:tc>
        <w:tc>
          <w:tcPr>
            <w:tcW w:w="4107" w:type="dxa"/>
            <w:tcBorders>
              <w:top w:val="double" w:color="auto" w:sz="6" w:space="0"/>
              <w:bottom w:val="single" w:color="auto" w:sz="6" w:space="0"/>
            </w:tcBorders>
            <w:noWrap w:val="0"/>
            <w:vAlign w:val="center"/>
          </w:tcPr>
          <w:p w14:paraId="57071EF9">
            <w:pPr>
              <w:pStyle w:val="13"/>
              <w:keepNext/>
              <w:spacing w:line="440" w:lineRule="exact"/>
              <w:ind w:left="63" w:right="63"/>
              <w:rPr>
                <w:rFonts w:hint="eastAsia" w:ascii="华文中宋" w:hAnsi="华文中宋" w:eastAsia="华文中宋" w:cs="华文中宋"/>
                <w:color w:val="auto"/>
                <w:kern w:val="2"/>
                <w:sz w:val="24"/>
                <w:szCs w:val="24"/>
              </w:rPr>
            </w:pPr>
          </w:p>
        </w:tc>
        <w:tc>
          <w:tcPr>
            <w:tcW w:w="2019" w:type="dxa"/>
            <w:tcBorders>
              <w:top w:val="double" w:color="auto" w:sz="6" w:space="0"/>
              <w:bottom w:val="single" w:color="auto" w:sz="6" w:space="0"/>
            </w:tcBorders>
            <w:noWrap w:val="0"/>
            <w:vAlign w:val="center"/>
          </w:tcPr>
          <w:p w14:paraId="02168350">
            <w:pPr>
              <w:pStyle w:val="13"/>
              <w:keepNext/>
              <w:spacing w:line="440" w:lineRule="exact"/>
              <w:ind w:left="63" w:right="63"/>
              <w:rPr>
                <w:rFonts w:hint="eastAsia" w:ascii="华文中宋" w:hAnsi="华文中宋" w:eastAsia="华文中宋" w:cs="华文中宋"/>
                <w:color w:val="auto"/>
                <w:kern w:val="2"/>
                <w:sz w:val="24"/>
                <w:szCs w:val="24"/>
              </w:rPr>
            </w:pPr>
          </w:p>
        </w:tc>
      </w:tr>
      <w:tr w14:paraId="69C8B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9674" w:type="dxa"/>
            <w:gridSpan w:val="4"/>
            <w:noWrap w:val="0"/>
            <w:vAlign w:val="top"/>
          </w:tcPr>
          <w:p w14:paraId="45A2E13C">
            <w:pPr>
              <w:pStyle w:val="13"/>
              <w:keepNext/>
              <w:spacing w:line="440" w:lineRule="exact"/>
              <w:ind w:left="63" w:right="63" w:firstLine="240" w:firstLineChars="100"/>
              <w:jc w:val="both"/>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小计：</w:t>
            </w:r>
          </w:p>
        </w:tc>
      </w:tr>
    </w:tbl>
    <w:p w14:paraId="550E904D">
      <w:pPr>
        <w:keepNext w:val="0"/>
        <w:keepLines w:val="0"/>
        <w:pageBreakBefore w:val="0"/>
        <w:widowControl w:val="0"/>
        <w:tabs>
          <w:tab w:val="left" w:pos="4874"/>
        </w:tabs>
        <w:kinsoku/>
        <w:wordWrap/>
        <w:overflowPunct/>
        <w:topLinePunct w:val="0"/>
        <w:autoSpaceDE/>
        <w:autoSpaceDN/>
        <w:bidi w:val="0"/>
        <w:adjustRightInd w:val="0"/>
        <w:snapToGrid w:val="0"/>
        <w:spacing w:line="360" w:lineRule="auto"/>
        <w:jc w:val="left"/>
        <w:textAlignment w:val="auto"/>
        <w:outlineLvl w:val="9"/>
        <w:rPr>
          <w:rFonts w:hint="eastAsia" w:ascii="华文中宋" w:hAnsi="华文中宋" w:eastAsia="华文中宋" w:cs="华文中宋"/>
          <w:color w:val="auto"/>
          <w:kern w:val="0"/>
          <w:sz w:val="24"/>
          <w:szCs w:val="24"/>
        </w:rPr>
      </w:pPr>
    </w:p>
    <w:p w14:paraId="1FAE00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华文中宋" w:hAnsi="华文中宋" w:eastAsia="华文中宋" w:cs="华文中宋"/>
          <w:b/>
          <w:bCs/>
          <w:color w:val="auto"/>
          <w:spacing w:val="0"/>
          <w:kern w:val="44"/>
          <w:sz w:val="44"/>
          <w:szCs w:val="44"/>
          <w:lang w:val="en-US" w:eastAsia="zh-CN" w:bidi="ar-SA"/>
        </w:rPr>
      </w:pPr>
      <w:r>
        <w:rPr>
          <w:rFonts w:hint="eastAsia" w:ascii="华文中宋" w:hAnsi="华文中宋" w:eastAsia="华文中宋" w:cs="华文中宋"/>
          <w:color w:val="auto"/>
          <w:kern w:val="0"/>
          <w:szCs w:val="21"/>
        </w:rPr>
        <w:br w:type="page"/>
      </w:r>
      <w:bookmarkStart w:id="1187" w:name="_Toc44690696"/>
      <w:bookmarkStart w:id="1188" w:name="_Toc6798"/>
      <w:bookmarkStart w:id="1189" w:name="_Toc44690622"/>
      <w:bookmarkStart w:id="1190" w:name="_Toc489536690"/>
      <w:bookmarkStart w:id="1191" w:name="_Toc24098"/>
      <w:r>
        <w:rPr>
          <w:rFonts w:hint="eastAsia" w:ascii="华文中宋" w:hAnsi="华文中宋" w:eastAsia="华文中宋" w:cs="华文中宋"/>
          <w:b/>
          <w:bCs/>
          <w:color w:val="auto"/>
          <w:spacing w:val="0"/>
          <w:kern w:val="44"/>
          <w:sz w:val="44"/>
          <w:szCs w:val="44"/>
          <w:lang w:val="en-US" w:eastAsia="zh-CN" w:bidi="ar-SA"/>
        </w:rPr>
        <w:t>第八部分 响应文件内容要求及格式</w:t>
      </w:r>
      <w:bookmarkEnd w:id="1187"/>
      <w:bookmarkEnd w:id="1188"/>
      <w:bookmarkEnd w:id="1189"/>
      <w:bookmarkEnd w:id="1190"/>
      <w:bookmarkEnd w:id="1191"/>
    </w:p>
    <w:p w14:paraId="0193973E">
      <w:pPr>
        <w:spacing w:line="480" w:lineRule="exact"/>
        <w:outlineLvl w:val="9"/>
        <w:rPr>
          <w:rFonts w:hint="eastAsia" w:ascii="华文中宋" w:hAnsi="华文中宋" w:eastAsia="华文中宋" w:cs="华文中宋"/>
          <w:b/>
          <w:color w:val="auto"/>
          <w:sz w:val="28"/>
          <w:szCs w:val="28"/>
        </w:rPr>
      </w:pPr>
    </w:p>
    <w:p w14:paraId="051A7F7F">
      <w:pPr>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b/>
          <w:color w:val="auto"/>
          <w:sz w:val="24"/>
          <w:szCs w:val="24"/>
        </w:rPr>
        <w:t>磋商供应商提交响应文件须知</w:t>
      </w:r>
    </w:p>
    <w:p w14:paraId="3869C964">
      <w:pPr>
        <w:spacing w:line="360" w:lineRule="auto"/>
        <w:ind w:firstLine="434"/>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1、磋商供应商按照本部分的顺序编排响应文件（资格证明文件、商务技术文件），编排中涉及格式资料的，应按照本部分提供的内容和格式（所有表格的格式可扩展）填写提交。</w:t>
      </w:r>
    </w:p>
    <w:p w14:paraId="6472A118">
      <w:pPr>
        <w:spacing w:line="360" w:lineRule="auto"/>
        <w:ind w:firstLine="434"/>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2、全部声明和问题的回答及所附材料必须是真实的、准确的和完整的。</w:t>
      </w:r>
    </w:p>
    <w:p w14:paraId="61B88A5C">
      <w:pPr>
        <w:pStyle w:val="39"/>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3、按磋商文件要求“格式”提供的材料，如有调整，内容及签署必须完整、有效，且没有本文件不可接受的条件。</w:t>
      </w:r>
    </w:p>
    <w:p w14:paraId="5DB34B4E">
      <w:pPr>
        <w:wordWrap w:val="0"/>
        <w:snapToGrid w:val="0"/>
        <w:spacing w:line="360" w:lineRule="auto"/>
        <w:jc w:val="left"/>
        <w:outlineLvl w:val="9"/>
        <w:rPr>
          <w:rFonts w:hint="eastAsia" w:ascii="华文中宋" w:hAnsi="华文中宋" w:eastAsia="华文中宋" w:cs="华文中宋"/>
          <w:color w:val="auto"/>
        </w:rPr>
      </w:pPr>
    </w:p>
    <w:p w14:paraId="1E5D2261">
      <w:pPr>
        <w:wordWrap w:val="0"/>
        <w:snapToGrid w:val="0"/>
        <w:spacing w:line="360" w:lineRule="auto"/>
        <w:jc w:val="left"/>
        <w:outlineLvl w:val="9"/>
        <w:rPr>
          <w:rFonts w:hint="eastAsia" w:ascii="华文中宋" w:hAnsi="华文中宋" w:eastAsia="华文中宋" w:cs="华文中宋"/>
          <w:color w:val="auto"/>
        </w:rPr>
      </w:pPr>
    </w:p>
    <w:p w14:paraId="3080F15F">
      <w:pPr>
        <w:wordWrap w:val="0"/>
        <w:snapToGrid w:val="0"/>
        <w:spacing w:line="360" w:lineRule="auto"/>
        <w:jc w:val="left"/>
        <w:outlineLvl w:val="9"/>
        <w:rPr>
          <w:rFonts w:hint="eastAsia" w:ascii="华文中宋" w:hAnsi="华文中宋" w:eastAsia="华文中宋" w:cs="华文中宋"/>
          <w:color w:val="auto"/>
        </w:rPr>
      </w:pPr>
    </w:p>
    <w:p w14:paraId="5C507104">
      <w:pPr>
        <w:wordWrap w:val="0"/>
        <w:snapToGrid w:val="0"/>
        <w:spacing w:line="360" w:lineRule="auto"/>
        <w:jc w:val="left"/>
        <w:outlineLvl w:val="9"/>
        <w:rPr>
          <w:rFonts w:hint="eastAsia" w:ascii="华文中宋" w:hAnsi="华文中宋" w:eastAsia="华文中宋" w:cs="华文中宋"/>
          <w:color w:val="auto"/>
        </w:rPr>
      </w:pPr>
    </w:p>
    <w:p w14:paraId="1BEE9AE9">
      <w:pPr>
        <w:wordWrap w:val="0"/>
        <w:snapToGrid w:val="0"/>
        <w:spacing w:line="360" w:lineRule="auto"/>
        <w:jc w:val="left"/>
        <w:outlineLvl w:val="9"/>
        <w:rPr>
          <w:rFonts w:hint="eastAsia" w:ascii="华文中宋" w:hAnsi="华文中宋" w:eastAsia="华文中宋" w:cs="华文中宋"/>
          <w:color w:val="auto"/>
        </w:rPr>
      </w:pPr>
    </w:p>
    <w:p w14:paraId="16B35ADE">
      <w:pPr>
        <w:wordWrap w:val="0"/>
        <w:snapToGrid w:val="0"/>
        <w:spacing w:line="360" w:lineRule="auto"/>
        <w:jc w:val="left"/>
        <w:outlineLvl w:val="9"/>
        <w:rPr>
          <w:rFonts w:hint="eastAsia" w:ascii="华文中宋" w:hAnsi="华文中宋" w:eastAsia="华文中宋" w:cs="华文中宋"/>
          <w:color w:val="auto"/>
        </w:rPr>
      </w:pPr>
    </w:p>
    <w:p w14:paraId="62CA14C4">
      <w:pPr>
        <w:wordWrap w:val="0"/>
        <w:snapToGrid w:val="0"/>
        <w:spacing w:line="360" w:lineRule="auto"/>
        <w:jc w:val="left"/>
        <w:outlineLvl w:val="9"/>
        <w:rPr>
          <w:rFonts w:hint="eastAsia" w:ascii="华文中宋" w:hAnsi="华文中宋" w:eastAsia="华文中宋" w:cs="华文中宋"/>
          <w:color w:val="auto"/>
        </w:rPr>
      </w:pPr>
    </w:p>
    <w:p w14:paraId="2CA25ACA">
      <w:pPr>
        <w:wordWrap w:val="0"/>
        <w:snapToGrid w:val="0"/>
        <w:spacing w:line="360" w:lineRule="auto"/>
        <w:jc w:val="left"/>
        <w:outlineLvl w:val="9"/>
        <w:rPr>
          <w:rFonts w:hint="eastAsia" w:ascii="华文中宋" w:hAnsi="华文中宋" w:eastAsia="华文中宋" w:cs="华文中宋"/>
          <w:color w:val="auto"/>
        </w:rPr>
      </w:pPr>
    </w:p>
    <w:p w14:paraId="0EDA68E8">
      <w:pPr>
        <w:wordWrap w:val="0"/>
        <w:snapToGrid w:val="0"/>
        <w:spacing w:line="360" w:lineRule="auto"/>
        <w:jc w:val="left"/>
        <w:outlineLvl w:val="9"/>
        <w:rPr>
          <w:rFonts w:hint="eastAsia" w:ascii="华文中宋" w:hAnsi="华文中宋" w:eastAsia="华文中宋" w:cs="华文中宋"/>
          <w:color w:val="auto"/>
        </w:rPr>
      </w:pPr>
    </w:p>
    <w:p w14:paraId="3709E795">
      <w:pPr>
        <w:wordWrap w:val="0"/>
        <w:snapToGrid w:val="0"/>
        <w:spacing w:line="360" w:lineRule="auto"/>
        <w:jc w:val="left"/>
        <w:outlineLvl w:val="9"/>
        <w:rPr>
          <w:rFonts w:hint="eastAsia" w:ascii="华文中宋" w:hAnsi="华文中宋" w:eastAsia="华文中宋" w:cs="华文中宋"/>
          <w:color w:val="auto"/>
        </w:rPr>
      </w:pPr>
    </w:p>
    <w:p w14:paraId="0DAE9F09">
      <w:pPr>
        <w:wordWrap w:val="0"/>
        <w:snapToGrid w:val="0"/>
        <w:spacing w:line="360" w:lineRule="auto"/>
        <w:jc w:val="left"/>
        <w:outlineLvl w:val="9"/>
        <w:rPr>
          <w:rFonts w:hint="eastAsia" w:ascii="华文中宋" w:hAnsi="华文中宋" w:eastAsia="华文中宋" w:cs="华文中宋"/>
          <w:color w:val="auto"/>
        </w:rPr>
      </w:pPr>
    </w:p>
    <w:p w14:paraId="0B9ECCFD">
      <w:pPr>
        <w:wordWrap w:val="0"/>
        <w:snapToGrid w:val="0"/>
        <w:spacing w:line="360" w:lineRule="auto"/>
        <w:jc w:val="left"/>
        <w:outlineLvl w:val="9"/>
        <w:rPr>
          <w:rFonts w:hint="eastAsia" w:ascii="华文中宋" w:hAnsi="华文中宋" w:eastAsia="华文中宋" w:cs="华文中宋"/>
          <w:color w:val="auto"/>
        </w:rPr>
      </w:pPr>
    </w:p>
    <w:p w14:paraId="203D827F">
      <w:pPr>
        <w:wordWrap w:val="0"/>
        <w:snapToGrid w:val="0"/>
        <w:spacing w:line="360" w:lineRule="auto"/>
        <w:jc w:val="left"/>
        <w:outlineLvl w:val="9"/>
        <w:rPr>
          <w:rFonts w:hint="eastAsia" w:ascii="华文中宋" w:hAnsi="华文中宋" w:eastAsia="华文中宋" w:cs="华文中宋"/>
          <w:color w:val="auto"/>
        </w:rPr>
      </w:pPr>
    </w:p>
    <w:p w14:paraId="3A0C3182">
      <w:pPr>
        <w:wordWrap w:val="0"/>
        <w:snapToGrid w:val="0"/>
        <w:spacing w:line="360" w:lineRule="auto"/>
        <w:jc w:val="left"/>
        <w:outlineLvl w:val="9"/>
        <w:rPr>
          <w:rFonts w:hint="eastAsia" w:ascii="华文中宋" w:hAnsi="华文中宋" w:eastAsia="华文中宋" w:cs="华文中宋"/>
          <w:color w:val="auto"/>
        </w:rPr>
      </w:pPr>
    </w:p>
    <w:p w14:paraId="5A8CC210">
      <w:pPr>
        <w:pStyle w:val="3"/>
        <w:rPr>
          <w:rFonts w:hint="eastAsia" w:ascii="华文中宋" w:hAnsi="华文中宋" w:eastAsia="华文中宋" w:cs="华文中宋"/>
          <w:color w:val="auto"/>
        </w:rPr>
      </w:pPr>
    </w:p>
    <w:p w14:paraId="07AD9140">
      <w:pPr>
        <w:outlineLvl w:val="9"/>
        <w:rPr>
          <w:rFonts w:hint="eastAsia" w:ascii="华文中宋" w:hAnsi="华文中宋" w:eastAsia="华文中宋" w:cs="华文中宋"/>
          <w:color w:val="auto"/>
        </w:rPr>
      </w:pPr>
    </w:p>
    <w:p w14:paraId="23D1CF33">
      <w:pPr>
        <w:wordWrap w:val="0"/>
        <w:snapToGrid w:val="0"/>
        <w:spacing w:line="360" w:lineRule="auto"/>
        <w:jc w:val="left"/>
        <w:outlineLvl w:val="9"/>
        <w:rPr>
          <w:rFonts w:hint="eastAsia" w:ascii="华文中宋" w:hAnsi="华文中宋" w:eastAsia="华文中宋" w:cs="华文中宋"/>
          <w:color w:val="auto"/>
        </w:rPr>
      </w:pPr>
    </w:p>
    <w:p w14:paraId="397581F5">
      <w:pPr>
        <w:wordWrap w:val="0"/>
        <w:snapToGrid w:val="0"/>
        <w:spacing w:line="360" w:lineRule="auto"/>
        <w:jc w:val="left"/>
        <w:outlineLvl w:val="9"/>
        <w:rPr>
          <w:rFonts w:hint="eastAsia" w:ascii="华文中宋" w:hAnsi="华文中宋" w:eastAsia="华文中宋" w:cs="华文中宋"/>
          <w:color w:val="auto"/>
        </w:rPr>
      </w:pPr>
    </w:p>
    <w:p w14:paraId="6B413E02">
      <w:pPr>
        <w:outlineLvl w:val="9"/>
        <w:rPr>
          <w:rFonts w:hint="eastAsia" w:ascii="华文中宋" w:hAnsi="华文中宋" w:eastAsia="华文中宋" w:cs="华文中宋"/>
          <w:b/>
          <w:color w:val="auto"/>
          <w:sz w:val="28"/>
          <w:szCs w:val="28"/>
        </w:rPr>
      </w:pPr>
      <w:bookmarkStart w:id="1192" w:name="_Toc7481_WPSOffice_Level1"/>
      <w:r>
        <w:rPr>
          <w:rFonts w:hint="eastAsia" w:ascii="华文中宋" w:hAnsi="华文中宋" w:eastAsia="华文中宋" w:cs="华文中宋"/>
          <w:b/>
          <w:color w:val="auto"/>
          <w:spacing w:val="20"/>
          <w:sz w:val="28"/>
          <w:szCs w:val="28"/>
        </w:rPr>
        <w:t>（一）响应文件</w:t>
      </w:r>
      <w:r>
        <w:rPr>
          <w:rFonts w:hint="eastAsia" w:ascii="华文中宋" w:hAnsi="华文中宋" w:eastAsia="华文中宋" w:cs="华文中宋"/>
          <w:b/>
          <w:color w:val="auto"/>
          <w:sz w:val="28"/>
          <w:szCs w:val="28"/>
        </w:rPr>
        <w:t>封面及目录格式</w:t>
      </w:r>
      <w:bookmarkEnd w:id="1192"/>
    </w:p>
    <w:p w14:paraId="083FBF60">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44FFA61F">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140B2651">
      <w:pPr>
        <w:jc w:val="both"/>
        <w:outlineLvl w:val="9"/>
        <w:rPr>
          <w:rFonts w:hint="eastAsia" w:ascii="华文中宋" w:hAnsi="华文中宋" w:eastAsia="华文中宋" w:cs="华文中宋"/>
          <w:b/>
          <w:color w:val="auto"/>
          <w:spacing w:val="60"/>
          <w:sz w:val="84"/>
          <w:szCs w:val="84"/>
        </w:rPr>
      </w:pPr>
      <w:bookmarkStart w:id="1193" w:name="_Toc16293_WPSOffice_Level2"/>
    </w:p>
    <w:p w14:paraId="32B7C897">
      <w:pPr>
        <w:jc w:val="center"/>
        <w:outlineLvl w:val="9"/>
        <w:rPr>
          <w:rFonts w:hint="eastAsia" w:ascii="华文中宋" w:hAnsi="华文中宋" w:eastAsia="华文中宋" w:cs="华文中宋"/>
          <w:b/>
          <w:color w:val="auto"/>
          <w:spacing w:val="60"/>
          <w:sz w:val="84"/>
          <w:szCs w:val="84"/>
        </w:rPr>
      </w:pPr>
    </w:p>
    <w:p w14:paraId="635703C5">
      <w:pPr>
        <w:jc w:val="center"/>
        <w:outlineLvl w:val="9"/>
        <w:rPr>
          <w:rFonts w:hint="eastAsia" w:ascii="华文中宋" w:hAnsi="华文中宋" w:eastAsia="华文中宋" w:cs="华文中宋"/>
          <w:b/>
          <w:color w:val="auto"/>
          <w:spacing w:val="60"/>
          <w:sz w:val="84"/>
          <w:szCs w:val="84"/>
        </w:rPr>
      </w:pPr>
      <w:r>
        <w:rPr>
          <w:rFonts w:hint="eastAsia" w:ascii="华文中宋" w:hAnsi="华文中宋" w:eastAsia="华文中宋" w:cs="华文中宋"/>
          <w:b/>
          <w:color w:val="auto"/>
          <w:spacing w:val="60"/>
          <w:sz w:val="84"/>
          <w:szCs w:val="84"/>
        </w:rPr>
        <w:t>响 应 文 件</w:t>
      </w:r>
      <w:bookmarkEnd w:id="1193"/>
    </w:p>
    <w:p w14:paraId="3D19878B">
      <w:pPr>
        <w:ind w:firstLine="841" w:firstLineChars="150"/>
        <w:jc w:val="center"/>
        <w:outlineLvl w:val="9"/>
        <w:rPr>
          <w:rFonts w:hint="eastAsia" w:ascii="华文中宋" w:hAnsi="华文中宋" w:eastAsia="华文中宋" w:cs="华文中宋"/>
          <w:b/>
          <w:color w:val="auto"/>
          <w:spacing w:val="20"/>
          <w:sz w:val="52"/>
          <w:szCs w:val="52"/>
        </w:rPr>
      </w:pPr>
      <w:r>
        <w:rPr>
          <w:rFonts w:hint="eastAsia" w:ascii="华文中宋" w:hAnsi="华文中宋" w:eastAsia="华文中宋" w:cs="华文中宋"/>
          <w:b/>
          <w:color w:val="auto"/>
          <w:spacing w:val="20"/>
          <w:sz w:val="52"/>
          <w:szCs w:val="52"/>
        </w:rPr>
        <w:t>（资格证明文件）</w:t>
      </w:r>
    </w:p>
    <w:p w14:paraId="07EC97AA">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4DA17FB0">
      <w:pPr>
        <w:ind w:firstLine="901" w:firstLineChars="250"/>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项目名称:</w:t>
      </w:r>
    </w:p>
    <w:p w14:paraId="4C054D62">
      <w:pPr>
        <w:ind w:firstLine="901" w:firstLineChars="250"/>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项目编号：</w:t>
      </w:r>
    </w:p>
    <w:p w14:paraId="4F11FAD5">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297EB1DD">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0D78D9BB">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3A88B52C">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12BF69EB">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46FAD65C">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5006F0FE">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29CCFC73">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30E3B8B0">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1A280EB5">
      <w:pPr>
        <w:spacing w:line="360" w:lineRule="auto"/>
        <w:ind w:firstLine="721" w:firstLineChars="200"/>
        <w:jc w:val="both"/>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磋商供应商单位名称：（电子签章）</w:t>
      </w:r>
    </w:p>
    <w:p w14:paraId="5F15AB2E">
      <w:pPr>
        <w:spacing w:line="360" w:lineRule="auto"/>
        <w:ind w:firstLine="721" w:firstLineChars="200"/>
        <w:jc w:val="both"/>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法定代表人（负责人）：（法定代表人电子签章）</w:t>
      </w:r>
    </w:p>
    <w:p w14:paraId="5D916913">
      <w:pPr>
        <w:jc w:val="center"/>
        <w:outlineLvl w:val="9"/>
        <w:rPr>
          <w:rFonts w:hint="eastAsia"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rPr>
        <w:t xml:space="preserve">   年  月   日</w:t>
      </w:r>
    </w:p>
    <w:p w14:paraId="1CF98792">
      <w:pPr>
        <w:pStyle w:val="39"/>
        <w:snapToGrid w:val="0"/>
        <w:spacing w:line="480" w:lineRule="exact"/>
        <w:ind w:firstLine="721" w:firstLineChars="200"/>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pacing w:val="20"/>
          <w:sz w:val="32"/>
          <w:szCs w:val="32"/>
        </w:rPr>
        <w:br w:type="page"/>
      </w:r>
      <w:r>
        <w:rPr>
          <w:rFonts w:hint="eastAsia" w:ascii="华文中宋" w:hAnsi="华文中宋" w:eastAsia="华文中宋" w:cs="华文中宋"/>
          <w:b/>
          <w:color w:val="auto"/>
          <w:sz w:val="28"/>
          <w:szCs w:val="28"/>
        </w:rPr>
        <w:t>资  格  证  明  文  件</w:t>
      </w:r>
    </w:p>
    <w:p w14:paraId="31D33EF1">
      <w:pPr>
        <w:spacing w:line="36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目    录</w:t>
      </w:r>
    </w:p>
    <w:p w14:paraId="51369352">
      <w:pPr>
        <w:spacing w:line="360" w:lineRule="auto"/>
        <w:ind w:firstLine="434"/>
        <w:outlineLvl w:val="9"/>
        <w:rPr>
          <w:rFonts w:hint="eastAsia" w:ascii="华文中宋" w:hAnsi="华文中宋" w:eastAsia="华文中宋" w:cs="华文中宋"/>
          <w:color w:val="auto"/>
          <w:sz w:val="28"/>
          <w:szCs w:val="28"/>
          <w:highlight w:val="none"/>
        </w:rPr>
      </w:pPr>
      <w:bookmarkStart w:id="1194" w:name="_Toc12339_WPSOffice_Level2"/>
      <w:r>
        <w:rPr>
          <w:rFonts w:hint="eastAsia" w:ascii="华文中宋" w:hAnsi="华文中宋" w:eastAsia="华文中宋" w:cs="华文中宋"/>
          <w:color w:val="auto"/>
          <w:sz w:val="28"/>
          <w:szCs w:val="28"/>
          <w:highlight w:val="none"/>
        </w:rPr>
        <w:t>1、磋商供应商代表证明</w:t>
      </w:r>
    </w:p>
    <w:p w14:paraId="2E3001C9">
      <w:pPr>
        <w:spacing w:line="360" w:lineRule="auto"/>
        <w:ind w:firstLine="434"/>
        <w:outlineLvl w:val="9"/>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2、响应函</w:t>
      </w:r>
    </w:p>
    <w:p w14:paraId="6CDCBB25">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3、具有独立承担民事责任的能力</w:t>
      </w:r>
    </w:p>
    <w:p w14:paraId="1CFC0696">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4、具有良好的商业信誉和健全的财务会计制度</w:t>
      </w:r>
    </w:p>
    <w:p w14:paraId="6E381611">
      <w:pPr>
        <w:spacing w:line="360" w:lineRule="auto"/>
        <w:ind w:firstLine="434"/>
        <w:outlineLvl w:val="9"/>
        <w:rPr>
          <w:rFonts w:hint="eastAsia"/>
          <w:color w:val="auto"/>
          <w:lang w:val="en-US" w:eastAsia="zh-CN"/>
        </w:rPr>
      </w:pPr>
      <w:r>
        <w:rPr>
          <w:rFonts w:hint="eastAsia" w:ascii="华文中宋" w:hAnsi="华文中宋" w:eastAsia="华文中宋" w:cs="华文中宋"/>
          <w:color w:val="auto"/>
          <w:sz w:val="28"/>
          <w:szCs w:val="28"/>
          <w:highlight w:val="none"/>
          <w:lang w:val="en-US" w:eastAsia="zh-CN"/>
        </w:rPr>
        <w:t>5、具有履行合同所必需的设备和专业技术能力</w:t>
      </w:r>
    </w:p>
    <w:p w14:paraId="1DF8E38E">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6、有依法缴纳税收和社会保障资金的良好记录</w:t>
      </w:r>
    </w:p>
    <w:p w14:paraId="3F078EFB">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7、参加政府采购活动前三年内，在经营活动中没有重大违法记录</w:t>
      </w:r>
    </w:p>
    <w:p w14:paraId="71189834">
      <w:pPr>
        <w:spacing w:line="360" w:lineRule="auto"/>
        <w:ind w:firstLine="434"/>
        <w:outlineLvl w:val="9"/>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en-US" w:eastAsia="zh-CN"/>
        </w:rPr>
        <w:t>8</w:t>
      </w:r>
      <w:r>
        <w:rPr>
          <w:rFonts w:hint="eastAsia" w:ascii="华文中宋" w:hAnsi="华文中宋" w:eastAsia="华文中宋" w:cs="华文中宋"/>
          <w:color w:val="auto"/>
          <w:sz w:val="28"/>
          <w:szCs w:val="28"/>
          <w:highlight w:val="none"/>
        </w:rPr>
        <w:t>、本项目要求的其他特定资格条件</w:t>
      </w:r>
    </w:p>
    <w:p w14:paraId="5243BBDB">
      <w:pPr>
        <w:spacing w:line="360" w:lineRule="auto"/>
        <w:ind w:firstLine="434"/>
        <w:outlineLvl w:val="9"/>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en-US" w:eastAsia="zh-CN"/>
        </w:rPr>
        <w:t>9</w:t>
      </w:r>
      <w:r>
        <w:rPr>
          <w:rFonts w:hint="eastAsia" w:ascii="华文中宋" w:hAnsi="华文中宋" w:eastAsia="华文中宋" w:cs="华文中宋"/>
          <w:color w:val="auto"/>
          <w:sz w:val="28"/>
          <w:szCs w:val="28"/>
          <w:highlight w:val="none"/>
        </w:rPr>
        <w:t>、响应保证金的交纳证明复印件及基本存款账户开户许可证扫描件</w:t>
      </w:r>
    </w:p>
    <w:p w14:paraId="1CCEF928">
      <w:pPr>
        <w:spacing w:line="360" w:lineRule="auto"/>
        <w:ind w:firstLine="434"/>
        <w:outlineLvl w:val="9"/>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sz w:val="28"/>
          <w:szCs w:val="28"/>
          <w:highlight w:val="none"/>
          <w:lang w:val="en-US" w:eastAsia="zh-CN"/>
        </w:rPr>
        <w:t>10、政府采购政策的响应内容</w:t>
      </w:r>
    </w:p>
    <w:bookmarkEnd w:id="1194"/>
    <w:p w14:paraId="3C181CB1">
      <w:pPr>
        <w:spacing w:line="360" w:lineRule="auto"/>
        <w:ind w:firstLine="434"/>
        <w:outlineLvl w:val="9"/>
        <w:rPr>
          <w:rFonts w:hint="eastAsia" w:ascii="华文中宋" w:hAnsi="华文中宋" w:eastAsia="华文中宋" w:cs="华文中宋"/>
          <w:color w:val="auto"/>
          <w:sz w:val="28"/>
          <w:szCs w:val="28"/>
        </w:rPr>
      </w:pPr>
    </w:p>
    <w:p w14:paraId="1BF0D6C6">
      <w:pPr>
        <w:spacing w:line="480" w:lineRule="exact"/>
        <w:ind w:firstLine="434"/>
        <w:outlineLvl w:val="9"/>
        <w:rPr>
          <w:rFonts w:hint="eastAsia" w:ascii="华文中宋" w:hAnsi="华文中宋" w:eastAsia="华文中宋" w:cs="华文中宋"/>
          <w:color w:val="auto"/>
          <w:sz w:val="24"/>
          <w:szCs w:val="24"/>
        </w:rPr>
      </w:pPr>
    </w:p>
    <w:p w14:paraId="3B2CA693">
      <w:pPr>
        <w:spacing w:line="480" w:lineRule="exact"/>
        <w:ind w:firstLine="434"/>
        <w:outlineLvl w:val="9"/>
        <w:rPr>
          <w:rFonts w:hint="eastAsia" w:ascii="华文中宋" w:hAnsi="华文中宋" w:eastAsia="华文中宋" w:cs="华文中宋"/>
          <w:color w:val="auto"/>
          <w:sz w:val="24"/>
          <w:szCs w:val="24"/>
        </w:rPr>
      </w:pPr>
    </w:p>
    <w:p w14:paraId="0FD8C66F">
      <w:pPr>
        <w:spacing w:line="480" w:lineRule="exact"/>
        <w:ind w:firstLine="434"/>
        <w:outlineLvl w:val="9"/>
        <w:rPr>
          <w:rFonts w:hint="eastAsia" w:ascii="华文中宋" w:hAnsi="华文中宋" w:eastAsia="华文中宋" w:cs="华文中宋"/>
          <w:color w:val="auto"/>
          <w:sz w:val="24"/>
          <w:szCs w:val="24"/>
        </w:rPr>
      </w:pPr>
    </w:p>
    <w:p w14:paraId="4C40BDA9">
      <w:pPr>
        <w:spacing w:line="340" w:lineRule="exact"/>
        <w:outlineLvl w:val="9"/>
        <w:rPr>
          <w:rFonts w:hint="eastAsia" w:ascii="华文中宋" w:hAnsi="华文中宋" w:eastAsia="华文中宋" w:cs="华文中宋"/>
          <w:color w:val="auto"/>
        </w:rPr>
      </w:pPr>
    </w:p>
    <w:p w14:paraId="2759621C">
      <w:pPr>
        <w:widowControl/>
        <w:spacing w:line="340" w:lineRule="exact"/>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rPr>
        <w:br w:type="page"/>
      </w:r>
      <w:r>
        <w:rPr>
          <w:rFonts w:hint="eastAsia" w:ascii="华文中宋" w:hAnsi="华文中宋" w:eastAsia="华文中宋" w:cs="华文中宋"/>
          <w:b/>
          <w:color w:val="auto"/>
          <w:sz w:val="28"/>
          <w:szCs w:val="28"/>
        </w:rPr>
        <w:t xml:space="preserve">（一）磋商供应商代表证明  </w:t>
      </w:r>
    </w:p>
    <w:p w14:paraId="4922960A">
      <w:pPr>
        <w:snapToGrid w:val="0"/>
        <w:spacing w:line="360" w:lineRule="auto"/>
        <w:jc w:val="left"/>
        <w:outlineLvl w:val="9"/>
        <w:rPr>
          <w:rFonts w:hint="eastAsia" w:ascii="华文中宋" w:hAnsi="华文中宋" w:eastAsia="华文中宋" w:cs="华文中宋"/>
          <w:b/>
          <w:bCs/>
          <w:color w:val="auto"/>
          <w:spacing w:val="20"/>
          <w:sz w:val="28"/>
          <w:szCs w:val="28"/>
        </w:rPr>
      </w:pPr>
    </w:p>
    <w:p w14:paraId="24C188F9">
      <w:pPr>
        <w:snapToGrid w:val="0"/>
        <w:spacing w:line="360" w:lineRule="auto"/>
        <w:jc w:val="left"/>
        <w:outlineLvl w:val="9"/>
        <w:rPr>
          <w:rFonts w:hint="eastAsia" w:ascii="华文中宋" w:hAnsi="华文中宋" w:eastAsia="华文中宋" w:cs="华文中宋"/>
          <w:bCs/>
          <w:color w:val="auto"/>
          <w:spacing w:val="6"/>
          <w:sz w:val="28"/>
          <w:szCs w:val="28"/>
        </w:rPr>
      </w:pPr>
      <w:r>
        <w:rPr>
          <w:rFonts w:hint="eastAsia" w:ascii="华文中宋" w:hAnsi="华文中宋" w:eastAsia="华文中宋" w:cs="华文中宋"/>
          <w:b/>
          <w:bCs/>
          <w:color w:val="auto"/>
          <w:spacing w:val="20"/>
          <w:sz w:val="28"/>
          <w:szCs w:val="28"/>
        </w:rPr>
        <w:t>法定代表人（负责人）身份证明书</w:t>
      </w:r>
      <w:r>
        <w:rPr>
          <w:rFonts w:hint="eastAsia" w:ascii="华文中宋" w:hAnsi="华文中宋" w:eastAsia="华文中宋" w:cs="华文中宋"/>
          <w:b/>
          <w:color w:val="auto"/>
          <w:sz w:val="28"/>
          <w:szCs w:val="28"/>
        </w:rPr>
        <w:t>格式</w:t>
      </w:r>
    </w:p>
    <w:p w14:paraId="55B93961">
      <w:pPr>
        <w:snapToGrid w:val="0"/>
        <w:spacing w:line="360" w:lineRule="auto"/>
        <w:ind w:left="584" w:hanging="641" w:hangingChars="200"/>
        <w:jc w:val="center"/>
        <w:outlineLvl w:val="9"/>
        <w:rPr>
          <w:rFonts w:hint="eastAsia" w:ascii="华文中宋" w:hAnsi="华文中宋" w:eastAsia="华文中宋" w:cs="华文中宋"/>
          <w:b/>
          <w:bCs/>
          <w:color w:val="auto"/>
          <w:spacing w:val="20"/>
          <w:sz w:val="28"/>
          <w:szCs w:val="28"/>
        </w:rPr>
      </w:pPr>
    </w:p>
    <w:p w14:paraId="6817289B">
      <w:pPr>
        <w:snapToGrid w:val="0"/>
        <w:spacing w:line="360" w:lineRule="auto"/>
        <w:ind w:left="584" w:hanging="641" w:hangingChars="200"/>
        <w:jc w:val="center"/>
        <w:outlineLvl w:val="9"/>
        <w:rPr>
          <w:rFonts w:hint="eastAsia" w:ascii="华文中宋" w:hAnsi="华文中宋" w:eastAsia="华文中宋" w:cs="华文中宋"/>
          <w:bCs/>
          <w:color w:val="auto"/>
          <w:spacing w:val="6"/>
          <w:sz w:val="28"/>
          <w:szCs w:val="28"/>
        </w:rPr>
      </w:pPr>
      <w:r>
        <w:rPr>
          <w:rFonts w:hint="eastAsia" w:ascii="华文中宋" w:hAnsi="华文中宋" w:eastAsia="华文中宋" w:cs="华文中宋"/>
          <w:b/>
          <w:bCs/>
          <w:color w:val="auto"/>
          <w:spacing w:val="20"/>
          <w:sz w:val="28"/>
          <w:szCs w:val="28"/>
        </w:rPr>
        <w:t>法定代表人（负责人）身份证明书</w:t>
      </w:r>
    </w:p>
    <w:p w14:paraId="23B2B166">
      <w:pPr>
        <w:spacing w:line="360" w:lineRule="auto"/>
        <w:outlineLvl w:val="9"/>
        <w:rPr>
          <w:rFonts w:hint="eastAsia" w:ascii="华文中宋" w:hAnsi="华文中宋" w:eastAsia="华文中宋" w:cs="华文中宋"/>
          <w:color w:val="auto"/>
          <w:spacing w:val="6"/>
          <w:sz w:val="28"/>
          <w:szCs w:val="28"/>
          <w:u w:val="single"/>
        </w:rPr>
      </w:pPr>
      <w:r>
        <w:rPr>
          <w:rFonts w:hint="eastAsia" w:ascii="华文中宋" w:hAnsi="华文中宋" w:eastAsia="华文中宋" w:cs="华文中宋"/>
          <w:color w:val="auto"/>
          <w:spacing w:val="6"/>
          <w:sz w:val="28"/>
          <w:szCs w:val="28"/>
        </w:rPr>
        <w:t>单位名称：</w:t>
      </w:r>
      <w:r>
        <w:rPr>
          <w:rFonts w:hint="eastAsia" w:ascii="华文中宋" w:hAnsi="华文中宋" w:eastAsia="华文中宋" w:cs="华文中宋"/>
          <w:color w:val="auto"/>
          <w:spacing w:val="6"/>
          <w:sz w:val="28"/>
          <w:szCs w:val="28"/>
          <w:u w:val="single"/>
        </w:rPr>
        <w:t xml:space="preserve">                                       </w:t>
      </w:r>
    </w:p>
    <w:p w14:paraId="0FF9B1AB">
      <w:pPr>
        <w:spacing w:line="360" w:lineRule="auto"/>
        <w:outlineLvl w:val="9"/>
        <w:rPr>
          <w:rFonts w:hint="eastAsia" w:ascii="华文中宋" w:hAnsi="华文中宋" w:eastAsia="华文中宋" w:cs="华文中宋"/>
          <w:color w:val="auto"/>
          <w:spacing w:val="6"/>
          <w:sz w:val="28"/>
          <w:szCs w:val="28"/>
          <w:u w:val="single"/>
        </w:rPr>
      </w:pPr>
      <w:r>
        <w:rPr>
          <w:rFonts w:hint="eastAsia" w:ascii="华文中宋" w:hAnsi="华文中宋" w:eastAsia="华文中宋" w:cs="华文中宋"/>
          <w:color w:val="auto"/>
          <w:spacing w:val="6"/>
          <w:sz w:val="28"/>
          <w:szCs w:val="28"/>
        </w:rPr>
        <w:t>单位性质：</w:t>
      </w:r>
      <w:r>
        <w:rPr>
          <w:rFonts w:hint="eastAsia" w:ascii="华文中宋" w:hAnsi="华文中宋" w:eastAsia="华文中宋" w:cs="华文中宋"/>
          <w:color w:val="auto"/>
          <w:spacing w:val="6"/>
          <w:sz w:val="28"/>
          <w:szCs w:val="28"/>
          <w:u w:val="single"/>
        </w:rPr>
        <w:t xml:space="preserve">                                       </w:t>
      </w:r>
    </w:p>
    <w:p w14:paraId="3F89FB4D">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地    址：</w:t>
      </w:r>
      <w:r>
        <w:rPr>
          <w:rFonts w:hint="eastAsia" w:ascii="华文中宋" w:hAnsi="华文中宋" w:eastAsia="华文中宋" w:cs="华文中宋"/>
          <w:color w:val="auto"/>
          <w:spacing w:val="6"/>
          <w:sz w:val="28"/>
          <w:szCs w:val="28"/>
          <w:u w:val="single"/>
        </w:rPr>
        <w:t xml:space="preserve">                                       </w:t>
      </w:r>
      <w:r>
        <w:rPr>
          <w:rFonts w:hint="eastAsia" w:ascii="华文中宋" w:hAnsi="华文中宋" w:eastAsia="华文中宋" w:cs="华文中宋"/>
          <w:color w:val="auto"/>
          <w:spacing w:val="6"/>
          <w:sz w:val="28"/>
          <w:szCs w:val="28"/>
        </w:rPr>
        <w:t xml:space="preserve">  </w:t>
      </w:r>
    </w:p>
    <w:p w14:paraId="547324EB">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成立时间：    年    月    日</w:t>
      </w:r>
    </w:p>
    <w:p w14:paraId="0CFF86C6">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经营期限：</w:t>
      </w:r>
    </w:p>
    <w:p w14:paraId="183B8835">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姓    名：                 性  别：         </w:t>
      </w:r>
    </w:p>
    <w:p w14:paraId="7487D7D9">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身份证号：                 职  务： </w:t>
      </w:r>
    </w:p>
    <w:p w14:paraId="5C0C5CF5">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系 </w:t>
      </w:r>
      <w:r>
        <w:rPr>
          <w:rFonts w:hint="eastAsia" w:ascii="华文中宋" w:hAnsi="华文中宋" w:eastAsia="华文中宋" w:cs="华文中宋"/>
          <w:color w:val="auto"/>
          <w:spacing w:val="6"/>
          <w:sz w:val="28"/>
          <w:szCs w:val="28"/>
          <w:u w:val="single"/>
        </w:rPr>
        <w:t xml:space="preserve">      （磋商供应商名称）          </w:t>
      </w:r>
      <w:r>
        <w:rPr>
          <w:rFonts w:hint="eastAsia" w:ascii="华文中宋" w:hAnsi="华文中宋" w:eastAsia="华文中宋" w:cs="华文中宋"/>
          <w:color w:val="auto"/>
          <w:spacing w:val="6"/>
          <w:sz w:val="28"/>
          <w:szCs w:val="28"/>
        </w:rPr>
        <w:t xml:space="preserve">的法定代表人（负责人）。 </w:t>
      </w:r>
    </w:p>
    <w:p w14:paraId="4C4EE916">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特此证明。</w:t>
      </w:r>
    </w:p>
    <w:p w14:paraId="7F30F7CE">
      <w:pPr>
        <w:spacing w:line="360" w:lineRule="auto"/>
        <w:outlineLvl w:val="9"/>
        <w:rPr>
          <w:rFonts w:hint="eastAsia" w:ascii="华文中宋" w:hAnsi="华文中宋" w:eastAsia="华文中宋" w:cs="华文中宋"/>
          <w:color w:val="auto"/>
          <w:spacing w:val="20"/>
          <w:sz w:val="28"/>
          <w:szCs w:val="28"/>
        </w:rPr>
      </w:pPr>
      <w:r>
        <w:rPr>
          <w:rFonts w:hint="eastAsia" w:ascii="华文中宋" w:hAnsi="华文中宋" w:eastAsia="华文中宋" w:cs="华文中宋"/>
          <w:color w:val="auto"/>
          <w:spacing w:val="6"/>
          <w:sz w:val="28"/>
          <w:szCs w:val="28"/>
        </w:rPr>
        <w:t xml:space="preserve">                      磋商供应商</w:t>
      </w:r>
      <w:r>
        <w:rPr>
          <w:rFonts w:hint="eastAsia" w:ascii="华文中宋" w:hAnsi="华文中宋" w:eastAsia="华文中宋" w:cs="华文中宋"/>
          <w:color w:val="auto"/>
          <w:spacing w:val="20"/>
          <w:sz w:val="28"/>
          <w:szCs w:val="28"/>
        </w:rPr>
        <w:t>：</w:t>
      </w:r>
      <w:r>
        <w:rPr>
          <w:rFonts w:hint="eastAsia" w:ascii="华文中宋" w:hAnsi="华文中宋" w:eastAsia="华文中宋" w:cs="华文中宋"/>
          <w:color w:val="auto"/>
          <w:spacing w:val="20"/>
          <w:sz w:val="28"/>
          <w:szCs w:val="28"/>
          <w:u w:val="single"/>
        </w:rPr>
        <w:t xml:space="preserve">            </w:t>
      </w:r>
      <w:r>
        <w:rPr>
          <w:rFonts w:hint="eastAsia" w:ascii="华文中宋" w:hAnsi="华文中宋" w:eastAsia="华文中宋" w:cs="华文中宋"/>
          <w:color w:val="auto"/>
          <w:spacing w:val="20"/>
          <w:sz w:val="28"/>
          <w:szCs w:val="28"/>
        </w:rPr>
        <w:t>(电子签章)</w:t>
      </w:r>
    </w:p>
    <w:p w14:paraId="1B4E1543">
      <w:pPr>
        <w:tabs>
          <w:tab w:val="left" w:pos="4490"/>
        </w:tabs>
        <w:snapToGrid w:val="0"/>
        <w:spacing w:line="360" w:lineRule="auto"/>
        <w:outlineLvl w:val="9"/>
        <w:rPr>
          <w:rFonts w:hint="eastAsia" w:ascii="华文中宋" w:hAnsi="华文中宋" w:eastAsia="华文中宋" w:cs="华文中宋"/>
          <w:color w:val="auto"/>
          <w:spacing w:val="20"/>
          <w:sz w:val="28"/>
          <w:szCs w:val="28"/>
        </w:rPr>
      </w:pPr>
      <w:r>
        <w:rPr>
          <w:rFonts w:hint="eastAsia" w:ascii="华文中宋" w:hAnsi="华文中宋" w:eastAsia="华文中宋" w:cs="华文中宋"/>
          <w:color w:val="auto"/>
          <w:spacing w:val="20"/>
          <w:sz w:val="28"/>
          <w:szCs w:val="28"/>
        </w:rPr>
        <w:tab/>
      </w:r>
      <w:r>
        <w:rPr>
          <w:rFonts w:hint="eastAsia" w:ascii="华文中宋" w:hAnsi="华文中宋" w:eastAsia="华文中宋" w:cs="华文中宋"/>
          <w:color w:val="auto"/>
          <w:spacing w:val="20"/>
          <w:sz w:val="28"/>
          <w:szCs w:val="28"/>
        </w:rPr>
        <w:t>年   月   日</w:t>
      </w:r>
    </w:p>
    <w:p w14:paraId="2093048F">
      <w:pPr>
        <w:pStyle w:val="2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附法定代表人有效的身份证正反两面扫描件</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79"/>
      </w:tblGrid>
      <w:tr w14:paraId="5BFB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noWrap w:val="0"/>
            <w:vAlign w:val="top"/>
          </w:tcPr>
          <w:p w14:paraId="56E43851">
            <w:pPr>
              <w:outlineLvl w:val="9"/>
              <w:rPr>
                <w:rFonts w:hint="eastAsia" w:ascii="华文中宋" w:hAnsi="华文中宋" w:eastAsia="华文中宋" w:cs="华文中宋"/>
                <w:b/>
                <w:color w:val="auto"/>
                <w:szCs w:val="21"/>
              </w:rPr>
            </w:pPr>
          </w:p>
        </w:tc>
        <w:tc>
          <w:tcPr>
            <w:tcW w:w="2499" w:type="pct"/>
            <w:noWrap w:val="0"/>
            <w:vAlign w:val="top"/>
          </w:tcPr>
          <w:p w14:paraId="25F48AC3">
            <w:pPr>
              <w:outlineLvl w:val="9"/>
              <w:rPr>
                <w:rFonts w:hint="eastAsia" w:ascii="华文中宋" w:hAnsi="华文中宋" w:eastAsia="华文中宋" w:cs="华文中宋"/>
                <w:b/>
                <w:color w:val="auto"/>
                <w:szCs w:val="21"/>
              </w:rPr>
            </w:pPr>
          </w:p>
        </w:tc>
      </w:tr>
    </w:tbl>
    <w:p w14:paraId="23B008F0">
      <w:pPr>
        <w:snapToGrid w:val="0"/>
        <w:spacing w:line="360" w:lineRule="auto"/>
        <w:outlineLvl w:val="9"/>
        <w:rPr>
          <w:rFonts w:hint="eastAsia" w:ascii="华文中宋" w:hAnsi="华文中宋" w:eastAsia="华文中宋" w:cs="华文中宋"/>
          <w:b/>
          <w:bCs/>
          <w:color w:val="auto"/>
          <w:sz w:val="24"/>
          <w:szCs w:val="24"/>
        </w:rPr>
      </w:pPr>
    </w:p>
    <w:p w14:paraId="7D9A17E1">
      <w:pPr>
        <w:snapToGrid w:val="0"/>
        <w:spacing w:line="360" w:lineRule="auto"/>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 xml:space="preserve">法定代表人（负责人）授权委托书 </w:t>
      </w:r>
      <w:r>
        <w:rPr>
          <w:rFonts w:hint="eastAsia" w:ascii="华文中宋" w:hAnsi="华文中宋" w:eastAsia="华文中宋" w:cs="华文中宋"/>
          <w:b/>
          <w:color w:val="auto"/>
          <w:sz w:val="28"/>
          <w:szCs w:val="28"/>
        </w:rPr>
        <w:t>格式</w:t>
      </w:r>
      <w:r>
        <w:rPr>
          <w:rFonts w:hint="eastAsia" w:ascii="华文中宋" w:hAnsi="华文中宋" w:eastAsia="华文中宋" w:cs="华文中宋"/>
          <w:b/>
          <w:bCs/>
          <w:color w:val="auto"/>
          <w:sz w:val="28"/>
          <w:szCs w:val="28"/>
        </w:rPr>
        <w:t xml:space="preserve"> </w:t>
      </w:r>
    </w:p>
    <w:p w14:paraId="6DC1DADE">
      <w:pPr>
        <w:snapToGrid w:val="0"/>
        <w:spacing w:line="360" w:lineRule="auto"/>
        <w:ind w:left="504" w:hanging="561" w:hangingChars="200"/>
        <w:jc w:val="center"/>
        <w:outlineLvl w:val="9"/>
        <w:rPr>
          <w:rFonts w:hint="eastAsia" w:ascii="华文中宋" w:hAnsi="华文中宋" w:eastAsia="华文中宋" w:cs="华文中宋"/>
          <w:b/>
          <w:bCs/>
          <w:color w:val="auto"/>
          <w:sz w:val="28"/>
          <w:szCs w:val="28"/>
        </w:rPr>
      </w:pPr>
    </w:p>
    <w:p w14:paraId="4280A02D">
      <w:pPr>
        <w:snapToGrid w:val="0"/>
        <w:spacing w:line="360" w:lineRule="auto"/>
        <w:ind w:left="504" w:hanging="561" w:hangingChars="200"/>
        <w:jc w:val="center"/>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 xml:space="preserve">法定代表人（负责人）授权委托书   </w:t>
      </w:r>
    </w:p>
    <w:p w14:paraId="23F936F0">
      <w:pPr>
        <w:snapToGrid w:val="0"/>
        <w:spacing w:line="360" w:lineRule="auto"/>
        <w:ind w:firstLine="560" w:firstLineChars="200"/>
        <w:outlineLvl w:val="9"/>
        <w:rPr>
          <w:rFonts w:hint="eastAsia" w:ascii="华文中宋" w:hAnsi="华文中宋" w:eastAsia="华文中宋" w:cs="华文中宋"/>
          <w:color w:val="auto"/>
          <w:sz w:val="28"/>
          <w:szCs w:val="28"/>
        </w:rPr>
      </w:pPr>
    </w:p>
    <w:p w14:paraId="4F4560F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本授权委托书声明：注册于</w:t>
      </w:r>
      <w:r>
        <w:rPr>
          <w:rFonts w:hint="eastAsia" w:ascii="华文中宋" w:hAnsi="华文中宋" w:eastAsia="华文中宋" w:cs="华文中宋"/>
          <w:color w:val="auto"/>
          <w:sz w:val="28"/>
          <w:szCs w:val="28"/>
          <w:u w:val="single"/>
        </w:rPr>
        <w:t xml:space="preserve">             （磋商供应商住址）</w:t>
      </w:r>
      <w:r>
        <w:rPr>
          <w:rFonts w:hint="eastAsia" w:ascii="华文中宋" w:hAnsi="华文中宋" w:eastAsia="华文中宋" w:cs="华文中宋"/>
          <w:color w:val="auto"/>
          <w:sz w:val="28"/>
          <w:szCs w:val="28"/>
        </w:rPr>
        <w:t xml:space="preserve">的 </w:t>
      </w:r>
      <w:r>
        <w:rPr>
          <w:rFonts w:hint="eastAsia" w:ascii="华文中宋" w:hAnsi="华文中宋" w:eastAsia="华文中宋" w:cs="华文中宋"/>
          <w:color w:val="auto"/>
          <w:sz w:val="28"/>
          <w:szCs w:val="28"/>
          <w:u w:val="single"/>
        </w:rPr>
        <w:t xml:space="preserve">              （磋商供应商名称）</w:t>
      </w:r>
      <w:r>
        <w:rPr>
          <w:rFonts w:hint="eastAsia" w:ascii="华文中宋" w:hAnsi="华文中宋" w:eastAsia="华文中宋" w:cs="华文中宋"/>
          <w:color w:val="auto"/>
          <w:sz w:val="28"/>
          <w:szCs w:val="28"/>
        </w:rPr>
        <w:t>法定代表人</w:t>
      </w:r>
      <w:r>
        <w:rPr>
          <w:rFonts w:hint="eastAsia" w:ascii="华文中宋" w:hAnsi="华文中宋" w:eastAsia="华文中宋" w:cs="华文中宋"/>
          <w:color w:val="auto"/>
          <w:sz w:val="28"/>
          <w:szCs w:val="28"/>
          <w:u w:val="single"/>
        </w:rPr>
        <w:t xml:space="preserve">            （法定代表人姓名、职务、身份证号）</w:t>
      </w:r>
      <w:r>
        <w:rPr>
          <w:rFonts w:hint="eastAsia" w:ascii="华文中宋" w:hAnsi="华文中宋" w:eastAsia="华文中宋" w:cs="华文中宋"/>
          <w:color w:val="auto"/>
          <w:sz w:val="28"/>
          <w:szCs w:val="28"/>
        </w:rPr>
        <w:t>代表本公司授权</w:t>
      </w:r>
      <w:r>
        <w:rPr>
          <w:rFonts w:hint="eastAsia" w:ascii="华文中宋" w:hAnsi="华文中宋" w:eastAsia="华文中宋" w:cs="华文中宋"/>
          <w:color w:val="auto"/>
          <w:sz w:val="28"/>
          <w:szCs w:val="28"/>
          <w:u w:val="single"/>
        </w:rPr>
        <w:t xml:space="preserve">          （磋商供应商代表姓名、职务、身份证号）</w:t>
      </w:r>
      <w:r>
        <w:rPr>
          <w:rFonts w:hint="eastAsia" w:ascii="华文中宋" w:hAnsi="华文中宋" w:eastAsia="华文中宋" w:cs="华文中宋"/>
          <w:color w:val="auto"/>
          <w:sz w:val="28"/>
          <w:szCs w:val="28"/>
        </w:rPr>
        <w:t>为本公司的合法代理人，就贵方组织的</w:t>
      </w:r>
      <w:r>
        <w:rPr>
          <w:rFonts w:hint="eastAsia" w:ascii="华文中宋" w:hAnsi="华文中宋" w:eastAsia="华文中宋" w:cs="华文中宋"/>
          <w:b/>
          <w:color w:val="auto"/>
          <w:sz w:val="28"/>
          <w:szCs w:val="28"/>
          <w:u w:val="single"/>
        </w:rPr>
        <w:t xml:space="preserve">                  </w:t>
      </w:r>
      <w:r>
        <w:rPr>
          <w:rFonts w:hint="eastAsia" w:ascii="华文中宋" w:hAnsi="华文中宋" w:eastAsia="华文中宋" w:cs="华文中宋"/>
          <w:color w:val="auto"/>
          <w:sz w:val="28"/>
          <w:szCs w:val="28"/>
        </w:rPr>
        <w:t>项目，项目编号：</w:t>
      </w:r>
      <w:r>
        <w:rPr>
          <w:rFonts w:hint="eastAsia" w:ascii="华文中宋" w:hAnsi="华文中宋" w:eastAsia="华文中宋" w:cs="华文中宋"/>
          <w:b/>
          <w:color w:val="auto"/>
          <w:sz w:val="28"/>
          <w:szCs w:val="28"/>
          <w:u w:val="single"/>
        </w:rPr>
        <w:t xml:space="preserve">                </w:t>
      </w:r>
      <w:r>
        <w:rPr>
          <w:rFonts w:hint="eastAsia" w:ascii="华文中宋" w:hAnsi="华文中宋" w:eastAsia="华文中宋" w:cs="华文中宋"/>
          <w:color w:val="auto"/>
          <w:sz w:val="28"/>
          <w:szCs w:val="28"/>
        </w:rPr>
        <w:t>，以本公司名义处理一切与之有关的事务。</w:t>
      </w:r>
    </w:p>
    <w:p w14:paraId="05AB914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本授权书于    年  月  日生效，特此声明。</w:t>
      </w:r>
    </w:p>
    <w:p w14:paraId="066D8B83">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磋商供应商：</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w:t>
      </w:r>
      <w:r>
        <w:rPr>
          <w:rFonts w:hint="eastAsia" w:ascii="华文中宋" w:hAnsi="华文中宋" w:eastAsia="华文中宋" w:cs="华文中宋"/>
          <w:color w:val="auto"/>
          <w:spacing w:val="20"/>
          <w:sz w:val="28"/>
          <w:szCs w:val="28"/>
        </w:rPr>
        <w:t>电子签章</w:t>
      </w:r>
      <w:r>
        <w:rPr>
          <w:rFonts w:hint="eastAsia" w:ascii="华文中宋" w:hAnsi="华文中宋" w:eastAsia="华文中宋" w:cs="华文中宋"/>
          <w:color w:val="auto"/>
          <w:sz w:val="28"/>
          <w:szCs w:val="28"/>
        </w:rPr>
        <w:t>）</w:t>
      </w:r>
    </w:p>
    <w:p w14:paraId="6A290299">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法定代表人（负责人）：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w:t>
      </w:r>
      <w:r>
        <w:rPr>
          <w:rFonts w:hint="eastAsia" w:ascii="华文中宋" w:hAnsi="华文中宋" w:eastAsia="华文中宋" w:cs="华文中宋"/>
          <w:color w:val="auto"/>
          <w:spacing w:val="20"/>
          <w:sz w:val="28"/>
          <w:szCs w:val="28"/>
        </w:rPr>
        <w:t>法定代表人电子</w:t>
      </w:r>
      <w:r>
        <w:rPr>
          <w:rFonts w:hint="eastAsia" w:ascii="华文中宋" w:hAnsi="华文中宋" w:eastAsia="华文中宋" w:cs="华文中宋"/>
          <w:color w:val="auto"/>
          <w:sz w:val="28"/>
          <w:szCs w:val="28"/>
        </w:rPr>
        <w:t xml:space="preserve">签章）                         </w:t>
      </w:r>
    </w:p>
    <w:p w14:paraId="2EB745A2">
      <w:pPr>
        <w:snapToGrid w:val="0"/>
        <w:spacing w:line="360" w:lineRule="auto"/>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color w:val="auto"/>
          <w:sz w:val="28"/>
          <w:szCs w:val="28"/>
        </w:rPr>
        <w:t xml:space="preserve">                                                 年  月  日</w:t>
      </w:r>
    </w:p>
    <w:p w14:paraId="602708F6">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color w:val="auto"/>
          <w:sz w:val="28"/>
          <w:szCs w:val="28"/>
        </w:rPr>
        <w:t>附磋商供应商代表有效的身份证正反两面扫描件</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2B0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noWrap w:val="0"/>
            <w:vAlign w:val="top"/>
          </w:tcPr>
          <w:p w14:paraId="5B68D28B">
            <w:pPr>
              <w:outlineLvl w:val="9"/>
              <w:rPr>
                <w:rFonts w:hint="eastAsia" w:ascii="华文中宋" w:hAnsi="华文中宋" w:eastAsia="华文中宋" w:cs="华文中宋"/>
                <w:b/>
                <w:color w:val="auto"/>
                <w:szCs w:val="21"/>
              </w:rPr>
            </w:pPr>
          </w:p>
        </w:tc>
        <w:tc>
          <w:tcPr>
            <w:tcW w:w="2500" w:type="pct"/>
            <w:noWrap w:val="0"/>
            <w:vAlign w:val="top"/>
          </w:tcPr>
          <w:p w14:paraId="214F1A6D">
            <w:pPr>
              <w:outlineLvl w:val="9"/>
              <w:rPr>
                <w:rFonts w:hint="eastAsia" w:ascii="华文中宋" w:hAnsi="华文中宋" w:eastAsia="华文中宋" w:cs="华文中宋"/>
                <w:b/>
                <w:color w:val="auto"/>
                <w:szCs w:val="21"/>
              </w:rPr>
            </w:pPr>
          </w:p>
        </w:tc>
      </w:tr>
    </w:tbl>
    <w:p w14:paraId="430F20A4">
      <w:pPr>
        <w:spacing w:line="360" w:lineRule="exact"/>
        <w:ind w:left="315" w:leftChars="150"/>
        <w:jc w:val="left"/>
        <w:outlineLvl w:val="9"/>
        <w:rPr>
          <w:rFonts w:hint="eastAsia" w:ascii="华文中宋" w:hAnsi="华文中宋" w:eastAsia="华文中宋" w:cs="华文中宋"/>
          <w:color w:val="auto"/>
          <w:szCs w:val="21"/>
        </w:rPr>
      </w:pPr>
    </w:p>
    <w:p w14:paraId="2F110C41">
      <w:pPr>
        <w:spacing w:line="360" w:lineRule="exact"/>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b/>
          <w:color w:val="auto"/>
          <w:szCs w:val="21"/>
        </w:rPr>
        <w:br w:type="page"/>
      </w:r>
      <w:r>
        <w:rPr>
          <w:rFonts w:hint="eastAsia" w:ascii="华文中宋" w:hAnsi="华文中宋" w:eastAsia="华文中宋" w:cs="华文中宋"/>
          <w:b/>
          <w:color w:val="auto"/>
          <w:sz w:val="28"/>
          <w:szCs w:val="28"/>
        </w:rPr>
        <w:t>（二）响应函格式</w:t>
      </w:r>
    </w:p>
    <w:p w14:paraId="13F31277">
      <w:pPr>
        <w:spacing w:line="36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响   应  函</w:t>
      </w:r>
    </w:p>
    <w:p w14:paraId="45313105">
      <w:pPr>
        <w:tabs>
          <w:tab w:val="left" w:pos="4860"/>
        </w:tabs>
        <w:spacing w:line="360" w:lineRule="auto"/>
        <w:outlineLvl w:val="9"/>
        <w:rPr>
          <w:rFonts w:hint="eastAsia" w:ascii="华文中宋" w:hAnsi="华文中宋" w:eastAsia="华文中宋" w:cs="华文中宋"/>
          <w:b/>
          <w:bCs/>
          <w:color w:val="auto"/>
          <w:sz w:val="28"/>
          <w:szCs w:val="28"/>
        </w:rPr>
      </w:pPr>
    </w:p>
    <w:p w14:paraId="0C66A8B5">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u w:val="single"/>
        </w:rPr>
        <w:t xml:space="preserve">                      (磋商供应商全称)</w:t>
      </w:r>
      <w:r>
        <w:rPr>
          <w:rFonts w:hint="eastAsia" w:ascii="华文中宋" w:hAnsi="华文中宋" w:eastAsia="华文中宋" w:cs="华文中宋"/>
          <w:color w:val="auto"/>
          <w:sz w:val="28"/>
          <w:szCs w:val="28"/>
        </w:rPr>
        <w:t>授权</w:t>
      </w:r>
      <w:r>
        <w:rPr>
          <w:rFonts w:hint="eastAsia" w:ascii="华文中宋" w:hAnsi="华文中宋" w:eastAsia="华文中宋" w:cs="华文中宋"/>
          <w:color w:val="auto"/>
          <w:sz w:val="28"/>
          <w:szCs w:val="28"/>
          <w:u w:val="single"/>
        </w:rPr>
        <w:t xml:space="preserve">          (磋商供应商代表姓名)            </w:t>
      </w:r>
      <w:r>
        <w:rPr>
          <w:rFonts w:hint="eastAsia" w:ascii="华文中宋" w:hAnsi="华文中宋" w:eastAsia="华文中宋" w:cs="华文中宋"/>
          <w:color w:val="auto"/>
          <w:sz w:val="28"/>
          <w:szCs w:val="28"/>
        </w:rPr>
        <w:t xml:space="preserve">(职务、职称)为我方代表，参加贵方组织的 </w:t>
      </w:r>
      <w:r>
        <w:rPr>
          <w:rFonts w:hint="eastAsia" w:ascii="华文中宋" w:hAnsi="华文中宋" w:eastAsia="华文中宋" w:cs="华文中宋"/>
          <w:color w:val="auto"/>
          <w:sz w:val="28"/>
          <w:szCs w:val="28"/>
          <w:u w:val="single"/>
        </w:rPr>
        <w:t xml:space="preserve">                   (项目名称、项目编号)</w:t>
      </w:r>
      <w:r>
        <w:rPr>
          <w:rFonts w:hint="eastAsia" w:ascii="华文中宋" w:hAnsi="华文中宋" w:eastAsia="华文中宋" w:cs="华文中宋"/>
          <w:color w:val="auto"/>
          <w:sz w:val="28"/>
          <w:szCs w:val="28"/>
        </w:rPr>
        <w:t>性磋商的有关活动，并对此项目进行报价。为此：</w:t>
      </w:r>
    </w:p>
    <w:p w14:paraId="7F2EE166">
      <w:pPr>
        <w:pStyle w:val="39"/>
        <w:tabs>
          <w:tab w:val="left" w:pos="1711"/>
        </w:tabs>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1、我方已仔细研究了本项目磋商文件的全部内容，愿意以以下报价，按照磋商文件要求及合同约定完成项目。</w:t>
      </w:r>
    </w:p>
    <w:p w14:paraId="004B0980">
      <w:pPr>
        <w:pStyle w:val="39"/>
        <w:tabs>
          <w:tab w:val="left" w:pos="1711"/>
        </w:tabs>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人民币（大写）</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 xml:space="preserve">元（￥ </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元）</w:t>
      </w:r>
    </w:p>
    <w:p w14:paraId="66B24735">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2、我方同意在本项目磋商文件中规定的响应文件有效期</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u w:val="single"/>
          <w:lang w:val="en-US" w:eastAsia="zh-CN"/>
        </w:rPr>
        <w:t xml:space="preserve">   </w:t>
      </w:r>
      <w:r>
        <w:rPr>
          <w:rFonts w:hint="eastAsia" w:ascii="华文中宋" w:hAnsi="华文中宋" w:eastAsia="华文中宋" w:cs="华文中宋"/>
          <w:color w:val="auto"/>
          <w:sz w:val="28"/>
          <w:szCs w:val="28"/>
        </w:rPr>
        <w:t>个日历天内（自</w:t>
      </w:r>
      <w:r>
        <w:rPr>
          <w:rFonts w:hint="eastAsia" w:ascii="华文中宋" w:hAnsi="华文中宋" w:eastAsia="华文中宋" w:cs="华文中宋"/>
          <w:color w:val="auto"/>
          <w:sz w:val="28"/>
          <w:szCs w:val="28"/>
          <w:lang w:val="en-US" w:eastAsia="zh-CN"/>
        </w:rPr>
        <w:t>递交</w:t>
      </w:r>
      <w:r>
        <w:rPr>
          <w:rFonts w:hint="eastAsia" w:ascii="华文中宋" w:hAnsi="华文中宋" w:eastAsia="华文中宋" w:cs="华文中宋"/>
          <w:color w:val="auto"/>
          <w:sz w:val="28"/>
          <w:szCs w:val="28"/>
        </w:rPr>
        <w:t>响应文件</w:t>
      </w:r>
      <w:r>
        <w:rPr>
          <w:rFonts w:hint="eastAsia" w:ascii="华文中宋" w:hAnsi="华文中宋" w:eastAsia="华文中宋" w:cs="华文中宋"/>
          <w:color w:val="auto"/>
          <w:sz w:val="28"/>
          <w:szCs w:val="28"/>
          <w:lang w:val="en-US" w:eastAsia="zh-CN"/>
        </w:rPr>
        <w:t>截止</w:t>
      </w:r>
      <w:r>
        <w:rPr>
          <w:rFonts w:hint="eastAsia" w:ascii="华文中宋" w:hAnsi="华文中宋" w:eastAsia="华文中宋" w:cs="华文中宋"/>
          <w:color w:val="auto"/>
          <w:sz w:val="28"/>
          <w:szCs w:val="28"/>
        </w:rPr>
        <w:t>之日起计算）遵守本磋商文件中的承诺且在此期限期满之前均具有约束力。如果成交，响应文件有效期延长至合同履约完毕。</w:t>
      </w:r>
    </w:p>
    <w:p w14:paraId="15DEB14D">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3、我方承诺已经具备《中华人民共和国政府采购法》中规定的参加政府采购活动的供应商应当具备的全部条件和本磋商文件规定的特定资质要求。</w:t>
      </w:r>
    </w:p>
    <w:p w14:paraId="0339C03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4、提供磋商须知规定的全部响应文件（电子响应文件和纸质版响应文件）。</w:t>
      </w:r>
    </w:p>
    <w:p w14:paraId="045AE849">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5、按磋商文件要求提供和交付的货物和服务的报价详见报价一览表。</w:t>
      </w:r>
    </w:p>
    <w:p w14:paraId="2DD3EF75">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6、我方承诺：完全理解磋商报价超过磋商文件公布的预算金额或最高限价时，报价将拒绝。</w:t>
      </w:r>
    </w:p>
    <w:p w14:paraId="4F9CCA9A">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7、保证忠实地执行双方所签订的合同，并承担合同规定的责任和义务。</w:t>
      </w:r>
    </w:p>
    <w:p w14:paraId="04FA85E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8、承诺完全满足和响应磋商文件中的各项商务和技术要求，若有偏差，已在响应文件商务条款偏离表中予以明确特别说明。</w:t>
      </w:r>
    </w:p>
    <w:p w14:paraId="032C8121">
      <w:pPr>
        <w:pStyle w:val="39"/>
        <w:snapToGrid w:val="0"/>
        <w:spacing w:line="360" w:lineRule="auto"/>
        <w:ind w:firstLine="548" w:firstLineChars="196"/>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9、保证遵守磋商文件的规定。</w:t>
      </w:r>
    </w:p>
    <w:p w14:paraId="1B80F827">
      <w:pPr>
        <w:pStyle w:val="39"/>
        <w:snapToGrid w:val="0"/>
        <w:spacing w:line="360" w:lineRule="auto"/>
        <w:ind w:firstLine="548" w:firstLineChars="196"/>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10、我方承诺对磋商小组依法从符合相应资格条件的磋商供应商中，确定</w:t>
      </w:r>
      <w:r>
        <w:rPr>
          <w:rFonts w:hint="eastAsia" w:ascii="华文中宋" w:hAnsi="华文中宋" w:eastAsia="华文中宋" w:cs="华文中宋"/>
          <w:bCs/>
          <w:color w:val="auto"/>
          <w:sz w:val="28"/>
          <w:szCs w:val="28"/>
        </w:rPr>
        <w:t>参加磋商的磋商供应商</w:t>
      </w:r>
      <w:r>
        <w:rPr>
          <w:rFonts w:hint="eastAsia" w:ascii="华文中宋" w:hAnsi="华文中宋" w:eastAsia="华文中宋" w:cs="华文中宋"/>
          <w:color w:val="auto"/>
          <w:sz w:val="28"/>
          <w:szCs w:val="28"/>
        </w:rPr>
        <w:t>没有任何异议。</w:t>
      </w:r>
    </w:p>
    <w:p w14:paraId="77E350CF">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11、对贵方在本次磋商公告刊登的媒体上发布的公告或与本项目有关的通知，我方会及时查看获取。若因线路故障等其他原因导致通知延迟获取或无法获取，责任由我方自负。</w:t>
      </w:r>
    </w:p>
    <w:p w14:paraId="5EB62920">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12、我方愿意向贵方提供任何与本项磋商有关的数据、情况和技术资料。若贵方需要，我方愿意提供我方做出的一切承诺的证明材料。</w:t>
      </w:r>
    </w:p>
    <w:p w14:paraId="68ADF046">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13、我方已详细审核全部响应文件，包括响应文件修改书（如有的话）、参考资料及有关附件，确认无误。</w:t>
      </w:r>
    </w:p>
    <w:p w14:paraId="3B47B0C4">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14、我方承诺：采购人若需追加采购本项目磋商文件所列货物及相关服务的，在不改变合同其他实质性条款的前提下，按相同或更优惠的折扣率保证供货。</w:t>
      </w:r>
    </w:p>
    <w:p w14:paraId="6C32C366">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所有有关本次磋商的一切往来联系方式为：</w:t>
      </w:r>
    </w:p>
    <w:p w14:paraId="5181FF47">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地址：</w:t>
      </w:r>
      <w:r>
        <w:rPr>
          <w:rFonts w:hint="eastAsia" w:ascii="华文中宋" w:hAnsi="华文中宋" w:eastAsia="华文中宋" w:cs="华文中宋"/>
          <w:color w:val="auto"/>
          <w:sz w:val="28"/>
          <w:szCs w:val="28"/>
        </w:rPr>
        <w:tab/>
      </w:r>
      <w:r>
        <w:rPr>
          <w:rFonts w:hint="eastAsia" w:ascii="华文中宋" w:hAnsi="华文中宋" w:eastAsia="华文中宋" w:cs="华文中宋"/>
          <w:color w:val="auto"/>
          <w:sz w:val="28"/>
          <w:szCs w:val="28"/>
        </w:rPr>
        <w:t xml:space="preserve">                            邮编：</w:t>
      </w:r>
      <w:r>
        <w:rPr>
          <w:rFonts w:hint="eastAsia" w:ascii="华文中宋" w:hAnsi="华文中宋" w:eastAsia="华文中宋" w:cs="华文中宋"/>
          <w:color w:val="auto"/>
          <w:sz w:val="28"/>
          <w:szCs w:val="28"/>
        </w:rPr>
        <w:tab/>
      </w:r>
    </w:p>
    <w:p w14:paraId="0125174D">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电话：</w:t>
      </w:r>
      <w:r>
        <w:rPr>
          <w:rFonts w:hint="eastAsia" w:ascii="华文中宋" w:hAnsi="华文中宋" w:eastAsia="华文中宋" w:cs="华文中宋"/>
          <w:color w:val="auto"/>
          <w:sz w:val="28"/>
          <w:szCs w:val="28"/>
        </w:rPr>
        <w:tab/>
      </w:r>
      <w:r>
        <w:rPr>
          <w:rFonts w:hint="eastAsia" w:ascii="华文中宋" w:hAnsi="华文中宋" w:eastAsia="华文中宋" w:cs="华文中宋"/>
          <w:color w:val="auto"/>
          <w:sz w:val="28"/>
          <w:szCs w:val="28"/>
        </w:rPr>
        <w:t xml:space="preserve">                            传真：</w:t>
      </w:r>
    </w:p>
    <w:p w14:paraId="25AEF0DC">
      <w:pPr>
        <w:tabs>
          <w:tab w:val="left" w:pos="480"/>
        </w:tabs>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磋商供应商代表姓名：</w:t>
      </w:r>
    </w:p>
    <w:p w14:paraId="71722C51">
      <w:pPr>
        <w:tabs>
          <w:tab w:val="left" w:pos="480"/>
        </w:tabs>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磋商供应商代表联系电话：      （办公）           （手机）</w:t>
      </w:r>
    </w:p>
    <w:p w14:paraId="03E8CC84">
      <w:pPr>
        <w:tabs>
          <w:tab w:val="left" w:pos="480"/>
        </w:tabs>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E-mail：</w:t>
      </w:r>
    </w:p>
    <w:p w14:paraId="5A3F29F1">
      <w:pPr>
        <w:snapToGrid w:val="0"/>
        <w:spacing w:line="360" w:lineRule="auto"/>
        <w:ind w:firstLine="2660" w:firstLineChars="95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464BDD08">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年  月  日</w:t>
      </w:r>
    </w:p>
    <w:p w14:paraId="7126D1A0">
      <w:pPr>
        <w:spacing w:line="360" w:lineRule="auto"/>
        <w:jc w:val="left"/>
        <w:outlineLvl w:val="9"/>
        <w:rPr>
          <w:rFonts w:hint="eastAsia" w:ascii="华文中宋" w:hAnsi="华文中宋" w:eastAsia="华文中宋" w:cs="华文中宋"/>
          <w:color w:val="auto"/>
          <w:sz w:val="24"/>
          <w:szCs w:val="24"/>
        </w:rPr>
      </w:pPr>
    </w:p>
    <w:p w14:paraId="6634F1E4">
      <w:pPr>
        <w:spacing w:line="360" w:lineRule="auto"/>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4"/>
          <w:szCs w:val="24"/>
        </w:rPr>
        <w:br w:type="page"/>
      </w:r>
      <w:r>
        <w:rPr>
          <w:rFonts w:hint="eastAsia" w:ascii="华文中宋" w:hAnsi="华文中宋" w:eastAsia="华文中宋" w:cs="华文中宋"/>
          <w:b/>
          <w:color w:val="auto"/>
          <w:sz w:val="28"/>
          <w:szCs w:val="28"/>
          <w:lang w:eastAsia="zh-CN"/>
        </w:rPr>
        <w:t>（</w:t>
      </w:r>
      <w:r>
        <w:rPr>
          <w:rFonts w:hint="eastAsia" w:ascii="华文中宋" w:hAnsi="华文中宋" w:eastAsia="华文中宋" w:cs="华文中宋"/>
          <w:b/>
          <w:color w:val="auto"/>
          <w:sz w:val="28"/>
          <w:szCs w:val="28"/>
          <w:lang w:val="en-US" w:eastAsia="zh-CN"/>
        </w:rPr>
        <w:t>三</w:t>
      </w:r>
      <w:r>
        <w:rPr>
          <w:rFonts w:hint="eastAsia" w:ascii="华文中宋" w:hAnsi="华文中宋" w:eastAsia="华文中宋" w:cs="华文中宋"/>
          <w:b/>
          <w:color w:val="auto"/>
          <w:sz w:val="28"/>
          <w:szCs w:val="28"/>
          <w:lang w:eastAsia="zh-CN"/>
        </w:rPr>
        <w:t>）</w:t>
      </w:r>
      <w:r>
        <w:rPr>
          <w:rFonts w:hint="eastAsia" w:ascii="华文中宋" w:hAnsi="华文中宋" w:eastAsia="华文中宋" w:cs="华文中宋"/>
          <w:b/>
          <w:color w:val="auto"/>
          <w:sz w:val="28"/>
          <w:szCs w:val="28"/>
        </w:rPr>
        <w:t>具有独立承担民事责任的能力的承诺函</w:t>
      </w:r>
    </w:p>
    <w:p w14:paraId="20952462">
      <w:pPr>
        <w:ind w:firstLine="480"/>
        <w:outlineLvl w:val="9"/>
        <w:rPr>
          <w:rFonts w:hint="eastAsia" w:ascii="华文中宋" w:hAnsi="华文中宋" w:eastAsia="华文中宋" w:cs="华文中宋"/>
          <w:color w:val="auto"/>
          <w:sz w:val="28"/>
          <w:szCs w:val="28"/>
          <w:u w:val="single"/>
        </w:rPr>
      </w:pPr>
    </w:p>
    <w:p w14:paraId="1E10793E">
      <w:pPr>
        <w:ind w:firstLine="480"/>
        <w:outlineLvl w:val="9"/>
        <w:rPr>
          <w:rFonts w:hint="eastAsia" w:ascii="华文中宋" w:hAnsi="华文中宋" w:eastAsia="华文中宋" w:cs="华文中宋"/>
          <w:color w:val="auto"/>
          <w:sz w:val="28"/>
          <w:szCs w:val="28"/>
          <w:u w:val="single"/>
        </w:rPr>
      </w:pPr>
      <w:r>
        <w:rPr>
          <w:rFonts w:hint="eastAsia" w:ascii="华文中宋" w:hAnsi="华文中宋" w:eastAsia="华文中宋" w:cs="华文中宋"/>
          <w:color w:val="auto"/>
          <w:sz w:val="28"/>
          <w:szCs w:val="28"/>
          <w:u w:val="single"/>
        </w:rPr>
        <w:t xml:space="preserve">  采购</w:t>
      </w:r>
      <w:r>
        <w:rPr>
          <w:rFonts w:hint="eastAsia" w:ascii="华文中宋" w:hAnsi="华文中宋" w:eastAsia="华文中宋" w:cs="华文中宋"/>
          <w:color w:val="auto"/>
          <w:sz w:val="28"/>
          <w:szCs w:val="28"/>
          <w:u w:val="single"/>
          <w:lang w:val="en-US" w:eastAsia="zh-CN"/>
        </w:rPr>
        <w:t>人</w:t>
      </w:r>
      <w:r>
        <w:rPr>
          <w:rFonts w:hint="eastAsia" w:ascii="华文中宋" w:hAnsi="华文中宋" w:eastAsia="华文中宋" w:cs="华文中宋"/>
          <w:color w:val="auto"/>
          <w:sz w:val="28"/>
          <w:szCs w:val="28"/>
          <w:u w:val="single"/>
        </w:rPr>
        <w:t>名称  ：</w:t>
      </w:r>
    </w:p>
    <w:p w14:paraId="1B74E810">
      <w:pPr>
        <w:widowControl/>
        <w:snapToGrid w:val="0"/>
        <w:spacing w:line="360" w:lineRule="auto"/>
        <w:ind w:firstLine="480"/>
        <w:outlineLvl w:val="9"/>
        <w:rPr>
          <w:rFonts w:hint="eastAsia" w:ascii="华文中宋" w:hAnsi="华文中宋" w:eastAsia="华文中宋" w:cs="华文中宋"/>
          <w:color w:val="auto"/>
          <w:sz w:val="28"/>
          <w:szCs w:val="28"/>
        </w:rPr>
      </w:pPr>
    </w:p>
    <w:p w14:paraId="062FD44B">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本供应商现参与贵公司组织的</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项目（项目编号：</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kern w:val="0"/>
          <w:sz w:val="28"/>
          <w:szCs w:val="28"/>
          <w:u w:val="single"/>
        </w:rPr>
        <w:t xml:space="preserve">  </w:t>
      </w:r>
      <w:r>
        <w:rPr>
          <w:rFonts w:hint="eastAsia" w:ascii="华文中宋" w:hAnsi="华文中宋" w:eastAsia="华文中宋" w:cs="华文中宋"/>
          <w:color w:val="auto"/>
          <w:sz w:val="28"/>
          <w:szCs w:val="28"/>
        </w:rPr>
        <w:t>）的采购活动。依据采购文件（招标、谈判、磋商）相关规定，现郑重承诺：我方具有有效的营业执照或事业单位法人证书或自然人身份证明或其他非企业组织证明文件及有效的开户许可证，能独立承担民事责任的能力。</w:t>
      </w:r>
    </w:p>
    <w:p w14:paraId="22DD9D43">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基本信息如下：</w:t>
      </w:r>
    </w:p>
    <w:p w14:paraId="526DF474">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名称为：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，统一社会信用代码为：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；法定代表人（负责人）为：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 xml:space="preserve"> ；营业期限为: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；基本开户银行为：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；账号为：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w:t>
      </w:r>
    </w:p>
    <w:p w14:paraId="1AFE951A">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以上承诺信息如有虚假或隐瞒，我方愿意承担一切后果，并不再寻求任何旨在减轻或免除法律责任的辩解。 </w:t>
      </w:r>
    </w:p>
    <w:p w14:paraId="4698B7C7">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特此承诺。</w:t>
      </w:r>
    </w:p>
    <w:p w14:paraId="1297BB32">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后附：有效的营业执照，或事业单位法人证书，或自然人身份证明，或其他非企业组织证明独立承担民事责任能力的文件；（扫描件）</w:t>
      </w:r>
    </w:p>
    <w:p w14:paraId="7560FA03">
      <w:pPr>
        <w:widowControl/>
        <w:snapToGrid w:val="0"/>
        <w:spacing w:line="360" w:lineRule="auto"/>
        <w:ind w:firstLine="480"/>
        <w:outlineLvl w:val="9"/>
        <w:rPr>
          <w:rFonts w:hint="eastAsia" w:ascii="华文中宋" w:hAnsi="华文中宋" w:eastAsia="华文中宋" w:cs="华文中宋"/>
          <w:color w:val="auto"/>
          <w:sz w:val="28"/>
          <w:szCs w:val="28"/>
        </w:rPr>
      </w:pPr>
    </w:p>
    <w:p w14:paraId="46A6EF89">
      <w:pPr>
        <w:snapToGrid w:val="0"/>
        <w:spacing w:line="480" w:lineRule="exact"/>
        <w:ind w:firstLine="3640" w:firstLineChars="13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磋商供应商名称：</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0BAB1048">
      <w:pPr>
        <w:spacing w:line="480" w:lineRule="exact"/>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8"/>
          <w:szCs w:val="28"/>
        </w:rPr>
        <w:t xml:space="preserve">                     </w:t>
      </w:r>
      <w:r>
        <w:rPr>
          <w:rFonts w:hint="eastAsia" w:ascii="华文中宋" w:hAnsi="华文中宋" w:eastAsia="华文中宋" w:cs="华文中宋"/>
          <w:color w:val="auto"/>
          <w:sz w:val="28"/>
          <w:szCs w:val="28"/>
          <w:lang w:val="en-US" w:eastAsia="zh-CN"/>
        </w:rPr>
        <w:t xml:space="preserve"> </w:t>
      </w:r>
      <w:r>
        <w:rPr>
          <w:rFonts w:hint="eastAsia" w:ascii="华文中宋" w:hAnsi="华文中宋" w:eastAsia="华文中宋" w:cs="华文中宋"/>
          <w:color w:val="auto"/>
          <w:sz w:val="28"/>
          <w:szCs w:val="28"/>
        </w:rPr>
        <w:t xml:space="preserve"> 日      期：</w:t>
      </w:r>
    </w:p>
    <w:p w14:paraId="3CFCB6C1">
      <w:pPr>
        <w:spacing w:line="360" w:lineRule="auto"/>
        <w:outlineLvl w:val="9"/>
        <w:rPr>
          <w:rFonts w:hint="eastAsia" w:ascii="华文中宋" w:hAnsi="华文中宋" w:eastAsia="华文中宋" w:cs="华文中宋"/>
          <w:b/>
          <w:color w:val="auto"/>
          <w:kern w:val="0"/>
          <w:sz w:val="28"/>
          <w:szCs w:val="28"/>
          <w:lang w:val="en-US" w:eastAsia="zh-CN"/>
        </w:rPr>
      </w:pPr>
      <w:r>
        <w:rPr>
          <w:rFonts w:hint="eastAsia" w:ascii="华文中宋" w:hAnsi="华文中宋" w:eastAsia="华文中宋" w:cs="华文中宋"/>
          <w:b/>
          <w:color w:val="auto"/>
          <w:sz w:val="24"/>
          <w:szCs w:val="24"/>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kern w:val="0"/>
          <w:sz w:val="28"/>
          <w:szCs w:val="28"/>
        </w:rPr>
        <w:t>四）具有</w:t>
      </w:r>
      <w:r>
        <w:rPr>
          <w:rFonts w:hint="eastAsia" w:ascii="华文中宋" w:hAnsi="华文中宋" w:eastAsia="华文中宋" w:cs="华文中宋"/>
          <w:b/>
          <w:color w:val="auto"/>
          <w:kern w:val="0"/>
          <w:sz w:val="28"/>
          <w:szCs w:val="28"/>
          <w:lang w:val="en-US" w:eastAsia="zh-CN"/>
        </w:rPr>
        <w:t>良好的商业信誉和</w:t>
      </w:r>
      <w:r>
        <w:rPr>
          <w:rFonts w:hint="eastAsia" w:ascii="华文中宋" w:hAnsi="华文中宋" w:eastAsia="华文中宋" w:cs="华文中宋"/>
          <w:b/>
          <w:color w:val="auto"/>
          <w:kern w:val="0"/>
          <w:sz w:val="28"/>
          <w:szCs w:val="28"/>
        </w:rPr>
        <w:t>健全的财务会计制度</w:t>
      </w:r>
      <w:r>
        <w:rPr>
          <w:rFonts w:hint="eastAsia" w:ascii="华文中宋" w:hAnsi="华文中宋" w:eastAsia="华文中宋" w:cs="华文中宋"/>
          <w:b/>
          <w:color w:val="auto"/>
          <w:kern w:val="0"/>
          <w:sz w:val="28"/>
          <w:szCs w:val="28"/>
          <w:lang w:val="en-US" w:eastAsia="zh-CN"/>
        </w:rPr>
        <w:t>的承诺函</w:t>
      </w:r>
    </w:p>
    <w:p w14:paraId="210C5CFF">
      <w:pPr>
        <w:outlineLvl w:val="9"/>
        <w:rPr>
          <w:rFonts w:hint="eastAsia" w:ascii="华文中宋" w:hAnsi="华文中宋" w:eastAsia="华文中宋" w:cs="华文中宋"/>
          <w:color w:val="auto"/>
          <w:spacing w:val="0"/>
          <w:sz w:val="24"/>
          <w:szCs w:val="24"/>
          <w:u w:val="single"/>
        </w:rPr>
      </w:pPr>
    </w:p>
    <w:p w14:paraId="5229052C">
      <w:pPr>
        <w:ind w:firstLine="480"/>
        <w:outlineLvl w:val="9"/>
        <w:rPr>
          <w:rFonts w:hint="eastAsia" w:ascii="华文中宋" w:hAnsi="华文中宋" w:eastAsia="华文中宋" w:cs="华文中宋"/>
          <w:color w:val="auto"/>
          <w:spacing w:val="0"/>
          <w:sz w:val="28"/>
          <w:szCs w:val="28"/>
          <w:u w:val="single"/>
        </w:rPr>
      </w:pPr>
      <w:r>
        <w:rPr>
          <w:rFonts w:hint="eastAsia" w:ascii="华文中宋" w:hAnsi="华文中宋" w:eastAsia="华文中宋" w:cs="华文中宋"/>
          <w:color w:val="auto"/>
          <w:spacing w:val="0"/>
          <w:sz w:val="24"/>
          <w:szCs w:val="24"/>
          <w:u w:val="single"/>
        </w:rPr>
        <w:t xml:space="preserve"> </w:t>
      </w:r>
      <w:r>
        <w:rPr>
          <w:rFonts w:hint="eastAsia" w:ascii="华文中宋" w:hAnsi="华文中宋" w:eastAsia="华文中宋" w:cs="华文中宋"/>
          <w:color w:val="auto"/>
          <w:spacing w:val="0"/>
          <w:sz w:val="28"/>
          <w:szCs w:val="28"/>
          <w:u w:val="single"/>
        </w:rPr>
        <w:t xml:space="preserve"> 采购</w:t>
      </w:r>
      <w:r>
        <w:rPr>
          <w:rFonts w:hint="eastAsia" w:ascii="华文中宋" w:hAnsi="华文中宋" w:eastAsia="华文中宋" w:cs="华文中宋"/>
          <w:color w:val="auto"/>
          <w:spacing w:val="0"/>
          <w:sz w:val="28"/>
          <w:szCs w:val="28"/>
          <w:u w:val="single"/>
          <w:lang w:val="en-US" w:eastAsia="zh-CN"/>
        </w:rPr>
        <w:t>人</w:t>
      </w:r>
      <w:r>
        <w:rPr>
          <w:rFonts w:hint="eastAsia" w:ascii="华文中宋" w:hAnsi="华文中宋" w:eastAsia="华文中宋" w:cs="华文中宋"/>
          <w:color w:val="auto"/>
          <w:spacing w:val="0"/>
          <w:sz w:val="28"/>
          <w:szCs w:val="28"/>
          <w:u w:val="single"/>
        </w:rPr>
        <w:t>名称  ：</w:t>
      </w:r>
    </w:p>
    <w:p w14:paraId="3A6402A8">
      <w:pPr>
        <w:widowControl/>
        <w:snapToGrid w:val="0"/>
        <w:spacing w:line="360" w:lineRule="auto"/>
        <w:ind w:firstLine="480"/>
        <w:outlineLvl w:val="9"/>
        <w:rPr>
          <w:rFonts w:hint="eastAsia" w:ascii="华文中宋" w:hAnsi="华文中宋" w:eastAsia="华文中宋" w:cs="华文中宋"/>
          <w:color w:val="auto"/>
          <w:spacing w:val="0"/>
          <w:sz w:val="28"/>
          <w:szCs w:val="28"/>
        </w:rPr>
      </w:pPr>
    </w:p>
    <w:p w14:paraId="554A0A04">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本供应商现参与贵公司组织的</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项目（项目编号：</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kern w:val="0"/>
          <w:sz w:val="28"/>
          <w:szCs w:val="28"/>
          <w:u w:val="single"/>
        </w:rPr>
        <w:t xml:space="preserve"> </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）的采购活动。依据采购文件（招标、谈判、磋商）相关规定，现郑重承诺：我方具有良好的商业信誉和健全的财务会计制度。</w:t>
      </w:r>
    </w:p>
    <w:p w14:paraId="38C70DF0">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以上承诺信息如有虚假或隐瞒，我方愿意承担一切后果，并不再寻求任何旨在减轻或免除法律责任的辩解。 </w:t>
      </w:r>
    </w:p>
    <w:p w14:paraId="6CCE78CD">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特此承诺。</w:t>
      </w:r>
    </w:p>
    <w:p w14:paraId="4C75748C">
      <w:pPr>
        <w:widowControl/>
        <w:snapToGrid w:val="0"/>
        <w:spacing w:line="360" w:lineRule="auto"/>
        <w:ind w:firstLine="480"/>
        <w:outlineLvl w:val="9"/>
        <w:rPr>
          <w:rFonts w:hint="eastAsia" w:ascii="华文中宋" w:hAnsi="华文中宋" w:eastAsia="华文中宋" w:cs="华文中宋"/>
          <w:color w:val="auto"/>
          <w:spacing w:val="0"/>
          <w:sz w:val="24"/>
          <w:szCs w:val="24"/>
        </w:rPr>
      </w:pPr>
    </w:p>
    <w:p w14:paraId="5A459F06">
      <w:pPr>
        <w:snapToGrid w:val="0"/>
        <w:spacing w:line="480" w:lineRule="exact"/>
        <w:outlineLvl w:val="9"/>
        <w:rPr>
          <w:rFonts w:hint="eastAsia" w:ascii="华文中宋" w:hAnsi="华文中宋" w:eastAsia="华文中宋" w:cs="华文中宋"/>
          <w:color w:val="auto"/>
          <w:spacing w:val="0"/>
          <w:sz w:val="24"/>
          <w:szCs w:val="24"/>
        </w:rPr>
      </w:pPr>
    </w:p>
    <w:p w14:paraId="42A2C9BC">
      <w:pPr>
        <w:snapToGrid w:val="0"/>
        <w:spacing w:line="480" w:lineRule="exact"/>
        <w:outlineLvl w:val="9"/>
        <w:rPr>
          <w:rFonts w:hint="eastAsia" w:ascii="华文中宋" w:hAnsi="华文中宋" w:eastAsia="华文中宋" w:cs="华文中宋"/>
          <w:color w:val="auto"/>
          <w:sz w:val="28"/>
          <w:szCs w:val="28"/>
        </w:rPr>
      </w:pPr>
    </w:p>
    <w:p w14:paraId="51B48FAA">
      <w:pPr>
        <w:snapToGrid w:val="0"/>
        <w:spacing w:line="480" w:lineRule="exact"/>
        <w:ind w:firstLine="3640" w:firstLineChars="1300"/>
        <w:outlineLvl w:val="9"/>
        <w:rPr>
          <w:rFonts w:hint="eastAsia" w:ascii="华文中宋" w:hAnsi="华文中宋" w:eastAsia="华文中宋" w:cs="华文中宋"/>
          <w:color w:val="auto"/>
          <w:sz w:val="28"/>
          <w:szCs w:val="28"/>
        </w:rPr>
      </w:pPr>
    </w:p>
    <w:p w14:paraId="1DB66BB4">
      <w:pPr>
        <w:snapToGrid w:val="0"/>
        <w:spacing w:line="480" w:lineRule="exact"/>
        <w:ind w:firstLine="3640" w:firstLineChars="13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磋商供应商名称：</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4616F07C">
      <w:pPr>
        <w:spacing w:line="480" w:lineRule="exact"/>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w:t>
      </w:r>
      <w:r>
        <w:rPr>
          <w:rFonts w:hint="eastAsia" w:ascii="华文中宋" w:hAnsi="华文中宋" w:eastAsia="华文中宋" w:cs="华文中宋"/>
          <w:color w:val="auto"/>
          <w:sz w:val="28"/>
          <w:szCs w:val="28"/>
          <w:lang w:val="en-US" w:eastAsia="zh-CN"/>
        </w:rPr>
        <w:t xml:space="preserve"> </w:t>
      </w:r>
      <w:r>
        <w:rPr>
          <w:rFonts w:hint="eastAsia" w:ascii="华文中宋" w:hAnsi="华文中宋" w:eastAsia="华文中宋" w:cs="华文中宋"/>
          <w:color w:val="auto"/>
          <w:sz w:val="28"/>
          <w:szCs w:val="28"/>
        </w:rPr>
        <w:t>日      期：</w:t>
      </w:r>
    </w:p>
    <w:p w14:paraId="2D6180B6">
      <w:pPr>
        <w:spacing w:line="360" w:lineRule="auto"/>
        <w:ind w:firstLine="560" w:firstLineChars="200"/>
        <w:outlineLvl w:val="9"/>
        <w:rPr>
          <w:rFonts w:hint="eastAsia" w:ascii="华文中宋" w:hAnsi="华文中宋" w:eastAsia="华文中宋" w:cs="华文中宋"/>
          <w:color w:val="auto"/>
          <w:sz w:val="28"/>
          <w:szCs w:val="28"/>
        </w:rPr>
      </w:pPr>
    </w:p>
    <w:p w14:paraId="2143F49E">
      <w:pPr>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bCs/>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五</w:t>
      </w:r>
      <w:r>
        <w:rPr>
          <w:rFonts w:hint="eastAsia" w:ascii="华文中宋" w:hAnsi="华文中宋" w:eastAsia="华文中宋" w:cs="华文中宋"/>
          <w:b/>
          <w:color w:val="auto"/>
          <w:sz w:val="28"/>
          <w:szCs w:val="28"/>
        </w:rPr>
        <w:t>）具有履行合同所必需的设备和专业技术能力</w:t>
      </w:r>
      <w:r>
        <w:rPr>
          <w:rFonts w:hint="eastAsia" w:ascii="华文中宋" w:hAnsi="华文中宋" w:eastAsia="华文中宋" w:cs="华文中宋"/>
          <w:b/>
          <w:color w:val="auto"/>
          <w:sz w:val="28"/>
          <w:szCs w:val="28"/>
          <w:lang w:val="en-US" w:eastAsia="zh-CN"/>
        </w:rPr>
        <w:t>的承诺函</w:t>
      </w:r>
    </w:p>
    <w:p w14:paraId="05957122">
      <w:pPr>
        <w:spacing w:line="360" w:lineRule="auto"/>
        <w:outlineLvl w:val="9"/>
        <w:rPr>
          <w:rFonts w:hint="eastAsia" w:ascii="华文中宋" w:hAnsi="华文中宋" w:eastAsia="华文中宋" w:cs="华文中宋"/>
          <w:color w:val="auto"/>
          <w:sz w:val="28"/>
          <w:szCs w:val="28"/>
          <w:u w:val="single"/>
        </w:rPr>
      </w:pPr>
    </w:p>
    <w:p w14:paraId="323F22DE">
      <w:pPr>
        <w:outlineLvl w:val="9"/>
        <w:rPr>
          <w:rFonts w:hint="eastAsia" w:ascii="华文中宋" w:hAnsi="华文中宋" w:eastAsia="华文中宋" w:cs="华文中宋"/>
          <w:color w:val="auto"/>
          <w:spacing w:val="0"/>
          <w:sz w:val="28"/>
          <w:szCs w:val="28"/>
          <w:u w:val="single"/>
        </w:rPr>
      </w:pPr>
      <w:r>
        <w:rPr>
          <w:rFonts w:hint="eastAsia" w:ascii="华文中宋" w:hAnsi="华文中宋" w:eastAsia="华文中宋" w:cs="华文中宋"/>
          <w:color w:val="auto"/>
          <w:spacing w:val="0"/>
          <w:sz w:val="28"/>
          <w:szCs w:val="28"/>
          <w:u w:val="single"/>
        </w:rPr>
        <w:t xml:space="preserve">  采购</w:t>
      </w:r>
      <w:r>
        <w:rPr>
          <w:rFonts w:hint="eastAsia" w:ascii="华文中宋" w:hAnsi="华文中宋" w:eastAsia="华文中宋" w:cs="华文中宋"/>
          <w:color w:val="auto"/>
          <w:spacing w:val="0"/>
          <w:sz w:val="28"/>
          <w:szCs w:val="28"/>
          <w:u w:val="single"/>
          <w:lang w:val="en-US" w:eastAsia="zh-CN"/>
        </w:rPr>
        <w:t>人</w:t>
      </w:r>
      <w:r>
        <w:rPr>
          <w:rFonts w:hint="eastAsia" w:ascii="华文中宋" w:hAnsi="华文中宋" w:eastAsia="华文中宋" w:cs="华文中宋"/>
          <w:color w:val="auto"/>
          <w:spacing w:val="0"/>
          <w:sz w:val="28"/>
          <w:szCs w:val="28"/>
          <w:u w:val="single"/>
        </w:rPr>
        <w:t>名称  ：</w:t>
      </w:r>
    </w:p>
    <w:p w14:paraId="1C1B8882">
      <w:pPr>
        <w:snapToGrid w:val="0"/>
        <w:spacing w:line="360" w:lineRule="auto"/>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   </w:t>
      </w:r>
    </w:p>
    <w:p w14:paraId="3D322BB3">
      <w:pPr>
        <w:snapToGrid w:val="0"/>
        <w:spacing w:line="360" w:lineRule="auto"/>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 </w:t>
      </w:r>
      <w:r>
        <w:rPr>
          <w:rFonts w:hint="eastAsia" w:ascii="华文中宋" w:hAnsi="华文中宋" w:eastAsia="华文中宋" w:cs="华文中宋"/>
          <w:color w:val="auto"/>
          <w:spacing w:val="0"/>
          <w:sz w:val="28"/>
          <w:szCs w:val="28"/>
          <w:lang w:val="en-US" w:eastAsia="zh-CN"/>
        </w:rPr>
        <w:t xml:space="preserve">   </w:t>
      </w:r>
      <w:r>
        <w:rPr>
          <w:rFonts w:hint="eastAsia" w:ascii="华文中宋" w:hAnsi="华文中宋" w:eastAsia="华文中宋" w:cs="华文中宋"/>
          <w:color w:val="auto"/>
          <w:spacing w:val="0"/>
          <w:sz w:val="28"/>
          <w:szCs w:val="28"/>
        </w:rPr>
        <w:t xml:space="preserve"> 本磋商供应商现参与</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项目（项目编号：</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）的采购活动，依据采购文件（招标、谈判、磋商）相关规定，现郑重承诺：</w:t>
      </w:r>
      <w:r>
        <w:rPr>
          <w:rFonts w:hint="eastAsia" w:ascii="华文中宋" w:hAnsi="华文中宋" w:eastAsia="华文中宋" w:cs="华文中宋"/>
          <w:color w:val="auto"/>
          <w:spacing w:val="0"/>
          <w:sz w:val="28"/>
          <w:szCs w:val="28"/>
          <w:lang w:val="en-US" w:eastAsia="zh-CN"/>
        </w:rPr>
        <w:t>我方</w:t>
      </w:r>
      <w:r>
        <w:rPr>
          <w:rFonts w:hint="eastAsia" w:ascii="华文中宋" w:hAnsi="华文中宋" w:eastAsia="华文中宋" w:cs="华文中宋"/>
          <w:color w:val="auto"/>
          <w:spacing w:val="0"/>
          <w:sz w:val="28"/>
          <w:szCs w:val="28"/>
        </w:rPr>
        <w:t>具</w:t>
      </w:r>
      <w:r>
        <w:rPr>
          <w:rFonts w:hint="eastAsia" w:ascii="华文中宋" w:hAnsi="华文中宋" w:eastAsia="华文中宋" w:cs="华文中宋"/>
          <w:color w:val="auto"/>
          <w:spacing w:val="0"/>
          <w:sz w:val="28"/>
          <w:szCs w:val="28"/>
          <w:lang w:val="en-US" w:eastAsia="zh-CN"/>
        </w:rPr>
        <w:t>有</w:t>
      </w:r>
      <w:r>
        <w:rPr>
          <w:rFonts w:hint="eastAsia" w:ascii="华文中宋" w:hAnsi="华文中宋" w:eastAsia="华文中宋" w:cs="华文中宋"/>
          <w:color w:val="auto"/>
          <w:spacing w:val="0"/>
          <w:sz w:val="28"/>
          <w:szCs w:val="28"/>
        </w:rPr>
        <w:t>履行合同所必需的</w:t>
      </w:r>
      <w:r>
        <w:rPr>
          <w:rFonts w:hint="eastAsia" w:ascii="华文中宋" w:hAnsi="华文中宋" w:eastAsia="华文中宋" w:cs="华文中宋"/>
          <w:color w:val="auto"/>
          <w:spacing w:val="0"/>
          <w:sz w:val="28"/>
          <w:szCs w:val="28"/>
          <w:lang w:val="en-US" w:eastAsia="zh-CN"/>
        </w:rPr>
        <w:t>设备和</w:t>
      </w:r>
      <w:r>
        <w:rPr>
          <w:rFonts w:hint="eastAsia" w:ascii="华文中宋" w:hAnsi="华文中宋" w:eastAsia="华文中宋" w:cs="华文中宋"/>
          <w:color w:val="auto"/>
          <w:spacing w:val="0"/>
          <w:sz w:val="28"/>
          <w:szCs w:val="28"/>
        </w:rPr>
        <w:t>专业技术能力。</w:t>
      </w:r>
    </w:p>
    <w:p w14:paraId="2A5E8B0A">
      <w:pPr>
        <w:widowControl/>
        <w:snapToGrid w:val="0"/>
        <w:spacing w:line="360" w:lineRule="auto"/>
        <w:ind w:firstLine="560" w:firstLineChars="20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以上承诺信息如有虚假或隐瞒，我方愿意承担一切后果，并不再寻求任何旨在减轻或免除法律责任的辩解。 </w:t>
      </w:r>
    </w:p>
    <w:p w14:paraId="24431BD3">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特此承诺。</w:t>
      </w:r>
    </w:p>
    <w:p w14:paraId="630EA2D6">
      <w:pPr>
        <w:snapToGrid w:val="0"/>
        <w:spacing w:line="360" w:lineRule="auto"/>
        <w:outlineLvl w:val="9"/>
        <w:rPr>
          <w:rFonts w:hint="eastAsia" w:ascii="华文中宋" w:hAnsi="华文中宋" w:eastAsia="华文中宋" w:cs="华文中宋"/>
          <w:color w:val="auto"/>
          <w:spacing w:val="0"/>
          <w:sz w:val="24"/>
          <w:szCs w:val="24"/>
        </w:rPr>
      </w:pPr>
    </w:p>
    <w:p w14:paraId="4DFA3CF7">
      <w:pPr>
        <w:snapToGrid w:val="0"/>
        <w:spacing w:line="360" w:lineRule="auto"/>
        <w:jc w:val="right"/>
        <w:outlineLvl w:val="9"/>
        <w:rPr>
          <w:rFonts w:hint="eastAsia" w:ascii="华文中宋" w:hAnsi="华文中宋" w:eastAsia="华文中宋" w:cs="华文中宋"/>
          <w:color w:val="auto"/>
          <w:sz w:val="28"/>
          <w:szCs w:val="28"/>
        </w:rPr>
      </w:pPr>
    </w:p>
    <w:p w14:paraId="37AFFFDE">
      <w:pPr>
        <w:snapToGrid w:val="0"/>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 xml:space="preserve">（电子签章）  </w:t>
      </w:r>
    </w:p>
    <w:p w14:paraId="2E0C1D0B">
      <w:pPr>
        <w:spacing w:line="360" w:lineRule="auto"/>
        <w:outlineLvl w:val="9"/>
        <w:rPr>
          <w:rFonts w:hint="eastAsia" w:ascii="华文中宋" w:hAnsi="华文中宋" w:eastAsia="华文中宋" w:cs="华文中宋"/>
          <w:b/>
          <w:color w:val="auto"/>
          <w:sz w:val="28"/>
          <w:szCs w:val="28"/>
          <w:lang w:val="en-US" w:eastAsia="zh-CN"/>
        </w:rPr>
      </w:pPr>
      <w:r>
        <w:rPr>
          <w:rFonts w:hint="eastAsia" w:ascii="华文中宋" w:hAnsi="华文中宋" w:eastAsia="华文中宋" w:cs="华文中宋"/>
          <w:color w:val="auto"/>
          <w:sz w:val="28"/>
          <w:szCs w:val="28"/>
        </w:rPr>
        <w:t xml:space="preserve">                                 </w:t>
      </w:r>
      <w:r>
        <w:rPr>
          <w:rFonts w:hint="eastAsia" w:ascii="华文中宋" w:hAnsi="华文中宋" w:eastAsia="华文中宋" w:cs="华文中宋"/>
          <w:color w:val="auto"/>
          <w:sz w:val="28"/>
          <w:szCs w:val="28"/>
          <w:lang w:val="en-US" w:eastAsia="zh-CN"/>
        </w:rPr>
        <w:t>日     期：</w:t>
      </w:r>
    </w:p>
    <w:p w14:paraId="3D51CF1B">
      <w:pPr>
        <w:spacing w:line="360" w:lineRule="auto"/>
        <w:ind w:firstLine="561" w:firstLineChars="200"/>
        <w:outlineLvl w:val="9"/>
        <w:rPr>
          <w:rFonts w:hint="default" w:ascii="华文中宋" w:hAnsi="华文中宋" w:eastAsia="华文中宋" w:cs="华文中宋"/>
          <w:b/>
          <w:bCs/>
          <w:color w:val="auto"/>
          <w:sz w:val="28"/>
          <w:szCs w:val="28"/>
          <w:lang w:val="en-US" w:eastAsia="zh-CN"/>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bCs/>
          <w:color w:val="auto"/>
          <w:sz w:val="28"/>
          <w:szCs w:val="28"/>
        </w:rPr>
        <w:t>（</w:t>
      </w:r>
      <w:r>
        <w:rPr>
          <w:rFonts w:hint="eastAsia" w:ascii="华文中宋" w:hAnsi="华文中宋" w:eastAsia="华文中宋" w:cs="华文中宋"/>
          <w:b/>
          <w:bCs/>
          <w:color w:val="auto"/>
          <w:sz w:val="28"/>
          <w:szCs w:val="28"/>
          <w:lang w:val="en-US" w:eastAsia="zh-CN"/>
        </w:rPr>
        <w:t>六</w:t>
      </w:r>
      <w:r>
        <w:rPr>
          <w:rFonts w:hint="eastAsia" w:ascii="华文中宋" w:hAnsi="华文中宋" w:eastAsia="华文中宋" w:cs="华文中宋"/>
          <w:b/>
          <w:bCs/>
          <w:color w:val="auto"/>
          <w:sz w:val="28"/>
          <w:szCs w:val="28"/>
        </w:rPr>
        <w:t>）有依法缴纳税收</w:t>
      </w:r>
      <w:r>
        <w:rPr>
          <w:rFonts w:hint="eastAsia" w:ascii="华文中宋" w:hAnsi="华文中宋" w:eastAsia="华文中宋" w:cs="华文中宋"/>
          <w:b/>
          <w:bCs/>
          <w:color w:val="auto"/>
          <w:sz w:val="28"/>
          <w:szCs w:val="28"/>
          <w:lang w:val="en-US" w:eastAsia="zh-CN"/>
        </w:rPr>
        <w:t>和社会保障资金</w:t>
      </w:r>
      <w:r>
        <w:rPr>
          <w:rFonts w:hint="eastAsia" w:ascii="华文中宋" w:hAnsi="华文中宋" w:eastAsia="华文中宋" w:cs="华文中宋"/>
          <w:b/>
          <w:bCs/>
          <w:color w:val="auto"/>
          <w:sz w:val="28"/>
          <w:szCs w:val="28"/>
        </w:rPr>
        <w:t>的良好记录</w:t>
      </w:r>
      <w:r>
        <w:rPr>
          <w:rFonts w:hint="eastAsia" w:ascii="华文中宋" w:hAnsi="华文中宋" w:eastAsia="华文中宋" w:cs="华文中宋"/>
          <w:b/>
          <w:bCs/>
          <w:color w:val="auto"/>
          <w:sz w:val="28"/>
          <w:szCs w:val="28"/>
          <w:lang w:val="en-US" w:eastAsia="zh-CN"/>
        </w:rPr>
        <w:t>的承诺函</w:t>
      </w:r>
    </w:p>
    <w:p w14:paraId="626A23DD">
      <w:pPr>
        <w:ind w:firstLine="480"/>
        <w:outlineLvl w:val="9"/>
        <w:rPr>
          <w:rFonts w:hint="eastAsia" w:ascii="华文中宋" w:hAnsi="华文中宋" w:eastAsia="华文中宋" w:cs="华文中宋"/>
          <w:color w:val="auto"/>
          <w:sz w:val="28"/>
          <w:szCs w:val="28"/>
          <w:u w:val="single"/>
        </w:rPr>
      </w:pPr>
    </w:p>
    <w:p w14:paraId="2E171AEC">
      <w:pPr>
        <w:ind w:firstLine="480"/>
        <w:outlineLvl w:val="9"/>
        <w:rPr>
          <w:rFonts w:hint="eastAsia" w:ascii="华文中宋" w:hAnsi="华文中宋" w:eastAsia="华文中宋" w:cs="华文中宋"/>
          <w:color w:val="auto"/>
          <w:spacing w:val="0"/>
          <w:sz w:val="24"/>
          <w:szCs w:val="24"/>
          <w:u w:val="single"/>
        </w:rPr>
      </w:pPr>
    </w:p>
    <w:p w14:paraId="55E0CD2C">
      <w:pPr>
        <w:outlineLvl w:val="9"/>
        <w:rPr>
          <w:rFonts w:hint="eastAsia" w:ascii="华文中宋" w:hAnsi="华文中宋" w:eastAsia="华文中宋" w:cs="华文中宋"/>
          <w:color w:val="auto"/>
          <w:spacing w:val="0"/>
          <w:sz w:val="28"/>
          <w:szCs w:val="28"/>
          <w:u w:val="single"/>
        </w:rPr>
      </w:pPr>
      <w:r>
        <w:rPr>
          <w:rFonts w:hint="eastAsia" w:ascii="华文中宋" w:hAnsi="华文中宋" w:eastAsia="华文中宋" w:cs="华文中宋"/>
          <w:color w:val="auto"/>
          <w:spacing w:val="0"/>
          <w:sz w:val="28"/>
          <w:szCs w:val="28"/>
          <w:u w:val="single"/>
        </w:rPr>
        <w:t xml:space="preserve"> 采购</w:t>
      </w:r>
      <w:r>
        <w:rPr>
          <w:rFonts w:hint="eastAsia" w:ascii="华文中宋" w:hAnsi="华文中宋" w:eastAsia="华文中宋" w:cs="华文中宋"/>
          <w:color w:val="auto"/>
          <w:spacing w:val="0"/>
          <w:sz w:val="28"/>
          <w:szCs w:val="28"/>
          <w:u w:val="single"/>
          <w:lang w:val="en-US" w:eastAsia="zh-CN"/>
        </w:rPr>
        <w:t>人</w:t>
      </w:r>
      <w:r>
        <w:rPr>
          <w:rFonts w:hint="eastAsia" w:ascii="华文中宋" w:hAnsi="华文中宋" w:eastAsia="华文中宋" w:cs="华文中宋"/>
          <w:color w:val="auto"/>
          <w:spacing w:val="0"/>
          <w:sz w:val="28"/>
          <w:szCs w:val="28"/>
          <w:u w:val="single"/>
        </w:rPr>
        <w:t>名称 ：</w:t>
      </w:r>
    </w:p>
    <w:p w14:paraId="43C4A332">
      <w:pPr>
        <w:widowControl/>
        <w:snapToGrid w:val="0"/>
        <w:spacing w:line="360" w:lineRule="auto"/>
        <w:ind w:firstLine="480"/>
        <w:outlineLvl w:val="9"/>
        <w:rPr>
          <w:rFonts w:hint="eastAsia" w:ascii="华文中宋" w:hAnsi="华文中宋" w:eastAsia="华文中宋" w:cs="华文中宋"/>
          <w:color w:val="auto"/>
          <w:spacing w:val="0"/>
          <w:sz w:val="28"/>
          <w:szCs w:val="28"/>
        </w:rPr>
      </w:pPr>
    </w:p>
    <w:p w14:paraId="53AFD313">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本供应商现参与贵公司组织的</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项目（项目编号：</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）的采购活动。依据采购文件（招标、谈判、磋商）相关规定，现郑重承诺：我方具有依法缴纳税收</w:t>
      </w:r>
      <w:r>
        <w:rPr>
          <w:rFonts w:hint="eastAsia" w:ascii="华文中宋" w:hAnsi="华文中宋" w:eastAsia="华文中宋" w:cs="华文中宋"/>
          <w:color w:val="auto"/>
          <w:spacing w:val="0"/>
          <w:sz w:val="28"/>
          <w:szCs w:val="28"/>
          <w:lang w:val="en-US" w:eastAsia="zh-CN"/>
        </w:rPr>
        <w:t>和社会保障资金</w:t>
      </w:r>
      <w:r>
        <w:rPr>
          <w:rFonts w:hint="eastAsia" w:ascii="华文中宋" w:hAnsi="华文中宋" w:eastAsia="华文中宋" w:cs="华文中宋"/>
          <w:color w:val="auto"/>
          <w:spacing w:val="0"/>
          <w:sz w:val="28"/>
          <w:szCs w:val="28"/>
        </w:rPr>
        <w:t>的良好记录。</w:t>
      </w:r>
    </w:p>
    <w:p w14:paraId="04943FF8">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以上承诺信息如有虚假或隐瞒，我方愿意承担一切后果，并不再寻求任何旨在减轻或免除法律责任的辩解。 </w:t>
      </w:r>
    </w:p>
    <w:p w14:paraId="2942C239">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特此承诺。</w:t>
      </w:r>
    </w:p>
    <w:p w14:paraId="29DDC65F">
      <w:pPr>
        <w:outlineLvl w:val="9"/>
        <w:rPr>
          <w:rFonts w:hint="eastAsia" w:ascii="华文中宋" w:hAnsi="华文中宋" w:eastAsia="华文中宋" w:cs="华文中宋"/>
          <w:color w:val="auto"/>
          <w:sz w:val="28"/>
          <w:szCs w:val="28"/>
        </w:rPr>
      </w:pPr>
    </w:p>
    <w:p w14:paraId="648D71CE">
      <w:pPr>
        <w:pStyle w:val="13"/>
        <w:rPr>
          <w:rFonts w:hint="eastAsia"/>
          <w:color w:val="auto"/>
        </w:rPr>
      </w:pPr>
    </w:p>
    <w:p w14:paraId="2339DA57">
      <w:pPr>
        <w:snapToGrid w:val="0"/>
        <w:spacing w:line="480" w:lineRule="exact"/>
        <w:ind w:firstLine="3640" w:firstLineChars="13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磋商供应商名称：</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13BAA69C">
      <w:pPr>
        <w:spacing w:line="480" w:lineRule="exact"/>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日      期：</w:t>
      </w:r>
    </w:p>
    <w:p w14:paraId="0FC477EB">
      <w:pPr>
        <w:ind w:firstLine="561" w:firstLineChars="200"/>
        <w:outlineLvl w:val="9"/>
        <w:rPr>
          <w:rFonts w:hint="eastAsia" w:ascii="华文中宋" w:hAnsi="华文中宋" w:eastAsia="华文中宋" w:cs="华文中宋"/>
          <w:b/>
          <w:color w:val="auto"/>
          <w:spacing w:val="20"/>
          <w:sz w:val="28"/>
          <w:szCs w:val="28"/>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七</w:t>
      </w:r>
      <w:r>
        <w:rPr>
          <w:rFonts w:hint="eastAsia" w:ascii="华文中宋" w:hAnsi="华文中宋" w:eastAsia="华文中宋" w:cs="华文中宋"/>
          <w:b/>
          <w:color w:val="auto"/>
          <w:sz w:val="28"/>
          <w:szCs w:val="28"/>
        </w:rPr>
        <w:t>）参加政府采购活动前三年，在经营活动中没有重大违法记录格式</w:t>
      </w:r>
    </w:p>
    <w:p w14:paraId="5C2E8D36">
      <w:pPr>
        <w:spacing w:line="360" w:lineRule="auto"/>
        <w:jc w:val="center"/>
        <w:outlineLvl w:val="9"/>
        <w:rPr>
          <w:rFonts w:hint="eastAsia" w:ascii="华文中宋" w:hAnsi="华文中宋" w:eastAsia="华文中宋" w:cs="华文中宋"/>
          <w:b/>
          <w:color w:val="auto"/>
          <w:spacing w:val="20"/>
          <w:sz w:val="28"/>
          <w:szCs w:val="28"/>
        </w:rPr>
      </w:pPr>
    </w:p>
    <w:p w14:paraId="589685AF">
      <w:pPr>
        <w:spacing w:line="360" w:lineRule="auto"/>
        <w:jc w:val="center"/>
        <w:rPr>
          <w:rFonts w:hint="eastAsia" w:ascii="华文中宋" w:hAnsi="华文中宋" w:eastAsia="华文中宋" w:cs="华文中宋"/>
          <w:color w:val="auto"/>
          <w:kern w:val="0"/>
          <w:sz w:val="28"/>
          <w:szCs w:val="28"/>
        </w:rPr>
      </w:pPr>
      <w:r>
        <w:rPr>
          <w:rFonts w:hint="eastAsia" w:ascii="华文中宋" w:hAnsi="华文中宋" w:eastAsia="华文中宋" w:cs="华文中宋"/>
          <w:b/>
          <w:color w:val="auto"/>
          <w:sz w:val="28"/>
          <w:szCs w:val="28"/>
        </w:rPr>
        <w:t>参加政府采购活动前三年，在经营活动中没有重大违法记录</w:t>
      </w:r>
      <w:r>
        <w:rPr>
          <w:rFonts w:hint="eastAsia" w:ascii="华文中宋" w:hAnsi="华文中宋" w:eastAsia="华文中宋" w:cs="华文中宋"/>
          <w:b/>
          <w:color w:val="auto"/>
          <w:sz w:val="28"/>
          <w:szCs w:val="28"/>
          <w:lang w:val="en-US" w:eastAsia="zh-CN"/>
        </w:rPr>
        <w:t>的承诺函</w:t>
      </w:r>
    </w:p>
    <w:p w14:paraId="7F487673">
      <w:pPr>
        <w:pStyle w:val="26"/>
        <w:widowControl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sz w:val="28"/>
          <w:szCs w:val="28"/>
        </w:rPr>
      </w:pPr>
    </w:p>
    <w:p w14:paraId="3D3145DC">
      <w:pPr>
        <w:pStyle w:val="26"/>
        <w:widowControl w:val="0"/>
        <w:adjustRightInd w:val="0"/>
        <w:snapToGrid w:val="0"/>
        <w:spacing w:before="0" w:beforeAutospacing="0" w:after="0" w:afterAutospacing="0" w:line="360" w:lineRule="auto"/>
        <w:ind w:firstLine="560" w:firstLineChars="200"/>
        <w:jc w:val="both"/>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本磋商供应商现参与项目</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（项目编号：</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14:paraId="0519F2C4">
      <w:pPr>
        <w:pStyle w:val="26"/>
        <w:widowControl w:val="0"/>
        <w:adjustRightInd w:val="0"/>
        <w:snapToGrid w:val="0"/>
        <w:spacing w:before="0" w:beforeAutospacing="0" w:after="0" w:afterAutospacing="0" w:line="360" w:lineRule="auto"/>
        <w:ind w:firstLine="560" w:firstLineChars="200"/>
        <w:jc w:val="both"/>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如上述声明不真实，愿意按照政府采购有关法律法规的规定接受处罚。</w:t>
      </w:r>
    </w:p>
    <w:p w14:paraId="5F478591">
      <w:pPr>
        <w:pStyle w:val="26"/>
        <w:widowControl w:val="0"/>
        <w:adjustRightInd w:val="0"/>
        <w:snapToGrid w:val="0"/>
        <w:spacing w:before="0" w:beforeAutospacing="0" w:after="0" w:afterAutospacing="0" w:line="360" w:lineRule="auto"/>
        <w:ind w:firstLine="560" w:firstLineChars="200"/>
        <w:jc w:val="both"/>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特此声明</w:t>
      </w:r>
    </w:p>
    <w:p w14:paraId="4D20A0F3">
      <w:pPr>
        <w:spacing w:line="360" w:lineRule="auto"/>
        <w:ind w:left="378" w:hanging="420" w:hangingChars="150"/>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磋商供应商：（</w:t>
      </w:r>
      <w:r>
        <w:rPr>
          <w:rFonts w:hint="eastAsia" w:ascii="华文中宋" w:hAnsi="华文中宋" w:eastAsia="华文中宋" w:cs="华文中宋"/>
          <w:color w:val="auto"/>
          <w:spacing w:val="20"/>
          <w:sz w:val="28"/>
          <w:szCs w:val="28"/>
        </w:rPr>
        <w:t>电子签章</w:t>
      </w:r>
      <w:r>
        <w:rPr>
          <w:rFonts w:hint="eastAsia" w:ascii="华文中宋" w:hAnsi="华文中宋" w:eastAsia="华文中宋" w:cs="华文中宋"/>
          <w:color w:val="auto"/>
          <w:sz w:val="28"/>
          <w:szCs w:val="28"/>
        </w:rPr>
        <w:t xml:space="preserve">）                                           </w:t>
      </w:r>
    </w:p>
    <w:p w14:paraId="67385370">
      <w:pPr>
        <w:spacing w:line="360" w:lineRule="auto"/>
        <w:ind w:left="378" w:hanging="420" w:hangingChars="150"/>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年  月  日</w:t>
      </w:r>
    </w:p>
    <w:p w14:paraId="594B758C">
      <w:pPr>
        <w:spacing w:line="360" w:lineRule="auto"/>
        <w:ind w:firstLine="561" w:firstLineChars="200"/>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八</w:t>
      </w:r>
      <w:r>
        <w:rPr>
          <w:rFonts w:hint="eastAsia" w:ascii="华文中宋" w:hAnsi="华文中宋" w:eastAsia="华文中宋" w:cs="华文中宋"/>
          <w:b/>
          <w:color w:val="auto"/>
          <w:sz w:val="28"/>
          <w:szCs w:val="28"/>
        </w:rPr>
        <w:t>）本项目其他特定资格条件</w:t>
      </w:r>
    </w:p>
    <w:p w14:paraId="1D5BE370">
      <w:pPr>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8"/>
          <w:szCs w:val="28"/>
        </w:rPr>
        <w:t>按照本文件第二部分中序号14“资格证明文件”中第</w:t>
      </w:r>
      <w:r>
        <w:rPr>
          <w:rFonts w:hint="eastAsia" w:ascii="华文中宋" w:hAnsi="华文中宋" w:eastAsia="华文中宋" w:cs="华文中宋"/>
          <w:color w:val="auto"/>
          <w:sz w:val="28"/>
          <w:szCs w:val="28"/>
          <w:lang w:val="en-US" w:eastAsia="zh-CN"/>
        </w:rPr>
        <w:t>8</w:t>
      </w:r>
      <w:r>
        <w:rPr>
          <w:rFonts w:hint="eastAsia" w:ascii="华文中宋" w:hAnsi="华文中宋" w:eastAsia="华文中宋" w:cs="华文中宋"/>
          <w:color w:val="auto"/>
          <w:sz w:val="28"/>
          <w:szCs w:val="28"/>
        </w:rPr>
        <w:t>条的规定提交相关证明文件扫描件；</w:t>
      </w:r>
    </w:p>
    <w:p w14:paraId="363C4193">
      <w:pPr>
        <w:spacing w:line="360" w:lineRule="auto"/>
        <w:ind w:firstLine="480" w:firstLineChars="200"/>
        <w:outlineLvl w:val="9"/>
        <w:rPr>
          <w:rFonts w:hint="eastAsia" w:ascii="华文中宋" w:hAnsi="华文中宋" w:eastAsia="华文中宋" w:cs="华文中宋"/>
          <w:b/>
          <w:color w:val="auto"/>
          <w:sz w:val="24"/>
          <w:szCs w:val="24"/>
        </w:rPr>
      </w:pPr>
    </w:p>
    <w:p w14:paraId="140F83F6">
      <w:pPr>
        <w:spacing w:line="360" w:lineRule="auto"/>
        <w:ind w:firstLine="480" w:firstLineChars="200"/>
        <w:outlineLvl w:val="9"/>
        <w:rPr>
          <w:rFonts w:hint="eastAsia" w:ascii="华文中宋" w:hAnsi="华文中宋" w:eastAsia="华文中宋" w:cs="华文中宋"/>
          <w:b/>
          <w:color w:val="auto"/>
          <w:sz w:val="24"/>
          <w:szCs w:val="24"/>
        </w:rPr>
      </w:pPr>
    </w:p>
    <w:p w14:paraId="5DA3A840">
      <w:pPr>
        <w:spacing w:line="360" w:lineRule="auto"/>
        <w:ind w:firstLine="480" w:firstLineChars="200"/>
        <w:outlineLvl w:val="9"/>
        <w:rPr>
          <w:rFonts w:hint="eastAsia" w:ascii="华文中宋" w:hAnsi="华文中宋" w:eastAsia="华文中宋" w:cs="华文中宋"/>
          <w:b/>
          <w:color w:val="auto"/>
          <w:sz w:val="24"/>
          <w:szCs w:val="24"/>
        </w:rPr>
      </w:pPr>
    </w:p>
    <w:p w14:paraId="6BAD71C4">
      <w:pPr>
        <w:spacing w:line="360" w:lineRule="auto"/>
        <w:ind w:firstLine="480" w:firstLineChars="200"/>
        <w:outlineLvl w:val="9"/>
        <w:rPr>
          <w:rFonts w:hint="eastAsia" w:ascii="华文中宋" w:hAnsi="华文中宋" w:eastAsia="华文中宋" w:cs="华文中宋"/>
          <w:b/>
          <w:color w:val="auto"/>
          <w:sz w:val="24"/>
          <w:szCs w:val="24"/>
        </w:rPr>
      </w:pPr>
    </w:p>
    <w:p w14:paraId="49E8ABCF">
      <w:pPr>
        <w:spacing w:line="360" w:lineRule="auto"/>
        <w:ind w:firstLine="480" w:firstLineChars="200"/>
        <w:outlineLvl w:val="9"/>
        <w:rPr>
          <w:rFonts w:hint="eastAsia" w:ascii="华文中宋" w:hAnsi="华文中宋" w:eastAsia="华文中宋" w:cs="华文中宋"/>
          <w:b/>
          <w:color w:val="auto"/>
          <w:sz w:val="24"/>
          <w:szCs w:val="24"/>
        </w:rPr>
      </w:pPr>
    </w:p>
    <w:p w14:paraId="59D01A25">
      <w:pPr>
        <w:spacing w:line="360" w:lineRule="auto"/>
        <w:ind w:firstLine="480" w:firstLineChars="200"/>
        <w:outlineLvl w:val="9"/>
        <w:rPr>
          <w:rFonts w:hint="eastAsia" w:ascii="华文中宋" w:hAnsi="华文中宋" w:eastAsia="华文中宋" w:cs="华文中宋"/>
          <w:b/>
          <w:color w:val="auto"/>
          <w:sz w:val="24"/>
          <w:szCs w:val="24"/>
        </w:rPr>
      </w:pPr>
    </w:p>
    <w:p w14:paraId="100A3434">
      <w:pPr>
        <w:spacing w:line="360" w:lineRule="auto"/>
        <w:ind w:firstLine="480" w:firstLineChars="200"/>
        <w:outlineLvl w:val="9"/>
        <w:rPr>
          <w:rFonts w:hint="eastAsia" w:ascii="华文中宋" w:hAnsi="华文中宋" w:eastAsia="华文中宋" w:cs="华文中宋"/>
          <w:b/>
          <w:color w:val="auto"/>
          <w:sz w:val="24"/>
          <w:szCs w:val="24"/>
        </w:rPr>
      </w:pPr>
    </w:p>
    <w:p w14:paraId="11DA31D5">
      <w:pPr>
        <w:spacing w:line="360" w:lineRule="auto"/>
        <w:ind w:firstLine="480" w:firstLineChars="200"/>
        <w:outlineLvl w:val="9"/>
        <w:rPr>
          <w:rFonts w:hint="eastAsia" w:ascii="华文中宋" w:hAnsi="华文中宋" w:eastAsia="华文中宋" w:cs="华文中宋"/>
          <w:b/>
          <w:color w:val="auto"/>
          <w:sz w:val="24"/>
          <w:szCs w:val="24"/>
        </w:rPr>
      </w:pPr>
    </w:p>
    <w:p w14:paraId="2E9A078C">
      <w:pPr>
        <w:spacing w:line="360" w:lineRule="auto"/>
        <w:ind w:firstLine="480" w:firstLineChars="200"/>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4"/>
          <w:szCs w:val="24"/>
        </w:rPr>
        <w:t>（</w:t>
      </w:r>
      <w:r>
        <w:rPr>
          <w:rFonts w:hint="eastAsia" w:ascii="华文中宋" w:hAnsi="华文中宋" w:eastAsia="华文中宋" w:cs="华文中宋"/>
          <w:b/>
          <w:color w:val="auto"/>
          <w:sz w:val="28"/>
          <w:szCs w:val="28"/>
          <w:lang w:val="en-US" w:eastAsia="zh-CN"/>
        </w:rPr>
        <w:t>九</w:t>
      </w:r>
      <w:r>
        <w:rPr>
          <w:rFonts w:hint="eastAsia" w:ascii="华文中宋" w:hAnsi="华文中宋" w:eastAsia="华文中宋" w:cs="华文中宋"/>
          <w:b/>
          <w:color w:val="auto"/>
          <w:sz w:val="28"/>
          <w:szCs w:val="28"/>
        </w:rPr>
        <w:t>）磋商保证金的交纳情况及开户许可证</w:t>
      </w:r>
    </w:p>
    <w:p w14:paraId="6722D42C">
      <w:pPr>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提供响应保证金交纳证明</w:t>
      </w:r>
      <w:r>
        <w:rPr>
          <w:rFonts w:hint="eastAsia" w:ascii="华文中宋" w:hAnsi="华文中宋" w:eastAsia="华文中宋" w:cs="华文中宋"/>
          <w:color w:val="auto"/>
          <w:sz w:val="28"/>
          <w:szCs w:val="28"/>
          <w:lang w:val="en-US" w:eastAsia="zh-CN"/>
        </w:rPr>
        <w:t>扫描件</w:t>
      </w:r>
      <w:r>
        <w:rPr>
          <w:rFonts w:hint="eastAsia" w:ascii="华文中宋" w:hAnsi="华文中宋" w:eastAsia="华文中宋" w:cs="华文中宋"/>
          <w:color w:val="auto"/>
          <w:sz w:val="28"/>
          <w:szCs w:val="28"/>
        </w:rPr>
        <w:t>；</w:t>
      </w:r>
    </w:p>
    <w:p w14:paraId="2AA1808D">
      <w:pPr>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提供</w:t>
      </w:r>
      <w:r>
        <w:rPr>
          <w:rFonts w:hint="eastAsia" w:ascii="华文中宋" w:hAnsi="华文中宋" w:eastAsia="华文中宋" w:cs="华文中宋"/>
          <w:color w:val="auto"/>
          <w:sz w:val="28"/>
          <w:szCs w:val="28"/>
          <w:lang w:eastAsia="zh-CN"/>
        </w:rPr>
        <w:t>供应商</w:t>
      </w:r>
      <w:r>
        <w:rPr>
          <w:rFonts w:hint="eastAsia" w:ascii="华文中宋" w:hAnsi="华文中宋" w:eastAsia="华文中宋" w:cs="华文中宋"/>
          <w:color w:val="auto"/>
          <w:sz w:val="28"/>
          <w:szCs w:val="28"/>
        </w:rPr>
        <w:t>基本存款账户开户许可证</w:t>
      </w:r>
      <w:r>
        <w:rPr>
          <w:rFonts w:hint="eastAsia" w:ascii="华文中宋" w:hAnsi="华文中宋" w:eastAsia="华文中宋" w:cs="华文中宋"/>
          <w:color w:val="auto"/>
          <w:sz w:val="28"/>
          <w:szCs w:val="28"/>
          <w:lang w:val="en-US" w:eastAsia="zh-CN"/>
        </w:rPr>
        <w:t>或基本存款账户信息</w:t>
      </w:r>
      <w:r>
        <w:rPr>
          <w:rFonts w:hint="eastAsia" w:ascii="华文中宋" w:hAnsi="华文中宋" w:eastAsia="华文中宋" w:cs="华文中宋"/>
          <w:color w:val="auto"/>
          <w:sz w:val="28"/>
          <w:szCs w:val="28"/>
        </w:rPr>
        <w:t>扫描件。</w:t>
      </w:r>
    </w:p>
    <w:p w14:paraId="0FBA7B15">
      <w:pPr>
        <w:spacing w:line="360" w:lineRule="auto"/>
        <w:ind w:firstLine="561" w:firstLineChars="200"/>
        <w:jc w:val="left"/>
        <w:outlineLvl w:val="9"/>
        <w:rPr>
          <w:rFonts w:hint="eastAsia" w:ascii="华文中宋" w:hAnsi="华文中宋" w:eastAsia="华文中宋" w:cs="华文中宋"/>
          <w:b/>
          <w:color w:val="auto"/>
          <w:sz w:val="28"/>
          <w:szCs w:val="28"/>
        </w:rPr>
      </w:pPr>
    </w:p>
    <w:p w14:paraId="43575F2C">
      <w:pPr>
        <w:spacing w:line="600" w:lineRule="exact"/>
        <w:outlineLvl w:val="9"/>
        <w:rPr>
          <w:rFonts w:hint="eastAsia" w:ascii="华文中宋" w:hAnsi="华文中宋" w:eastAsia="华文中宋" w:cs="华文中宋"/>
          <w:color w:val="auto"/>
          <w:sz w:val="28"/>
          <w:szCs w:val="28"/>
        </w:rPr>
      </w:pPr>
    </w:p>
    <w:p w14:paraId="75BB93D8">
      <w:pPr>
        <w:widowControl/>
        <w:jc w:val="left"/>
        <w:outlineLvl w:val="9"/>
        <w:rPr>
          <w:rFonts w:hint="eastAsia" w:ascii="华文中宋" w:hAnsi="华文中宋" w:eastAsia="华文中宋" w:cs="华文中宋"/>
          <w:b/>
          <w:color w:val="auto"/>
          <w:szCs w:val="21"/>
        </w:rPr>
      </w:pPr>
    </w:p>
    <w:p w14:paraId="1EF5C73C">
      <w:pPr>
        <w:outlineLvl w:val="9"/>
        <w:rPr>
          <w:rFonts w:hint="eastAsia" w:ascii="华文中宋" w:hAnsi="华文中宋" w:eastAsia="华文中宋" w:cs="华文中宋"/>
          <w:b/>
          <w:color w:val="auto"/>
          <w:spacing w:val="20"/>
          <w:sz w:val="24"/>
        </w:rPr>
      </w:pPr>
      <w:bookmarkStart w:id="1195" w:name="_Toc10049_WPSOffice_Level1"/>
    </w:p>
    <w:p w14:paraId="05647D39">
      <w:pPr>
        <w:spacing w:line="360" w:lineRule="auto"/>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十</w:t>
      </w:r>
      <w:r>
        <w:rPr>
          <w:rFonts w:hint="eastAsia" w:ascii="华文中宋" w:hAnsi="华文中宋" w:eastAsia="华文中宋" w:cs="华文中宋"/>
          <w:b/>
          <w:color w:val="auto"/>
          <w:sz w:val="28"/>
          <w:szCs w:val="28"/>
        </w:rPr>
        <w:t>）政府采购政策的响应内容</w:t>
      </w:r>
    </w:p>
    <w:p w14:paraId="58C11212">
      <w:pPr>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中小企业声明函（工程）</w:t>
      </w:r>
    </w:p>
    <w:p w14:paraId="106D5D29">
      <w:pPr>
        <w:ind w:firstLine="42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本公司（联合体）郑重声明，根据《政府采购促进中小企业发展管理办法》 (财库（2020) 46号）的规定，本公司（联合体）参加</w:t>
      </w:r>
      <w:r>
        <w:rPr>
          <w:rFonts w:hint="eastAsia" w:ascii="华文中宋" w:hAnsi="华文中宋" w:eastAsia="华文中宋" w:cs="华文中宋"/>
          <w:color w:val="auto"/>
          <w:sz w:val="28"/>
          <w:szCs w:val="28"/>
          <w:u w:val="single"/>
        </w:rPr>
        <w:t>（单位名称）</w:t>
      </w:r>
      <w:r>
        <w:rPr>
          <w:rFonts w:hint="eastAsia" w:ascii="华文中宋" w:hAnsi="华文中宋" w:eastAsia="华文中宋" w:cs="华文中宋"/>
          <w:color w:val="auto"/>
          <w:sz w:val="28"/>
          <w:szCs w:val="28"/>
        </w:rPr>
        <w:t>的</w:t>
      </w:r>
      <w:r>
        <w:rPr>
          <w:rFonts w:hint="eastAsia" w:ascii="华文中宋" w:hAnsi="华文中宋" w:eastAsia="华文中宋" w:cs="华文中宋"/>
          <w:color w:val="auto"/>
          <w:sz w:val="28"/>
          <w:szCs w:val="28"/>
          <w:u w:val="single"/>
        </w:rPr>
        <w:t>（项目名称）</w:t>
      </w:r>
      <w:r>
        <w:rPr>
          <w:rFonts w:hint="eastAsia" w:ascii="华文中宋" w:hAnsi="华文中宋" w:eastAsia="华文中宋" w:cs="华文中宋"/>
          <w:color w:val="auto"/>
          <w:sz w:val="28"/>
          <w:szCs w:val="28"/>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华文中宋" w:hAnsi="华文中宋" w:eastAsia="华文中宋" w:cs="华文中宋"/>
          <w:color w:val="auto"/>
          <w:sz w:val="28"/>
          <w:szCs w:val="28"/>
        </w:rPr>
        <w:tab/>
      </w:r>
    </w:p>
    <w:p w14:paraId="4421B695">
      <w:pPr>
        <w:keepNext w:val="0"/>
        <w:keepLines w:val="0"/>
        <w:pageBreakBefore w:val="0"/>
        <w:widowControl w:val="0"/>
        <w:kinsoku/>
        <w:wordWrap w:val="0"/>
        <w:overflowPunct/>
        <w:topLinePunct/>
        <w:autoSpaceDE/>
        <w:autoSpaceDN/>
        <w:bidi w:val="0"/>
        <w:adjustRightInd/>
        <w:snapToGrid/>
        <w:ind w:firstLine="420"/>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1. </w:t>
      </w:r>
      <w:r>
        <w:rPr>
          <w:rFonts w:hint="eastAsia" w:ascii="华文中宋" w:hAnsi="华文中宋" w:eastAsia="华文中宋" w:cs="华文中宋"/>
          <w:color w:val="auto"/>
          <w:sz w:val="28"/>
          <w:szCs w:val="28"/>
          <w:u w:val="single"/>
        </w:rPr>
        <w:t>(标的名称）</w:t>
      </w:r>
      <w:r>
        <w:rPr>
          <w:rFonts w:hint="eastAsia" w:ascii="华文中宋" w:hAnsi="华文中宋" w:eastAsia="华文中宋" w:cs="华文中宋"/>
          <w:color w:val="auto"/>
          <w:sz w:val="28"/>
          <w:szCs w:val="28"/>
        </w:rPr>
        <w:t>，属于</w:t>
      </w:r>
      <w:r>
        <w:rPr>
          <w:rFonts w:hint="eastAsia" w:ascii="华文中宋" w:hAnsi="华文中宋" w:eastAsia="华文中宋" w:cs="华文中宋"/>
          <w:color w:val="auto"/>
          <w:sz w:val="28"/>
          <w:szCs w:val="28"/>
          <w:u w:val="single"/>
        </w:rPr>
        <w:t>（采购文件中明确的所属行业）</w:t>
      </w:r>
      <w:r>
        <w:rPr>
          <w:rFonts w:hint="eastAsia" w:ascii="华文中宋" w:hAnsi="华文中宋" w:eastAsia="华文中宋" w:cs="华文中宋"/>
          <w:color w:val="auto"/>
          <w:sz w:val="28"/>
          <w:szCs w:val="28"/>
        </w:rPr>
        <w:t>；承建（承接）企业为</w:t>
      </w:r>
      <w:r>
        <w:rPr>
          <w:rFonts w:hint="eastAsia" w:ascii="华文中宋" w:hAnsi="华文中宋" w:eastAsia="华文中宋" w:cs="华文中宋"/>
          <w:color w:val="auto"/>
          <w:sz w:val="28"/>
          <w:szCs w:val="28"/>
          <w:u w:val="single"/>
        </w:rPr>
        <w:t>（企业名称）</w:t>
      </w:r>
      <w:r>
        <w:rPr>
          <w:rFonts w:hint="eastAsia" w:ascii="华文中宋" w:hAnsi="华文中宋" w:eastAsia="华文中宋" w:cs="华文中宋"/>
          <w:color w:val="auto"/>
          <w:sz w:val="28"/>
          <w:szCs w:val="28"/>
        </w:rPr>
        <w:t>， 从业人员</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人，营业收入为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万元，资产总额为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万元，属于</w:t>
      </w:r>
      <w:r>
        <w:rPr>
          <w:rFonts w:hint="eastAsia" w:ascii="华文中宋" w:hAnsi="华文中宋" w:eastAsia="华文中宋" w:cs="华文中宋"/>
          <w:color w:val="auto"/>
          <w:sz w:val="28"/>
          <w:szCs w:val="28"/>
          <w:u w:val="single"/>
        </w:rPr>
        <w:t>（中型企业、小型企业、微型企业）</w:t>
      </w:r>
      <w:r>
        <w:rPr>
          <w:rFonts w:hint="eastAsia" w:ascii="华文中宋" w:hAnsi="华文中宋" w:eastAsia="华文中宋" w:cs="华文中宋"/>
          <w:color w:val="auto"/>
          <w:sz w:val="28"/>
          <w:szCs w:val="28"/>
        </w:rPr>
        <w:t>；</w:t>
      </w:r>
    </w:p>
    <w:p w14:paraId="2C32470B">
      <w:pPr>
        <w:keepNext w:val="0"/>
        <w:keepLines w:val="0"/>
        <w:pageBreakBefore w:val="0"/>
        <w:widowControl w:val="0"/>
        <w:kinsoku/>
        <w:wordWrap w:val="0"/>
        <w:overflowPunct/>
        <w:topLinePunct/>
        <w:autoSpaceDE/>
        <w:autoSpaceDN/>
        <w:bidi w:val="0"/>
        <w:adjustRightInd/>
        <w:snapToGrid/>
        <w:ind w:firstLine="420"/>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2. </w:t>
      </w:r>
      <w:r>
        <w:rPr>
          <w:rFonts w:hint="eastAsia" w:ascii="华文中宋" w:hAnsi="华文中宋" w:eastAsia="华文中宋" w:cs="华文中宋"/>
          <w:color w:val="auto"/>
          <w:sz w:val="28"/>
          <w:szCs w:val="28"/>
          <w:u w:val="single"/>
        </w:rPr>
        <w:t>(标的名称）</w:t>
      </w:r>
      <w:r>
        <w:rPr>
          <w:rFonts w:hint="eastAsia" w:ascii="华文中宋" w:hAnsi="华文中宋" w:eastAsia="华文中宋" w:cs="华文中宋"/>
          <w:color w:val="auto"/>
          <w:sz w:val="28"/>
          <w:szCs w:val="28"/>
        </w:rPr>
        <w:t>，属于</w:t>
      </w:r>
      <w:r>
        <w:rPr>
          <w:rFonts w:hint="eastAsia" w:ascii="华文中宋" w:hAnsi="华文中宋" w:eastAsia="华文中宋" w:cs="华文中宋"/>
          <w:color w:val="auto"/>
          <w:sz w:val="28"/>
          <w:szCs w:val="28"/>
          <w:u w:val="single"/>
        </w:rPr>
        <w:t>（采购文件中明确的所属行业）</w:t>
      </w:r>
      <w:r>
        <w:rPr>
          <w:rFonts w:hint="eastAsia" w:ascii="华文中宋" w:hAnsi="华文中宋" w:eastAsia="华文中宋" w:cs="华文中宋"/>
          <w:color w:val="auto"/>
          <w:sz w:val="28"/>
          <w:szCs w:val="28"/>
        </w:rPr>
        <w:t>；承建（承接）企业为</w:t>
      </w:r>
      <w:r>
        <w:rPr>
          <w:rFonts w:hint="eastAsia" w:ascii="华文中宋" w:hAnsi="华文中宋" w:eastAsia="华文中宋" w:cs="华文中宋"/>
          <w:color w:val="auto"/>
          <w:sz w:val="28"/>
          <w:szCs w:val="28"/>
          <w:u w:val="single"/>
        </w:rPr>
        <w:t>（企业名称）</w:t>
      </w:r>
      <w:r>
        <w:rPr>
          <w:rFonts w:hint="eastAsia" w:ascii="华文中宋" w:hAnsi="华文中宋" w:eastAsia="华文中宋" w:cs="华文中宋"/>
          <w:color w:val="auto"/>
          <w:sz w:val="28"/>
          <w:szCs w:val="28"/>
        </w:rPr>
        <w:t>， 从业人员</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人，营业收入为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万元，资产总额为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万元，属于</w:t>
      </w:r>
      <w:r>
        <w:rPr>
          <w:rFonts w:hint="eastAsia" w:ascii="华文中宋" w:hAnsi="华文中宋" w:eastAsia="华文中宋" w:cs="华文中宋"/>
          <w:color w:val="auto"/>
          <w:sz w:val="28"/>
          <w:szCs w:val="28"/>
          <w:u w:val="single"/>
        </w:rPr>
        <w:t>（中型企业、小型企业、微型企业）</w:t>
      </w:r>
      <w:r>
        <w:rPr>
          <w:rFonts w:hint="eastAsia" w:ascii="华文中宋" w:hAnsi="华文中宋" w:eastAsia="华文中宋" w:cs="华文中宋"/>
          <w:color w:val="auto"/>
          <w:sz w:val="28"/>
          <w:szCs w:val="28"/>
        </w:rPr>
        <w:t>；</w:t>
      </w:r>
    </w:p>
    <w:p w14:paraId="136C527D">
      <w:pPr>
        <w:ind w:firstLine="42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 . . . .</w:t>
      </w:r>
    </w:p>
    <w:p w14:paraId="3473F3C0">
      <w:pPr>
        <w:ind w:firstLine="42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以上企业，不属于大企业的分支机构，不存在控股股东为大企业的情形，也不存在与大企业的负责人为同一人的情形。</w:t>
      </w:r>
    </w:p>
    <w:p w14:paraId="404CB1DB">
      <w:pPr>
        <w:ind w:firstLine="42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本企业对上述声明内容的真实性负责。如有虚假，将依法承担相应责任。</w:t>
      </w:r>
    </w:p>
    <w:p w14:paraId="0CB2EFAA">
      <w:pPr>
        <w:pStyle w:val="26"/>
        <w:widowControl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kern w:val="2"/>
          <w:sz w:val="28"/>
          <w:szCs w:val="28"/>
        </w:rPr>
      </w:pPr>
      <w:r>
        <w:rPr>
          <w:rFonts w:hint="eastAsia" w:ascii="华文中宋" w:hAnsi="华文中宋" w:eastAsia="华文中宋" w:cs="华文中宋"/>
          <w:color w:val="auto"/>
          <w:kern w:val="2"/>
          <w:sz w:val="28"/>
          <w:szCs w:val="28"/>
        </w:rPr>
        <w:t xml:space="preserve">                                            </w:t>
      </w:r>
    </w:p>
    <w:p w14:paraId="096A66AC">
      <w:pPr>
        <w:pStyle w:val="26"/>
        <w:widowControl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kern w:val="2"/>
          <w:sz w:val="28"/>
          <w:szCs w:val="28"/>
        </w:rPr>
      </w:pPr>
      <w:r>
        <w:rPr>
          <w:rFonts w:hint="eastAsia" w:ascii="华文中宋" w:hAnsi="华文中宋" w:eastAsia="华文中宋" w:cs="华文中宋"/>
          <w:color w:val="auto"/>
          <w:kern w:val="2"/>
          <w:sz w:val="28"/>
          <w:szCs w:val="28"/>
        </w:rPr>
        <w:t>　　　　　　　　　　　　企业名称：</w:t>
      </w:r>
      <w:r>
        <w:rPr>
          <w:rFonts w:hint="eastAsia" w:ascii="华文中宋" w:hAnsi="华文中宋" w:eastAsia="华文中宋" w:cs="华文中宋"/>
          <w:color w:val="auto"/>
          <w:kern w:val="2"/>
          <w:sz w:val="28"/>
          <w:szCs w:val="28"/>
          <w:u w:val="single"/>
        </w:rPr>
        <w:t xml:space="preserve">         </w:t>
      </w:r>
      <w:r>
        <w:rPr>
          <w:rFonts w:hint="eastAsia" w:ascii="华文中宋" w:hAnsi="华文中宋" w:eastAsia="华文中宋" w:cs="华文中宋"/>
          <w:color w:val="auto"/>
          <w:kern w:val="2"/>
          <w:sz w:val="28"/>
          <w:szCs w:val="28"/>
        </w:rPr>
        <w:t>（电子签章）</w:t>
      </w:r>
    </w:p>
    <w:p w14:paraId="56F85D91">
      <w:pPr>
        <w:pStyle w:val="39"/>
        <w:snapToGrid w:val="0"/>
        <w:spacing w:line="360" w:lineRule="auto"/>
        <w:ind w:left="2520" w:right="960" w:firstLine="840" w:firstLineChars="300"/>
        <w:outlineLvl w:val="9"/>
        <w:rPr>
          <w:rFonts w:hint="eastAsia" w:ascii="华文中宋" w:hAnsi="华文中宋" w:eastAsia="华文中宋" w:cs="华文中宋"/>
          <w:color w:val="auto"/>
          <w:sz w:val="28"/>
          <w:szCs w:val="28"/>
          <w:u w:val="single"/>
        </w:rPr>
      </w:pPr>
      <w:r>
        <w:rPr>
          <w:rFonts w:hint="eastAsia" w:ascii="华文中宋" w:hAnsi="华文中宋" w:eastAsia="华文中宋" w:cs="华文中宋"/>
          <w:color w:val="auto"/>
          <w:kern w:val="2"/>
          <w:sz w:val="28"/>
          <w:szCs w:val="28"/>
        </w:rPr>
        <w:t>日 期：</w:t>
      </w:r>
    </w:p>
    <w:p w14:paraId="5BEF33DF">
      <w:pPr>
        <w:spacing w:line="360" w:lineRule="auto"/>
        <w:jc w:val="left"/>
        <w:outlineLvl w:val="9"/>
        <w:rPr>
          <w:rFonts w:hint="eastAsia" w:ascii="华文中宋" w:hAnsi="华文中宋" w:eastAsia="华文中宋" w:cs="华文中宋"/>
          <w:b/>
          <w:color w:val="auto"/>
          <w:spacing w:val="6"/>
          <w:sz w:val="28"/>
          <w:szCs w:val="28"/>
        </w:rPr>
      </w:pPr>
    </w:p>
    <w:p w14:paraId="6AA7F91E">
      <w:pPr>
        <w:spacing w:line="360" w:lineRule="auto"/>
        <w:ind w:firstLine="585" w:firstLineChars="200"/>
        <w:jc w:val="left"/>
        <w:outlineLvl w:val="9"/>
        <w:rPr>
          <w:rFonts w:hint="eastAsia" w:ascii="华文中宋" w:hAnsi="华文中宋" w:eastAsia="华文中宋" w:cs="华文中宋"/>
          <w:b/>
          <w:color w:val="auto"/>
          <w:spacing w:val="6"/>
          <w:sz w:val="28"/>
          <w:szCs w:val="28"/>
        </w:rPr>
      </w:pPr>
    </w:p>
    <w:p w14:paraId="43DED7C5">
      <w:pPr>
        <w:spacing w:line="360" w:lineRule="auto"/>
        <w:ind w:firstLine="585" w:firstLineChars="200"/>
        <w:jc w:val="left"/>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pacing w:val="6"/>
          <w:sz w:val="28"/>
          <w:szCs w:val="28"/>
        </w:rPr>
        <w:t>残疾人福利性单位声明函</w:t>
      </w:r>
      <w:r>
        <w:rPr>
          <w:rFonts w:hint="eastAsia" w:ascii="华文中宋" w:hAnsi="华文中宋" w:eastAsia="华文中宋" w:cs="华文中宋"/>
          <w:b/>
          <w:color w:val="auto"/>
          <w:sz w:val="28"/>
          <w:szCs w:val="28"/>
        </w:rPr>
        <w:t>格式</w:t>
      </w:r>
    </w:p>
    <w:p w14:paraId="2DBA4147">
      <w:pPr>
        <w:pStyle w:val="27"/>
        <w:rPr>
          <w:rFonts w:hint="eastAsia"/>
          <w:color w:val="auto"/>
        </w:rPr>
      </w:pPr>
    </w:p>
    <w:p w14:paraId="216CEF9B">
      <w:pPr>
        <w:spacing w:line="36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pacing w:val="6"/>
          <w:sz w:val="28"/>
          <w:szCs w:val="28"/>
        </w:rPr>
        <w:t>残疾人福利性单位声明函</w:t>
      </w:r>
    </w:p>
    <w:p w14:paraId="0164832F">
      <w:pPr>
        <w:spacing w:line="360" w:lineRule="auto"/>
        <w:ind w:firstLine="560" w:firstLineChars="200"/>
        <w:jc w:val="center"/>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（不属于残疾人福利性企业的无需填写）</w:t>
      </w:r>
    </w:p>
    <w:p w14:paraId="5E191DD7">
      <w:pPr>
        <w:pStyle w:val="27"/>
        <w:rPr>
          <w:rFonts w:hint="eastAsia"/>
          <w:color w:val="auto"/>
        </w:rPr>
      </w:pPr>
    </w:p>
    <w:p w14:paraId="3BB637D7">
      <w:pPr>
        <w:spacing w:line="360" w:lineRule="auto"/>
        <w:ind w:firstLine="560"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z w:val="28"/>
          <w:szCs w:val="28"/>
        </w:rPr>
        <w:t>本单位郑重声明，根据《财政部 民政部 中国残疾人联合会关于促进残疾人就业政府采购政策的通知》（财库〔2017〕 141号）的规定，本单位为符合条件的残疾人</w:t>
      </w:r>
      <w:r>
        <w:rPr>
          <w:rFonts w:hint="eastAsia" w:ascii="华文中宋" w:hAnsi="华文中宋" w:eastAsia="华文中宋" w:cs="华文中宋"/>
          <w:color w:val="auto"/>
          <w:spacing w:val="6"/>
          <w:sz w:val="28"/>
          <w:szCs w:val="28"/>
        </w:rPr>
        <w:t>福利性单位，且本单位参加</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pacing w:val="6"/>
          <w:sz w:val="28"/>
          <w:szCs w:val="28"/>
        </w:rPr>
        <w:t>单位的</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pacing w:val="6"/>
          <w:sz w:val="28"/>
          <w:szCs w:val="28"/>
        </w:rPr>
        <w:t>项目（项目编号：</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pacing w:val="6"/>
          <w:sz w:val="28"/>
          <w:szCs w:val="28"/>
        </w:rPr>
        <w:t>）采购活动提供本单位制造的货物（由本单位承担工程/提供服务），或者提供其他残疾人福利性单位制造的货物（不包括使用非残疾人福利性单位注册商标的货物）。</w:t>
      </w:r>
    </w:p>
    <w:p w14:paraId="4AEC146A">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本单位对上述声明的真实性负责。如有虚假，将依法承担相应责任。</w:t>
      </w:r>
    </w:p>
    <w:p w14:paraId="540B6364">
      <w:pPr>
        <w:tabs>
          <w:tab w:val="left" w:pos="4860"/>
        </w:tabs>
        <w:spacing w:line="360" w:lineRule="auto"/>
        <w:ind w:right="1560" w:firstLine="584" w:firstLineChars="200"/>
        <w:jc w:val="right"/>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                         单位名称（</w:t>
      </w:r>
      <w:r>
        <w:rPr>
          <w:rFonts w:hint="eastAsia" w:ascii="华文中宋" w:hAnsi="华文中宋" w:eastAsia="华文中宋" w:cs="华文中宋"/>
          <w:color w:val="auto"/>
          <w:sz w:val="28"/>
          <w:szCs w:val="28"/>
        </w:rPr>
        <w:t>电子签章</w:t>
      </w:r>
      <w:r>
        <w:rPr>
          <w:rFonts w:hint="eastAsia" w:ascii="华文中宋" w:hAnsi="华文中宋" w:eastAsia="华文中宋" w:cs="华文中宋"/>
          <w:color w:val="auto"/>
          <w:spacing w:val="6"/>
          <w:sz w:val="28"/>
          <w:szCs w:val="28"/>
        </w:rPr>
        <w:t>）：</w:t>
      </w:r>
    </w:p>
    <w:p w14:paraId="23A0EACB">
      <w:pPr>
        <w:tabs>
          <w:tab w:val="left" w:pos="4860"/>
        </w:tabs>
        <w:spacing w:line="360" w:lineRule="auto"/>
        <w:ind w:right="1560" w:firstLine="584" w:firstLineChars="200"/>
        <w:jc w:val="right"/>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color w:val="auto"/>
          <w:spacing w:val="6"/>
          <w:sz w:val="28"/>
          <w:szCs w:val="28"/>
        </w:rPr>
        <w:t xml:space="preserve">                    日  期：</w:t>
      </w:r>
    </w:p>
    <w:p w14:paraId="36240005">
      <w:pPr>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2EDB3436">
      <w:pPr>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 xml:space="preserve">    （2）残疾人福利性单位证明材料：残疾人福利性单位声明函，如提供其他残疾人福利性单位制造的货物，还须同时提供该企业的残疾人福利性单位声明函。</w:t>
      </w:r>
    </w:p>
    <w:p w14:paraId="21D122E6">
      <w:pPr>
        <w:pStyle w:val="27"/>
        <w:rPr>
          <w:rFonts w:hint="eastAsia"/>
          <w:color w:val="auto"/>
        </w:rPr>
      </w:pPr>
    </w:p>
    <w:p w14:paraId="1BE65777">
      <w:pPr>
        <w:outlineLvl w:val="9"/>
        <w:rPr>
          <w:rFonts w:hint="eastAsia" w:ascii="华文中宋" w:hAnsi="华文中宋" w:eastAsia="华文中宋" w:cs="华文中宋"/>
          <w:b/>
          <w:color w:val="auto"/>
          <w:sz w:val="24"/>
          <w:szCs w:val="24"/>
          <w:lang w:bidi="ar"/>
        </w:rPr>
      </w:pPr>
    </w:p>
    <w:p w14:paraId="6D505472">
      <w:pPr>
        <w:spacing w:line="360" w:lineRule="auto"/>
        <w:jc w:val="center"/>
        <w:outlineLvl w:val="9"/>
        <w:rPr>
          <w:rFonts w:hint="eastAsia" w:ascii="华文中宋" w:hAnsi="华文中宋" w:eastAsia="华文中宋" w:cs="华文中宋"/>
          <w:b/>
          <w:color w:val="auto"/>
          <w:spacing w:val="6"/>
          <w:sz w:val="28"/>
          <w:szCs w:val="28"/>
        </w:rPr>
      </w:pPr>
    </w:p>
    <w:p w14:paraId="46655C5B">
      <w:pPr>
        <w:spacing w:line="360" w:lineRule="auto"/>
        <w:jc w:val="center"/>
        <w:outlineLvl w:val="9"/>
        <w:rPr>
          <w:rFonts w:hint="eastAsia" w:ascii="华文中宋" w:hAnsi="华文中宋" w:eastAsia="华文中宋" w:cs="华文中宋"/>
          <w:b/>
          <w:color w:val="auto"/>
          <w:spacing w:val="6"/>
          <w:sz w:val="28"/>
          <w:szCs w:val="28"/>
        </w:rPr>
      </w:pPr>
      <w:r>
        <w:rPr>
          <w:rFonts w:hint="eastAsia" w:ascii="华文中宋" w:hAnsi="华文中宋" w:eastAsia="华文中宋" w:cs="华文中宋"/>
          <w:b/>
          <w:color w:val="auto"/>
          <w:spacing w:val="6"/>
          <w:sz w:val="28"/>
          <w:szCs w:val="28"/>
        </w:rPr>
        <w:t>监狱企业证明文件</w:t>
      </w:r>
    </w:p>
    <w:p w14:paraId="17960541">
      <w:pPr>
        <w:spacing w:line="360" w:lineRule="auto"/>
        <w:jc w:val="center"/>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lang w:eastAsia="zh-CN"/>
        </w:rPr>
        <w:t>（</w:t>
      </w:r>
      <w:r>
        <w:rPr>
          <w:rFonts w:hint="eastAsia" w:ascii="华文中宋" w:hAnsi="华文中宋" w:eastAsia="华文中宋" w:cs="华文中宋"/>
          <w:color w:val="auto"/>
          <w:spacing w:val="6"/>
          <w:sz w:val="28"/>
          <w:szCs w:val="28"/>
        </w:rPr>
        <w:t>不属于监狱企业的无需填写）</w:t>
      </w:r>
    </w:p>
    <w:p w14:paraId="32508444">
      <w:pPr>
        <w:spacing w:line="360" w:lineRule="auto"/>
        <w:ind w:firstLine="584" w:firstLineChars="200"/>
        <w:outlineLvl w:val="9"/>
        <w:rPr>
          <w:rFonts w:hint="eastAsia" w:ascii="华文中宋" w:hAnsi="华文中宋" w:eastAsia="华文中宋" w:cs="华文中宋"/>
          <w:color w:val="auto"/>
          <w:spacing w:val="6"/>
          <w:sz w:val="28"/>
          <w:szCs w:val="28"/>
        </w:rPr>
      </w:pPr>
    </w:p>
    <w:p w14:paraId="78572312">
      <w:pPr>
        <w:spacing w:line="360" w:lineRule="auto"/>
        <w:ind w:firstLine="584" w:firstLineChars="200"/>
        <w:outlineLvl w:val="9"/>
        <w:rPr>
          <w:rFonts w:hint="eastAsia" w:ascii="华文中宋" w:hAnsi="华文中宋" w:eastAsia="华文中宋" w:cs="华文中宋"/>
          <w:color w:val="auto"/>
          <w:spacing w:val="6"/>
          <w:sz w:val="28"/>
          <w:szCs w:val="28"/>
        </w:rPr>
      </w:pPr>
    </w:p>
    <w:p w14:paraId="516F2F77">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备注:（1）根据《关于政府采购支持监狱企业发展有关问题的通知》（财库[2014]68号）的规定，符合规定要求的供应商视同为小型和微型企业。</w:t>
      </w:r>
    </w:p>
    <w:p w14:paraId="2FA4691D">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2）监狱企业证明文件：省级或以上监狱管理局、戒毒管理局（含新疆生产建设兵团）出具的属于监狱企业的证明文件，如提供其他监狱企业制造的货物，还须同时提供该企业为监狱企业的证明文件。提供相关证明材料复印件。</w:t>
      </w:r>
    </w:p>
    <w:p w14:paraId="5243BE45">
      <w:pPr>
        <w:spacing w:line="360" w:lineRule="auto"/>
        <w:ind w:firstLine="584" w:firstLineChars="200"/>
        <w:outlineLvl w:val="9"/>
        <w:rPr>
          <w:rFonts w:hint="eastAsia" w:ascii="华文中宋" w:hAnsi="华文中宋" w:eastAsia="华文中宋" w:cs="华文中宋"/>
          <w:color w:val="auto"/>
          <w:spacing w:val="6"/>
          <w:sz w:val="28"/>
          <w:szCs w:val="28"/>
        </w:rPr>
      </w:pPr>
    </w:p>
    <w:p w14:paraId="373C8091">
      <w:pPr>
        <w:spacing w:line="360" w:lineRule="auto"/>
        <w:ind w:firstLine="584" w:firstLineChars="200"/>
        <w:outlineLvl w:val="9"/>
        <w:rPr>
          <w:rFonts w:hint="eastAsia" w:ascii="华文中宋" w:hAnsi="华文中宋" w:eastAsia="华文中宋" w:cs="华文中宋"/>
          <w:color w:val="auto"/>
          <w:spacing w:val="6"/>
          <w:sz w:val="28"/>
          <w:szCs w:val="28"/>
        </w:rPr>
      </w:pPr>
    </w:p>
    <w:p w14:paraId="02C7E8C7">
      <w:pPr>
        <w:outlineLvl w:val="9"/>
        <w:rPr>
          <w:rFonts w:hint="eastAsia" w:ascii="华文中宋" w:hAnsi="华文中宋" w:eastAsia="华文中宋" w:cs="华文中宋"/>
          <w:b/>
          <w:color w:val="auto"/>
          <w:sz w:val="24"/>
          <w:szCs w:val="24"/>
          <w:lang w:bidi="ar"/>
        </w:rPr>
      </w:pPr>
    </w:p>
    <w:p w14:paraId="2A1BBBEB">
      <w:pPr>
        <w:outlineLvl w:val="9"/>
        <w:rPr>
          <w:rFonts w:hint="eastAsia" w:ascii="华文中宋" w:hAnsi="华文中宋" w:eastAsia="华文中宋" w:cs="华文中宋"/>
          <w:b/>
          <w:color w:val="auto"/>
          <w:sz w:val="24"/>
          <w:szCs w:val="24"/>
          <w:lang w:bidi="ar"/>
        </w:rPr>
      </w:pPr>
    </w:p>
    <w:p w14:paraId="374323CD">
      <w:pPr>
        <w:outlineLvl w:val="9"/>
        <w:rPr>
          <w:rFonts w:hint="eastAsia" w:ascii="华文中宋" w:hAnsi="华文中宋" w:eastAsia="华文中宋" w:cs="华文中宋"/>
          <w:b/>
          <w:color w:val="auto"/>
          <w:sz w:val="24"/>
          <w:szCs w:val="24"/>
          <w:lang w:bidi="ar"/>
        </w:rPr>
      </w:pPr>
    </w:p>
    <w:p w14:paraId="0E6432E1">
      <w:pPr>
        <w:outlineLvl w:val="9"/>
        <w:rPr>
          <w:rFonts w:hint="eastAsia" w:ascii="华文中宋" w:hAnsi="华文中宋" w:eastAsia="华文中宋" w:cs="华文中宋"/>
          <w:b/>
          <w:color w:val="auto"/>
          <w:sz w:val="24"/>
        </w:rPr>
      </w:pPr>
      <w:r>
        <w:rPr>
          <w:rFonts w:hint="eastAsia" w:ascii="华文中宋" w:hAnsi="华文中宋" w:eastAsia="华文中宋" w:cs="华文中宋"/>
          <w:b/>
          <w:color w:val="auto"/>
          <w:sz w:val="24"/>
          <w:szCs w:val="24"/>
          <w:lang w:bidi="ar"/>
        </w:rPr>
        <w:br w:type="page"/>
      </w:r>
      <w:r>
        <w:rPr>
          <w:rFonts w:hint="eastAsia" w:ascii="华文中宋" w:hAnsi="华文中宋" w:eastAsia="华文中宋" w:cs="华文中宋"/>
          <w:b/>
          <w:color w:val="auto"/>
          <w:spacing w:val="20"/>
          <w:sz w:val="28"/>
          <w:szCs w:val="24"/>
        </w:rPr>
        <w:t>响应文件</w:t>
      </w:r>
      <w:r>
        <w:rPr>
          <w:rFonts w:hint="eastAsia" w:ascii="华文中宋" w:hAnsi="华文中宋" w:eastAsia="华文中宋" w:cs="华文中宋"/>
          <w:b/>
          <w:color w:val="auto"/>
          <w:sz w:val="28"/>
          <w:szCs w:val="24"/>
        </w:rPr>
        <w:t>封面及目录格式</w:t>
      </w:r>
      <w:bookmarkEnd w:id="1195"/>
    </w:p>
    <w:p w14:paraId="3644A705">
      <w:pPr>
        <w:jc w:val="right"/>
        <w:outlineLvl w:val="9"/>
        <w:rPr>
          <w:rFonts w:hint="eastAsia" w:ascii="华文中宋" w:hAnsi="华文中宋" w:eastAsia="华文中宋" w:cs="华文中宋"/>
          <w:color w:val="auto"/>
          <w:szCs w:val="21"/>
        </w:rPr>
      </w:pPr>
    </w:p>
    <w:p w14:paraId="4B3BDF29">
      <w:pPr>
        <w:jc w:val="center"/>
        <w:outlineLvl w:val="9"/>
        <w:rPr>
          <w:rFonts w:hint="eastAsia" w:ascii="华文中宋" w:hAnsi="华文中宋" w:eastAsia="华文中宋" w:cs="华文中宋"/>
          <w:color w:val="auto"/>
          <w:szCs w:val="21"/>
        </w:rPr>
      </w:pPr>
    </w:p>
    <w:p w14:paraId="6FBB5114">
      <w:pPr>
        <w:jc w:val="center"/>
        <w:outlineLvl w:val="9"/>
        <w:rPr>
          <w:rFonts w:hint="eastAsia" w:ascii="华文中宋" w:hAnsi="华文中宋" w:eastAsia="华文中宋" w:cs="华文中宋"/>
          <w:b/>
          <w:color w:val="auto"/>
          <w:spacing w:val="60"/>
          <w:sz w:val="84"/>
          <w:szCs w:val="84"/>
        </w:rPr>
      </w:pPr>
    </w:p>
    <w:p w14:paraId="0C0E49BA">
      <w:pPr>
        <w:pStyle w:val="3"/>
        <w:rPr>
          <w:rFonts w:hint="eastAsia" w:ascii="华文中宋" w:hAnsi="华文中宋" w:eastAsia="华文中宋" w:cs="华文中宋"/>
          <w:color w:val="auto"/>
        </w:rPr>
      </w:pPr>
    </w:p>
    <w:p w14:paraId="12070303">
      <w:pPr>
        <w:jc w:val="center"/>
        <w:outlineLvl w:val="9"/>
        <w:rPr>
          <w:rFonts w:hint="eastAsia" w:ascii="华文中宋" w:hAnsi="华文中宋" w:eastAsia="华文中宋" w:cs="华文中宋"/>
          <w:b/>
          <w:color w:val="auto"/>
          <w:spacing w:val="60"/>
          <w:sz w:val="84"/>
          <w:szCs w:val="84"/>
        </w:rPr>
      </w:pPr>
      <w:bookmarkStart w:id="1196" w:name="_Toc2095_WPSOffice_Level2"/>
      <w:r>
        <w:rPr>
          <w:rFonts w:hint="eastAsia" w:ascii="华文中宋" w:hAnsi="华文中宋" w:eastAsia="华文中宋" w:cs="华文中宋"/>
          <w:b/>
          <w:color w:val="auto"/>
          <w:spacing w:val="60"/>
          <w:sz w:val="84"/>
          <w:szCs w:val="84"/>
        </w:rPr>
        <w:t>响 应 文 件</w:t>
      </w:r>
      <w:bookmarkEnd w:id="1196"/>
    </w:p>
    <w:p w14:paraId="04A20E15">
      <w:pPr>
        <w:ind w:firstLine="841" w:firstLineChars="150"/>
        <w:jc w:val="center"/>
        <w:outlineLvl w:val="9"/>
        <w:rPr>
          <w:rFonts w:hint="eastAsia" w:ascii="华文中宋" w:hAnsi="华文中宋" w:eastAsia="华文中宋" w:cs="华文中宋"/>
          <w:b/>
          <w:color w:val="auto"/>
          <w:spacing w:val="20"/>
          <w:sz w:val="52"/>
          <w:szCs w:val="52"/>
        </w:rPr>
      </w:pPr>
      <w:r>
        <w:rPr>
          <w:rFonts w:hint="eastAsia" w:ascii="华文中宋" w:hAnsi="华文中宋" w:eastAsia="华文中宋" w:cs="华文中宋"/>
          <w:b/>
          <w:color w:val="auto"/>
          <w:spacing w:val="20"/>
          <w:sz w:val="52"/>
          <w:szCs w:val="52"/>
        </w:rPr>
        <w:t>（商务技术文件）</w:t>
      </w:r>
    </w:p>
    <w:p w14:paraId="5292AD4C">
      <w:pPr>
        <w:ind w:firstLine="540" w:firstLineChars="150"/>
        <w:outlineLvl w:val="9"/>
        <w:rPr>
          <w:rFonts w:hint="eastAsia" w:ascii="华文中宋" w:hAnsi="华文中宋" w:eastAsia="华文中宋" w:cs="华文中宋"/>
          <w:b/>
          <w:color w:val="auto"/>
          <w:spacing w:val="20"/>
          <w:sz w:val="32"/>
          <w:szCs w:val="32"/>
        </w:rPr>
      </w:pPr>
    </w:p>
    <w:p w14:paraId="1A62AB74">
      <w:pPr>
        <w:ind w:left="420" w:firstLine="420"/>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项目名称:</w:t>
      </w:r>
    </w:p>
    <w:p w14:paraId="2CB19181">
      <w:pPr>
        <w:spacing w:line="276" w:lineRule="auto"/>
        <w:ind w:left="420" w:firstLine="420"/>
        <w:outlineLvl w:val="9"/>
        <w:rPr>
          <w:rFonts w:hint="eastAsia" w:ascii="华文中宋" w:hAnsi="华文中宋" w:eastAsia="华文中宋" w:cs="华文中宋"/>
          <w:b/>
          <w:color w:val="auto"/>
          <w:szCs w:val="21"/>
        </w:rPr>
      </w:pPr>
      <w:r>
        <w:rPr>
          <w:rFonts w:hint="eastAsia" w:ascii="华文中宋" w:hAnsi="华文中宋" w:eastAsia="华文中宋" w:cs="华文中宋"/>
          <w:b/>
          <w:color w:val="auto"/>
          <w:spacing w:val="20"/>
          <w:sz w:val="32"/>
          <w:szCs w:val="32"/>
        </w:rPr>
        <w:t>项目编号：</w:t>
      </w:r>
    </w:p>
    <w:p w14:paraId="30E8501B">
      <w:pPr>
        <w:spacing w:line="276" w:lineRule="auto"/>
        <w:outlineLvl w:val="9"/>
        <w:rPr>
          <w:rFonts w:hint="eastAsia" w:ascii="华文中宋" w:hAnsi="华文中宋" w:eastAsia="华文中宋" w:cs="华文中宋"/>
          <w:b/>
          <w:color w:val="auto"/>
          <w:szCs w:val="21"/>
        </w:rPr>
      </w:pPr>
    </w:p>
    <w:p w14:paraId="4EBF59EA">
      <w:pPr>
        <w:spacing w:line="276" w:lineRule="auto"/>
        <w:outlineLvl w:val="9"/>
        <w:rPr>
          <w:rFonts w:hint="eastAsia" w:ascii="华文中宋" w:hAnsi="华文中宋" w:eastAsia="华文中宋" w:cs="华文中宋"/>
          <w:b/>
          <w:color w:val="auto"/>
          <w:szCs w:val="21"/>
        </w:rPr>
      </w:pPr>
    </w:p>
    <w:p w14:paraId="6BD6B4B7">
      <w:pPr>
        <w:spacing w:line="276" w:lineRule="auto"/>
        <w:outlineLvl w:val="9"/>
        <w:rPr>
          <w:rFonts w:hint="eastAsia" w:ascii="华文中宋" w:hAnsi="华文中宋" w:eastAsia="华文中宋" w:cs="华文中宋"/>
          <w:b/>
          <w:color w:val="auto"/>
          <w:szCs w:val="21"/>
        </w:rPr>
      </w:pPr>
    </w:p>
    <w:p w14:paraId="1362C003">
      <w:pPr>
        <w:spacing w:line="276" w:lineRule="auto"/>
        <w:outlineLvl w:val="9"/>
        <w:rPr>
          <w:rFonts w:hint="eastAsia" w:ascii="华文中宋" w:hAnsi="华文中宋" w:eastAsia="华文中宋" w:cs="华文中宋"/>
          <w:b/>
          <w:color w:val="auto"/>
          <w:szCs w:val="21"/>
        </w:rPr>
      </w:pPr>
    </w:p>
    <w:p w14:paraId="0D7D244E">
      <w:pPr>
        <w:spacing w:line="276" w:lineRule="auto"/>
        <w:outlineLvl w:val="9"/>
        <w:rPr>
          <w:rFonts w:hint="eastAsia" w:ascii="华文中宋" w:hAnsi="华文中宋" w:eastAsia="华文中宋" w:cs="华文中宋"/>
          <w:b/>
          <w:color w:val="auto"/>
          <w:szCs w:val="21"/>
        </w:rPr>
      </w:pPr>
    </w:p>
    <w:p w14:paraId="29B248D5">
      <w:pPr>
        <w:spacing w:line="276" w:lineRule="auto"/>
        <w:outlineLvl w:val="9"/>
        <w:rPr>
          <w:rFonts w:hint="eastAsia" w:ascii="华文中宋" w:hAnsi="华文中宋" w:eastAsia="华文中宋" w:cs="华文中宋"/>
          <w:b/>
          <w:color w:val="auto"/>
          <w:szCs w:val="21"/>
        </w:rPr>
      </w:pPr>
    </w:p>
    <w:p w14:paraId="5D4A2490">
      <w:pPr>
        <w:spacing w:line="276" w:lineRule="auto"/>
        <w:outlineLvl w:val="9"/>
        <w:rPr>
          <w:rFonts w:hint="eastAsia" w:ascii="华文中宋" w:hAnsi="华文中宋" w:eastAsia="华文中宋" w:cs="华文中宋"/>
          <w:b/>
          <w:color w:val="auto"/>
          <w:szCs w:val="21"/>
        </w:rPr>
      </w:pPr>
    </w:p>
    <w:p w14:paraId="7176ECAB">
      <w:pPr>
        <w:jc w:val="center"/>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磋商供应商单位名称：（电子签章）</w:t>
      </w:r>
    </w:p>
    <w:p w14:paraId="607E4D5C">
      <w:pPr>
        <w:jc w:val="center"/>
        <w:outlineLvl w:val="9"/>
        <w:rPr>
          <w:rFonts w:hint="eastAsia"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rPr>
        <w:t xml:space="preserve">    年  月   日</w:t>
      </w:r>
    </w:p>
    <w:p w14:paraId="62DC5326">
      <w:pPr>
        <w:spacing w:line="480" w:lineRule="auto"/>
        <w:jc w:val="center"/>
        <w:outlineLvl w:val="9"/>
        <w:rPr>
          <w:rFonts w:hint="eastAsia" w:ascii="华文中宋" w:hAnsi="华文中宋" w:eastAsia="华文中宋" w:cs="华文中宋"/>
          <w:b/>
          <w:color w:val="auto"/>
          <w:spacing w:val="20"/>
          <w:sz w:val="28"/>
          <w:szCs w:val="28"/>
        </w:rPr>
      </w:pPr>
      <w:bookmarkStart w:id="1197" w:name="_Toc40954063"/>
      <w:r>
        <w:rPr>
          <w:rFonts w:hint="eastAsia" w:ascii="华文中宋" w:hAnsi="华文中宋" w:eastAsia="华文中宋" w:cs="华文中宋"/>
          <w:b/>
          <w:color w:val="auto"/>
          <w:spacing w:val="20"/>
          <w:sz w:val="32"/>
          <w:szCs w:val="32"/>
        </w:rPr>
        <w:br w:type="page"/>
      </w:r>
      <w:r>
        <w:rPr>
          <w:rFonts w:hint="eastAsia" w:ascii="华文中宋" w:hAnsi="华文中宋" w:eastAsia="华文中宋" w:cs="华文中宋"/>
          <w:b/>
          <w:color w:val="auto"/>
          <w:spacing w:val="20"/>
          <w:sz w:val="28"/>
          <w:szCs w:val="28"/>
        </w:rPr>
        <w:t>商务技术文件</w:t>
      </w:r>
    </w:p>
    <w:p w14:paraId="4ACD77B5">
      <w:pPr>
        <w:spacing w:line="48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目    录</w:t>
      </w:r>
    </w:p>
    <w:p w14:paraId="710825D2">
      <w:pPr>
        <w:pStyle w:val="20"/>
        <w:outlineLvl w:val="9"/>
        <w:rPr>
          <w:rFonts w:hint="eastAsia" w:ascii="华文中宋" w:hAnsi="华文中宋" w:eastAsia="华文中宋" w:cs="华文中宋"/>
          <w:color w:val="auto"/>
          <w:sz w:val="28"/>
          <w:szCs w:val="28"/>
        </w:rPr>
      </w:pPr>
    </w:p>
    <w:p w14:paraId="5F6E64C8">
      <w:pPr>
        <w:pStyle w:val="19"/>
        <w:snapToGrid w:val="0"/>
        <w:spacing w:line="360" w:lineRule="auto"/>
        <w:ind w:firstLine="561" w:firstLineChars="200"/>
        <w:outlineLvl w:val="9"/>
        <w:rPr>
          <w:rFonts w:hint="eastAsia" w:ascii="华文中宋" w:hAnsi="华文中宋" w:eastAsia="华文中宋" w:cs="华文中宋"/>
          <w:b/>
          <w:bCs/>
          <w:color w:val="auto"/>
          <w:kern w:val="0"/>
          <w:sz w:val="28"/>
          <w:szCs w:val="28"/>
        </w:rPr>
      </w:pPr>
      <w:r>
        <w:rPr>
          <w:rFonts w:hint="eastAsia" w:ascii="华文中宋" w:hAnsi="华文中宋" w:eastAsia="华文中宋" w:cs="华文中宋"/>
          <w:b/>
          <w:bCs/>
          <w:color w:val="auto"/>
          <w:kern w:val="0"/>
          <w:sz w:val="28"/>
          <w:szCs w:val="28"/>
          <w:lang w:eastAsia="zh-CN"/>
        </w:rPr>
        <w:t>符合性</w:t>
      </w:r>
      <w:r>
        <w:rPr>
          <w:rFonts w:hint="eastAsia" w:ascii="华文中宋" w:hAnsi="华文中宋" w:eastAsia="华文中宋" w:cs="华文中宋"/>
          <w:b/>
          <w:bCs/>
          <w:color w:val="auto"/>
          <w:kern w:val="0"/>
          <w:sz w:val="28"/>
          <w:szCs w:val="28"/>
        </w:rPr>
        <w:t>审查部分：</w:t>
      </w:r>
    </w:p>
    <w:p w14:paraId="7F80E0E6">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1、对总报价</w:t>
      </w:r>
      <w:r>
        <w:rPr>
          <w:rFonts w:hint="eastAsia" w:ascii="华文中宋" w:hAnsi="华文中宋" w:eastAsia="华文中宋" w:cs="华文中宋"/>
          <w:bCs/>
          <w:snapToGrid w:val="0"/>
          <w:color w:val="auto"/>
          <w:kern w:val="0"/>
          <w:sz w:val="28"/>
          <w:szCs w:val="28"/>
        </w:rPr>
        <w:t>、</w:t>
      </w:r>
      <w:r>
        <w:rPr>
          <w:rFonts w:hint="eastAsia" w:ascii="华文中宋" w:hAnsi="华文中宋" w:eastAsia="华文中宋" w:cs="华文中宋"/>
          <w:color w:val="auto"/>
          <w:kern w:val="0"/>
          <w:sz w:val="28"/>
          <w:szCs w:val="28"/>
        </w:rPr>
        <w:t>工期、工程质量、响应有效期要求的响应内容</w:t>
      </w:r>
    </w:p>
    <w:p w14:paraId="0F6878B7">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2、对技术标准和要求的响应内容</w:t>
      </w:r>
    </w:p>
    <w:p w14:paraId="43F7B1DA">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3、对节能产品、环境标志产品承诺要求及政府采购政策的响应内容</w:t>
      </w:r>
    </w:p>
    <w:p w14:paraId="0A52C3FE">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4、已标价工程量清单</w:t>
      </w:r>
    </w:p>
    <w:p w14:paraId="1DCC2ABC">
      <w:pPr>
        <w:pStyle w:val="19"/>
        <w:snapToGrid w:val="0"/>
        <w:spacing w:line="360" w:lineRule="auto"/>
        <w:ind w:firstLine="561" w:firstLineChars="200"/>
        <w:outlineLvl w:val="9"/>
        <w:rPr>
          <w:rFonts w:hint="eastAsia" w:ascii="华文中宋" w:hAnsi="华文中宋" w:eastAsia="华文中宋" w:cs="华文中宋"/>
          <w:b/>
          <w:bCs/>
          <w:color w:val="auto"/>
          <w:kern w:val="0"/>
          <w:sz w:val="28"/>
          <w:szCs w:val="28"/>
        </w:rPr>
      </w:pPr>
      <w:r>
        <w:rPr>
          <w:rFonts w:hint="eastAsia" w:ascii="华文中宋" w:hAnsi="华文中宋" w:eastAsia="华文中宋" w:cs="华文中宋"/>
          <w:b/>
          <w:bCs/>
          <w:color w:val="auto"/>
          <w:kern w:val="0"/>
          <w:sz w:val="28"/>
          <w:szCs w:val="28"/>
        </w:rPr>
        <w:t>综合评分部分：</w:t>
      </w:r>
    </w:p>
    <w:p w14:paraId="45B81C54">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1、施工组织设计</w:t>
      </w:r>
    </w:p>
    <w:p w14:paraId="0DA53F8C">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2、磋商供应商及项目经理资信</w:t>
      </w:r>
    </w:p>
    <w:p w14:paraId="4A73C386">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3、拟分包计划表</w:t>
      </w:r>
    </w:p>
    <w:p w14:paraId="2256A524">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4、其他资料</w:t>
      </w:r>
    </w:p>
    <w:p w14:paraId="4E3D96FC">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p>
    <w:p w14:paraId="550AE7FC">
      <w:pPr>
        <w:spacing w:line="360" w:lineRule="auto"/>
        <w:outlineLvl w:val="9"/>
        <w:rPr>
          <w:rFonts w:hint="eastAsia" w:ascii="华文中宋" w:hAnsi="华文中宋" w:eastAsia="华文中宋" w:cs="华文中宋"/>
          <w:b/>
          <w:color w:val="auto"/>
          <w:sz w:val="28"/>
          <w:szCs w:val="28"/>
          <w:lang w:bidi="ar"/>
        </w:rPr>
      </w:pPr>
      <w:r>
        <w:rPr>
          <w:rFonts w:hint="eastAsia" w:ascii="华文中宋" w:hAnsi="华文中宋" w:eastAsia="华文中宋" w:cs="华文中宋"/>
          <w:b/>
          <w:color w:val="auto"/>
          <w:sz w:val="24"/>
          <w:szCs w:val="24"/>
          <w:lang w:bidi="ar"/>
        </w:rPr>
        <w:br w:type="page"/>
      </w:r>
      <w:r>
        <w:rPr>
          <w:rFonts w:hint="eastAsia" w:ascii="华文中宋" w:hAnsi="华文中宋" w:eastAsia="华文中宋" w:cs="华文中宋"/>
          <w:b/>
          <w:color w:val="auto"/>
          <w:sz w:val="24"/>
          <w:szCs w:val="24"/>
          <w:lang w:bidi="ar"/>
        </w:rPr>
        <w:t>商</w:t>
      </w:r>
      <w:r>
        <w:rPr>
          <w:rFonts w:hint="eastAsia" w:ascii="华文中宋" w:hAnsi="华文中宋" w:eastAsia="华文中宋" w:cs="华文中宋"/>
          <w:b/>
          <w:color w:val="auto"/>
          <w:sz w:val="28"/>
          <w:szCs w:val="28"/>
          <w:lang w:bidi="ar"/>
        </w:rPr>
        <w:t>务技术文件（</w:t>
      </w:r>
      <w:r>
        <w:rPr>
          <w:rFonts w:hint="eastAsia" w:ascii="华文中宋" w:hAnsi="华文中宋" w:eastAsia="华文中宋" w:cs="华文中宋"/>
          <w:b/>
          <w:color w:val="auto"/>
          <w:sz w:val="28"/>
          <w:szCs w:val="28"/>
          <w:lang w:eastAsia="zh-CN" w:bidi="ar"/>
        </w:rPr>
        <w:t>符合性</w:t>
      </w:r>
      <w:r>
        <w:rPr>
          <w:rFonts w:hint="eastAsia" w:ascii="华文中宋" w:hAnsi="华文中宋" w:eastAsia="华文中宋" w:cs="华文中宋"/>
          <w:b/>
          <w:color w:val="auto"/>
          <w:sz w:val="28"/>
          <w:szCs w:val="28"/>
          <w:lang w:bidi="ar"/>
        </w:rPr>
        <w:t>审查部分）：</w:t>
      </w:r>
    </w:p>
    <w:p w14:paraId="60453EDE">
      <w:pPr>
        <w:spacing w:line="360" w:lineRule="auto"/>
        <w:ind w:firstLine="561" w:firstLineChars="200"/>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lang w:bidi="ar"/>
        </w:rPr>
        <w:t>（一）对总报价、工期、工程质量、响应有效期要求的响应内容；</w:t>
      </w:r>
    </w:p>
    <w:p w14:paraId="0003CB1B">
      <w:pPr>
        <w:spacing w:line="360" w:lineRule="auto"/>
        <w:ind w:firstLine="560" w:firstLineChars="200"/>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8"/>
          <w:szCs w:val="28"/>
          <w:lang w:bidi="ar"/>
        </w:rPr>
        <w:t>根据本文件第二部分磋商供应商须知前附表中的内容进行响应</w:t>
      </w:r>
      <w:r>
        <w:rPr>
          <w:rFonts w:hint="eastAsia" w:ascii="华文中宋" w:hAnsi="华文中宋" w:eastAsia="华文中宋" w:cs="华文中宋"/>
          <w:color w:val="auto"/>
          <w:sz w:val="24"/>
          <w:szCs w:val="24"/>
          <w:lang w:bidi="ar"/>
        </w:rPr>
        <w:t>。</w:t>
      </w:r>
    </w:p>
    <w:tbl>
      <w:tblPr>
        <w:tblStyle w:val="29"/>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170"/>
      </w:tblGrid>
      <w:tr w14:paraId="3E09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7921D7E7">
            <w:pPr>
              <w:spacing w:line="560" w:lineRule="exact"/>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磋商供应商名称</w:t>
            </w:r>
          </w:p>
        </w:tc>
        <w:tc>
          <w:tcPr>
            <w:tcW w:w="6170" w:type="dxa"/>
            <w:noWrap w:val="0"/>
            <w:vAlign w:val="center"/>
          </w:tcPr>
          <w:p w14:paraId="463A6072">
            <w:pPr>
              <w:spacing w:line="560" w:lineRule="exact"/>
              <w:jc w:val="center"/>
              <w:outlineLvl w:val="9"/>
              <w:rPr>
                <w:rFonts w:hint="eastAsia" w:ascii="华文中宋" w:hAnsi="华文中宋" w:eastAsia="华文中宋" w:cs="华文中宋"/>
                <w:color w:val="auto"/>
                <w:sz w:val="28"/>
                <w:szCs w:val="28"/>
              </w:rPr>
            </w:pPr>
          </w:p>
        </w:tc>
      </w:tr>
      <w:tr w14:paraId="6EB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508C1413">
            <w:pPr>
              <w:spacing w:line="560" w:lineRule="exact"/>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总报价</w:t>
            </w:r>
          </w:p>
        </w:tc>
        <w:tc>
          <w:tcPr>
            <w:tcW w:w="6170" w:type="dxa"/>
            <w:noWrap w:val="0"/>
            <w:vAlign w:val="center"/>
          </w:tcPr>
          <w:p w14:paraId="430BD8EA">
            <w:pPr>
              <w:spacing w:line="560" w:lineRule="exact"/>
              <w:jc w:val="center"/>
              <w:outlineLvl w:val="9"/>
              <w:rPr>
                <w:rFonts w:hint="eastAsia" w:ascii="华文中宋" w:hAnsi="华文中宋" w:eastAsia="华文中宋" w:cs="华文中宋"/>
                <w:color w:val="auto"/>
                <w:sz w:val="28"/>
                <w:szCs w:val="28"/>
              </w:rPr>
            </w:pPr>
          </w:p>
        </w:tc>
      </w:tr>
      <w:tr w14:paraId="0C8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026BA34C">
            <w:pPr>
              <w:spacing w:line="240" w:lineRule="auto"/>
              <w:jc w:val="center"/>
              <w:outlineLvl w:val="9"/>
              <w:rPr>
                <w:rFonts w:hint="eastAsia" w:ascii="华文中宋" w:hAnsi="华文中宋" w:eastAsia="华文中宋" w:cs="华文中宋"/>
                <w:color w:val="auto"/>
                <w:sz w:val="24"/>
                <w:szCs w:val="24"/>
                <w:highlight w:val="none"/>
                <w:lang w:val="en-US" w:eastAsia="zh-CN" w:bidi="ar"/>
              </w:rPr>
            </w:pPr>
            <w:r>
              <w:rPr>
                <w:rFonts w:hint="eastAsia" w:ascii="华文中宋" w:hAnsi="华文中宋" w:eastAsia="华文中宋" w:cs="华文中宋"/>
                <w:color w:val="auto"/>
                <w:sz w:val="24"/>
                <w:szCs w:val="24"/>
                <w:highlight w:val="none"/>
                <w:lang w:val="en-US" w:eastAsia="zh-CN" w:bidi="ar"/>
              </w:rPr>
              <w:t>合同履行期限</w:t>
            </w:r>
          </w:p>
          <w:p w14:paraId="0968C593">
            <w:pPr>
              <w:spacing w:line="240" w:lineRule="auto"/>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highlight w:val="none"/>
                <w:lang w:val="en-US" w:eastAsia="zh-CN" w:bidi="ar"/>
              </w:rPr>
              <w:t>（</w:t>
            </w:r>
            <w:r>
              <w:rPr>
                <w:rFonts w:hint="eastAsia" w:ascii="华文中宋" w:hAnsi="华文中宋" w:eastAsia="华文中宋" w:cs="华文中宋"/>
                <w:color w:val="auto"/>
                <w:sz w:val="24"/>
                <w:szCs w:val="24"/>
                <w:highlight w:val="none"/>
                <w:lang w:bidi="ar"/>
              </w:rPr>
              <w:t>工期</w:t>
            </w:r>
            <w:r>
              <w:rPr>
                <w:rFonts w:hint="eastAsia" w:ascii="华文中宋" w:hAnsi="华文中宋" w:eastAsia="华文中宋" w:cs="华文中宋"/>
                <w:color w:val="auto"/>
                <w:sz w:val="24"/>
                <w:szCs w:val="24"/>
                <w:highlight w:val="none"/>
                <w:lang w:val="en-US" w:eastAsia="zh-CN" w:bidi="ar"/>
              </w:rPr>
              <w:t>）</w:t>
            </w:r>
          </w:p>
        </w:tc>
        <w:tc>
          <w:tcPr>
            <w:tcW w:w="6170" w:type="dxa"/>
            <w:noWrap w:val="0"/>
            <w:vAlign w:val="center"/>
          </w:tcPr>
          <w:p w14:paraId="49E9C713">
            <w:pPr>
              <w:spacing w:line="560" w:lineRule="exact"/>
              <w:outlineLvl w:val="9"/>
              <w:rPr>
                <w:rFonts w:hint="eastAsia" w:ascii="华文中宋" w:hAnsi="华文中宋" w:eastAsia="华文中宋" w:cs="华文中宋"/>
                <w:color w:val="auto"/>
                <w:sz w:val="28"/>
                <w:szCs w:val="28"/>
                <w:u w:val="single"/>
              </w:rPr>
            </w:pPr>
          </w:p>
        </w:tc>
      </w:tr>
      <w:tr w14:paraId="36F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028" w:type="dxa"/>
            <w:noWrap w:val="0"/>
            <w:vAlign w:val="center"/>
          </w:tcPr>
          <w:p w14:paraId="3806B75D">
            <w:pPr>
              <w:spacing w:line="560" w:lineRule="exact"/>
              <w:jc w:val="center"/>
              <w:outlineLvl w:val="9"/>
              <w:rPr>
                <w:rFonts w:hint="eastAsia" w:ascii="华文中宋" w:hAnsi="华文中宋" w:eastAsia="华文中宋" w:cs="华文中宋"/>
                <w:color w:val="auto"/>
                <w:sz w:val="24"/>
                <w:szCs w:val="24"/>
                <w:lang w:val="en-US" w:eastAsia="zh-CN" w:bidi="ar"/>
              </w:rPr>
            </w:pPr>
            <w:r>
              <w:rPr>
                <w:rFonts w:hint="eastAsia" w:ascii="华文中宋" w:hAnsi="华文中宋" w:eastAsia="华文中宋" w:cs="华文中宋"/>
                <w:color w:val="auto"/>
                <w:sz w:val="24"/>
                <w:szCs w:val="24"/>
                <w:lang w:val="en-US" w:eastAsia="zh-CN" w:bidi="ar"/>
              </w:rPr>
              <w:t>工程质量</w:t>
            </w:r>
          </w:p>
        </w:tc>
        <w:tc>
          <w:tcPr>
            <w:tcW w:w="6170" w:type="dxa"/>
            <w:noWrap w:val="0"/>
            <w:vAlign w:val="center"/>
          </w:tcPr>
          <w:p w14:paraId="2B60D3BB">
            <w:pPr>
              <w:tabs>
                <w:tab w:val="left" w:pos="0"/>
              </w:tabs>
              <w:spacing w:before="156" w:beforeLines="50" w:line="560" w:lineRule="exact"/>
              <w:outlineLvl w:val="9"/>
              <w:rPr>
                <w:rFonts w:hint="eastAsia" w:ascii="华文中宋" w:hAnsi="华文中宋" w:eastAsia="华文中宋" w:cs="华文中宋"/>
                <w:color w:val="auto"/>
                <w:sz w:val="28"/>
                <w:szCs w:val="28"/>
                <w:u w:val="single"/>
                <w:lang w:val="zh-CN"/>
              </w:rPr>
            </w:pPr>
          </w:p>
        </w:tc>
      </w:tr>
      <w:tr w14:paraId="745F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73009B2B">
            <w:pPr>
              <w:spacing w:line="560" w:lineRule="exact"/>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响应有效期</w:t>
            </w:r>
          </w:p>
        </w:tc>
        <w:tc>
          <w:tcPr>
            <w:tcW w:w="6170" w:type="dxa"/>
            <w:noWrap w:val="0"/>
            <w:vAlign w:val="center"/>
          </w:tcPr>
          <w:p w14:paraId="2118FF99">
            <w:pPr>
              <w:tabs>
                <w:tab w:val="left" w:pos="0"/>
              </w:tabs>
              <w:spacing w:line="560" w:lineRule="exact"/>
              <w:outlineLvl w:val="9"/>
              <w:rPr>
                <w:rFonts w:hint="eastAsia" w:ascii="华文中宋" w:hAnsi="华文中宋" w:eastAsia="华文中宋" w:cs="华文中宋"/>
                <w:color w:val="auto"/>
                <w:sz w:val="28"/>
                <w:szCs w:val="28"/>
              </w:rPr>
            </w:pPr>
          </w:p>
        </w:tc>
      </w:tr>
    </w:tbl>
    <w:p w14:paraId="3312AC55">
      <w:pPr>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w:t>
      </w:r>
      <w:r>
        <w:rPr>
          <w:rFonts w:hint="eastAsia" w:ascii="华文中宋" w:hAnsi="华文中宋" w:eastAsia="华文中宋" w:cs="华文中宋"/>
          <w:color w:val="auto"/>
          <w:spacing w:val="20"/>
          <w:sz w:val="28"/>
          <w:szCs w:val="28"/>
        </w:rPr>
        <w:t>电子签章</w:t>
      </w:r>
      <w:r>
        <w:rPr>
          <w:rFonts w:hint="eastAsia" w:ascii="华文中宋" w:hAnsi="华文中宋" w:eastAsia="华文中宋" w:cs="华文中宋"/>
          <w:color w:val="auto"/>
          <w:sz w:val="28"/>
          <w:szCs w:val="28"/>
        </w:rPr>
        <w:t>）</w:t>
      </w:r>
    </w:p>
    <w:p w14:paraId="3C2B7EB3">
      <w:pPr>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年  月  日</w:t>
      </w:r>
    </w:p>
    <w:p w14:paraId="065C949A">
      <w:pPr>
        <w:spacing w:line="360" w:lineRule="auto"/>
        <w:ind w:firstLine="561" w:firstLineChars="200"/>
        <w:jc w:val="left"/>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lang w:bidi="ar"/>
        </w:rPr>
        <w:t>（二）对技术标准和要求的响应内容；</w:t>
      </w:r>
    </w:p>
    <w:p w14:paraId="232180D6">
      <w:pPr>
        <w:spacing w:line="360" w:lineRule="auto"/>
        <w:ind w:firstLine="560" w:firstLineChars="200"/>
        <w:outlineLvl w:val="9"/>
        <w:rPr>
          <w:rFonts w:hint="eastAsia" w:ascii="华文中宋" w:hAnsi="华文中宋" w:eastAsia="华文中宋" w:cs="华文中宋"/>
          <w:b/>
          <w:color w:val="auto"/>
          <w:sz w:val="28"/>
          <w:szCs w:val="28"/>
          <w:lang w:bidi="ar"/>
        </w:rPr>
      </w:pPr>
      <w:r>
        <w:rPr>
          <w:rFonts w:hint="eastAsia" w:ascii="华文中宋" w:hAnsi="华文中宋" w:eastAsia="华文中宋" w:cs="华文中宋"/>
          <w:color w:val="auto"/>
          <w:sz w:val="28"/>
          <w:szCs w:val="28"/>
          <w:lang w:bidi="ar"/>
        </w:rPr>
        <w:t>根据本文件第五部分技术标准和要求的内容进行响应。</w:t>
      </w:r>
    </w:p>
    <w:p w14:paraId="67A09CCC">
      <w:pPr>
        <w:spacing w:line="360" w:lineRule="auto"/>
        <w:ind w:left="420" w:left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color w:val="auto"/>
          <w:sz w:val="28"/>
          <w:szCs w:val="28"/>
          <w:lang w:bidi="ar"/>
        </w:rPr>
        <w:t>（三）对节能产品、环境标志产品承诺要求的响应内容；</w:t>
      </w:r>
      <w:r>
        <w:rPr>
          <w:rFonts w:hint="eastAsia" w:ascii="华文中宋" w:hAnsi="华文中宋" w:eastAsia="华文中宋" w:cs="华文中宋"/>
          <w:b/>
          <w:color w:val="auto"/>
          <w:sz w:val="28"/>
          <w:szCs w:val="28"/>
        </w:rPr>
        <w:t xml:space="preserve">   </w:t>
      </w:r>
    </w:p>
    <w:p w14:paraId="2CB35527">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1、工程内容中含《节能产品政府采购品目清单》中的产品，属于国家强制性采购的，必须符合要求，并单独做出承诺（格式投标人自拟）。</w:t>
      </w:r>
    </w:p>
    <w:p w14:paraId="5E02BA39">
      <w:pPr>
        <w:snapToGrid w:val="0"/>
        <w:spacing w:line="420" w:lineRule="exact"/>
        <w:outlineLvl w:val="9"/>
        <w:rPr>
          <w:rFonts w:hint="eastAsia" w:ascii="华文中宋" w:hAnsi="华文中宋" w:eastAsia="华文中宋" w:cs="华文中宋"/>
          <w:color w:val="auto"/>
        </w:rPr>
      </w:pPr>
      <w:r>
        <w:rPr>
          <w:rFonts w:hint="eastAsia" w:ascii="华文中宋" w:hAnsi="华文中宋" w:eastAsia="华文中宋" w:cs="华文中宋"/>
          <w:color w:val="auto"/>
          <w:sz w:val="28"/>
          <w:szCs w:val="28"/>
        </w:rPr>
        <w:t xml:space="preserve">    2、工程内容中含《环境标志产品政府采购品目清单》中的产品，要求优先选用，并单独做出承诺（格式投标人自拟）。</w:t>
      </w:r>
      <w:bookmarkEnd w:id="1197"/>
      <w:bookmarkStart w:id="1198" w:name="_Toc44690623"/>
      <w:bookmarkStart w:id="1199" w:name="_Toc40954064"/>
      <w:bookmarkStart w:id="1200" w:name="_Toc43363093"/>
      <w:bookmarkStart w:id="1201" w:name="_Toc44690697"/>
    </w:p>
    <w:p w14:paraId="6CE24643">
      <w:pPr>
        <w:spacing w:line="360" w:lineRule="auto"/>
        <w:ind w:left="420" w:leftChars="200"/>
        <w:outlineLvl w:val="9"/>
        <w:rPr>
          <w:rFonts w:hint="eastAsia" w:ascii="华文中宋" w:hAnsi="华文中宋" w:eastAsia="华文中宋" w:cs="华文中宋"/>
          <w:b/>
          <w:color w:val="auto"/>
          <w:sz w:val="28"/>
          <w:szCs w:val="28"/>
          <w:lang w:bidi="ar"/>
        </w:rPr>
      </w:pPr>
      <w:r>
        <w:rPr>
          <w:rFonts w:hint="eastAsia" w:ascii="华文中宋" w:hAnsi="华文中宋" w:eastAsia="华文中宋" w:cs="华文中宋"/>
          <w:b/>
          <w:color w:val="auto"/>
          <w:sz w:val="28"/>
          <w:szCs w:val="28"/>
          <w:lang w:bidi="ar"/>
        </w:rPr>
        <w:t>（四）已标价工程量清单</w:t>
      </w:r>
      <w:bookmarkEnd w:id="1198"/>
      <w:bookmarkEnd w:id="1199"/>
      <w:bookmarkEnd w:id="1200"/>
      <w:bookmarkEnd w:id="1201"/>
    </w:p>
    <w:p w14:paraId="2F9027C3">
      <w:pPr>
        <w:wordWrap w:val="0"/>
        <w:snapToGrid w:val="0"/>
        <w:spacing w:line="360" w:lineRule="auto"/>
        <w:ind w:firstLine="280" w:firstLineChars="10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说明：已标价工程量清单按第六部分 “工程量清单”中的相关清单表格式填写。构成合同文件的已标价工程量清单包括第六部分“工程量清单”有关工程量清单、磋商报价以及其他说明的内容。</w:t>
      </w:r>
    </w:p>
    <w:p w14:paraId="17ED2CC1">
      <w:pPr>
        <w:jc w:val="both"/>
        <w:outlineLvl w:val="9"/>
        <w:rPr>
          <w:rFonts w:hint="eastAsia" w:ascii="华文中宋" w:hAnsi="华文中宋" w:eastAsia="华文中宋" w:cs="华文中宋"/>
          <w:color w:val="auto"/>
          <w:sz w:val="28"/>
          <w:szCs w:val="28"/>
          <w:highlight w:val="yellow"/>
        </w:rPr>
      </w:pPr>
      <w:bookmarkStart w:id="1202" w:name="_Toc40954065"/>
      <w:bookmarkStart w:id="1203" w:name="_Toc43363094"/>
      <w:bookmarkStart w:id="1204" w:name="_Toc44690698"/>
      <w:bookmarkStart w:id="1205" w:name="_Toc44690624"/>
      <w:r>
        <w:rPr>
          <w:rFonts w:hint="eastAsia" w:ascii="华文中宋" w:hAnsi="华文中宋" w:eastAsia="华文中宋" w:cs="华文中宋"/>
          <w:b/>
          <w:color w:val="auto"/>
          <w:sz w:val="28"/>
          <w:szCs w:val="28"/>
          <w:lang w:bidi="ar"/>
        </w:rPr>
        <w:br w:type="page"/>
      </w:r>
      <w:r>
        <w:rPr>
          <w:rFonts w:hint="eastAsia" w:ascii="华文中宋" w:hAnsi="华文中宋" w:eastAsia="华文中宋" w:cs="华文中宋"/>
          <w:b/>
          <w:bCs w:val="0"/>
          <w:color w:val="auto"/>
          <w:kern w:val="2"/>
          <w:sz w:val="28"/>
          <w:szCs w:val="28"/>
          <w:lang w:val="en-US" w:eastAsia="zh-CN" w:bidi="ar"/>
        </w:rPr>
        <w:t>商务技术文件（综合评分部分）：</w:t>
      </w:r>
    </w:p>
    <w:p w14:paraId="01F3C04E">
      <w:pPr>
        <w:jc w:val="both"/>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（一）施工组织设计</w:t>
      </w:r>
      <w:bookmarkEnd w:id="1202"/>
      <w:bookmarkEnd w:id="1203"/>
      <w:bookmarkEnd w:id="1204"/>
      <w:bookmarkEnd w:id="1205"/>
    </w:p>
    <w:p w14:paraId="0262A5E6">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1、施工组织方案</w:t>
      </w:r>
      <w:r>
        <w:rPr>
          <w:rFonts w:hint="eastAsia" w:ascii="华文中宋" w:hAnsi="华文中宋" w:eastAsia="华文中宋" w:cs="华文中宋"/>
          <w:color w:val="auto"/>
          <w:sz w:val="28"/>
          <w:szCs w:val="28"/>
        </w:rPr>
        <w:t>；</w:t>
      </w:r>
    </w:p>
    <w:p w14:paraId="2D8528BC">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2、</w:t>
      </w:r>
      <w:r>
        <w:rPr>
          <w:rFonts w:hint="eastAsia" w:ascii="华文中宋" w:hAnsi="华文中宋" w:eastAsia="华文中宋" w:cs="华文中宋"/>
          <w:color w:val="auto"/>
          <w:sz w:val="28"/>
          <w:szCs w:val="28"/>
        </w:rPr>
        <w:t>施工进度计划方案；</w:t>
      </w:r>
    </w:p>
    <w:p w14:paraId="562DE79C">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3、</w:t>
      </w:r>
      <w:r>
        <w:rPr>
          <w:rFonts w:hint="eastAsia" w:ascii="华文中宋" w:hAnsi="华文中宋" w:eastAsia="华文中宋" w:cs="华文中宋"/>
          <w:color w:val="auto"/>
          <w:sz w:val="28"/>
          <w:szCs w:val="28"/>
        </w:rPr>
        <w:t>施工质量控制方案；</w:t>
      </w:r>
    </w:p>
    <w:p w14:paraId="16D5AF6F">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4、安全文明施工保障措施方案；</w:t>
      </w:r>
    </w:p>
    <w:p w14:paraId="2357AF54">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5、重、难点分析方案</w:t>
      </w:r>
      <w:r>
        <w:rPr>
          <w:rFonts w:hint="eastAsia" w:ascii="华文中宋" w:hAnsi="华文中宋" w:eastAsia="华文中宋" w:cs="华文中宋"/>
          <w:color w:val="auto"/>
          <w:sz w:val="28"/>
          <w:szCs w:val="28"/>
        </w:rPr>
        <w:t>；</w:t>
      </w:r>
    </w:p>
    <w:p w14:paraId="002CE319">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6、应急预案和紧急事件处置措施。</w:t>
      </w:r>
    </w:p>
    <w:p w14:paraId="58A1632E">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附表一  拟投入本工程的主要施工设备表</w:t>
      </w:r>
    </w:p>
    <w:p w14:paraId="0E40437F">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附表二  拟配备本工程的试验和检测仪器设备表</w:t>
      </w:r>
    </w:p>
    <w:p w14:paraId="0899032C">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附表三  项目管理机构配备情况表</w:t>
      </w:r>
    </w:p>
    <w:p w14:paraId="2FC1998B">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附表四  计划开、竣工日期和施工进度网络图</w:t>
      </w:r>
    </w:p>
    <w:p w14:paraId="45FF9375">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附表五  施工总平面图</w:t>
      </w:r>
    </w:p>
    <w:p w14:paraId="254C8EC1">
      <w:pPr>
        <w:wordWrap w:val="0"/>
        <w:snapToGrid w:val="0"/>
        <w:spacing w:line="360" w:lineRule="auto"/>
        <w:ind w:firstLine="48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sz w:val="28"/>
          <w:szCs w:val="28"/>
        </w:rPr>
        <w:t>附表六  临时用地表</w:t>
      </w:r>
      <w:r>
        <w:rPr>
          <w:rFonts w:hint="eastAsia" w:ascii="华文中宋" w:hAnsi="华文中宋" w:eastAsia="华文中宋" w:cs="华文中宋"/>
          <w:color w:val="auto"/>
          <w:sz w:val="28"/>
          <w:szCs w:val="28"/>
        </w:rPr>
        <w:br w:type="page"/>
      </w:r>
    </w:p>
    <w:p w14:paraId="07B148E7">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附表一：拟投入本工程的主要施工设备表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14:paraId="0072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6DEA9C6E">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序号</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0F11270">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设备名称</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1112596">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型号规格</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52D79C60">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数量</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55F8B0E">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国别产地</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EE76684">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制造年份</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D4C6577">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额定功率</w:t>
            </w:r>
          </w:p>
          <w:p w14:paraId="6213B375">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（KW）</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A0A711E">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生产能力</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4E83A0D">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用于施工部位</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6B27463">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w:t>
            </w:r>
          </w:p>
        </w:tc>
      </w:tr>
      <w:tr w14:paraId="52D9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9C8F438">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A4C070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EB5AE18">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AFB95D3">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64E38B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3AAFE61">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E8108C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4198084">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5873998">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37D45C">
            <w:pPr>
              <w:wordWrap w:val="0"/>
              <w:snapToGrid w:val="0"/>
              <w:spacing w:line="360" w:lineRule="auto"/>
              <w:jc w:val="center"/>
              <w:outlineLvl w:val="9"/>
              <w:rPr>
                <w:rFonts w:hint="eastAsia" w:ascii="华文中宋" w:hAnsi="华文中宋" w:eastAsia="华文中宋" w:cs="华文中宋"/>
                <w:color w:val="auto"/>
              </w:rPr>
            </w:pPr>
          </w:p>
        </w:tc>
      </w:tr>
      <w:tr w14:paraId="77FFA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1318DF83">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D94EF4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A8259AB">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F96C2D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C4A862C">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75C214C">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39A091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C2E073C">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B2AE79">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B4D6E76">
            <w:pPr>
              <w:wordWrap w:val="0"/>
              <w:snapToGrid w:val="0"/>
              <w:spacing w:line="360" w:lineRule="auto"/>
              <w:jc w:val="center"/>
              <w:outlineLvl w:val="9"/>
              <w:rPr>
                <w:rFonts w:hint="eastAsia" w:ascii="华文中宋" w:hAnsi="华文中宋" w:eastAsia="华文中宋" w:cs="华文中宋"/>
                <w:color w:val="auto"/>
              </w:rPr>
            </w:pPr>
          </w:p>
        </w:tc>
      </w:tr>
      <w:tr w14:paraId="7F990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6DD49E5">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5AE94C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00BF0D4">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74921F6">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61E0336">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357F9CE">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727D04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37878E1">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2D028D3">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3354EB00">
            <w:pPr>
              <w:wordWrap w:val="0"/>
              <w:snapToGrid w:val="0"/>
              <w:spacing w:line="360" w:lineRule="auto"/>
              <w:jc w:val="center"/>
              <w:outlineLvl w:val="9"/>
              <w:rPr>
                <w:rFonts w:hint="eastAsia" w:ascii="华文中宋" w:hAnsi="华文中宋" w:eastAsia="华文中宋" w:cs="华文中宋"/>
                <w:color w:val="auto"/>
              </w:rPr>
            </w:pPr>
          </w:p>
        </w:tc>
      </w:tr>
      <w:tr w14:paraId="5A578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892BDF1">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FC930A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7868D86">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773E347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204E48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815446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FC53AA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91CA7EC">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566BC50">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114E866">
            <w:pPr>
              <w:wordWrap w:val="0"/>
              <w:snapToGrid w:val="0"/>
              <w:spacing w:line="360" w:lineRule="auto"/>
              <w:jc w:val="center"/>
              <w:outlineLvl w:val="9"/>
              <w:rPr>
                <w:rFonts w:hint="eastAsia" w:ascii="华文中宋" w:hAnsi="华文中宋" w:eastAsia="华文中宋" w:cs="华文中宋"/>
                <w:color w:val="auto"/>
              </w:rPr>
            </w:pPr>
          </w:p>
        </w:tc>
      </w:tr>
      <w:tr w14:paraId="15EA1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E25D843">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74CD5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BBD7907">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68CE261C">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86BD8E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5ECECFE">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4DA9BD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57CB289">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FAF26A8">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4779CC9">
            <w:pPr>
              <w:wordWrap w:val="0"/>
              <w:snapToGrid w:val="0"/>
              <w:spacing w:line="360" w:lineRule="auto"/>
              <w:jc w:val="center"/>
              <w:outlineLvl w:val="9"/>
              <w:rPr>
                <w:rFonts w:hint="eastAsia" w:ascii="华文中宋" w:hAnsi="华文中宋" w:eastAsia="华文中宋" w:cs="华文中宋"/>
                <w:color w:val="auto"/>
              </w:rPr>
            </w:pPr>
          </w:p>
        </w:tc>
      </w:tr>
      <w:tr w14:paraId="5ED51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92FA23A">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3ECD87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C4BFEF6">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027E7477">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291BF0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FDB7E0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7795035">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AE41AB8">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758F058">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B21102">
            <w:pPr>
              <w:wordWrap w:val="0"/>
              <w:snapToGrid w:val="0"/>
              <w:spacing w:line="360" w:lineRule="auto"/>
              <w:jc w:val="center"/>
              <w:outlineLvl w:val="9"/>
              <w:rPr>
                <w:rFonts w:hint="eastAsia" w:ascii="华文中宋" w:hAnsi="华文中宋" w:eastAsia="华文中宋" w:cs="华文中宋"/>
                <w:color w:val="auto"/>
              </w:rPr>
            </w:pPr>
          </w:p>
        </w:tc>
      </w:tr>
      <w:tr w14:paraId="5945D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9C9141E">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6F538E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078526E">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C14A800">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0FA58F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0CE107B">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9F7FAD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D32109C">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9EDB0DD">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79B13DF">
            <w:pPr>
              <w:wordWrap w:val="0"/>
              <w:snapToGrid w:val="0"/>
              <w:spacing w:line="360" w:lineRule="auto"/>
              <w:jc w:val="center"/>
              <w:outlineLvl w:val="9"/>
              <w:rPr>
                <w:rFonts w:hint="eastAsia" w:ascii="华文中宋" w:hAnsi="华文中宋" w:eastAsia="华文中宋" w:cs="华文中宋"/>
                <w:color w:val="auto"/>
              </w:rPr>
            </w:pPr>
          </w:p>
        </w:tc>
      </w:tr>
      <w:tr w14:paraId="0F0C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D36B54F">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CE3E5F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04306D7">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FD5E46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DEB48E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EB2BF6B">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400C6F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54DC65A">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82A5865">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7DB5C868">
            <w:pPr>
              <w:wordWrap w:val="0"/>
              <w:snapToGrid w:val="0"/>
              <w:spacing w:line="360" w:lineRule="auto"/>
              <w:jc w:val="center"/>
              <w:outlineLvl w:val="9"/>
              <w:rPr>
                <w:rFonts w:hint="eastAsia" w:ascii="华文中宋" w:hAnsi="华文中宋" w:eastAsia="华文中宋" w:cs="华文中宋"/>
                <w:color w:val="auto"/>
              </w:rPr>
            </w:pPr>
          </w:p>
        </w:tc>
      </w:tr>
      <w:tr w14:paraId="0466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1D37F22">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2F5F52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A46FC33">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B53C4C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1AAEB0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1FF7901">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BD8461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352A8F0">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0DB655B">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75F72BF7">
            <w:pPr>
              <w:wordWrap w:val="0"/>
              <w:snapToGrid w:val="0"/>
              <w:spacing w:line="360" w:lineRule="auto"/>
              <w:jc w:val="center"/>
              <w:outlineLvl w:val="9"/>
              <w:rPr>
                <w:rFonts w:hint="eastAsia" w:ascii="华文中宋" w:hAnsi="华文中宋" w:eastAsia="华文中宋" w:cs="华文中宋"/>
                <w:color w:val="auto"/>
              </w:rPr>
            </w:pPr>
          </w:p>
        </w:tc>
      </w:tr>
      <w:tr w14:paraId="2822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C1D8F14">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B3FA6E3">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64AA521">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3E7A597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51490E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F88598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0B76E1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BDEF0C1">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C51B246">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678541BB">
            <w:pPr>
              <w:wordWrap w:val="0"/>
              <w:snapToGrid w:val="0"/>
              <w:spacing w:line="360" w:lineRule="auto"/>
              <w:jc w:val="center"/>
              <w:outlineLvl w:val="9"/>
              <w:rPr>
                <w:rFonts w:hint="eastAsia" w:ascii="华文中宋" w:hAnsi="华文中宋" w:eastAsia="华文中宋" w:cs="华文中宋"/>
                <w:color w:val="auto"/>
              </w:rPr>
            </w:pPr>
          </w:p>
        </w:tc>
      </w:tr>
      <w:tr w14:paraId="78AC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1FDB83C">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3CEACD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EA1EDA9">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921208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CF10C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BBCCB69">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7122A71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A7176F5">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D66A58D">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906356C">
            <w:pPr>
              <w:wordWrap w:val="0"/>
              <w:snapToGrid w:val="0"/>
              <w:spacing w:line="360" w:lineRule="auto"/>
              <w:jc w:val="center"/>
              <w:outlineLvl w:val="9"/>
              <w:rPr>
                <w:rFonts w:hint="eastAsia" w:ascii="华文中宋" w:hAnsi="华文中宋" w:eastAsia="华文中宋" w:cs="华文中宋"/>
                <w:color w:val="auto"/>
              </w:rPr>
            </w:pPr>
          </w:p>
        </w:tc>
      </w:tr>
      <w:tr w14:paraId="2D00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DB700EE">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16E745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0F7EBC7">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01F327E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66758F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4DD881C">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F6A22DC">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BD2F6E2">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2AE8132">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EA56BEE">
            <w:pPr>
              <w:wordWrap w:val="0"/>
              <w:snapToGrid w:val="0"/>
              <w:spacing w:line="360" w:lineRule="auto"/>
              <w:jc w:val="center"/>
              <w:outlineLvl w:val="9"/>
              <w:rPr>
                <w:rFonts w:hint="eastAsia" w:ascii="华文中宋" w:hAnsi="华文中宋" w:eastAsia="华文中宋" w:cs="华文中宋"/>
                <w:color w:val="auto"/>
              </w:rPr>
            </w:pPr>
          </w:p>
        </w:tc>
      </w:tr>
      <w:tr w14:paraId="1D5D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79A9AF7">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FF98D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56AD253">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7F4A8903">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40AB1C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D6E3D6E">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11B42C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9F524C1">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63475DB">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88B2FA3">
            <w:pPr>
              <w:wordWrap w:val="0"/>
              <w:snapToGrid w:val="0"/>
              <w:spacing w:line="360" w:lineRule="auto"/>
              <w:jc w:val="center"/>
              <w:outlineLvl w:val="9"/>
              <w:rPr>
                <w:rFonts w:hint="eastAsia" w:ascii="华文中宋" w:hAnsi="华文中宋" w:eastAsia="华文中宋" w:cs="华文中宋"/>
                <w:color w:val="auto"/>
              </w:rPr>
            </w:pPr>
          </w:p>
        </w:tc>
      </w:tr>
      <w:tr w14:paraId="69BD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E375E28">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48FB29E5">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D238009">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62DE326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8B77CF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D7E116B">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2194F5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13421AB">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033B7AB">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BF2691">
            <w:pPr>
              <w:wordWrap w:val="0"/>
              <w:snapToGrid w:val="0"/>
              <w:spacing w:line="360" w:lineRule="auto"/>
              <w:jc w:val="center"/>
              <w:outlineLvl w:val="9"/>
              <w:rPr>
                <w:rFonts w:hint="eastAsia" w:ascii="华文中宋" w:hAnsi="华文中宋" w:eastAsia="华文中宋" w:cs="华文中宋"/>
                <w:color w:val="auto"/>
              </w:rPr>
            </w:pPr>
          </w:p>
        </w:tc>
      </w:tr>
      <w:tr w14:paraId="2AF6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620CCC5">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9DC7FC7">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20DF6B1">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3A172F2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059725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98DDCE7">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FA463A6">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0539C07">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81A88A4">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F0BC782">
            <w:pPr>
              <w:wordWrap w:val="0"/>
              <w:snapToGrid w:val="0"/>
              <w:spacing w:line="360" w:lineRule="auto"/>
              <w:jc w:val="center"/>
              <w:outlineLvl w:val="9"/>
              <w:rPr>
                <w:rFonts w:hint="eastAsia" w:ascii="华文中宋" w:hAnsi="华文中宋" w:eastAsia="华文中宋" w:cs="华文中宋"/>
                <w:color w:val="auto"/>
              </w:rPr>
            </w:pPr>
          </w:p>
        </w:tc>
      </w:tr>
      <w:tr w14:paraId="35BB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4BEB2B8">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6B9F120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916D103">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D04E6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906A0C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988BE8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997670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5858A30">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65CA477">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DA24F4E">
            <w:pPr>
              <w:wordWrap w:val="0"/>
              <w:snapToGrid w:val="0"/>
              <w:spacing w:line="360" w:lineRule="auto"/>
              <w:jc w:val="center"/>
              <w:outlineLvl w:val="9"/>
              <w:rPr>
                <w:rFonts w:hint="eastAsia" w:ascii="华文中宋" w:hAnsi="华文中宋" w:eastAsia="华文中宋" w:cs="华文中宋"/>
                <w:color w:val="auto"/>
              </w:rPr>
            </w:pPr>
          </w:p>
        </w:tc>
      </w:tr>
      <w:tr w14:paraId="604E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A27ED9B">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B4BB45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55C9896">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3B1A7FB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DDF86D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6EB33E9">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DFAF37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32F26B3">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A43EA4">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2B2A6AE">
            <w:pPr>
              <w:wordWrap w:val="0"/>
              <w:snapToGrid w:val="0"/>
              <w:spacing w:line="360" w:lineRule="auto"/>
              <w:jc w:val="center"/>
              <w:outlineLvl w:val="9"/>
              <w:rPr>
                <w:rFonts w:hint="eastAsia" w:ascii="华文中宋" w:hAnsi="华文中宋" w:eastAsia="华文中宋" w:cs="华文中宋"/>
                <w:color w:val="auto"/>
              </w:rPr>
            </w:pPr>
          </w:p>
        </w:tc>
      </w:tr>
      <w:tr w14:paraId="430E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31E3A39">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56D592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C30D409">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B3B7B6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D0CEAC5">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7A091D1">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41F09C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C09E50B">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3CBDFB7">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B7436A6">
            <w:pPr>
              <w:wordWrap w:val="0"/>
              <w:snapToGrid w:val="0"/>
              <w:spacing w:line="360" w:lineRule="auto"/>
              <w:jc w:val="center"/>
              <w:outlineLvl w:val="9"/>
              <w:rPr>
                <w:rFonts w:hint="eastAsia" w:ascii="华文中宋" w:hAnsi="华文中宋" w:eastAsia="华文中宋" w:cs="华文中宋"/>
                <w:color w:val="auto"/>
              </w:rPr>
            </w:pPr>
          </w:p>
        </w:tc>
      </w:tr>
      <w:tr w14:paraId="74C3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34BDDFF">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27694A0">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FDBC63D">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CFDEE3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8673F8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80B026A">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9C53AC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E6DE208">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12CCF59">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BA261E3">
            <w:pPr>
              <w:wordWrap w:val="0"/>
              <w:snapToGrid w:val="0"/>
              <w:spacing w:line="360" w:lineRule="auto"/>
              <w:jc w:val="center"/>
              <w:outlineLvl w:val="9"/>
              <w:rPr>
                <w:rFonts w:hint="eastAsia" w:ascii="华文中宋" w:hAnsi="华文中宋" w:eastAsia="华文中宋" w:cs="华文中宋"/>
                <w:color w:val="auto"/>
              </w:rPr>
            </w:pPr>
          </w:p>
        </w:tc>
      </w:tr>
    </w:tbl>
    <w:p w14:paraId="7F3C2365">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25701E9">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附表二：拟配备本工程的试验和检测仪器设备表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14:paraId="4B39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21ECADF">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1DF0883">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仪器设备名称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6481F75">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型号规格</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76E8EEA7">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数量</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344CE30">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国别产地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22EDD30">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制造年份</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7383D6B">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已使用台时数</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0E2490AA">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用途</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0341372A">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w:t>
            </w:r>
          </w:p>
        </w:tc>
      </w:tr>
      <w:tr w14:paraId="64A2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7DBED5D">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35A1FC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F450AB3">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0CD21D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7D7EAC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880CF9A">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8BC950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7CCA1C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32BD47B">
            <w:pPr>
              <w:wordWrap w:val="0"/>
              <w:snapToGrid w:val="0"/>
              <w:spacing w:line="360" w:lineRule="auto"/>
              <w:jc w:val="center"/>
              <w:outlineLvl w:val="9"/>
              <w:rPr>
                <w:rFonts w:hint="eastAsia" w:ascii="华文中宋" w:hAnsi="华文中宋" w:eastAsia="华文中宋" w:cs="华文中宋"/>
                <w:color w:val="auto"/>
              </w:rPr>
            </w:pPr>
          </w:p>
        </w:tc>
      </w:tr>
      <w:tr w14:paraId="6534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F89697D">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5C149D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3D8CA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49FA84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3BBC5C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F322E1">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C0604D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8ED04F0">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270D006">
            <w:pPr>
              <w:wordWrap w:val="0"/>
              <w:snapToGrid w:val="0"/>
              <w:spacing w:line="360" w:lineRule="auto"/>
              <w:jc w:val="center"/>
              <w:outlineLvl w:val="9"/>
              <w:rPr>
                <w:rFonts w:hint="eastAsia" w:ascii="华文中宋" w:hAnsi="华文中宋" w:eastAsia="华文中宋" w:cs="华文中宋"/>
                <w:color w:val="auto"/>
              </w:rPr>
            </w:pPr>
          </w:p>
        </w:tc>
      </w:tr>
      <w:tr w14:paraId="642CB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43C4AEF6">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B3C276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CD6C3D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68B5325">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CEE87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AF0C0E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E3BE90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DD4270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1A6FD86">
            <w:pPr>
              <w:wordWrap w:val="0"/>
              <w:snapToGrid w:val="0"/>
              <w:spacing w:line="360" w:lineRule="auto"/>
              <w:jc w:val="center"/>
              <w:outlineLvl w:val="9"/>
              <w:rPr>
                <w:rFonts w:hint="eastAsia" w:ascii="华文中宋" w:hAnsi="华文中宋" w:eastAsia="华文中宋" w:cs="华文中宋"/>
                <w:color w:val="auto"/>
              </w:rPr>
            </w:pPr>
          </w:p>
        </w:tc>
      </w:tr>
      <w:tr w14:paraId="48FC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53BDD012">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3053F8D">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AC45817">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A6A0E7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02AFB7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948595">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12D674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7609D9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105DDEB">
            <w:pPr>
              <w:wordWrap w:val="0"/>
              <w:snapToGrid w:val="0"/>
              <w:spacing w:line="360" w:lineRule="auto"/>
              <w:jc w:val="center"/>
              <w:outlineLvl w:val="9"/>
              <w:rPr>
                <w:rFonts w:hint="eastAsia" w:ascii="华文中宋" w:hAnsi="华文中宋" w:eastAsia="华文中宋" w:cs="华文中宋"/>
                <w:color w:val="auto"/>
              </w:rPr>
            </w:pPr>
          </w:p>
        </w:tc>
      </w:tr>
      <w:tr w14:paraId="780E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25DBF60">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A3D33A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A46A7C">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A85936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87F25D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9FF63F8">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1C04F8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1510D5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4344953">
            <w:pPr>
              <w:wordWrap w:val="0"/>
              <w:snapToGrid w:val="0"/>
              <w:spacing w:line="360" w:lineRule="auto"/>
              <w:jc w:val="center"/>
              <w:outlineLvl w:val="9"/>
              <w:rPr>
                <w:rFonts w:hint="eastAsia" w:ascii="华文中宋" w:hAnsi="华文中宋" w:eastAsia="华文中宋" w:cs="华文中宋"/>
                <w:color w:val="auto"/>
              </w:rPr>
            </w:pPr>
          </w:p>
        </w:tc>
      </w:tr>
      <w:tr w14:paraId="4BC45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814507B">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D4A8B7A">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0FE37D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27EC01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0961E1A">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A8A315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AF1E37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65F4FF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1BA2653">
            <w:pPr>
              <w:wordWrap w:val="0"/>
              <w:snapToGrid w:val="0"/>
              <w:spacing w:line="360" w:lineRule="auto"/>
              <w:jc w:val="center"/>
              <w:outlineLvl w:val="9"/>
              <w:rPr>
                <w:rFonts w:hint="eastAsia" w:ascii="华文中宋" w:hAnsi="华文中宋" w:eastAsia="华文中宋" w:cs="华文中宋"/>
                <w:color w:val="auto"/>
              </w:rPr>
            </w:pPr>
          </w:p>
        </w:tc>
      </w:tr>
      <w:tr w14:paraId="014E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68F8288">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ABD50C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B8DFCB8">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03DDACD">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7DFA970">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B469FF4">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B175AA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B6C2A8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2FC5273">
            <w:pPr>
              <w:wordWrap w:val="0"/>
              <w:snapToGrid w:val="0"/>
              <w:spacing w:line="360" w:lineRule="auto"/>
              <w:jc w:val="center"/>
              <w:outlineLvl w:val="9"/>
              <w:rPr>
                <w:rFonts w:hint="eastAsia" w:ascii="华文中宋" w:hAnsi="华文中宋" w:eastAsia="华文中宋" w:cs="华文中宋"/>
                <w:color w:val="auto"/>
              </w:rPr>
            </w:pPr>
          </w:p>
        </w:tc>
      </w:tr>
      <w:tr w14:paraId="4808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963AB19">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59FB6A5">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5F68EB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03844C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D65E71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5B079B7">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56CDED0">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091172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E2B0342">
            <w:pPr>
              <w:wordWrap w:val="0"/>
              <w:snapToGrid w:val="0"/>
              <w:spacing w:line="360" w:lineRule="auto"/>
              <w:jc w:val="center"/>
              <w:outlineLvl w:val="9"/>
              <w:rPr>
                <w:rFonts w:hint="eastAsia" w:ascii="华文中宋" w:hAnsi="华文中宋" w:eastAsia="华文中宋" w:cs="华文中宋"/>
                <w:color w:val="auto"/>
              </w:rPr>
            </w:pPr>
          </w:p>
        </w:tc>
      </w:tr>
      <w:tr w14:paraId="133CD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B8BD0A1">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C597F8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FA64263">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B1036C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78ECC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5D43382">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F49B74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881E1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B166B05">
            <w:pPr>
              <w:wordWrap w:val="0"/>
              <w:snapToGrid w:val="0"/>
              <w:spacing w:line="360" w:lineRule="auto"/>
              <w:jc w:val="center"/>
              <w:outlineLvl w:val="9"/>
              <w:rPr>
                <w:rFonts w:hint="eastAsia" w:ascii="华文中宋" w:hAnsi="华文中宋" w:eastAsia="华文中宋" w:cs="华文中宋"/>
                <w:color w:val="auto"/>
              </w:rPr>
            </w:pPr>
          </w:p>
        </w:tc>
      </w:tr>
      <w:tr w14:paraId="24E94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1A8E98D3">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A0DD76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6C2555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543E64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077E75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E34401E">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B405B8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CCBD6A7">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88B8CE2">
            <w:pPr>
              <w:wordWrap w:val="0"/>
              <w:snapToGrid w:val="0"/>
              <w:spacing w:line="360" w:lineRule="auto"/>
              <w:jc w:val="center"/>
              <w:outlineLvl w:val="9"/>
              <w:rPr>
                <w:rFonts w:hint="eastAsia" w:ascii="华文中宋" w:hAnsi="华文中宋" w:eastAsia="华文中宋" w:cs="华文中宋"/>
                <w:color w:val="auto"/>
              </w:rPr>
            </w:pPr>
          </w:p>
        </w:tc>
      </w:tr>
      <w:tr w14:paraId="2CB8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3756332">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0CC132D">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B8689C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08DC0C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25DB72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B39FFDA">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3E8FEF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D248E68">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13CB9D0">
            <w:pPr>
              <w:wordWrap w:val="0"/>
              <w:snapToGrid w:val="0"/>
              <w:spacing w:line="360" w:lineRule="auto"/>
              <w:jc w:val="center"/>
              <w:outlineLvl w:val="9"/>
              <w:rPr>
                <w:rFonts w:hint="eastAsia" w:ascii="华文中宋" w:hAnsi="华文中宋" w:eastAsia="华文中宋" w:cs="华文中宋"/>
                <w:color w:val="auto"/>
              </w:rPr>
            </w:pPr>
          </w:p>
        </w:tc>
      </w:tr>
      <w:tr w14:paraId="477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4F29EC87">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4292EF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B55BE1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02A09BB">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DD46C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16148EA">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7FA522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1C0AFA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4B667DC">
            <w:pPr>
              <w:wordWrap w:val="0"/>
              <w:snapToGrid w:val="0"/>
              <w:spacing w:line="360" w:lineRule="auto"/>
              <w:jc w:val="center"/>
              <w:outlineLvl w:val="9"/>
              <w:rPr>
                <w:rFonts w:hint="eastAsia" w:ascii="华文中宋" w:hAnsi="华文中宋" w:eastAsia="华文中宋" w:cs="华文中宋"/>
                <w:color w:val="auto"/>
              </w:rPr>
            </w:pPr>
          </w:p>
        </w:tc>
      </w:tr>
      <w:tr w14:paraId="4738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5A3D650">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B3A7E8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0C0CC87">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93776E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19FDE5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B05C824">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C472B4A">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A4CBC63">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AAE222D">
            <w:pPr>
              <w:wordWrap w:val="0"/>
              <w:snapToGrid w:val="0"/>
              <w:spacing w:line="360" w:lineRule="auto"/>
              <w:jc w:val="center"/>
              <w:outlineLvl w:val="9"/>
              <w:rPr>
                <w:rFonts w:hint="eastAsia" w:ascii="华文中宋" w:hAnsi="华文中宋" w:eastAsia="华文中宋" w:cs="华文中宋"/>
                <w:color w:val="auto"/>
              </w:rPr>
            </w:pPr>
          </w:p>
        </w:tc>
      </w:tr>
      <w:tr w14:paraId="6CD6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1DA5EF6E">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8E5A81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234A3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C0CFE4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0DB61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D5F02C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1CC5E5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FA5A9E8">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B13ED9">
            <w:pPr>
              <w:wordWrap w:val="0"/>
              <w:snapToGrid w:val="0"/>
              <w:spacing w:line="360" w:lineRule="auto"/>
              <w:jc w:val="center"/>
              <w:outlineLvl w:val="9"/>
              <w:rPr>
                <w:rFonts w:hint="eastAsia" w:ascii="华文中宋" w:hAnsi="华文中宋" w:eastAsia="华文中宋" w:cs="华文中宋"/>
                <w:color w:val="auto"/>
              </w:rPr>
            </w:pPr>
          </w:p>
        </w:tc>
      </w:tr>
      <w:tr w14:paraId="21E0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21EC0084">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AB2DA3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AF929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023EDE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DBAF8C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8318C6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3BD3FF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4F03A4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C1FFC3">
            <w:pPr>
              <w:wordWrap w:val="0"/>
              <w:snapToGrid w:val="0"/>
              <w:spacing w:line="360" w:lineRule="auto"/>
              <w:jc w:val="center"/>
              <w:outlineLvl w:val="9"/>
              <w:rPr>
                <w:rFonts w:hint="eastAsia" w:ascii="华文中宋" w:hAnsi="华文中宋" w:eastAsia="华文中宋" w:cs="华文中宋"/>
                <w:color w:val="auto"/>
              </w:rPr>
            </w:pPr>
          </w:p>
        </w:tc>
      </w:tr>
      <w:tr w14:paraId="6124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2D96FB8">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4DB431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6C9637C">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90E8A0A">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4D594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D42391">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A72EB3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983194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A542A28">
            <w:pPr>
              <w:wordWrap w:val="0"/>
              <w:snapToGrid w:val="0"/>
              <w:spacing w:line="360" w:lineRule="auto"/>
              <w:jc w:val="center"/>
              <w:outlineLvl w:val="9"/>
              <w:rPr>
                <w:rFonts w:hint="eastAsia" w:ascii="华文中宋" w:hAnsi="华文中宋" w:eastAsia="华文中宋" w:cs="华文中宋"/>
                <w:color w:val="auto"/>
              </w:rPr>
            </w:pPr>
          </w:p>
        </w:tc>
      </w:tr>
      <w:tr w14:paraId="5BEC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23FAB96">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C40E8C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45D0FD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7C5C6A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FD5FFA0">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C260B30">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199C80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A7ED4B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5E433D1">
            <w:pPr>
              <w:wordWrap w:val="0"/>
              <w:snapToGrid w:val="0"/>
              <w:spacing w:line="360" w:lineRule="auto"/>
              <w:jc w:val="center"/>
              <w:outlineLvl w:val="9"/>
              <w:rPr>
                <w:rFonts w:hint="eastAsia" w:ascii="华文中宋" w:hAnsi="华文中宋" w:eastAsia="华文中宋" w:cs="华文中宋"/>
                <w:color w:val="auto"/>
              </w:rPr>
            </w:pPr>
          </w:p>
        </w:tc>
      </w:tr>
      <w:tr w14:paraId="0C22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1C24466">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A5936C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0278F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7B20B1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04BFA1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71456C">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90490E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73D700A">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24DB34F">
            <w:pPr>
              <w:wordWrap w:val="0"/>
              <w:snapToGrid w:val="0"/>
              <w:spacing w:line="360" w:lineRule="auto"/>
              <w:jc w:val="center"/>
              <w:outlineLvl w:val="9"/>
              <w:rPr>
                <w:rFonts w:hint="eastAsia" w:ascii="华文中宋" w:hAnsi="华文中宋" w:eastAsia="华文中宋" w:cs="华文中宋"/>
                <w:color w:val="auto"/>
              </w:rPr>
            </w:pPr>
          </w:p>
        </w:tc>
      </w:tr>
      <w:tr w14:paraId="7545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990F7EA">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BAECED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AACFFA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70A543F">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F1FF90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9D7C08">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2FA834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B319CB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389EC2A">
            <w:pPr>
              <w:wordWrap w:val="0"/>
              <w:snapToGrid w:val="0"/>
              <w:spacing w:line="360" w:lineRule="auto"/>
              <w:jc w:val="center"/>
              <w:outlineLvl w:val="9"/>
              <w:rPr>
                <w:rFonts w:hint="eastAsia" w:ascii="华文中宋" w:hAnsi="华文中宋" w:eastAsia="华文中宋" w:cs="华文中宋"/>
                <w:color w:val="auto"/>
              </w:rPr>
            </w:pPr>
          </w:p>
        </w:tc>
      </w:tr>
      <w:tr w14:paraId="5F8A6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5DD683F">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B343DB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544A5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F4F509F">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CB251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70FEB68">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F8DCFE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3CE2DE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F2B2CEE">
            <w:pPr>
              <w:wordWrap w:val="0"/>
              <w:snapToGrid w:val="0"/>
              <w:spacing w:line="360" w:lineRule="auto"/>
              <w:jc w:val="center"/>
              <w:outlineLvl w:val="9"/>
              <w:rPr>
                <w:rFonts w:hint="eastAsia" w:ascii="华文中宋" w:hAnsi="华文中宋" w:eastAsia="华文中宋" w:cs="华文中宋"/>
                <w:color w:val="auto"/>
              </w:rPr>
            </w:pPr>
          </w:p>
        </w:tc>
      </w:tr>
      <w:tr w14:paraId="53EE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2C2D2E5">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917CA50">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EC53B66">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BC1CBB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BB7FA1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AC40EC">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41DDD1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2251B7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B8B331D">
            <w:pPr>
              <w:wordWrap w:val="0"/>
              <w:snapToGrid w:val="0"/>
              <w:spacing w:line="360" w:lineRule="auto"/>
              <w:jc w:val="center"/>
              <w:outlineLvl w:val="9"/>
              <w:rPr>
                <w:rFonts w:hint="eastAsia" w:ascii="华文中宋" w:hAnsi="华文中宋" w:eastAsia="华文中宋" w:cs="华文中宋"/>
                <w:color w:val="auto"/>
              </w:rPr>
            </w:pPr>
          </w:p>
        </w:tc>
      </w:tr>
    </w:tbl>
    <w:p w14:paraId="36580A80">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BDD8F36">
      <w:pPr>
        <w:wordWrap w:val="0"/>
        <w:snapToGrid w:val="0"/>
        <w:spacing w:before="156" w:after="312" w:line="360" w:lineRule="auto"/>
        <w:jc w:val="left"/>
        <w:outlineLvl w:val="9"/>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28"/>
          <w:szCs w:val="32"/>
        </w:rPr>
        <w:t>附表三：项目管理机构配备情况表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691"/>
        <w:gridCol w:w="691"/>
        <w:gridCol w:w="1166"/>
        <w:gridCol w:w="691"/>
        <w:gridCol w:w="691"/>
        <w:gridCol w:w="691"/>
        <w:gridCol w:w="1404"/>
        <w:gridCol w:w="929"/>
        <w:gridCol w:w="1642"/>
      </w:tblGrid>
      <w:tr w14:paraId="6FAF8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0808B534">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职务</w:t>
            </w:r>
          </w:p>
        </w:tc>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14:paraId="78144516">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姓名</w:t>
            </w:r>
          </w:p>
        </w:tc>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14:paraId="5E5083B0">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职称</w:t>
            </w:r>
          </w:p>
        </w:tc>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4740554A">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执业或职业资格证明</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14:paraId="56FE93BC">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已承担在建工程情况</w:t>
            </w:r>
          </w:p>
        </w:tc>
      </w:tr>
      <w:tr w14:paraId="0A20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08928C3">
            <w:pPr>
              <w:spacing w:line="240" w:lineRule="auto"/>
              <w:jc w:val="center"/>
              <w:outlineLvl w:val="9"/>
              <w:rPr>
                <w:rFonts w:hint="eastAsia" w:ascii="华文中宋" w:hAnsi="华文中宋" w:eastAsia="华文中宋" w:cs="华文中宋"/>
                <w:color w:val="auto"/>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70604B92">
            <w:pPr>
              <w:spacing w:line="240" w:lineRule="auto"/>
              <w:jc w:val="center"/>
              <w:outlineLvl w:val="9"/>
              <w:rPr>
                <w:rFonts w:hint="eastAsia" w:ascii="华文中宋" w:hAnsi="华文中宋" w:eastAsia="华文中宋" w:cs="华文中宋"/>
                <w:color w:val="auto"/>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33863B62">
            <w:pPr>
              <w:spacing w:line="240" w:lineRule="auto"/>
              <w:jc w:val="center"/>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4C1CDB1">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证书名称</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617185D">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级别</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AECD363">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证号</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7C99C593">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专业</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8311C99">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原服务单位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5B0C881">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项目数</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C2374B4">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主要项目名称</w:t>
            </w:r>
          </w:p>
        </w:tc>
      </w:tr>
      <w:tr w14:paraId="5A07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AF6B68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13AB0B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69742E1">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DBBC94">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EDE130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DA8CEF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E4EA2FD">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BCD284A">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382E38C">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D436AB0">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01C1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6009034">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09DCD8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614CF75">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8AD08E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05DC7D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A62D89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5C0C532">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D0A26E8">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11FD557E">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E724A89">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5AE5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6FFF27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922783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6C6E4D2">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9C863F3">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34326E7">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531E40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30F7DEA">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6AA3E2">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79FE36F9">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74269DE">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4F0C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532151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F5C24F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1DA2F57">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25713B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4A2772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284A9DD">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1B24D61">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62B68FA">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7F08E0A">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D8AEC9E">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5421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D061C8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D5193D7">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E080898">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120587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676613F">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05CF92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EE9FDBA">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5BE779">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3D6AA84">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862DE04">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112E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EFFC43E">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C49AB97">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6B7EE5C">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45A14E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C498F3E">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FE96DD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EC234F0">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5536788">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3BFF683">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0C35071">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0337E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6E70FA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C556D4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1652EF3">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745781F">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2CA1C4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B7407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0A1DE78">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DA69543">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3E836FB">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AA41111">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3BB5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A5918B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4EE353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6BDD910">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E5AC1BF">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FF5618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BA7D01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70BDB08">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A3DB9E">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6B0D96B0">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6E1C489">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002F5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0CF1EE0">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E47EDB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6C4CD2C">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1BE30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6482FE0">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FF2110">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1464502">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C55FD93">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2DCAF3E">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64125FA">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705E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77AAEE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D32DA8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C6FC989">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6F4BF1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EB8998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B7DF726">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F104354">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F3EF904">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7656F37C">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5BEEFF0">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3DC8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E670C4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E93A5E">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DE8491">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0E18E9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8B507D6">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27610F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97F8792">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B0704B6">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618BE785">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C12AF46">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2472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7E7B8E18">
            <w:pPr>
              <w:wordWrap w:val="0"/>
              <w:snapToGrid w:val="0"/>
              <w:spacing w:line="360" w:lineRule="auto"/>
              <w:ind w:firstLine="360"/>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本表后附相关人员证件及其他证明文件</w:t>
            </w:r>
          </w:p>
        </w:tc>
      </w:tr>
    </w:tbl>
    <w:p w14:paraId="7E20F0C8">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5AB415C">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附表四：计划开、竣工日期和施工进度网络图</w:t>
      </w:r>
    </w:p>
    <w:p w14:paraId="222CCB93">
      <w:pPr>
        <w:wordWrap w:val="0"/>
        <w:snapToGrid w:val="0"/>
        <w:spacing w:line="360" w:lineRule="auto"/>
        <w:ind w:firstLine="480"/>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1．磋商供应商应递交施工进度网络图或施工进度表，说明按磋商文件要求的计划工期进行施工的各个关键日期。</w:t>
      </w:r>
    </w:p>
    <w:p w14:paraId="1677BDCA">
      <w:pPr>
        <w:wordWrap w:val="0"/>
        <w:snapToGrid w:val="0"/>
        <w:spacing w:line="360" w:lineRule="auto"/>
        <w:ind w:firstLine="480"/>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2．施工进度表可采用网络图和（或）横道图表示。</w:t>
      </w:r>
    </w:p>
    <w:p w14:paraId="619F48FE">
      <w:pPr>
        <w:wordWrap w:val="0"/>
        <w:snapToGrid w:val="0"/>
        <w:spacing w:line="360" w:lineRule="auto"/>
        <w:jc w:val="left"/>
        <w:outlineLvl w:val="9"/>
        <w:rPr>
          <w:rFonts w:hint="eastAsia" w:ascii="华文中宋" w:hAnsi="华文中宋" w:eastAsia="华文中宋" w:cs="华文中宋"/>
          <w:color w:val="auto"/>
          <w:sz w:val="28"/>
          <w:szCs w:val="32"/>
        </w:rPr>
      </w:pPr>
    </w:p>
    <w:p w14:paraId="6B596E5D">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附表五：施工总平面图</w:t>
      </w:r>
    </w:p>
    <w:p w14:paraId="03E5ABBE">
      <w:pPr>
        <w:wordWrap w:val="0"/>
        <w:snapToGrid w:val="0"/>
        <w:spacing w:line="360" w:lineRule="auto"/>
        <w:ind w:firstLine="480"/>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磋商供应商应递交一份施工总平面图，绘出现场临时设施布置图表并附文字说明，说明临时设施、加工车间、现场办公、设备及仓储、供电、供水、卫生、生活、道路、消防等设施的情况和布置。</w:t>
      </w:r>
    </w:p>
    <w:p w14:paraId="614FF875">
      <w:pPr>
        <w:wordWrap w:val="0"/>
        <w:snapToGrid w:val="0"/>
        <w:spacing w:line="360" w:lineRule="auto"/>
        <w:jc w:val="left"/>
        <w:outlineLvl w:val="9"/>
        <w:rPr>
          <w:rFonts w:hint="eastAsia" w:ascii="华文中宋" w:hAnsi="华文中宋" w:eastAsia="华文中宋" w:cs="华文中宋"/>
          <w:color w:val="auto"/>
          <w:sz w:val="28"/>
          <w:szCs w:val="32"/>
        </w:rPr>
      </w:pPr>
    </w:p>
    <w:p w14:paraId="201D8503">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附表六：临时用地表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8"/>
        <w:gridCol w:w="2271"/>
        <w:gridCol w:w="2269"/>
        <w:gridCol w:w="2268"/>
      </w:tblGrid>
      <w:tr w14:paraId="5118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2CD70146">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用  途</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81DFBB5">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面积（平方米）</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64BF00E">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位  置</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11AAB3">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需用时间</w:t>
            </w:r>
          </w:p>
        </w:tc>
      </w:tr>
      <w:tr w14:paraId="5990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6569F1F0">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9A3DFF9">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CDDB859">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E20CF2">
            <w:pPr>
              <w:wordWrap w:val="0"/>
              <w:snapToGrid w:val="0"/>
              <w:spacing w:line="360" w:lineRule="auto"/>
              <w:outlineLvl w:val="9"/>
              <w:rPr>
                <w:rFonts w:hint="eastAsia" w:ascii="华文中宋" w:hAnsi="华文中宋" w:eastAsia="华文中宋" w:cs="华文中宋"/>
                <w:color w:val="auto"/>
                <w:sz w:val="24"/>
                <w:szCs w:val="24"/>
              </w:rPr>
            </w:pPr>
          </w:p>
        </w:tc>
      </w:tr>
      <w:tr w14:paraId="7E030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6280F02C">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FC6BD2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C26B07A">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F40D0F">
            <w:pPr>
              <w:wordWrap w:val="0"/>
              <w:snapToGrid w:val="0"/>
              <w:spacing w:line="360" w:lineRule="auto"/>
              <w:outlineLvl w:val="9"/>
              <w:rPr>
                <w:rFonts w:hint="eastAsia" w:ascii="华文中宋" w:hAnsi="华文中宋" w:eastAsia="华文中宋" w:cs="华文中宋"/>
                <w:color w:val="auto"/>
                <w:sz w:val="24"/>
                <w:szCs w:val="24"/>
              </w:rPr>
            </w:pPr>
          </w:p>
        </w:tc>
      </w:tr>
      <w:tr w14:paraId="1B05C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41D04877">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9269AE4">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3703880">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350B25">
            <w:pPr>
              <w:wordWrap w:val="0"/>
              <w:snapToGrid w:val="0"/>
              <w:spacing w:line="360" w:lineRule="auto"/>
              <w:outlineLvl w:val="9"/>
              <w:rPr>
                <w:rFonts w:hint="eastAsia" w:ascii="华文中宋" w:hAnsi="华文中宋" w:eastAsia="华文中宋" w:cs="华文中宋"/>
                <w:color w:val="auto"/>
                <w:sz w:val="24"/>
                <w:szCs w:val="24"/>
              </w:rPr>
            </w:pPr>
          </w:p>
        </w:tc>
      </w:tr>
      <w:tr w14:paraId="76E4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2FACEEBB">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340040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6F3FCC8">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472269">
            <w:pPr>
              <w:wordWrap w:val="0"/>
              <w:snapToGrid w:val="0"/>
              <w:spacing w:line="360" w:lineRule="auto"/>
              <w:outlineLvl w:val="9"/>
              <w:rPr>
                <w:rFonts w:hint="eastAsia" w:ascii="华文中宋" w:hAnsi="华文中宋" w:eastAsia="华文中宋" w:cs="华文中宋"/>
                <w:color w:val="auto"/>
                <w:sz w:val="24"/>
                <w:szCs w:val="24"/>
              </w:rPr>
            </w:pPr>
          </w:p>
        </w:tc>
      </w:tr>
      <w:tr w14:paraId="38569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52208439">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5604EFA">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38AAC7">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3E85F0">
            <w:pPr>
              <w:wordWrap w:val="0"/>
              <w:snapToGrid w:val="0"/>
              <w:spacing w:line="360" w:lineRule="auto"/>
              <w:outlineLvl w:val="9"/>
              <w:rPr>
                <w:rFonts w:hint="eastAsia" w:ascii="华文中宋" w:hAnsi="华文中宋" w:eastAsia="华文中宋" w:cs="华文中宋"/>
                <w:color w:val="auto"/>
                <w:sz w:val="24"/>
                <w:szCs w:val="24"/>
              </w:rPr>
            </w:pPr>
          </w:p>
        </w:tc>
      </w:tr>
      <w:tr w14:paraId="5D1E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7CDE89E3">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50495F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8C43581">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12827C">
            <w:pPr>
              <w:wordWrap w:val="0"/>
              <w:snapToGrid w:val="0"/>
              <w:spacing w:line="360" w:lineRule="auto"/>
              <w:outlineLvl w:val="9"/>
              <w:rPr>
                <w:rFonts w:hint="eastAsia" w:ascii="华文中宋" w:hAnsi="华文中宋" w:eastAsia="华文中宋" w:cs="华文中宋"/>
                <w:color w:val="auto"/>
                <w:sz w:val="24"/>
                <w:szCs w:val="24"/>
              </w:rPr>
            </w:pPr>
          </w:p>
        </w:tc>
      </w:tr>
      <w:tr w14:paraId="347F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3FEAB90C">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CF03F6B">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08ADA50">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35EF1DC">
            <w:pPr>
              <w:wordWrap w:val="0"/>
              <w:snapToGrid w:val="0"/>
              <w:spacing w:line="360" w:lineRule="auto"/>
              <w:outlineLvl w:val="9"/>
              <w:rPr>
                <w:rFonts w:hint="eastAsia" w:ascii="华文中宋" w:hAnsi="华文中宋" w:eastAsia="华文中宋" w:cs="华文中宋"/>
                <w:color w:val="auto"/>
                <w:sz w:val="24"/>
                <w:szCs w:val="24"/>
              </w:rPr>
            </w:pPr>
          </w:p>
        </w:tc>
      </w:tr>
      <w:tr w14:paraId="5F362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4E47C1F6">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A6E8C2E">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6B4A781">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933641">
            <w:pPr>
              <w:wordWrap w:val="0"/>
              <w:snapToGrid w:val="0"/>
              <w:spacing w:line="360" w:lineRule="auto"/>
              <w:outlineLvl w:val="9"/>
              <w:rPr>
                <w:rFonts w:hint="eastAsia" w:ascii="华文中宋" w:hAnsi="华文中宋" w:eastAsia="华文中宋" w:cs="华文中宋"/>
                <w:color w:val="auto"/>
                <w:sz w:val="24"/>
                <w:szCs w:val="24"/>
              </w:rPr>
            </w:pPr>
          </w:p>
        </w:tc>
      </w:tr>
      <w:tr w14:paraId="38E5C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74FA6322">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32B13EC">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0EF23BC">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E5C344">
            <w:pPr>
              <w:wordWrap w:val="0"/>
              <w:snapToGrid w:val="0"/>
              <w:spacing w:line="360" w:lineRule="auto"/>
              <w:outlineLvl w:val="9"/>
              <w:rPr>
                <w:rFonts w:hint="eastAsia" w:ascii="华文中宋" w:hAnsi="华文中宋" w:eastAsia="华文中宋" w:cs="华文中宋"/>
                <w:color w:val="auto"/>
                <w:sz w:val="24"/>
                <w:szCs w:val="24"/>
              </w:rPr>
            </w:pPr>
          </w:p>
        </w:tc>
      </w:tr>
      <w:tr w14:paraId="0196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3C6FF73D">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215A9FF">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F1982A9">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84B4AF">
            <w:pPr>
              <w:wordWrap w:val="0"/>
              <w:snapToGrid w:val="0"/>
              <w:spacing w:line="360" w:lineRule="auto"/>
              <w:outlineLvl w:val="9"/>
              <w:rPr>
                <w:rFonts w:hint="eastAsia" w:ascii="华文中宋" w:hAnsi="华文中宋" w:eastAsia="华文中宋" w:cs="华文中宋"/>
                <w:color w:val="auto"/>
                <w:sz w:val="24"/>
                <w:szCs w:val="24"/>
              </w:rPr>
            </w:pPr>
          </w:p>
        </w:tc>
      </w:tr>
      <w:tr w14:paraId="058C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6C262135">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3E8A2B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ADB74B5">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90D47B">
            <w:pPr>
              <w:wordWrap w:val="0"/>
              <w:snapToGrid w:val="0"/>
              <w:spacing w:line="360" w:lineRule="auto"/>
              <w:outlineLvl w:val="9"/>
              <w:rPr>
                <w:rFonts w:hint="eastAsia" w:ascii="华文中宋" w:hAnsi="华文中宋" w:eastAsia="华文中宋" w:cs="华文中宋"/>
                <w:color w:val="auto"/>
                <w:sz w:val="24"/>
                <w:szCs w:val="24"/>
              </w:rPr>
            </w:pPr>
          </w:p>
        </w:tc>
      </w:tr>
    </w:tbl>
    <w:p w14:paraId="727199E2">
      <w:pPr>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rPr>
        <w:br w:type="page"/>
      </w:r>
      <w:r>
        <w:rPr>
          <w:rFonts w:hint="eastAsia" w:ascii="华文中宋" w:hAnsi="华文中宋" w:eastAsia="华文中宋" w:cs="华文中宋"/>
          <w:b/>
          <w:color w:val="auto"/>
          <w:sz w:val="24"/>
          <w:szCs w:val="24"/>
        </w:rPr>
        <w:t xml:space="preserve"> </w:t>
      </w:r>
      <w:bookmarkStart w:id="1206" w:name="_Toc44690625"/>
      <w:bookmarkStart w:id="1207" w:name="_Toc44690699"/>
      <w:bookmarkStart w:id="1208" w:name="_Toc40954066"/>
      <w:bookmarkStart w:id="1209" w:name="_Toc43363095"/>
      <w:r>
        <w:rPr>
          <w:rFonts w:hint="eastAsia" w:ascii="华文中宋" w:hAnsi="华文中宋" w:eastAsia="华文中宋" w:cs="华文中宋"/>
          <w:b/>
          <w:bCs/>
          <w:color w:val="auto"/>
          <w:sz w:val="28"/>
          <w:szCs w:val="28"/>
        </w:rPr>
        <w:t>（二）磋商供应商及项目经理资信</w:t>
      </w:r>
      <w:bookmarkEnd w:id="1206"/>
      <w:bookmarkEnd w:id="1207"/>
      <w:bookmarkEnd w:id="1208"/>
      <w:bookmarkEnd w:id="1209"/>
    </w:p>
    <w:p w14:paraId="36252F1D">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1.磋商供应商近年完成的部分同类型工程情况表</w:t>
      </w:r>
    </w:p>
    <w:p w14:paraId="2F6326E5">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2.项目经理近年完成的同类型工程情况表</w:t>
      </w:r>
    </w:p>
    <w:p w14:paraId="51703622">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3.磋商供应商正在施工的和新承接的部分项目情况表</w:t>
      </w:r>
    </w:p>
    <w:p w14:paraId="599C1837">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4.其他材料</w:t>
      </w:r>
    </w:p>
    <w:p w14:paraId="52B56649">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3783F2A2">
      <w:pPr>
        <w:wordWrap w:val="0"/>
        <w:snapToGrid w:val="0"/>
        <w:spacing w:before="156" w:after="312"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1.磋商供应商</w:t>
      </w:r>
      <w:r>
        <w:rPr>
          <w:rFonts w:hint="eastAsia" w:ascii="华文中宋" w:hAnsi="华文中宋" w:eastAsia="华文中宋" w:cs="华文中宋"/>
          <w:color w:val="auto"/>
          <w:sz w:val="28"/>
          <w:szCs w:val="28"/>
          <w:lang w:eastAsia="zh-CN"/>
        </w:rPr>
        <w:t>近年</w:t>
      </w:r>
      <w:r>
        <w:rPr>
          <w:rFonts w:hint="eastAsia" w:ascii="华文中宋" w:hAnsi="华文中宋" w:eastAsia="华文中宋" w:cs="华文中宋"/>
          <w:color w:val="auto"/>
          <w:sz w:val="28"/>
          <w:szCs w:val="28"/>
        </w:rPr>
        <w:t>完成的同类型工程情况表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7B9E5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4F1B3C6">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392B06D">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7C7F7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9717673">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340AD1F">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5813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17368DC">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6384199">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5264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19F9986">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74FC8C6">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6C37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D5E3A9E">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339E96D">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4EA87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1DB55B7">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B8A00D8">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6997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ABF8F63">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58ACF45">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5881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E3566F4">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A5AF203">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194A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AD41CDE">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283BEEA">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15C3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2D444B6">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5BAD6BD">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0BBE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54F9147">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A999BF3">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03B1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B02673C">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07BE362">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443E8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E060419">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63192B2">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0028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C86D0B5">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1FE457F">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1A48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C246C65">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0BBD886">
            <w:pPr>
              <w:wordWrap w:val="0"/>
              <w:snapToGrid w:val="0"/>
              <w:spacing w:line="360" w:lineRule="auto"/>
              <w:jc w:val="center"/>
              <w:outlineLvl w:val="9"/>
              <w:rPr>
                <w:rFonts w:hint="eastAsia" w:ascii="华文中宋" w:hAnsi="华文中宋" w:eastAsia="华文中宋" w:cs="华文中宋"/>
                <w:color w:val="auto"/>
                <w:sz w:val="24"/>
                <w:szCs w:val="24"/>
              </w:rPr>
            </w:pPr>
          </w:p>
        </w:tc>
      </w:tr>
    </w:tbl>
    <w:p w14:paraId="7E1CD638">
      <w:pPr>
        <w:wordWrap w:val="0"/>
        <w:snapToGrid w:val="0"/>
        <w:spacing w:line="360" w:lineRule="auto"/>
        <w:ind w:firstLine="240" w:firstLineChars="100"/>
        <w:jc w:val="left"/>
        <w:outlineLvl w:val="9"/>
        <w:rPr>
          <w:rFonts w:hint="eastAsia" w:ascii="华文中宋" w:hAnsi="华文中宋" w:eastAsia="华文中宋" w:cs="华文中宋"/>
          <w:color w:val="auto"/>
          <w:sz w:val="24"/>
          <w:szCs w:val="28"/>
        </w:rPr>
      </w:pPr>
      <w:r>
        <w:rPr>
          <w:rFonts w:hint="eastAsia" w:ascii="华文中宋" w:hAnsi="华文中宋" w:eastAsia="华文中宋" w:cs="华文中宋"/>
          <w:color w:val="auto"/>
          <w:sz w:val="24"/>
          <w:szCs w:val="28"/>
        </w:rPr>
        <w:t>备注：每张表格只填写一个项目，并标明序号。</w:t>
      </w:r>
    </w:p>
    <w:p w14:paraId="3297EE24">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24788D3E">
      <w:pPr>
        <w:wordWrap w:val="0"/>
        <w:snapToGrid w:val="0"/>
        <w:spacing w:before="156" w:after="312"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2.项目经理</w:t>
      </w:r>
      <w:r>
        <w:rPr>
          <w:rFonts w:hint="eastAsia" w:ascii="华文中宋" w:hAnsi="华文中宋" w:eastAsia="华文中宋" w:cs="华文中宋"/>
          <w:color w:val="auto"/>
          <w:sz w:val="28"/>
          <w:szCs w:val="28"/>
          <w:lang w:eastAsia="zh-CN"/>
        </w:rPr>
        <w:t>近年</w:t>
      </w:r>
      <w:r>
        <w:rPr>
          <w:rFonts w:hint="eastAsia" w:ascii="华文中宋" w:hAnsi="华文中宋" w:eastAsia="华文中宋" w:cs="华文中宋"/>
          <w:color w:val="auto"/>
          <w:sz w:val="28"/>
          <w:szCs w:val="28"/>
        </w:rPr>
        <w:t>完成的同类型工程情况表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4963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3F7808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A770478">
            <w:pPr>
              <w:wordWrap w:val="0"/>
              <w:snapToGrid w:val="0"/>
              <w:spacing w:line="360" w:lineRule="auto"/>
              <w:jc w:val="center"/>
              <w:outlineLvl w:val="9"/>
              <w:rPr>
                <w:rFonts w:hint="eastAsia" w:ascii="华文中宋" w:hAnsi="华文中宋" w:eastAsia="华文中宋" w:cs="华文中宋"/>
                <w:color w:val="auto"/>
              </w:rPr>
            </w:pPr>
          </w:p>
        </w:tc>
      </w:tr>
      <w:tr w14:paraId="6115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D6FCF4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78A4E3F">
            <w:pPr>
              <w:wordWrap w:val="0"/>
              <w:snapToGrid w:val="0"/>
              <w:spacing w:line="360" w:lineRule="auto"/>
              <w:jc w:val="center"/>
              <w:outlineLvl w:val="9"/>
              <w:rPr>
                <w:rFonts w:hint="eastAsia" w:ascii="华文中宋" w:hAnsi="华文中宋" w:eastAsia="华文中宋" w:cs="华文中宋"/>
                <w:color w:val="auto"/>
              </w:rPr>
            </w:pPr>
          </w:p>
        </w:tc>
      </w:tr>
      <w:tr w14:paraId="0069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73B29AF">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B68AA17">
            <w:pPr>
              <w:wordWrap w:val="0"/>
              <w:snapToGrid w:val="0"/>
              <w:spacing w:line="360" w:lineRule="auto"/>
              <w:jc w:val="center"/>
              <w:outlineLvl w:val="9"/>
              <w:rPr>
                <w:rFonts w:hint="eastAsia" w:ascii="华文中宋" w:hAnsi="华文中宋" w:eastAsia="华文中宋" w:cs="华文中宋"/>
                <w:color w:val="auto"/>
              </w:rPr>
            </w:pPr>
          </w:p>
        </w:tc>
      </w:tr>
      <w:tr w14:paraId="7A13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E97E19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E3DAF6F">
            <w:pPr>
              <w:wordWrap w:val="0"/>
              <w:snapToGrid w:val="0"/>
              <w:spacing w:line="360" w:lineRule="auto"/>
              <w:jc w:val="center"/>
              <w:outlineLvl w:val="9"/>
              <w:rPr>
                <w:rFonts w:hint="eastAsia" w:ascii="华文中宋" w:hAnsi="华文中宋" w:eastAsia="华文中宋" w:cs="华文中宋"/>
                <w:color w:val="auto"/>
              </w:rPr>
            </w:pPr>
          </w:p>
        </w:tc>
      </w:tr>
      <w:tr w14:paraId="0166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B62BE5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AEAF519">
            <w:pPr>
              <w:wordWrap w:val="0"/>
              <w:snapToGrid w:val="0"/>
              <w:spacing w:line="360" w:lineRule="auto"/>
              <w:jc w:val="center"/>
              <w:outlineLvl w:val="9"/>
              <w:rPr>
                <w:rFonts w:hint="eastAsia" w:ascii="华文中宋" w:hAnsi="华文中宋" w:eastAsia="华文中宋" w:cs="华文中宋"/>
                <w:color w:val="auto"/>
              </w:rPr>
            </w:pPr>
          </w:p>
        </w:tc>
      </w:tr>
      <w:tr w14:paraId="7D1D9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408001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3DED9A1">
            <w:pPr>
              <w:wordWrap w:val="0"/>
              <w:snapToGrid w:val="0"/>
              <w:spacing w:line="360" w:lineRule="auto"/>
              <w:jc w:val="center"/>
              <w:outlineLvl w:val="9"/>
              <w:rPr>
                <w:rFonts w:hint="eastAsia" w:ascii="华文中宋" w:hAnsi="华文中宋" w:eastAsia="华文中宋" w:cs="华文中宋"/>
                <w:color w:val="auto"/>
              </w:rPr>
            </w:pPr>
          </w:p>
        </w:tc>
      </w:tr>
      <w:tr w14:paraId="30CD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22C3FDB">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BCB3B52">
            <w:pPr>
              <w:wordWrap w:val="0"/>
              <w:snapToGrid w:val="0"/>
              <w:spacing w:line="360" w:lineRule="auto"/>
              <w:jc w:val="center"/>
              <w:outlineLvl w:val="9"/>
              <w:rPr>
                <w:rFonts w:hint="eastAsia" w:ascii="华文中宋" w:hAnsi="华文中宋" w:eastAsia="华文中宋" w:cs="华文中宋"/>
                <w:color w:val="auto"/>
              </w:rPr>
            </w:pPr>
          </w:p>
        </w:tc>
      </w:tr>
      <w:tr w14:paraId="4F1C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9FA41CC">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B130CE8">
            <w:pPr>
              <w:wordWrap w:val="0"/>
              <w:snapToGrid w:val="0"/>
              <w:spacing w:line="360" w:lineRule="auto"/>
              <w:jc w:val="center"/>
              <w:outlineLvl w:val="9"/>
              <w:rPr>
                <w:rFonts w:hint="eastAsia" w:ascii="华文中宋" w:hAnsi="华文中宋" w:eastAsia="华文中宋" w:cs="华文中宋"/>
                <w:color w:val="auto"/>
              </w:rPr>
            </w:pPr>
          </w:p>
        </w:tc>
      </w:tr>
      <w:tr w14:paraId="1E9A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CFA0508">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CC1BE8C">
            <w:pPr>
              <w:wordWrap w:val="0"/>
              <w:snapToGrid w:val="0"/>
              <w:spacing w:line="360" w:lineRule="auto"/>
              <w:jc w:val="center"/>
              <w:outlineLvl w:val="9"/>
              <w:rPr>
                <w:rFonts w:hint="eastAsia" w:ascii="华文中宋" w:hAnsi="华文中宋" w:eastAsia="华文中宋" w:cs="华文中宋"/>
                <w:color w:val="auto"/>
              </w:rPr>
            </w:pPr>
          </w:p>
        </w:tc>
      </w:tr>
      <w:tr w14:paraId="1C28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2FB2EB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63BBC98">
            <w:pPr>
              <w:wordWrap w:val="0"/>
              <w:snapToGrid w:val="0"/>
              <w:spacing w:line="360" w:lineRule="auto"/>
              <w:jc w:val="center"/>
              <w:outlineLvl w:val="9"/>
              <w:rPr>
                <w:rFonts w:hint="eastAsia" w:ascii="华文中宋" w:hAnsi="华文中宋" w:eastAsia="华文中宋" w:cs="华文中宋"/>
                <w:color w:val="auto"/>
              </w:rPr>
            </w:pPr>
          </w:p>
        </w:tc>
      </w:tr>
      <w:tr w14:paraId="78C5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D0D18AD">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C919025">
            <w:pPr>
              <w:wordWrap w:val="0"/>
              <w:snapToGrid w:val="0"/>
              <w:spacing w:line="360" w:lineRule="auto"/>
              <w:jc w:val="center"/>
              <w:outlineLvl w:val="9"/>
              <w:rPr>
                <w:rFonts w:hint="eastAsia" w:ascii="华文中宋" w:hAnsi="华文中宋" w:eastAsia="华文中宋" w:cs="华文中宋"/>
                <w:color w:val="auto"/>
              </w:rPr>
            </w:pPr>
          </w:p>
        </w:tc>
      </w:tr>
      <w:tr w14:paraId="067E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B6914A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9BC1E68">
            <w:pPr>
              <w:wordWrap w:val="0"/>
              <w:snapToGrid w:val="0"/>
              <w:spacing w:line="360" w:lineRule="auto"/>
              <w:jc w:val="center"/>
              <w:outlineLvl w:val="9"/>
              <w:rPr>
                <w:rFonts w:hint="eastAsia" w:ascii="华文中宋" w:hAnsi="华文中宋" w:eastAsia="华文中宋" w:cs="华文中宋"/>
                <w:color w:val="auto"/>
              </w:rPr>
            </w:pPr>
          </w:p>
        </w:tc>
      </w:tr>
      <w:tr w14:paraId="0E65E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0926754">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7FCAF91">
            <w:pPr>
              <w:wordWrap w:val="0"/>
              <w:snapToGrid w:val="0"/>
              <w:spacing w:line="360" w:lineRule="auto"/>
              <w:jc w:val="center"/>
              <w:outlineLvl w:val="9"/>
              <w:rPr>
                <w:rFonts w:hint="eastAsia" w:ascii="华文中宋" w:hAnsi="华文中宋" w:eastAsia="华文中宋" w:cs="华文中宋"/>
                <w:color w:val="auto"/>
              </w:rPr>
            </w:pPr>
          </w:p>
        </w:tc>
      </w:tr>
      <w:tr w14:paraId="49C4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3414EC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352E01E">
            <w:pPr>
              <w:wordWrap w:val="0"/>
              <w:snapToGrid w:val="0"/>
              <w:spacing w:line="360" w:lineRule="auto"/>
              <w:jc w:val="center"/>
              <w:outlineLvl w:val="9"/>
              <w:rPr>
                <w:rFonts w:hint="eastAsia" w:ascii="华文中宋" w:hAnsi="华文中宋" w:eastAsia="华文中宋" w:cs="华文中宋"/>
                <w:color w:val="auto"/>
              </w:rPr>
            </w:pPr>
          </w:p>
        </w:tc>
      </w:tr>
      <w:tr w14:paraId="6274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B55E931">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82CB122">
            <w:pPr>
              <w:wordWrap w:val="0"/>
              <w:snapToGrid w:val="0"/>
              <w:spacing w:line="360" w:lineRule="auto"/>
              <w:jc w:val="center"/>
              <w:outlineLvl w:val="9"/>
              <w:rPr>
                <w:rFonts w:hint="eastAsia" w:ascii="华文中宋" w:hAnsi="华文中宋" w:eastAsia="华文中宋" w:cs="华文中宋"/>
                <w:color w:val="auto"/>
              </w:rPr>
            </w:pPr>
          </w:p>
        </w:tc>
      </w:tr>
    </w:tbl>
    <w:p w14:paraId="74A0E6C9">
      <w:pPr>
        <w:wordWrap w:val="0"/>
        <w:snapToGrid w:val="0"/>
        <w:spacing w:before="156" w:after="312" w:line="360" w:lineRule="auto"/>
        <w:ind w:firstLine="240" w:firstLineChars="10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备注：每张表格只填写一个项目，并标明序号。</w:t>
      </w:r>
    </w:p>
    <w:p w14:paraId="22CA2737">
      <w:pPr>
        <w:wordWrap w:val="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rPr>
        <w:br w:type="page"/>
      </w:r>
      <w:r>
        <w:rPr>
          <w:rFonts w:hint="eastAsia" w:ascii="华文中宋" w:hAnsi="华文中宋" w:eastAsia="华文中宋" w:cs="华文中宋"/>
          <w:color w:val="auto"/>
          <w:sz w:val="28"/>
          <w:szCs w:val="28"/>
        </w:rPr>
        <w:t>3.磋商供应商正在施工的和新承接的项目情况表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39"/>
      </w:tblGrid>
      <w:tr w14:paraId="3B34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D45FCD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项目名称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5FAE49AD">
            <w:pPr>
              <w:wordWrap w:val="0"/>
              <w:snapToGrid w:val="0"/>
              <w:spacing w:line="360" w:lineRule="auto"/>
              <w:jc w:val="center"/>
              <w:outlineLvl w:val="9"/>
              <w:rPr>
                <w:rFonts w:hint="eastAsia" w:ascii="华文中宋" w:hAnsi="华文中宋" w:eastAsia="华文中宋" w:cs="华文中宋"/>
                <w:color w:val="auto"/>
              </w:rPr>
            </w:pPr>
          </w:p>
        </w:tc>
      </w:tr>
      <w:tr w14:paraId="77313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62510205">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项目所在地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936B7A4">
            <w:pPr>
              <w:wordWrap w:val="0"/>
              <w:snapToGrid w:val="0"/>
              <w:spacing w:line="360" w:lineRule="auto"/>
              <w:jc w:val="center"/>
              <w:outlineLvl w:val="9"/>
              <w:rPr>
                <w:rFonts w:hint="eastAsia" w:ascii="华文中宋" w:hAnsi="华文中宋" w:eastAsia="华文中宋" w:cs="华文中宋"/>
                <w:color w:val="auto"/>
              </w:rPr>
            </w:pPr>
          </w:p>
        </w:tc>
      </w:tr>
      <w:tr w14:paraId="48940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0F3220B2">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发包人名称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5E6B748">
            <w:pPr>
              <w:wordWrap w:val="0"/>
              <w:snapToGrid w:val="0"/>
              <w:spacing w:line="360" w:lineRule="auto"/>
              <w:jc w:val="center"/>
              <w:outlineLvl w:val="9"/>
              <w:rPr>
                <w:rFonts w:hint="eastAsia" w:ascii="华文中宋" w:hAnsi="华文中宋" w:eastAsia="华文中宋" w:cs="华文中宋"/>
                <w:color w:val="auto"/>
              </w:rPr>
            </w:pPr>
          </w:p>
        </w:tc>
      </w:tr>
      <w:tr w14:paraId="0D2F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0F58D69B">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发包人地址</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0A8EB3BB">
            <w:pPr>
              <w:wordWrap w:val="0"/>
              <w:snapToGrid w:val="0"/>
              <w:spacing w:line="360" w:lineRule="auto"/>
              <w:jc w:val="center"/>
              <w:outlineLvl w:val="9"/>
              <w:rPr>
                <w:rFonts w:hint="eastAsia" w:ascii="华文中宋" w:hAnsi="华文中宋" w:eastAsia="华文中宋" w:cs="华文中宋"/>
                <w:color w:val="auto"/>
              </w:rPr>
            </w:pPr>
          </w:p>
        </w:tc>
      </w:tr>
      <w:tr w14:paraId="53D7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F9154DC">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发包人电话</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31368A0">
            <w:pPr>
              <w:wordWrap w:val="0"/>
              <w:snapToGrid w:val="0"/>
              <w:spacing w:line="360" w:lineRule="auto"/>
              <w:jc w:val="center"/>
              <w:outlineLvl w:val="9"/>
              <w:rPr>
                <w:rFonts w:hint="eastAsia" w:ascii="华文中宋" w:hAnsi="华文中宋" w:eastAsia="华文中宋" w:cs="华文中宋"/>
                <w:color w:val="auto"/>
              </w:rPr>
            </w:pPr>
          </w:p>
        </w:tc>
      </w:tr>
      <w:tr w14:paraId="7785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4A32D02D">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签约合同价</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6A4EA1C2">
            <w:pPr>
              <w:wordWrap w:val="0"/>
              <w:snapToGrid w:val="0"/>
              <w:spacing w:line="360" w:lineRule="auto"/>
              <w:jc w:val="center"/>
              <w:outlineLvl w:val="9"/>
              <w:rPr>
                <w:rFonts w:hint="eastAsia" w:ascii="华文中宋" w:hAnsi="华文中宋" w:eastAsia="华文中宋" w:cs="华文中宋"/>
                <w:color w:val="auto"/>
              </w:rPr>
            </w:pPr>
          </w:p>
        </w:tc>
      </w:tr>
      <w:tr w14:paraId="1F4E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EB6A8D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开工日期</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25C9C2E3">
            <w:pPr>
              <w:wordWrap w:val="0"/>
              <w:snapToGrid w:val="0"/>
              <w:spacing w:line="360" w:lineRule="auto"/>
              <w:jc w:val="center"/>
              <w:outlineLvl w:val="9"/>
              <w:rPr>
                <w:rFonts w:hint="eastAsia" w:ascii="华文中宋" w:hAnsi="华文中宋" w:eastAsia="华文中宋" w:cs="华文中宋"/>
                <w:color w:val="auto"/>
              </w:rPr>
            </w:pPr>
          </w:p>
        </w:tc>
      </w:tr>
      <w:tr w14:paraId="589B9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5A7DED36">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计划竣工日期</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6A8B5B47">
            <w:pPr>
              <w:wordWrap w:val="0"/>
              <w:snapToGrid w:val="0"/>
              <w:spacing w:line="360" w:lineRule="auto"/>
              <w:jc w:val="center"/>
              <w:outlineLvl w:val="9"/>
              <w:rPr>
                <w:rFonts w:hint="eastAsia" w:ascii="华文中宋" w:hAnsi="华文中宋" w:eastAsia="华文中宋" w:cs="华文中宋"/>
                <w:color w:val="auto"/>
              </w:rPr>
            </w:pPr>
          </w:p>
        </w:tc>
      </w:tr>
      <w:tr w14:paraId="07A6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4223D2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承担的工作</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49CE7E1B">
            <w:pPr>
              <w:wordWrap w:val="0"/>
              <w:snapToGrid w:val="0"/>
              <w:spacing w:line="360" w:lineRule="auto"/>
              <w:jc w:val="center"/>
              <w:outlineLvl w:val="9"/>
              <w:rPr>
                <w:rFonts w:hint="eastAsia" w:ascii="华文中宋" w:hAnsi="华文中宋" w:eastAsia="华文中宋" w:cs="华文中宋"/>
                <w:color w:val="auto"/>
              </w:rPr>
            </w:pPr>
          </w:p>
        </w:tc>
      </w:tr>
      <w:tr w14:paraId="306B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4886A188">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工程质量</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203DE249">
            <w:pPr>
              <w:wordWrap w:val="0"/>
              <w:snapToGrid w:val="0"/>
              <w:spacing w:line="360" w:lineRule="auto"/>
              <w:jc w:val="center"/>
              <w:outlineLvl w:val="9"/>
              <w:rPr>
                <w:rFonts w:hint="eastAsia" w:ascii="华文中宋" w:hAnsi="华文中宋" w:eastAsia="华文中宋" w:cs="华文中宋"/>
                <w:color w:val="auto"/>
              </w:rPr>
            </w:pPr>
          </w:p>
        </w:tc>
      </w:tr>
      <w:tr w14:paraId="4EEAC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59764EC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项目经理</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72964105">
            <w:pPr>
              <w:wordWrap w:val="0"/>
              <w:snapToGrid w:val="0"/>
              <w:spacing w:line="360" w:lineRule="auto"/>
              <w:jc w:val="center"/>
              <w:outlineLvl w:val="9"/>
              <w:rPr>
                <w:rFonts w:hint="eastAsia" w:ascii="华文中宋" w:hAnsi="华文中宋" w:eastAsia="华文中宋" w:cs="华文中宋"/>
                <w:color w:val="auto"/>
              </w:rPr>
            </w:pPr>
          </w:p>
        </w:tc>
      </w:tr>
      <w:tr w14:paraId="710B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557461F3">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技术负责人</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4AF9E689">
            <w:pPr>
              <w:wordWrap w:val="0"/>
              <w:snapToGrid w:val="0"/>
              <w:spacing w:line="360" w:lineRule="auto"/>
              <w:jc w:val="center"/>
              <w:outlineLvl w:val="9"/>
              <w:rPr>
                <w:rFonts w:hint="eastAsia" w:ascii="华文中宋" w:hAnsi="华文中宋" w:eastAsia="华文中宋" w:cs="华文中宋"/>
                <w:color w:val="auto"/>
              </w:rPr>
            </w:pPr>
          </w:p>
        </w:tc>
      </w:tr>
      <w:tr w14:paraId="7CB4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144B7F71">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总监理工程师及电话</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D4E40B6">
            <w:pPr>
              <w:wordWrap w:val="0"/>
              <w:snapToGrid w:val="0"/>
              <w:spacing w:line="360" w:lineRule="auto"/>
              <w:jc w:val="center"/>
              <w:outlineLvl w:val="9"/>
              <w:rPr>
                <w:rFonts w:hint="eastAsia" w:ascii="华文中宋" w:hAnsi="华文中宋" w:eastAsia="华文中宋" w:cs="华文中宋"/>
                <w:color w:val="auto"/>
              </w:rPr>
            </w:pPr>
          </w:p>
        </w:tc>
      </w:tr>
      <w:tr w14:paraId="0869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26E0A79F">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项目描述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4346F34F">
            <w:pPr>
              <w:wordWrap w:val="0"/>
              <w:snapToGrid w:val="0"/>
              <w:spacing w:line="360" w:lineRule="auto"/>
              <w:jc w:val="center"/>
              <w:outlineLvl w:val="9"/>
              <w:rPr>
                <w:rFonts w:hint="eastAsia" w:ascii="华文中宋" w:hAnsi="华文中宋" w:eastAsia="华文中宋" w:cs="华文中宋"/>
                <w:color w:val="auto"/>
              </w:rPr>
            </w:pPr>
          </w:p>
        </w:tc>
      </w:tr>
      <w:tr w14:paraId="1D9E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65F4DCD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备注</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9CC78E5">
            <w:pPr>
              <w:wordWrap w:val="0"/>
              <w:snapToGrid w:val="0"/>
              <w:spacing w:line="360" w:lineRule="auto"/>
              <w:jc w:val="center"/>
              <w:outlineLvl w:val="9"/>
              <w:rPr>
                <w:rFonts w:hint="eastAsia" w:ascii="华文中宋" w:hAnsi="华文中宋" w:eastAsia="华文中宋" w:cs="华文中宋"/>
                <w:color w:val="auto"/>
              </w:rPr>
            </w:pPr>
          </w:p>
        </w:tc>
      </w:tr>
    </w:tbl>
    <w:p w14:paraId="0BAB685A">
      <w:pPr>
        <w:wordWrap w:val="0"/>
        <w:snapToGrid w:val="0"/>
        <w:spacing w:line="360" w:lineRule="auto"/>
        <w:ind w:firstLine="240" w:firstLineChars="10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sz w:val="24"/>
          <w:szCs w:val="28"/>
        </w:rPr>
        <w:t>备注：每张表格只填写一个项目，并标明序号。</w:t>
      </w:r>
    </w:p>
    <w:p w14:paraId="1D000B6B">
      <w:pPr>
        <w:wordWrap w:val="0"/>
        <w:snapToGrid w:val="0"/>
        <w:spacing w:line="360" w:lineRule="auto"/>
        <w:ind w:firstLine="240" w:firstLineChars="100"/>
        <w:jc w:val="left"/>
        <w:outlineLvl w:val="9"/>
        <w:rPr>
          <w:rFonts w:hint="eastAsia" w:ascii="华文中宋" w:hAnsi="华文中宋" w:eastAsia="华文中宋" w:cs="华文中宋"/>
          <w:color w:val="auto"/>
          <w:sz w:val="24"/>
          <w:szCs w:val="28"/>
          <w:lang w:val="en-US" w:eastAsia="zh-CN"/>
        </w:rPr>
      </w:pPr>
    </w:p>
    <w:p w14:paraId="1D48D6B3">
      <w:pPr>
        <w:pStyle w:val="27"/>
        <w:rPr>
          <w:rFonts w:hint="eastAsia"/>
          <w:color w:val="auto"/>
          <w:lang w:val="en-US" w:eastAsia="zh-CN"/>
        </w:rPr>
      </w:pPr>
    </w:p>
    <w:p w14:paraId="1483279C">
      <w:pPr>
        <w:pStyle w:val="27"/>
        <w:rPr>
          <w:rFonts w:hint="eastAsia"/>
          <w:color w:val="auto"/>
          <w:lang w:val="en-US" w:eastAsia="zh-CN"/>
        </w:rPr>
      </w:pPr>
    </w:p>
    <w:p w14:paraId="53AA84B8">
      <w:pPr>
        <w:wordWrap w:val="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4.</w:t>
      </w:r>
      <w:r>
        <w:rPr>
          <w:rFonts w:hint="eastAsia" w:ascii="华文中宋" w:hAnsi="华文中宋" w:eastAsia="华文中宋" w:cs="华文中宋"/>
          <w:color w:val="auto"/>
          <w:sz w:val="28"/>
          <w:szCs w:val="28"/>
        </w:rPr>
        <w:t>其他材料</w:t>
      </w:r>
    </w:p>
    <w:p w14:paraId="6FB255F8">
      <w:pPr>
        <w:spacing w:line="360" w:lineRule="auto"/>
        <w:jc w:val="left"/>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 xml:space="preserve"> </w:t>
      </w:r>
      <w:bookmarkStart w:id="1210" w:name="_Toc43363096"/>
      <w:bookmarkStart w:id="1211" w:name="_Toc44690626"/>
      <w:bookmarkStart w:id="1212" w:name="_Toc40954067"/>
      <w:bookmarkStart w:id="1213" w:name="_Toc44690700"/>
    </w:p>
    <w:p w14:paraId="6BB7A44B">
      <w:pPr>
        <w:spacing w:line="360" w:lineRule="auto"/>
        <w:jc w:val="left"/>
        <w:outlineLvl w:val="9"/>
        <w:rPr>
          <w:rFonts w:hint="eastAsia" w:ascii="华文中宋" w:hAnsi="华文中宋" w:eastAsia="华文中宋" w:cs="华文中宋"/>
          <w:b/>
          <w:bCs/>
          <w:color w:val="auto"/>
          <w:sz w:val="28"/>
          <w:szCs w:val="28"/>
        </w:rPr>
      </w:pPr>
    </w:p>
    <w:p w14:paraId="7972560E">
      <w:pPr>
        <w:spacing w:line="360" w:lineRule="auto"/>
        <w:jc w:val="left"/>
        <w:outlineLvl w:val="9"/>
        <w:rPr>
          <w:rFonts w:hint="eastAsia" w:ascii="华文中宋" w:hAnsi="华文中宋" w:eastAsia="华文中宋" w:cs="华文中宋"/>
          <w:b/>
          <w:bCs/>
          <w:color w:val="auto"/>
          <w:sz w:val="28"/>
          <w:szCs w:val="28"/>
        </w:rPr>
      </w:pPr>
    </w:p>
    <w:p w14:paraId="770C3422">
      <w:pPr>
        <w:spacing w:line="360" w:lineRule="auto"/>
        <w:jc w:val="left"/>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（三）拟分包计划表</w:t>
      </w:r>
      <w:bookmarkEnd w:id="1210"/>
      <w:bookmarkEnd w:id="1211"/>
      <w:bookmarkEnd w:id="1212"/>
      <w:bookmarkEnd w:id="1213"/>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3016"/>
        <w:gridCol w:w="1020"/>
        <w:gridCol w:w="706"/>
        <w:gridCol w:w="1081"/>
        <w:gridCol w:w="1081"/>
        <w:gridCol w:w="1081"/>
        <w:gridCol w:w="650"/>
      </w:tblGrid>
      <w:tr w14:paraId="4AEAC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2E2A57AB">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序号</w:t>
            </w: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1D10B8F7">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拟分包项目名称、范围及理由</w:t>
            </w:r>
          </w:p>
        </w:tc>
        <w:tc>
          <w:tcPr>
            <w:tcW w:w="4969" w:type="dxa"/>
            <w:gridSpan w:val="5"/>
            <w:tcBorders>
              <w:top w:val="single" w:color="auto" w:sz="4" w:space="0"/>
              <w:left w:val="single" w:color="auto" w:sz="4" w:space="0"/>
              <w:bottom w:val="single" w:color="auto" w:sz="4" w:space="0"/>
              <w:right w:val="single" w:color="auto" w:sz="4" w:space="0"/>
            </w:tcBorders>
            <w:noWrap w:val="0"/>
            <w:vAlign w:val="center"/>
          </w:tcPr>
          <w:p w14:paraId="2FCB058A">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拟选分包人</w:t>
            </w:r>
          </w:p>
        </w:tc>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14:paraId="711008FD">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备注</w:t>
            </w:r>
          </w:p>
        </w:tc>
      </w:tr>
      <w:tr w14:paraId="68D3E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439FDAA">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348066E9">
            <w:pPr>
              <w:spacing w:line="240" w:lineRule="auto"/>
              <w:outlineLvl w:val="9"/>
              <w:rPr>
                <w:rFonts w:hint="eastAsia" w:ascii="华文中宋" w:hAnsi="华文中宋" w:eastAsia="华文中宋" w:cs="华文中宋"/>
                <w:color w:val="auto"/>
              </w:rPr>
            </w:pP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3C695523">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拟选分包人名称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D6BCFB3">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注册地点</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26D26A7">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企业资质</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C02EFA5">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有关业绩</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14:paraId="30C55B36">
            <w:pPr>
              <w:spacing w:line="240" w:lineRule="auto"/>
              <w:outlineLvl w:val="9"/>
              <w:rPr>
                <w:rFonts w:hint="eastAsia" w:ascii="华文中宋" w:hAnsi="华文中宋" w:eastAsia="华文中宋" w:cs="华文中宋"/>
                <w:color w:val="auto"/>
              </w:rPr>
            </w:pPr>
          </w:p>
        </w:tc>
      </w:tr>
      <w:tr w14:paraId="613C0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6579CF68">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26AB158A">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FF9C81E">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567BC6D">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B0866D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BE59A7E">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C1E0847">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78998F4E">
            <w:pPr>
              <w:wordWrap w:val="0"/>
              <w:snapToGrid w:val="0"/>
              <w:spacing w:line="240" w:lineRule="auto"/>
              <w:jc w:val="center"/>
              <w:outlineLvl w:val="9"/>
              <w:rPr>
                <w:rFonts w:hint="eastAsia" w:ascii="华文中宋" w:hAnsi="华文中宋" w:eastAsia="华文中宋" w:cs="华文中宋"/>
                <w:color w:val="auto"/>
              </w:rPr>
            </w:pPr>
          </w:p>
        </w:tc>
      </w:tr>
      <w:tr w14:paraId="7FD4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66C80ADA">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4803DB2D">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038775">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79BB57F">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3DAF58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00DB533">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41F7B5F">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26AE0B3D">
            <w:pPr>
              <w:wordWrap w:val="0"/>
              <w:snapToGrid w:val="0"/>
              <w:spacing w:line="240" w:lineRule="auto"/>
              <w:jc w:val="center"/>
              <w:outlineLvl w:val="9"/>
              <w:rPr>
                <w:rFonts w:hint="eastAsia" w:ascii="华文中宋" w:hAnsi="华文中宋" w:eastAsia="华文中宋" w:cs="华文中宋"/>
                <w:color w:val="auto"/>
              </w:rPr>
            </w:pPr>
          </w:p>
        </w:tc>
      </w:tr>
      <w:tr w14:paraId="4DB6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478CF1BF">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7624A502">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8BC44E">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66959DD">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D4E8690">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FB714D6">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98C0763">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CDB17AE">
            <w:pPr>
              <w:wordWrap w:val="0"/>
              <w:snapToGrid w:val="0"/>
              <w:spacing w:line="240" w:lineRule="auto"/>
              <w:jc w:val="center"/>
              <w:outlineLvl w:val="9"/>
              <w:rPr>
                <w:rFonts w:hint="eastAsia" w:ascii="华文中宋" w:hAnsi="华文中宋" w:eastAsia="华文中宋" w:cs="华文中宋"/>
                <w:color w:val="auto"/>
              </w:rPr>
            </w:pPr>
          </w:p>
        </w:tc>
      </w:tr>
      <w:tr w14:paraId="3829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24848409">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17619A65">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630A92E">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665205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763D21E">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0ED31F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A3752C6">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22A4D7FB">
            <w:pPr>
              <w:wordWrap w:val="0"/>
              <w:snapToGrid w:val="0"/>
              <w:spacing w:line="240" w:lineRule="auto"/>
              <w:jc w:val="center"/>
              <w:outlineLvl w:val="9"/>
              <w:rPr>
                <w:rFonts w:hint="eastAsia" w:ascii="华文中宋" w:hAnsi="华文中宋" w:eastAsia="华文中宋" w:cs="华文中宋"/>
                <w:color w:val="auto"/>
              </w:rPr>
            </w:pPr>
          </w:p>
        </w:tc>
      </w:tr>
      <w:tr w14:paraId="3778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B597D0B">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134EC8BE">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784874">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CC4E288">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F0A0694">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04CE55C">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57C97EC">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5191948">
            <w:pPr>
              <w:wordWrap w:val="0"/>
              <w:snapToGrid w:val="0"/>
              <w:spacing w:line="240" w:lineRule="auto"/>
              <w:jc w:val="center"/>
              <w:outlineLvl w:val="9"/>
              <w:rPr>
                <w:rFonts w:hint="eastAsia" w:ascii="华文中宋" w:hAnsi="华文中宋" w:eastAsia="华文中宋" w:cs="华文中宋"/>
                <w:color w:val="auto"/>
              </w:rPr>
            </w:pPr>
          </w:p>
        </w:tc>
      </w:tr>
      <w:tr w14:paraId="68D4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639A304D">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1098D098">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AF79BA">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50599354">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847EA70">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6942608">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7352442">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985EC59">
            <w:pPr>
              <w:wordWrap w:val="0"/>
              <w:snapToGrid w:val="0"/>
              <w:spacing w:line="240" w:lineRule="auto"/>
              <w:jc w:val="center"/>
              <w:outlineLvl w:val="9"/>
              <w:rPr>
                <w:rFonts w:hint="eastAsia" w:ascii="华文中宋" w:hAnsi="华文中宋" w:eastAsia="华文中宋" w:cs="华文中宋"/>
                <w:color w:val="auto"/>
              </w:rPr>
            </w:pPr>
          </w:p>
        </w:tc>
      </w:tr>
      <w:tr w14:paraId="4FDB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234F2820">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105D7DF3">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1E91D17">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C5E4013">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E163916">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10B2389">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76DF740">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761089C">
            <w:pPr>
              <w:wordWrap w:val="0"/>
              <w:snapToGrid w:val="0"/>
              <w:spacing w:line="240" w:lineRule="auto"/>
              <w:jc w:val="center"/>
              <w:outlineLvl w:val="9"/>
              <w:rPr>
                <w:rFonts w:hint="eastAsia" w:ascii="华文中宋" w:hAnsi="华文中宋" w:eastAsia="华文中宋" w:cs="华文中宋"/>
                <w:color w:val="auto"/>
              </w:rPr>
            </w:pPr>
          </w:p>
        </w:tc>
      </w:tr>
      <w:tr w14:paraId="2AC7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465A07BD">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63528355">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9F7E16">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75DA4D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53538C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3E9C956">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552C504">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431938B1">
            <w:pPr>
              <w:wordWrap w:val="0"/>
              <w:snapToGrid w:val="0"/>
              <w:spacing w:line="240" w:lineRule="auto"/>
              <w:jc w:val="center"/>
              <w:outlineLvl w:val="9"/>
              <w:rPr>
                <w:rFonts w:hint="eastAsia" w:ascii="华文中宋" w:hAnsi="华文中宋" w:eastAsia="华文中宋" w:cs="华文中宋"/>
                <w:color w:val="auto"/>
              </w:rPr>
            </w:pPr>
          </w:p>
        </w:tc>
      </w:tr>
      <w:tr w14:paraId="30A2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6A53487">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30B4F31C">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1BED323">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CE9ADF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BA017D5">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ED3F758">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44434A2">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1EDF7DC">
            <w:pPr>
              <w:wordWrap w:val="0"/>
              <w:snapToGrid w:val="0"/>
              <w:spacing w:line="240" w:lineRule="auto"/>
              <w:jc w:val="center"/>
              <w:outlineLvl w:val="9"/>
              <w:rPr>
                <w:rFonts w:hint="eastAsia" w:ascii="华文中宋" w:hAnsi="华文中宋" w:eastAsia="华文中宋" w:cs="华文中宋"/>
                <w:color w:val="auto"/>
              </w:rPr>
            </w:pPr>
          </w:p>
        </w:tc>
      </w:tr>
      <w:tr w14:paraId="58504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7EA0F5BC">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7C499E90">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311BC60">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7880169">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9B3EED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14BB6E3">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BB60E09">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724B4FF2">
            <w:pPr>
              <w:wordWrap w:val="0"/>
              <w:snapToGrid w:val="0"/>
              <w:spacing w:line="240" w:lineRule="auto"/>
              <w:jc w:val="center"/>
              <w:outlineLvl w:val="9"/>
              <w:rPr>
                <w:rFonts w:hint="eastAsia" w:ascii="华文中宋" w:hAnsi="华文中宋" w:eastAsia="华文中宋" w:cs="华文中宋"/>
                <w:color w:val="auto"/>
              </w:rPr>
            </w:pPr>
          </w:p>
        </w:tc>
      </w:tr>
      <w:tr w14:paraId="3BF3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5B8258E7">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48E089F3">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BBD5274">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9CB4B8C">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5F1D770">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4DB7B25">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CD5ADD4">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6896AF5">
            <w:pPr>
              <w:wordWrap w:val="0"/>
              <w:snapToGrid w:val="0"/>
              <w:spacing w:line="240" w:lineRule="auto"/>
              <w:jc w:val="center"/>
              <w:outlineLvl w:val="9"/>
              <w:rPr>
                <w:rFonts w:hint="eastAsia" w:ascii="华文中宋" w:hAnsi="华文中宋" w:eastAsia="华文中宋" w:cs="华文中宋"/>
                <w:color w:val="auto"/>
              </w:rPr>
            </w:pPr>
          </w:p>
        </w:tc>
      </w:tr>
      <w:tr w14:paraId="3C5A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571455FC">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3DDDA180">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A2B7B1">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6498369">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228C8B4">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AD9A32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D309AF0">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069F8927">
            <w:pPr>
              <w:wordWrap w:val="0"/>
              <w:snapToGrid w:val="0"/>
              <w:spacing w:line="240" w:lineRule="auto"/>
              <w:jc w:val="center"/>
              <w:outlineLvl w:val="9"/>
              <w:rPr>
                <w:rFonts w:hint="eastAsia" w:ascii="华文中宋" w:hAnsi="华文中宋" w:eastAsia="华文中宋" w:cs="华文中宋"/>
                <w:color w:val="auto"/>
              </w:rPr>
            </w:pPr>
          </w:p>
        </w:tc>
      </w:tr>
    </w:tbl>
    <w:p w14:paraId="1306DB54">
      <w:pPr>
        <w:wordWrap w:val="0"/>
        <w:snapToGrid w:val="0"/>
        <w:spacing w:line="360" w:lineRule="auto"/>
        <w:ind w:firstLine="480" w:firstLineChars="20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备注：本表所列分包仅限于承包人自行施工范围内的非主体、非关键工程。</w:t>
      </w:r>
    </w:p>
    <w:p w14:paraId="55634945">
      <w:pPr>
        <w:wordWrap w:val="0"/>
        <w:snapToGrid w:val="0"/>
        <w:spacing w:line="360" w:lineRule="auto"/>
        <w:jc w:val="right"/>
        <w:outlineLvl w:val="9"/>
        <w:rPr>
          <w:rFonts w:hint="eastAsia" w:ascii="华文中宋" w:hAnsi="华文中宋" w:eastAsia="华文中宋" w:cs="华文中宋"/>
          <w:color w:val="auto"/>
          <w:sz w:val="28"/>
          <w:szCs w:val="28"/>
        </w:rPr>
      </w:pPr>
    </w:p>
    <w:p w14:paraId="20CE6964">
      <w:pPr>
        <w:wordWrap w:val="0"/>
        <w:snapToGrid w:val="0"/>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日    期：       年     月     日</w:t>
      </w:r>
    </w:p>
    <w:p w14:paraId="43D116D2">
      <w:pPr>
        <w:pStyle w:val="20"/>
        <w:outlineLvl w:val="9"/>
        <w:rPr>
          <w:rFonts w:hint="eastAsia" w:ascii="华文中宋" w:hAnsi="华文中宋" w:eastAsia="华文中宋" w:cs="华文中宋"/>
          <w:color w:val="auto"/>
        </w:rPr>
      </w:pPr>
    </w:p>
    <w:p w14:paraId="587773FA">
      <w:pPr>
        <w:spacing w:line="360" w:lineRule="auto"/>
        <w:jc w:val="left"/>
        <w:outlineLvl w:val="9"/>
        <w:rPr>
          <w:rFonts w:hint="eastAsia" w:ascii="华文中宋" w:hAnsi="华文中宋" w:eastAsia="华文中宋" w:cs="华文中宋"/>
          <w:b/>
          <w:bCs/>
          <w:color w:val="auto"/>
          <w:sz w:val="28"/>
          <w:szCs w:val="28"/>
        </w:rPr>
      </w:pPr>
    </w:p>
    <w:p w14:paraId="0D4B9716">
      <w:pPr>
        <w:spacing w:line="360" w:lineRule="auto"/>
        <w:jc w:val="left"/>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（四）其他资料</w:t>
      </w:r>
    </w:p>
    <w:p w14:paraId="09ECCEF4">
      <w:pPr>
        <w:spacing w:line="360" w:lineRule="auto"/>
        <w:ind w:left="105" w:firstLine="420" w:firstLineChars="200"/>
        <w:outlineLvl w:val="9"/>
        <w:rPr>
          <w:rFonts w:hint="eastAsia" w:ascii="华文中宋" w:hAnsi="华文中宋" w:eastAsia="华文中宋" w:cs="华文中宋"/>
          <w:color w:val="auto"/>
        </w:rPr>
      </w:pPr>
    </w:p>
    <w:p w14:paraId="6866AAD9">
      <w:pPr>
        <w:rPr>
          <w:color w:val="auto"/>
        </w:rPr>
      </w:pPr>
    </w:p>
    <w:sectPr>
      <w:footerReference r:id="rId14" w:type="first"/>
      <w:footerReference r:id="rId13" w:type="default"/>
      <w:pgSz w:w="11906" w:h="16838"/>
      <w:pgMar w:top="1440" w:right="1080" w:bottom="1440" w:left="1080"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C7E4">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FF6B">
    <w:pPr>
      <w:pStyle w:val="20"/>
      <w:framePr w:wrap="around" w:vAnchor="text" w:hAnchor="margin" w:xAlign="center" w:y="1"/>
      <w:jc w:val="center"/>
      <w:rPr>
        <w:rStyle w:val="32"/>
      </w:rPr>
    </w:pPr>
    <w:r>
      <w:fldChar w:fldCharType="begin"/>
    </w:r>
    <w:r>
      <w:rPr>
        <w:rStyle w:val="32"/>
      </w:rPr>
      <w:instrText xml:space="preserve">PAGE  </w:instrText>
    </w:r>
    <w:r>
      <w:fldChar w:fldCharType="end"/>
    </w:r>
  </w:p>
  <w:p w14:paraId="62711D3B">
    <w:pPr>
      <w:pStyle w:val="2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AD93">
    <w:pPr>
      <w:pStyle w:val="20"/>
      <w:framePr w:wrap="around" w:vAnchor="text" w:hAnchor="margin" w:xAlign="center" w:y="1"/>
      <w:jc w:val="center"/>
      <w:rPr>
        <w:rStyle w:val="32"/>
      </w:rPr>
    </w:pPr>
  </w:p>
  <w:p w14:paraId="20DED080">
    <w:pPr>
      <w:pStyle w:val="20"/>
      <w:framePr w:wrap="around" w:vAnchor="text" w:hAnchor="page" w:x="6439" w:y="332"/>
      <w:jc w:val="center"/>
      <w:rPr>
        <w:rStyle w:val="32"/>
      </w:rPr>
    </w:pPr>
  </w:p>
  <w:p w14:paraId="2ECEF472">
    <w:pPr>
      <w:pStyle w:val="20"/>
      <w:jc w:val="center"/>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142240</wp:posOffset>
              </wp:positionV>
              <wp:extent cx="606742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pt;margin-top:11.2pt;height:0pt;width:477.75pt;z-index:251659264;mso-width-relative:page;mso-height-relative:page;" filled="f" stroked="t"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JOKu&#10;2QAAAAwBAAAPAAAAAAAAAAEAIAAAACIAAABkcnMvZG93bnJldi54bWxQSwECFAAUAAAACACHTuJA&#10;hGTfBucBAAC4AwAADgAAAAAAAAABACAAAAAoAQAAZHJzL2Uyb0RvYy54bWxQSwUGAAAAAAYABgBZ&#10;AQAAgQU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73EB">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A8CBE">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EA8CBE">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4774">
    <w:pPr>
      <w:pStyle w:val="20"/>
      <w:framePr w:wrap="around" w:vAnchor="text" w:hAnchor="margin" w:xAlign="center" w:y="1"/>
      <w:rPr>
        <w:rStyle w:val="32"/>
      </w:rPr>
    </w:pPr>
    <w:r>
      <w:fldChar w:fldCharType="begin"/>
    </w:r>
    <w:r>
      <w:rPr>
        <w:rStyle w:val="32"/>
      </w:rPr>
      <w:instrText xml:space="preserve">PAGE  </w:instrText>
    </w:r>
    <w:r>
      <w:fldChar w:fldCharType="end"/>
    </w:r>
  </w:p>
  <w:p w14:paraId="6E5048E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FF37A">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EB6C4">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8EB6C4">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4CBE">
    <w:pPr>
      <w:pStyle w:val="20"/>
      <w:widowControl w:val="0"/>
      <w:pBdr>
        <w:top w:val="single" w:color="auto" w:sz="4" w:space="1"/>
        <w:left w:val="none" w:color="auto" w:sz="0" w:space="4"/>
        <w:bottom w:val="none" w:color="auto" w:sz="0" w:space="1"/>
        <w:right w:val="none" w:color="auto" w:sz="0" w:space="4"/>
        <w:between w:val="none" w:color="auto" w:sz="0" w:space="0"/>
      </w:pBdr>
      <w:snapToGrid w:val="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1C6DD0">
                          <w:pPr>
                            <w:pStyle w:val="20"/>
                          </w:pPr>
                          <w:r>
                            <w:fldChar w:fldCharType="begin"/>
                          </w:r>
                          <w:r>
                            <w:instrText xml:space="preserve"> PAGE  \* MERGEFORMAT </w:instrText>
                          </w:r>
                          <w:r>
                            <w:fldChar w:fldCharType="separate"/>
                          </w:r>
                          <w:r>
                            <w:t>145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11C6DD0">
                    <w:pPr>
                      <w:pStyle w:val="20"/>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F1E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1AAD">
    <w:pPr>
      <w:pStyle w:val="9"/>
      <w:jc w:val="right"/>
    </w:pPr>
    <w:r>
      <w:rPr>
        <w:rFonts w:hint="eastAsia"/>
      </w:rPr>
      <w:t xml:space="preserve">                                              </w:t>
    </w:r>
    <w:r>
      <w:t xml:space="preserve">                                                                   </w:t>
    </w:r>
    <w:r>
      <w:rPr>
        <w:rFonts w:hint="eastAsia"/>
      </w:rPr>
      <w:t>项目编号：</w:t>
    </w:r>
    <w:bookmarkStart w:id="1214" w:name="PO_3000009629_PM001_1"/>
    <w:r>
      <w:rPr>
        <w:rFonts w:hint="eastAsia"/>
      </w:rPr>
      <w:t>1499002022BCS02741</w:t>
    </w:r>
    <w:bookmarkEnd w:id="12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9E5A">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6215">
    <w:pPr>
      <w:pStyle w:val="9"/>
      <w:widowControl w:val="0"/>
      <w:pBdr>
        <w:top w:val="none" w:color="auto" w:sz="0" w:space="1"/>
        <w:left w:val="none" w:color="auto" w:sz="0" w:space="4"/>
        <w:bottom w:val="single" w:color="auto" w:sz="4"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82B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C693C"/>
    <w:multiLevelType w:val="singleLevel"/>
    <w:tmpl w:val="939C693C"/>
    <w:lvl w:ilvl="0" w:tentative="0">
      <w:start w:val="2"/>
      <w:numFmt w:val="decimal"/>
      <w:suff w:val="nothing"/>
      <w:lvlText w:val="%1、"/>
      <w:lvlJc w:val="left"/>
    </w:lvl>
  </w:abstractNum>
  <w:abstractNum w:abstractNumId="1">
    <w:nsid w:val="FC4906B1"/>
    <w:multiLevelType w:val="singleLevel"/>
    <w:tmpl w:val="FC4906B1"/>
    <w:lvl w:ilvl="0" w:tentative="0">
      <w:start w:val="2"/>
      <w:numFmt w:val="chineseCounting"/>
      <w:suff w:val="nothing"/>
      <w:lvlText w:val="%1、"/>
      <w:lvlJc w:val="left"/>
      <w:rPr>
        <w:rFonts w:hint="eastAsia"/>
      </w:rPr>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E420E39"/>
    <w:multiLevelType w:val="singleLevel"/>
    <w:tmpl w:val="0E420E39"/>
    <w:lvl w:ilvl="0" w:tentative="0">
      <w:start w:val="1"/>
      <w:numFmt w:val="decimal"/>
      <w:suff w:val="space"/>
      <w:lvlText w:val="（%1）"/>
      <w:lvlJc w:val="left"/>
    </w:lvl>
  </w:abstractNum>
  <w:abstractNum w:abstractNumId="4">
    <w:nsid w:val="55B9ADB2"/>
    <w:multiLevelType w:val="singleLevel"/>
    <w:tmpl w:val="55B9ADB2"/>
    <w:lvl w:ilvl="0" w:tentative="0">
      <w:start w:val="1"/>
      <w:numFmt w:val="decimal"/>
      <w:suff w:val="space"/>
      <w:lvlText w:val="（%1）"/>
      <w:lvlJc w:val="left"/>
    </w:lvl>
  </w:abstractNum>
  <w:abstractNum w:abstractNumId="5">
    <w:nsid w:val="56BF79FF"/>
    <w:multiLevelType w:val="singleLevel"/>
    <w:tmpl w:val="56BF79FF"/>
    <w:lvl w:ilvl="0" w:tentative="0">
      <w:start w:val="1"/>
      <w:numFmt w:val="decimal"/>
      <w:pStyle w:val="24"/>
      <w:lvlText w:val="%1."/>
      <w:lvlJc w:val="left"/>
      <w:pPr>
        <w:tabs>
          <w:tab w:val="left" w:pos="2040"/>
        </w:tabs>
        <w:ind w:left="2040" w:hanging="36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TEyYjBlYjFlMzJiZDM3YWQ2ZWY0MmNkN2I4ZWMifQ=="/>
  </w:docVars>
  <w:rsids>
    <w:rsidRoot w:val="371E2604"/>
    <w:rsid w:val="003A5B6D"/>
    <w:rsid w:val="03BC1818"/>
    <w:rsid w:val="04521E3C"/>
    <w:rsid w:val="04D22B68"/>
    <w:rsid w:val="07595247"/>
    <w:rsid w:val="076921EE"/>
    <w:rsid w:val="08E83E8B"/>
    <w:rsid w:val="09AF31D3"/>
    <w:rsid w:val="09FA23C9"/>
    <w:rsid w:val="0ABF5E84"/>
    <w:rsid w:val="0BEF52D4"/>
    <w:rsid w:val="0C8F3D3A"/>
    <w:rsid w:val="0CE7442C"/>
    <w:rsid w:val="0E5B54D5"/>
    <w:rsid w:val="10501D5A"/>
    <w:rsid w:val="10F42D61"/>
    <w:rsid w:val="119D5D0E"/>
    <w:rsid w:val="123577CD"/>
    <w:rsid w:val="123C08BB"/>
    <w:rsid w:val="129844CF"/>
    <w:rsid w:val="15751D6E"/>
    <w:rsid w:val="164756E1"/>
    <w:rsid w:val="1D8A0BBE"/>
    <w:rsid w:val="1E0B5246"/>
    <w:rsid w:val="1E9D4401"/>
    <w:rsid w:val="1FA544CB"/>
    <w:rsid w:val="20A42E4A"/>
    <w:rsid w:val="20C31E08"/>
    <w:rsid w:val="214D44F3"/>
    <w:rsid w:val="24412620"/>
    <w:rsid w:val="24B959FC"/>
    <w:rsid w:val="25053233"/>
    <w:rsid w:val="25C40AFC"/>
    <w:rsid w:val="283512EC"/>
    <w:rsid w:val="289F095F"/>
    <w:rsid w:val="28C10914"/>
    <w:rsid w:val="29014721"/>
    <w:rsid w:val="29F1175A"/>
    <w:rsid w:val="2A026FCD"/>
    <w:rsid w:val="2A121318"/>
    <w:rsid w:val="2ACD0453"/>
    <w:rsid w:val="2ADC0696"/>
    <w:rsid w:val="2B76702D"/>
    <w:rsid w:val="2C8D1BA2"/>
    <w:rsid w:val="2E3229AD"/>
    <w:rsid w:val="351D5B33"/>
    <w:rsid w:val="371E2604"/>
    <w:rsid w:val="37D810B0"/>
    <w:rsid w:val="38F77C64"/>
    <w:rsid w:val="3D510971"/>
    <w:rsid w:val="3F336A06"/>
    <w:rsid w:val="404D19C2"/>
    <w:rsid w:val="40B27A77"/>
    <w:rsid w:val="40C06E60"/>
    <w:rsid w:val="41E27A8D"/>
    <w:rsid w:val="426B53E4"/>
    <w:rsid w:val="42EE0B0F"/>
    <w:rsid w:val="43475F29"/>
    <w:rsid w:val="439E0617"/>
    <w:rsid w:val="492554C6"/>
    <w:rsid w:val="4CF8673C"/>
    <w:rsid w:val="4DC700FE"/>
    <w:rsid w:val="4E4C3F93"/>
    <w:rsid w:val="4E5131E5"/>
    <w:rsid w:val="505962D0"/>
    <w:rsid w:val="50DA4582"/>
    <w:rsid w:val="519D06ED"/>
    <w:rsid w:val="52537255"/>
    <w:rsid w:val="535D6D2B"/>
    <w:rsid w:val="53771545"/>
    <w:rsid w:val="5394095E"/>
    <w:rsid w:val="55793DFA"/>
    <w:rsid w:val="566E1894"/>
    <w:rsid w:val="594352B9"/>
    <w:rsid w:val="59652D68"/>
    <w:rsid w:val="5B530B0F"/>
    <w:rsid w:val="5B793520"/>
    <w:rsid w:val="5CF74DF0"/>
    <w:rsid w:val="5D327B1E"/>
    <w:rsid w:val="5FE86BBA"/>
    <w:rsid w:val="634C651A"/>
    <w:rsid w:val="63EA5DC5"/>
    <w:rsid w:val="65125492"/>
    <w:rsid w:val="68B15D31"/>
    <w:rsid w:val="6B553090"/>
    <w:rsid w:val="6D6265D5"/>
    <w:rsid w:val="6F4E01EE"/>
    <w:rsid w:val="713032AA"/>
    <w:rsid w:val="713C6162"/>
    <w:rsid w:val="72B62B48"/>
    <w:rsid w:val="749E293F"/>
    <w:rsid w:val="75B55338"/>
    <w:rsid w:val="76EB7432"/>
    <w:rsid w:val="77365610"/>
    <w:rsid w:val="78666B62"/>
    <w:rsid w:val="7AF054F6"/>
    <w:rsid w:val="7BF546E1"/>
    <w:rsid w:val="7C4D4DFA"/>
    <w:rsid w:val="7D237634"/>
    <w:rsid w:val="7F47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99"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qFormat/>
    <w:uiPriority w:val="99"/>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qFormat/>
    <w:uiPriority w:val="99"/>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character" w:default="1" w:styleId="30">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next w:val="9"/>
    <w:qFormat/>
    <w:uiPriority w:val="0"/>
    <w:pPr>
      <w:autoSpaceDE/>
      <w:autoSpaceDN/>
      <w:adjustRightInd/>
      <w:ind w:firstLine="420" w:firstLineChars="200"/>
      <w:jc w:val="both"/>
    </w:pPr>
    <w:rPr>
      <w:rFonts w:ascii="仿宋_GB2312" w:eastAsia="仿宋_GB2312"/>
      <w:sz w:val="32"/>
    </w:rPr>
  </w:style>
  <w:style w:type="paragraph" w:styleId="9">
    <w:name w:val="header"/>
    <w:basedOn w:val="1"/>
    <w:next w:val="10"/>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text"/>
    <w:basedOn w:val="1"/>
    <w:next w:val="11"/>
    <w:qFormat/>
    <w:uiPriority w:val="99"/>
    <w:pPr>
      <w:jc w:val="left"/>
    </w:pPr>
    <w:rPr>
      <w:rFonts w:ascii="Times New Roman" w:hAnsi="Times New Roman"/>
      <w:szCs w:val="24"/>
    </w:rPr>
  </w:style>
  <w:style w:type="paragraph" w:styleId="11">
    <w:name w:val="Body Text 3"/>
    <w:basedOn w:val="1"/>
    <w:next w:val="12"/>
    <w:qFormat/>
    <w:uiPriority w:val="99"/>
    <w:pPr>
      <w:spacing w:after="120"/>
      <w:ind w:firstLine="3584"/>
    </w:pPr>
  </w:style>
  <w:style w:type="paragraph" w:styleId="12">
    <w:name w:val="Balloon Text"/>
    <w:basedOn w:val="1"/>
    <w:next w:val="1"/>
    <w:qFormat/>
    <w:uiPriority w:val="99"/>
    <w:rPr>
      <w:sz w:val="18"/>
      <w:szCs w:val="18"/>
    </w:rPr>
  </w:style>
  <w:style w:type="paragraph" w:styleId="13">
    <w:name w:val="Body Text"/>
    <w:basedOn w:val="1"/>
    <w:next w:val="14"/>
    <w:qFormat/>
    <w:uiPriority w:val="0"/>
    <w:pPr>
      <w:spacing w:after="120"/>
    </w:pPr>
    <w:rPr>
      <w:sz w:val="28"/>
      <w:szCs w:val="24"/>
    </w:rPr>
  </w:style>
  <w:style w:type="paragraph" w:customStyle="1" w:styleId="14">
    <w:name w:val="Default"/>
    <w:next w:val="1"/>
    <w:qFormat/>
    <w:uiPriority w:val="99"/>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styleId="15">
    <w:name w:val="Body Text Indent"/>
    <w:basedOn w:val="1"/>
    <w:next w:val="16"/>
    <w:qFormat/>
    <w:uiPriority w:val="99"/>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6">
    <w:name w:val="envelope return"/>
    <w:basedOn w:val="1"/>
    <w:qFormat/>
    <w:uiPriority w:val="0"/>
    <w:pPr>
      <w:snapToGrid w:val="0"/>
    </w:pPr>
    <w:rPr>
      <w:rFonts w:ascii="Arial" w:hAnsi="Arial"/>
    </w:rPr>
  </w:style>
  <w:style w:type="paragraph" w:styleId="17">
    <w:name w:val="toc 5"/>
    <w:basedOn w:val="1"/>
    <w:next w:val="1"/>
    <w:qFormat/>
    <w:uiPriority w:val="99"/>
    <w:pPr>
      <w:widowControl/>
      <w:ind w:left="1700"/>
    </w:pPr>
    <w:rPr>
      <w:kern w:val="0"/>
      <w:szCs w:val="21"/>
    </w:rPr>
  </w:style>
  <w:style w:type="paragraph" w:styleId="18">
    <w:name w:val="toc 3"/>
    <w:basedOn w:val="1"/>
    <w:next w:val="1"/>
    <w:qFormat/>
    <w:uiPriority w:val="39"/>
    <w:pPr>
      <w:ind w:left="840" w:leftChars="400"/>
    </w:pPr>
  </w:style>
  <w:style w:type="paragraph" w:styleId="19">
    <w:name w:val="Plain Text"/>
    <w:basedOn w:val="1"/>
    <w:qFormat/>
    <w:uiPriority w:val="0"/>
    <w:rPr>
      <w:rFonts w:ascii="宋体" w:hAnsi="Courier New"/>
      <w:szCs w:val="21"/>
    </w:rPr>
  </w:style>
  <w:style w:type="paragraph" w:styleId="20">
    <w:name w:val="footer"/>
    <w:basedOn w:val="1"/>
    <w:next w:val="21"/>
    <w:qFormat/>
    <w:uiPriority w:val="99"/>
    <w:pPr>
      <w:tabs>
        <w:tab w:val="center" w:pos="4153"/>
        <w:tab w:val="right" w:pos="8306"/>
      </w:tabs>
      <w:snapToGrid w:val="0"/>
      <w:jc w:val="left"/>
    </w:pPr>
    <w:rPr>
      <w:sz w:val="18"/>
      <w:szCs w:val="18"/>
    </w:rPr>
  </w:style>
  <w:style w:type="paragraph" w:styleId="21">
    <w:name w:val="HTML Preformatted"/>
    <w:basedOn w:val="1"/>
    <w:qFormat/>
    <w:uiPriority w:val="0"/>
    <w:rPr>
      <w:rFonts w:ascii="Courier New" w:hAnsi="Courier New"/>
      <w:sz w:val="20"/>
    </w:rPr>
  </w:style>
  <w:style w:type="paragraph" w:styleId="22">
    <w:name w:val="toc 1"/>
    <w:basedOn w:val="1"/>
    <w:next w:val="1"/>
    <w:qFormat/>
    <w:uiPriority w:val="39"/>
  </w:style>
  <w:style w:type="paragraph" w:styleId="23">
    <w:name w:val="toc 4"/>
    <w:basedOn w:val="1"/>
    <w:next w:val="1"/>
    <w:qFormat/>
    <w:uiPriority w:val="99"/>
    <w:pPr>
      <w:widowControl/>
      <w:ind w:left="1275"/>
    </w:pPr>
    <w:rPr>
      <w:kern w:val="0"/>
      <w:szCs w:val="21"/>
    </w:rPr>
  </w:style>
  <w:style w:type="paragraph" w:styleId="24">
    <w:name w:val="List Number 5"/>
    <w:basedOn w:val="1"/>
    <w:qFormat/>
    <w:uiPriority w:val="0"/>
    <w:pPr>
      <w:numPr>
        <w:ilvl w:val="0"/>
        <w:numId w:val="1"/>
      </w:numPr>
    </w:p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Body Text First Indent"/>
    <w:basedOn w:val="13"/>
    <w:next w:val="28"/>
    <w:qFormat/>
    <w:uiPriority w:val="0"/>
    <w:pPr>
      <w:ind w:firstLine="420" w:firstLineChars="100"/>
    </w:pPr>
  </w:style>
  <w:style w:type="paragraph" w:styleId="28">
    <w:name w:val="Body Text First Indent 2"/>
    <w:basedOn w:val="15"/>
    <w:next w:val="27"/>
    <w:semiHidden/>
    <w:qFormat/>
    <w:uiPriority w:val="99"/>
    <w:pPr>
      <w:widowControl/>
      <w:adjustRightInd/>
      <w:spacing w:line="240" w:lineRule="auto"/>
      <w:ind w:left="200" w:firstLine="420" w:firstLineChars="200"/>
      <w:jc w:val="both"/>
      <w:textAlignment w:val="auto"/>
    </w:pPr>
    <w:rPr>
      <w:rFonts w:ascii="Calibri" w:hAnsi="Calibri"/>
      <w:sz w:val="21"/>
      <w:szCs w:val="21"/>
    </w:rPr>
  </w:style>
  <w:style w:type="character" w:styleId="31">
    <w:name w:val="Strong"/>
    <w:basedOn w:val="30"/>
    <w:qFormat/>
    <w:uiPriority w:val="0"/>
    <w:rPr>
      <w:b/>
    </w:rPr>
  </w:style>
  <w:style w:type="character" w:styleId="32">
    <w:name w:val="page number"/>
    <w:basedOn w:val="30"/>
    <w:qFormat/>
    <w:uiPriority w:val="0"/>
    <w:rPr>
      <w:rFonts w:cs="Times New Roman"/>
    </w:rPr>
  </w:style>
  <w:style w:type="character" w:styleId="33">
    <w:name w:val="Hyperlink"/>
    <w:qFormat/>
    <w:uiPriority w:val="99"/>
    <w:rPr>
      <w:rFonts w:cs="Times New Roman"/>
      <w:color w:val="0000FF"/>
      <w:u w:val="single"/>
    </w:rPr>
  </w:style>
  <w:style w:type="character" w:styleId="34">
    <w:name w:val="HTML Sample"/>
    <w:basedOn w:val="30"/>
    <w:qFormat/>
    <w:uiPriority w:val="0"/>
    <w:rPr>
      <w:rFonts w:ascii="Courier New" w:hAnsi="Courier New"/>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8">
    <w:name w:val="Style1"/>
    <w:basedOn w:val="8"/>
    <w:qFormat/>
    <w:uiPriority w:val="0"/>
    <w:pPr>
      <w:tabs>
        <w:tab w:val="left" w:pos="-720"/>
      </w:tabs>
      <w:spacing w:after="120"/>
    </w:pPr>
    <w:rPr>
      <w:spacing w:val="-3"/>
      <w:sz w:val="24"/>
      <w:szCs w:val="20"/>
      <w:lang w:val="en-AU" w:eastAsia="en-US"/>
    </w:rPr>
  </w:style>
  <w:style w:type="paragraph" w:customStyle="1" w:styleId="39">
    <w:name w:val="样式1"/>
    <w:basedOn w:val="1"/>
    <w:qFormat/>
    <w:uiPriority w:val="0"/>
    <w:pPr>
      <w:adjustRightInd w:val="0"/>
      <w:textAlignment w:val="baseline"/>
    </w:pPr>
    <w:rPr>
      <w:rFonts w:ascii="宋体" w:hAnsi="宋体"/>
      <w:kern w:val="0"/>
      <w:szCs w:val="21"/>
    </w:rPr>
  </w:style>
  <w:style w:type="paragraph" w:styleId="40">
    <w:name w:val="List Paragraph"/>
    <w:basedOn w:val="1"/>
    <w:qFormat/>
    <w:uiPriority w:val="99"/>
    <w:pPr>
      <w:ind w:firstLine="420" w:firstLineChars="200"/>
    </w:pPr>
  </w:style>
  <w:style w:type="character" w:customStyle="1" w:styleId="41">
    <w:name w:val="标题 2 Char"/>
    <w:link w:val="3"/>
    <w:qFormat/>
    <w:locked/>
    <w:uiPriority w:val="99"/>
    <w:rPr>
      <w:rFonts w:ascii="Cambria" w:hAnsi="Cambria"/>
      <w:b/>
      <w:bCs/>
      <w:sz w:val="32"/>
      <w:szCs w:val="32"/>
    </w:rPr>
  </w:style>
  <w:style w:type="paragraph" w:customStyle="1" w:styleId="42">
    <w:name w:val="TOC 标题1"/>
    <w:basedOn w:val="2"/>
    <w:next w:val="1"/>
    <w:semiHidden/>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3">
    <w:name w:val="NormalCharacter"/>
    <w:qFormat/>
    <w:uiPriority w:val="0"/>
    <w:rPr>
      <w:kern w:val="2"/>
      <w:sz w:val="21"/>
      <w:szCs w:val="22"/>
      <w:lang w:val="en-US" w:eastAsia="zh-CN" w:bidi="ar-SA"/>
    </w:rPr>
  </w:style>
  <w:style w:type="paragraph" w:customStyle="1" w:styleId="44">
    <w:name w:val="BodyText"/>
    <w:basedOn w:val="1"/>
    <w:qFormat/>
    <w:uiPriority w:val="0"/>
    <w:pPr>
      <w:spacing w:after="60" w:line="360" w:lineRule="atLeast"/>
      <w:ind w:left="72" w:leftChars="30" w:right="30" w:rightChars="30"/>
      <w:jc w:val="center"/>
      <w:textAlignment w:val="baseline"/>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176</Pages>
  <Words>2894</Words>
  <Characters>3131</Characters>
  <Lines>0</Lines>
  <Paragraphs>0</Paragraphs>
  <TotalTime>42</TotalTime>
  <ScaleCrop>false</ScaleCrop>
  <LinksUpToDate>false</LinksUpToDate>
  <CharactersWithSpaces>3437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2024-06-17T02:58:00Z</dcterms:created>
  <dc:creator> 果果妈咪</dc:creator>
  <cp:lastModifiedBy>Administrator</cp:lastModifiedBy>
  <dcterms:modified xsi:type="dcterms:W3CDTF">2025-05-26T09:17:05Z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2CAFED091F394A888E6E66F251EACB95_13</vt:lpwstr>
  </property>
  <property fmtid="{D5CDD505-2E9C-101B-9397-08002B2CF9AE}" pid="4" name="KSOTemplateDocerSaveRecord">
    <vt:lpwstr>eyJoZGlkIjoiNmM0YWRkMGEzYWUyNjY4OGQwMTNjNjA0M2YwYjg3N2QifQ==</vt:lpwstr>
  </property>
</Properties>
</file>