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8CC63">
      <w:pPr>
        <w:keepNext w:val="0"/>
        <w:keepLines w:val="0"/>
        <w:pageBreakBefore w:val="0"/>
        <w:kinsoku/>
        <w:wordWrap/>
        <w:overflowPunct/>
        <w:topLinePunct w:val="0"/>
        <w:bidi w:val="0"/>
        <w:spacing w:beforeAutospacing="0" w:afterAutospacing="0" w:line="560" w:lineRule="exact"/>
        <w:contextualSpacing/>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rPr>
        <w:t>广西壮族自治区妇幼保健院新阳院区重建项目</w:t>
      </w:r>
      <w:r>
        <w:rPr>
          <w:rFonts w:hint="eastAsia" w:ascii="方正小标宋简体" w:hAnsi="方正小标宋简体" w:eastAsia="方正小标宋简体" w:cs="方正小标宋简体"/>
          <w:b w:val="0"/>
          <w:bCs w:val="0"/>
          <w:strike w:val="0"/>
          <w:dstrike w:val="0"/>
          <w:color w:val="auto"/>
          <w:sz w:val="44"/>
          <w:szCs w:val="44"/>
          <w:highlight w:val="none"/>
        </w:rPr>
        <w:t>全过程</w:t>
      </w:r>
      <w:r>
        <w:rPr>
          <w:rFonts w:hint="eastAsia" w:ascii="方正小标宋简体" w:hAnsi="方正小标宋简体" w:eastAsia="方正小标宋简体" w:cs="方正小标宋简体"/>
          <w:b w:val="0"/>
          <w:bCs w:val="0"/>
          <w:color w:val="auto"/>
          <w:sz w:val="44"/>
          <w:szCs w:val="44"/>
          <w:highlight w:val="none"/>
        </w:rPr>
        <w:t>跟踪审计</w:t>
      </w:r>
      <w:r>
        <w:rPr>
          <w:rFonts w:hint="eastAsia" w:ascii="方正小标宋简体" w:hAnsi="方正小标宋简体" w:eastAsia="方正小标宋简体" w:cs="方正小标宋简体"/>
          <w:b w:val="0"/>
          <w:bCs w:val="0"/>
          <w:color w:val="auto"/>
          <w:sz w:val="44"/>
          <w:szCs w:val="44"/>
          <w:highlight w:val="none"/>
          <w:lang w:val="en-US" w:eastAsia="zh-CN"/>
        </w:rPr>
        <w:t>服务采购需求</w:t>
      </w:r>
    </w:p>
    <w:p w14:paraId="64771F13">
      <w:pPr>
        <w:keepNext w:val="0"/>
        <w:keepLines w:val="0"/>
        <w:pageBreakBefore w:val="0"/>
        <w:kinsoku/>
        <w:wordWrap/>
        <w:overflowPunct/>
        <w:topLinePunct w:val="0"/>
        <w:bidi w:val="0"/>
        <w:spacing w:beforeAutospacing="0" w:afterAutospacing="0" w:line="560" w:lineRule="exact"/>
        <w:contextualSpacing/>
        <w:jc w:val="cente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论证文件</w:t>
      </w:r>
    </w:p>
    <w:p w14:paraId="0072C500">
      <w:pPr>
        <w:keepNext w:val="0"/>
        <w:keepLines w:val="0"/>
        <w:pageBreakBefore w:val="0"/>
        <w:kinsoku/>
        <w:wordWrap/>
        <w:overflowPunct/>
        <w:topLinePunct w:val="0"/>
        <w:bidi w:val="0"/>
        <w:spacing w:beforeAutospacing="0" w:afterAutospacing="0" w:line="560" w:lineRule="exact"/>
        <w:ind w:left="0" w:leftChars="0" w:firstLine="880" w:firstLineChars="200"/>
        <w:jc w:val="center"/>
        <w:rPr>
          <w:rFonts w:hint="eastAsia" w:asciiTheme="majorEastAsia" w:hAnsiTheme="majorEastAsia" w:eastAsiaTheme="majorEastAsia" w:cstheme="majorEastAsia"/>
          <w:b w:val="0"/>
          <w:bCs w:val="0"/>
          <w:color w:val="auto"/>
          <w:sz w:val="44"/>
          <w:szCs w:val="44"/>
          <w:highlight w:val="none"/>
          <w:lang w:val="en-US" w:eastAsia="zh-CN"/>
        </w:rPr>
      </w:pPr>
    </w:p>
    <w:p w14:paraId="0D440032">
      <w:pPr>
        <w:keepNext w:val="0"/>
        <w:keepLines w:val="0"/>
        <w:pageBreakBefore w:val="0"/>
        <w:kinsoku/>
        <w:wordWrap/>
        <w:overflowPunct/>
        <w:topLinePunct w:val="0"/>
        <w:bidi w:val="0"/>
        <w:spacing w:beforeAutospacing="0" w:afterAutospacing="0" w:line="560" w:lineRule="exact"/>
        <w:ind w:left="0" w:leftChars="0" w:firstLine="643" w:firstLineChars="200"/>
        <w:jc w:val="both"/>
        <w:outlineLvl w:val="0"/>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一、项目概况</w:t>
      </w:r>
    </w:p>
    <w:p w14:paraId="2F3B61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（一）项目名称：</w:t>
      </w:r>
      <w:r>
        <w:rPr>
          <w:rFonts w:hint="eastAsia" w:asciiTheme="majorEastAsia" w:hAnsiTheme="majorEastAsia" w:eastAsiaTheme="majorEastAsia" w:cstheme="majorEastAsia"/>
          <w:b w:val="0"/>
          <w:bCs w:val="0"/>
          <w:color w:val="auto"/>
          <w:sz w:val="32"/>
          <w:szCs w:val="32"/>
          <w:highlight w:val="none"/>
        </w:rPr>
        <w:t>广西壮族自治区妇幼保健院新阳院区重建项目全过程跟踪审计</w:t>
      </w:r>
      <w:r>
        <w:rPr>
          <w:rFonts w:hint="eastAsia" w:asciiTheme="majorEastAsia" w:hAnsiTheme="majorEastAsia" w:eastAsiaTheme="majorEastAsia" w:cstheme="majorEastAsia"/>
          <w:b w:val="0"/>
          <w:bCs w:val="0"/>
          <w:color w:val="auto"/>
          <w:sz w:val="32"/>
          <w:szCs w:val="32"/>
          <w:highlight w:val="none"/>
          <w:lang w:val="en-US" w:eastAsia="zh-CN"/>
        </w:rPr>
        <w:t>服务采购</w:t>
      </w: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sz w:val="32"/>
          <w:szCs w:val="32"/>
          <w:highlight w:val="none"/>
          <w:lang w:val="en-US" w:eastAsia="zh-CN"/>
        </w:rPr>
        <w:t>以下简称：</w:t>
      </w:r>
      <w:r>
        <w:rPr>
          <w:rFonts w:hint="eastAsia" w:asciiTheme="majorEastAsia" w:hAnsiTheme="majorEastAsia" w:eastAsiaTheme="majorEastAsia" w:cstheme="majorEastAsia"/>
          <w:b w:val="0"/>
          <w:bCs w:val="0"/>
          <w:color w:val="auto"/>
          <w:sz w:val="30"/>
          <w:szCs w:val="30"/>
          <w:highlight w:val="none"/>
          <w:lang w:val="en-US" w:eastAsia="zh-CN"/>
        </w:rPr>
        <w:t>新阳院区重建项目</w:t>
      </w: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sz w:val="32"/>
          <w:szCs w:val="32"/>
          <w:highlight w:val="none"/>
          <w:lang w:val="en-US" w:eastAsia="zh-CN"/>
        </w:rPr>
        <w:br w:type="textWrapping"/>
      </w:r>
      <w:r>
        <w:rPr>
          <w:rFonts w:hint="eastAsia" w:asciiTheme="majorEastAsia" w:hAnsiTheme="majorEastAsia" w:eastAsiaTheme="majorEastAsia" w:cstheme="majorEastAsia"/>
          <w:b w:val="0"/>
          <w:bCs w:val="0"/>
          <w:color w:val="auto"/>
          <w:sz w:val="32"/>
          <w:szCs w:val="32"/>
          <w:highlight w:val="none"/>
          <w:lang w:val="en-US" w:eastAsia="zh-CN"/>
        </w:rPr>
        <w:t xml:space="preserve">    （二）项目地点：新阳路225号</w:t>
      </w:r>
    </w:p>
    <w:p w14:paraId="1A0078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（三）项目规模：本项目建安费约6.42亿元，批复设置床位 800 张。项目总建筑面积106000平方米，其中地上建筑面积84000平方米，地下部分建筑面积22000平方米。</w:t>
      </w:r>
    </w:p>
    <w:p w14:paraId="67E3E1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建设内容包括拆除工程，建筑工程、装修装饰工程(含二次装修、特殊区域装修)、给排水工程、通风及空调工程、标识工程、消防工程、强电工程、弱电智能化工程、楼宇泛光照明、医用气体工程、放射防护工程、污水处理设备、智能物流系统、纯水系统、电梯工程、室外工程以及红线外的外接水电工程、燃气接入工程等。</w:t>
      </w:r>
    </w:p>
    <w:p w14:paraId="7DA6E662">
      <w:pPr>
        <w:keepNext w:val="0"/>
        <w:keepLines w:val="0"/>
        <w:pageBreakBefore w:val="0"/>
        <w:kinsoku/>
        <w:wordWrap/>
        <w:overflowPunct/>
        <w:topLinePunct w:val="0"/>
        <w:bidi w:val="0"/>
        <w:spacing w:beforeAutospacing="0" w:afterAutospacing="0" w:line="560" w:lineRule="exact"/>
        <w:ind w:left="0" w:leftChars="0" w:firstLine="643" w:firstLineChars="200"/>
        <w:jc w:val="both"/>
        <w:outlineLvl w:val="0"/>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二、服务范围：</w:t>
      </w:r>
    </w:p>
    <w:p w14:paraId="45CDB2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（一）编制招标控制价服务</w:t>
      </w:r>
    </w:p>
    <w:p w14:paraId="60418C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编制新阳院区重建项目招标控制价和工程量清单</w:t>
      </w:r>
      <w:r>
        <w:rPr>
          <w:rFonts w:hint="eastAsia" w:asciiTheme="majorEastAsia" w:hAnsiTheme="majorEastAsia" w:eastAsiaTheme="majorEastAsia" w:cstheme="majorEastAsia"/>
          <w:b/>
          <w:bCs/>
          <w:color w:val="auto"/>
          <w:sz w:val="32"/>
          <w:szCs w:val="32"/>
          <w:highlight w:val="none"/>
          <w:lang w:eastAsia="zh-CN"/>
        </w:rPr>
        <w:t>。</w:t>
      </w:r>
      <w:r>
        <w:rPr>
          <w:rFonts w:hint="eastAsia" w:asciiTheme="majorEastAsia" w:hAnsiTheme="majorEastAsia" w:eastAsiaTheme="majorEastAsia" w:cstheme="majorEastAsia"/>
          <w:b w:val="0"/>
          <w:bCs w:val="0"/>
          <w:color w:val="auto"/>
          <w:sz w:val="32"/>
          <w:szCs w:val="32"/>
          <w:highlight w:val="none"/>
          <w:lang w:val="en-US" w:eastAsia="zh-CN"/>
        </w:rPr>
        <w:t>编制内容和范围包括但不限于：拆除工程，建筑工程、装修装饰工程(含二次装修、特殊区域装修)、给排水工程、通风及空调工程、标识工程、消防工程、强电工程、弱电智能化工程、楼宇泛光照明、医用气体工程、放射防护工程、污水处理设备、智能物流系统、纯水系统、电梯工程、室外工程以及红线外的外接水电工程、燃气接入工程等。</w:t>
      </w:r>
    </w:p>
    <w:p w14:paraId="2EAEAE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（二）全过程跟踪审计咨询服务（施工过程至竣工结算审定前）。</w:t>
      </w:r>
    </w:p>
    <w:p w14:paraId="6E2F95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1.施工全过程造价咨询服务施工过程跟踪造价咨询。</w:t>
      </w:r>
      <w:r>
        <w:rPr>
          <w:rFonts w:hint="eastAsia" w:asciiTheme="majorEastAsia" w:hAnsiTheme="majorEastAsia" w:eastAsiaTheme="majorEastAsia" w:cstheme="majorEastAsia"/>
          <w:b w:val="0"/>
          <w:bCs w:val="0"/>
          <w:color w:val="auto"/>
          <w:sz w:val="32"/>
          <w:szCs w:val="32"/>
          <w:highlight w:val="none"/>
          <w:lang w:val="en-US" w:eastAsia="zh-CN"/>
        </w:rPr>
        <w:t>包括但不限于：编制各平行分包工程项目招标控制价和工程量清单，审核施工全过程工程量清单及造价、合同补充修订、工程检测费用、工程变更价款、工程现场签证、工程进 度款支付、工程索赔等，参与隐蔽工程监督，审核合同约定必须由委托人定价的特殊材料设备单价和分包合同价等全过程跟踪审计。</w:t>
      </w:r>
    </w:p>
    <w:p w14:paraId="4C9FAA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2.若该项目最终结算需要送广西壮族自治区财政厅评审中心评审，受托方需要配合委托方做好对接财评工作。</w:t>
      </w:r>
      <w:bookmarkStart w:id="20" w:name="_GoBack"/>
      <w:bookmarkEnd w:id="20"/>
    </w:p>
    <w:p w14:paraId="6C7B5F10">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left="0" w:leftChars="0" w:firstLine="643" w:firstLineChars="200"/>
        <w:jc w:val="left"/>
        <w:outlineLvl w:val="0"/>
        <w:rPr>
          <w:rFonts w:hint="eastAsia" w:asciiTheme="majorEastAsia" w:hAnsiTheme="majorEastAsia" w:eastAsiaTheme="majorEastAsia" w:cstheme="majorEastAsia"/>
          <w:b/>
          <w:bCs/>
          <w:color w:val="auto"/>
          <w:kern w:val="0"/>
          <w:sz w:val="32"/>
          <w:szCs w:val="32"/>
          <w:highlight w:val="none"/>
        </w:rPr>
      </w:pPr>
      <w:r>
        <w:rPr>
          <w:rFonts w:hint="eastAsia" w:asciiTheme="majorEastAsia" w:hAnsiTheme="majorEastAsia" w:eastAsiaTheme="majorEastAsia" w:cstheme="majorEastAsia"/>
          <w:b/>
          <w:bCs/>
          <w:color w:val="auto"/>
          <w:kern w:val="0"/>
          <w:sz w:val="32"/>
          <w:szCs w:val="32"/>
          <w:highlight w:val="none"/>
          <w:lang w:val="en-US" w:eastAsia="zh-CN"/>
        </w:rPr>
        <w:t>三</w:t>
      </w:r>
      <w:r>
        <w:rPr>
          <w:rFonts w:hint="eastAsia" w:asciiTheme="majorEastAsia" w:hAnsiTheme="majorEastAsia" w:eastAsiaTheme="majorEastAsia" w:cstheme="majorEastAsia"/>
          <w:b/>
          <w:bCs/>
          <w:color w:val="auto"/>
          <w:kern w:val="0"/>
          <w:sz w:val="32"/>
          <w:szCs w:val="32"/>
          <w:highlight w:val="none"/>
        </w:rPr>
        <w:t>、项目采购预算</w:t>
      </w:r>
    </w:p>
    <w:p w14:paraId="7D7D3628">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本次采购预算269万。</w:t>
      </w:r>
    </w:p>
    <w:p w14:paraId="2D84090C">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left="0" w:leftChars="0" w:firstLine="643" w:firstLineChars="200"/>
        <w:jc w:val="left"/>
        <w:outlineLvl w:val="0"/>
        <w:rPr>
          <w:rFonts w:hint="eastAsia" w:asciiTheme="majorEastAsia" w:hAnsiTheme="majorEastAsia" w:eastAsiaTheme="majorEastAsia" w:cstheme="majorEastAsia"/>
          <w:b/>
          <w:bCs/>
          <w:color w:val="auto"/>
          <w:kern w:val="0"/>
          <w:sz w:val="32"/>
          <w:szCs w:val="32"/>
          <w:highlight w:val="none"/>
        </w:rPr>
      </w:pPr>
      <w:r>
        <w:rPr>
          <w:rFonts w:hint="eastAsia" w:asciiTheme="majorEastAsia" w:hAnsiTheme="majorEastAsia" w:eastAsiaTheme="majorEastAsia" w:cstheme="majorEastAsia"/>
          <w:b/>
          <w:bCs/>
          <w:color w:val="auto"/>
          <w:kern w:val="0"/>
          <w:sz w:val="32"/>
          <w:szCs w:val="32"/>
          <w:highlight w:val="none"/>
          <w:lang w:val="en-US" w:eastAsia="zh-CN"/>
        </w:rPr>
        <w:t>四</w:t>
      </w:r>
      <w:r>
        <w:rPr>
          <w:rFonts w:hint="eastAsia" w:asciiTheme="majorEastAsia" w:hAnsiTheme="majorEastAsia" w:eastAsiaTheme="majorEastAsia" w:cstheme="majorEastAsia"/>
          <w:b/>
          <w:bCs/>
          <w:color w:val="auto"/>
          <w:kern w:val="0"/>
          <w:sz w:val="32"/>
          <w:szCs w:val="32"/>
          <w:highlight w:val="none"/>
        </w:rPr>
        <w:t>、资格要求</w:t>
      </w:r>
    </w:p>
    <w:p w14:paraId="09CC00C5">
      <w:pPr>
        <w:keepNext w:val="0"/>
        <w:keepLines w:val="0"/>
        <w:pageBreakBefore w:val="0"/>
        <w:kinsoku/>
        <w:wordWrap/>
        <w:overflowPunct/>
        <w:topLinePunct w:val="0"/>
        <w:bidi w:val="0"/>
        <w:adjustRightInd w:val="0"/>
        <w:snapToGrid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（一）</w:t>
      </w:r>
      <w:r>
        <w:rPr>
          <w:rFonts w:hint="eastAsia" w:asciiTheme="majorEastAsia" w:hAnsiTheme="majorEastAsia" w:eastAsiaTheme="majorEastAsia" w:cstheme="majorEastAsia"/>
          <w:b w:val="0"/>
          <w:bCs w:val="0"/>
          <w:color w:val="auto"/>
          <w:sz w:val="32"/>
          <w:szCs w:val="32"/>
          <w:highlight w:val="none"/>
        </w:rPr>
        <w:t>符合《中华人民共和国政府采购法》第二十二条规定的投标人资格条件：</w:t>
      </w:r>
    </w:p>
    <w:p w14:paraId="1038EFED">
      <w:pPr>
        <w:keepNext w:val="0"/>
        <w:keepLines w:val="0"/>
        <w:pageBreakBefore w:val="0"/>
        <w:kinsoku/>
        <w:wordWrap/>
        <w:overflowPunct/>
        <w:topLinePunct w:val="0"/>
        <w:bidi w:val="0"/>
        <w:adjustRightInd w:val="0"/>
        <w:snapToGrid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（二）</w:t>
      </w:r>
      <w:r>
        <w:rPr>
          <w:rFonts w:hint="eastAsia" w:asciiTheme="majorEastAsia" w:hAnsiTheme="majorEastAsia" w:eastAsiaTheme="majorEastAsia" w:cstheme="majorEastAsia"/>
          <w:b w:val="0"/>
          <w:bCs w:val="0"/>
          <w:color w:val="auto"/>
          <w:sz w:val="32"/>
          <w:szCs w:val="32"/>
          <w:highlight w:val="none"/>
        </w:rPr>
        <w:t>投标人必须是具有国内独立法人资格的工程造价咨询单位。</w:t>
      </w:r>
    </w:p>
    <w:p w14:paraId="4452C588">
      <w:pPr>
        <w:keepNext w:val="0"/>
        <w:keepLines w:val="0"/>
        <w:pageBreakBefore w:val="0"/>
        <w:kinsoku/>
        <w:wordWrap/>
        <w:overflowPunct/>
        <w:topLinePunct w:val="0"/>
        <w:bidi w:val="0"/>
        <w:adjustRightInd w:val="0"/>
        <w:snapToGrid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（三）</w:t>
      </w:r>
      <w:r>
        <w:rPr>
          <w:rFonts w:hint="eastAsia" w:asciiTheme="majorEastAsia" w:hAnsiTheme="majorEastAsia" w:eastAsiaTheme="majorEastAsia" w:cstheme="majorEastAsia"/>
          <w:b w:val="0"/>
          <w:bCs w:val="0"/>
          <w:color w:val="auto"/>
          <w:sz w:val="32"/>
          <w:szCs w:val="32"/>
          <w:highlight w:val="none"/>
        </w:rPr>
        <w:t>拟投入的项目负责人必须具有全国一级注册造价师资格。</w:t>
      </w:r>
    </w:p>
    <w:p w14:paraId="34BDC9FA">
      <w:pPr>
        <w:keepNext w:val="0"/>
        <w:keepLines w:val="0"/>
        <w:pageBreakBefore w:val="0"/>
        <w:kinsoku/>
        <w:wordWrap/>
        <w:overflowPunct/>
        <w:topLinePunct w:val="0"/>
        <w:bidi w:val="0"/>
        <w:adjustRightInd w:val="0"/>
        <w:snapToGrid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（四）</w:t>
      </w:r>
      <w:r>
        <w:rPr>
          <w:rFonts w:hint="eastAsia" w:asciiTheme="majorEastAsia" w:hAnsiTheme="majorEastAsia" w:eastAsiaTheme="majorEastAsia" w:cstheme="majorEastAsia"/>
          <w:b w:val="0"/>
          <w:bCs w:val="0"/>
          <w:color w:val="auto"/>
          <w:sz w:val="32"/>
          <w:szCs w:val="32"/>
          <w:highlight w:val="none"/>
        </w:rPr>
        <w:t>投标人须具有健全的业务质量控制管理机制，较完整的风险防范管理制度，守法经营，较好地执行行业管理规定，没有发生过严重的违规、违纪、违法和业务质量事件，未被有关部门或采购人列入黑名单。</w:t>
      </w:r>
    </w:p>
    <w:p w14:paraId="55E2D31E">
      <w:pPr>
        <w:keepNext w:val="0"/>
        <w:keepLines w:val="0"/>
        <w:pageBreakBefore w:val="0"/>
        <w:kinsoku/>
        <w:wordWrap/>
        <w:overflowPunct/>
        <w:topLinePunct w:val="0"/>
        <w:bidi w:val="0"/>
        <w:adjustRightInd w:val="0"/>
        <w:snapToGrid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（五）</w:t>
      </w:r>
      <w:r>
        <w:rPr>
          <w:rFonts w:hint="eastAsia" w:asciiTheme="majorEastAsia" w:hAnsiTheme="majorEastAsia" w:eastAsiaTheme="majorEastAsia" w:cstheme="majorEastAsia"/>
          <w:b w:val="0"/>
          <w:bCs w:val="0"/>
          <w:color w:val="auto"/>
          <w:sz w:val="32"/>
          <w:szCs w:val="32"/>
          <w:highlight w:val="none"/>
        </w:rPr>
        <w:t>本项目不接受联合体投标，中标后不允许转包、分包。</w:t>
      </w:r>
    </w:p>
    <w:p w14:paraId="38574FB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outlineLvl w:val="0"/>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五、服务周期</w:t>
      </w:r>
    </w:p>
    <w:p w14:paraId="3D40787A">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sz w:val="32"/>
          <w:szCs w:val="32"/>
          <w:highlight w:val="none"/>
        </w:rPr>
        <w:t>从</w:t>
      </w:r>
      <w:r>
        <w:rPr>
          <w:rFonts w:hint="eastAsia" w:asciiTheme="majorEastAsia" w:hAnsiTheme="majorEastAsia" w:eastAsiaTheme="majorEastAsia" w:cstheme="majorEastAsia"/>
          <w:b w:val="0"/>
          <w:bCs w:val="0"/>
          <w:color w:val="auto"/>
          <w:sz w:val="32"/>
          <w:szCs w:val="32"/>
          <w:highlight w:val="none"/>
          <w:lang w:val="en-US" w:eastAsia="zh-CN"/>
        </w:rPr>
        <w:t>项目开工之</w:t>
      </w:r>
      <w:r>
        <w:rPr>
          <w:rFonts w:hint="eastAsia" w:asciiTheme="majorEastAsia" w:hAnsiTheme="majorEastAsia" w:eastAsiaTheme="majorEastAsia" w:cstheme="majorEastAsia"/>
          <w:b w:val="0"/>
          <w:bCs w:val="0"/>
          <w:color w:val="auto"/>
          <w:sz w:val="32"/>
          <w:szCs w:val="32"/>
          <w:highlight w:val="none"/>
        </w:rPr>
        <w:t>日起至</w:t>
      </w:r>
      <w:r>
        <w:rPr>
          <w:rFonts w:hint="eastAsia" w:asciiTheme="majorEastAsia" w:hAnsiTheme="majorEastAsia" w:eastAsiaTheme="majorEastAsia" w:cstheme="majorEastAsia"/>
          <w:b w:val="0"/>
          <w:bCs w:val="0"/>
          <w:color w:val="auto"/>
          <w:sz w:val="32"/>
          <w:szCs w:val="32"/>
          <w:highlight w:val="none"/>
          <w:lang w:val="en-US" w:eastAsia="zh-CN"/>
        </w:rPr>
        <w:t>所有</w:t>
      </w:r>
      <w:r>
        <w:rPr>
          <w:rFonts w:hint="eastAsia" w:asciiTheme="majorEastAsia" w:hAnsiTheme="majorEastAsia" w:eastAsiaTheme="majorEastAsia" w:cstheme="majorEastAsia"/>
          <w:b w:val="0"/>
          <w:bCs w:val="0"/>
          <w:color w:val="auto"/>
          <w:sz w:val="32"/>
          <w:szCs w:val="32"/>
          <w:highlight w:val="none"/>
        </w:rPr>
        <w:t>工程项目竣工</w:t>
      </w:r>
      <w:r>
        <w:rPr>
          <w:rFonts w:hint="eastAsia" w:asciiTheme="majorEastAsia" w:hAnsiTheme="majorEastAsia" w:eastAsiaTheme="majorEastAsia" w:cstheme="majorEastAsia"/>
          <w:b w:val="0"/>
          <w:bCs w:val="0"/>
          <w:color w:val="auto"/>
          <w:sz w:val="32"/>
          <w:szCs w:val="32"/>
          <w:highlight w:val="none"/>
          <w:lang w:val="en-US" w:eastAsia="zh-CN"/>
        </w:rPr>
        <w:t>结</w:t>
      </w:r>
      <w:r>
        <w:rPr>
          <w:rFonts w:hint="eastAsia" w:asciiTheme="majorEastAsia" w:hAnsiTheme="majorEastAsia" w:eastAsiaTheme="majorEastAsia" w:cstheme="majorEastAsia"/>
          <w:b w:val="0"/>
          <w:bCs w:val="0"/>
          <w:color w:val="auto"/>
          <w:sz w:val="32"/>
          <w:szCs w:val="32"/>
          <w:highlight w:val="none"/>
        </w:rPr>
        <w:t>算为止。</w:t>
      </w:r>
    </w:p>
    <w:p w14:paraId="268B869F">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left="0" w:leftChars="0" w:firstLine="643" w:firstLineChars="200"/>
        <w:jc w:val="left"/>
        <w:outlineLvl w:val="0"/>
        <w:rPr>
          <w:rFonts w:hint="eastAsia" w:asciiTheme="majorEastAsia" w:hAnsiTheme="majorEastAsia" w:eastAsiaTheme="majorEastAsia" w:cstheme="majorEastAsia"/>
          <w:b/>
          <w:bCs/>
          <w:color w:val="auto"/>
          <w:kern w:val="0"/>
          <w:sz w:val="32"/>
          <w:szCs w:val="32"/>
          <w:highlight w:val="none"/>
        </w:rPr>
      </w:pPr>
      <w:r>
        <w:rPr>
          <w:rFonts w:hint="eastAsia" w:asciiTheme="majorEastAsia" w:hAnsiTheme="majorEastAsia" w:eastAsiaTheme="majorEastAsia" w:cstheme="majorEastAsia"/>
          <w:b/>
          <w:bCs/>
          <w:color w:val="auto"/>
          <w:kern w:val="0"/>
          <w:sz w:val="32"/>
          <w:szCs w:val="32"/>
          <w:highlight w:val="none"/>
          <w:lang w:val="en-US" w:eastAsia="zh-CN"/>
        </w:rPr>
        <w:t>六</w:t>
      </w:r>
      <w:r>
        <w:rPr>
          <w:rFonts w:hint="eastAsia" w:asciiTheme="majorEastAsia" w:hAnsiTheme="majorEastAsia" w:eastAsiaTheme="majorEastAsia" w:cstheme="majorEastAsia"/>
          <w:b/>
          <w:bCs/>
          <w:color w:val="auto"/>
          <w:kern w:val="0"/>
          <w:sz w:val="32"/>
          <w:szCs w:val="32"/>
          <w:highlight w:val="none"/>
        </w:rPr>
        <w:t>、服务质量要求</w:t>
      </w:r>
    </w:p>
    <w:p w14:paraId="7BA7162D">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sz w:val="32"/>
          <w:szCs w:val="32"/>
          <w:highlight w:val="none"/>
        </w:rPr>
        <w:t>符合中国工程造价管理协会颁布《建设项目全过程造价咨询规程》（CECA/GC4-2009）要求工程造价咨询企业承担建设项目全过程造价咨询的内容、范围、格式、深度要求和质量标准。</w:t>
      </w:r>
    </w:p>
    <w:p w14:paraId="1865385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outlineLvl w:val="0"/>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七、项目采购具体需求</w:t>
      </w:r>
    </w:p>
    <w:p w14:paraId="06CE785F">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编制采购控制价服务</w:t>
      </w:r>
    </w:p>
    <w:p w14:paraId="7DFEEC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heme="majorEastAsia" w:hAnsiTheme="majorEastAsia" w:eastAsiaTheme="majorEastAsia" w:cstheme="majorEastAsia"/>
          <w:b w:val="0"/>
          <w:bCs w:val="0"/>
          <w:color w:val="auto"/>
          <w:sz w:val="32"/>
          <w:szCs w:val="32"/>
          <w:highlight w:val="none"/>
          <w:lang w:eastAsia="zh-CN"/>
        </w:rPr>
      </w:pPr>
      <w:r>
        <w:rPr>
          <w:rFonts w:hint="eastAsia" w:asciiTheme="majorEastAsia" w:hAnsiTheme="majorEastAsia" w:eastAsiaTheme="majorEastAsia" w:cstheme="majorEastAsia"/>
          <w:b w:val="0"/>
          <w:bCs w:val="0"/>
          <w:color w:val="auto"/>
          <w:sz w:val="32"/>
          <w:szCs w:val="32"/>
          <w:highlight w:val="none"/>
          <w:lang w:val="en-US" w:eastAsia="zh-CN"/>
        </w:rPr>
        <w:t>编制新阳院区重建项目招标控制价和工程量清单</w:t>
      </w:r>
      <w:r>
        <w:rPr>
          <w:rFonts w:hint="eastAsia" w:asciiTheme="majorEastAsia" w:hAnsiTheme="majorEastAsia" w:eastAsiaTheme="majorEastAsia" w:cstheme="majorEastAsia"/>
          <w:b w:val="0"/>
          <w:bCs w:val="0"/>
          <w:color w:val="auto"/>
          <w:sz w:val="32"/>
          <w:szCs w:val="32"/>
          <w:highlight w:val="none"/>
          <w:lang w:eastAsia="zh-CN"/>
        </w:rPr>
        <w:t>。</w:t>
      </w:r>
    </w:p>
    <w:p w14:paraId="575C20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编制内容和范围包括但不限于：拆除工程，建筑工程、装修装饰工程(含二次装修、特殊区域装修)、给排水工程、通风及空调工程、标识工程、消防工程、强电工程、弱电智能化工程、楼宇泛光照明、医用气体工程、放射防护工程、污水处理设备、智能物流系统、纯水系统、电梯工程、室外工程以及红线外的外接水电工程、燃气接入工程等。</w:t>
      </w:r>
    </w:p>
    <w:p w14:paraId="5DD37D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（二）全过程跟踪审计咨询服务</w:t>
      </w:r>
    </w:p>
    <w:p w14:paraId="70E4605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施工全过程造价咨询服务。</w:t>
      </w:r>
    </w:p>
    <w:p w14:paraId="298A6E4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施工过程跟踪造价咨询，包括但不限于审核施工全过程工程量清单及造价、合同补充修订、工程检测费用、工程变更价款、工程现场签证、工程进度款支付、工程索赔等，参与隐蔽工程监督，审核合同约定必须由委托人定价的特殊材料设备单价和分包合同价等全过程跟踪审计。</w:t>
      </w:r>
    </w:p>
    <w:p w14:paraId="216616F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1"/>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（三）拟投入人员需求</w:t>
      </w:r>
    </w:p>
    <w:p w14:paraId="6FF7B44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1.</w:t>
      </w:r>
      <w:r>
        <w:rPr>
          <w:rFonts w:hint="eastAsia" w:asciiTheme="majorEastAsia" w:hAnsiTheme="majorEastAsia" w:eastAsiaTheme="majorEastAsia" w:cstheme="majorEastAsia"/>
          <w:b w:val="0"/>
          <w:bCs w:val="0"/>
          <w:color w:val="auto"/>
          <w:kern w:val="0"/>
          <w:sz w:val="32"/>
          <w:szCs w:val="32"/>
          <w:highlight w:val="none"/>
        </w:rPr>
        <w:t>拟投入本工程跟踪审计人员具有独立相似的工程建设项目咨询服务业绩；具有良好的职业道德和较强的协调沟通能力;具有较强的工作责任感和敬业精神。根据工程项目需要</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本次需要投入1名项目负责人，2名现场驻场</w:t>
      </w:r>
      <w:r>
        <w:rPr>
          <w:rFonts w:hint="eastAsia" w:asciiTheme="majorEastAsia" w:hAnsiTheme="majorEastAsia" w:eastAsiaTheme="majorEastAsia" w:cstheme="majorEastAsia"/>
          <w:b w:val="0"/>
          <w:bCs w:val="0"/>
          <w:color w:val="auto"/>
          <w:kern w:val="0"/>
          <w:sz w:val="32"/>
          <w:szCs w:val="32"/>
          <w:highlight w:val="none"/>
        </w:rPr>
        <w:t>专业人员</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驻场人员必要时根据委托方需要随时增派人手。</w:t>
      </w:r>
    </w:p>
    <w:p w14:paraId="60A0B4F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val="en-US" w:eastAsia="zh-CN"/>
        </w:rPr>
        <w:t>2.其中驻场人员至少有1人必须持有二级造价师及以上证书，且获得中级工程师职称</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具备5年以上工程造价工作经验，熟悉施工现场造价管理工作，参与过至少四个及以上同类型项目管理经验（提供证明材料）</w:t>
      </w:r>
      <w:r>
        <w:rPr>
          <w:rFonts w:hint="eastAsia" w:asciiTheme="majorEastAsia" w:hAnsiTheme="majorEastAsia" w:eastAsiaTheme="majorEastAsia" w:cstheme="majorEastAsia"/>
          <w:b w:val="0"/>
          <w:bCs w:val="0"/>
          <w:color w:val="auto"/>
          <w:kern w:val="0"/>
          <w:sz w:val="32"/>
          <w:szCs w:val="32"/>
          <w:highlight w:val="none"/>
        </w:rPr>
        <w:t>。</w:t>
      </w:r>
    </w:p>
    <w:p w14:paraId="6696F31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3.</w:t>
      </w:r>
      <w:r>
        <w:rPr>
          <w:rFonts w:hint="eastAsia" w:asciiTheme="majorEastAsia" w:hAnsiTheme="majorEastAsia" w:eastAsiaTheme="majorEastAsia" w:cstheme="majorEastAsia"/>
          <w:b w:val="0"/>
          <w:bCs w:val="0"/>
          <w:color w:val="auto"/>
          <w:kern w:val="0"/>
          <w:sz w:val="32"/>
          <w:szCs w:val="32"/>
          <w:highlight w:val="none"/>
        </w:rPr>
        <w:t>未经</w:t>
      </w:r>
      <w:r>
        <w:rPr>
          <w:rFonts w:hint="eastAsia" w:asciiTheme="majorEastAsia" w:hAnsiTheme="majorEastAsia" w:eastAsiaTheme="majorEastAsia" w:cstheme="majorEastAsia"/>
          <w:b w:val="0"/>
          <w:bCs w:val="0"/>
          <w:color w:val="auto"/>
          <w:kern w:val="0"/>
          <w:sz w:val="32"/>
          <w:szCs w:val="32"/>
          <w:highlight w:val="none"/>
          <w:lang w:val="en-US" w:eastAsia="zh-CN"/>
        </w:rPr>
        <w:t>委托人</w:t>
      </w:r>
      <w:r>
        <w:rPr>
          <w:rFonts w:hint="eastAsia" w:asciiTheme="majorEastAsia" w:hAnsiTheme="majorEastAsia" w:eastAsiaTheme="majorEastAsia" w:cstheme="majorEastAsia"/>
          <w:b w:val="0"/>
          <w:bCs w:val="0"/>
          <w:color w:val="auto"/>
          <w:kern w:val="0"/>
          <w:sz w:val="32"/>
          <w:szCs w:val="32"/>
          <w:highlight w:val="none"/>
        </w:rPr>
        <w:t>同意不得变更审计人员。</w:t>
      </w:r>
    </w:p>
    <w:p w14:paraId="19CF646F">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left="0" w:leftChars="0" w:firstLine="640" w:firstLineChars="200"/>
        <w:jc w:val="left"/>
        <w:outlineLvl w:val="1"/>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（四）全过程造价咨询服务</w:t>
      </w:r>
      <w:r>
        <w:rPr>
          <w:rFonts w:hint="eastAsia" w:asciiTheme="majorEastAsia" w:hAnsiTheme="majorEastAsia" w:eastAsiaTheme="majorEastAsia" w:cstheme="majorEastAsia"/>
          <w:b w:val="0"/>
          <w:bCs w:val="0"/>
          <w:color w:val="auto"/>
          <w:kern w:val="0"/>
          <w:sz w:val="32"/>
          <w:szCs w:val="32"/>
          <w:highlight w:val="none"/>
        </w:rPr>
        <w:t>的主要职责范围</w:t>
      </w:r>
      <w:r>
        <w:rPr>
          <w:rFonts w:hint="eastAsia" w:asciiTheme="majorEastAsia" w:hAnsiTheme="majorEastAsia" w:eastAsiaTheme="majorEastAsia" w:cstheme="majorEastAsia"/>
          <w:b w:val="0"/>
          <w:bCs w:val="0"/>
          <w:color w:val="auto"/>
          <w:sz w:val="32"/>
          <w:szCs w:val="32"/>
          <w:highlight w:val="none"/>
          <w:lang w:val="en-US" w:eastAsia="zh-CN"/>
        </w:rPr>
        <w:t>：</w:t>
      </w:r>
    </w:p>
    <w:p w14:paraId="26BBAB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从项目</w:t>
      </w:r>
      <w:r>
        <w:rPr>
          <w:rFonts w:hint="eastAsia" w:asciiTheme="majorEastAsia" w:hAnsiTheme="majorEastAsia" w:eastAsiaTheme="majorEastAsia" w:cstheme="majorEastAsia"/>
          <w:b w:val="0"/>
          <w:bCs w:val="0"/>
          <w:color w:val="auto"/>
          <w:kern w:val="0"/>
          <w:sz w:val="32"/>
          <w:szCs w:val="32"/>
          <w:highlight w:val="none"/>
          <w:lang w:val="en-US" w:eastAsia="zh-CN"/>
        </w:rPr>
        <w:t>开工</w:t>
      </w:r>
      <w:r>
        <w:rPr>
          <w:rFonts w:hint="eastAsia" w:asciiTheme="majorEastAsia" w:hAnsiTheme="majorEastAsia" w:eastAsiaTheme="majorEastAsia" w:cstheme="majorEastAsia"/>
          <w:b w:val="0"/>
          <w:bCs w:val="0"/>
          <w:color w:val="auto"/>
          <w:kern w:val="0"/>
          <w:sz w:val="32"/>
          <w:szCs w:val="32"/>
          <w:highlight w:val="none"/>
        </w:rPr>
        <w:t>到竣工结算</w:t>
      </w:r>
      <w:r>
        <w:rPr>
          <w:rFonts w:hint="eastAsia" w:asciiTheme="majorEastAsia" w:hAnsiTheme="majorEastAsia" w:eastAsiaTheme="majorEastAsia" w:cstheme="majorEastAsia"/>
          <w:b w:val="0"/>
          <w:bCs w:val="0"/>
          <w:color w:val="auto"/>
          <w:kern w:val="0"/>
          <w:sz w:val="32"/>
          <w:szCs w:val="32"/>
          <w:highlight w:val="none"/>
          <w:lang w:val="en-US" w:eastAsia="zh-CN"/>
        </w:rPr>
        <w:t>前</w:t>
      </w:r>
      <w:r>
        <w:rPr>
          <w:rFonts w:hint="eastAsia" w:asciiTheme="majorEastAsia" w:hAnsiTheme="majorEastAsia" w:eastAsiaTheme="majorEastAsia" w:cstheme="majorEastAsia"/>
          <w:b w:val="0"/>
          <w:bCs w:val="0"/>
          <w:color w:val="auto"/>
          <w:kern w:val="0"/>
          <w:sz w:val="32"/>
          <w:szCs w:val="32"/>
          <w:highlight w:val="none"/>
        </w:rPr>
        <w:t>各阶段各环节工程造价进行全过程跟踪审计监督和控制。工作范围包含但不限于以下内容：</w:t>
      </w:r>
    </w:p>
    <w:p w14:paraId="712DED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（1）参加施工图纸会审，提出图纸优化意见，做好施工图纸预算审核工作。</w:t>
      </w:r>
    </w:p>
    <w:p w14:paraId="5C42123D">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2</w:t>
      </w:r>
      <w:r>
        <w:rPr>
          <w:rFonts w:hint="eastAsia" w:asciiTheme="majorEastAsia" w:hAnsiTheme="majorEastAsia" w:eastAsiaTheme="majorEastAsia" w:cstheme="majorEastAsia"/>
          <w:b w:val="0"/>
          <w:bCs w:val="0"/>
          <w:color w:val="auto"/>
          <w:kern w:val="0"/>
          <w:sz w:val="32"/>
          <w:szCs w:val="32"/>
          <w:highlight w:val="none"/>
        </w:rPr>
        <w:t>）以招投标文件及合同为依据，复核、监控施工图设计是否在合理优化设计范围内。</w:t>
      </w:r>
    </w:p>
    <w:p w14:paraId="1ED70E3E">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3</w:t>
      </w:r>
      <w:r>
        <w:rPr>
          <w:rFonts w:hint="eastAsia" w:asciiTheme="majorEastAsia" w:hAnsiTheme="majorEastAsia" w:eastAsiaTheme="majorEastAsia" w:cstheme="majorEastAsia"/>
          <w:b w:val="0"/>
          <w:bCs w:val="0"/>
          <w:color w:val="auto"/>
          <w:kern w:val="0"/>
          <w:sz w:val="32"/>
          <w:szCs w:val="32"/>
          <w:highlight w:val="none"/>
        </w:rPr>
        <w:t>）参加工程例会和工程的各阶段的验收工作，配合业主做好与设计方、承包方、监理方、供应商、试验检测单位的协调工作，每月向业主进行一次书面工作汇报，进行风险分析与风险评估并提出合理化建议。</w:t>
      </w:r>
    </w:p>
    <w:p w14:paraId="07AA8FD6">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4</w:t>
      </w:r>
      <w:r>
        <w:rPr>
          <w:rFonts w:hint="eastAsia" w:asciiTheme="majorEastAsia" w:hAnsiTheme="majorEastAsia" w:eastAsiaTheme="majorEastAsia" w:cstheme="majorEastAsia"/>
          <w:b w:val="0"/>
          <w:bCs w:val="0"/>
          <w:color w:val="auto"/>
          <w:kern w:val="0"/>
          <w:sz w:val="32"/>
          <w:szCs w:val="32"/>
          <w:highlight w:val="none"/>
        </w:rPr>
        <w:t>）负责工程进度款审核。按合同约定审核施工单位所报进度款,核实阶段进度报量,并签发付款意见。</w:t>
      </w:r>
    </w:p>
    <w:p w14:paraId="280FE214">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5</w:t>
      </w:r>
      <w:r>
        <w:rPr>
          <w:rFonts w:hint="eastAsia" w:asciiTheme="majorEastAsia" w:hAnsiTheme="majorEastAsia" w:eastAsiaTheme="majorEastAsia" w:cstheme="majorEastAsia"/>
          <w:b w:val="0"/>
          <w:bCs w:val="0"/>
          <w:color w:val="auto"/>
          <w:kern w:val="0"/>
          <w:sz w:val="32"/>
          <w:szCs w:val="32"/>
          <w:highlight w:val="none"/>
        </w:rPr>
        <w:t>）做好设计、施工变更的现场勘察，对于隐蔽工程必须全程监督，参与隐蔽工程的检查和验收。会同施工单位、监理单位、业主</w:t>
      </w:r>
      <w:r>
        <w:rPr>
          <w:rFonts w:hint="eastAsia" w:asciiTheme="majorEastAsia" w:hAnsiTheme="majorEastAsia" w:eastAsiaTheme="majorEastAsia" w:cstheme="majorEastAsia"/>
          <w:b w:val="0"/>
          <w:bCs w:val="0"/>
          <w:color w:val="auto"/>
          <w:kern w:val="0"/>
          <w:sz w:val="32"/>
          <w:szCs w:val="32"/>
          <w:highlight w:val="none"/>
          <w:lang w:val="en-US" w:eastAsia="zh-CN"/>
        </w:rPr>
        <w:t>参与材料验收、各种</w:t>
      </w:r>
      <w:r>
        <w:rPr>
          <w:rFonts w:hint="eastAsia" w:asciiTheme="majorEastAsia" w:hAnsiTheme="majorEastAsia" w:eastAsiaTheme="majorEastAsia" w:cstheme="majorEastAsia"/>
          <w:b w:val="0"/>
          <w:bCs w:val="0"/>
          <w:color w:val="auto"/>
          <w:kern w:val="0"/>
          <w:sz w:val="32"/>
          <w:szCs w:val="32"/>
          <w:highlight w:val="none"/>
        </w:rPr>
        <w:t>签证</w:t>
      </w:r>
      <w:r>
        <w:rPr>
          <w:rFonts w:hint="eastAsia" w:asciiTheme="majorEastAsia" w:hAnsiTheme="majorEastAsia" w:eastAsiaTheme="majorEastAsia" w:cstheme="majorEastAsia"/>
          <w:b w:val="0"/>
          <w:bCs w:val="0"/>
          <w:color w:val="auto"/>
          <w:kern w:val="0"/>
          <w:sz w:val="32"/>
          <w:szCs w:val="32"/>
          <w:highlight w:val="none"/>
          <w:lang w:val="en-US" w:eastAsia="zh-CN"/>
        </w:rPr>
        <w:t>办理</w:t>
      </w:r>
      <w:r>
        <w:rPr>
          <w:rFonts w:hint="eastAsia" w:asciiTheme="majorEastAsia" w:hAnsiTheme="majorEastAsia" w:eastAsiaTheme="majorEastAsia" w:cstheme="majorEastAsia"/>
          <w:b w:val="0"/>
          <w:bCs w:val="0"/>
          <w:color w:val="auto"/>
          <w:kern w:val="0"/>
          <w:sz w:val="32"/>
          <w:szCs w:val="32"/>
          <w:highlight w:val="none"/>
        </w:rPr>
        <w:t>，并检查工程设计变更、施工变更现场签证手续是否合理、合规、及时、完整、真实。配合业主完成标书以外材料、设备的市场调研工作。负责工程设计、施工变更的计量，分析设计、施工变更对造价的影响，并核定承包人对设计变更所造成费用上的增减。</w:t>
      </w:r>
    </w:p>
    <w:p w14:paraId="4EC26C63">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6</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2"/>
          <w:sz w:val="32"/>
          <w:szCs w:val="32"/>
          <w:highlight w:val="none"/>
          <w:lang w:val="en-US" w:eastAsia="zh-CN" w:bidi="ar-SA"/>
        </w:rPr>
        <w:t>业主平行分包部分工程招标控制价、工程量清单编制、施工图预算审核等。</w:t>
      </w:r>
    </w:p>
    <w:p w14:paraId="5BC83C91">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7</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sz w:val="32"/>
          <w:szCs w:val="32"/>
          <w:highlight w:val="none"/>
          <w:lang w:val="en-US" w:eastAsia="zh-CN"/>
        </w:rPr>
        <w:t>若该项目最终结算需要送广西壮族自治区财政厅评审中心评审，受托方需要配合委托方做好对接财评工作。</w:t>
      </w:r>
    </w:p>
    <w:p w14:paraId="36B47BFF">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8</w:t>
      </w:r>
      <w:r>
        <w:rPr>
          <w:rFonts w:hint="eastAsia" w:asciiTheme="majorEastAsia" w:hAnsiTheme="majorEastAsia" w:eastAsiaTheme="majorEastAsia" w:cstheme="majorEastAsia"/>
          <w:b w:val="0"/>
          <w:bCs w:val="0"/>
          <w:color w:val="auto"/>
          <w:kern w:val="0"/>
          <w:sz w:val="32"/>
          <w:szCs w:val="32"/>
          <w:highlight w:val="none"/>
        </w:rPr>
        <w:t>）严格控制索赔，对由于承包方责任造成业主损失提出反索赔。</w:t>
      </w:r>
    </w:p>
    <w:p w14:paraId="23747A3A">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9</w:t>
      </w:r>
      <w:r>
        <w:rPr>
          <w:rFonts w:hint="eastAsia" w:asciiTheme="majorEastAsia" w:hAnsiTheme="majorEastAsia" w:eastAsiaTheme="majorEastAsia" w:cstheme="majorEastAsia"/>
          <w:b w:val="0"/>
          <w:bCs w:val="0"/>
          <w:color w:val="auto"/>
          <w:kern w:val="0"/>
          <w:sz w:val="32"/>
          <w:szCs w:val="32"/>
          <w:highlight w:val="none"/>
        </w:rPr>
        <w:t>）出具咨询成果报告，做好项目资料收集，装订归档，并及时移交业主。</w:t>
      </w:r>
    </w:p>
    <w:p w14:paraId="2180EDD1">
      <w:pPr>
        <w:keepNext w:val="0"/>
        <w:keepLines w:val="0"/>
        <w:pageBreakBefore w:val="0"/>
        <w:kinsoku/>
        <w:wordWrap/>
        <w:overflowPunct/>
        <w:topLinePunct w:val="0"/>
        <w:bidi w:val="0"/>
        <w:spacing w:beforeAutospacing="0" w:afterAutospacing="0" w:line="560" w:lineRule="exact"/>
        <w:ind w:left="0" w:leftChars="0" w:firstLine="640" w:firstLineChars="200"/>
        <w:jc w:val="left"/>
        <w:outlineLvl w:val="1"/>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五</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合同费用和报价方式</w:t>
      </w:r>
      <w:r>
        <w:rPr>
          <w:rFonts w:hint="eastAsia" w:asciiTheme="majorEastAsia" w:hAnsiTheme="majorEastAsia" w:eastAsiaTheme="majorEastAsia" w:cstheme="majorEastAsia"/>
          <w:b w:val="0"/>
          <w:bCs w:val="0"/>
          <w:color w:val="auto"/>
          <w:kern w:val="0"/>
          <w:sz w:val="32"/>
          <w:szCs w:val="32"/>
          <w:highlight w:val="none"/>
        </w:rPr>
        <w:t>：</w:t>
      </w:r>
    </w:p>
    <w:p w14:paraId="681CF710">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jc w:val="left"/>
        <w:textAlignment w:val="auto"/>
        <w:outlineLvl w:val="2"/>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1.合同总金额组成：合同总金额由</w:t>
      </w:r>
      <w:r>
        <w:rPr>
          <w:rFonts w:hint="eastAsia" w:asciiTheme="majorEastAsia" w:hAnsiTheme="majorEastAsia" w:eastAsiaTheme="majorEastAsia" w:cstheme="majorEastAsia"/>
          <w:b w:val="0"/>
          <w:bCs w:val="0"/>
          <w:color w:val="auto"/>
          <w:sz w:val="32"/>
          <w:szCs w:val="32"/>
          <w:highlight w:val="none"/>
          <w:lang w:val="en-US" w:eastAsia="zh-CN"/>
        </w:rPr>
        <w:t>编制招标控制价服务费和</w:t>
      </w:r>
      <w:r>
        <w:rPr>
          <w:rFonts w:hint="eastAsia" w:asciiTheme="majorEastAsia" w:hAnsiTheme="majorEastAsia" w:eastAsiaTheme="majorEastAsia" w:cstheme="majorEastAsia"/>
          <w:b w:val="0"/>
          <w:bCs w:val="0"/>
          <w:color w:val="auto"/>
          <w:kern w:val="0"/>
          <w:sz w:val="32"/>
          <w:szCs w:val="32"/>
          <w:highlight w:val="none"/>
          <w:lang w:val="en-US" w:eastAsia="zh-CN"/>
        </w:rPr>
        <w:t>全过程跟踪审计咨询服务费组成。</w:t>
      </w:r>
    </w:p>
    <w:p w14:paraId="23218028">
      <w:pPr>
        <w:pStyle w:val="2"/>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auto"/>
        <w:rPr>
          <w:rFonts w:hint="eastAsia" w:asciiTheme="majorEastAsia" w:hAnsiTheme="majorEastAsia" w:eastAsiaTheme="majorEastAsia" w:cstheme="majorEastAsia"/>
          <w:b w:val="0"/>
          <w:bCs w:val="0"/>
          <w:color w:val="auto"/>
          <w:kern w:val="0"/>
          <w:sz w:val="32"/>
          <w:szCs w:val="32"/>
          <w:highlight w:val="none"/>
          <w:lang w:eastAsia="zh-CN"/>
        </w:rPr>
      </w:pPr>
      <w:r>
        <w:rPr>
          <w:rFonts w:hint="eastAsia" w:asciiTheme="majorEastAsia" w:hAnsiTheme="majorEastAsia" w:eastAsiaTheme="majorEastAsia" w:cstheme="majorEastAsia"/>
          <w:b w:val="0"/>
          <w:bCs w:val="0"/>
          <w:color w:val="auto"/>
          <w:sz w:val="32"/>
          <w:szCs w:val="32"/>
          <w:highlight w:val="none"/>
          <w:lang w:val="en-US" w:eastAsia="zh-CN"/>
        </w:rPr>
        <w:t>1.1编制采购控制价服务费组成：</w:t>
      </w:r>
      <w:r>
        <w:rPr>
          <w:rFonts w:hint="eastAsia" w:asciiTheme="majorEastAsia" w:hAnsiTheme="majorEastAsia" w:eastAsiaTheme="majorEastAsia" w:cstheme="majorEastAsia"/>
          <w:b w:val="0"/>
          <w:bCs w:val="0"/>
          <w:color w:val="auto"/>
          <w:kern w:val="0"/>
          <w:sz w:val="32"/>
          <w:szCs w:val="32"/>
          <w:highlight w:val="none"/>
          <w:lang w:val="en-US" w:eastAsia="zh-CN"/>
        </w:rPr>
        <w:t>拆除工程、地基工程、施工总承包工程项目中标合同价</w:t>
      </w:r>
      <w:r>
        <w:rPr>
          <w:rFonts w:hint="eastAsia" w:asciiTheme="majorEastAsia" w:hAnsiTheme="majorEastAsia" w:eastAsiaTheme="majorEastAsia" w:cstheme="majorEastAsia"/>
          <w:b/>
          <w:bCs/>
          <w:color w:val="auto"/>
          <w:sz w:val="32"/>
          <w:szCs w:val="32"/>
          <w:highlight w:val="none"/>
          <w:lang w:eastAsia="zh-CN"/>
        </w:rPr>
        <w:t>（</w:t>
      </w:r>
      <w:r>
        <w:rPr>
          <w:rFonts w:hint="eastAsia" w:asciiTheme="majorEastAsia" w:hAnsiTheme="majorEastAsia" w:eastAsiaTheme="majorEastAsia" w:cstheme="majorEastAsia"/>
          <w:b/>
          <w:bCs/>
          <w:color w:val="auto"/>
          <w:sz w:val="32"/>
          <w:szCs w:val="32"/>
          <w:highlight w:val="none"/>
          <w:lang w:val="en-US" w:eastAsia="zh-CN"/>
        </w:rPr>
        <w:t>扣除暂列金</w:t>
      </w:r>
      <w:r>
        <w:rPr>
          <w:rFonts w:hint="eastAsia" w:asciiTheme="majorEastAsia" w:hAnsiTheme="majorEastAsia" w:eastAsiaTheme="majorEastAsia" w:cstheme="majorEastAsia"/>
          <w:b/>
          <w:bCs/>
          <w:color w:val="auto"/>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之和*</w:t>
      </w:r>
      <w:r>
        <w:rPr>
          <w:rFonts w:hint="eastAsia" w:asciiTheme="majorEastAsia" w:hAnsiTheme="majorEastAsia" w:eastAsiaTheme="majorEastAsia" w:cstheme="majorEastAsia"/>
          <w:b w:val="0"/>
          <w:bCs w:val="0"/>
          <w:color w:val="auto"/>
          <w:sz w:val="32"/>
          <w:szCs w:val="32"/>
          <w:highlight w:val="none"/>
          <w:lang w:val="en-US" w:eastAsia="zh-CN"/>
        </w:rPr>
        <w:t>编制</w:t>
      </w:r>
      <w:r>
        <w:rPr>
          <w:rFonts w:hint="eastAsia" w:asciiTheme="majorEastAsia" w:hAnsiTheme="majorEastAsia" w:eastAsiaTheme="majorEastAsia" w:cstheme="majorEastAsia"/>
          <w:b w:val="0"/>
          <w:bCs w:val="0"/>
          <w:color w:val="auto"/>
          <w:kern w:val="0"/>
          <w:sz w:val="32"/>
          <w:szCs w:val="32"/>
          <w:highlight w:val="none"/>
        </w:rPr>
        <w:t>基本费费率（</w:t>
      </w:r>
      <w:r>
        <w:rPr>
          <w:rFonts w:hint="eastAsia" w:asciiTheme="majorEastAsia" w:hAnsiTheme="majorEastAsia" w:eastAsiaTheme="majorEastAsia" w:cstheme="majorEastAsia"/>
          <w:b w:val="0"/>
          <w:bCs w:val="0"/>
          <w:color w:val="auto"/>
          <w:kern w:val="0"/>
          <w:sz w:val="32"/>
          <w:szCs w:val="32"/>
          <w:highlight w:val="none"/>
          <w:lang w:val="en-US" w:eastAsia="zh-CN"/>
        </w:rPr>
        <w:t>a</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eastAsia="zh-CN"/>
        </w:rPr>
        <w:t>。</w:t>
      </w:r>
    </w:p>
    <w:p w14:paraId="67D6AAC5">
      <w:pPr>
        <w:pStyle w:val="2"/>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auto"/>
        <w:rPr>
          <w:rFonts w:hint="default"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1.2全过程跟踪审计咨询服务费=拆除工程、地基工程、施工总承包工程项目中标合同价</w:t>
      </w:r>
      <w:r>
        <w:rPr>
          <w:rFonts w:hint="eastAsia" w:asciiTheme="majorEastAsia" w:hAnsiTheme="majorEastAsia" w:eastAsiaTheme="majorEastAsia" w:cstheme="majorEastAsia"/>
          <w:b/>
          <w:bCs/>
          <w:color w:val="auto"/>
          <w:sz w:val="32"/>
          <w:szCs w:val="32"/>
          <w:highlight w:val="none"/>
          <w:lang w:eastAsia="zh-CN"/>
        </w:rPr>
        <w:t>（</w:t>
      </w:r>
      <w:r>
        <w:rPr>
          <w:rFonts w:hint="eastAsia" w:asciiTheme="majorEastAsia" w:hAnsiTheme="majorEastAsia" w:eastAsiaTheme="majorEastAsia" w:cstheme="majorEastAsia"/>
          <w:b/>
          <w:bCs/>
          <w:color w:val="auto"/>
          <w:sz w:val="32"/>
          <w:szCs w:val="32"/>
          <w:highlight w:val="none"/>
          <w:lang w:val="en-US" w:eastAsia="zh-CN"/>
        </w:rPr>
        <w:t>扣除暂列金</w:t>
      </w:r>
      <w:r>
        <w:rPr>
          <w:rFonts w:hint="eastAsia" w:asciiTheme="majorEastAsia" w:hAnsiTheme="majorEastAsia" w:eastAsiaTheme="majorEastAsia" w:cstheme="majorEastAsia"/>
          <w:b/>
          <w:bCs/>
          <w:color w:val="auto"/>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之和*全过程跟踪审计咨询服务费率（b）。</w:t>
      </w:r>
    </w:p>
    <w:p w14:paraId="65C7DC71">
      <w:pPr>
        <w:keepNext w:val="0"/>
        <w:keepLines w:val="0"/>
        <w:pageBreakBefore w:val="0"/>
        <w:kinsoku/>
        <w:wordWrap/>
        <w:overflowPunct/>
        <w:topLinePunct w:val="0"/>
        <w:bidi w:val="0"/>
        <w:spacing w:beforeAutospacing="0" w:afterAutospacing="0" w:line="560" w:lineRule="exact"/>
        <w:ind w:left="0" w:leftChars="0" w:firstLine="640" w:firstLineChars="200"/>
        <w:jc w:val="left"/>
        <w:outlineLvl w:val="2"/>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2.</w:t>
      </w:r>
      <w:r>
        <w:rPr>
          <w:rFonts w:hint="eastAsia" w:asciiTheme="majorEastAsia" w:hAnsiTheme="majorEastAsia" w:eastAsiaTheme="majorEastAsia" w:cstheme="majorEastAsia"/>
          <w:b w:val="0"/>
          <w:bCs w:val="0"/>
          <w:color w:val="auto"/>
          <w:sz w:val="32"/>
          <w:szCs w:val="32"/>
          <w:highlight w:val="none"/>
          <w:lang w:val="en-US" w:eastAsia="zh-CN"/>
        </w:rPr>
        <w:t>编制招标控制价服务报价：</w:t>
      </w:r>
    </w:p>
    <w:p w14:paraId="3125EE87">
      <w:pPr>
        <w:keepNext w:val="0"/>
        <w:keepLines w:val="0"/>
        <w:pageBreakBefore w:val="0"/>
        <w:kinsoku/>
        <w:wordWrap/>
        <w:overflowPunct/>
        <w:topLinePunct w:val="0"/>
        <w:bidi w:val="0"/>
        <w:spacing w:beforeAutospacing="0" w:afterAutospacing="0" w:line="560" w:lineRule="exact"/>
        <w:ind w:left="0" w:leftChars="0" w:firstLine="640" w:firstLineChars="200"/>
        <w:jc w:val="left"/>
        <w:outlineLvl w:val="2"/>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项目前期招标控制价、工程量清单编制等相关工作，费率上限为1.8</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sz w:val="32"/>
          <w:szCs w:val="32"/>
          <w:highlight w:val="none"/>
          <w:lang w:val="en-US" w:eastAsia="zh-CN"/>
        </w:rPr>
        <w:t>即编制</w:t>
      </w:r>
      <w:r>
        <w:rPr>
          <w:rFonts w:hint="eastAsia" w:asciiTheme="majorEastAsia" w:hAnsiTheme="majorEastAsia" w:eastAsiaTheme="majorEastAsia" w:cstheme="majorEastAsia"/>
          <w:b w:val="0"/>
          <w:bCs w:val="0"/>
          <w:color w:val="auto"/>
          <w:kern w:val="0"/>
          <w:sz w:val="32"/>
          <w:szCs w:val="32"/>
          <w:highlight w:val="none"/>
        </w:rPr>
        <w:t>基本费费率（</w:t>
      </w:r>
      <w:r>
        <w:rPr>
          <w:rFonts w:hint="eastAsia" w:asciiTheme="majorEastAsia" w:hAnsiTheme="majorEastAsia" w:eastAsiaTheme="majorEastAsia" w:cstheme="majorEastAsia"/>
          <w:b w:val="0"/>
          <w:bCs w:val="0"/>
          <w:color w:val="auto"/>
          <w:kern w:val="0"/>
          <w:sz w:val="32"/>
          <w:szCs w:val="32"/>
          <w:highlight w:val="none"/>
          <w:lang w:val="en-US" w:eastAsia="zh-CN"/>
        </w:rPr>
        <w:t>a</w:t>
      </w:r>
      <w:r>
        <w:rPr>
          <w:rFonts w:hint="eastAsia" w:asciiTheme="majorEastAsia" w:hAnsiTheme="majorEastAsia" w:eastAsiaTheme="majorEastAsia" w:cstheme="majorEastAsia"/>
          <w:b w:val="0"/>
          <w:bCs w:val="0"/>
          <w:color w:val="auto"/>
          <w:kern w:val="0"/>
          <w:sz w:val="32"/>
          <w:szCs w:val="32"/>
          <w:highlight w:val="none"/>
        </w:rPr>
        <w:t>）有效报价范围为：</w:t>
      </w:r>
      <w:r>
        <w:rPr>
          <w:rFonts w:hint="eastAsia" w:asciiTheme="majorEastAsia" w:hAnsiTheme="majorEastAsia" w:eastAsiaTheme="majorEastAsia" w:cstheme="majorEastAsia"/>
          <w:b w:val="0"/>
          <w:bCs w:val="0"/>
          <w:color w:val="auto"/>
          <w:kern w:val="0"/>
          <w:sz w:val="32"/>
          <w:szCs w:val="32"/>
          <w:highlight w:val="none"/>
          <w:lang w:val="en-US" w:eastAsia="zh-CN"/>
        </w:rPr>
        <w:t>a</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1.8</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eastAsia="zh-CN"/>
        </w:rPr>
        <w:t>。</w:t>
      </w:r>
    </w:p>
    <w:p w14:paraId="45A1A3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3.全过程跟踪审计咨询服务费报价：</w:t>
      </w:r>
    </w:p>
    <w:p w14:paraId="62443A59">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（1）项目实施阶段</w:t>
      </w:r>
      <w:r>
        <w:rPr>
          <w:rFonts w:hint="eastAsia" w:asciiTheme="majorEastAsia" w:hAnsiTheme="majorEastAsia" w:eastAsiaTheme="majorEastAsia" w:cstheme="majorEastAsia"/>
          <w:b w:val="0"/>
          <w:bCs w:val="0"/>
          <w:color w:val="auto"/>
          <w:kern w:val="0"/>
          <w:sz w:val="32"/>
          <w:szCs w:val="32"/>
          <w:highlight w:val="none"/>
        </w:rPr>
        <w:t>全过程跟踪审计</w:t>
      </w:r>
      <w:r>
        <w:rPr>
          <w:rFonts w:hint="eastAsia" w:asciiTheme="majorEastAsia" w:hAnsiTheme="majorEastAsia" w:eastAsiaTheme="majorEastAsia" w:cstheme="majorEastAsia"/>
          <w:b w:val="0"/>
          <w:bCs w:val="0"/>
          <w:color w:val="auto"/>
          <w:kern w:val="2"/>
          <w:sz w:val="32"/>
          <w:szCs w:val="32"/>
          <w:highlight w:val="none"/>
          <w:lang w:val="en-US" w:eastAsia="zh-CN" w:bidi="ar-SA"/>
        </w:rPr>
        <w:t>（包括但不限于：</w:t>
      </w:r>
      <w:r>
        <w:rPr>
          <w:rFonts w:hint="eastAsia" w:asciiTheme="majorEastAsia" w:hAnsiTheme="majorEastAsia" w:eastAsiaTheme="majorEastAsia" w:cstheme="majorEastAsia"/>
          <w:b w:val="0"/>
          <w:bCs w:val="0"/>
          <w:color w:val="auto"/>
          <w:kern w:val="0"/>
          <w:sz w:val="32"/>
          <w:szCs w:val="32"/>
          <w:highlight w:val="none"/>
          <w:lang w:val="en-US" w:eastAsia="zh-CN"/>
        </w:rPr>
        <w:t>全过程造价咨询服务</w:t>
      </w:r>
      <w:r>
        <w:rPr>
          <w:rFonts w:hint="eastAsia" w:asciiTheme="majorEastAsia" w:hAnsiTheme="majorEastAsia" w:eastAsiaTheme="majorEastAsia" w:cstheme="majorEastAsia"/>
          <w:b w:val="0"/>
          <w:bCs w:val="0"/>
          <w:color w:val="auto"/>
          <w:kern w:val="0"/>
          <w:sz w:val="32"/>
          <w:szCs w:val="32"/>
          <w:highlight w:val="none"/>
        </w:rPr>
        <w:t>的主要职责范围</w:t>
      </w:r>
      <w:r>
        <w:rPr>
          <w:rFonts w:hint="eastAsia" w:asciiTheme="majorEastAsia" w:hAnsiTheme="majorEastAsia" w:eastAsiaTheme="majorEastAsia" w:cstheme="majorEastAsia"/>
          <w:b w:val="0"/>
          <w:bCs w:val="0"/>
          <w:color w:val="auto"/>
          <w:kern w:val="0"/>
          <w:sz w:val="32"/>
          <w:szCs w:val="32"/>
          <w:highlight w:val="none"/>
          <w:lang w:val="en-US" w:eastAsia="zh-CN"/>
        </w:rPr>
        <w:t>和</w:t>
      </w:r>
      <w:r>
        <w:rPr>
          <w:rFonts w:hint="eastAsia" w:asciiTheme="majorEastAsia" w:hAnsiTheme="majorEastAsia" w:eastAsiaTheme="majorEastAsia" w:cstheme="majorEastAsia"/>
          <w:b w:val="0"/>
          <w:bCs w:val="0"/>
          <w:color w:val="auto"/>
          <w:kern w:val="2"/>
          <w:sz w:val="32"/>
          <w:szCs w:val="32"/>
          <w:highlight w:val="none"/>
          <w:lang w:val="en-US" w:eastAsia="zh-CN" w:bidi="ar-SA"/>
        </w:rPr>
        <w:t>业主平行分包部分工程招标控制价、工程量清单编制及施工图预算审核)相关工作。</w:t>
      </w:r>
      <w:r>
        <w:rPr>
          <w:rFonts w:hint="eastAsia" w:asciiTheme="majorEastAsia" w:hAnsiTheme="majorEastAsia" w:eastAsiaTheme="majorEastAsia" w:cstheme="majorEastAsia"/>
          <w:b w:val="0"/>
          <w:bCs w:val="0"/>
          <w:color w:val="auto"/>
          <w:sz w:val="32"/>
          <w:szCs w:val="32"/>
          <w:highlight w:val="none"/>
          <w:lang w:val="en-US" w:eastAsia="zh-CN"/>
        </w:rPr>
        <w:t>过程跟踪审计费率上限为2.4</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即基本费费率（</w:t>
      </w:r>
      <w:r>
        <w:rPr>
          <w:rFonts w:hint="eastAsia" w:asciiTheme="majorEastAsia" w:hAnsiTheme="majorEastAsia" w:eastAsiaTheme="majorEastAsia" w:cstheme="majorEastAsia"/>
          <w:b w:val="0"/>
          <w:bCs w:val="0"/>
          <w:color w:val="auto"/>
          <w:kern w:val="0"/>
          <w:sz w:val="32"/>
          <w:szCs w:val="32"/>
          <w:highlight w:val="none"/>
          <w:lang w:val="en-US" w:eastAsia="zh-CN"/>
        </w:rPr>
        <w:t>b</w:t>
      </w:r>
      <w:r>
        <w:rPr>
          <w:rFonts w:hint="eastAsia" w:asciiTheme="majorEastAsia" w:hAnsiTheme="majorEastAsia" w:eastAsiaTheme="majorEastAsia" w:cstheme="majorEastAsia"/>
          <w:b w:val="0"/>
          <w:bCs w:val="0"/>
          <w:color w:val="auto"/>
          <w:kern w:val="0"/>
          <w:sz w:val="32"/>
          <w:szCs w:val="32"/>
          <w:highlight w:val="none"/>
        </w:rPr>
        <w:t>）有效报价范围为：</w:t>
      </w:r>
      <w:r>
        <w:rPr>
          <w:rFonts w:hint="default" w:asciiTheme="majorEastAsia" w:hAnsiTheme="majorEastAsia" w:eastAsiaTheme="majorEastAsia" w:cstheme="majorEastAsia"/>
          <w:b w:val="0"/>
          <w:bCs w:val="0"/>
          <w:color w:val="auto"/>
          <w:kern w:val="0"/>
          <w:sz w:val="32"/>
          <w:szCs w:val="32"/>
          <w:highlight w:val="none"/>
          <w:lang w:val="en-US" w:eastAsia="zh-CN"/>
        </w:rPr>
        <w:t>b</w:t>
      </w:r>
      <w:r>
        <w:rPr>
          <w:rFonts w:hint="eastAsia" w:asciiTheme="majorEastAsia" w:hAnsiTheme="majorEastAsia" w:eastAsiaTheme="majorEastAsia" w:cstheme="majorEastAsia"/>
          <w:b w:val="0"/>
          <w:bCs w:val="0"/>
          <w:color w:val="auto"/>
          <w:kern w:val="0"/>
          <w:sz w:val="32"/>
          <w:szCs w:val="32"/>
          <w:highlight w:val="none"/>
        </w:rPr>
        <w:t>≤</w:t>
      </w:r>
      <w:r>
        <w:rPr>
          <w:rFonts w:hint="default" w:asciiTheme="majorEastAsia" w:hAnsiTheme="majorEastAsia" w:eastAsiaTheme="majorEastAsia" w:cstheme="majorEastAsia"/>
          <w:b w:val="0"/>
          <w:bCs w:val="0"/>
          <w:color w:val="auto"/>
          <w:kern w:val="0"/>
          <w:sz w:val="32"/>
          <w:szCs w:val="32"/>
          <w:highlight w:val="none"/>
          <w:lang w:val="en-US" w:eastAsia="zh-CN"/>
        </w:rPr>
        <w:t>2.4</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rPr>
        <w:t>；</w:t>
      </w:r>
    </w:p>
    <w:p w14:paraId="514BEC48">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（2）</w:t>
      </w:r>
      <w:r>
        <w:rPr>
          <w:rFonts w:hint="eastAsia" w:asciiTheme="majorEastAsia" w:hAnsiTheme="majorEastAsia" w:eastAsiaTheme="majorEastAsia" w:cstheme="majorEastAsia"/>
          <w:b w:val="0"/>
          <w:bCs w:val="0"/>
          <w:color w:val="auto"/>
          <w:kern w:val="0"/>
          <w:sz w:val="32"/>
          <w:szCs w:val="32"/>
          <w:highlight w:val="none"/>
        </w:rPr>
        <w:t>本项目全过程跟踪审计服务费=</w:t>
      </w:r>
      <w:r>
        <w:rPr>
          <w:rFonts w:hint="eastAsia" w:asciiTheme="majorEastAsia" w:hAnsiTheme="majorEastAsia" w:eastAsiaTheme="majorEastAsia" w:cstheme="majorEastAsia"/>
          <w:b w:val="0"/>
          <w:bCs w:val="0"/>
          <w:color w:val="auto"/>
          <w:kern w:val="0"/>
          <w:sz w:val="32"/>
          <w:szCs w:val="32"/>
          <w:highlight w:val="none"/>
          <w:lang w:val="en-US" w:eastAsia="zh-CN"/>
        </w:rPr>
        <w:t>过程审计审定造价</w:t>
      </w:r>
      <w:r>
        <w:rPr>
          <w:rFonts w:hint="eastAsia" w:asciiTheme="majorEastAsia" w:hAnsiTheme="majorEastAsia" w:eastAsiaTheme="majorEastAsia" w:cstheme="majorEastAsia"/>
          <w:b w:val="0"/>
          <w:bCs w:val="0"/>
          <w:color w:val="auto"/>
          <w:kern w:val="0"/>
          <w:sz w:val="32"/>
          <w:szCs w:val="32"/>
          <w:highlight w:val="none"/>
        </w:rPr>
        <w:t>×基本费费率(</w:t>
      </w:r>
      <w:r>
        <w:rPr>
          <w:rFonts w:hint="default" w:asciiTheme="majorEastAsia" w:hAnsiTheme="majorEastAsia" w:eastAsiaTheme="majorEastAsia" w:cstheme="majorEastAsia"/>
          <w:b w:val="0"/>
          <w:bCs w:val="0"/>
          <w:color w:val="auto"/>
          <w:kern w:val="0"/>
          <w:sz w:val="32"/>
          <w:szCs w:val="32"/>
          <w:highlight w:val="none"/>
          <w:lang w:val="en-US" w:eastAsia="zh-CN"/>
        </w:rPr>
        <w:t>b</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按实结算。</w:t>
      </w:r>
    </w:p>
    <w:p w14:paraId="13E2BEBF">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（3）但总费用不超过合同总金额（咨询费的上限=工程中标合同价*费率b），达到合同金额后不再支付任何款项，投标单位需完成项目履约不变。投标单位需自行考虑风险。</w:t>
      </w:r>
    </w:p>
    <w:p w14:paraId="4E316485">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4</w:t>
      </w:r>
      <w:r>
        <w:rPr>
          <w:rFonts w:hint="eastAsia" w:asciiTheme="majorEastAsia" w:hAnsiTheme="majorEastAsia" w:eastAsiaTheme="majorEastAsia" w:cstheme="majorEastAsia"/>
          <w:b w:val="0"/>
          <w:bCs w:val="0"/>
          <w:color w:val="auto"/>
          <w:kern w:val="0"/>
          <w:sz w:val="32"/>
          <w:szCs w:val="32"/>
          <w:highlight w:val="none"/>
        </w:rPr>
        <w:t>）投标报价应包括完成本项目的所有工作量及后续服务的全部费用，及</w:t>
      </w:r>
      <w:r>
        <w:rPr>
          <w:rFonts w:hint="eastAsia" w:asciiTheme="majorEastAsia" w:hAnsiTheme="majorEastAsia" w:eastAsiaTheme="majorEastAsia" w:cstheme="majorEastAsia"/>
          <w:b w:val="0"/>
          <w:bCs w:val="0"/>
          <w:color w:val="auto"/>
          <w:kern w:val="0"/>
          <w:sz w:val="32"/>
          <w:szCs w:val="32"/>
          <w:highlight w:val="none"/>
          <w:lang w:val="en-US" w:eastAsia="zh-CN"/>
        </w:rPr>
        <w:t>驻场人员工资、</w:t>
      </w:r>
      <w:r>
        <w:rPr>
          <w:rFonts w:hint="eastAsia" w:asciiTheme="majorEastAsia" w:hAnsiTheme="majorEastAsia" w:eastAsiaTheme="majorEastAsia" w:cstheme="majorEastAsia"/>
          <w:b w:val="0"/>
          <w:bCs w:val="0"/>
          <w:color w:val="auto"/>
          <w:kern w:val="0"/>
          <w:sz w:val="32"/>
          <w:szCs w:val="32"/>
          <w:highlight w:val="none"/>
        </w:rPr>
        <w:t>设备、劳务、管理、材料、维护、差旅费、交通费、保险、利润、税金、政策性文件规定及合同包含的应有风险、责任等各项应有费用。投标人综合考虑工程延期风险，若工期延误采购人不另行支付费用</w:t>
      </w:r>
      <w:r>
        <w:rPr>
          <w:rFonts w:hint="eastAsia" w:asciiTheme="majorEastAsia" w:hAnsiTheme="majorEastAsia" w:eastAsiaTheme="majorEastAsia" w:cstheme="majorEastAsia"/>
          <w:b w:val="0"/>
          <w:bCs w:val="0"/>
          <w:color w:val="auto"/>
          <w:kern w:val="0"/>
          <w:sz w:val="32"/>
          <w:szCs w:val="32"/>
          <w:highlight w:val="none"/>
          <w:lang w:val="en-US" w:eastAsia="zh-CN"/>
        </w:rPr>
        <w:t>。</w:t>
      </w:r>
    </w:p>
    <w:p w14:paraId="091D3AD8">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default" w:asciiTheme="majorEastAsia" w:hAnsiTheme="majorEastAsia" w:eastAsiaTheme="majorEastAsia" w:cstheme="majorEastAsia"/>
          <w:b w:val="0"/>
          <w:bCs w:val="0"/>
          <w:color w:val="auto"/>
          <w:kern w:val="0"/>
          <w:sz w:val="32"/>
          <w:szCs w:val="32"/>
          <w:highlight w:val="none"/>
          <w:lang w:val="en-US" w:eastAsia="zh-CN"/>
        </w:rPr>
        <w:t>5</w:t>
      </w:r>
      <w:r>
        <w:rPr>
          <w:rFonts w:hint="eastAsia" w:asciiTheme="majorEastAsia" w:hAnsiTheme="majorEastAsia" w:eastAsiaTheme="majorEastAsia" w:cstheme="majorEastAsia"/>
          <w:b w:val="0"/>
          <w:bCs w:val="0"/>
          <w:color w:val="auto"/>
          <w:kern w:val="0"/>
          <w:sz w:val="32"/>
          <w:szCs w:val="32"/>
          <w:highlight w:val="none"/>
        </w:rPr>
        <w:t>）暂列金额或暂定价不计算咨询费用。</w:t>
      </w:r>
    </w:p>
    <w:p w14:paraId="230ED066">
      <w:pPr>
        <w:pStyle w:val="8"/>
        <w:keepNext w:val="0"/>
        <w:keepLines w:val="0"/>
        <w:pageBreakBefore w:val="0"/>
        <w:kinsoku/>
        <w:wordWrap/>
        <w:overflowPunct/>
        <w:topLinePunct w:val="0"/>
        <w:bidi w:val="0"/>
        <w:spacing w:beforeAutospacing="0" w:afterAutospacing="0" w:line="560" w:lineRule="exact"/>
        <w:ind w:left="0" w:leftChars="0" w:firstLine="640" w:firstLineChars="200"/>
        <w:outlineLvl w:val="1"/>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（六）支付方式：</w:t>
      </w:r>
    </w:p>
    <w:p w14:paraId="1CAB16E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rPr>
        <w:t>1</w:t>
      </w:r>
      <w:r>
        <w:rPr>
          <w:rFonts w:hint="eastAsia" w:asciiTheme="majorEastAsia" w:hAnsiTheme="majorEastAsia" w:eastAsiaTheme="majorEastAsia" w:cstheme="majorEastAsia"/>
          <w:b w:val="0"/>
          <w:bCs w:val="0"/>
          <w:color w:val="auto"/>
          <w:sz w:val="32"/>
          <w:szCs w:val="32"/>
          <w:highlight w:val="none"/>
          <w:lang w:val="en-US" w:eastAsia="zh-CN"/>
        </w:rPr>
        <w:t>.招标控制价、工程量编制费用支付方式：</w:t>
      </w:r>
    </w:p>
    <w:p w14:paraId="5FA09E5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default"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招标控制价、工程量编制费用部分由拆除工程、地基工程、施工总承包工程项目三个部分组成。</w:t>
      </w:r>
    </w:p>
    <w:p w14:paraId="352376B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default"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（1）预付款：合同签订之日起15个工作日内，支付项目概算*编制</w:t>
      </w:r>
      <w:r>
        <w:rPr>
          <w:rFonts w:hint="eastAsia" w:asciiTheme="majorEastAsia" w:hAnsiTheme="majorEastAsia" w:eastAsiaTheme="majorEastAsia" w:cstheme="majorEastAsia"/>
          <w:b w:val="0"/>
          <w:bCs w:val="0"/>
          <w:color w:val="auto"/>
          <w:kern w:val="0"/>
          <w:sz w:val="32"/>
          <w:szCs w:val="32"/>
          <w:highlight w:val="none"/>
        </w:rPr>
        <w:t>基本费费率（</w:t>
      </w:r>
      <w:r>
        <w:rPr>
          <w:rFonts w:hint="eastAsia" w:asciiTheme="majorEastAsia" w:hAnsiTheme="majorEastAsia" w:eastAsiaTheme="majorEastAsia" w:cstheme="majorEastAsia"/>
          <w:b w:val="0"/>
          <w:bCs w:val="0"/>
          <w:color w:val="auto"/>
          <w:kern w:val="0"/>
          <w:sz w:val="32"/>
          <w:szCs w:val="32"/>
          <w:highlight w:val="none"/>
          <w:lang w:val="en-US" w:eastAsia="zh-CN"/>
        </w:rPr>
        <w:t>a</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*30%的预付款作为项目启动资金。</w:t>
      </w:r>
    </w:p>
    <w:p w14:paraId="1B6820E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（2）进度款：经广西壮族自治区财政厅评审中心审定单个工程部分的招标控制价和工程量清单后，支付审定</w:t>
      </w:r>
      <w:r>
        <w:rPr>
          <w:rFonts w:hint="eastAsia" w:asciiTheme="majorEastAsia" w:hAnsiTheme="majorEastAsia" w:eastAsiaTheme="majorEastAsia" w:cstheme="majorEastAsia"/>
          <w:b w:val="0"/>
          <w:bCs w:val="0"/>
          <w:color w:val="auto"/>
          <w:sz w:val="32"/>
          <w:szCs w:val="32"/>
          <w:highlight w:val="none"/>
          <w:lang w:val="en-US" w:eastAsia="zh-CN"/>
        </w:rPr>
        <w:t>招标控制价*</w:t>
      </w:r>
      <w:r>
        <w:rPr>
          <w:rFonts w:hint="eastAsia" w:asciiTheme="majorEastAsia" w:hAnsiTheme="majorEastAsia" w:eastAsiaTheme="majorEastAsia" w:cstheme="majorEastAsia"/>
          <w:b w:val="0"/>
          <w:bCs w:val="0"/>
          <w:color w:val="auto"/>
          <w:kern w:val="0"/>
          <w:sz w:val="32"/>
          <w:szCs w:val="32"/>
          <w:highlight w:val="none"/>
        </w:rPr>
        <w:t>基本费费率（</w:t>
      </w:r>
      <w:r>
        <w:rPr>
          <w:rFonts w:hint="eastAsia" w:asciiTheme="majorEastAsia" w:hAnsiTheme="majorEastAsia" w:eastAsiaTheme="majorEastAsia" w:cstheme="majorEastAsia"/>
          <w:b w:val="0"/>
          <w:bCs w:val="0"/>
          <w:color w:val="auto"/>
          <w:kern w:val="0"/>
          <w:sz w:val="32"/>
          <w:szCs w:val="32"/>
          <w:highlight w:val="none"/>
          <w:lang w:val="en-US" w:eastAsia="zh-CN"/>
        </w:rPr>
        <w:t>a</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*50%作为进度款。</w:t>
      </w:r>
    </w:p>
    <w:p w14:paraId="0C9881B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default"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（3）尾款：新阳院区重建拆除工程、地基工程、施工总承包工程项目全部招标完成，并签订以上所有合同后，支付合同剩余尾款。</w:t>
      </w:r>
    </w:p>
    <w:p w14:paraId="0A63892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default"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2.全过程跟踪审计咨询服务费支付方式：</w:t>
      </w:r>
    </w:p>
    <w:p w14:paraId="3338EA7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default"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（1）预付款：新阳院区重建项目正式启动并派驻现场跟踪审计人员后，支付单个</w:t>
      </w:r>
      <w:r>
        <w:rPr>
          <w:rFonts w:hint="eastAsia" w:asciiTheme="majorEastAsia" w:hAnsiTheme="majorEastAsia" w:eastAsiaTheme="majorEastAsia" w:cstheme="majorEastAsia"/>
          <w:b w:val="0"/>
          <w:bCs w:val="0"/>
          <w:color w:val="auto"/>
          <w:kern w:val="0"/>
          <w:sz w:val="32"/>
          <w:szCs w:val="32"/>
          <w:highlight w:val="none"/>
          <w:lang w:val="en-US" w:eastAsia="zh-CN"/>
        </w:rPr>
        <w:t>工程项目中标合同价（扣除暂列金）*</w:t>
      </w:r>
      <w:r>
        <w:rPr>
          <w:rFonts w:hint="eastAsia" w:asciiTheme="majorEastAsia" w:hAnsiTheme="majorEastAsia" w:eastAsiaTheme="majorEastAsia" w:cstheme="majorEastAsia"/>
          <w:b w:val="0"/>
          <w:bCs w:val="0"/>
          <w:color w:val="auto"/>
          <w:sz w:val="32"/>
          <w:szCs w:val="32"/>
          <w:highlight w:val="none"/>
          <w:lang w:val="en-US" w:eastAsia="zh-CN"/>
        </w:rPr>
        <w:t>跟踪审计费率(b)</w:t>
      </w:r>
      <w:r>
        <w:rPr>
          <w:rFonts w:hint="eastAsia" w:asciiTheme="majorEastAsia" w:hAnsiTheme="majorEastAsia" w:eastAsiaTheme="majorEastAsia" w:cstheme="majorEastAsia"/>
          <w:b w:val="0"/>
          <w:bCs w:val="0"/>
          <w:color w:val="auto"/>
          <w:kern w:val="0"/>
          <w:sz w:val="32"/>
          <w:szCs w:val="32"/>
          <w:highlight w:val="none"/>
          <w:lang w:val="en-US" w:eastAsia="zh-CN"/>
        </w:rPr>
        <w:t>*20%作为项目的启动资金。</w:t>
      </w:r>
    </w:p>
    <w:p w14:paraId="4D5A727F">
      <w:pPr>
        <w:pStyle w:val="9"/>
        <w:keepNext w:val="0"/>
        <w:keepLines w:val="0"/>
        <w:pageBreakBefore w:val="0"/>
        <w:widowControl/>
        <w:suppressLineNumbers w:val="0"/>
        <w:kinsoku/>
        <w:wordWrap/>
        <w:overflowPunct/>
        <w:topLinePunct w:val="0"/>
        <w:bidi w:val="0"/>
        <w:spacing w:before="0" w:beforeAutospacing="0" w:after="0" w:afterAutospacing="0" w:line="560" w:lineRule="exact"/>
        <w:ind w:left="0" w:leftChars="0" w:firstLine="640" w:firstLineChars="200"/>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（2）进度款：过程跟踪审计</w:t>
      </w:r>
      <w:r>
        <w:rPr>
          <w:rFonts w:hint="eastAsia" w:asciiTheme="majorEastAsia" w:hAnsiTheme="majorEastAsia" w:eastAsiaTheme="majorEastAsia" w:cstheme="majorEastAsia"/>
          <w:b w:val="0"/>
          <w:bCs w:val="0"/>
          <w:color w:val="auto"/>
          <w:sz w:val="32"/>
          <w:szCs w:val="32"/>
          <w:highlight w:val="none"/>
        </w:rPr>
        <w:t>每</w:t>
      </w:r>
      <w:r>
        <w:rPr>
          <w:rFonts w:hint="eastAsia" w:asciiTheme="majorEastAsia" w:hAnsiTheme="majorEastAsia" w:eastAsiaTheme="majorEastAsia" w:cstheme="majorEastAsia"/>
          <w:b w:val="0"/>
          <w:bCs w:val="0"/>
          <w:color w:val="auto"/>
          <w:sz w:val="32"/>
          <w:szCs w:val="32"/>
          <w:highlight w:val="none"/>
          <w:lang w:val="en-US" w:eastAsia="zh-CN"/>
        </w:rPr>
        <w:t>季度</w:t>
      </w:r>
      <w:r>
        <w:rPr>
          <w:rFonts w:hint="eastAsia" w:asciiTheme="majorEastAsia" w:hAnsiTheme="majorEastAsia" w:eastAsiaTheme="majorEastAsia" w:cstheme="majorEastAsia"/>
          <w:b w:val="0"/>
          <w:bCs w:val="0"/>
          <w:color w:val="auto"/>
          <w:sz w:val="32"/>
          <w:szCs w:val="32"/>
          <w:highlight w:val="none"/>
        </w:rPr>
        <w:t>申请一次进度款，</w:t>
      </w:r>
      <w:r>
        <w:rPr>
          <w:rFonts w:hint="eastAsia" w:asciiTheme="majorEastAsia" w:hAnsiTheme="majorEastAsia" w:eastAsiaTheme="majorEastAsia" w:cstheme="majorEastAsia"/>
          <w:b w:val="0"/>
          <w:bCs w:val="0"/>
          <w:color w:val="auto"/>
          <w:sz w:val="32"/>
          <w:szCs w:val="32"/>
          <w:highlight w:val="none"/>
          <w:lang w:val="en-US" w:eastAsia="zh-CN"/>
        </w:rPr>
        <w:t>按过程中审定的</w:t>
      </w:r>
      <w:r>
        <w:rPr>
          <w:rFonts w:hint="eastAsia" w:asciiTheme="majorEastAsia" w:hAnsiTheme="majorEastAsia" w:eastAsiaTheme="majorEastAsia" w:cstheme="majorEastAsia"/>
          <w:b w:val="0"/>
          <w:bCs w:val="0"/>
          <w:color w:val="auto"/>
          <w:sz w:val="32"/>
          <w:szCs w:val="32"/>
          <w:highlight w:val="none"/>
        </w:rPr>
        <w:t>工程进度款</w:t>
      </w: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sz w:val="32"/>
          <w:szCs w:val="32"/>
          <w:highlight w:val="none"/>
          <w:lang w:val="en-US" w:eastAsia="zh-CN"/>
        </w:rPr>
        <w:t>签证变更款</w:t>
      </w:r>
      <w:r>
        <w:rPr>
          <w:rFonts w:hint="eastAsia" w:asciiTheme="majorEastAsia" w:hAnsiTheme="majorEastAsia" w:eastAsiaTheme="majorEastAsia" w:cstheme="majorEastAsia"/>
          <w:b w:val="0"/>
          <w:bCs w:val="0"/>
          <w:color w:val="auto"/>
          <w:sz w:val="32"/>
          <w:szCs w:val="32"/>
          <w:highlight w:val="none"/>
        </w:rPr>
        <w:t>及业主平行分包工程</w:t>
      </w:r>
      <w:r>
        <w:rPr>
          <w:rFonts w:hint="eastAsia" w:asciiTheme="majorEastAsia" w:hAnsiTheme="majorEastAsia" w:eastAsiaTheme="majorEastAsia" w:cstheme="majorEastAsia"/>
          <w:b w:val="0"/>
          <w:bCs w:val="0"/>
          <w:color w:val="auto"/>
          <w:sz w:val="32"/>
          <w:szCs w:val="32"/>
          <w:highlight w:val="none"/>
          <w:lang w:val="en-US" w:eastAsia="zh-CN"/>
        </w:rPr>
        <w:t>控制价*跟踪审计费率(b)*</w:t>
      </w:r>
      <w:r>
        <w:rPr>
          <w:rFonts w:hint="default" w:asciiTheme="majorEastAsia" w:hAnsiTheme="majorEastAsia" w:eastAsiaTheme="majorEastAsia" w:cstheme="majorEastAsia"/>
          <w:b w:val="0"/>
          <w:bCs w:val="0"/>
          <w:color w:val="auto"/>
          <w:sz w:val="32"/>
          <w:szCs w:val="32"/>
          <w:highlight w:val="none"/>
          <w:lang w:val="en-US" w:eastAsia="zh-CN"/>
        </w:rPr>
        <w:t>40</w:t>
      </w:r>
      <w:r>
        <w:rPr>
          <w:rFonts w:hint="eastAsia" w:asciiTheme="majorEastAsia" w:hAnsiTheme="majorEastAsia" w:eastAsiaTheme="majorEastAsia" w:cstheme="majorEastAsia"/>
          <w:b w:val="0"/>
          <w:bCs w:val="0"/>
          <w:color w:val="auto"/>
          <w:sz w:val="32"/>
          <w:szCs w:val="32"/>
          <w:highlight w:val="none"/>
          <w:lang w:val="en-US" w:eastAsia="zh-CN"/>
        </w:rPr>
        <w:t>%作为进度款，支付至</w:t>
      </w:r>
      <w:r>
        <w:rPr>
          <w:rFonts w:hint="eastAsia" w:asciiTheme="majorEastAsia" w:hAnsiTheme="majorEastAsia" w:eastAsiaTheme="majorEastAsia" w:cstheme="majorEastAsia"/>
          <w:color w:val="auto"/>
          <w:sz w:val="32"/>
          <w:szCs w:val="32"/>
          <w:highlight w:val="none"/>
        </w:rPr>
        <w:t>全过程跟踪审计咨询服务费</w:t>
      </w:r>
      <w:r>
        <w:rPr>
          <w:rFonts w:hint="eastAsia" w:asciiTheme="majorEastAsia" w:hAnsiTheme="majorEastAsia" w:eastAsiaTheme="majorEastAsia" w:cstheme="majorEastAsia"/>
          <w:color w:val="auto"/>
          <w:sz w:val="32"/>
          <w:szCs w:val="32"/>
          <w:highlight w:val="none"/>
          <w:lang w:val="en-US" w:eastAsia="zh-CN"/>
        </w:rPr>
        <w:t>部分</w:t>
      </w:r>
      <w:r>
        <w:rPr>
          <w:rFonts w:hint="eastAsia" w:asciiTheme="majorEastAsia" w:hAnsiTheme="majorEastAsia" w:eastAsiaTheme="majorEastAsia" w:cstheme="majorEastAsia"/>
          <w:b w:val="0"/>
          <w:bCs w:val="0"/>
          <w:color w:val="auto"/>
          <w:sz w:val="32"/>
          <w:szCs w:val="32"/>
          <w:highlight w:val="none"/>
          <w:lang w:val="en-US" w:eastAsia="zh-CN"/>
        </w:rPr>
        <w:t>合同金额的</w:t>
      </w:r>
      <w:r>
        <w:rPr>
          <w:rFonts w:hint="default" w:asciiTheme="majorEastAsia" w:hAnsiTheme="majorEastAsia" w:eastAsiaTheme="majorEastAsia" w:cstheme="majorEastAsia"/>
          <w:b w:val="0"/>
          <w:bCs w:val="0"/>
          <w:color w:val="auto"/>
          <w:sz w:val="32"/>
          <w:szCs w:val="32"/>
          <w:highlight w:val="none"/>
          <w:lang w:val="en-US" w:eastAsia="zh-CN"/>
        </w:rPr>
        <w:t>70</w:t>
      </w:r>
      <w:r>
        <w:rPr>
          <w:rFonts w:hint="eastAsia" w:asciiTheme="majorEastAsia" w:hAnsiTheme="majorEastAsia" w:eastAsiaTheme="majorEastAsia" w:cstheme="majorEastAsia"/>
          <w:b w:val="0"/>
          <w:bCs w:val="0"/>
          <w:color w:val="auto"/>
          <w:sz w:val="32"/>
          <w:szCs w:val="32"/>
          <w:highlight w:val="none"/>
          <w:lang w:val="en-US" w:eastAsia="zh-CN"/>
        </w:rPr>
        <w:t>%后，停止支付进度款。</w:t>
      </w:r>
    </w:p>
    <w:p w14:paraId="7CDFAD9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（3）尾款：</w:t>
      </w:r>
      <w:r>
        <w:rPr>
          <w:rFonts w:hint="eastAsia" w:asciiTheme="majorEastAsia" w:hAnsiTheme="majorEastAsia" w:eastAsiaTheme="majorEastAsia" w:cstheme="majorEastAsia"/>
          <w:b w:val="0"/>
          <w:bCs w:val="0"/>
          <w:color w:val="auto"/>
          <w:kern w:val="0"/>
          <w:sz w:val="32"/>
          <w:szCs w:val="32"/>
          <w:highlight w:val="none"/>
        </w:rPr>
        <w:t>项目全过程跟踪审计服务费</w:t>
      </w:r>
      <w:r>
        <w:rPr>
          <w:rFonts w:hint="eastAsia" w:asciiTheme="majorEastAsia" w:hAnsiTheme="majorEastAsia" w:eastAsiaTheme="majorEastAsia" w:cstheme="majorEastAsia"/>
          <w:b w:val="0"/>
          <w:bCs w:val="0"/>
          <w:color w:val="auto"/>
          <w:kern w:val="0"/>
          <w:sz w:val="32"/>
          <w:szCs w:val="32"/>
          <w:highlight w:val="none"/>
          <w:lang w:val="en-US" w:eastAsia="zh-CN"/>
        </w:rPr>
        <w:t>按实结算，但总费用不超过</w:t>
      </w:r>
      <w:r>
        <w:rPr>
          <w:rFonts w:hint="eastAsia" w:asciiTheme="majorEastAsia" w:hAnsiTheme="majorEastAsia" w:eastAsiaTheme="majorEastAsia" w:cstheme="majorEastAsia"/>
          <w:color w:val="auto"/>
          <w:sz w:val="32"/>
          <w:szCs w:val="32"/>
          <w:highlight w:val="none"/>
        </w:rPr>
        <w:t>全过程跟踪审计咨询服务费</w:t>
      </w:r>
      <w:r>
        <w:rPr>
          <w:rFonts w:hint="eastAsia" w:asciiTheme="majorEastAsia" w:hAnsiTheme="majorEastAsia" w:eastAsiaTheme="majorEastAsia" w:cstheme="majorEastAsia"/>
          <w:color w:val="auto"/>
          <w:sz w:val="32"/>
          <w:szCs w:val="32"/>
          <w:highlight w:val="none"/>
          <w:lang w:val="en-US" w:eastAsia="zh-CN"/>
        </w:rPr>
        <w:t>部分的合同</w:t>
      </w:r>
      <w:r>
        <w:rPr>
          <w:rFonts w:hint="eastAsia" w:asciiTheme="majorEastAsia" w:hAnsiTheme="majorEastAsia" w:eastAsiaTheme="majorEastAsia" w:cstheme="majorEastAsia"/>
          <w:b w:val="0"/>
          <w:bCs w:val="0"/>
          <w:color w:val="auto"/>
          <w:kern w:val="0"/>
          <w:sz w:val="32"/>
          <w:szCs w:val="32"/>
          <w:highlight w:val="none"/>
          <w:lang w:val="en-US" w:eastAsia="zh-CN"/>
        </w:rPr>
        <w:t>金额，达到合同金额后不再支付任何款项，受托单位需完成项目履约不变，所有工程项目</w:t>
      </w:r>
      <w:r>
        <w:rPr>
          <w:rFonts w:hint="eastAsia" w:asciiTheme="majorEastAsia" w:hAnsiTheme="majorEastAsia" w:eastAsiaTheme="majorEastAsia" w:cstheme="majorEastAsia"/>
          <w:b w:val="0"/>
          <w:bCs w:val="0"/>
          <w:color w:val="auto"/>
          <w:sz w:val="32"/>
          <w:szCs w:val="32"/>
          <w:highlight w:val="none"/>
          <w:lang w:val="en-US" w:eastAsia="zh-CN"/>
        </w:rPr>
        <w:t>竣工结算后按以下方式结清剩余费用：</w:t>
      </w:r>
    </w:p>
    <w:p w14:paraId="206CCA7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3.1</w:t>
      </w:r>
      <w:r>
        <w:rPr>
          <w:rFonts w:hint="eastAsia" w:asciiTheme="majorEastAsia" w:hAnsiTheme="majorEastAsia" w:eastAsiaTheme="majorEastAsia" w:cstheme="majorEastAsia"/>
          <w:b w:val="0"/>
          <w:bCs w:val="0"/>
          <w:color w:val="auto"/>
          <w:kern w:val="0"/>
          <w:sz w:val="32"/>
          <w:szCs w:val="32"/>
          <w:highlight w:val="none"/>
        </w:rPr>
        <w:t>全过程跟踪审计服务</w:t>
      </w:r>
      <w:r>
        <w:rPr>
          <w:rFonts w:hint="eastAsia" w:asciiTheme="majorEastAsia" w:hAnsiTheme="majorEastAsia" w:eastAsiaTheme="majorEastAsia" w:cstheme="majorEastAsia"/>
          <w:b w:val="0"/>
          <w:bCs w:val="0"/>
          <w:color w:val="auto"/>
          <w:kern w:val="0"/>
          <w:sz w:val="32"/>
          <w:szCs w:val="32"/>
          <w:highlight w:val="none"/>
          <w:lang w:val="en-US" w:eastAsia="zh-CN"/>
        </w:rPr>
        <w:t>部分产生的实际</w:t>
      </w:r>
      <w:r>
        <w:rPr>
          <w:rFonts w:hint="eastAsia" w:asciiTheme="majorEastAsia" w:hAnsiTheme="majorEastAsia" w:eastAsiaTheme="majorEastAsia" w:cstheme="majorEastAsia"/>
          <w:b w:val="0"/>
          <w:bCs w:val="0"/>
          <w:color w:val="auto"/>
          <w:kern w:val="0"/>
          <w:sz w:val="32"/>
          <w:szCs w:val="32"/>
          <w:highlight w:val="none"/>
        </w:rPr>
        <w:t>费</w:t>
      </w:r>
      <w:r>
        <w:rPr>
          <w:rFonts w:hint="eastAsia" w:asciiTheme="majorEastAsia" w:hAnsiTheme="majorEastAsia" w:eastAsiaTheme="majorEastAsia" w:cstheme="majorEastAsia"/>
          <w:b w:val="0"/>
          <w:bCs w:val="0"/>
          <w:color w:val="auto"/>
          <w:kern w:val="0"/>
          <w:sz w:val="32"/>
          <w:szCs w:val="32"/>
          <w:highlight w:val="none"/>
          <w:lang w:val="en-US" w:eastAsia="zh-CN"/>
        </w:rPr>
        <w:t>用</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全过程</w:t>
      </w:r>
      <w:r>
        <w:rPr>
          <w:rFonts w:hint="eastAsia" w:asciiTheme="majorEastAsia" w:hAnsiTheme="majorEastAsia" w:eastAsiaTheme="majorEastAsia" w:cstheme="majorEastAsia"/>
          <w:b w:val="0"/>
          <w:bCs w:val="0"/>
          <w:color w:val="auto"/>
          <w:kern w:val="0"/>
          <w:sz w:val="32"/>
          <w:szCs w:val="32"/>
          <w:highlight w:val="none"/>
        </w:rPr>
        <w:t>跟踪审计服务</w:t>
      </w:r>
      <w:r>
        <w:rPr>
          <w:rFonts w:hint="eastAsia" w:asciiTheme="majorEastAsia" w:hAnsiTheme="majorEastAsia" w:eastAsiaTheme="majorEastAsia" w:cstheme="majorEastAsia"/>
          <w:b w:val="0"/>
          <w:bCs w:val="0"/>
          <w:color w:val="auto"/>
          <w:kern w:val="0"/>
          <w:sz w:val="32"/>
          <w:szCs w:val="32"/>
          <w:highlight w:val="none"/>
          <w:lang w:val="en-US" w:eastAsia="zh-CN"/>
        </w:rPr>
        <w:t>部分的合同金额：</w:t>
      </w:r>
    </w:p>
    <w:p w14:paraId="38A3CA9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rPr>
        <w:t>本项目全过程跟踪审计</w:t>
      </w:r>
      <w:r>
        <w:rPr>
          <w:rFonts w:hint="eastAsia" w:asciiTheme="majorEastAsia" w:hAnsiTheme="majorEastAsia" w:eastAsiaTheme="majorEastAsia" w:cstheme="majorEastAsia"/>
          <w:b w:val="0"/>
          <w:bCs w:val="0"/>
          <w:color w:val="auto"/>
          <w:sz w:val="32"/>
          <w:szCs w:val="32"/>
          <w:highlight w:val="none"/>
          <w:lang w:val="en-US" w:eastAsia="zh-CN"/>
        </w:rPr>
        <w:t>剩余支付</w:t>
      </w:r>
      <w:r>
        <w:rPr>
          <w:rFonts w:hint="eastAsia" w:asciiTheme="majorEastAsia" w:hAnsiTheme="majorEastAsia" w:eastAsiaTheme="majorEastAsia" w:cstheme="majorEastAsia"/>
          <w:b w:val="0"/>
          <w:bCs w:val="0"/>
          <w:color w:val="auto"/>
          <w:kern w:val="0"/>
          <w:sz w:val="32"/>
          <w:szCs w:val="32"/>
          <w:highlight w:val="none"/>
        </w:rPr>
        <w:t>服务费=</w:t>
      </w:r>
      <w:r>
        <w:rPr>
          <w:rFonts w:hint="eastAsia" w:asciiTheme="majorEastAsia" w:hAnsiTheme="majorEastAsia" w:eastAsiaTheme="majorEastAsia" w:cstheme="majorEastAsia"/>
          <w:b w:val="0"/>
          <w:bCs w:val="0"/>
          <w:color w:val="auto"/>
          <w:kern w:val="0"/>
          <w:sz w:val="32"/>
          <w:szCs w:val="32"/>
          <w:highlight w:val="none"/>
          <w:lang w:val="en-US" w:eastAsia="zh-CN"/>
        </w:rPr>
        <w:t>过程审计审定造价</w:t>
      </w:r>
      <w:r>
        <w:rPr>
          <w:rFonts w:hint="eastAsia" w:asciiTheme="majorEastAsia" w:hAnsiTheme="majorEastAsia" w:eastAsiaTheme="majorEastAsia" w:cstheme="majorEastAsia"/>
          <w:b w:val="0"/>
          <w:bCs w:val="0"/>
          <w:color w:val="auto"/>
          <w:kern w:val="0"/>
          <w:sz w:val="32"/>
          <w:szCs w:val="32"/>
          <w:highlight w:val="none"/>
        </w:rPr>
        <w:t>×基本费费率(</w:t>
      </w:r>
      <w:r>
        <w:rPr>
          <w:rFonts w:hint="default" w:asciiTheme="majorEastAsia" w:hAnsiTheme="majorEastAsia" w:eastAsiaTheme="majorEastAsia" w:cstheme="majorEastAsia"/>
          <w:b w:val="0"/>
          <w:bCs w:val="0"/>
          <w:color w:val="auto"/>
          <w:kern w:val="0"/>
          <w:sz w:val="32"/>
          <w:szCs w:val="32"/>
          <w:highlight w:val="none"/>
          <w:lang w:val="en-US" w:eastAsia="zh-CN"/>
        </w:rPr>
        <w:t>b</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-已支付的</w:t>
      </w:r>
      <w:r>
        <w:rPr>
          <w:rFonts w:hint="eastAsia" w:asciiTheme="majorEastAsia" w:hAnsiTheme="majorEastAsia" w:eastAsiaTheme="majorEastAsia" w:cstheme="majorEastAsia"/>
          <w:b w:val="0"/>
          <w:bCs w:val="0"/>
          <w:color w:val="auto"/>
          <w:sz w:val="32"/>
          <w:szCs w:val="32"/>
          <w:highlight w:val="none"/>
          <w:lang w:val="en-US" w:eastAsia="zh-CN"/>
        </w:rPr>
        <w:t>预付款-</w:t>
      </w:r>
      <w:r>
        <w:rPr>
          <w:rFonts w:hint="eastAsia" w:asciiTheme="majorEastAsia" w:hAnsiTheme="majorEastAsia" w:eastAsiaTheme="majorEastAsia" w:cstheme="majorEastAsia"/>
          <w:b w:val="0"/>
          <w:bCs w:val="0"/>
          <w:color w:val="auto"/>
          <w:kern w:val="0"/>
          <w:sz w:val="32"/>
          <w:szCs w:val="32"/>
          <w:highlight w:val="none"/>
          <w:lang w:val="en-US" w:eastAsia="zh-CN"/>
        </w:rPr>
        <w:t>已支付的</w:t>
      </w:r>
      <w:r>
        <w:rPr>
          <w:rFonts w:hint="eastAsia" w:asciiTheme="majorEastAsia" w:hAnsiTheme="majorEastAsia" w:eastAsiaTheme="majorEastAsia" w:cstheme="majorEastAsia"/>
          <w:b w:val="0"/>
          <w:bCs w:val="0"/>
          <w:color w:val="auto"/>
          <w:sz w:val="32"/>
          <w:szCs w:val="32"/>
          <w:highlight w:val="none"/>
          <w:lang w:val="en-US" w:eastAsia="zh-CN"/>
        </w:rPr>
        <w:t>过程跟踪进度款</w:t>
      </w:r>
      <w:r>
        <w:rPr>
          <w:rFonts w:hint="eastAsia" w:asciiTheme="majorEastAsia" w:hAnsiTheme="majorEastAsia" w:eastAsiaTheme="majorEastAsia" w:cstheme="majorEastAsia"/>
          <w:b w:val="0"/>
          <w:bCs w:val="0"/>
          <w:color w:val="auto"/>
          <w:sz w:val="32"/>
          <w:szCs w:val="32"/>
          <w:highlight w:val="none"/>
          <w:lang w:eastAsia="zh-CN"/>
        </w:rPr>
        <w:t>。</w:t>
      </w:r>
    </w:p>
    <w:p w14:paraId="777BC40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3.2</w:t>
      </w:r>
      <w:r>
        <w:rPr>
          <w:rFonts w:hint="eastAsia" w:asciiTheme="majorEastAsia" w:hAnsiTheme="majorEastAsia" w:eastAsiaTheme="majorEastAsia" w:cstheme="majorEastAsia"/>
          <w:b w:val="0"/>
          <w:bCs w:val="0"/>
          <w:color w:val="auto"/>
          <w:kern w:val="0"/>
          <w:sz w:val="32"/>
          <w:szCs w:val="32"/>
          <w:highlight w:val="none"/>
        </w:rPr>
        <w:t>全过程跟踪审计服务</w:t>
      </w:r>
      <w:r>
        <w:rPr>
          <w:rFonts w:hint="eastAsia" w:asciiTheme="majorEastAsia" w:hAnsiTheme="majorEastAsia" w:eastAsiaTheme="majorEastAsia" w:cstheme="majorEastAsia"/>
          <w:b w:val="0"/>
          <w:bCs w:val="0"/>
          <w:color w:val="auto"/>
          <w:kern w:val="0"/>
          <w:sz w:val="32"/>
          <w:szCs w:val="32"/>
          <w:highlight w:val="none"/>
          <w:lang w:val="en-US" w:eastAsia="zh-CN"/>
        </w:rPr>
        <w:t>实际</w:t>
      </w:r>
      <w:r>
        <w:rPr>
          <w:rFonts w:hint="eastAsia" w:asciiTheme="majorEastAsia" w:hAnsiTheme="majorEastAsia" w:eastAsiaTheme="majorEastAsia" w:cstheme="majorEastAsia"/>
          <w:b w:val="0"/>
          <w:bCs w:val="0"/>
          <w:color w:val="auto"/>
          <w:kern w:val="0"/>
          <w:sz w:val="32"/>
          <w:szCs w:val="32"/>
          <w:highlight w:val="none"/>
        </w:rPr>
        <w:t>费</w:t>
      </w:r>
      <w:r>
        <w:rPr>
          <w:rFonts w:hint="eastAsia" w:asciiTheme="majorEastAsia" w:hAnsiTheme="majorEastAsia" w:eastAsiaTheme="majorEastAsia" w:cstheme="majorEastAsia"/>
          <w:b w:val="0"/>
          <w:bCs w:val="0"/>
          <w:color w:val="auto"/>
          <w:kern w:val="0"/>
          <w:sz w:val="32"/>
          <w:szCs w:val="32"/>
          <w:highlight w:val="none"/>
          <w:lang w:val="en-US" w:eastAsia="zh-CN"/>
        </w:rPr>
        <w:t>用≥全过程</w:t>
      </w:r>
      <w:r>
        <w:rPr>
          <w:rFonts w:hint="eastAsia" w:asciiTheme="majorEastAsia" w:hAnsiTheme="majorEastAsia" w:eastAsiaTheme="majorEastAsia" w:cstheme="majorEastAsia"/>
          <w:b w:val="0"/>
          <w:bCs w:val="0"/>
          <w:color w:val="auto"/>
          <w:kern w:val="0"/>
          <w:sz w:val="32"/>
          <w:szCs w:val="32"/>
          <w:highlight w:val="none"/>
        </w:rPr>
        <w:t>跟踪审计</w:t>
      </w:r>
      <w:r>
        <w:rPr>
          <w:rFonts w:hint="eastAsia" w:asciiTheme="majorEastAsia" w:hAnsiTheme="majorEastAsia" w:eastAsiaTheme="majorEastAsia" w:cstheme="majorEastAsia"/>
          <w:b w:val="0"/>
          <w:bCs w:val="0"/>
          <w:color w:val="auto"/>
          <w:kern w:val="0"/>
          <w:sz w:val="32"/>
          <w:szCs w:val="32"/>
          <w:highlight w:val="none"/>
          <w:lang w:val="en-US" w:eastAsia="zh-CN"/>
        </w:rPr>
        <w:t>部分的合同总金额：</w:t>
      </w:r>
    </w:p>
    <w:p w14:paraId="7AEA2FF9">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firstLine="640" w:firstLineChars="200"/>
        <w:textAlignment w:val="baseline"/>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rPr>
        <w:t>全过程跟踪审计</w:t>
      </w:r>
      <w:r>
        <w:rPr>
          <w:rFonts w:hint="eastAsia" w:asciiTheme="majorEastAsia" w:hAnsiTheme="majorEastAsia" w:eastAsiaTheme="majorEastAsia" w:cstheme="majorEastAsia"/>
          <w:b w:val="0"/>
          <w:bCs w:val="0"/>
          <w:color w:val="auto"/>
          <w:sz w:val="32"/>
          <w:szCs w:val="32"/>
          <w:highlight w:val="none"/>
          <w:lang w:val="en-US" w:eastAsia="zh-CN"/>
        </w:rPr>
        <w:t>剩余支付</w:t>
      </w:r>
      <w:r>
        <w:rPr>
          <w:rFonts w:hint="eastAsia" w:asciiTheme="majorEastAsia" w:hAnsiTheme="majorEastAsia" w:eastAsiaTheme="majorEastAsia" w:cstheme="majorEastAsia"/>
          <w:b w:val="0"/>
          <w:bCs w:val="0"/>
          <w:color w:val="auto"/>
          <w:kern w:val="0"/>
          <w:sz w:val="32"/>
          <w:szCs w:val="32"/>
          <w:highlight w:val="none"/>
        </w:rPr>
        <w:t>服务费=全过程跟踪审计</w:t>
      </w:r>
      <w:r>
        <w:rPr>
          <w:rFonts w:hint="eastAsia" w:asciiTheme="majorEastAsia" w:hAnsiTheme="majorEastAsia" w:eastAsiaTheme="majorEastAsia" w:cstheme="majorEastAsia"/>
          <w:b w:val="0"/>
          <w:bCs w:val="0"/>
          <w:color w:val="auto"/>
          <w:kern w:val="0"/>
          <w:sz w:val="32"/>
          <w:szCs w:val="32"/>
          <w:highlight w:val="none"/>
          <w:lang w:val="en-US" w:eastAsia="zh-CN"/>
        </w:rPr>
        <w:t>部分合同金额-已支付的</w:t>
      </w:r>
      <w:r>
        <w:rPr>
          <w:rFonts w:hint="eastAsia" w:asciiTheme="majorEastAsia" w:hAnsiTheme="majorEastAsia" w:eastAsiaTheme="majorEastAsia" w:cstheme="majorEastAsia"/>
          <w:b w:val="0"/>
          <w:bCs w:val="0"/>
          <w:color w:val="auto"/>
          <w:sz w:val="32"/>
          <w:szCs w:val="32"/>
          <w:highlight w:val="none"/>
          <w:lang w:val="en-US" w:eastAsia="zh-CN"/>
        </w:rPr>
        <w:t>预付款-</w:t>
      </w:r>
      <w:r>
        <w:rPr>
          <w:rFonts w:hint="eastAsia" w:asciiTheme="majorEastAsia" w:hAnsiTheme="majorEastAsia" w:eastAsiaTheme="majorEastAsia" w:cstheme="majorEastAsia"/>
          <w:b w:val="0"/>
          <w:bCs w:val="0"/>
          <w:color w:val="auto"/>
          <w:kern w:val="0"/>
          <w:sz w:val="32"/>
          <w:szCs w:val="32"/>
          <w:highlight w:val="none"/>
          <w:lang w:val="en-US" w:eastAsia="zh-CN"/>
        </w:rPr>
        <w:t>已支付的</w:t>
      </w:r>
      <w:r>
        <w:rPr>
          <w:rFonts w:hint="eastAsia" w:asciiTheme="majorEastAsia" w:hAnsiTheme="majorEastAsia" w:eastAsiaTheme="majorEastAsia" w:cstheme="majorEastAsia"/>
          <w:b w:val="0"/>
          <w:bCs w:val="0"/>
          <w:color w:val="auto"/>
          <w:sz w:val="32"/>
          <w:szCs w:val="32"/>
          <w:highlight w:val="none"/>
          <w:lang w:val="en-US" w:eastAsia="zh-CN"/>
        </w:rPr>
        <w:t>过程跟踪进度款</w:t>
      </w:r>
      <w:r>
        <w:rPr>
          <w:rFonts w:hint="eastAsia" w:asciiTheme="majorEastAsia" w:hAnsiTheme="majorEastAsia" w:eastAsiaTheme="majorEastAsia" w:cstheme="majorEastAsia"/>
          <w:b w:val="0"/>
          <w:bCs w:val="0"/>
          <w:color w:val="auto"/>
          <w:sz w:val="32"/>
          <w:szCs w:val="32"/>
          <w:highlight w:val="none"/>
          <w:lang w:eastAsia="zh-CN"/>
        </w:rPr>
        <w:t>。</w:t>
      </w:r>
    </w:p>
    <w:p w14:paraId="7998EF2E">
      <w:pPr>
        <w:keepNext w:val="0"/>
        <w:keepLines w:val="0"/>
        <w:pageBreakBefore w:val="0"/>
        <w:kinsoku/>
        <w:wordWrap/>
        <w:overflowPunct/>
        <w:topLinePunct w:val="0"/>
        <w:bidi w:val="0"/>
        <w:spacing w:beforeAutospacing="0" w:afterAutospacing="0" w:line="560" w:lineRule="exact"/>
        <w:ind w:left="0" w:leftChars="0" w:firstLine="640" w:firstLineChars="200"/>
        <w:jc w:val="left"/>
        <w:outlineLvl w:val="1"/>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七</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投标人的工程造价咨询管理方案需要提供以下内容：</w:t>
      </w:r>
    </w:p>
    <w:p w14:paraId="00F5A81F">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val="en-US" w:eastAsia="zh-CN"/>
        </w:rPr>
        <w:t>1.</w:t>
      </w:r>
      <w:r>
        <w:rPr>
          <w:rFonts w:hint="eastAsia" w:asciiTheme="majorEastAsia" w:hAnsiTheme="majorEastAsia" w:eastAsiaTheme="majorEastAsia" w:cstheme="majorEastAsia"/>
          <w:b w:val="0"/>
          <w:bCs w:val="0"/>
          <w:color w:val="auto"/>
          <w:kern w:val="0"/>
          <w:sz w:val="32"/>
          <w:szCs w:val="32"/>
          <w:highlight w:val="none"/>
        </w:rPr>
        <w:t>跟踪审计规划方案及服务承诺；</w:t>
      </w:r>
    </w:p>
    <w:p w14:paraId="7D2ED486">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val="en-US" w:eastAsia="zh-CN"/>
        </w:rPr>
        <w:t>2.</w:t>
      </w:r>
      <w:r>
        <w:rPr>
          <w:rFonts w:hint="eastAsia" w:asciiTheme="majorEastAsia" w:hAnsiTheme="majorEastAsia" w:eastAsiaTheme="majorEastAsia" w:cstheme="majorEastAsia"/>
          <w:b w:val="0"/>
          <w:bCs w:val="0"/>
          <w:color w:val="auto"/>
          <w:kern w:val="0"/>
          <w:sz w:val="32"/>
          <w:szCs w:val="32"/>
          <w:highlight w:val="none"/>
        </w:rPr>
        <w:t>拟投入本项目实施人员一览表（含性别、年龄、职务、职称、专业、从业资格证号等）；实施人员的学历证书、资格证书、从业资格证书复印件，202</w:t>
      </w:r>
      <w:r>
        <w:rPr>
          <w:rFonts w:hint="eastAsia" w:asciiTheme="majorEastAsia" w:hAnsiTheme="majorEastAsia" w:eastAsiaTheme="majorEastAsia" w:cstheme="majorEastAsia"/>
          <w:b w:val="0"/>
          <w:bCs w:val="0"/>
          <w:color w:val="auto"/>
          <w:kern w:val="0"/>
          <w:sz w:val="32"/>
          <w:szCs w:val="32"/>
          <w:highlight w:val="none"/>
          <w:lang w:val="en-US" w:eastAsia="zh-CN"/>
        </w:rPr>
        <w:t>2</w:t>
      </w:r>
      <w:r>
        <w:rPr>
          <w:rFonts w:hint="eastAsia" w:asciiTheme="majorEastAsia" w:hAnsiTheme="majorEastAsia" w:eastAsiaTheme="majorEastAsia" w:cstheme="majorEastAsia"/>
          <w:b w:val="0"/>
          <w:bCs w:val="0"/>
          <w:color w:val="auto"/>
          <w:kern w:val="0"/>
          <w:sz w:val="32"/>
          <w:szCs w:val="32"/>
          <w:highlight w:val="none"/>
        </w:rPr>
        <w:t>年1月1日至今跟踪审计工程业绩；人员安排方面，以技术负责人为项目跟踪审计小组组长，并选派有施工现场经验、业务水平高、责任心强的人员，以保证更好地为业主服务。未经我院同意不得变更审计人员。</w:t>
      </w:r>
    </w:p>
    <w:p w14:paraId="24C3A4E5">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val="en-US" w:eastAsia="zh-CN"/>
        </w:rPr>
        <w:t>（八）</w:t>
      </w:r>
      <w:r>
        <w:rPr>
          <w:rFonts w:hint="eastAsia" w:asciiTheme="majorEastAsia" w:hAnsiTheme="majorEastAsia" w:eastAsiaTheme="majorEastAsia" w:cstheme="majorEastAsia"/>
          <w:b w:val="0"/>
          <w:bCs w:val="0"/>
          <w:color w:val="auto"/>
          <w:kern w:val="0"/>
          <w:sz w:val="32"/>
          <w:szCs w:val="32"/>
          <w:highlight w:val="none"/>
        </w:rPr>
        <w:t>对</w:t>
      </w:r>
      <w:r>
        <w:rPr>
          <w:rFonts w:hint="eastAsia" w:asciiTheme="majorEastAsia" w:hAnsiTheme="majorEastAsia" w:eastAsiaTheme="majorEastAsia" w:cstheme="majorEastAsia"/>
          <w:b w:val="0"/>
          <w:bCs w:val="0"/>
          <w:color w:val="auto"/>
          <w:kern w:val="0"/>
          <w:sz w:val="32"/>
          <w:szCs w:val="32"/>
          <w:highlight w:val="none"/>
          <w:lang w:val="en-US" w:eastAsia="zh-CN"/>
        </w:rPr>
        <w:t>受托人</w:t>
      </w:r>
      <w:r>
        <w:rPr>
          <w:rFonts w:hint="eastAsia" w:asciiTheme="majorEastAsia" w:hAnsiTheme="majorEastAsia" w:eastAsiaTheme="majorEastAsia" w:cstheme="majorEastAsia"/>
          <w:b w:val="0"/>
          <w:bCs w:val="0"/>
          <w:color w:val="auto"/>
          <w:kern w:val="0"/>
          <w:sz w:val="32"/>
          <w:szCs w:val="32"/>
          <w:highlight w:val="none"/>
        </w:rPr>
        <w:t>的工作进度要求：</w:t>
      </w:r>
    </w:p>
    <w:p w14:paraId="334F8919">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lang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1.拆除工程和基坑项目招标控制价编制时间要求：</w:t>
      </w:r>
      <w:r>
        <w:rPr>
          <w:rFonts w:hint="eastAsia" w:asciiTheme="majorEastAsia" w:hAnsiTheme="majorEastAsia" w:eastAsiaTheme="majorEastAsia" w:cstheme="majorEastAsia"/>
          <w:b w:val="0"/>
          <w:bCs w:val="0"/>
          <w:color w:val="auto"/>
          <w:kern w:val="0"/>
          <w:sz w:val="32"/>
          <w:szCs w:val="32"/>
          <w:highlight w:val="none"/>
        </w:rPr>
        <w:t>在收到委托人完整的资料</w:t>
      </w:r>
      <w:r>
        <w:rPr>
          <w:rFonts w:hint="eastAsia" w:asciiTheme="majorEastAsia" w:hAnsiTheme="majorEastAsia" w:eastAsiaTheme="majorEastAsia" w:cstheme="majorEastAsia"/>
          <w:b w:val="0"/>
          <w:bCs w:val="0"/>
          <w:color w:val="auto"/>
          <w:kern w:val="0"/>
          <w:sz w:val="32"/>
          <w:szCs w:val="32"/>
          <w:highlight w:val="none"/>
          <w:lang w:val="en-US" w:eastAsia="zh-CN"/>
        </w:rPr>
        <w:t>之日起，10个工作日内提交</w:t>
      </w:r>
      <w:r>
        <w:rPr>
          <w:rFonts w:hint="eastAsia" w:asciiTheme="majorEastAsia" w:hAnsiTheme="majorEastAsia" w:eastAsiaTheme="majorEastAsia" w:cstheme="majorEastAsia"/>
          <w:b w:val="0"/>
          <w:bCs w:val="0"/>
          <w:color w:val="auto"/>
          <w:kern w:val="0"/>
          <w:sz w:val="32"/>
          <w:szCs w:val="32"/>
          <w:highlight w:val="none"/>
        </w:rPr>
        <w:t>造价文件</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招标控制价和工程量清单</w:t>
      </w:r>
      <w:r>
        <w:rPr>
          <w:rFonts w:hint="eastAsia" w:asciiTheme="majorEastAsia" w:hAnsiTheme="majorEastAsia" w:eastAsiaTheme="majorEastAsia" w:cstheme="majorEastAsia"/>
          <w:b w:val="0"/>
          <w:bCs w:val="0"/>
          <w:color w:val="auto"/>
          <w:kern w:val="0"/>
          <w:sz w:val="32"/>
          <w:szCs w:val="32"/>
          <w:highlight w:val="none"/>
          <w:lang w:eastAsia="zh-CN"/>
        </w:rPr>
        <w:t>）。</w:t>
      </w:r>
    </w:p>
    <w:p w14:paraId="74E09714">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rPr>
        <w:t>2.主体工程招标控制价编制时间要求：</w:t>
      </w:r>
      <w:r>
        <w:rPr>
          <w:rFonts w:hint="eastAsia" w:asciiTheme="majorEastAsia" w:hAnsiTheme="majorEastAsia" w:eastAsiaTheme="majorEastAsia" w:cstheme="majorEastAsia"/>
          <w:b w:val="0"/>
          <w:bCs w:val="0"/>
          <w:color w:val="auto"/>
          <w:kern w:val="0"/>
          <w:sz w:val="32"/>
          <w:szCs w:val="32"/>
          <w:highlight w:val="none"/>
        </w:rPr>
        <w:t>在收到委托人完整的资料</w:t>
      </w:r>
      <w:r>
        <w:rPr>
          <w:rFonts w:hint="eastAsia" w:asciiTheme="majorEastAsia" w:hAnsiTheme="majorEastAsia" w:eastAsiaTheme="majorEastAsia" w:cstheme="majorEastAsia"/>
          <w:b w:val="0"/>
          <w:bCs w:val="0"/>
          <w:color w:val="auto"/>
          <w:kern w:val="0"/>
          <w:sz w:val="32"/>
          <w:szCs w:val="32"/>
          <w:highlight w:val="none"/>
          <w:lang w:val="en-US" w:eastAsia="zh-CN"/>
        </w:rPr>
        <w:t>之日起30个工作日内提交</w:t>
      </w:r>
      <w:r>
        <w:rPr>
          <w:rFonts w:hint="eastAsia" w:asciiTheme="majorEastAsia" w:hAnsiTheme="majorEastAsia" w:eastAsiaTheme="majorEastAsia" w:cstheme="majorEastAsia"/>
          <w:b w:val="0"/>
          <w:bCs w:val="0"/>
          <w:color w:val="auto"/>
          <w:kern w:val="0"/>
          <w:sz w:val="32"/>
          <w:szCs w:val="32"/>
          <w:highlight w:val="none"/>
        </w:rPr>
        <w:t>造价文件</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招标控制价和工程量清单</w:t>
      </w:r>
      <w:r>
        <w:rPr>
          <w:rFonts w:hint="eastAsia" w:asciiTheme="majorEastAsia" w:hAnsiTheme="majorEastAsia" w:eastAsiaTheme="majorEastAsia" w:cstheme="majorEastAsia"/>
          <w:b w:val="0"/>
          <w:bCs w:val="0"/>
          <w:color w:val="auto"/>
          <w:kern w:val="0"/>
          <w:sz w:val="32"/>
          <w:szCs w:val="32"/>
          <w:highlight w:val="none"/>
          <w:lang w:eastAsia="zh-CN"/>
        </w:rPr>
        <w:t>）。</w:t>
      </w:r>
    </w:p>
    <w:p w14:paraId="69F4FEFD">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val="en-US" w:eastAsia="zh-CN"/>
        </w:rPr>
        <w:t>3.</w:t>
      </w:r>
      <w:r>
        <w:rPr>
          <w:rFonts w:hint="eastAsia" w:asciiTheme="majorEastAsia" w:hAnsiTheme="majorEastAsia" w:eastAsiaTheme="majorEastAsia" w:cstheme="majorEastAsia"/>
          <w:b w:val="0"/>
          <w:bCs w:val="0"/>
          <w:color w:val="auto"/>
          <w:kern w:val="0"/>
          <w:sz w:val="32"/>
          <w:szCs w:val="32"/>
          <w:highlight w:val="none"/>
        </w:rPr>
        <w:t>工程进度款、签证单、变更单在收到委托人完整的资料后当日起5个工作日内提交审核文件；</w:t>
      </w:r>
    </w:p>
    <w:p w14:paraId="7091EEA0">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val="en-US" w:eastAsia="zh-CN"/>
        </w:rPr>
        <w:t>（九）</w:t>
      </w:r>
      <w:r>
        <w:rPr>
          <w:rFonts w:hint="eastAsia" w:asciiTheme="majorEastAsia" w:hAnsiTheme="majorEastAsia" w:eastAsiaTheme="majorEastAsia" w:cstheme="majorEastAsia"/>
          <w:b w:val="0"/>
          <w:bCs w:val="0"/>
          <w:color w:val="auto"/>
          <w:kern w:val="0"/>
          <w:sz w:val="32"/>
          <w:szCs w:val="32"/>
          <w:highlight w:val="none"/>
        </w:rPr>
        <w:t>服务期限：本项目自签订合同日起至竣工结算并配合完成审计等工作，各阶段咨询服务成果提交时间的具体时间节点满足委托人工程建设进度要求。</w:t>
      </w:r>
    </w:p>
    <w:p w14:paraId="3CCFED48">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val="en-US" w:eastAsia="zh-CN"/>
        </w:rPr>
        <w:t>（十）</w:t>
      </w:r>
      <w:r>
        <w:rPr>
          <w:rFonts w:hint="eastAsia" w:asciiTheme="majorEastAsia" w:hAnsiTheme="majorEastAsia" w:eastAsiaTheme="majorEastAsia" w:cstheme="majorEastAsia"/>
          <w:b w:val="0"/>
          <w:bCs w:val="0"/>
          <w:color w:val="auto"/>
          <w:kern w:val="0"/>
          <w:sz w:val="32"/>
          <w:szCs w:val="32"/>
          <w:highlight w:val="none"/>
        </w:rPr>
        <w:t>质量要求：按本合同的约定范围内的建设工程造价咨询业务，保质保量按时完成本合同约定造价咨询服务事项，并符合《建设项目全过程造价咨询规程》（CECAGC4-2009）要求及国家和南宁市现行有关法律、法规、标准的规定。</w:t>
      </w:r>
    </w:p>
    <w:p w14:paraId="6CD1CC6D">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（1）工程量计算准确，准确率在95%以上（包括95%），除非委托人图纸发生变更，工程量增减不超过5%。</w:t>
      </w:r>
    </w:p>
    <w:p w14:paraId="7E88963B">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（2）设备工程量准确率在99%以上（包括99%），除非委托人图纸发生变更，工程量增减不超过1%。</w:t>
      </w:r>
    </w:p>
    <w:p w14:paraId="286D2FE3">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（3）主要材料设备计价准确，无原则性失误。</w:t>
      </w:r>
    </w:p>
    <w:p w14:paraId="7595922C">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（4）资料文件必须文字清晰整齐。造价文件必须有相关专业造价工程师盖注册章、公司负责人签字盖章，并盖公司章。</w:t>
      </w:r>
    </w:p>
    <w:p w14:paraId="6DC980A5">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5）如委托人没能按双方约定时间提供图纸、相关资料等，则提交成果资料的时间相应顺延。编制预算时没有进行图纸深化的部分，可以暂定价列入，但当后期图纸深化后，要完成该深化部分的预算或工程量清单编制工作、过程服务及结算审核工作（暂定价不计算咨询费用）。</w:t>
      </w:r>
    </w:p>
    <w:p w14:paraId="391A2D70">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（6）严格执行南宁市人民政府令【2015】第34号《南宁建设工程造价管理办法》的规定，保证工程造价成果文件的准确性。</w:t>
      </w:r>
      <w:r>
        <w:rPr>
          <w:rFonts w:hint="eastAsia" w:asciiTheme="majorEastAsia" w:hAnsiTheme="majorEastAsia" w:eastAsiaTheme="majorEastAsia" w:cstheme="majorEastAsia"/>
          <w:b w:val="0"/>
          <w:bCs w:val="0"/>
          <w:color w:val="auto"/>
          <w:kern w:val="0"/>
          <w:sz w:val="32"/>
          <w:szCs w:val="32"/>
          <w:highlight w:val="none"/>
          <w:lang w:val="en-US" w:eastAsia="zh-CN"/>
        </w:rPr>
        <w:t>若甲方抽查发现</w:t>
      </w:r>
      <w:r>
        <w:rPr>
          <w:rFonts w:hint="eastAsia" w:asciiTheme="majorEastAsia" w:hAnsiTheme="majorEastAsia" w:eastAsiaTheme="majorEastAsia" w:cstheme="majorEastAsia"/>
          <w:b w:val="0"/>
          <w:bCs w:val="0"/>
          <w:color w:val="auto"/>
          <w:kern w:val="0"/>
          <w:sz w:val="32"/>
          <w:szCs w:val="32"/>
          <w:highlight w:val="none"/>
        </w:rPr>
        <w:t>施工</w:t>
      </w:r>
      <w:r>
        <w:rPr>
          <w:rFonts w:hint="eastAsia" w:asciiTheme="majorEastAsia" w:hAnsiTheme="majorEastAsia" w:eastAsiaTheme="majorEastAsia" w:cstheme="majorEastAsia"/>
          <w:b w:val="0"/>
          <w:bCs w:val="0"/>
          <w:color w:val="auto"/>
          <w:kern w:val="0"/>
          <w:sz w:val="32"/>
          <w:szCs w:val="32"/>
          <w:highlight w:val="none"/>
          <w:lang w:val="en-US" w:eastAsia="zh-CN"/>
        </w:rPr>
        <w:t>过程审计文件</w:t>
      </w:r>
      <w:r>
        <w:rPr>
          <w:rFonts w:hint="eastAsia" w:asciiTheme="majorEastAsia" w:hAnsiTheme="majorEastAsia" w:eastAsiaTheme="majorEastAsia" w:cstheme="majorEastAsia"/>
          <w:b w:val="0"/>
          <w:bCs w:val="0"/>
          <w:color w:val="auto"/>
          <w:kern w:val="0"/>
          <w:sz w:val="32"/>
          <w:szCs w:val="32"/>
          <w:highlight w:val="none"/>
        </w:rPr>
        <w:t>、竣工结算文件等误差超过3%，当3%≤审定造价误差≤5%时，甲方仅支付该阶段9</w:t>
      </w:r>
      <w:r>
        <w:rPr>
          <w:rFonts w:hint="eastAsia" w:asciiTheme="majorEastAsia" w:hAnsiTheme="majorEastAsia" w:eastAsiaTheme="majorEastAsia" w:cstheme="majorEastAsia"/>
          <w:b w:val="0"/>
          <w:bCs w:val="0"/>
          <w:color w:val="auto"/>
          <w:kern w:val="0"/>
          <w:sz w:val="32"/>
          <w:szCs w:val="32"/>
          <w:highlight w:val="none"/>
          <w:lang w:val="en-US" w:eastAsia="zh-CN"/>
        </w:rPr>
        <w:t>5</w:t>
      </w:r>
      <w:r>
        <w:rPr>
          <w:rFonts w:hint="eastAsia" w:asciiTheme="majorEastAsia" w:hAnsiTheme="majorEastAsia" w:eastAsiaTheme="majorEastAsia" w:cstheme="majorEastAsia"/>
          <w:b w:val="0"/>
          <w:bCs w:val="0"/>
          <w:color w:val="auto"/>
          <w:kern w:val="0"/>
          <w:sz w:val="32"/>
          <w:szCs w:val="32"/>
          <w:highlight w:val="none"/>
        </w:rPr>
        <w:t>%造价咨询服务费；当5%≤审定造价误差≤10%时，甲方仅支付该阶段</w:t>
      </w:r>
      <w:r>
        <w:rPr>
          <w:rFonts w:hint="eastAsia" w:asciiTheme="majorEastAsia" w:hAnsiTheme="majorEastAsia" w:eastAsiaTheme="majorEastAsia" w:cstheme="majorEastAsia"/>
          <w:b w:val="0"/>
          <w:bCs w:val="0"/>
          <w:color w:val="auto"/>
          <w:kern w:val="0"/>
          <w:sz w:val="32"/>
          <w:szCs w:val="32"/>
          <w:highlight w:val="none"/>
          <w:lang w:val="en-US" w:eastAsia="zh-CN"/>
        </w:rPr>
        <w:t>9</w:t>
      </w:r>
      <w:r>
        <w:rPr>
          <w:rFonts w:hint="eastAsia" w:asciiTheme="majorEastAsia" w:hAnsiTheme="majorEastAsia" w:eastAsiaTheme="majorEastAsia" w:cstheme="majorEastAsia"/>
          <w:b w:val="0"/>
          <w:bCs w:val="0"/>
          <w:color w:val="auto"/>
          <w:kern w:val="0"/>
          <w:sz w:val="32"/>
          <w:szCs w:val="32"/>
          <w:highlight w:val="none"/>
        </w:rPr>
        <w:t>0%造价咨询服务费；当审定造价误差超出10%范围，甲方仅支付该阶段</w:t>
      </w:r>
      <w:r>
        <w:rPr>
          <w:rFonts w:hint="eastAsia" w:asciiTheme="majorEastAsia" w:hAnsiTheme="majorEastAsia" w:eastAsiaTheme="majorEastAsia" w:cstheme="majorEastAsia"/>
          <w:b w:val="0"/>
          <w:bCs w:val="0"/>
          <w:color w:val="auto"/>
          <w:kern w:val="0"/>
          <w:sz w:val="32"/>
          <w:szCs w:val="32"/>
          <w:highlight w:val="none"/>
          <w:lang w:val="en-US" w:eastAsia="zh-CN"/>
        </w:rPr>
        <w:t>8</w:t>
      </w:r>
      <w:r>
        <w:rPr>
          <w:rFonts w:hint="eastAsia" w:asciiTheme="majorEastAsia" w:hAnsiTheme="majorEastAsia" w:eastAsiaTheme="majorEastAsia" w:cstheme="majorEastAsia"/>
          <w:b w:val="0"/>
          <w:bCs w:val="0"/>
          <w:color w:val="auto"/>
          <w:kern w:val="0"/>
          <w:sz w:val="32"/>
          <w:szCs w:val="32"/>
          <w:highlight w:val="none"/>
        </w:rPr>
        <w:t>0%造价咨询服务费</w:t>
      </w:r>
      <w:r>
        <w:rPr>
          <w:rFonts w:hint="eastAsia" w:asciiTheme="majorEastAsia" w:hAnsiTheme="majorEastAsia" w:eastAsiaTheme="majorEastAsia" w:cstheme="majorEastAsia"/>
          <w:b w:val="0"/>
          <w:bCs w:val="0"/>
          <w:color w:val="auto"/>
          <w:kern w:val="0"/>
          <w:sz w:val="32"/>
          <w:szCs w:val="32"/>
          <w:highlight w:val="none"/>
          <w:lang w:eastAsia="zh-CN"/>
        </w:rPr>
        <w:t>。</w:t>
      </w:r>
    </w:p>
    <w:p w14:paraId="4C1A690E">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（7）在各造价控制阶段，若由咨询人原因导致工程造价出现较大偏差，给委托人造成经济损失的，将由咨询人对委托人的实际损失进行经济赔偿。</w:t>
      </w:r>
    </w:p>
    <w:p w14:paraId="3DF99CFA">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（8）项目负责人必须具有管理能力，确保项目负责人的到位，项目负责人必须参加现场每周一次的监理例会，且每周与业主成本管理部门汇报、交流的次数不得少于一次，如达不到要求，给予每次300元的惩罚。</w:t>
      </w:r>
    </w:p>
    <w:p w14:paraId="62DA1430">
      <w:pPr>
        <w:keepNext w:val="0"/>
        <w:keepLines w:val="0"/>
        <w:pageBreakBefore w:val="0"/>
        <w:widowControl/>
        <w:kinsoku/>
        <w:wordWrap/>
        <w:overflowPunct/>
        <w:topLinePunct w:val="0"/>
        <w:bidi w:val="0"/>
        <w:spacing w:beforeAutospacing="0" w:afterAutospacing="0" w:line="560" w:lineRule="exact"/>
        <w:ind w:left="0" w:leftChars="0" w:firstLine="640" w:firstLineChars="200"/>
        <w:jc w:val="left"/>
        <w:outlineLvl w:val="1"/>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rPr>
        <w:t>十一</w:t>
      </w:r>
      <w:r>
        <w:rPr>
          <w:rFonts w:hint="eastAsia" w:asciiTheme="majorEastAsia" w:hAnsiTheme="majorEastAsia" w:eastAsiaTheme="majorEastAsia" w:cstheme="majorEastAsia"/>
          <w:b w:val="0"/>
          <w:bCs w:val="0"/>
          <w:color w:val="auto"/>
          <w:kern w:val="0"/>
          <w:sz w:val="32"/>
          <w:szCs w:val="32"/>
          <w:highlight w:val="none"/>
        </w:rPr>
        <w:t>）</w:t>
      </w:r>
      <w:r>
        <w:rPr>
          <w:rFonts w:hint="eastAsia" w:asciiTheme="majorEastAsia" w:hAnsiTheme="majorEastAsia" w:eastAsiaTheme="majorEastAsia" w:cstheme="majorEastAsia"/>
          <w:b w:val="0"/>
          <w:bCs w:val="0"/>
          <w:color w:val="auto"/>
          <w:kern w:val="0"/>
          <w:sz w:val="32"/>
          <w:szCs w:val="32"/>
          <w:highlight w:val="none"/>
          <w:lang w:val="en-US" w:eastAsia="zh-CN" w:bidi="ar-SA"/>
        </w:rPr>
        <w:t>成果文件资料及要求：</w:t>
      </w:r>
    </w:p>
    <w:p w14:paraId="6F7DEAD9">
      <w:pPr>
        <w:pStyle w:val="8"/>
        <w:keepNext w:val="0"/>
        <w:keepLines w:val="0"/>
        <w:pageBreakBefore w:val="0"/>
        <w:kinsoku/>
        <w:wordWrap/>
        <w:overflowPunct/>
        <w:topLinePunct w:val="0"/>
        <w:bidi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1工程量清单表一式陆份（含电子文件）</w:t>
      </w:r>
    </w:p>
    <w:p w14:paraId="673E919D">
      <w:pPr>
        <w:pStyle w:val="8"/>
        <w:keepNext w:val="0"/>
        <w:keepLines w:val="0"/>
        <w:pageBreakBefore w:val="0"/>
        <w:kinsoku/>
        <w:wordWrap/>
        <w:overflowPunct/>
        <w:topLinePunct w:val="0"/>
        <w:bidi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2招标控制价计算书一式陆份（含电子文件）</w:t>
      </w:r>
    </w:p>
    <w:p w14:paraId="2A1797E1">
      <w:pPr>
        <w:pStyle w:val="8"/>
        <w:keepNext w:val="0"/>
        <w:keepLines w:val="0"/>
        <w:pageBreakBefore w:val="0"/>
        <w:kinsoku/>
        <w:wordWrap/>
        <w:overflowPunct/>
        <w:topLinePunct w:val="0"/>
        <w:bidi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3结算审核书陆份（含三审单）。</w:t>
      </w:r>
    </w:p>
    <w:p w14:paraId="71D5A8B4">
      <w:pPr>
        <w:pStyle w:val="8"/>
        <w:keepNext w:val="0"/>
        <w:keepLines w:val="0"/>
        <w:pageBreakBefore w:val="0"/>
        <w:kinsoku/>
        <w:wordWrap/>
        <w:overflowPunct/>
        <w:topLinePunct w:val="0"/>
        <w:bidi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4各阶段工程量计算底稿一份（电子版）。</w:t>
      </w:r>
    </w:p>
    <w:p w14:paraId="18F7493F">
      <w:pPr>
        <w:pStyle w:val="8"/>
        <w:keepNext w:val="0"/>
        <w:keepLines w:val="0"/>
        <w:pageBreakBefore w:val="0"/>
        <w:kinsoku/>
        <w:wordWrap/>
        <w:overflowPunct/>
        <w:topLinePunct w:val="0"/>
        <w:bidi w:val="0"/>
        <w:spacing w:beforeAutospacing="0" w:afterAutospacing="0" w:line="560" w:lineRule="exact"/>
        <w:ind w:left="0" w:leftChars="0" w:firstLine="640" w:firstLineChars="200"/>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5提交的咨询成果资料的份数应满足委托人招标、报批报建、办理建筑物产权的实际需要。</w:t>
      </w:r>
    </w:p>
    <w:p w14:paraId="452FB2E2">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bidi="ar-SA"/>
        </w:rPr>
        <w:t>6所有成果资料文件电子文档和光盘各一份。</w:t>
      </w:r>
    </w:p>
    <w:p w14:paraId="37C1CC8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outlineLvl w:val="0"/>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八、论证文件要求内容以下：</w:t>
      </w:r>
    </w:p>
    <w:p w14:paraId="2B381022">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1、资料封面。封面标题《XX采购项目论证资料》、参加论证公司名称、联系人、联系方式。</w:t>
      </w:r>
    </w:p>
    <w:p w14:paraId="6F0F31C3">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2、论证资料目录（需附页码）。</w:t>
      </w:r>
    </w:p>
    <w:p w14:paraId="0570703F">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Theme="majorEastAsia" w:hAnsiTheme="majorEastAsia" w:eastAsiaTheme="majorEastAsia" w:cstheme="majorEastAsia"/>
          <w:b w:val="0"/>
          <w:bCs w:val="0"/>
          <w:color w:val="auto"/>
          <w:kern w:val="0"/>
          <w:sz w:val="32"/>
          <w:szCs w:val="32"/>
          <w:highlight w:val="none"/>
          <w:lang w:val="en-US" w:eastAsia="zh-CN" w:bidi="ar-SA"/>
        </w:rPr>
      </w:pPr>
      <w:r>
        <w:rPr>
          <w:rFonts w:hint="eastAsia" w:asciiTheme="majorEastAsia" w:hAnsiTheme="majorEastAsia" w:eastAsiaTheme="majorEastAsia" w:cstheme="majorEastAsia"/>
          <w:b w:val="0"/>
          <w:bCs w:val="0"/>
          <w:color w:val="auto"/>
          <w:kern w:val="0"/>
          <w:sz w:val="32"/>
          <w:szCs w:val="32"/>
          <w:highlight w:val="none"/>
          <w:lang w:val="en-US" w:eastAsia="zh-CN" w:bidi="ar-SA"/>
        </w:rPr>
        <w:t>3、公司简介</w:t>
      </w:r>
    </w:p>
    <w:p w14:paraId="4D7FF93D">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仿宋" w:hAnsi="仿宋" w:eastAsia="仿宋" w:cs="仿宋"/>
          <w:color w:val="auto"/>
          <w:sz w:val="32"/>
          <w:szCs w:val="32"/>
          <w:highlight w:val="none"/>
          <w:lang w:val="en-US" w:eastAsia="zh-CN"/>
        </w:rPr>
      </w:pPr>
      <w:r>
        <w:rPr>
          <w:rFonts w:hint="eastAsia" w:asciiTheme="majorEastAsia" w:hAnsiTheme="majorEastAsia" w:eastAsiaTheme="majorEastAsia" w:cstheme="majorEastAsia"/>
          <w:b w:val="0"/>
          <w:bCs w:val="0"/>
          <w:color w:val="auto"/>
          <w:kern w:val="0"/>
          <w:sz w:val="32"/>
          <w:szCs w:val="32"/>
          <w:highlight w:val="none"/>
          <w:lang w:val="en-US" w:eastAsia="zh-CN" w:bidi="ar-SA"/>
        </w:rPr>
        <w:t>4、有效的营业执照复印件、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r>
        <w:rPr>
          <w:rFonts w:hint="eastAsia" w:ascii="仿宋" w:hAnsi="仿宋" w:eastAsia="仿宋" w:cs="仿宋"/>
          <w:color w:val="auto"/>
          <w:sz w:val="32"/>
          <w:szCs w:val="32"/>
          <w:highlight w:val="none"/>
          <w:lang w:val="en-US" w:eastAsia="zh-CN"/>
        </w:rPr>
        <w:t>）</w:t>
      </w:r>
    </w:p>
    <w:p w14:paraId="1598DF4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w:t>
      </w:r>
      <w:r>
        <w:rPr>
          <w:rFonts w:hint="eastAsia" w:ascii="仿宋_GB2312" w:hAnsi="仿宋_GB2312" w:cs="仿宋_GB2312"/>
          <w:color w:val="auto"/>
          <w:sz w:val="32"/>
          <w:szCs w:val="32"/>
          <w:highlight w:val="none"/>
        </w:rPr>
        <w:t>《</w:t>
      </w:r>
      <w:r>
        <w:rPr>
          <w:rFonts w:hint="eastAsia" w:ascii="仿宋" w:hAnsi="仿宋" w:eastAsia="仿宋" w:cs="仿宋"/>
          <w:color w:val="auto"/>
          <w:kern w:val="2"/>
          <w:sz w:val="32"/>
          <w:szCs w:val="32"/>
          <w:highlight w:val="none"/>
          <w:lang w:val="en-US" w:eastAsia="zh-CN" w:bidi="ar-SA"/>
        </w:rPr>
        <w:t>广西壮族自治区妇幼保健院新阳院区重建项目</w:t>
      </w:r>
      <w:r>
        <w:rPr>
          <w:rFonts w:hint="eastAsia" w:ascii="仿宋" w:hAnsi="仿宋" w:eastAsia="仿宋" w:cs="仿宋"/>
          <w:strike w:val="0"/>
          <w:dstrike w:val="0"/>
          <w:color w:val="auto"/>
          <w:kern w:val="2"/>
          <w:sz w:val="32"/>
          <w:szCs w:val="32"/>
          <w:highlight w:val="none"/>
          <w:lang w:val="en-US" w:eastAsia="zh-CN" w:bidi="ar-SA"/>
        </w:rPr>
        <w:t>全过程</w:t>
      </w:r>
      <w:r>
        <w:rPr>
          <w:rFonts w:hint="eastAsia" w:ascii="仿宋" w:hAnsi="仿宋" w:eastAsia="仿宋" w:cs="仿宋"/>
          <w:strike w:val="0"/>
          <w:color w:val="auto"/>
          <w:kern w:val="2"/>
          <w:sz w:val="32"/>
          <w:szCs w:val="32"/>
          <w:highlight w:val="none"/>
          <w:lang w:val="en-US" w:eastAsia="zh-CN" w:bidi="ar-SA"/>
        </w:rPr>
        <w:t>跟踪审计服务报价表</w:t>
      </w:r>
      <w:r>
        <w:rPr>
          <w:rFonts w:hint="eastAsia" w:ascii="仿宋_GB2312" w:hAnsi="仿宋_GB2312" w:cs="仿宋_GB2312"/>
          <w:color w:val="auto"/>
          <w:sz w:val="32"/>
          <w:szCs w:val="32"/>
          <w:highlight w:val="none"/>
        </w:rPr>
        <w:t>》</w:t>
      </w:r>
      <w:r>
        <w:rPr>
          <w:rFonts w:hint="eastAsia" w:ascii="仿宋_GB2312" w:hAnsi="宋体" w:cs="Tahoma"/>
          <w:color w:val="auto"/>
          <w:sz w:val="32"/>
          <w:szCs w:val="32"/>
          <w:highlight w:val="none"/>
        </w:rPr>
        <w:t xml:space="preserve"> </w:t>
      </w:r>
      <w:r>
        <w:rPr>
          <w:rFonts w:hint="eastAsia" w:ascii="仿宋_GB2312" w:hAnsi="宋体" w:cs="Tahoma"/>
          <w:color w:val="auto"/>
          <w:sz w:val="32"/>
          <w:szCs w:val="32"/>
          <w:highlight w:val="none"/>
          <w:lang w:eastAsia="zh-CN"/>
        </w:rPr>
        <w:t>（</w:t>
      </w:r>
      <w:r>
        <w:rPr>
          <w:rFonts w:hint="eastAsia" w:ascii="仿宋_GB2312" w:hAnsi="宋体" w:cs="Tahoma"/>
          <w:color w:val="auto"/>
          <w:sz w:val="32"/>
          <w:szCs w:val="32"/>
          <w:highlight w:val="none"/>
          <w:lang w:val="en-US" w:eastAsia="zh-CN"/>
        </w:rPr>
        <w:t>附件1</w:t>
      </w:r>
      <w:r>
        <w:rPr>
          <w:rFonts w:hint="eastAsia" w:ascii="仿宋_GB2312" w:hAnsi="宋体" w:cs="Tahoma"/>
          <w:color w:val="auto"/>
          <w:sz w:val="32"/>
          <w:szCs w:val="32"/>
          <w:highlight w:val="none"/>
          <w:lang w:eastAsia="zh-CN"/>
        </w:rPr>
        <w:t>）</w:t>
      </w:r>
    </w:p>
    <w:p w14:paraId="7F9D788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eastAsia="黑体"/>
          <w:b w:val="0"/>
          <w:bCs/>
          <w:color w:val="auto"/>
          <w:highlight w:val="none"/>
          <w:lang w:val="en-US" w:eastAsia="zh-CN"/>
        </w:rPr>
      </w:pPr>
      <w:r>
        <w:rPr>
          <w:rFonts w:hint="eastAsia" w:ascii="仿宋" w:hAnsi="仿宋" w:eastAsia="仿宋" w:cs="仿宋"/>
          <w:color w:val="auto"/>
          <w:kern w:val="2"/>
          <w:sz w:val="32"/>
          <w:szCs w:val="32"/>
          <w:highlight w:val="none"/>
          <w:lang w:val="en-US" w:eastAsia="zh-CN" w:bidi="ar-SA"/>
        </w:rPr>
        <w:t>6、《项目需求符合情况说明表》（见附件2）（加盖公章）</w:t>
      </w:r>
      <w:r>
        <w:rPr>
          <w:rFonts w:hint="eastAsia" w:ascii="黑体" w:hAnsi="黑体" w:eastAsia="黑体" w:cs="黑体"/>
          <w:b w:val="0"/>
          <w:bCs/>
          <w:color w:val="auto"/>
          <w:kern w:val="0"/>
          <w:sz w:val="32"/>
          <w:szCs w:val="32"/>
          <w:highlight w:val="none"/>
          <w:lang w:val="en-US" w:eastAsia="zh-CN"/>
        </w:rPr>
        <w:t>根据论证文件“</w:t>
      </w:r>
      <w:r>
        <w:rPr>
          <w:rFonts w:hint="eastAsia" w:asciiTheme="majorEastAsia" w:hAnsiTheme="majorEastAsia" w:eastAsiaTheme="majorEastAsia" w:cstheme="majorEastAsia"/>
          <w:b w:val="0"/>
          <w:bCs/>
          <w:color w:val="auto"/>
          <w:sz w:val="32"/>
          <w:szCs w:val="32"/>
          <w:highlight w:val="none"/>
          <w:lang w:val="en-US" w:eastAsia="zh-CN"/>
        </w:rPr>
        <w:t>七、项目采购具体需求</w:t>
      </w:r>
      <w:r>
        <w:rPr>
          <w:rFonts w:hint="eastAsia" w:ascii="黑体" w:hAnsi="黑体" w:eastAsia="黑体" w:cs="黑体"/>
          <w:b w:val="0"/>
          <w:bCs/>
          <w:color w:val="auto"/>
          <w:kern w:val="0"/>
          <w:sz w:val="32"/>
          <w:szCs w:val="32"/>
          <w:highlight w:val="none"/>
          <w:lang w:eastAsia="zh-CN"/>
        </w:rPr>
        <w:t>”</w:t>
      </w:r>
      <w:r>
        <w:rPr>
          <w:rFonts w:hint="eastAsia" w:ascii="黑体" w:hAnsi="黑体" w:eastAsia="黑体" w:cs="黑体"/>
          <w:b w:val="0"/>
          <w:bCs/>
          <w:color w:val="auto"/>
          <w:kern w:val="0"/>
          <w:sz w:val="32"/>
          <w:szCs w:val="32"/>
          <w:highlight w:val="none"/>
          <w:lang w:val="en-US" w:eastAsia="zh-CN"/>
        </w:rPr>
        <w:t>内容进行填写。</w:t>
      </w:r>
    </w:p>
    <w:p w14:paraId="5320261A">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7、实施方案（配备人员及服务费方案）。</w:t>
      </w:r>
    </w:p>
    <w:p w14:paraId="6640E757">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8、法定代表人身份证复印件（加盖公章）</w:t>
      </w:r>
    </w:p>
    <w:p w14:paraId="16E8C3E2">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9、授权委托书原件（非法人参与时必需提供）</w:t>
      </w:r>
    </w:p>
    <w:p w14:paraId="4A4F3E97">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10、被授权人身份证复印件（加盖公章）</w:t>
      </w:r>
    </w:p>
    <w:p w14:paraId="26F6EF1E">
      <w:pPr>
        <w:keepNext w:val="0"/>
        <w:keepLines w:val="0"/>
        <w:pageBreakBefore w:val="0"/>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11、其他认为有必要提供的材料，纸质版材料正本一份，副本6份。</w:t>
      </w:r>
    </w:p>
    <w:p w14:paraId="4AB9032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contextualSpacing/>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九、报名截止时间</w:t>
      </w:r>
    </w:p>
    <w:p w14:paraId="44527EF6">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仿宋" w:hAnsi="仿宋" w:eastAsia="仿宋" w:cs="仿宋"/>
          <w:i w:val="0"/>
          <w:iCs w:val="0"/>
          <w:caps w:val="0"/>
          <w:color w:val="auto"/>
          <w:spacing w:val="0"/>
          <w:sz w:val="32"/>
          <w:szCs w:val="32"/>
          <w:highlight w:val="none"/>
          <w:shd w:val="clear" w:color="auto" w:fill="FFFFFF"/>
          <w:lang w:eastAsia="zh-CN"/>
        </w:rPr>
        <w:t>、</w:t>
      </w:r>
      <w:r>
        <w:rPr>
          <w:rFonts w:hint="eastAsia" w:ascii="仿宋" w:hAnsi="仿宋" w:eastAsia="仿宋" w:cs="仿宋"/>
          <w:i w:val="0"/>
          <w:iCs w:val="0"/>
          <w:caps w:val="0"/>
          <w:color w:val="auto"/>
          <w:spacing w:val="0"/>
          <w:sz w:val="32"/>
          <w:szCs w:val="32"/>
          <w:highlight w:val="none"/>
          <w:shd w:val="clear" w:color="auto" w:fill="FFFFFF"/>
          <w:lang w:val="en-US" w:eastAsia="zh-CN"/>
        </w:rPr>
        <w:t>报名</w:t>
      </w:r>
      <w:r>
        <w:rPr>
          <w:rFonts w:hint="eastAsia" w:ascii="仿宋" w:hAnsi="仿宋" w:eastAsia="仿宋" w:cs="仿宋"/>
          <w:i w:val="0"/>
          <w:iCs w:val="0"/>
          <w:caps w:val="0"/>
          <w:color w:val="auto"/>
          <w:spacing w:val="0"/>
          <w:sz w:val="32"/>
          <w:szCs w:val="32"/>
          <w:highlight w:val="none"/>
          <w:shd w:val="clear" w:color="auto" w:fill="FFFFFF"/>
        </w:rPr>
        <w:t>截至时间： 202</w:t>
      </w:r>
      <w:r>
        <w:rPr>
          <w:rFonts w:hint="eastAsia" w:ascii="仿宋" w:hAnsi="仿宋" w:eastAsia="仿宋" w:cs="仿宋"/>
          <w:i w:val="0"/>
          <w:iCs w:val="0"/>
          <w:caps w:val="0"/>
          <w:color w:val="auto"/>
          <w:spacing w:val="0"/>
          <w:sz w:val="32"/>
          <w:szCs w:val="32"/>
          <w:highlight w:val="none"/>
          <w:shd w:val="clear" w:color="auto" w:fill="FFFFFF"/>
          <w:lang w:val="en-US" w:eastAsia="zh-CN"/>
        </w:rPr>
        <w:t>5</w:t>
      </w:r>
      <w:r>
        <w:rPr>
          <w:rFonts w:hint="eastAsia" w:ascii="仿宋" w:hAnsi="仿宋" w:eastAsia="仿宋" w:cs="仿宋"/>
          <w:i w:val="0"/>
          <w:iCs w:val="0"/>
          <w:caps w:val="0"/>
          <w:color w:val="auto"/>
          <w:spacing w:val="0"/>
          <w:sz w:val="32"/>
          <w:szCs w:val="32"/>
          <w:highlight w:val="none"/>
          <w:shd w:val="clear" w:color="auto" w:fill="FFFFFF"/>
        </w:rPr>
        <w:t>年 </w:t>
      </w:r>
      <w:r>
        <w:rPr>
          <w:rFonts w:hint="eastAsia" w:ascii="仿宋" w:hAnsi="仿宋" w:eastAsia="仿宋" w:cs="仿宋"/>
          <w:i w:val="0"/>
          <w:iCs w:val="0"/>
          <w:caps w:val="0"/>
          <w:color w:val="auto"/>
          <w:spacing w:val="0"/>
          <w:sz w:val="32"/>
          <w:szCs w:val="32"/>
          <w:highlight w:val="none"/>
          <w:shd w:val="clear" w:color="auto" w:fill="FFFFFF"/>
          <w:lang w:val="en-US" w:eastAsia="zh-CN"/>
        </w:rPr>
        <w:t>5</w:t>
      </w:r>
      <w:r>
        <w:rPr>
          <w:rFonts w:hint="eastAsia" w:ascii="仿宋" w:hAnsi="仿宋" w:eastAsia="仿宋" w:cs="仿宋"/>
          <w:i w:val="0"/>
          <w:iCs w:val="0"/>
          <w:caps w:val="0"/>
          <w:color w:val="auto"/>
          <w:spacing w:val="0"/>
          <w:sz w:val="32"/>
          <w:szCs w:val="32"/>
          <w:highlight w:val="none"/>
          <w:shd w:val="clear" w:color="auto" w:fill="FFFFFF"/>
        </w:rPr>
        <w:t>月 </w:t>
      </w:r>
      <w:r>
        <w:rPr>
          <w:rFonts w:hint="eastAsia" w:ascii="仿宋" w:hAnsi="仿宋" w:eastAsia="仿宋" w:cs="仿宋"/>
          <w:i w:val="0"/>
          <w:iCs w:val="0"/>
          <w:caps w:val="0"/>
          <w:color w:val="auto"/>
          <w:spacing w:val="0"/>
          <w:sz w:val="32"/>
          <w:szCs w:val="32"/>
          <w:highlight w:val="none"/>
          <w:shd w:val="clear" w:color="auto" w:fill="FFFFFF"/>
          <w:lang w:val="en-US" w:eastAsia="zh-CN"/>
        </w:rPr>
        <w:t>14</w:t>
      </w:r>
      <w:r>
        <w:rPr>
          <w:rFonts w:hint="eastAsia" w:ascii="仿宋" w:hAnsi="仿宋" w:eastAsia="仿宋" w:cs="仿宋"/>
          <w:i w:val="0"/>
          <w:iCs w:val="0"/>
          <w:caps w:val="0"/>
          <w:color w:val="auto"/>
          <w:spacing w:val="0"/>
          <w:sz w:val="32"/>
          <w:szCs w:val="32"/>
          <w:highlight w:val="none"/>
          <w:shd w:val="clear" w:color="auto" w:fill="FFFFFF"/>
        </w:rPr>
        <w:t> 日 17:00之前</w:t>
      </w:r>
      <w:r>
        <w:rPr>
          <w:rFonts w:hint="eastAsia" w:ascii="仿宋" w:hAnsi="仿宋" w:eastAsia="仿宋" w:cs="仿宋"/>
          <w:i w:val="0"/>
          <w:iCs w:val="0"/>
          <w:caps w:val="0"/>
          <w:color w:val="auto"/>
          <w:spacing w:val="0"/>
          <w:sz w:val="32"/>
          <w:szCs w:val="32"/>
          <w:highlight w:val="none"/>
          <w:shd w:val="clear" w:color="auto" w:fill="FFFFFF"/>
          <w:lang w:eastAsia="zh-CN"/>
        </w:rPr>
        <w:t>（</w:t>
      </w:r>
      <w:r>
        <w:rPr>
          <w:rFonts w:hint="eastAsia" w:ascii="仿宋" w:hAnsi="仿宋" w:eastAsia="仿宋" w:cs="仿宋"/>
          <w:i w:val="0"/>
          <w:iCs w:val="0"/>
          <w:caps w:val="0"/>
          <w:color w:val="auto"/>
          <w:spacing w:val="0"/>
          <w:sz w:val="32"/>
          <w:szCs w:val="32"/>
          <w:highlight w:val="none"/>
          <w:shd w:val="clear" w:color="auto" w:fill="FFFFFF"/>
          <w:lang w:val="en-US" w:eastAsia="zh-CN"/>
        </w:rPr>
        <w:t>北京时间</w:t>
      </w:r>
      <w:r>
        <w:rPr>
          <w:rFonts w:hint="eastAsia" w:ascii="仿宋" w:hAnsi="仿宋" w:eastAsia="仿宋" w:cs="仿宋"/>
          <w:i w:val="0"/>
          <w:iCs w:val="0"/>
          <w:caps w:val="0"/>
          <w:color w:val="auto"/>
          <w:spacing w:val="0"/>
          <w:sz w:val="32"/>
          <w:szCs w:val="32"/>
          <w:highlight w:val="none"/>
          <w:shd w:val="clear" w:color="auto" w:fill="FFFFFF"/>
          <w:lang w:eastAsia="zh-CN"/>
        </w:rPr>
        <w:t>）</w:t>
      </w:r>
      <w:r>
        <w:rPr>
          <w:rFonts w:hint="eastAsia" w:ascii="仿宋" w:hAnsi="仿宋" w:eastAsia="仿宋" w:cs="仿宋"/>
          <w:i w:val="0"/>
          <w:iCs w:val="0"/>
          <w:caps w:val="0"/>
          <w:color w:val="auto"/>
          <w:spacing w:val="0"/>
          <w:sz w:val="32"/>
          <w:szCs w:val="32"/>
          <w:highlight w:val="none"/>
          <w:shd w:val="clear" w:color="auto" w:fill="FFFFFF"/>
        </w:rPr>
        <w:t>。</w:t>
      </w:r>
      <w:r>
        <w:rPr>
          <w:rFonts w:hint="eastAsia" w:ascii="仿宋" w:hAnsi="仿宋" w:eastAsia="仿宋" w:cs="仿宋"/>
          <w:i w:val="0"/>
          <w:iCs w:val="0"/>
          <w:caps w:val="0"/>
          <w:color w:val="auto"/>
          <w:spacing w:val="0"/>
          <w:sz w:val="32"/>
          <w:szCs w:val="32"/>
          <w:highlight w:val="none"/>
          <w:shd w:val="clear" w:color="auto" w:fill="FFFFFF"/>
          <w:lang w:val="en-US" w:eastAsia="zh-CN"/>
        </w:rPr>
        <w:t>报名表详见附件，电子版发送邮箱：</w:t>
      </w:r>
      <w:r>
        <w:rPr>
          <w:rFonts w:hint="eastAsia" w:ascii="仿宋" w:hAnsi="仿宋" w:eastAsia="仿宋" w:cs="仿宋"/>
          <w:i w:val="0"/>
          <w:iCs w:val="0"/>
          <w:caps w:val="0"/>
          <w:strike w:val="0"/>
          <w:dstrike w:val="0"/>
          <w:color w:val="auto"/>
          <w:spacing w:val="0"/>
          <w:sz w:val="32"/>
          <w:szCs w:val="32"/>
          <w:highlight w:val="none"/>
          <w:shd w:val="clear" w:color="auto" w:fill="FFFFFF"/>
          <w:lang w:val="en-US" w:eastAsia="zh-CN"/>
        </w:rPr>
        <w:t>275713159@qq.com</w:t>
      </w:r>
      <w:r>
        <w:rPr>
          <w:rFonts w:hint="eastAsia" w:ascii="仿宋" w:hAnsi="仿宋" w:eastAsia="仿宋" w:cs="仿宋"/>
          <w:i w:val="0"/>
          <w:iCs w:val="0"/>
          <w:caps w:val="0"/>
          <w:strike w:val="0"/>
          <w:color w:val="auto"/>
          <w:spacing w:val="0"/>
          <w:sz w:val="32"/>
          <w:szCs w:val="32"/>
          <w:highlight w:val="none"/>
          <w:shd w:val="clear" w:color="auto" w:fill="FFFFFF"/>
          <w:lang w:val="en-US" w:eastAsia="zh-CN"/>
        </w:rPr>
        <w:t>。</w:t>
      </w:r>
    </w:p>
    <w:p w14:paraId="100AB5B8">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仿宋" w:hAnsi="仿宋" w:eastAsia="仿宋" w:cs="仿宋"/>
          <w:i w:val="0"/>
          <w:iCs w:val="0"/>
          <w:caps w:val="0"/>
          <w:color w:val="auto"/>
          <w:spacing w:val="0"/>
          <w:sz w:val="32"/>
          <w:szCs w:val="32"/>
          <w:highlight w:val="none"/>
          <w:shd w:val="clear" w:color="auto" w:fill="FFFFFF"/>
          <w:lang w:val="en-US" w:eastAsia="zh-CN"/>
        </w:rPr>
        <w:t>论证时间：2025年5月15日早上9:00</w:t>
      </w:r>
      <w:r>
        <w:rPr>
          <w:rFonts w:hint="eastAsia" w:ascii="仿宋" w:hAnsi="仿宋" w:eastAsia="仿宋" w:cs="仿宋"/>
          <w:i w:val="0"/>
          <w:iCs w:val="0"/>
          <w:caps w:val="0"/>
          <w:color w:val="auto"/>
          <w:spacing w:val="0"/>
          <w:sz w:val="32"/>
          <w:szCs w:val="32"/>
          <w:highlight w:val="none"/>
          <w:shd w:val="clear" w:color="auto" w:fill="FFFFFF"/>
          <w:lang w:eastAsia="zh-CN"/>
        </w:rPr>
        <w:t>（</w:t>
      </w:r>
      <w:r>
        <w:rPr>
          <w:rFonts w:hint="eastAsia" w:ascii="仿宋" w:hAnsi="仿宋" w:eastAsia="仿宋" w:cs="仿宋"/>
          <w:i w:val="0"/>
          <w:iCs w:val="0"/>
          <w:caps w:val="0"/>
          <w:color w:val="auto"/>
          <w:spacing w:val="0"/>
          <w:sz w:val="32"/>
          <w:szCs w:val="32"/>
          <w:highlight w:val="none"/>
          <w:shd w:val="clear" w:color="auto" w:fill="FFFFFF"/>
          <w:lang w:val="en-US" w:eastAsia="zh-CN"/>
        </w:rPr>
        <w:t>北京时间</w:t>
      </w:r>
      <w:r>
        <w:rPr>
          <w:rFonts w:hint="eastAsia" w:ascii="仿宋" w:hAnsi="仿宋" w:eastAsia="仿宋" w:cs="仿宋"/>
          <w:i w:val="0"/>
          <w:iCs w:val="0"/>
          <w:caps w:val="0"/>
          <w:color w:val="auto"/>
          <w:spacing w:val="0"/>
          <w:sz w:val="32"/>
          <w:szCs w:val="32"/>
          <w:highlight w:val="none"/>
          <w:shd w:val="clear" w:color="auto" w:fill="FFFFFF"/>
          <w:lang w:eastAsia="zh-CN"/>
        </w:rPr>
        <w:t>）</w:t>
      </w:r>
    </w:p>
    <w:p w14:paraId="3E63BA18">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仿宋" w:hAnsi="仿宋" w:eastAsia="仿宋" w:cs="仿宋"/>
          <w:i w:val="0"/>
          <w:iCs w:val="0"/>
          <w:caps w:val="0"/>
          <w:color w:val="auto"/>
          <w:spacing w:val="0"/>
          <w:sz w:val="32"/>
          <w:szCs w:val="32"/>
          <w:highlight w:val="none"/>
          <w:shd w:val="clear" w:color="auto" w:fill="FFFFFF"/>
          <w:lang w:val="en-US" w:eastAsia="zh-CN"/>
        </w:rPr>
        <w:t>论证地点：广西壮族自治区妇幼保健院厢竹院区综合楼1楼会议室（纸质版论证材料会当天提交）。</w:t>
      </w:r>
    </w:p>
    <w:p w14:paraId="54055D2E">
      <w:pPr>
        <w:keepNext w:val="0"/>
        <w:keepLines w:val="0"/>
        <w:pageBreakBefore w:val="0"/>
        <w:numPr>
          <w:ilvl w:val="0"/>
          <w:numId w:val="2"/>
        </w:numPr>
        <w:shd w:val="clear" w:color="auto" w:fill="auto"/>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i w:val="0"/>
          <w:iCs w:val="0"/>
          <w:caps w:val="0"/>
          <w:color w:val="auto"/>
          <w:spacing w:val="0"/>
          <w:sz w:val="32"/>
          <w:szCs w:val="32"/>
          <w:highlight w:val="none"/>
          <w:shd w:val="clear" w:color="auto" w:fill="FFFFFF"/>
          <w:lang w:val="en-US" w:eastAsia="zh-CN"/>
        </w:rPr>
      </w:pPr>
      <w:r>
        <w:rPr>
          <w:rFonts w:hint="eastAsia" w:ascii="仿宋" w:hAnsi="仿宋" w:eastAsia="仿宋" w:cs="仿宋"/>
          <w:i w:val="0"/>
          <w:iCs w:val="0"/>
          <w:caps w:val="0"/>
          <w:color w:val="auto"/>
          <w:spacing w:val="0"/>
          <w:sz w:val="32"/>
          <w:szCs w:val="32"/>
          <w:highlight w:val="none"/>
          <w:shd w:val="clear" w:color="auto" w:fill="FFFFFF"/>
        </w:rPr>
        <w:t>联系人：</w:t>
      </w:r>
      <w:r>
        <w:rPr>
          <w:rFonts w:hint="eastAsia" w:ascii="仿宋" w:hAnsi="仿宋" w:eastAsia="仿宋" w:cs="仿宋"/>
          <w:i w:val="0"/>
          <w:iCs w:val="0"/>
          <w:caps w:val="0"/>
          <w:color w:val="auto"/>
          <w:spacing w:val="0"/>
          <w:sz w:val="32"/>
          <w:szCs w:val="32"/>
          <w:highlight w:val="none"/>
          <w:shd w:val="clear" w:color="auto" w:fill="FFFFFF"/>
          <w:lang w:val="en-US" w:eastAsia="zh-CN"/>
        </w:rPr>
        <w:t>李</w:t>
      </w:r>
      <w:r>
        <w:rPr>
          <w:rFonts w:hint="eastAsia" w:ascii="仿宋" w:hAnsi="仿宋" w:eastAsia="仿宋" w:cs="仿宋"/>
          <w:i w:val="0"/>
          <w:iCs w:val="0"/>
          <w:caps w:val="0"/>
          <w:color w:val="auto"/>
          <w:spacing w:val="0"/>
          <w:sz w:val="32"/>
          <w:szCs w:val="32"/>
          <w:highlight w:val="none"/>
          <w:shd w:val="clear" w:color="auto" w:fill="FFFFFF"/>
        </w:rPr>
        <w:t>工，联系电话：</w:t>
      </w:r>
      <w:r>
        <w:rPr>
          <w:rFonts w:hint="eastAsia" w:ascii="仿宋" w:hAnsi="仿宋" w:eastAsia="仿宋" w:cs="仿宋"/>
          <w:i w:val="0"/>
          <w:iCs w:val="0"/>
          <w:caps w:val="0"/>
          <w:color w:val="auto"/>
          <w:spacing w:val="0"/>
          <w:sz w:val="32"/>
          <w:szCs w:val="32"/>
          <w:highlight w:val="none"/>
          <w:shd w:val="clear" w:color="auto" w:fill="FFFFFF"/>
          <w:lang w:val="en-US" w:eastAsia="zh-CN"/>
        </w:rPr>
        <w:t>0771-2860554。</w:t>
      </w:r>
    </w:p>
    <w:p w14:paraId="7D4B3D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0" w:firstLineChars="200"/>
        <w:jc w:val="both"/>
        <w:textAlignment w:val="auto"/>
        <w:rPr>
          <w:rFonts w:hint="eastAsia" w:ascii="仿宋" w:hAnsi="仿宋" w:eastAsia="仿宋" w:cs="仿宋"/>
          <w:i w:val="0"/>
          <w:iCs w:val="0"/>
          <w:caps w:val="0"/>
          <w:color w:val="auto"/>
          <w:spacing w:val="0"/>
          <w:sz w:val="30"/>
          <w:szCs w:val="30"/>
          <w:highlight w:val="none"/>
          <w:shd w:val="clear" w:color="auto" w:fill="FFFFFF"/>
          <w:lang w:val="en-US" w:eastAsia="zh-CN"/>
        </w:rPr>
      </w:pPr>
    </w:p>
    <w:p w14:paraId="031E34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注意：本次论证会是对项目的市场询价论证，会后确定购买需求并达到院外招标条件的项目进行对外招标，未达到条件的项目按医院相关采购制度执行，请各单位会后留意相关招标网站或医院官网“</w:t>
      </w:r>
      <w:r>
        <w:rPr>
          <w:rFonts w:hint="eastAsia" w:ascii="宋体" w:hAnsi="宋体" w:eastAsia="宋体" w:cs="宋体"/>
          <w:b/>
          <w:bCs/>
          <w:color w:val="auto"/>
          <w:sz w:val="28"/>
          <w:szCs w:val="28"/>
          <w:highlight w:val="none"/>
          <w:lang w:eastAsia="zh-CN"/>
        </w:rPr>
        <w:t>招标采购</w:t>
      </w:r>
      <w:r>
        <w:rPr>
          <w:rFonts w:hint="eastAsia" w:ascii="宋体" w:hAnsi="宋体" w:eastAsia="宋体" w:cs="宋体"/>
          <w:b/>
          <w:bCs/>
          <w:color w:val="auto"/>
          <w:sz w:val="28"/>
          <w:szCs w:val="28"/>
          <w:highlight w:val="none"/>
        </w:rPr>
        <w:t>”栏发布的招标公告，不另行通知。</w:t>
      </w:r>
    </w:p>
    <w:p w14:paraId="0CB84B82">
      <w:pPr>
        <w:keepNext w:val="0"/>
        <w:keepLines w:val="0"/>
        <w:pageBreakBefore w:val="0"/>
        <w:kinsoku/>
        <w:wordWrap/>
        <w:overflowPunct/>
        <w:topLinePunct w:val="0"/>
        <w:bidi w:val="0"/>
        <w:spacing w:beforeAutospacing="0" w:afterAutospacing="0" w:line="560" w:lineRule="exact"/>
        <w:ind w:left="0" w:leftChars="0" w:firstLine="640" w:firstLineChars="200"/>
        <w:contextualSpacing/>
        <w:jc w:val="left"/>
        <w:rPr>
          <w:rFonts w:hint="eastAsia" w:ascii="仿宋_GB2312" w:hAnsi="宋体" w:cs="Tahoma"/>
          <w:color w:val="auto"/>
          <w:sz w:val="32"/>
          <w:szCs w:val="32"/>
          <w:highlight w:val="none"/>
        </w:rPr>
      </w:pPr>
      <w:r>
        <w:rPr>
          <w:rFonts w:hint="eastAsia" w:ascii="仿宋_GB2312" w:hAnsi="宋体" w:cs="Tahoma"/>
          <w:color w:val="auto"/>
          <w:sz w:val="32"/>
          <w:szCs w:val="32"/>
          <w:highlight w:val="none"/>
        </w:rPr>
        <w:t xml:space="preserve"> </w:t>
      </w:r>
    </w:p>
    <w:p w14:paraId="0DD90AAA">
      <w:pPr>
        <w:keepNext w:val="0"/>
        <w:keepLines w:val="0"/>
        <w:pageBreakBefore w:val="0"/>
        <w:kinsoku/>
        <w:wordWrap/>
        <w:overflowPunct/>
        <w:topLinePunct w:val="0"/>
        <w:bidi w:val="0"/>
        <w:spacing w:beforeAutospacing="0" w:afterAutospacing="0" w:line="560" w:lineRule="exact"/>
        <w:ind w:left="0" w:leftChars="0" w:firstLine="640" w:firstLineChars="200"/>
        <w:contextualSpacing/>
        <w:jc w:val="left"/>
        <w:rPr>
          <w:rFonts w:hint="eastAsia" w:ascii="仿宋_GB2312" w:hAnsi="宋体" w:cs="Tahoma"/>
          <w:color w:val="auto"/>
          <w:sz w:val="32"/>
          <w:szCs w:val="32"/>
          <w:highlight w:val="none"/>
        </w:rPr>
      </w:pPr>
      <w:r>
        <w:rPr>
          <w:rFonts w:hint="eastAsia" w:ascii="仿宋_GB2312" w:hAnsi="宋体" w:cs="Tahoma"/>
          <w:color w:val="auto"/>
          <w:sz w:val="32"/>
          <w:szCs w:val="32"/>
          <w:highlight w:val="none"/>
        </w:rPr>
        <w:t xml:space="preserve">           </w:t>
      </w:r>
    </w:p>
    <w:p w14:paraId="12D27A18">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 xml:space="preserve">                                   审计科</w:t>
      </w:r>
    </w:p>
    <w:p w14:paraId="66C91804">
      <w:pPr>
        <w:keepNext w:val="0"/>
        <w:keepLines w:val="0"/>
        <w:pageBreakBefore w:val="0"/>
        <w:kinsoku/>
        <w:wordWrap/>
        <w:overflowPunct/>
        <w:topLinePunct w:val="0"/>
        <w:bidi w:val="0"/>
        <w:spacing w:beforeAutospacing="0" w:afterAutospacing="0" w:line="560" w:lineRule="exact"/>
        <w:ind w:left="0" w:leftChars="0" w:firstLine="640" w:firstLineChars="200"/>
        <w:jc w:val="left"/>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 xml:space="preserve">                               2025年5月9日</w:t>
      </w:r>
    </w:p>
    <w:p w14:paraId="4FBD35DF">
      <w:pPr>
        <w:keepNext w:val="0"/>
        <w:keepLines w:val="0"/>
        <w:pageBreakBefore w:val="0"/>
        <w:widowControl/>
        <w:suppressLineNumbers w:val="0"/>
        <w:kinsoku/>
        <w:wordWrap/>
        <w:overflowPunct/>
        <w:topLinePunct w:val="0"/>
        <w:bidi w:val="0"/>
        <w:spacing w:beforeAutospacing="0" w:afterAutospacing="0" w:line="560" w:lineRule="exact"/>
        <w:ind w:left="0" w:leftChars="0" w:firstLine="640" w:firstLineChars="200"/>
        <w:jc w:val="left"/>
        <w:textAlignment w:val="center"/>
        <w:rPr>
          <w:rFonts w:hint="eastAsia" w:ascii="宋体" w:hAnsi="宋体" w:eastAsia="宋体" w:cs="宋体"/>
          <w:b w:val="0"/>
          <w:bCs w:val="0"/>
          <w:i w:val="0"/>
          <w:iCs w:val="0"/>
          <w:strike w:val="0"/>
          <w:dstrike w:val="0"/>
          <w:color w:val="auto"/>
          <w:kern w:val="0"/>
          <w:sz w:val="32"/>
          <w:szCs w:val="32"/>
          <w:highlight w:val="none"/>
          <w:u w:val="none"/>
          <w:lang w:val="en-US" w:eastAsia="zh-CN" w:bidi="ar"/>
        </w:rPr>
      </w:pPr>
      <w:r>
        <w:rPr>
          <w:rFonts w:hint="eastAsia" w:ascii="宋体" w:hAnsi="宋体" w:eastAsia="宋体" w:cs="宋体"/>
          <w:b w:val="0"/>
          <w:bCs w:val="0"/>
          <w:i w:val="0"/>
          <w:iCs w:val="0"/>
          <w:strike w:val="0"/>
          <w:dstrike w:val="0"/>
          <w:color w:val="auto"/>
          <w:kern w:val="0"/>
          <w:sz w:val="32"/>
          <w:szCs w:val="32"/>
          <w:highlight w:val="none"/>
          <w:u w:val="none"/>
          <w:lang w:val="en-US" w:eastAsia="zh-CN" w:bidi="ar"/>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7"/>
        <w:gridCol w:w="862"/>
        <w:gridCol w:w="3010"/>
        <w:gridCol w:w="3413"/>
      </w:tblGrid>
      <w:tr w14:paraId="45DA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0" w:type="pct"/>
            <w:gridSpan w:val="4"/>
            <w:tcBorders>
              <w:top w:val="nil"/>
              <w:left w:val="nil"/>
              <w:bottom w:val="nil"/>
              <w:right w:val="nil"/>
            </w:tcBorders>
            <w:noWrap/>
            <w:vAlign w:val="center"/>
          </w:tcPr>
          <w:p w14:paraId="7FD9D85D">
            <w:pPr>
              <w:keepNext w:val="0"/>
              <w:keepLines w:val="0"/>
              <w:pageBreakBefore w:val="0"/>
              <w:widowControl/>
              <w:suppressLineNumbers w:val="0"/>
              <w:kinsoku/>
              <w:wordWrap/>
              <w:overflowPunct/>
              <w:topLinePunct w:val="0"/>
              <w:bidi w:val="0"/>
              <w:spacing w:beforeAutospacing="0" w:afterAutospacing="0" w:line="560" w:lineRule="exact"/>
              <w:ind w:left="0" w:leftChars="0" w:firstLine="640" w:firstLineChars="200"/>
              <w:jc w:val="left"/>
              <w:textAlignment w:val="center"/>
              <w:rPr>
                <w:rFonts w:hint="default" w:ascii="宋体" w:hAnsi="宋体" w:eastAsia="宋体" w:cs="宋体"/>
                <w:b w:val="0"/>
                <w:bCs w:val="0"/>
                <w:i w:val="0"/>
                <w:iCs w:val="0"/>
                <w:strike w:val="0"/>
                <w:dstrike w:val="0"/>
                <w:color w:val="auto"/>
                <w:kern w:val="0"/>
                <w:sz w:val="32"/>
                <w:szCs w:val="32"/>
                <w:highlight w:val="none"/>
                <w:u w:val="none"/>
                <w:lang w:val="en-US" w:eastAsia="zh-CN" w:bidi="ar"/>
              </w:rPr>
            </w:pPr>
            <w:r>
              <w:rPr>
                <w:rFonts w:hint="eastAsia" w:ascii="宋体" w:hAnsi="宋体" w:eastAsia="宋体" w:cs="宋体"/>
                <w:b w:val="0"/>
                <w:bCs w:val="0"/>
                <w:i w:val="0"/>
                <w:iCs w:val="0"/>
                <w:strike w:val="0"/>
                <w:dstrike w:val="0"/>
                <w:color w:val="auto"/>
                <w:kern w:val="0"/>
                <w:sz w:val="32"/>
                <w:szCs w:val="32"/>
                <w:highlight w:val="none"/>
                <w:u w:val="none"/>
                <w:lang w:val="en-US" w:eastAsia="zh-CN" w:bidi="ar"/>
              </w:rPr>
              <w:t>附件1：</w:t>
            </w:r>
          </w:p>
          <w:p w14:paraId="4B95C487">
            <w:pPr>
              <w:keepNext w:val="0"/>
              <w:keepLines w:val="0"/>
              <w:pageBreakBefore w:val="0"/>
              <w:widowControl/>
              <w:suppressLineNumbers w:val="0"/>
              <w:kinsoku/>
              <w:wordWrap/>
              <w:overflowPunct/>
              <w:topLinePunct w:val="0"/>
              <w:bidi w:val="0"/>
              <w:spacing w:beforeAutospacing="0" w:afterAutospacing="0" w:line="560" w:lineRule="exact"/>
              <w:ind w:left="0" w:leftChars="0" w:firstLine="640" w:firstLineChars="200"/>
              <w:jc w:val="center"/>
              <w:textAlignment w:val="center"/>
              <w:rPr>
                <w:rFonts w:hint="eastAsia" w:ascii="宋体" w:hAnsi="宋体" w:eastAsia="宋体" w:cs="宋体"/>
                <w:b/>
                <w:bCs/>
                <w:i w:val="0"/>
                <w:iCs w:val="0"/>
                <w:strike/>
                <w:dstrike w:val="0"/>
                <w:color w:val="auto"/>
                <w:sz w:val="32"/>
                <w:szCs w:val="32"/>
                <w:highlight w:val="none"/>
                <w:u w:val="none"/>
              </w:rPr>
            </w:pPr>
            <w:r>
              <w:rPr>
                <w:rFonts w:hint="eastAsia" w:ascii="仿宋" w:hAnsi="仿宋" w:eastAsia="仿宋" w:cs="仿宋"/>
                <w:strike w:val="0"/>
                <w:dstrike w:val="0"/>
                <w:color w:val="auto"/>
                <w:kern w:val="2"/>
                <w:sz w:val="32"/>
                <w:szCs w:val="32"/>
                <w:highlight w:val="none"/>
                <w:lang w:val="en-US" w:eastAsia="zh-CN" w:bidi="ar-SA"/>
              </w:rPr>
              <w:t>广西壮族自治区妇幼保健院新阳院区重建项目全过程跟踪审计服务报价表</w:t>
            </w:r>
          </w:p>
        </w:tc>
      </w:tr>
      <w:tr w14:paraId="3D68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1231" w:type="pct"/>
            <w:gridSpan w:val="2"/>
            <w:tcBorders>
              <w:top w:val="single" w:color="000000" w:sz="4" w:space="0"/>
              <w:left w:val="single" w:color="000000" w:sz="4" w:space="0"/>
              <w:bottom w:val="single" w:color="000000" w:sz="4" w:space="0"/>
              <w:right w:val="single" w:color="000000" w:sz="4" w:space="0"/>
            </w:tcBorders>
            <w:noWrap/>
            <w:vAlign w:val="center"/>
          </w:tcPr>
          <w:p w14:paraId="6E0F14E8">
            <w:pPr>
              <w:keepNext w:val="0"/>
              <w:keepLines w:val="0"/>
              <w:pageBreakBefore w:val="0"/>
              <w:widowControl/>
              <w:suppressLineNumbers w:val="0"/>
              <w:kinsoku/>
              <w:wordWrap/>
              <w:overflowPunct/>
              <w:topLinePunct w:val="0"/>
              <w:bidi w:val="0"/>
              <w:spacing w:beforeAutospacing="0" w:afterAutospacing="0" w:line="560" w:lineRule="exact"/>
              <w:ind w:left="0" w:leftChars="0" w:firstLine="440" w:firstLineChars="20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类别</w:t>
            </w:r>
          </w:p>
        </w:tc>
        <w:tc>
          <w:tcPr>
            <w:tcW w:w="1766" w:type="pct"/>
            <w:tcBorders>
              <w:top w:val="single" w:color="000000" w:sz="4" w:space="0"/>
              <w:left w:val="single" w:color="000000" w:sz="4" w:space="0"/>
              <w:bottom w:val="single" w:color="000000" w:sz="4" w:space="0"/>
              <w:right w:val="single" w:color="000000" w:sz="4" w:space="0"/>
            </w:tcBorders>
            <w:noWrap/>
            <w:vAlign w:val="center"/>
          </w:tcPr>
          <w:p w14:paraId="2BFFF7B3">
            <w:pPr>
              <w:keepNext w:val="0"/>
              <w:keepLines w:val="0"/>
              <w:pageBreakBefore w:val="0"/>
              <w:widowControl/>
              <w:suppressLineNumbers w:val="0"/>
              <w:kinsoku/>
              <w:wordWrap/>
              <w:overflowPunct/>
              <w:topLinePunct w:val="0"/>
              <w:bidi w:val="0"/>
              <w:spacing w:beforeAutospacing="0" w:afterAutospacing="0" w:line="560" w:lineRule="exact"/>
              <w:jc w:val="both"/>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招标控制价和工程量清单编制服务</w:t>
            </w:r>
          </w:p>
        </w:tc>
        <w:tc>
          <w:tcPr>
            <w:tcW w:w="2002" w:type="pct"/>
            <w:tcBorders>
              <w:top w:val="single" w:color="000000" w:sz="4" w:space="0"/>
              <w:left w:val="single" w:color="000000" w:sz="4" w:space="0"/>
              <w:bottom w:val="single" w:color="000000" w:sz="4" w:space="0"/>
              <w:right w:val="single" w:color="000000" w:sz="4" w:space="0"/>
            </w:tcBorders>
            <w:noWrap/>
            <w:vAlign w:val="center"/>
          </w:tcPr>
          <w:p w14:paraId="26BBA6B5">
            <w:pPr>
              <w:keepNext w:val="0"/>
              <w:keepLines w:val="0"/>
              <w:pageBreakBefore w:val="0"/>
              <w:widowControl/>
              <w:suppressLineNumbers w:val="0"/>
              <w:kinsoku/>
              <w:wordWrap/>
              <w:overflowPunct/>
              <w:topLinePunct w:val="0"/>
              <w:bidi w:val="0"/>
              <w:spacing w:beforeAutospacing="0" w:afterAutospacing="0" w:line="560" w:lineRule="exact"/>
              <w:jc w:val="both"/>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全过程跟踪审计咨询服务</w:t>
            </w:r>
          </w:p>
        </w:tc>
      </w:tr>
      <w:tr w14:paraId="2936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exact"/>
        </w:trPr>
        <w:tc>
          <w:tcPr>
            <w:tcW w:w="1231" w:type="pct"/>
            <w:gridSpan w:val="2"/>
            <w:tcBorders>
              <w:top w:val="single" w:color="000000" w:sz="4" w:space="0"/>
              <w:left w:val="single" w:color="000000" w:sz="4" w:space="0"/>
              <w:bottom w:val="single" w:color="000000" w:sz="4" w:space="0"/>
              <w:right w:val="single" w:color="000000" w:sz="4" w:space="0"/>
            </w:tcBorders>
            <w:noWrap/>
            <w:vAlign w:val="center"/>
          </w:tcPr>
          <w:p w14:paraId="477D3A9A">
            <w:pPr>
              <w:keepNext w:val="0"/>
              <w:keepLines w:val="0"/>
              <w:pageBreakBefore w:val="0"/>
              <w:widowControl/>
              <w:suppressLineNumbers w:val="0"/>
              <w:kinsoku/>
              <w:wordWrap/>
              <w:overflowPunct/>
              <w:topLinePunct w:val="0"/>
              <w:bidi w:val="0"/>
              <w:spacing w:beforeAutospacing="0" w:afterAutospacing="0" w:line="560" w:lineRule="exact"/>
              <w:ind w:left="0" w:leftChars="0" w:firstLine="440" w:firstLineChars="20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基数</w:t>
            </w:r>
          </w:p>
          <w:p w14:paraId="49D2C252">
            <w:pPr>
              <w:keepNext w:val="0"/>
              <w:keepLines w:val="0"/>
              <w:pageBreakBefore w:val="0"/>
              <w:widowControl/>
              <w:suppressLineNumbers w:val="0"/>
              <w:kinsoku/>
              <w:wordWrap/>
              <w:overflowPunct/>
              <w:topLinePunct w:val="0"/>
              <w:bidi w:val="0"/>
              <w:spacing w:beforeAutospacing="0" w:afterAutospacing="0" w:line="560" w:lineRule="exact"/>
              <w:ind w:left="0" w:leftChars="0" w:firstLine="440" w:firstLineChars="20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（工程费用）元</w:t>
            </w:r>
          </w:p>
        </w:tc>
        <w:tc>
          <w:tcPr>
            <w:tcW w:w="3768" w:type="pct"/>
            <w:gridSpan w:val="2"/>
            <w:tcBorders>
              <w:top w:val="single" w:color="000000" w:sz="4" w:space="0"/>
              <w:left w:val="single" w:color="000000" w:sz="4" w:space="0"/>
              <w:bottom w:val="single" w:color="000000" w:sz="4" w:space="0"/>
              <w:right w:val="single" w:color="000000" w:sz="4" w:space="0"/>
            </w:tcBorders>
            <w:noWrap/>
            <w:vAlign w:val="center"/>
          </w:tcPr>
          <w:p w14:paraId="32E21A38">
            <w:pPr>
              <w:keepNext w:val="0"/>
              <w:keepLines w:val="0"/>
              <w:pageBreakBefore w:val="0"/>
              <w:widowControl/>
              <w:suppressLineNumbers w:val="0"/>
              <w:kinsoku/>
              <w:wordWrap/>
              <w:overflowPunct/>
              <w:topLinePunct w:val="0"/>
              <w:bidi w:val="0"/>
              <w:spacing w:beforeAutospacing="0" w:afterAutospacing="0" w:line="560" w:lineRule="exact"/>
              <w:jc w:val="left"/>
              <w:textAlignment w:val="center"/>
              <w:rPr>
                <w:rFonts w:hint="default" w:ascii="宋体" w:hAnsi="宋体" w:eastAsia="宋体" w:cs="宋体"/>
                <w:i w:val="0"/>
                <w:iCs w:val="0"/>
                <w:color w:val="auto"/>
                <w:sz w:val="28"/>
                <w:szCs w:val="28"/>
                <w:highlight w:val="none"/>
                <w:u w:val="none"/>
                <w:lang w:val="en-US"/>
              </w:rPr>
            </w:pPr>
            <w:r>
              <w:rPr>
                <w:rFonts w:hint="eastAsia" w:ascii="宋体" w:hAnsi="宋体" w:eastAsia="宋体" w:cs="宋体"/>
                <w:i w:val="0"/>
                <w:iCs w:val="0"/>
                <w:color w:val="auto"/>
                <w:kern w:val="0"/>
                <w:sz w:val="28"/>
                <w:szCs w:val="28"/>
                <w:highlight w:val="none"/>
                <w:u w:val="none"/>
                <w:lang w:val="en-US" w:eastAsia="zh-CN" w:bidi="ar"/>
              </w:rPr>
              <w:t>6.42亿元（概算）</w:t>
            </w:r>
          </w:p>
        </w:tc>
      </w:tr>
      <w:tr w14:paraId="1E55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exac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446179F5">
            <w:pPr>
              <w:keepNext w:val="0"/>
              <w:keepLines w:val="0"/>
              <w:pageBreakBefore w:val="0"/>
              <w:widowControl/>
              <w:suppressLineNumbers w:val="0"/>
              <w:kinsoku/>
              <w:wordWrap/>
              <w:overflowPunct/>
              <w:topLinePunct w:val="0"/>
              <w:bidi w:val="0"/>
              <w:spacing w:beforeAutospacing="0" w:afterAutospacing="0" w:line="560" w:lineRule="exact"/>
              <w:ind w:left="0" w:leftChars="0" w:firstLine="440" w:firstLineChars="2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（上限）</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6954CA7A">
            <w:pPr>
              <w:keepNext w:val="0"/>
              <w:keepLines w:val="0"/>
              <w:pageBreakBefore w:val="0"/>
              <w:widowControl/>
              <w:suppressLineNumbers w:val="0"/>
              <w:kinsoku/>
              <w:wordWrap/>
              <w:overflowPunct/>
              <w:topLinePunct w:val="0"/>
              <w:bidi w:val="0"/>
              <w:spacing w:beforeAutospacing="0" w:afterAutospacing="0" w:line="560" w:lineRule="exact"/>
              <w:ind w:left="0" w:leftChars="0" w:firstLine="440"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费率</w:t>
            </w:r>
          </w:p>
        </w:tc>
        <w:tc>
          <w:tcPr>
            <w:tcW w:w="1766" w:type="pct"/>
            <w:tcBorders>
              <w:top w:val="single" w:color="000000" w:sz="4" w:space="0"/>
              <w:left w:val="single" w:color="000000" w:sz="4" w:space="0"/>
              <w:bottom w:val="single" w:color="000000" w:sz="4" w:space="0"/>
              <w:right w:val="single" w:color="000000" w:sz="4" w:space="0"/>
            </w:tcBorders>
            <w:noWrap/>
            <w:vAlign w:val="center"/>
          </w:tcPr>
          <w:p w14:paraId="0F03EA42">
            <w:pPr>
              <w:keepNext w:val="0"/>
              <w:keepLines w:val="0"/>
              <w:pageBreakBefore w:val="0"/>
              <w:widowControl/>
              <w:suppressLineNumbers w:val="0"/>
              <w:kinsoku/>
              <w:wordWrap/>
              <w:overflowPunct/>
              <w:topLinePunct w:val="0"/>
              <w:bidi w:val="0"/>
              <w:spacing w:beforeAutospacing="0" w:afterAutospacing="0" w:line="560" w:lineRule="exact"/>
              <w:ind w:left="0" w:leftChars="0" w:firstLine="560" w:firstLineChars="200"/>
              <w:jc w:val="center"/>
              <w:textAlignment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1.8</w:t>
            </w:r>
            <w:r>
              <w:rPr>
                <w:rFonts w:hint="eastAsia" w:ascii="宋体" w:hAnsi="宋体" w:eastAsia="宋体" w:cs="宋体"/>
                <w:i w:val="0"/>
                <w:iCs w:val="0"/>
                <w:color w:val="auto"/>
                <w:kern w:val="0"/>
                <w:sz w:val="22"/>
                <w:szCs w:val="22"/>
                <w:highlight w:val="none"/>
                <w:u w:val="none"/>
                <w:lang w:val="en-US" w:eastAsia="zh-CN" w:bidi="ar"/>
              </w:rPr>
              <w:t>‰</w:t>
            </w:r>
          </w:p>
        </w:tc>
        <w:tc>
          <w:tcPr>
            <w:tcW w:w="2002" w:type="pct"/>
            <w:tcBorders>
              <w:top w:val="single" w:color="000000" w:sz="4" w:space="0"/>
              <w:left w:val="single" w:color="000000" w:sz="4" w:space="0"/>
              <w:bottom w:val="single" w:color="000000" w:sz="4" w:space="0"/>
              <w:right w:val="single" w:color="000000" w:sz="4" w:space="0"/>
            </w:tcBorders>
            <w:noWrap/>
            <w:vAlign w:val="center"/>
          </w:tcPr>
          <w:p w14:paraId="00864336">
            <w:pPr>
              <w:keepNext w:val="0"/>
              <w:keepLines w:val="0"/>
              <w:pageBreakBefore w:val="0"/>
              <w:widowControl/>
              <w:suppressLineNumbers w:val="0"/>
              <w:kinsoku/>
              <w:wordWrap/>
              <w:overflowPunct/>
              <w:topLinePunct w:val="0"/>
              <w:bidi w:val="0"/>
              <w:spacing w:beforeAutospacing="0" w:afterAutospacing="0" w:line="560" w:lineRule="exact"/>
              <w:ind w:left="0" w:leftChars="0" w:firstLine="560" w:firstLineChars="200"/>
              <w:jc w:val="center"/>
              <w:textAlignment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2.4</w:t>
            </w:r>
            <w:r>
              <w:rPr>
                <w:rFonts w:hint="eastAsia" w:ascii="宋体" w:hAnsi="宋体" w:eastAsia="宋体" w:cs="宋体"/>
                <w:i w:val="0"/>
                <w:iCs w:val="0"/>
                <w:color w:val="auto"/>
                <w:kern w:val="0"/>
                <w:sz w:val="22"/>
                <w:szCs w:val="22"/>
                <w:highlight w:val="none"/>
                <w:u w:val="none"/>
                <w:lang w:val="en-US" w:eastAsia="zh-CN" w:bidi="ar"/>
              </w:rPr>
              <w:t>‰</w:t>
            </w:r>
          </w:p>
        </w:tc>
      </w:tr>
      <w:tr w14:paraId="213F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25" w:type="pct"/>
            <w:tcBorders>
              <w:top w:val="single" w:color="000000" w:sz="4" w:space="0"/>
              <w:left w:val="single" w:color="000000" w:sz="4" w:space="0"/>
              <w:bottom w:val="single" w:color="000000" w:sz="4" w:space="0"/>
              <w:right w:val="single" w:color="000000" w:sz="4" w:space="0"/>
            </w:tcBorders>
            <w:noWrap w:val="0"/>
            <w:vAlign w:val="center"/>
          </w:tcPr>
          <w:p w14:paraId="0D3085D0">
            <w:pPr>
              <w:keepNext w:val="0"/>
              <w:keepLines w:val="0"/>
              <w:pageBreakBefore w:val="0"/>
              <w:widowControl/>
              <w:suppressLineNumbers w:val="0"/>
              <w:kinsoku/>
              <w:wordWrap/>
              <w:overflowPunct/>
              <w:topLinePunct w:val="0"/>
              <w:bidi w:val="0"/>
              <w:spacing w:beforeAutospacing="0" w:afterAutospacing="0" w:line="560" w:lineRule="exact"/>
              <w:ind w:left="0" w:leftChars="0" w:firstLine="440"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单位报价</w:t>
            </w:r>
          </w:p>
        </w:tc>
        <w:tc>
          <w:tcPr>
            <w:tcW w:w="505" w:type="pct"/>
            <w:tcBorders>
              <w:top w:val="single" w:color="000000" w:sz="4" w:space="0"/>
              <w:left w:val="single" w:color="000000" w:sz="4" w:space="0"/>
              <w:bottom w:val="single" w:color="000000" w:sz="4" w:space="0"/>
              <w:right w:val="single" w:color="000000" w:sz="4" w:space="0"/>
            </w:tcBorders>
            <w:noWrap/>
            <w:vAlign w:val="center"/>
          </w:tcPr>
          <w:p w14:paraId="41B49959">
            <w:pPr>
              <w:keepNext w:val="0"/>
              <w:keepLines w:val="0"/>
              <w:pageBreakBefore w:val="0"/>
              <w:widowControl/>
              <w:suppressLineNumbers w:val="0"/>
              <w:kinsoku/>
              <w:wordWrap/>
              <w:overflowPunct/>
              <w:topLinePunct w:val="0"/>
              <w:bidi w:val="0"/>
              <w:spacing w:beforeAutospacing="0" w:afterAutospacing="0" w:line="560" w:lineRule="exact"/>
              <w:ind w:left="0" w:leftChars="0" w:firstLine="440"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费率</w:t>
            </w:r>
          </w:p>
        </w:tc>
        <w:tc>
          <w:tcPr>
            <w:tcW w:w="1766" w:type="pct"/>
            <w:tcBorders>
              <w:top w:val="single" w:color="000000" w:sz="4" w:space="0"/>
              <w:left w:val="single" w:color="000000" w:sz="4" w:space="0"/>
              <w:bottom w:val="single" w:color="000000" w:sz="4" w:space="0"/>
              <w:right w:val="single" w:color="000000" w:sz="4" w:space="0"/>
            </w:tcBorders>
            <w:noWrap/>
            <w:vAlign w:val="center"/>
          </w:tcPr>
          <w:p w14:paraId="04F0379E">
            <w:pPr>
              <w:keepNext w:val="0"/>
              <w:keepLines w:val="0"/>
              <w:pageBreakBefore w:val="0"/>
              <w:kinsoku/>
              <w:wordWrap/>
              <w:overflowPunct/>
              <w:topLinePunct w:val="0"/>
              <w:bidi w:val="0"/>
              <w:spacing w:beforeAutospacing="0" w:afterAutospacing="0" w:line="560" w:lineRule="exact"/>
              <w:ind w:left="0" w:leftChars="0" w:firstLine="560" w:firstLineChars="200"/>
              <w:jc w:val="center"/>
              <w:rPr>
                <w:rFonts w:hint="eastAsia" w:ascii="宋体" w:hAnsi="宋体" w:eastAsia="宋体" w:cs="宋体"/>
                <w:i w:val="0"/>
                <w:iCs w:val="0"/>
                <w:color w:val="auto"/>
                <w:sz w:val="28"/>
                <w:szCs w:val="28"/>
                <w:highlight w:val="none"/>
                <w:u w:val="none"/>
              </w:rPr>
            </w:pPr>
          </w:p>
        </w:tc>
        <w:tc>
          <w:tcPr>
            <w:tcW w:w="2002" w:type="pct"/>
            <w:tcBorders>
              <w:top w:val="single" w:color="000000" w:sz="4" w:space="0"/>
              <w:left w:val="single" w:color="000000" w:sz="4" w:space="0"/>
              <w:bottom w:val="single" w:color="000000" w:sz="4" w:space="0"/>
              <w:right w:val="single" w:color="000000" w:sz="4" w:space="0"/>
            </w:tcBorders>
            <w:noWrap/>
            <w:vAlign w:val="center"/>
          </w:tcPr>
          <w:p w14:paraId="7E44105D">
            <w:pPr>
              <w:keepNext w:val="0"/>
              <w:keepLines w:val="0"/>
              <w:pageBreakBefore w:val="0"/>
              <w:kinsoku/>
              <w:wordWrap/>
              <w:overflowPunct/>
              <w:topLinePunct w:val="0"/>
              <w:bidi w:val="0"/>
              <w:spacing w:beforeAutospacing="0" w:afterAutospacing="0" w:line="560" w:lineRule="exact"/>
              <w:ind w:left="0" w:leftChars="0" w:firstLine="560" w:firstLineChars="200"/>
              <w:jc w:val="center"/>
              <w:rPr>
                <w:rFonts w:hint="eastAsia" w:ascii="宋体" w:hAnsi="宋体" w:eastAsia="宋体" w:cs="宋体"/>
                <w:i w:val="0"/>
                <w:iCs w:val="0"/>
                <w:color w:val="auto"/>
                <w:sz w:val="28"/>
                <w:szCs w:val="28"/>
                <w:highlight w:val="none"/>
                <w:u w:val="none"/>
              </w:rPr>
            </w:pPr>
          </w:p>
        </w:tc>
      </w:tr>
      <w:tr w14:paraId="0E9C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000" w:type="pct"/>
            <w:gridSpan w:val="4"/>
            <w:tcBorders>
              <w:top w:val="nil"/>
              <w:left w:val="nil"/>
              <w:bottom w:val="nil"/>
              <w:right w:val="nil"/>
            </w:tcBorders>
            <w:noWrap w:val="0"/>
            <w:vAlign w:val="center"/>
          </w:tcPr>
          <w:p w14:paraId="526E6F53">
            <w:pPr>
              <w:keepNext w:val="0"/>
              <w:keepLines w:val="0"/>
              <w:pageBreakBefore w:val="0"/>
              <w:kinsoku/>
              <w:wordWrap/>
              <w:overflowPunct/>
              <w:topLinePunct w:val="0"/>
              <w:bidi w:val="0"/>
              <w:spacing w:beforeAutospacing="0" w:afterAutospacing="0" w:line="560" w:lineRule="exact"/>
              <w:jc w:val="both"/>
              <w:rPr>
                <w:rFonts w:hint="eastAsia" w:ascii="宋体" w:hAnsi="宋体" w:cs="宋体"/>
                <w:color w:val="auto"/>
                <w:sz w:val="28"/>
                <w:szCs w:val="28"/>
                <w:highlight w:val="none"/>
              </w:rPr>
            </w:pPr>
          </w:p>
        </w:tc>
      </w:tr>
      <w:tr w14:paraId="3EE1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nil"/>
              <w:bottom w:val="nil"/>
              <w:right w:val="nil"/>
            </w:tcBorders>
            <w:noWrap w:val="0"/>
            <w:vAlign w:val="center"/>
          </w:tcPr>
          <w:p w14:paraId="39A826B2">
            <w:pPr>
              <w:keepNext w:val="0"/>
              <w:keepLines w:val="0"/>
              <w:pageBreakBefore w:val="0"/>
              <w:kinsoku/>
              <w:wordWrap/>
              <w:overflowPunct/>
              <w:topLinePunct w:val="0"/>
              <w:bidi w:val="0"/>
              <w:spacing w:beforeAutospacing="0" w:afterAutospacing="0" w:line="560" w:lineRule="exact"/>
              <w:ind w:left="0" w:leftChars="0" w:firstLine="560"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附注：1.费用参考【桂价协字[2019]15号】关于我区工程造价咨询服务行业收费参考标准。</w:t>
            </w:r>
          </w:p>
          <w:p w14:paraId="738541A9">
            <w:pPr>
              <w:keepNext w:val="0"/>
              <w:keepLines w:val="0"/>
              <w:pageBreakBefore w:val="0"/>
              <w:kinsoku/>
              <w:wordWrap/>
              <w:overflowPunct/>
              <w:topLinePunct w:val="0"/>
              <w:bidi w:val="0"/>
              <w:spacing w:beforeAutospacing="0" w:afterAutospacing="0" w:line="560" w:lineRule="exact"/>
              <w:ind w:left="0" w:leftChars="0" w:firstLine="560" w:firstLineChars="200"/>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2.以上费用包括但不限于完成本项目的全过程跟踪审计（除控制价编制）所有工作及后续服务的全部费用，包及驻场人员工资、设备、劳务、管理、材料、维护、差旅费、交通费、保险、利润、税金、政策性文件规定及合同包含的应有风险、责任等各项应有费用。</w:t>
            </w:r>
            <w:r>
              <w:rPr>
                <w:rFonts w:hint="eastAsia" w:ascii="宋体" w:hAnsi="宋体" w:cs="宋体"/>
                <w:color w:val="auto"/>
                <w:sz w:val="28"/>
                <w:szCs w:val="28"/>
                <w:highlight w:val="none"/>
                <w:lang w:val="en-US" w:eastAsia="zh-CN"/>
              </w:rPr>
              <w:br w:type="textWrapping"/>
            </w:r>
            <w:r>
              <w:rPr>
                <w:rFonts w:hint="eastAsia" w:ascii="宋体" w:hAnsi="宋体" w:cs="宋体"/>
                <w:color w:val="auto"/>
                <w:sz w:val="28"/>
                <w:szCs w:val="28"/>
                <w:highlight w:val="none"/>
                <w:lang w:val="en-US" w:eastAsia="zh-CN"/>
              </w:rPr>
              <w:t xml:space="preserve">          3.报价需包括驻场人员2名及以上，项目驻点人员需跟进项目至结算完成，投标人综合考虑工程延期风险进行报价，若工期延误采购人不另行支付费用。</w:t>
            </w:r>
          </w:p>
          <w:p w14:paraId="3D342CDB">
            <w:pPr>
              <w:pStyle w:val="2"/>
              <w:keepNext w:val="0"/>
              <w:keepLines w:val="0"/>
              <w:pageBreakBefore w:val="0"/>
              <w:kinsoku/>
              <w:wordWrap/>
              <w:overflowPunct/>
              <w:topLinePunct w:val="0"/>
              <w:bidi w:val="0"/>
              <w:spacing w:beforeAutospacing="0" w:afterAutospacing="0" w:line="560" w:lineRule="exact"/>
              <w:ind w:left="0" w:leftChars="0" w:firstLine="560" w:firstLineChars="200"/>
              <w:rPr>
                <w:rFonts w:hint="default"/>
                <w:color w:val="auto"/>
                <w:sz w:val="28"/>
                <w:szCs w:val="28"/>
                <w:highlight w:val="none"/>
                <w:lang w:val="en-US"/>
              </w:rPr>
            </w:pPr>
          </w:p>
        </w:tc>
      </w:tr>
    </w:tbl>
    <w:p w14:paraId="42E3935B">
      <w:pPr>
        <w:keepNext w:val="0"/>
        <w:keepLines w:val="0"/>
        <w:pageBreakBefore w:val="0"/>
        <w:tabs>
          <w:tab w:val="left" w:pos="7081"/>
        </w:tabs>
        <w:kinsoku/>
        <w:wordWrap/>
        <w:overflowPunct/>
        <w:topLinePunct w:val="0"/>
        <w:bidi w:val="0"/>
        <w:spacing w:beforeAutospacing="0" w:afterAutospacing="0" w:line="560" w:lineRule="exact"/>
        <w:ind w:left="0" w:leftChars="0" w:firstLine="600" w:firstLineChars="200"/>
        <w:jc w:val="left"/>
        <w:rPr>
          <w:rFonts w:hint="eastAsia" w:ascii="仿宋" w:hAnsi="仿宋" w:eastAsia="仿宋" w:cs="仿宋"/>
          <w:i w:val="0"/>
          <w:iCs w:val="0"/>
          <w:caps w:val="0"/>
          <w:color w:val="auto"/>
          <w:spacing w:val="0"/>
          <w:kern w:val="0"/>
          <w:sz w:val="30"/>
          <w:szCs w:val="30"/>
          <w:highlight w:val="none"/>
          <w:shd w:val="clear" w:color="auto" w:fill="FFFFFF"/>
          <w:lang w:val="en-US" w:eastAsia="zh-CN" w:bidi="ar-SA"/>
        </w:rPr>
      </w:pPr>
    </w:p>
    <w:p w14:paraId="47C3666D">
      <w:pPr>
        <w:rPr>
          <w:rFonts w:hint="eastAsia" w:ascii="仿宋" w:hAnsi="仿宋" w:eastAsia="仿宋" w:cs="仿宋"/>
          <w:i w:val="0"/>
          <w:iCs w:val="0"/>
          <w:caps w:val="0"/>
          <w:color w:val="auto"/>
          <w:spacing w:val="0"/>
          <w:kern w:val="0"/>
          <w:sz w:val="30"/>
          <w:szCs w:val="30"/>
          <w:highlight w:val="none"/>
          <w:shd w:val="clear" w:color="auto" w:fill="FFFFFF"/>
          <w:lang w:val="en-US" w:eastAsia="zh-CN" w:bidi="ar-SA"/>
        </w:rPr>
      </w:pPr>
      <w:r>
        <w:rPr>
          <w:rFonts w:hint="eastAsia" w:ascii="仿宋" w:hAnsi="仿宋" w:eastAsia="仿宋" w:cs="仿宋"/>
          <w:i w:val="0"/>
          <w:iCs w:val="0"/>
          <w:caps w:val="0"/>
          <w:color w:val="auto"/>
          <w:spacing w:val="0"/>
          <w:kern w:val="0"/>
          <w:sz w:val="30"/>
          <w:szCs w:val="30"/>
          <w:highlight w:val="none"/>
          <w:shd w:val="clear" w:color="auto" w:fill="FFFFFF"/>
          <w:lang w:val="en-US" w:eastAsia="zh-CN" w:bidi="ar-SA"/>
        </w:rPr>
        <w:br w:type="page"/>
      </w:r>
    </w:p>
    <w:p w14:paraId="1F96C0A5">
      <w:pPr>
        <w:keepNext w:val="0"/>
        <w:keepLines w:val="0"/>
        <w:pageBreakBefore w:val="0"/>
        <w:tabs>
          <w:tab w:val="left" w:pos="7081"/>
        </w:tabs>
        <w:kinsoku/>
        <w:wordWrap/>
        <w:overflowPunct/>
        <w:topLinePunct w:val="0"/>
        <w:bidi w:val="0"/>
        <w:spacing w:beforeAutospacing="0" w:afterAutospacing="0" w:line="560" w:lineRule="exact"/>
        <w:ind w:left="0" w:leftChars="0" w:firstLine="600" w:firstLineChars="200"/>
        <w:jc w:val="left"/>
        <w:rPr>
          <w:rFonts w:hint="default" w:ascii="仿宋" w:hAnsi="仿宋" w:eastAsia="仿宋" w:cs="仿宋"/>
          <w:i w:val="0"/>
          <w:iCs w:val="0"/>
          <w:caps w:val="0"/>
          <w:color w:val="auto"/>
          <w:spacing w:val="0"/>
          <w:kern w:val="0"/>
          <w:sz w:val="30"/>
          <w:szCs w:val="30"/>
          <w:highlight w:val="none"/>
          <w:shd w:val="clear" w:color="auto" w:fill="FFFFFF"/>
          <w:lang w:val="en-US" w:eastAsia="zh-CN" w:bidi="ar-SA"/>
        </w:rPr>
      </w:pPr>
      <w:r>
        <w:rPr>
          <w:rFonts w:hint="eastAsia" w:ascii="仿宋" w:hAnsi="仿宋" w:eastAsia="仿宋" w:cs="仿宋"/>
          <w:i w:val="0"/>
          <w:iCs w:val="0"/>
          <w:caps w:val="0"/>
          <w:color w:val="auto"/>
          <w:spacing w:val="0"/>
          <w:kern w:val="0"/>
          <w:sz w:val="30"/>
          <w:szCs w:val="30"/>
          <w:highlight w:val="none"/>
          <w:shd w:val="clear" w:color="auto" w:fill="FFFFFF"/>
          <w:lang w:val="en-US" w:eastAsia="zh-CN" w:bidi="ar-SA"/>
        </w:rPr>
        <w:t>附件2：</w:t>
      </w:r>
    </w:p>
    <w:p w14:paraId="7EF9516B">
      <w:pPr>
        <w:keepNext w:val="0"/>
        <w:keepLines w:val="0"/>
        <w:pageBreakBefore w:val="0"/>
        <w:tabs>
          <w:tab w:val="left" w:pos="7081"/>
        </w:tabs>
        <w:kinsoku/>
        <w:wordWrap/>
        <w:overflowPunct/>
        <w:topLinePunct w:val="0"/>
        <w:bidi w:val="0"/>
        <w:spacing w:beforeAutospacing="0" w:afterAutospacing="0" w:line="560" w:lineRule="exact"/>
        <w:ind w:left="0" w:leftChars="0" w:firstLine="600" w:firstLineChars="200"/>
        <w:jc w:val="left"/>
        <w:rPr>
          <w:rFonts w:hint="default" w:ascii="仿宋" w:hAnsi="仿宋" w:eastAsia="仿宋" w:cs="仿宋"/>
          <w:i w:val="0"/>
          <w:iCs w:val="0"/>
          <w:caps w:val="0"/>
          <w:color w:val="auto"/>
          <w:spacing w:val="0"/>
          <w:kern w:val="0"/>
          <w:sz w:val="30"/>
          <w:szCs w:val="30"/>
          <w:highlight w:val="none"/>
          <w:shd w:val="clear" w:color="auto" w:fill="FFFFFF"/>
          <w:lang w:val="en-US" w:eastAsia="zh-CN" w:bidi="ar-SA"/>
        </w:rPr>
      </w:pPr>
    </w:p>
    <w:p w14:paraId="10A26158">
      <w:pPr>
        <w:keepNext w:val="0"/>
        <w:keepLines w:val="0"/>
        <w:pageBreakBefore w:val="0"/>
        <w:kinsoku/>
        <w:wordWrap/>
        <w:overflowPunct/>
        <w:topLinePunct w:val="0"/>
        <w:bidi w:val="0"/>
        <w:spacing w:beforeAutospacing="0" w:afterAutospacing="0" w:line="560" w:lineRule="exact"/>
        <w:ind w:left="0" w:leftChars="0" w:firstLine="643" w:firstLineChars="200"/>
        <w:jc w:val="cente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项目需求符合情况</w:t>
      </w:r>
      <w:r>
        <w:rPr>
          <w:rFonts w:hint="eastAsia" w:ascii="宋体" w:hAnsi="宋体" w:cs="宋体"/>
          <w:b/>
          <w:color w:val="auto"/>
          <w:sz w:val="32"/>
          <w:szCs w:val="32"/>
          <w:highlight w:val="none"/>
        </w:rPr>
        <w:t>说明表</w:t>
      </w:r>
    </w:p>
    <w:p w14:paraId="591BB357">
      <w:pPr>
        <w:keepNext w:val="0"/>
        <w:keepLines w:val="0"/>
        <w:pageBreakBefore w:val="0"/>
        <w:kinsoku/>
        <w:wordWrap/>
        <w:overflowPunct/>
        <w:topLinePunct w:val="0"/>
        <w:bidi w:val="0"/>
        <w:spacing w:beforeAutospacing="0" w:afterAutospacing="0" w:line="560" w:lineRule="exact"/>
        <w:ind w:left="0" w:leftChars="0" w:firstLine="420" w:firstLineChars="200"/>
        <w:rPr>
          <w:rFonts w:hint="eastAsia" w:ascii="宋体" w:hAnsi="宋体" w:cs="宋体"/>
          <w:color w:val="auto"/>
          <w:szCs w:val="21"/>
          <w:highlight w:val="none"/>
        </w:rPr>
      </w:pPr>
    </w:p>
    <w:p w14:paraId="0FA8309A">
      <w:pPr>
        <w:keepNext w:val="0"/>
        <w:keepLines w:val="0"/>
        <w:pageBreakBefore w:val="0"/>
        <w:kinsoku/>
        <w:wordWrap/>
        <w:overflowPunct/>
        <w:topLinePunct w:val="0"/>
        <w:bidi w:val="0"/>
        <w:spacing w:beforeAutospacing="0" w:afterAutospacing="0" w:line="560" w:lineRule="exact"/>
        <w:ind w:left="0" w:leftChars="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10"/>
        <w:tblW w:w="89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192"/>
        <w:gridCol w:w="2332"/>
        <w:gridCol w:w="1587"/>
        <w:gridCol w:w="1193"/>
      </w:tblGrid>
      <w:tr w14:paraId="52E190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6" w:hRule="atLeast"/>
        </w:trPr>
        <w:tc>
          <w:tcPr>
            <w:tcW w:w="651" w:type="dxa"/>
            <w:noWrap w:val="0"/>
            <w:vAlign w:val="center"/>
          </w:tcPr>
          <w:p w14:paraId="765B63AC">
            <w:pPr>
              <w:keepNext w:val="0"/>
              <w:keepLines w:val="0"/>
              <w:pageBreakBefore w:val="0"/>
              <w:kinsoku/>
              <w:wordWrap/>
              <w:overflowPunct/>
              <w:topLinePunct w:val="0"/>
              <w:bidi w:val="0"/>
              <w:spacing w:beforeAutospacing="0" w:afterAutospacing="0" w:line="560" w:lineRule="exact"/>
              <w:jc w:val="both"/>
              <w:rPr>
                <w:rFonts w:hint="default" w:ascii="宋体" w:hAnsi="宋体" w:eastAsia="仿宋_GB2312" w:cs="宋体"/>
                <w:color w:val="auto"/>
                <w:highlight w:val="none"/>
                <w:lang w:val="en-US" w:eastAsia="zh-CN"/>
              </w:rPr>
            </w:pPr>
            <w:r>
              <w:rPr>
                <w:rFonts w:hint="eastAsia" w:ascii="宋体" w:hAnsi="宋体" w:cs="宋体"/>
                <w:color w:val="auto"/>
                <w:highlight w:val="none"/>
                <w:lang w:val="en-US" w:eastAsia="zh-CN"/>
              </w:rPr>
              <w:t>序号</w:t>
            </w:r>
          </w:p>
        </w:tc>
        <w:tc>
          <w:tcPr>
            <w:tcW w:w="3192" w:type="dxa"/>
            <w:noWrap w:val="0"/>
            <w:vAlign w:val="center"/>
          </w:tcPr>
          <w:p w14:paraId="3AA0DDEA">
            <w:pPr>
              <w:keepNext w:val="0"/>
              <w:keepLines w:val="0"/>
              <w:pageBreakBefore w:val="0"/>
              <w:kinsoku/>
              <w:wordWrap/>
              <w:overflowPunct/>
              <w:topLinePunct w:val="0"/>
              <w:bidi w:val="0"/>
              <w:spacing w:beforeAutospacing="0" w:afterAutospacing="0" w:line="560" w:lineRule="exact"/>
              <w:ind w:left="0" w:leftChars="0" w:firstLine="420" w:firstLineChars="200"/>
              <w:jc w:val="both"/>
              <w:rPr>
                <w:rFonts w:hint="eastAsia" w:ascii="宋体" w:hAnsi="宋体" w:cs="宋体"/>
                <w:color w:val="auto"/>
                <w:highlight w:val="none"/>
              </w:rPr>
            </w:pPr>
            <w:bookmarkStart w:id="0" w:name="_Toc173066402"/>
            <w:bookmarkStart w:id="1" w:name="_Toc254970589"/>
            <w:bookmarkStart w:id="2" w:name="_Toc173211901"/>
            <w:bookmarkStart w:id="3" w:name="_Toc254970730"/>
            <w:r>
              <w:rPr>
                <w:rFonts w:hint="eastAsia" w:ascii="宋体" w:hAnsi="宋体" w:cs="宋体"/>
                <w:color w:val="auto"/>
                <w:highlight w:val="none"/>
                <w:lang w:val="en-US" w:eastAsia="zh-CN"/>
              </w:rPr>
              <w:t>服务</w:t>
            </w:r>
            <w:r>
              <w:rPr>
                <w:rFonts w:hint="eastAsia" w:ascii="宋体" w:hAnsi="宋体" w:cs="宋体"/>
                <w:color w:val="auto"/>
                <w:highlight w:val="none"/>
              </w:rPr>
              <w:t>要求</w:t>
            </w:r>
            <w:bookmarkEnd w:id="0"/>
            <w:bookmarkEnd w:id="1"/>
            <w:bookmarkEnd w:id="2"/>
            <w:bookmarkEnd w:id="3"/>
          </w:p>
        </w:tc>
        <w:tc>
          <w:tcPr>
            <w:tcW w:w="2332" w:type="dxa"/>
            <w:noWrap w:val="0"/>
            <w:vAlign w:val="center"/>
          </w:tcPr>
          <w:p w14:paraId="7A090728">
            <w:pPr>
              <w:keepNext w:val="0"/>
              <w:keepLines w:val="0"/>
              <w:pageBreakBefore w:val="0"/>
              <w:kinsoku/>
              <w:wordWrap/>
              <w:overflowPunct/>
              <w:topLinePunct w:val="0"/>
              <w:bidi w:val="0"/>
              <w:spacing w:beforeAutospacing="0" w:afterAutospacing="0" w:line="560" w:lineRule="exact"/>
              <w:ind w:left="0" w:leftChars="0" w:firstLine="420" w:firstLineChars="200"/>
              <w:jc w:val="both"/>
              <w:rPr>
                <w:rFonts w:hint="eastAsia" w:ascii="宋体" w:hAnsi="宋体" w:cs="宋体"/>
                <w:color w:val="auto"/>
                <w:highlight w:val="none"/>
              </w:rPr>
            </w:pPr>
            <w:bookmarkStart w:id="4" w:name="_Toc173066403"/>
            <w:bookmarkStart w:id="5" w:name="_Toc254970590"/>
            <w:bookmarkStart w:id="6" w:name="_Toc173211902"/>
            <w:bookmarkStart w:id="7" w:name="_Toc254970731"/>
            <w:r>
              <w:rPr>
                <w:rFonts w:hint="eastAsia" w:ascii="宋体" w:hAnsi="宋体" w:cs="宋体"/>
                <w:color w:val="auto"/>
                <w:highlight w:val="none"/>
              </w:rPr>
              <w:t>具体响应</w:t>
            </w:r>
            <w:bookmarkEnd w:id="4"/>
            <w:bookmarkEnd w:id="5"/>
            <w:bookmarkEnd w:id="6"/>
            <w:bookmarkEnd w:id="7"/>
          </w:p>
        </w:tc>
        <w:tc>
          <w:tcPr>
            <w:tcW w:w="1587" w:type="dxa"/>
            <w:noWrap w:val="0"/>
            <w:vAlign w:val="center"/>
          </w:tcPr>
          <w:p w14:paraId="78636E8F">
            <w:pPr>
              <w:keepNext w:val="0"/>
              <w:keepLines w:val="0"/>
              <w:pageBreakBefore w:val="0"/>
              <w:kinsoku/>
              <w:wordWrap/>
              <w:overflowPunct/>
              <w:topLinePunct w:val="0"/>
              <w:bidi w:val="0"/>
              <w:spacing w:beforeAutospacing="0" w:afterAutospacing="0" w:line="560" w:lineRule="exact"/>
              <w:ind w:left="0" w:leftChars="0" w:firstLine="420" w:firstLineChars="200"/>
              <w:jc w:val="center"/>
              <w:rPr>
                <w:rFonts w:hint="eastAsia" w:ascii="宋体" w:hAnsi="宋体" w:cs="宋体"/>
                <w:color w:val="auto"/>
                <w:highlight w:val="none"/>
              </w:rPr>
            </w:pPr>
            <w:bookmarkStart w:id="8" w:name="_Toc254970591"/>
            <w:bookmarkStart w:id="9" w:name="_Toc254970732"/>
            <w:bookmarkStart w:id="10" w:name="_Toc173066404"/>
            <w:bookmarkStart w:id="11" w:name="_Toc173211903"/>
            <w:r>
              <w:rPr>
                <w:rFonts w:hint="eastAsia" w:ascii="宋体" w:hAnsi="宋体" w:cs="宋体"/>
                <w:color w:val="auto"/>
                <w:highlight w:val="none"/>
              </w:rPr>
              <w:t>响应/偏离</w:t>
            </w:r>
            <w:bookmarkEnd w:id="8"/>
            <w:bookmarkEnd w:id="9"/>
            <w:bookmarkEnd w:id="10"/>
            <w:bookmarkEnd w:id="11"/>
          </w:p>
        </w:tc>
        <w:tc>
          <w:tcPr>
            <w:tcW w:w="1193" w:type="dxa"/>
            <w:noWrap w:val="0"/>
            <w:vAlign w:val="center"/>
          </w:tcPr>
          <w:p w14:paraId="7E4F7F79">
            <w:pPr>
              <w:keepNext w:val="0"/>
              <w:keepLines w:val="0"/>
              <w:pageBreakBefore w:val="0"/>
              <w:kinsoku/>
              <w:wordWrap/>
              <w:overflowPunct/>
              <w:topLinePunct w:val="0"/>
              <w:bidi w:val="0"/>
              <w:spacing w:beforeAutospacing="0" w:afterAutospacing="0" w:line="560" w:lineRule="exact"/>
              <w:ind w:left="0" w:leftChars="0" w:firstLine="420" w:firstLineChars="200"/>
              <w:jc w:val="both"/>
              <w:rPr>
                <w:rFonts w:hint="eastAsia" w:ascii="宋体" w:hAnsi="宋体" w:cs="宋体"/>
                <w:color w:val="auto"/>
                <w:highlight w:val="none"/>
              </w:rPr>
            </w:pPr>
            <w:bookmarkStart w:id="12" w:name="_Toc254970733"/>
            <w:bookmarkStart w:id="13" w:name="_Toc173066405"/>
            <w:bookmarkStart w:id="14" w:name="_Toc254970592"/>
            <w:bookmarkStart w:id="15" w:name="_Toc173211904"/>
            <w:r>
              <w:rPr>
                <w:rFonts w:hint="eastAsia" w:ascii="宋体" w:hAnsi="宋体" w:cs="宋体"/>
                <w:color w:val="auto"/>
                <w:highlight w:val="none"/>
              </w:rPr>
              <w:t>说明</w:t>
            </w:r>
            <w:bookmarkEnd w:id="12"/>
            <w:bookmarkEnd w:id="13"/>
            <w:bookmarkEnd w:id="14"/>
            <w:bookmarkEnd w:id="15"/>
          </w:p>
        </w:tc>
      </w:tr>
      <w:tr w14:paraId="54708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9" w:hRule="atLeast"/>
        </w:trPr>
        <w:tc>
          <w:tcPr>
            <w:tcW w:w="651" w:type="dxa"/>
            <w:noWrap w:val="0"/>
            <w:vAlign w:val="center"/>
          </w:tcPr>
          <w:p w14:paraId="740232A6">
            <w:pPr>
              <w:keepNext w:val="0"/>
              <w:keepLines w:val="0"/>
              <w:pageBreakBefore w:val="0"/>
              <w:kinsoku/>
              <w:wordWrap/>
              <w:overflowPunct/>
              <w:topLinePunct w:val="0"/>
              <w:bidi w:val="0"/>
              <w:spacing w:beforeAutospacing="0" w:afterAutospacing="0" w:line="560" w:lineRule="exact"/>
              <w:ind w:left="0" w:leftChars="0" w:firstLine="420" w:firstLineChars="200"/>
              <w:jc w:val="center"/>
              <w:rPr>
                <w:rFonts w:hint="eastAsia" w:ascii="宋体" w:hAnsi="宋体" w:cs="宋体"/>
                <w:color w:val="auto"/>
                <w:highlight w:val="none"/>
              </w:rPr>
            </w:pPr>
            <w:bookmarkStart w:id="16" w:name="_Toc254970593"/>
            <w:bookmarkStart w:id="17" w:name="_Toc173211905"/>
            <w:bookmarkStart w:id="18" w:name="_Toc254970734"/>
            <w:bookmarkStart w:id="19" w:name="_Toc173066406"/>
            <w:r>
              <w:rPr>
                <w:rFonts w:hint="eastAsia" w:ascii="宋体" w:hAnsi="宋体" w:cs="宋体"/>
                <w:color w:val="auto"/>
                <w:highlight w:val="none"/>
              </w:rPr>
              <w:t>1</w:t>
            </w:r>
            <w:bookmarkEnd w:id="16"/>
            <w:bookmarkEnd w:id="17"/>
            <w:bookmarkEnd w:id="18"/>
            <w:bookmarkEnd w:id="19"/>
          </w:p>
        </w:tc>
        <w:tc>
          <w:tcPr>
            <w:tcW w:w="3192" w:type="dxa"/>
            <w:noWrap w:val="0"/>
            <w:vAlign w:val="center"/>
          </w:tcPr>
          <w:p w14:paraId="1A031FF8">
            <w:pPr>
              <w:keepNext w:val="0"/>
              <w:keepLines w:val="0"/>
              <w:pageBreakBefore w:val="0"/>
              <w:kinsoku/>
              <w:wordWrap/>
              <w:overflowPunct/>
              <w:topLinePunct w:val="0"/>
              <w:bidi w:val="0"/>
              <w:spacing w:beforeAutospacing="0" w:afterAutospacing="0" w:line="560" w:lineRule="exact"/>
              <w:ind w:left="0" w:leftChars="0" w:firstLine="420" w:firstLineChars="200"/>
              <w:jc w:val="left"/>
              <w:rPr>
                <w:rFonts w:ascii="宋体" w:hAnsi="宋体"/>
                <w:color w:val="auto"/>
                <w:szCs w:val="21"/>
                <w:highlight w:val="none"/>
              </w:rPr>
            </w:pPr>
          </w:p>
        </w:tc>
        <w:tc>
          <w:tcPr>
            <w:tcW w:w="2332" w:type="dxa"/>
            <w:noWrap w:val="0"/>
            <w:vAlign w:val="top"/>
          </w:tcPr>
          <w:p w14:paraId="0B51D54E">
            <w:pPr>
              <w:keepNext w:val="0"/>
              <w:keepLines w:val="0"/>
              <w:pageBreakBefore w:val="0"/>
              <w:kinsoku/>
              <w:wordWrap/>
              <w:overflowPunct/>
              <w:topLinePunct w:val="0"/>
              <w:bidi w:val="0"/>
              <w:spacing w:beforeAutospacing="0" w:afterAutospacing="0" w:line="560" w:lineRule="exact"/>
              <w:ind w:left="0" w:leftChars="0" w:firstLine="420" w:firstLineChars="200"/>
              <w:rPr>
                <w:rFonts w:hint="eastAsia" w:ascii="宋体" w:hAnsi="宋体" w:cs="宋体"/>
                <w:color w:val="auto"/>
                <w:highlight w:val="none"/>
              </w:rPr>
            </w:pPr>
          </w:p>
        </w:tc>
        <w:tc>
          <w:tcPr>
            <w:tcW w:w="1587" w:type="dxa"/>
            <w:noWrap w:val="0"/>
            <w:vAlign w:val="center"/>
          </w:tcPr>
          <w:p w14:paraId="4369B46C">
            <w:pPr>
              <w:keepNext w:val="0"/>
              <w:keepLines w:val="0"/>
              <w:pageBreakBefore w:val="0"/>
              <w:kinsoku/>
              <w:wordWrap/>
              <w:overflowPunct/>
              <w:topLinePunct w:val="0"/>
              <w:bidi w:val="0"/>
              <w:spacing w:beforeAutospacing="0" w:afterAutospacing="0" w:line="560" w:lineRule="exact"/>
              <w:ind w:left="0" w:leftChars="0" w:firstLine="420" w:firstLineChars="200"/>
              <w:jc w:val="center"/>
              <w:rPr>
                <w:rFonts w:hint="eastAsia" w:ascii="宋体" w:hAnsi="宋体" w:cs="宋体"/>
                <w:color w:val="auto"/>
                <w:highlight w:val="none"/>
              </w:rPr>
            </w:pPr>
          </w:p>
        </w:tc>
        <w:tc>
          <w:tcPr>
            <w:tcW w:w="1193" w:type="dxa"/>
            <w:noWrap w:val="0"/>
            <w:vAlign w:val="center"/>
          </w:tcPr>
          <w:p w14:paraId="50CE63C7">
            <w:pPr>
              <w:keepNext w:val="0"/>
              <w:keepLines w:val="0"/>
              <w:pageBreakBefore w:val="0"/>
              <w:kinsoku/>
              <w:wordWrap/>
              <w:overflowPunct/>
              <w:topLinePunct w:val="0"/>
              <w:bidi w:val="0"/>
              <w:spacing w:beforeAutospacing="0" w:afterAutospacing="0" w:line="560" w:lineRule="exact"/>
              <w:ind w:left="0" w:leftChars="0" w:firstLine="420" w:firstLineChars="200"/>
              <w:jc w:val="center"/>
              <w:rPr>
                <w:rFonts w:hint="eastAsia" w:ascii="宋体" w:hAnsi="宋体" w:cs="宋体"/>
                <w:color w:val="auto"/>
                <w:highlight w:val="none"/>
              </w:rPr>
            </w:pPr>
          </w:p>
        </w:tc>
      </w:tr>
    </w:tbl>
    <w:p w14:paraId="41A32B36">
      <w:pPr>
        <w:keepNext w:val="0"/>
        <w:keepLines w:val="0"/>
        <w:pageBreakBefore w:val="0"/>
        <w:kinsoku/>
        <w:wordWrap/>
        <w:overflowPunct/>
        <w:topLinePunct w:val="0"/>
        <w:bidi w:val="0"/>
        <w:adjustRightInd w:val="0"/>
        <w:snapToGrid w:val="0"/>
        <w:spacing w:beforeAutospacing="0" w:afterAutospacing="0" w:line="560" w:lineRule="exact"/>
        <w:ind w:left="0" w:leftChars="0" w:firstLine="422" w:firstLineChars="200"/>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说明：</w:t>
      </w:r>
      <w:r>
        <w:rPr>
          <w:rFonts w:hint="eastAsia" w:ascii="宋体" w:hAnsi="宋体" w:cs="宋体"/>
          <w:b/>
          <w:color w:val="auto"/>
          <w:szCs w:val="21"/>
          <w:highlight w:val="none"/>
          <w:lang w:val="en-US" w:eastAsia="zh-CN"/>
        </w:rPr>
        <w:t xml:space="preserve"> </w:t>
      </w:r>
    </w:p>
    <w:p w14:paraId="4905B8DC">
      <w:pPr>
        <w:keepNext w:val="0"/>
        <w:keepLines w:val="0"/>
        <w:pageBreakBefore w:val="0"/>
        <w:kinsoku/>
        <w:wordWrap/>
        <w:overflowPunct/>
        <w:topLinePunct w:val="0"/>
        <w:bidi w:val="0"/>
        <w:adjustRightInd w:val="0"/>
        <w:snapToGrid w:val="0"/>
        <w:spacing w:beforeAutospacing="0" w:afterAutospacing="0" w:line="560" w:lineRule="exact"/>
        <w:ind w:left="0" w:leftChars="0" w:firstLine="422" w:firstLineChars="200"/>
        <w:rPr>
          <w:rFonts w:hint="eastAsia" w:ascii="宋体" w:hAnsi="宋体" w:eastAsia="仿宋_GB2312" w:cs="宋体"/>
          <w:b/>
          <w:color w:val="auto"/>
          <w:spacing w:val="0"/>
          <w:kern w:val="2"/>
          <w:sz w:val="28"/>
          <w:szCs w:val="24"/>
          <w:highlight w:val="none"/>
          <w:lang w:val="en-US" w:eastAsia="zh-CN" w:bidi="ar-SA"/>
        </w:rPr>
      </w:pPr>
      <w:r>
        <w:rPr>
          <w:rFonts w:hint="eastAsia" w:ascii="宋体" w:hAnsi="宋体" w:cs="宋体"/>
          <w:b/>
          <w:color w:val="auto"/>
          <w:szCs w:val="21"/>
          <w:highlight w:val="none"/>
          <w:lang w:val="en-US" w:eastAsia="zh-CN"/>
        </w:rPr>
        <w:t xml:space="preserve"> </w:t>
      </w:r>
      <w:r>
        <w:rPr>
          <w:rFonts w:hint="eastAsia" w:ascii="宋体" w:hAnsi="宋体" w:eastAsia="仿宋_GB2312" w:cs="宋体"/>
          <w:b/>
          <w:color w:val="auto"/>
          <w:spacing w:val="0"/>
          <w:kern w:val="2"/>
          <w:sz w:val="28"/>
          <w:szCs w:val="24"/>
          <w:highlight w:val="none"/>
          <w:lang w:val="en-US" w:eastAsia="zh-CN" w:bidi="ar-SA"/>
        </w:rPr>
        <w:t>1.根据论证文件“七、项目采购具体需求”内容进行填写。</w:t>
      </w:r>
    </w:p>
    <w:p w14:paraId="5AF20EC2">
      <w:pPr>
        <w:keepNext w:val="0"/>
        <w:keepLines w:val="0"/>
        <w:pageBreakBefore w:val="0"/>
        <w:kinsoku/>
        <w:wordWrap/>
        <w:overflowPunct/>
        <w:topLinePunct w:val="0"/>
        <w:bidi w:val="0"/>
        <w:adjustRightInd w:val="0"/>
        <w:snapToGrid w:val="0"/>
        <w:spacing w:beforeAutospacing="0" w:afterAutospacing="0" w:line="560" w:lineRule="exact"/>
        <w:ind w:left="0" w:leftChars="0" w:firstLine="562" w:firstLineChars="200"/>
        <w:rPr>
          <w:rFonts w:hint="eastAsia" w:ascii="宋体" w:hAnsi="宋体" w:eastAsia="仿宋_GB2312" w:cs="宋体"/>
          <w:b/>
          <w:color w:val="auto"/>
          <w:spacing w:val="0"/>
          <w:kern w:val="2"/>
          <w:sz w:val="28"/>
          <w:szCs w:val="24"/>
          <w:highlight w:val="none"/>
          <w:lang w:val="en-US" w:eastAsia="zh-CN" w:bidi="ar-SA"/>
        </w:rPr>
      </w:pPr>
      <w:r>
        <w:rPr>
          <w:rFonts w:hint="eastAsia" w:ascii="宋体" w:hAnsi="宋体" w:eastAsia="仿宋_GB2312" w:cs="宋体"/>
          <w:b/>
          <w:color w:val="auto"/>
          <w:spacing w:val="0"/>
          <w:kern w:val="2"/>
          <w:sz w:val="28"/>
          <w:szCs w:val="24"/>
          <w:highlight w:val="none"/>
          <w:lang w:val="en-US" w:eastAsia="zh-CN" w:bidi="ar-SA"/>
        </w:rPr>
        <w:t>2、应写明对服务响应和偏离情况；</w:t>
      </w:r>
    </w:p>
    <w:p w14:paraId="7283F49C">
      <w:pPr>
        <w:pStyle w:val="7"/>
        <w:keepNext w:val="0"/>
        <w:keepLines w:val="0"/>
        <w:pageBreakBefore w:val="0"/>
        <w:kinsoku/>
        <w:wordWrap/>
        <w:overflowPunct/>
        <w:topLinePunct w:val="0"/>
        <w:bidi w:val="0"/>
        <w:spacing w:beforeAutospacing="0" w:afterAutospacing="0" w:line="560" w:lineRule="exact"/>
        <w:ind w:left="0" w:leftChars="0" w:firstLine="562" w:firstLineChars="200"/>
        <w:rPr>
          <w:rFonts w:hint="eastAsia" w:ascii="宋体" w:hAnsi="宋体" w:eastAsia="仿宋_GB2312" w:cs="宋体"/>
          <w:b/>
          <w:color w:val="auto"/>
          <w:spacing w:val="0"/>
          <w:kern w:val="2"/>
          <w:sz w:val="28"/>
          <w:szCs w:val="24"/>
          <w:highlight w:val="none"/>
          <w:lang w:val="en-US" w:eastAsia="zh-CN" w:bidi="ar-SA"/>
        </w:rPr>
      </w:pPr>
      <w:r>
        <w:rPr>
          <w:rFonts w:hint="eastAsia" w:ascii="宋体" w:hAnsi="宋体" w:eastAsia="仿宋_GB2312" w:cs="宋体"/>
          <w:b/>
          <w:color w:val="auto"/>
          <w:spacing w:val="0"/>
          <w:kern w:val="2"/>
          <w:sz w:val="28"/>
          <w:szCs w:val="24"/>
          <w:highlight w:val="none"/>
          <w:lang w:val="en-US" w:eastAsia="zh-CN" w:bidi="ar-SA"/>
        </w:rPr>
        <w:t>3、应对照项目技术规格、参数及要求，逐条说明所提供服务已对文件的商务、技术做出了实质性的响应，并申明商务、技术条文的响应和偏离。特别对有具体商务、技术参数要求的，参会公司必须提供对应的详细应答。</w:t>
      </w:r>
    </w:p>
    <w:p w14:paraId="28156256">
      <w:pPr>
        <w:pStyle w:val="8"/>
        <w:keepNext w:val="0"/>
        <w:keepLines w:val="0"/>
        <w:pageBreakBefore w:val="0"/>
        <w:kinsoku/>
        <w:wordWrap/>
        <w:overflowPunct/>
        <w:topLinePunct w:val="0"/>
        <w:bidi w:val="0"/>
        <w:spacing w:beforeAutospacing="0" w:afterAutospacing="0" w:line="560" w:lineRule="exact"/>
        <w:ind w:left="0" w:leftChars="0" w:firstLine="420" w:firstLineChars="200"/>
        <w:rPr>
          <w:rFonts w:hint="eastAsia" w:hAnsi="宋体" w:cs="宋体"/>
          <w:color w:val="auto"/>
          <w:highlight w:val="none"/>
        </w:rPr>
      </w:pPr>
    </w:p>
    <w:p w14:paraId="4F5795A0">
      <w:pPr>
        <w:pStyle w:val="8"/>
        <w:keepNext w:val="0"/>
        <w:keepLines w:val="0"/>
        <w:pageBreakBefore w:val="0"/>
        <w:kinsoku/>
        <w:wordWrap/>
        <w:overflowPunct/>
        <w:topLinePunct w:val="0"/>
        <w:bidi w:val="0"/>
        <w:spacing w:beforeAutospacing="0" w:afterAutospacing="0" w:line="560" w:lineRule="exact"/>
        <w:ind w:left="0" w:leftChars="0" w:firstLine="420" w:firstLineChars="200"/>
        <w:rPr>
          <w:rFonts w:hint="eastAsia"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14:paraId="63101AAA">
      <w:pPr>
        <w:pStyle w:val="8"/>
        <w:keepNext w:val="0"/>
        <w:keepLines w:val="0"/>
        <w:pageBreakBefore w:val="0"/>
        <w:kinsoku/>
        <w:wordWrap/>
        <w:overflowPunct/>
        <w:topLinePunct w:val="0"/>
        <w:bidi w:val="0"/>
        <w:spacing w:beforeAutospacing="0" w:afterAutospacing="0" w:line="560" w:lineRule="exact"/>
        <w:ind w:left="0" w:leftChars="0" w:firstLine="420" w:firstLineChars="200"/>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lang w:val="en-US" w:eastAsia="zh-CN"/>
        </w:rPr>
        <w:t xml:space="preserve">                       </w:t>
      </w:r>
      <w:r>
        <w:rPr>
          <w:rFonts w:hint="eastAsia" w:hAnsi="宋体" w:cs="宋体"/>
          <w:color w:val="auto"/>
          <w:highlight w:val="none"/>
        </w:rPr>
        <w:t xml:space="preserve"> </w:t>
      </w:r>
      <w:r>
        <w:rPr>
          <w:rFonts w:hint="eastAsia" w:hAnsi="宋体" w:cs="宋体"/>
          <w:color w:val="auto"/>
          <w:highlight w:val="none"/>
          <w:lang w:val="en-US" w:eastAsia="zh-CN"/>
        </w:rPr>
        <w:t xml:space="preserve">      </w:t>
      </w: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017C89C">
      <w:pPr>
        <w:pStyle w:val="2"/>
        <w:keepNext w:val="0"/>
        <w:keepLines w:val="0"/>
        <w:pageBreakBefore w:val="0"/>
        <w:kinsoku/>
        <w:wordWrap/>
        <w:overflowPunct/>
        <w:topLinePunct w:val="0"/>
        <w:bidi w:val="0"/>
        <w:spacing w:beforeAutospacing="0" w:afterAutospacing="0" w:line="560" w:lineRule="exact"/>
        <w:ind w:left="0" w:leftChars="0" w:firstLine="480" w:firstLineChars="200"/>
        <w:rPr>
          <w:rFonts w:hint="default"/>
          <w:color w:val="auto"/>
          <w:highlight w:val="none"/>
          <w:lang w:val="en-US" w:eastAsia="zh-CN"/>
        </w:rPr>
      </w:pPr>
      <w:r>
        <w:rPr>
          <w:rFonts w:hint="eastAsia"/>
          <w:color w:val="auto"/>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9D9D1"/>
    <w:multiLevelType w:val="singleLevel"/>
    <w:tmpl w:val="C8B9D9D1"/>
    <w:lvl w:ilvl="0" w:tentative="0">
      <w:start w:val="1"/>
      <w:numFmt w:val="chineseCounting"/>
      <w:suff w:val="nothing"/>
      <w:lvlText w:val="（%1）"/>
      <w:lvlJc w:val="left"/>
      <w:rPr>
        <w:rFonts w:hint="eastAsia"/>
      </w:rPr>
    </w:lvl>
  </w:abstractNum>
  <w:abstractNum w:abstractNumId="1">
    <w:nsid w:val="38493DA0"/>
    <w:multiLevelType w:val="singleLevel"/>
    <w:tmpl w:val="38493DA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0750"/>
    <w:rsid w:val="010E0070"/>
    <w:rsid w:val="030B4F9F"/>
    <w:rsid w:val="03E4240C"/>
    <w:rsid w:val="04363AE8"/>
    <w:rsid w:val="04A956AF"/>
    <w:rsid w:val="0BE62012"/>
    <w:rsid w:val="0FE43139"/>
    <w:rsid w:val="1289134A"/>
    <w:rsid w:val="14F312C6"/>
    <w:rsid w:val="15C24120"/>
    <w:rsid w:val="17641283"/>
    <w:rsid w:val="183B13EE"/>
    <w:rsid w:val="18830C27"/>
    <w:rsid w:val="1ACC1784"/>
    <w:rsid w:val="1D7D5539"/>
    <w:rsid w:val="2589040A"/>
    <w:rsid w:val="2A9B5EE2"/>
    <w:rsid w:val="2D341834"/>
    <w:rsid w:val="2E2B589A"/>
    <w:rsid w:val="302613A0"/>
    <w:rsid w:val="341923DC"/>
    <w:rsid w:val="34214918"/>
    <w:rsid w:val="3F3F36A7"/>
    <w:rsid w:val="40BA305B"/>
    <w:rsid w:val="411B5BE2"/>
    <w:rsid w:val="47EC4EBD"/>
    <w:rsid w:val="4F133DD7"/>
    <w:rsid w:val="4F783EAC"/>
    <w:rsid w:val="4FA42C6C"/>
    <w:rsid w:val="51200EDF"/>
    <w:rsid w:val="51796E9C"/>
    <w:rsid w:val="52616FAA"/>
    <w:rsid w:val="559C5126"/>
    <w:rsid w:val="5A850F16"/>
    <w:rsid w:val="5B113452"/>
    <w:rsid w:val="5DCC070E"/>
    <w:rsid w:val="64532D01"/>
    <w:rsid w:val="64D41A70"/>
    <w:rsid w:val="65144583"/>
    <w:rsid w:val="675E1A7A"/>
    <w:rsid w:val="68DD44EA"/>
    <w:rsid w:val="6AB57E7C"/>
    <w:rsid w:val="6B5E5F7B"/>
    <w:rsid w:val="6C12412D"/>
    <w:rsid w:val="6D67573A"/>
    <w:rsid w:val="6DA04F47"/>
    <w:rsid w:val="707B38EE"/>
    <w:rsid w:val="70A51C78"/>
    <w:rsid w:val="7290668F"/>
    <w:rsid w:val="73D66494"/>
    <w:rsid w:val="75285E3A"/>
    <w:rsid w:val="797C0647"/>
    <w:rsid w:val="7A2E6188"/>
    <w:rsid w:val="7C3D1599"/>
    <w:rsid w:val="7E7A2A5B"/>
    <w:rsid w:val="7F050659"/>
    <w:rsid w:val="7F8E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sz w:val="24"/>
    </w:rPr>
  </w:style>
  <w:style w:type="paragraph" w:styleId="6">
    <w:name w:val="annotation text"/>
    <w:basedOn w:val="1"/>
    <w:qFormat/>
    <w:uiPriority w:val="0"/>
    <w:pPr>
      <w:jc w:val="left"/>
    </w:pPr>
  </w:style>
  <w:style w:type="paragraph" w:styleId="7">
    <w:name w:val="Body Text Indent"/>
    <w:basedOn w:val="1"/>
    <w:qFormat/>
    <w:uiPriority w:val="0"/>
    <w:pPr>
      <w:spacing w:line="200" w:lineRule="exact"/>
      <w:ind w:firstLine="301"/>
    </w:pPr>
    <w:rPr>
      <w:spacing w:val="-4"/>
      <w:sz w:val="18"/>
    </w:rPr>
  </w:style>
  <w:style w:type="paragraph" w:styleId="8">
    <w:name w:val="Plain Text"/>
    <w:basedOn w:val="1"/>
    <w:next w:val="5"/>
    <w:unhideWhenUsed/>
    <w:qFormat/>
    <w:uiPriority w:val="0"/>
    <w:rPr>
      <w:rFonts w:ascii="宋体" w:hAnsi="Courier New"/>
      <w:szCs w:val="20"/>
    </w:rPr>
  </w:style>
  <w:style w:type="paragraph" w:styleId="9">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6111</Words>
  <Characters>6313</Characters>
  <Lines>0</Lines>
  <Paragraphs>0</Paragraphs>
  <TotalTime>46</TotalTime>
  <ScaleCrop>false</ScaleCrop>
  <LinksUpToDate>false</LinksUpToDate>
  <CharactersWithSpaces>6546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2025-05-07T07:44:00Z</dcterms:created>
  <dc:creator>27571</dc:creator>
  <cp:lastModifiedBy>勇敢打工人</cp:lastModifiedBy>
  <dcterms:modified xsi:type="dcterms:W3CDTF">2025-05-09T08:18:53Z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eyJoZGlkIjoiYWE5Y2JlMWNiZDAwNDU3NDg5NjM5ZmFjYzkzZjRmYWMiLCJ1c2VySWQiOiI4NzA5MDc5OTkifQ==</vt:lpwstr>
  </property>
  <property fmtid="{D5CDD505-2E9C-101B-9397-08002B2CF9AE}" pid="4" name="ICV">
    <vt:lpwstr>3D2C8C7945D343D19B5AB867E00090BA_12</vt:lpwstr>
  </property>
</Properties>
</file>