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6.vsd" ContentType="application/vnd.visio"/>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19.vsdx" ContentType="application/vnd.ms-visio.drawing"/>
  <Override PartName="/word/embeddings/Microsoft_Visio___2.vsdx" ContentType="application/vnd.ms-visio.drawing"/>
  <Override PartName="/word/embeddings/Microsoft_Visio___20.vsdx" ContentType="application/vnd.ms-visio.drawing"/>
  <Override PartName="/word/embeddings/Microsoft_Visio___21.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0A5ED2">
      <w:pPr>
        <w:ind w:firstLine="480"/>
        <w:rPr>
          <w:b/>
          <w:bCs/>
          <w:sz w:val="40"/>
          <w:szCs w:val="40"/>
        </w:rPr>
      </w:pPr>
      <w:r>
        <w:rPr>
          <w:color w:val="000000"/>
        </w:rPr>
        <mc:AlternateContent>
          <mc:Choice Requires="wps">
            <w:drawing>
              <wp:anchor distT="0" distB="0" distL="114300" distR="114300" simplePos="0" relativeHeight="251659264" behindDoc="0" locked="0" layoutInCell="1" allowOverlap="1">
                <wp:simplePos x="0" y="0"/>
                <wp:positionH relativeFrom="column">
                  <wp:posOffset>286385</wp:posOffset>
                </wp:positionH>
                <wp:positionV relativeFrom="paragraph">
                  <wp:posOffset>3075940</wp:posOffset>
                </wp:positionV>
                <wp:extent cx="4647565" cy="1844675"/>
                <wp:effectExtent l="0" t="0" r="635" b="9525"/>
                <wp:wrapNone/>
                <wp:docPr id="1" name="文本框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TextEdit="1"/>
                      </wps:cNvSpPr>
                      <wps:spPr>
                        <a:xfrm>
                          <a:off x="0" y="0"/>
                          <a:ext cx="4647565" cy="1844675"/>
                        </a:xfrm>
                        <a:prstGeom prst="rect">
                          <a:avLst/>
                        </a:prstGeom>
                        <a:solidFill>
                          <a:srgbClr val="FFFFFF"/>
                        </a:solidFill>
                        <a:ln>
                          <a:noFill/>
                        </a:ln>
                      </wps:spPr>
                      <wps:txbx>
                        <w:txbxContent>
                          <w:p w14:paraId="78A13E68">
                            <w:pPr>
                              <w:widowControl/>
                              <w:shd w:val="clear" w:color="auto" w:fill="FFFFFF"/>
                              <w:ind w:firstLine="0" w:firstLineChars="0"/>
                              <w:jc w:val="center"/>
                              <w:rPr>
                                <w:rFonts w:hint="eastAsia" w:ascii="黑体" w:hAnsi="黑体" w:eastAsia="黑体"/>
                                <w:b/>
                                <w:color w:val="000000"/>
                                <w:kern w:val="0"/>
                                <w:sz w:val="52"/>
                                <w:szCs w:val="52"/>
                              </w:rPr>
                            </w:pPr>
                            <w:r>
                              <w:rPr>
                                <w:rFonts w:hint="eastAsia" w:ascii="黑体" w:hAnsi="黑体" w:eastAsia="黑体"/>
                                <w:b/>
                                <w:color w:val="000000"/>
                                <w:kern w:val="0"/>
                                <w:sz w:val="52"/>
                                <w:szCs w:val="52"/>
                              </w:rPr>
                              <w:t>琼中信号控制系统及电子警察系统更新改造项目</w:t>
                            </w:r>
                          </w:p>
                          <w:p w14:paraId="5CE41670">
                            <w:pPr>
                              <w:widowControl/>
                              <w:shd w:val="clear" w:color="auto" w:fill="FFFFFF"/>
                              <w:ind w:firstLine="0" w:firstLineChars="0"/>
                              <w:jc w:val="center"/>
                              <w:rPr>
                                <w:rFonts w:hint="eastAsia" w:ascii="黑体" w:hAnsi="黑体" w:eastAsia="黑体"/>
                                <w:b/>
                                <w:color w:val="000000"/>
                                <w:kern w:val="0"/>
                                <w:sz w:val="52"/>
                                <w:szCs w:val="52"/>
                              </w:rPr>
                            </w:pPr>
                            <w:r>
                              <w:rPr>
                                <w:rFonts w:hint="eastAsia" w:ascii="黑体" w:hAnsi="黑体" w:eastAsia="黑体"/>
                                <w:b/>
                                <w:color w:val="000000"/>
                                <w:kern w:val="0"/>
                                <w:sz w:val="52"/>
                                <w:szCs w:val="52"/>
                              </w:rPr>
                              <w:t>采购需求书</w:t>
                            </w:r>
                          </w:p>
                        </w:txbxContent>
                      </wps:txbx>
                      <wps:bodyPr upright="1"/>
                    </wps:wsp>
                  </a:graphicData>
                </a:graphic>
              </wp:anchor>
            </w:drawing>
          </mc:Choice>
          <mc:Fallback>
            <w:pict>
              <v:shape id="_x0000_s1026" o:spid="_x0000_s1026" o:spt="202" type="#_x0000_t202" style="position:absolute;left:0pt;margin-left:22.55pt;margin-top:242.2pt;height:145.25pt;width:365.95pt;z-index:251659264;mso-width-relative:page;mso-height-relative:page;" fillcolor="#FFFFFF" filled="t" stroked="f" coordsize="21600,21600" o:gfxdata="UEsDBAoAAAAAAIdO4kAAAAAAAAAAAAAAAAAEAAAAZHJzL1BLAwQUAAAACACHTuJA+YbSDtcAAAAK&#10;AQAADwAAAGRycy9kb3ducmV2LnhtbE2PwU7DMBBE70j8g7VIXBB1gty6DXEqgQTi2tIPcOJtEhGv&#10;o9ht2r9ne4LT7mpGs2/K7cUP4oxT7AMZyBcZCKQmuJ5aA4fvj+c1iJgsOTsEQgNXjLCt7u9KW7gw&#10;0w7P+9QKDqFYWANdSmMhZWw69DYuwojE2jFM3iY+p1a6yc4c7gf5kmUr6W1P/KGzI7532PzsT97A&#10;8Wt+Wm7m+jMd9E6t3myv63A15vEhz15BJLykPzPc8BkdKmaqw4lcFIMBtczZyXOtFAg2aK25XH1b&#10;1AZkVcr/FapfUEsDBBQAAAAIAIdO4kDW33fT3wEAALMDAAAOAAAAZHJzL2Uyb0RvYy54bWytk0Fu&#10;2zAQRfcFegeC+1p2YDuBYTlo47qboC2Q9AA0RUlESQ7BoW35Au0Nuuqm+57L58iQch0n2WRRLSiS&#10;M3ya/4eaX3fWsK0KqMGVfDQYcqachEq7puTf7lfvrjjDKFwlDDhV8r1Cfr14+2a+8zN1AS2YSgVG&#10;EIeznS95G6OfFQXKVlmBA/DKUbCGYEWkZWiKKogd0a0pLobDabGDUPkAUiHS7rIP8iMxvAYIda2l&#10;WoLcWOViTw3KiEiSsNUe+SJXW9dKxi91jSoyU3JSGvNIH6H5Oo3FYi5mTRC+1fJYgnhNCc80WaEd&#10;ffSEWooo2CboFyirZQCEOg4k2KIXkh0hFaPhM2/uWuFV1kJWoz+Zjv8PKz9vvwamK7oJnDlhqeGH&#10;Xz8Pv/8e/vxgo2TPzuOMsu485cXuA3QpNUlFfwvyOzIHN61wjXqPnuzuQXCvuvix0nlJkOKM0iOR&#10;eInS1cGmN1nBCE192Z/6QgwmaXM8HV9OphPOJMVGV+Px9HKSSisej/uA8ZMCy9Kk5IEqyUWK7S3G&#10;PvVfSq4djK5W2pi8CM36xgS2FXRJVvk50vE8zbiU7CAd64lpJyvrxSSNsVt3FEzTNVR78mzjg27a&#10;J0ZQL3Pxx3uXLsv5OkMf/7XF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mG0g7XAAAACgEAAA8A&#10;AAAAAAAAAQAgAAAAIgAAAGRycy9kb3ducmV2LnhtbFBLAQIUABQAAAAIAIdO4kDW33fT3wEAALMD&#10;AAAOAAAAAAAAAAEAIAAAACYBAABkcnMvZTJvRG9jLnhtbFBLBQYAAAAABgAGAFkBAAB3BQAAAAA=&#10;">
                <v:fill on="t" focussize="0,0"/>
                <v:stroke on="f"/>
                <v:imagedata o:title=""/>
                <o:lock v:ext="edit" text="t" aspectratio="t"/>
                <v:textbox>
                  <w:txbxContent>
                    <w:p w14:paraId="78A13E68">
                      <w:pPr>
                        <w:widowControl/>
                        <w:shd w:val="clear" w:color="auto" w:fill="FFFFFF"/>
                        <w:ind w:firstLine="0" w:firstLineChars="0"/>
                        <w:jc w:val="center"/>
                        <w:rPr>
                          <w:rFonts w:hint="eastAsia" w:ascii="黑体" w:hAnsi="黑体" w:eastAsia="黑体"/>
                          <w:b/>
                          <w:color w:val="000000"/>
                          <w:kern w:val="0"/>
                          <w:sz w:val="52"/>
                          <w:szCs w:val="52"/>
                        </w:rPr>
                      </w:pPr>
                      <w:r>
                        <w:rPr>
                          <w:rFonts w:hint="eastAsia" w:ascii="黑体" w:hAnsi="黑体" w:eastAsia="黑体"/>
                          <w:b/>
                          <w:color w:val="000000"/>
                          <w:kern w:val="0"/>
                          <w:sz w:val="52"/>
                          <w:szCs w:val="52"/>
                        </w:rPr>
                        <w:t>琼中信号控制系统及电子警察系统更新改造项目</w:t>
                      </w:r>
                    </w:p>
                    <w:p w14:paraId="5CE41670">
                      <w:pPr>
                        <w:widowControl/>
                        <w:shd w:val="clear" w:color="auto" w:fill="FFFFFF"/>
                        <w:ind w:firstLine="0" w:firstLineChars="0"/>
                        <w:jc w:val="center"/>
                        <w:rPr>
                          <w:rFonts w:hint="eastAsia" w:ascii="黑体" w:hAnsi="黑体" w:eastAsia="黑体"/>
                          <w:b/>
                          <w:color w:val="000000"/>
                          <w:kern w:val="0"/>
                          <w:sz w:val="52"/>
                          <w:szCs w:val="52"/>
                        </w:rPr>
                      </w:pPr>
                      <w:r>
                        <w:rPr>
                          <w:rFonts w:hint="eastAsia" w:ascii="黑体" w:hAnsi="黑体" w:eastAsia="黑体"/>
                          <w:b/>
                          <w:color w:val="000000"/>
                          <w:kern w:val="0"/>
                          <w:sz w:val="52"/>
                          <w:szCs w:val="52"/>
                        </w:rPr>
                        <w:t>采购需求书</w:t>
                      </w:r>
                    </w:p>
                  </w:txbxContent>
                </v:textbox>
              </v:shape>
            </w:pict>
          </mc:Fallback>
        </mc:AlternateContent>
      </w:r>
      <w:r>
        <w:rPr>
          <w:rFonts w:hint="eastAsia"/>
          <w:b/>
          <w:bCs/>
          <w:sz w:val="40"/>
          <w:szCs w:val="40"/>
        </w:rPr>
        <w:br w:type="page"/>
      </w:r>
    </w:p>
    <w:p w14:paraId="7BF32ABD">
      <w:pPr>
        <w:pStyle w:val="2"/>
      </w:pPr>
      <w:r>
        <w:t>建设</w:t>
      </w:r>
      <w:r>
        <w:rPr>
          <w:rFonts w:hint="eastAsia"/>
        </w:rPr>
        <w:t>目标</w:t>
      </w:r>
    </w:p>
    <w:p w14:paraId="67429FD0">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结合《海南省安全生产委员会关于印发海南省道路交通安全专项整治新一轮三年攻坚战工作方案的通知》（琼安委〔2021〕3号）、《智慧海南总体方案(2020-2025年)》等相关文件，为保障民生安全，交通井然有序，海南省各地都持续关注并加大了信号灯控制系统、电子警察系统的建设投入力度。目前琼中黎族苗族自治县城区红绿灯、电子警察设备已经不同程度老化和损坏，存在较大交通安全隐患。为了确保广大市民的出行安全，提高道路交通的流畅性和有序性，通过改造完善路口信号控制系统及电子警察系统，通过引进先进的交通管理技术和设备，可以有效地优化交通信号的控制逻辑，提升电子警察系统的监控效能，确保道路交通有序、畅通，保障及维护道路交通安全，进一步规范城区交通通行秩序，为市民营造一个更加安全、舒适、便捷的出行环境，更加便捷、高效的出行体验，增强人民群众获得感、幸福感、安全感。</w:t>
      </w:r>
    </w:p>
    <w:p w14:paraId="4FB488FD">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本项目的实施通过对琼中黎族苗族自治县13个路口信号灯及电子警察系统进行改造升级，实现县城13个重点路口的信号灯实现100%联网控制，升级改造后的违法抓拍设备摄像头的像素不少于400万像素，电子警察系统均采用不少于900万像素的抓拍摄像机及配套设备，以确保图像清晰、易于识别，违章行为识别准确率不低于98%，从而可有效降低交通违章的处理成本、提升城区重点道路通行效率，增强公共安全与减少社会成本以及推动智能交通与智慧城市发展等方面均具有显著的经济效益。这些系统的建设和应用对于提升城市交通管理水平、促进城市经济发展和增强城市竞争力具有重要意义。</w:t>
      </w:r>
    </w:p>
    <w:p w14:paraId="4B7ADA8E">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本项目搭建的交通综合管控平台建设框架，强化平台能力，丰富应用，构建交通基础设施智能化、科技应用普及化、交通管理高效化、惠及民众全面化的交通综合管控系统。为琼中城市智能交通发展打下坚实的基础，确保道路交通有序、畅通，保障及维护道路交通安全，进一步规范通行秩序。</w:t>
      </w:r>
    </w:p>
    <w:p w14:paraId="741EE72F">
      <w:pPr>
        <w:pStyle w:val="2"/>
      </w:pPr>
      <w:r>
        <w:rPr>
          <w:rFonts w:hint="eastAsia"/>
          <w:lang w:val="en-US" w:eastAsia="zh-CN"/>
        </w:rPr>
        <w:t>建设内容</w:t>
      </w:r>
    </w:p>
    <w:p w14:paraId="3F4317D3">
      <w:pPr>
        <w:pStyle w:val="28"/>
        <w:spacing w:line="360" w:lineRule="auto"/>
        <w:rPr>
          <w:rFonts w:hint="eastAsia" w:ascii="宋体" w:hAnsi="宋体"/>
          <w:lang w:val="en-US" w:eastAsia="zh-CN"/>
        </w:rPr>
      </w:pPr>
      <w:r>
        <w:rPr>
          <w:rFonts w:hint="eastAsia" w:ascii="宋体" w:hAnsi="宋体"/>
          <w:lang w:val="en-US" w:eastAsia="zh-CN"/>
        </w:rPr>
        <w:t>本项目在琼中黎族苗族自治县公安局交通管理大队信息化建设的基础上，对城区重点交叉口信号控制系统具备联网管控及电子警察系统进行改造，实现信号灯远程配时管理与控制，建设内容如下：</w:t>
      </w:r>
    </w:p>
    <w:p w14:paraId="127F3F27">
      <w:pPr>
        <w:pStyle w:val="28"/>
        <w:spacing w:line="360" w:lineRule="auto"/>
        <w:rPr>
          <w:rFonts w:hint="eastAsia" w:ascii="宋体" w:hAnsi="宋体"/>
          <w:lang w:val="en-US" w:eastAsia="zh-CN"/>
        </w:rPr>
      </w:pPr>
      <w:r>
        <w:rPr>
          <w:rFonts w:hint="eastAsia" w:ascii="宋体" w:hAnsi="宋体"/>
          <w:lang w:val="en-US" w:eastAsia="zh-CN"/>
        </w:rPr>
        <w:t>1、</w:t>
      </w:r>
      <w:r>
        <w:rPr>
          <w:rFonts w:hint="eastAsia" w:ascii="宋体" w:hAnsi="宋体"/>
          <w:b/>
          <w:bCs/>
          <w:lang w:val="en-US" w:eastAsia="zh-CN"/>
        </w:rPr>
        <w:t>信号控制系统联网</w:t>
      </w:r>
      <w:r>
        <w:rPr>
          <w:rFonts w:hint="eastAsia" w:ascii="宋体" w:hAnsi="宋体"/>
          <w:lang w:val="en-US" w:eastAsia="zh-CN"/>
        </w:rPr>
        <w:t>。对琼中黎族苗族自治县城区主干道重要的交叉口信号控制系统改造，改造后的信号机直接接入本项目新建的交通综合管控平台联网管控，实现信号机联网管控，结合道路交通参数采集设备、单点自适应控制策略，减少绿灯空放，使得各方向排队时间均衡，提升路口信号灯管控的智能化水平。</w:t>
      </w:r>
    </w:p>
    <w:p w14:paraId="58066536">
      <w:pPr>
        <w:pStyle w:val="28"/>
        <w:spacing w:line="360" w:lineRule="auto"/>
        <w:rPr>
          <w:rFonts w:hint="eastAsia" w:ascii="宋体" w:hAnsi="宋体"/>
          <w:lang w:val="en-US" w:eastAsia="zh-CN"/>
        </w:rPr>
      </w:pPr>
      <w:r>
        <w:rPr>
          <w:rFonts w:hint="eastAsia" w:ascii="宋体" w:hAnsi="宋体"/>
          <w:lang w:val="en-US" w:eastAsia="zh-CN"/>
        </w:rPr>
        <w:t>2、</w:t>
      </w:r>
      <w:r>
        <w:rPr>
          <w:rFonts w:hint="eastAsia" w:ascii="宋体" w:hAnsi="宋体"/>
          <w:b/>
          <w:bCs/>
          <w:lang w:val="en-US" w:eastAsia="zh-CN"/>
        </w:rPr>
        <w:t>电子警察系统改造</w:t>
      </w:r>
      <w:r>
        <w:rPr>
          <w:rFonts w:hint="eastAsia" w:ascii="宋体" w:hAnsi="宋体"/>
          <w:lang w:val="en-US" w:eastAsia="zh-CN"/>
        </w:rPr>
        <w:t>。对琼中黎族苗族自治县城区主干道交通流量较大的</w:t>
      </w:r>
      <w:r>
        <w:rPr>
          <w:lang w:val="en-US" w:eastAsia="zh-CN"/>
        </w:rPr>
        <w:t>交叉口进行电子警察系统改造。电子警察系统均采用不少于900万像素的抓拍摄像机及配套设备，系统必须满足《闯红灯自动记录系统通用技术条件》（GA/T496-2014）、《公路车辆智能监测记录系统通用技术条件》（GA/T497-2016）及《道路交通违法行为图像取证技术规范》（GA/T832-2014）、《机动车号牌图像自动识别技术规范》（GA/T833-2016）等国家现行的相关标准和规范要求。</w:t>
      </w:r>
    </w:p>
    <w:p w14:paraId="3681B876">
      <w:pPr>
        <w:pStyle w:val="28"/>
        <w:spacing w:line="360" w:lineRule="auto"/>
        <w:rPr>
          <w:rFonts w:hint="eastAsia" w:ascii="宋体" w:hAnsi="宋体"/>
          <w:lang w:val="en-US" w:eastAsia="zh-CN"/>
        </w:rPr>
      </w:pPr>
      <w:r>
        <w:rPr>
          <w:rFonts w:hint="eastAsia" w:ascii="宋体" w:hAnsi="宋体"/>
          <w:lang w:val="en-US" w:eastAsia="zh-CN"/>
        </w:rPr>
        <w:t>3、</w:t>
      </w:r>
      <w:r>
        <w:rPr>
          <w:rFonts w:hint="eastAsia" w:ascii="宋体" w:hAnsi="宋体"/>
          <w:b/>
          <w:bCs/>
          <w:lang w:val="en-US" w:eastAsia="zh-CN"/>
        </w:rPr>
        <w:t>交通综合管控平台建设</w:t>
      </w:r>
      <w:r>
        <w:rPr>
          <w:rFonts w:hint="eastAsia" w:ascii="宋体" w:hAnsi="宋体"/>
          <w:lang w:val="en-US" w:eastAsia="zh-CN"/>
        </w:rPr>
        <w:t>。对道路智能卡口一期、违停抓拍、电子警察、信号灯统一管控，提升非现场处罚率，规范琼中交通秩序，使得交通更加安全、更加畅通、更加有序。增强平台数据汇聚能力、业务功能扩展能力，对日积月累的巨量数据进行实时与非实时的分析挖掘，构建大数据基础，集大数据存储、查询、分析的能力，快速构建海量数据信息处理系统，对外提供大容量的数据存储、分析查询和实时流式数据处理分析能力，从海量数据中挖掘出价值信息，为业务提供统一开发、运行和管理提供基础支撑。</w:t>
      </w:r>
    </w:p>
    <w:p w14:paraId="42DE0EEC">
      <w:pPr>
        <w:pStyle w:val="3"/>
        <w:tabs>
          <w:tab w:val="left" w:pos="560"/>
          <w:tab w:val="left" w:pos="851"/>
        </w:tabs>
      </w:pPr>
      <w:bookmarkStart w:id="0" w:name="_Toc341960624"/>
      <w:bookmarkEnd w:id="0"/>
      <w:bookmarkStart w:id="1" w:name="_Toc342070822"/>
      <w:bookmarkEnd w:id="1"/>
      <w:bookmarkStart w:id="2" w:name="_Toc342070820"/>
      <w:bookmarkEnd w:id="2"/>
      <w:bookmarkStart w:id="3" w:name="_Toc341960625"/>
      <w:bookmarkEnd w:id="3"/>
      <w:bookmarkStart w:id="4" w:name="_Toc341960623"/>
      <w:bookmarkEnd w:id="4"/>
      <w:bookmarkStart w:id="5" w:name="_Toc341960621"/>
      <w:bookmarkEnd w:id="5"/>
      <w:bookmarkStart w:id="6" w:name="_Toc341960629"/>
      <w:bookmarkEnd w:id="6"/>
      <w:bookmarkStart w:id="7" w:name="_Toc342070819"/>
      <w:bookmarkEnd w:id="7"/>
      <w:bookmarkStart w:id="8" w:name="_Toc341960622"/>
      <w:bookmarkEnd w:id="8"/>
      <w:bookmarkStart w:id="9" w:name="_Toc342070815"/>
      <w:bookmarkEnd w:id="9"/>
      <w:bookmarkStart w:id="10" w:name="_Toc342070823"/>
      <w:bookmarkEnd w:id="10"/>
      <w:bookmarkStart w:id="11" w:name="_Toc341960628"/>
      <w:bookmarkEnd w:id="11"/>
      <w:bookmarkStart w:id="12" w:name="_Toc342070821"/>
      <w:bookmarkEnd w:id="12"/>
      <w:bookmarkStart w:id="13" w:name="_Toc341960626"/>
      <w:bookmarkEnd w:id="13"/>
      <w:bookmarkStart w:id="14" w:name="_Toc342070816"/>
      <w:bookmarkEnd w:id="14"/>
      <w:bookmarkStart w:id="15" w:name="_Toc341960620"/>
      <w:bookmarkEnd w:id="15"/>
      <w:bookmarkStart w:id="16" w:name="_Toc342070817"/>
      <w:bookmarkEnd w:id="16"/>
      <w:bookmarkStart w:id="17" w:name="_Toc342070818"/>
      <w:bookmarkEnd w:id="17"/>
      <w:bookmarkStart w:id="18" w:name="_Toc341960627"/>
      <w:bookmarkEnd w:id="18"/>
      <w:bookmarkStart w:id="19" w:name="_Toc342070814"/>
      <w:bookmarkEnd w:id="19"/>
      <w:bookmarkStart w:id="20" w:name="_Toc332971272"/>
      <w:bookmarkStart w:id="21" w:name="_Toc493702749"/>
      <w:bookmarkStart w:id="22" w:name="_Toc179640558"/>
      <w:bookmarkStart w:id="23" w:name="_Toc85443483"/>
      <w:r>
        <w:rPr>
          <w:rFonts w:hint="eastAsia"/>
        </w:rPr>
        <w:t>建设周期</w:t>
      </w:r>
      <w:bookmarkEnd w:id="20"/>
      <w:r>
        <w:rPr>
          <w:rFonts w:hint="eastAsia"/>
        </w:rPr>
        <w:t>与地点</w:t>
      </w:r>
      <w:bookmarkEnd w:id="21"/>
      <w:bookmarkEnd w:id="22"/>
      <w:bookmarkEnd w:id="23"/>
    </w:p>
    <w:p w14:paraId="0E617C0F">
      <w:pPr>
        <w:pStyle w:val="28"/>
        <w:spacing w:line="360" w:lineRule="auto"/>
        <w:rPr>
          <w:rFonts w:ascii="宋体" w:hAnsi="宋体"/>
          <w:lang w:eastAsia="zh-CN"/>
        </w:rPr>
      </w:pPr>
      <w:r>
        <w:rPr>
          <w:rFonts w:hint="eastAsia" w:ascii="宋体" w:hAnsi="宋体"/>
          <w:lang w:eastAsia="zh-CN"/>
        </w:rPr>
        <w:t>1.建设周期：</w:t>
      </w:r>
      <w:r>
        <w:rPr>
          <w:rFonts w:hint="eastAsia" w:ascii="宋体" w:hAnsi="宋体"/>
          <w:lang w:val="en-US" w:eastAsia="zh-CN"/>
        </w:rPr>
        <w:t>1年</w:t>
      </w:r>
      <w:r>
        <w:rPr>
          <w:rFonts w:hint="eastAsia" w:ascii="宋体" w:hAnsi="宋体"/>
          <w:lang w:eastAsia="zh-CN"/>
        </w:rPr>
        <w:t>；</w:t>
      </w:r>
    </w:p>
    <w:p w14:paraId="3A64DCC3">
      <w:pPr>
        <w:pStyle w:val="28"/>
        <w:spacing w:line="360" w:lineRule="auto"/>
        <w:rPr>
          <w:rFonts w:ascii="宋体" w:hAnsi="宋体"/>
          <w:lang w:eastAsia="zh-CN"/>
        </w:rPr>
      </w:pPr>
      <w:r>
        <w:rPr>
          <w:rFonts w:hint="eastAsia" w:ascii="宋体" w:hAnsi="宋体"/>
          <w:lang w:eastAsia="zh-CN"/>
        </w:rPr>
        <w:t>2.建设地点：海南省琼中黎族苗族自治县。</w:t>
      </w:r>
    </w:p>
    <w:p w14:paraId="1361D71D">
      <w:pPr>
        <w:pStyle w:val="3"/>
        <w:tabs>
          <w:tab w:val="left" w:pos="560"/>
          <w:tab w:val="left" w:pos="851"/>
        </w:tabs>
      </w:pPr>
      <w:bookmarkStart w:id="24" w:name="_Toc341960631"/>
      <w:bookmarkEnd w:id="24"/>
      <w:bookmarkStart w:id="25" w:name="_Toc341960632"/>
      <w:bookmarkEnd w:id="25"/>
      <w:bookmarkStart w:id="26" w:name="_Toc342070825"/>
      <w:bookmarkEnd w:id="26"/>
      <w:bookmarkStart w:id="27" w:name="_Toc341960633"/>
      <w:bookmarkEnd w:id="27"/>
      <w:bookmarkStart w:id="28" w:name="_Toc342070826"/>
      <w:bookmarkEnd w:id="28"/>
      <w:bookmarkStart w:id="29" w:name="_Toc342070827"/>
      <w:bookmarkEnd w:id="29"/>
      <w:bookmarkStart w:id="30" w:name="_Toc493702750"/>
      <w:bookmarkStart w:id="31" w:name="_Toc179640559"/>
      <w:bookmarkStart w:id="32" w:name="_Toc85443484"/>
      <w:bookmarkStart w:id="33" w:name="_Toc332971273"/>
      <w:r>
        <w:rPr>
          <w:rFonts w:hint="eastAsia"/>
        </w:rPr>
        <w:t>项目总投资</w:t>
      </w:r>
      <w:bookmarkEnd w:id="30"/>
      <w:bookmarkEnd w:id="31"/>
      <w:bookmarkEnd w:id="32"/>
      <w:bookmarkEnd w:id="33"/>
      <w:r>
        <w:rPr>
          <w:rFonts w:hint="eastAsia"/>
          <w:lang w:val="en-US" w:eastAsia="zh-CN"/>
        </w:rPr>
        <w:t>概算</w:t>
      </w:r>
    </w:p>
    <w:p w14:paraId="0BB8B9EB">
      <w:pPr>
        <w:pStyle w:val="28"/>
        <w:spacing w:line="360" w:lineRule="auto"/>
        <w:ind w:left="480" w:firstLine="0" w:firstLineChars="0"/>
        <w:rPr>
          <w:rFonts w:hint="eastAsia" w:ascii="宋体" w:hAnsi="宋体"/>
          <w:lang w:eastAsia="zh-CN"/>
        </w:rPr>
      </w:pPr>
      <w:r>
        <w:rPr>
          <w:rFonts w:hint="eastAsia" w:ascii="宋体" w:hAnsi="宋体"/>
          <w:lang w:eastAsia="zh-CN"/>
        </w:rPr>
        <w:t>1.项目</w:t>
      </w:r>
      <w:bookmarkStart w:id="167" w:name="_GoBack"/>
      <w:bookmarkEnd w:id="167"/>
      <w:r>
        <w:rPr>
          <w:rFonts w:hint="eastAsia" w:ascii="宋体" w:hAnsi="宋体"/>
        </w:rPr>
        <w:t>总投资</w:t>
      </w:r>
      <w:r>
        <w:rPr>
          <w:rFonts w:hint="eastAsia" w:ascii="宋体" w:hAnsi="宋体"/>
          <w:lang w:eastAsia="zh-CN"/>
        </w:rPr>
        <w:t>概算</w:t>
      </w:r>
      <w:r>
        <w:rPr>
          <w:rFonts w:hAnsi="宋体"/>
        </w:rPr>
        <w:t>为</w:t>
      </w:r>
      <w:r>
        <w:rPr>
          <w:rFonts w:hint="eastAsia" w:hAnsi="宋体"/>
          <w:lang w:eastAsia="zh-CN"/>
        </w:rPr>
        <w:t>：</w:t>
      </w:r>
      <w:r>
        <w:rPr>
          <w:rFonts w:hint="eastAsia"/>
          <w:lang w:eastAsia="zh-CN"/>
        </w:rPr>
        <w:t>¥11,</w:t>
      </w:r>
      <w:r>
        <w:rPr>
          <w:rFonts w:hint="eastAsia"/>
          <w:lang w:val="en-US" w:eastAsia="zh-CN"/>
        </w:rPr>
        <w:t>403</w:t>
      </w:r>
      <w:r>
        <w:rPr>
          <w:rFonts w:hint="eastAsia"/>
          <w:lang w:eastAsia="zh-CN"/>
        </w:rPr>
        <w:t>,</w:t>
      </w:r>
      <w:r>
        <w:rPr>
          <w:rFonts w:hint="eastAsia"/>
          <w:lang w:val="en-US" w:eastAsia="zh-CN"/>
        </w:rPr>
        <w:t>805</w:t>
      </w:r>
      <w:r>
        <w:rPr>
          <w:rFonts w:hint="eastAsia"/>
          <w:lang w:eastAsia="zh-CN"/>
        </w:rPr>
        <w:t>.</w:t>
      </w:r>
      <w:r>
        <w:rPr>
          <w:rFonts w:hint="eastAsia"/>
          <w:lang w:val="en-US" w:eastAsia="zh-CN"/>
        </w:rPr>
        <w:t>00</w:t>
      </w:r>
      <w:r>
        <w:rPr>
          <w:rFonts w:hint="eastAsia" w:ascii="宋体" w:hAnsi="宋体"/>
        </w:rPr>
        <w:t>元</w:t>
      </w:r>
      <w:r>
        <w:rPr>
          <w:rFonts w:hint="eastAsia" w:ascii="宋体" w:hAnsi="宋体"/>
          <w:lang w:eastAsia="zh-CN"/>
        </w:rPr>
        <w:t>（</w:t>
      </w:r>
      <w:r>
        <w:rPr>
          <w:rFonts w:hint="eastAsia" w:ascii="宋体" w:hAnsi="宋体"/>
        </w:rPr>
        <w:t>人民币</w:t>
      </w:r>
      <w:r>
        <w:rPr>
          <w:rFonts w:hint="eastAsia" w:ascii="宋体" w:hAnsi="宋体"/>
          <w:lang w:eastAsia="zh-CN"/>
        </w:rPr>
        <w:t>），</w:t>
      </w:r>
      <w:r>
        <w:rPr>
          <w:rFonts w:hint="eastAsia" w:ascii="宋体" w:hAnsi="宋体"/>
          <w:lang w:val="en-US" w:eastAsia="zh-CN"/>
        </w:rPr>
        <w:t>包含硬件设备购置、成品软件购置、定制软件开发、系统集成实施、机房配套、运维服务、网络链路等费用</w:t>
      </w:r>
      <w:r>
        <w:rPr>
          <w:rFonts w:hint="eastAsia" w:ascii="宋体" w:hAnsi="宋体"/>
          <w:lang w:eastAsia="zh-CN"/>
        </w:rPr>
        <w:t>；</w:t>
      </w:r>
    </w:p>
    <w:p w14:paraId="0CFDC4C6">
      <w:pPr>
        <w:pStyle w:val="2"/>
      </w:pPr>
      <w:r>
        <w:t>业务架构要求</w:t>
      </w:r>
    </w:p>
    <w:p w14:paraId="7A01C1FB">
      <w:pPr>
        <w:pStyle w:val="3"/>
      </w:pPr>
      <w:r>
        <w:rPr>
          <w:rFonts w:hint="eastAsia"/>
        </w:rPr>
        <w:t>总体业务关系</w:t>
      </w:r>
    </w:p>
    <w:p w14:paraId="307BAD6D">
      <w:pPr>
        <w:keepNext/>
        <w:ind w:firstLine="0" w:firstLineChars="0"/>
        <w:jc w:val="center"/>
      </w:pPr>
      <w:r>
        <w:rPr>
          <w:rFonts w:hint="eastAsia"/>
        </w:rPr>
        <w:object>
          <v:shape id="_x0000_i1025" o:spt="75" type="#_x0000_t75" style="height:204.35pt;width:414.3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p>
    <w:p w14:paraId="38E22C43">
      <w:pPr>
        <w:ind w:firstLine="480"/>
      </w:pPr>
      <w:r>
        <w:rPr>
          <w:rFonts w:hint="eastAsia"/>
        </w:rPr>
        <w:t>本项目落实《海南省安全生产委员会关于印发海南省道路交通安全专项整治新一轮三年攻坚战工作方案的通知》《智慧海南总体方案(2020-2025年)》等相关文件要求，针对当前琼中黎族苗族自治县城区红绿灯、电子警察设备已有不同程度老化和损坏，存在较大交通安全隐患的现状，为了确保广大市民的出行安全，需通过信息化手段对现有的信号控制系统及电子警察系统进行升级改造，提高道路交通的流畅性和有序性，提升城市交通管理水平、促进城市经济发展和增强城市竞争力。</w:t>
      </w:r>
    </w:p>
    <w:p w14:paraId="57C8D83C">
      <w:pPr>
        <w:ind w:firstLine="480"/>
      </w:pPr>
      <w:r>
        <w:rPr>
          <w:rFonts w:hint="eastAsia"/>
        </w:rPr>
        <w:t>本次项目</w:t>
      </w:r>
      <w:r>
        <w:t>改造路口信号控制系统、路口电子警察系统</w:t>
      </w:r>
      <w:r>
        <w:rPr>
          <w:rFonts w:hint="eastAsia"/>
        </w:rPr>
        <w:t>，并建设交通综合管控平台负责将琼中县重要的道路监控、卡口抓拍、电子警察抓拍、违停抓拍等设备进行接入管理，对信号</w:t>
      </w:r>
      <w:r>
        <w:t>控制系统进行</w:t>
      </w:r>
      <w:r>
        <w:rPr>
          <w:rFonts w:hint="eastAsia"/>
        </w:rPr>
        <w:t>联网。实现视频专网的数据汇聚、管理、应用，抓拍管理平台除了实现前端硬件设备的管理和数据汇聚外，还提供业务端的应用子系统，并实现纵向与交警总队交通综合管控平台互通共享，以及横向与琼中视频共享平台互通共享。</w:t>
      </w:r>
    </w:p>
    <w:p w14:paraId="2FA2C769">
      <w:pPr>
        <w:pStyle w:val="3"/>
      </w:pPr>
      <w:r>
        <w:rPr>
          <w:rFonts w:hint="eastAsia"/>
        </w:rPr>
        <w:t>信息化总体架构</w:t>
      </w:r>
    </w:p>
    <w:p w14:paraId="2FB02E8D">
      <w:pPr>
        <w:pStyle w:val="28"/>
        <w:keepNext/>
        <w:ind w:firstLine="0" w:firstLineChars="0"/>
        <w:jc w:val="center"/>
      </w:pPr>
      <w:r>
        <w:drawing>
          <wp:inline distT="0" distB="0" distL="0" distR="0">
            <wp:extent cx="5264150" cy="5702300"/>
            <wp:effectExtent l="0" t="0" r="0" b="0"/>
            <wp:docPr id="48741265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412659" name="图片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64150" cy="5702300"/>
                    </a:xfrm>
                    <a:prstGeom prst="rect">
                      <a:avLst/>
                    </a:prstGeom>
                    <a:noFill/>
                    <a:ln>
                      <a:noFill/>
                    </a:ln>
                  </pic:spPr>
                </pic:pic>
              </a:graphicData>
            </a:graphic>
          </wp:inline>
        </w:drawing>
      </w:r>
    </w:p>
    <w:p w14:paraId="5313D11A">
      <w:pPr>
        <w:pStyle w:val="28"/>
      </w:pPr>
      <w:r>
        <w:rPr>
          <w:rFonts w:hint="eastAsia"/>
        </w:rPr>
        <w:t>1、用户层：展现所面向的用户群体，主要包含：县交警大队、市民与游客、公安执法部门以及系统管理员；</w:t>
      </w:r>
    </w:p>
    <w:p w14:paraId="3A49AE29">
      <w:pPr>
        <w:pStyle w:val="28"/>
        <w:tabs>
          <w:tab w:val="left" w:pos="3937"/>
        </w:tabs>
      </w:pPr>
      <w:r>
        <w:rPr>
          <w:rFonts w:hint="eastAsia"/>
        </w:rPr>
        <w:t xml:space="preserve">2、显示层：实现应用展现； </w:t>
      </w:r>
      <w:r>
        <w:tab/>
      </w:r>
    </w:p>
    <w:p w14:paraId="37AB1AF6">
      <w:pPr>
        <w:pStyle w:val="28"/>
      </w:pPr>
      <w:r>
        <w:rPr>
          <w:rFonts w:hint="eastAsia"/>
        </w:rPr>
        <w:t>3、应用层：交通综合管控平台所提供的各种业务应用系统功能，包括：基础应用、视频监控应用、车辆检索应用、交通事件、视频运维及智慧信控等功能；</w:t>
      </w:r>
    </w:p>
    <w:p w14:paraId="3A360E75">
      <w:pPr>
        <w:pStyle w:val="28"/>
      </w:pPr>
      <w:r>
        <w:rPr>
          <w:rFonts w:hint="eastAsia"/>
        </w:rPr>
        <w:t>4、应用支撑层：大数据支撑软件、感知数据服务软件、算法引擎软件及数据对接软件等能力，为本项目建设的交通综合管控平台提供能力支撑。</w:t>
      </w:r>
    </w:p>
    <w:p w14:paraId="46D57618">
      <w:pPr>
        <w:pStyle w:val="28"/>
      </w:pPr>
      <w:r>
        <w:rPr>
          <w:rFonts w:hint="eastAsia"/>
        </w:rPr>
        <w:t>5、数据层：展现对系统各类信息资源进行定义、存储、加工和管理的设计，例如信号灯信息、违停数据、车流信息及交通路口状态信息等；</w:t>
      </w:r>
    </w:p>
    <w:p w14:paraId="06205D86">
      <w:pPr>
        <w:pStyle w:val="28"/>
      </w:pPr>
      <w:r>
        <w:rPr>
          <w:rFonts w:hint="eastAsia"/>
        </w:rPr>
        <w:t>6、基础设施层：主要展现各类基础设施情况，包含：信号控制器、违停抓拍机、雷视一体机、人行灯、电子警察抓拍机、服务器、存储及信号灯等基础设备；</w:t>
      </w:r>
    </w:p>
    <w:p w14:paraId="22B09940">
      <w:pPr>
        <w:pStyle w:val="28"/>
      </w:pPr>
      <w:r>
        <w:rPr>
          <w:rFonts w:hint="eastAsia"/>
        </w:rPr>
        <w:t>7、软环境建设：主要包括标准规范体系和信息安全体系。</w:t>
      </w:r>
    </w:p>
    <w:p w14:paraId="78360725">
      <w:pPr>
        <w:pStyle w:val="7"/>
        <w:rPr>
          <w:rFonts w:hint="eastAsia"/>
        </w:rPr>
      </w:pPr>
    </w:p>
    <w:p w14:paraId="0B405D75">
      <w:pPr>
        <w:pStyle w:val="2"/>
      </w:pPr>
      <w:r>
        <w:t>网络架构要求</w:t>
      </w:r>
    </w:p>
    <w:p w14:paraId="0F1DB332">
      <w:pPr>
        <w:pStyle w:val="28"/>
        <w:keepNext/>
      </w:pPr>
      <w:r>
        <w:object>
          <v:shape id="_x0000_i1026" o:spt="75" type="#_x0000_t75" style="height:259.2pt;width:390.45pt;" o:ole="t" filled="f" o:preferrelative="t" stroked="f" coordsize="21600,21600">
            <v:path/>
            <v:fill on="f" focussize="0,0"/>
            <v:stroke on="f" joinstyle="miter"/>
            <v:imagedata r:id="rId16" o:title=""/>
            <o:lock v:ext="edit" aspectratio="t"/>
            <w10:wrap type="none"/>
            <w10:anchorlock/>
          </v:shape>
          <o:OLEObject Type="Embed" ProgID="Visio.Drawing.15" ShapeID="_x0000_i1026" DrawAspect="Content" ObjectID="_1468075726" r:id="rId15">
            <o:LockedField>false</o:LockedField>
          </o:OLEObject>
        </w:object>
      </w:r>
    </w:p>
    <w:p w14:paraId="49A13898">
      <w:pPr>
        <w:pStyle w:val="28"/>
        <w:rPr>
          <w:rFonts w:hint="eastAsia" w:ascii="宋体" w:hAnsi="宋体"/>
        </w:rPr>
      </w:pPr>
      <w:r>
        <w:rPr>
          <w:rFonts w:hint="eastAsia" w:ascii="宋体" w:hAnsi="宋体"/>
        </w:rPr>
        <w:t>信号控制系统及电子警察系统改造等设备部署于公安视频专网，交通综合管控平台及配套服务器部署于公安视频专网。</w:t>
      </w:r>
    </w:p>
    <w:p w14:paraId="543FE717">
      <w:pPr>
        <w:pStyle w:val="28"/>
        <w:rPr>
          <w:rFonts w:hint="eastAsia" w:ascii="宋体" w:hAnsi="宋体"/>
        </w:rPr>
      </w:pPr>
      <w:bookmarkStart w:id="34" w:name="_Hlk183676364"/>
      <w:r>
        <w:rPr>
          <w:rFonts w:hint="eastAsia" w:ascii="宋体" w:hAnsi="宋体"/>
        </w:rPr>
        <w:t>交通综合管控平台通过视频专网进行内部信息交互或对外信息共享与交换时，将严格执行相关网络通信规范要求。视频专网的信息传递至公安网，将统一经由总队建设的公安网边界接入平台接入，将数据共享至公安交通集成指挥平台、公安交通管理综合应用平台以及公安交通大数据分析研判平台提供业务数据，公安网信息“只进不出”。交通综合管控平台通过视频专网与县公安视频图像信息共享平台进行数据交互。</w:t>
      </w:r>
      <w:bookmarkEnd w:id="34"/>
    </w:p>
    <w:p w14:paraId="358BD425">
      <w:pPr>
        <w:pStyle w:val="28"/>
        <w:rPr>
          <w:rFonts w:hint="eastAsia" w:ascii="宋体" w:hAnsi="宋体"/>
        </w:rPr>
      </w:pPr>
      <w:r>
        <w:rPr>
          <w:rFonts w:hint="eastAsia" w:ascii="宋体" w:hAnsi="宋体"/>
        </w:rPr>
        <w:t>现有部分路口暂无前端接入带宽，前端设备到机房视频传输需要租用专线。</w:t>
      </w:r>
    </w:p>
    <w:p w14:paraId="5F9F3893">
      <w:pPr>
        <w:pStyle w:val="28"/>
        <w:rPr>
          <w:rFonts w:hint="eastAsia" w:ascii="宋体" w:hAnsi="宋体"/>
        </w:rPr>
      </w:pPr>
    </w:p>
    <w:p w14:paraId="31BCC4DA">
      <w:pPr>
        <w:pStyle w:val="2"/>
      </w:pPr>
      <w:r>
        <w:rPr>
          <w:rFonts w:hint="eastAsia"/>
        </w:rPr>
        <w:t>数据业务要求</w:t>
      </w:r>
    </w:p>
    <w:p w14:paraId="1C9DE54D">
      <w:pPr>
        <w:pStyle w:val="3"/>
      </w:pPr>
      <w:r>
        <w:rPr>
          <w:rFonts w:hint="eastAsia"/>
        </w:rPr>
        <w:t>单点登录</w:t>
      </w:r>
    </w:p>
    <w:p w14:paraId="70726947">
      <w:pPr>
        <w:keepNext/>
        <w:ind w:firstLine="480"/>
      </w:pPr>
      <w:r>
        <w:object>
          <v:shape id="_x0000_i1027" o:spt="75" type="#_x0000_t75" style="height:165.6pt;width:384.9pt;" o:ole="t" filled="f" o:preferrelative="t" stroked="f" coordsize="21600,21600">
            <v:path/>
            <v:fill on="f" focussize="0,0"/>
            <v:stroke on="f" joinstyle="miter"/>
            <v:imagedata r:id="rId18" o:title=""/>
            <o:lock v:ext="edit" aspectratio="t"/>
            <w10:wrap type="none"/>
            <w10:anchorlock/>
          </v:shape>
          <o:OLEObject Type="Embed" ProgID="Visio.Drawing.15" ShapeID="_x0000_i1027" DrawAspect="Content" ObjectID="_1468075727" r:id="rId17">
            <o:LockedField>false</o:LockedField>
          </o:OLEObject>
        </w:object>
      </w:r>
    </w:p>
    <w:p w14:paraId="090AA1CA">
      <w:pPr>
        <w:ind w:firstLine="480"/>
      </w:pPr>
      <w:r>
        <w:rPr>
          <w:rFonts w:hint="eastAsia"/>
        </w:rPr>
        <w:t>用户名密码登录流程，主要步骤为：</w:t>
      </w:r>
    </w:p>
    <w:p w14:paraId="77ED7DCC">
      <w:pPr>
        <w:ind w:firstLine="480"/>
      </w:pPr>
      <w:r>
        <w:rPr>
          <w:rFonts w:hint="eastAsia"/>
        </w:rPr>
        <w:t>1、</w:t>
      </w:r>
      <w:r>
        <w:rPr>
          <w:rFonts w:hint="eastAsia"/>
        </w:rPr>
        <w:tab/>
      </w:r>
      <w:r>
        <w:rPr>
          <w:rFonts w:hint="eastAsia"/>
        </w:rPr>
        <w:t>获取用户类型和加密参数</w:t>
      </w:r>
    </w:p>
    <w:p w14:paraId="6CFFFCE2">
      <w:pPr>
        <w:ind w:firstLine="480"/>
      </w:pPr>
      <w:r>
        <w:rPr>
          <w:rFonts w:hint="eastAsia"/>
        </w:rPr>
        <w:t>2、</w:t>
      </w:r>
      <w:r>
        <w:rPr>
          <w:rFonts w:hint="eastAsia"/>
        </w:rPr>
        <w:tab/>
      </w:r>
      <w:r>
        <w:rPr>
          <w:rFonts w:hint="eastAsia"/>
        </w:rPr>
        <w:t>使用用户名和加密后的密码进行登录认证</w:t>
      </w:r>
    </w:p>
    <w:p w14:paraId="33955B05">
      <w:pPr>
        <w:ind w:firstLine="480"/>
      </w:pPr>
      <w:r>
        <w:rPr>
          <w:rFonts w:hint="eastAsia"/>
        </w:rPr>
        <w:t>3、</w:t>
      </w:r>
      <w:r>
        <w:rPr>
          <w:rFonts w:hint="eastAsia"/>
        </w:rPr>
        <w:tab/>
      </w:r>
      <w:r>
        <w:rPr>
          <w:rFonts w:hint="eastAsia"/>
        </w:rPr>
        <w:t>权限认证服务完成用户信息认证</w:t>
      </w:r>
    </w:p>
    <w:p w14:paraId="03D19E78">
      <w:pPr>
        <w:ind w:firstLine="480"/>
      </w:pPr>
      <w:r>
        <w:rPr>
          <w:rFonts w:hint="eastAsia"/>
        </w:rPr>
        <w:t>4、</w:t>
      </w:r>
      <w:r>
        <w:rPr>
          <w:rFonts w:hint="eastAsia"/>
        </w:rPr>
        <w:tab/>
      </w:r>
      <w:r>
        <w:rPr>
          <w:rFonts w:hint="eastAsia"/>
        </w:rPr>
        <w:t>调用tgtLogin，登录管理服务完成用户单点登录，返回token</w:t>
      </w:r>
    </w:p>
    <w:p w14:paraId="1BB9184B">
      <w:pPr>
        <w:ind w:firstLine="480"/>
      </w:pPr>
      <w:r>
        <w:rPr>
          <w:rFonts w:hint="eastAsia"/>
        </w:rPr>
        <w:t>5、</w:t>
      </w:r>
      <w:r>
        <w:rPr>
          <w:rFonts w:hint="eastAsia"/>
        </w:rPr>
        <w:tab/>
      </w:r>
      <w:r>
        <w:rPr>
          <w:rFonts w:hint="eastAsia"/>
        </w:rPr>
        <w:t>浏览器发起跳转，跳转到tokenLogin，登录管理服务验证token并签发ST，返回302重定向定制</w:t>
      </w:r>
    </w:p>
    <w:p w14:paraId="26E5BFA7">
      <w:pPr>
        <w:ind w:firstLine="480"/>
      </w:pPr>
      <w:r>
        <w:rPr>
          <w:rFonts w:hint="eastAsia"/>
        </w:rPr>
        <w:t>6、</w:t>
      </w:r>
      <w:r>
        <w:rPr>
          <w:rFonts w:hint="eastAsia"/>
        </w:rPr>
        <w:tab/>
      </w:r>
      <w:r>
        <w:rPr>
          <w:rFonts w:hint="eastAsia"/>
        </w:rPr>
        <w:t>浏览器重定向到sso登录地址，cas-client拦截重定向地址，向核心服务验证ST</w:t>
      </w:r>
    </w:p>
    <w:p w14:paraId="56F62B4E">
      <w:pPr>
        <w:ind w:firstLine="480"/>
      </w:pPr>
      <w:r>
        <w:rPr>
          <w:rFonts w:hint="eastAsia"/>
        </w:rPr>
        <w:t>7、</w:t>
      </w:r>
      <w:r>
        <w:rPr>
          <w:rFonts w:hint="eastAsia"/>
        </w:rPr>
        <w:tab/>
      </w:r>
      <w:r>
        <w:rPr>
          <w:rFonts w:hint="eastAsia"/>
        </w:rPr>
        <w:t>验证成功后，cas-client记录相关登录信息到seesion，并跳转到门户首页</w:t>
      </w:r>
    </w:p>
    <w:p w14:paraId="3CE82DAC">
      <w:pPr>
        <w:pStyle w:val="3"/>
        <w:rPr>
          <w:rFonts w:hint="eastAsia" w:ascii="宋体" w:hAnsi="宋体"/>
        </w:rPr>
      </w:pPr>
      <w:r>
        <w:rPr>
          <w:rFonts w:hint="eastAsia" w:ascii="宋体" w:hAnsi="宋体"/>
        </w:rPr>
        <w:t>资源查询</w:t>
      </w:r>
    </w:p>
    <w:p w14:paraId="322CED43">
      <w:pPr>
        <w:keepNext/>
        <w:ind w:firstLine="480"/>
      </w:pPr>
      <w:r>
        <w:object>
          <v:shape id="_x0000_i1028" o:spt="75" type="#_x0000_t75" style="height:241.5pt;width:389.35pt;" o:ole="t" filled="f" o:preferrelative="t" stroked="f" coordsize="21600,21600">
            <v:path/>
            <v:fill on="f" focussize="0,0"/>
            <v:stroke on="f" joinstyle="miter"/>
            <v:imagedata r:id="rId20" o:title=""/>
            <o:lock v:ext="edit" aspectratio="t"/>
            <w10:wrap type="none"/>
            <w10:anchorlock/>
          </v:shape>
          <o:OLEObject Type="Embed" ProgID="Visio.Drawing.15" ShapeID="_x0000_i1028" DrawAspect="Content" ObjectID="_1468075728" r:id="rId19">
            <o:LockedField>false</o:LockedField>
          </o:OLEObject>
        </w:object>
      </w:r>
    </w:p>
    <w:p w14:paraId="38DAFDA5">
      <w:pPr>
        <w:ind w:firstLine="480"/>
      </w:pPr>
      <w:r>
        <w:rPr>
          <w:rFonts w:hint="eastAsia"/>
        </w:rPr>
        <w:t>资源的管理和查询流程如下：</w:t>
      </w:r>
    </w:p>
    <w:p w14:paraId="44418194">
      <w:pPr>
        <w:ind w:firstLine="480"/>
      </w:pPr>
      <w:r>
        <w:rPr>
          <w:rFonts w:hint="eastAsia"/>
        </w:rPr>
        <w:t>设备管理提供设备统一录入和管理，写入设备、资源信息到数据库，资源检索提供目录区域以及卡口管理，并且支持资源集成；写入目录、区域、卡口以及集成进来的资源信息到数据库。</w:t>
      </w:r>
    </w:p>
    <w:p w14:paraId="2014D984">
      <w:pPr>
        <w:ind w:firstLine="480"/>
      </w:pPr>
      <w:r>
        <w:rPr>
          <w:rFonts w:hint="eastAsia"/>
        </w:rPr>
        <w:t>资源检索集成各种资源（设备、监控点、卡口、违法地点），将资源从数据库同步写入到elasticsearch。</w:t>
      </w:r>
    </w:p>
    <w:p w14:paraId="5AE9731F">
      <w:pPr>
        <w:ind w:firstLine="480"/>
      </w:pPr>
      <w:r>
        <w:rPr>
          <w:rFonts w:hint="eastAsia"/>
        </w:rPr>
        <w:t>基础权限管理从资源检索获取资源，并提供资源的权限配置。</w:t>
      </w:r>
    </w:p>
    <w:p w14:paraId="48F241C1">
      <w:pPr>
        <w:ind w:firstLine="480"/>
      </w:pPr>
      <w:r>
        <w:rPr>
          <w:rFonts w:hint="eastAsia"/>
        </w:rPr>
        <w:t>资源检索对外提供过权限和不过权限的资源查询接口，应用组件通过调用接口获取对应的资源信息。</w:t>
      </w:r>
    </w:p>
    <w:p w14:paraId="10D16C9F">
      <w:pPr>
        <w:pStyle w:val="3"/>
        <w:rPr>
          <w:rFonts w:hint="eastAsia" w:ascii="宋体" w:hAnsi="宋体"/>
        </w:rPr>
      </w:pPr>
      <w:r>
        <w:rPr>
          <w:rFonts w:hint="eastAsia" w:ascii="宋体" w:hAnsi="宋体"/>
        </w:rPr>
        <w:t>视频预览回放</w:t>
      </w:r>
    </w:p>
    <w:p w14:paraId="4D40CBA1">
      <w:pPr>
        <w:pStyle w:val="4"/>
      </w:pPr>
      <w:r>
        <w:rPr>
          <w:rFonts w:hint="eastAsia"/>
        </w:rPr>
        <w:t>视频预览</w:t>
      </w:r>
    </w:p>
    <w:p w14:paraId="49D0BE59">
      <w:pPr>
        <w:ind w:firstLine="480"/>
      </w:pPr>
      <w:r>
        <w:rPr>
          <w:rFonts w:hint="eastAsia"/>
        </w:rPr>
        <w:t>视频实时预览即为对监控实时画面的预览。视频预览方式主要分直连预览、非直连预览、级联预览。直连预览为平台直连设备进行预览；非直连预览为平台过设备接入组件进行预览；级联预览为平台通过视频联网网关进行预览。</w:t>
      </w:r>
    </w:p>
    <w:p w14:paraId="68233485">
      <w:pPr>
        <w:ind w:firstLine="480"/>
      </w:pPr>
      <w:r>
        <w:rPr>
          <w:rFonts w:hint="eastAsia"/>
        </w:rPr>
        <w:t>直连预览主要流程如下图：</w:t>
      </w:r>
    </w:p>
    <w:p w14:paraId="29A2CA81">
      <w:pPr>
        <w:keepNext/>
        <w:ind w:firstLine="480"/>
      </w:pPr>
      <w:r>
        <w:object>
          <v:shape id="_x0000_i1029" o:spt="75" type="#_x0000_t75" style="height:98.05pt;width:379.4pt;" o:ole="t" filled="f" o:preferrelative="t" stroked="f" coordsize="21600,21600">
            <v:path/>
            <v:fill on="f" focussize="0,0"/>
            <v:stroke on="f" joinstyle="miter"/>
            <v:imagedata r:id="rId22" o:title=""/>
            <o:lock v:ext="edit" aspectratio="t"/>
            <w10:wrap type="none"/>
            <w10:anchorlock/>
          </v:shape>
          <o:OLEObject Type="Embed" ProgID="Visio.Drawing.15" ShapeID="_x0000_i1029" DrawAspect="Content" ObjectID="_1468075729" r:id="rId21">
            <o:LockedField>false</o:LockedField>
          </o:OLEObject>
        </w:object>
      </w:r>
    </w:p>
    <w:p w14:paraId="074AB6AE">
      <w:pPr>
        <w:ind w:firstLine="480"/>
      </w:pPr>
      <w:r>
        <w:rPr>
          <w:rFonts w:hint="eastAsia"/>
        </w:rPr>
        <w:t>非直连预览主要流程如下图：</w:t>
      </w:r>
    </w:p>
    <w:p w14:paraId="4EE4C600">
      <w:pPr>
        <w:keepNext/>
        <w:ind w:firstLine="480"/>
      </w:pPr>
      <w:r>
        <w:object>
          <v:shape id="_x0000_i1030" o:spt="75" type="#_x0000_t75" style="height:89.15pt;width:385.5pt;" o:ole="t" filled="f" o:preferrelative="t" stroked="f" coordsize="21600,21600">
            <v:path/>
            <v:fill on="f" focussize="0,0"/>
            <v:stroke on="f" joinstyle="miter"/>
            <v:imagedata r:id="rId24" o:title=""/>
            <o:lock v:ext="edit" aspectratio="t"/>
            <w10:wrap type="none"/>
            <w10:anchorlock/>
          </v:shape>
          <o:OLEObject Type="Embed" ProgID="Visio.Drawing.15" ShapeID="_x0000_i1030" DrawAspect="Content" ObjectID="_1468075730" r:id="rId23">
            <o:LockedField>false</o:LockedField>
          </o:OLEObject>
        </w:object>
      </w:r>
    </w:p>
    <w:p w14:paraId="684E7CEE">
      <w:pPr>
        <w:ind w:firstLine="480"/>
      </w:pPr>
      <w:r>
        <w:rPr>
          <w:rFonts w:hint="eastAsia"/>
        </w:rPr>
        <w:t>级连预览主要流程如下图：</w:t>
      </w:r>
    </w:p>
    <w:p w14:paraId="04771ADF">
      <w:pPr>
        <w:ind w:firstLine="480"/>
      </w:pPr>
    </w:p>
    <w:p w14:paraId="66DBABCC">
      <w:pPr>
        <w:keepNext/>
        <w:ind w:firstLine="480"/>
      </w:pPr>
      <w:r>
        <w:object>
          <v:shape id="_x0000_i1031" o:spt="75" type="#_x0000_t75" style="height:219.3pt;width:386.6pt;" o:ole="t" filled="f" o:preferrelative="t" stroked="f" coordsize="21600,21600">
            <v:path/>
            <v:fill on="f" focussize="0,0"/>
            <v:stroke on="f" joinstyle="miter"/>
            <v:imagedata r:id="rId26" o:title=""/>
            <o:lock v:ext="edit" aspectratio="t"/>
            <w10:wrap type="none"/>
            <w10:anchorlock/>
          </v:shape>
          <o:OLEObject Type="Embed" ProgID="Visio.Drawing.15" ShapeID="_x0000_i1031" DrawAspect="Content" ObjectID="_1468075731" r:id="rId25">
            <o:LockedField>false</o:LockedField>
          </o:OLEObject>
        </w:object>
      </w:r>
    </w:p>
    <w:p w14:paraId="713256B4">
      <w:pPr>
        <w:pStyle w:val="4"/>
      </w:pPr>
      <w:r>
        <w:rPr>
          <w:rFonts w:hint="eastAsia"/>
        </w:rPr>
        <w:t>视频回放</w:t>
      </w:r>
    </w:p>
    <w:p w14:paraId="3335368C">
      <w:pPr>
        <w:ind w:firstLine="480"/>
      </w:pPr>
      <w:r>
        <w:rPr>
          <w:rFonts w:hint="eastAsia"/>
        </w:rPr>
        <w:t>视频回放即为对历史视频录像的查询、定位、播放、片段下载。视频回放按录像存储位置来分主要可以分为中心录像回放、设备录像回放、级联回放。中心录像回放为平台从中心存储设备取录像流进行回放；设备录像回放为平台从前端设备中取录像流进行回放；级联录像回放为平台通过视频联网网关进行回放。</w:t>
      </w:r>
    </w:p>
    <w:p w14:paraId="1D00AAF7">
      <w:pPr>
        <w:ind w:firstLine="480"/>
      </w:pPr>
      <w:r>
        <w:rPr>
          <w:rFonts w:hint="eastAsia"/>
        </w:rPr>
        <w:t>中心录像回放：</w:t>
      </w:r>
    </w:p>
    <w:p w14:paraId="1B7A55C7">
      <w:pPr>
        <w:keepNext/>
        <w:ind w:firstLine="480"/>
      </w:pPr>
      <w:r>
        <w:object>
          <v:shape id="_x0000_i1032" o:spt="75" type="#_x0000_t75" style="height:142.9pt;width:378.85pt;" o:ole="t" filled="f" o:preferrelative="t" stroked="f" coordsize="21600,21600">
            <v:path/>
            <v:fill on="f" focussize="0,0"/>
            <v:stroke on="f" joinstyle="miter"/>
            <v:imagedata r:id="rId28" o:title=""/>
            <o:lock v:ext="edit" aspectratio="t"/>
            <w10:wrap type="none"/>
            <w10:anchorlock/>
          </v:shape>
          <o:OLEObject Type="Embed" ProgID="Visio.Drawing.15" ShapeID="_x0000_i1032" DrawAspect="Content" ObjectID="_1468075732" r:id="rId27">
            <o:LockedField>false</o:LockedField>
          </o:OLEObject>
        </w:object>
      </w:r>
    </w:p>
    <w:p w14:paraId="576603DF">
      <w:pPr>
        <w:keepNext/>
        <w:ind w:firstLine="480"/>
      </w:pPr>
      <w:r>
        <w:rPr>
          <w:rFonts w:hint="eastAsia"/>
        </w:rPr>
        <w:t>设备录像回放：</w:t>
      </w:r>
    </w:p>
    <w:p w14:paraId="1C0818A0">
      <w:pPr>
        <w:keepNext/>
        <w:ind w:firstLine="480"/>
      </w:pPr>
      <w:r>
        <w:object>
          <v:shape id="_x0000_i1033" o:spt="75" type="#_x0000_t75" style="height:144pt;width:383.8pt;" o:ole="t" filled="f" o:preferrelative="t" stroked="f" coordsize="21600,21600">
            <v:path/>
            <v:fill on="f" focussize="0,0"/>
            <v:stroke on="f" joinstyle="miter"/>
            <v:imagedata r:id="rId30" o:title=""/>
            <o:lock v:ext="edit" aspectratio="t"/>
            <w10:wrap type="none"/>
            <w10:anchorlock/>
          </v:shape>
          <o:OLEObject Type="Embed" ProgID="Visio.Drawing.15" ShapeID="_x0000_i1033" DrawAspect="Content" ObjectID="_1468075733" r:id="rId29">
            <o:LockedField>false</o:LockedField>
          </o:OLEObject>
        </w:object>
      </w:r>
    </w:p>
    <w:p w14:paraId="41D877D9">
      <w:pPr>
        <w:keepNext/>
        <w:ind w:firstLine="480"/>
      </w:pPr>
      <w:r>
        <w:rPr>
          <w:rFonts w:hint="eastAsia"/>
        </w:rPr>
        <w:t>级联录像回放：</w:t>
      </w:r>
    </w:p>
    <w:p w14:paraId="4CCD3B67">
      <w:pPr>
        <w:keepNext/>
        <w:ind w:firstLine="480"/>
      </w:pPr>
      <w:r>
        <w:object>
          <v:shape id="_x0000_i1034" o:spt="75" type="#_x0000_t75" style="height:282.45pt;width:390.45pt;" o:ole="t" filled="f" o:preferrelative="t" stroked="f" coordsize="21600,21600">
            <v:path/>
            <v:fill on="f" focussize="0,0"/>
            <v:stroke on="f" joinstyle="miter"/>
            <v:imagedata r:id="rId32" o:title=""/>
            <o:lock v:ext="edit" aspectratio="t"/>
            <w10:wrap type="none"/>
            <w10:anchorlock/>
          </v:shape>
          <o:OLEObject Type="Embed" ProgID="Visio.Drawing.15" ShapeID="_x0000_i1034" DrawAspect="Content" ObjectID="_1468075734" r:id="rId31">
            <o:LockedField>false</o:LockedField>
          </o:OLEObject>
        </w:object>
      </w:r>
    </w:p>
    <w:p w14:paraId="7DB1CFF9">
      <w:pPr>
        <w:pStyle w:val="3"/>
        <w:rPr>
          <w:rFonts w:hint="eastAsia" w:ascii="宋体" w:hAnsi="宋体"/>
        </w:rPr>
      </w:pPr>
      <w:r>
        <w:rPr>
          <w:rFonts w:hint="eastAsia" w:ascii="宋体" w:hAnsi="宋体"/>
        </w:rPr>
        <w:t>感知数据采集</w:t>
      </w:r>
    </w:p>
    <w:p w14:paraId="368FA97D">
      <w:pPr>
        <w:ind w:firstLine="480"/>
      </w:pPr>
      <w:r>
        <w:rPr>
          <w:rFonts w:hint="eastAsia"/>
        </w:rPr>
        <w:t>车辆识别采集流程：</w:t>
      </w:r>
    </w:p>
    <w:p w14:paraId="298480AA">
      <w:pPr>
        <w:keepNext/>
        <w:ind w:firstLine="480"/>
      </w:pPr>
      <w:r>
        <w:object>
          <v:shape id="_x0000_i1035" o:spt="75" type="#_x0000_t75" style="height:234.85pt;width:379.4pt;" o:ole="t" filled="f" o:preferrelative="t" stroked="f" coordsize="21600,21600">
            <v:path/>
            <v:fill on="f" focussize="0,0"/>
            <v:stroke on="f" joinstyle="miter"/>
            <v:imagedata r:id="rId34" o:title=""/>
            <o:lock v:ext="edit" aspectratio="t"/>
            <w10:wrap type="none"/>
            <w10:anchorlock/>
          </v:shape>
          <o:OLEObject Type="Embed" ProgID="Visio.Drawing.15" ShapeID="_x0000_i1035" DrawAspect="Content" ObjectID="_1468075735" r:id="rId33">
            <o:LockedField>false</o:LockedField>
          </o:OLEObject>
        </w:object>
      </w:r>
    </w:p>
    <w:p w14:paraId="29321732">
      <w:pPr>
        <w:ind w:firstLine="480"/>
      </w:pPr>
      <w:r>
        <w:rPr>
          <w:rFonts w:hint="eastAsia"/>
        </w:rPr>
        <w:t>车辆违章采集流程：</w:t>
      </w:r>
    </w:p>
    <w:p w14:paraId="112D05D0">
      <w:pPr>
        <w:keepNext/>
        <w:ind w:firstLine="480"/>
        <w:jc w:val="center"/>
      </w:pPr>
      <w:r>
        <w:object>
          <v:shape id="_x0000_i1036" o:spt="75" type="#_x0000_t75" style="height:168.9pt;width:372.75pt;" o:ole="t" filled="f" o:preferrelative="t" stroked="f" coordsize="21600,21600">
            <v:path/>
            <v:fill on="f" focussize="0,0"/>
            <v:stroke on="f" joinstyle="miter"/>
            <v:imagedata r:id="rId36" o:title=""/>
            <o:lock v:ext="edit" aspectratio="t"/>
            <w10:wrap type="none"/>
            <w10:anchorlock/>
          </v:shape>
          <o:OLEObject Type="Embed" ProgID="Visio.Drawing.15" ShapeID="_x0000_i1036" DrawAspect="Content" ObjectID="_1468075736" r:id="rId35">
            <o:LockedField>false</o:LockedField>
          </o:OLEObject>
        </w:object>
      </w:r>
    </w:p>
    <w:p w14:paraId="2569B2FD">
      <w:pPr>
        <w:pStyle w:val="7"/>
        <w:rPr>
          <w:rFonts w:hint="eastAsia"/>
        </w:rPr>
      </w:pPr>
    </w:p>
    <w:p w14:paraId="7247741C">
      <w:pPr>
        <w:pStyle w:val="3"/>
        <w:rPr>
          <w:rFonts w:hint="eastAsia" w:ascii="宋体" w:hAnsi="宋体"/>
        </w:rPr>
      </w:pPr>
      <w:r>
        <w:rPr>
          <w:rFonts w:hint="eastAsia" w:ascii="宋体" w:hAnsi="宋体"/>
        </w:rPr>
        <w:t>布控告警</w:t>
      </w:r>
    </w:p>
    <w:p w14:paraId="3A3E5793">
      <w:pPr>
        <w:keepNext/>
        <w:ind w:firstLine="480"/>
      </w:pPr>
      <w:r>
        <w:object>
          <v:shape id="_x0000_i1037" o:spt="75" type="#_x0000_t75" style="height:220.45pt;width:384.9pt;" o:ole="t" filled="f" o:preferrelative="t" stroked="f" coordsize="21600,21600">
            <v:path/>
            <v:fill on="f" focussize="0,0"/>
            <v:stroke on="f" joinstyle="miter"/>
            <v:imagedata r:id="rId38" o:title=""/>
            <o:lock v:ext="edit" aspectratio="t"/>
            <w10:wrap type="none"/>
            <w10:anchorlock/>
          </v:shape>
          <o:OLEObject Type="Embed" ProgID="Visio.Drawing.15" ShapeID="_x0000_i1037" DrawAspect="Content" ObjectID="_1468075737" r:id="rId37">
            <o:LockedField>false</o:LockedField>
          </o:OLEObject>
        </w:object>
      </w:r>
    </w:p>
    <w:p w14:paraId="04B2708E">
      <w:pPr>
        <w:pStyle w:val="14"/>
      </w:pPr>
    </w:p>
    <w:p w14:paraId="4C94BC5F">
      <w:pPr>
        <w:pStyle w:val="3"/>
        <w:rPr>
          <w:rFonts w:hint="eastAsia" w:ascii="宋体" w:hAnsi="宋体"/>
        </w:rPr>
      </w:pPr>
      <w:r>
        <w:rPr>
          <w:rFonts w:ascii="宋体" w:hAnsi="宋体"/>
        </w:rPr>
        <w:t>信号控制</w:t>
      </w:r>
    </w:p>
    <w:p w14:paraId="010B589D">
      <w:pPr>
        <w:keepNext/>
        <w:ind w:firstLine="480"/>
        <w:jc w:val="center"/>
      </w:pPr>
      <w:r>
        <w:object>
          <v:shape id="_x0000_i1038" o:spt="75" type="#_x0000_t75" style="height:294.65pt;width:398.75pt;" o:ole="t" filled="f" o:preferrelative="t" stroked="f" coordsize="21600,21600">
            <v:path/>
            <v:fill on="f" focussize="0,0"/>
            <v:stroke on="f" joinstyle="miter"/>
            <v:imagedata r:id="rId40" o:title=""/>
            <o:lock v:ext="edit" aspectratio="t"/>
            <w10:wrap type="none"/>
            <w10:anchorlock/>
          </v:shape>
          <o:OLEObject Type="Embed" ProgID="Visio.Drawing.15" ShapeID="_x0000_i1038" DrawAspect="Content" ObjectID="_1468075738" r:id="rId39">
            <o:LockedField>false</o:LockedField>
          </o:OLEObject>
        </w:object>
      </w:r>
    </w:p>
    <w:p w14:paraId="32C571C1">
      <w:pPr>
        <w:keepNext/>
        <w:ind w:firstLine="480"/>
      </w:pPr>
      <w:r>
        <w:object>
          <v:shape id="_x0000_i1039" o:spt="75" type="#_x0000_t75" style="height:179.45pt;width:414.3pt;" o:ole="t" filled="f" o:preferrelative="t" stroked="f" coordsize="21600,21600">
            <v:path/>
            <v:fill on="f" focussize="0,0"/>
            <v:stroke on="f" joinstyle="miter"/>
            <v:imagedata r:id="rId42" o:title=""/>
            <o:lock v:ext="edit" aspectratio="t"/>
            <w10:wrap type="none"/>
            <w10:anchorlock/>
          </v:shape>
          <o:OLEObject Type="Embed" ProgID="Visio.Drawing.15" ShapeID="_x0000_i1039" DrawAspect="Content" ObjectID="_1468075739" r:id="rId41">
            <o:LockedField>false</o:LockedField>
          </o:OLEObject>
        </w:object>
      </w:r>
    </w:p>
    <w:p w14:paraId="57C7F47B">
      <w:pPr>
        <w:ind w:firstLine="0" w:firstLineChars="0"/>
      </w:pPr>
    </w:p>
    <w:p w14:paraId="2485A4B9">
      <w:pPr>
        <w:pStyle w:val="2"/>
      </w:pPr>
      <w:r>
        <w:rPr>
          <w:rFonts w:hint="eastAsia"/>
        </w:rPr>
        <w:t>建设内容要求</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2"/>
        <w:gridCol w:w="1558"/>
        <w:gridCol w:w="1615"/>
        <w:gridCol w:w="2733"/>
        <w:gridCol w:w="708"/>
        <w:gridCol w:w="930"/>
      </w:tblGrid>
      <w:tr w14:paraId="1B83C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08F32B">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序号</w:t>
            </w:r>
          </w:p>
        </w:tc>
        <w:tc>
          <w:tcPr>
            <w:tcW w:w="1558" w:type="dxa"/>
            <w:shd w:val="clear" w:color="auto" w:fill="auto"/>
            <w:vAlign w:val="center"/>
          </w:tcPr>
          <w:p w14:paraId="3A6597C8">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采购项目</w:t>
            </w:r>
          </w:p>
        </w:tc>
        <w:tc>
          <w:tcPr>
            <w:tcW w:w="1615" w:type="dxa"/>
            <w:shd w:val="clear" w:color="auto" w:fill="auto"/>
            <w:vAlign w:val="center"/>
          </w:tcPr>
          <w:p w14:paraId="667CA15B">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采购子项</w:t>
            </w:r>
          </w:p>
        </w:tc>
        <w:tc>
          <w:tcPr>
            <w:tcW w:w="2733" w:type="dxa"/>
            <w:shd w:val="clear" w:color="auto" w:fill="auto"/>
            <w:vAlign w:val="center"/>
          </w:tcPr>
          <w:p w14:paraId="564707C2">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采购子模块</w:t>
            </w:r>
          </w:p>
        </w:tc>
        <w:tc>
          <w:tcPr>
            <w:tcW w:w="708" w:type="dxa"/>
            <w:shd w:val="clear" w:color="auto" w:fill="auto"/>
            <w:vAlign w:val="center"/>
          </w:tcPr>
          <w:p w14:paraId="7E01864C">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单位</w:t>
            </w:r>
          </w:p>
        </w:tc>
        <w:tc>
          <w:tcPr>
            <w:tcW w:w="930" w:type="dxa"/>
            <w:shd w:val="clear" w:color="auto" w:fill="auto"/>
            <w:vAlign w:val="center"/>
          </w:tcPr>
          <w:p w14:paraId="1B8A163C">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数量</w:t>
            </w:r>
          </w:p>
        </w:tc>
      </w:tr>
      <w:tr w14:paraId="53BFC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8D340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558" w:type="dxa"/>
            <w:vMerge w:val="restart"/>
            <w:shd w:val="clear" w:color="auto" w:fill="auto"/>
            <w:noWrap/>
            <w:vAlign w:val="center"/>
          </w:tcPr>
          <w:p w14:paraId="4B5D64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信号控制系统联网</w:t>
            </w:r>
          </w:p>
        </w:tc>
        <w:tc>
          <w:tcPr>
            <w:tcW w:w="1615" w:type="dxa"/>
            <w:vMerge w:val="restart"/>
            <w:shd w:val="clear" w:color="auto" w:fill="auto"/>
            <w:noWrap/>
            <w:vAlign w:val="center"/>
          </w:tcPr>
          <w:p w14:paraId="58E1CC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山兰大厦路口</w:t>
            </w:r>
          </w:p>
        </w:tc>
        <w:tc>
          <w:tcPr>
            <w:tcW w:w="2733" w:type="dxa"/>
            <w:shd w:val="clear" w:color="auto" w:fill="auto"/>
            <w:noWrap/>
            <w:vAlign w:val="center"/>
          </w:tcPr>
          <w:p w14:paraId="69764CC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7A6C94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32892E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125F2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F7152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558" w:type="dxa"/>
            <w:vMerge w:val="continue"/>
            <w:vAlign w:val="center"/>
          </w:tcPr>
          <w:p w14:paraId="39808F5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408566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EE848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708" w:type="dxa"/>
            <w:shd w:val="clear" w:color="auto" w:fill="auto"/>
            <w:noWrap/>
            <w:vAlign w:val="center"/>
          </w:tcPr>
          <w:p w14:paraId="502693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72FA96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180AC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7DB98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558" w:type="dxa"/>
            <w:vMerge w:val="continue"/>
            <w:vAlign w:val="center"/>
          </w:tcPr>
          <w:p w14:paraId="6E82810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F9E155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EA4511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708" w:type="dxa"/>
            <w:shd w:val="clear" w:color="auto" w:fill="auto"/>
            <w:noWrap/>
            <w:vAlign w:val="center"/>
          </w:tcPr>
          <w:p w14:paraId="50C7AD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175AF8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7C2AA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FC45A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558" w:type="dxa"/>
            <w:vMerge w:val="continue"/>
            <w:vAlign w:val="center"/>
          </w:tcPr>
          <w:p w14:paraId="5AC3385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E549DC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F36663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44FB19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00B4A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FD4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AF1D2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558" w:type="dxa"/>
            <w:vMerge w:val="continue"/>
            <w:vAlign w:val="center"/>
          </w:tcPr>
          <w:p w14:paraId="7A24115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4BA4F4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A816AB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21E86A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C464B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3AEC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593DB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558" w:type="dxa"/>
            <w:vMerge w:val="continue"/>
            <w:vAlign w:val="center"/>
          </w:tcPr>
          <w:p w14:paraId="74638AC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9CFEF8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925C66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2939DA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B86F6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132EE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4042A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558" w:type="dxa"/>
            <w:vMerge w:val="continue"/>
            <w:vAlign w:val="center"/>
          </w:tcPr>
          <w:p w14:paraId="7ED0D16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BFF77E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2A888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16879D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BAAD1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2A395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BB1D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558" w:type="dxa"/>
            <w:vMerge w:val="continue"/>
            <w:vAlign w:val="center"/>
          </w:tcPr>
          <w:p w14:paraId="0D74281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C326DD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5ACC4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7FFB0B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CF47B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5DC1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4DB66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558" w:type="dxa"/>
            <w:vMerge w:val="continue"/>
            <w:vAlign w:val="center"/>
          </w:tcPr>
          <w:p w14:paraId="2005C83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8DF763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FC632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017FFC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60B98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3DDD9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775F0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558" w:type="dxa"/>
            <w:vMerge w:val="continue"/>
            <w:vAlign w:val="center"/>
          </w:tcPr>
          <w:p w14:paraId="528C97D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6AA54A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7F8E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5B8A7E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B2678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548BB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2CDF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558" w:type="dxa"/>
            <w:vMerge w:val="continue"/>
            <w:vAlign w:val="center"/>
          </w:tcPr>
          <w:p w14:paraId="4981F03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8E94A8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8DC904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5098DE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3A8FA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6E7C8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F2F13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558" w:type="dxa"/>
            <w:vMerge w:val="continue"/>
            <w:vAlign w:val="center"/>
          </w:tcPr>
          <w:p w14:paraId="1BFAB15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B7130D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06C703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1B19D7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9697A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r>
      <w:tr w14:paraId="1075B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9E15C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558" w:type="dxa"/>
            <w:vMerge w:val="continue"/>
            <w:vAlign w:val="center"/>
          </w:tcPr>
          <w:p w14:paraId="15B4EBE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58CA86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零公里路口</w:t>
            </w:r>
          </w:p>
        </w:tc>
        <w:tc>
          <w:tcPr>
            <w:tcW w:w="2733" w:type="dxa"/>
            <w:shd w:val="clear" w:color="auto" w:fill="auto"/>
            <w:noWrap/>
            <w:vAlign w:val="center"/>
          </w:tcPr>
          <w:p w14:paraId="6CA84BE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0F73DF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6B5755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749C1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F4AE7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558" w:type="dxa"/>
            <w:vMerge w:val="continue"/>
            <w:vAlign w:val="center"/>
          </w:tcPr>
          <w:p w14:paraId="479BFC6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63019F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E62262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565E69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7F0EC4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25770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3708F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558" w:type="dxa"/>
            <w:vMerge w:val="continue"/>
            <w:vAlign w:val="center"/>
          </w:tcPr>
          <w:p w14:paraId="304579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441DC4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DADB4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708" w:type="dxa"/>
            <w:shd w:val="clear" w:color="auto" w:fill="auto"/>
            <w:noWrap/>
            <w:vAlign w:val="center"/>
          </w:tcPr>
          <w:p w14:paraId="2BFE81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5DCD3B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2216F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22985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558" w:type="dxa"/>
            <w:vMerge w:val="continue"/>
            <w:vAlign w:val="center"/>
          </w:tcPr>
          <w:p w14:paraId="6DE4BDD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B52E6A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668361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708" w:type="dxa"/>
            <w:shd w:val="clear" w:color="auto" w:fill="auto"/>
            <w:noWrap/>
            <w:vAlign w:val="center"/>
          </w:tcPr>
          <w:p w14:paraId="56F0EA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735F17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736BC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68954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558" w:type="dxa"/>
            <w:vMerge w:val="continue"/>
            <w:vAlign w:val="center"/>
          </w:tcPr>
          <w:p w14:paraId="3D6CB15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DDCBB3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806E79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6BEECDE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35D75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21D6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9108D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558" w:type="dxa"/>
            <w:vMerge w:val="continue"/>
            <w:vAlign w:val="center"/>
          </w:tcPr>
          <w:p w14:paraId="5B08819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060121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0A2B17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6C7F8D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45BD5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43F7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C2360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558" w:type="dxa"/>
            <w:vMerge w:val="continue"/>
            <w:vAlign w:val="center"/>
          </w:tcPr>
          <w:p w14:paraId="344CA06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AB18B3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837B9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5CE151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B0970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r>
      <w:tr w14:paraId="19C6A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263CB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558" w:type="dxa"/>
            <w:vMerge w:val="continue"/>
            <w:vAlign w:val="center"/>
          </w:tcPr>
          <w:p w14:paraId="5983BD6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E05FD9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6DDAC1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7120F2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7F7D5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00059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5F60A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558" w:type="dxa"/>
            <w:vMerge w:val="continue"/>
            <w:vAlign w:val="center"/>
          </w:tcPr>
          <w:p w14:paraId="7B0B11E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BABA7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09112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5887F7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32C27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4A8F8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7DB3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558" w:type="dxa"/>
            <w:vMerge w:val="continue"/>
            <w:vAlign w:val="center"/>
          </w:tcPr>
          <w:p w14:paraId="5B52CF8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2F0730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D7A304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439B18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001A7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r>
      <w:tr w14:paraId="0D58A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4B03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558" w:type="dxa"/>
            <w:vMerge w:val="continue"/>
            <w:vAlign w:val="center"/>
          </w:tcPr>
          <w:p w14:paraId="1ECC064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419E4B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06894F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072819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870E0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025A1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DA9F8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558" w:type="dxa"/>
            <w:vMerge w:val="continue"/>
            <w:vAlign w:val="center"/>
          </w:tcPr>
          <w:p w14:paraId="1CB660C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BAAF71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8D6674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2443F5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E1C64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AF6B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4ABD3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w:t>
            </w:r>
          </w:p>
        </w:tc>
        <w:tc>
          <w:tcPr>
            <w:tcW w:w="1558" w:type="dxa"/>
            <w:vMerge w:val="continue"/>
            <w:vAlign w:val="center"/>
          </w:tcPr>
          <w:p w14:paraId="5EE0645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176B92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2A9A23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60C140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70C5AF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1E388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57768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w:t>
            </w:r>
          </w:p>
        </w:tc>
        <w:tc>
          <w:tcPr>
            <w:tcW w:w="1558" w:type="dxa"/>
            <w:vMerge w:val="continue"/>
            <w:vAlign w:val="center"/>
          </w:tcPr>
          <w:p w14:paraId="20FA1D9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4CDD4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DD2B1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56EEB1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E1171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7C052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CF3D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w:t>
            </w:r>
          </w:p>
        </w:tc>
        <w:tc>
          <w:tcPr>
            <w:tcW w:w="1558" w:type="dxa"/>
            <w:vMerge w:val="continue"/>
            <w:vAlign w:val="center"/>
          </w:tcPr>
          <w:p w14:paraId="1E72E5C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8E5722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5586BB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3C289A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CC3BB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7E1C7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D3D6F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w:t>
            </w:r>
          </w:p>
        </w:tc>
        <w:tc>
          <w:tcPr>
            <w:tcW w:w="1558" w:type="dxa"/>
            <w:vMerge w:val="continue"/>
            <w:vAlign w:val="center"/>
          </w:tcPr>
          <w:p w14:paraId="68DE43F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1E182D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36549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4FC078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5E931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r>
      <w:tr w14:paraId="1F6A9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419EA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w:t>
            </w:r>
          </w:p>
        </w:tc>
        <w:tc>
          <w:tcPr>
            <w:tcW w:w="1558" w:type="dxa"/>
            <w:vMerge w:val="continue"/>
            <w:vAlign w:val="center"/>
          </w:tcPr>
          <w:p w14:paraId="11365C4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6D7F0D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国兴大道-兴教路路口</w:t>
            </w:r>
          </w:p>
        </w:tc>
        <w:tc>
          <w:tcPr>
            <w:tcW w:w="2733" w:type="dxa"/>
            <w:shd w:val="clear" w:color="auto" w:fill="auto"/>
            <w:noWrap/>
            <w:vAlign w:val="center"/>
          </w:tcPr>
          <w:p w14:paraId="3E369F9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5094B8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74814C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2FB6F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2CB8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w:t>
            </w:r>
          </w:p>
        </w:tc>
        <w:tc>
          <w:tcPr>
            <w:tcW w:w="1558" w:type="dxa"/>
            <w:vMerge w:val="continue"/>
            <w:vAlign w:val="center"/>
          </w:tcPr>
          <w:p w14:paraId="46ACBA4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B7390A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B816CD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3F38B4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7D7C96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0673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85672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w:t>
            </w:r>
          </w:p>
        </w:tc>
        <w:tc>
          <w:tcPr>
            <w:tcW w:w="1558" w:type="dxa"/>
            <w:vMerge w:val="continue"/>
            <w:vAlign w:val="center"/>
          </w:tcPr>
          <w:p w14:paraId="478498E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4EB0B2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818596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708" w:type="dxa"/>
            <w:shd w:val="clear" w:color="auto" w:fill="auto"/>
            <w:noWrap/>
            <w:vAlign w:val="center"/>
          </w:tcPr>
          <w:p w14:paraId="292968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34A671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70E8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2E5FD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w:t>
            </w:r>
          </w:p>
        </w:tc>
        <w:tc>
          <w:tcPr>
            <w:tcW w:w="1558" w:type="dxa"/>
            <w:vMerge w:val="continue"/>
            <w:vAlign w:val="center"/>
          </w:tcPr>
          <w:p w14:paraId="0C398EC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7274C4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A4F2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708" w:type="dxa"/>
            <w:shd w:val="clear" w:color="auto" w:fill="auto"/>
            <w:noWrap/>
            <w:vAlign w:val="center"/>
          </w:tcPr>
          <w:p w14:paraId="27FA6A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4CE061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2AF63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44E6E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w:t>
            </w:r>
          </w:p>
        </w:tc>
        <w:tc>
          <w:tcPr>
            <w:tcW w:w="1558" w:type="dxa"/>
            <w:vMerge w:val="continue"/>
            <w:vAlign w:val="center"/>
          </w:tcPr>
          <w:p w14:paraId="2FFF726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5D548D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2573A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376CA3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DCD60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30FC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3B0AA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w:t>
            </w:r>
          </w:p>
        </w:tc>
        <w:tc>
          <w:tcPr>
            <w:tcW w:w="1558" w:type="dxa"/>
            <w:vMerge w:val="continue"/>
            <w:vAlign w:val="center"/>
          </w:tcPr>
          <w:p w14:paraId="6B940CB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9B9082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A7A65D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04A26A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5D90E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4B25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594F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w:t>
            </w:r>
          </w:p>
        </w:tc>
        <w:tc>
          <w:tcPr>
            <w:tcW w:w="1558" w:type="dxa"/>
            <w:vMerge w:val="continue"/>
            <w:vAlign w:val="center"/>
          </w:tcPr>
          <w:p w14:paraId="634C19F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98D46F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BE74B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33388C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B6ECC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03C2C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A0206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w:t>
            </w:r>
          </w:p>
        </w:tc>
        <w:tc>
          <w:tcPr>
            <w:tcW w:w="1558" w:type="dxa"/>
            <w:vMerge w:val="continue"/>
            <w:vAlign w:val="center"/>
          </w:tcPr>
          <w:p w14:paraId="4ACC866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34DB8C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7B7429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4C82D5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23CDB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37F99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1DA68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w:t>
            </w:r>
          </w:p>
        </w:tc>
        <w:tc>
          <w:tcPr>
            <w:tcW w:w="1558" w:type="dxa"/>
            <w:vMerge w:val="continue"/>
            <w:vAlign w:val="center"/>
          </w:tcPr>
          <w:p w14:paraId="12E59CA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DB7983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75694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2F945F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A2F69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3DB10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C2546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w:t>
            </w:r>
          </w:p>
        </w:tc>
        <w:tc>
          <w:tcPr>
            <w:tcW w:w="1558" w:type="dxa"/>
            <w:vMerge w:val="continue"/>
            <w:vAlign w:val="center"/>
          </w:tcPr>
          <w:p w14:paraId="3D18790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EE8322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CD8BA8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017824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911DF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r>
      <w:tr w14:paraId="6C835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C4CB8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w:t>
            </w:r>
          </w:p>
        </w:tc>
        <w:tc>
          <w:tcPr>
            <w:tcW w:w="1558" w:type="dxa"/>
            <w:vMerge w:val="continue"/>
            <w:vAlign w:val="center"/>
          </w:tcPr>
          <w:p w14:paraId="363BD3A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032BC7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574766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7FEDF8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7596B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2B537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66D5B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w:t>
            </w:r>
          </w:p>
        </w:tc>
        <w:tc>
          <w:tcPr>
            <w:tcW w:w="1558" w:type="dxa"/>
            <w:vMerge w:val="continue"/>
            <w:vAlign w:val="center"/>
          </w:tcPr>
          <w:p w14:paraId="2C61954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A93B9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5608F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347145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78713D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7BB5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CEF52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w:t>
            </w:r>
          </w:p>
        </w:tc>
        <w:tc>
          <w:tcPr>
            <w:tcW w:w="1558" w:type="dxa"/>
            <w:vMerge w:val="continue"/>
            <w:vAlign w:val="center"/>
          </w:tcPr>
          <w:p w14:paraId="442E696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38E246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F166B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5A1A00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2920A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r>
      <w:tr w14:paraId="25243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A2ECE5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w:t>
            </w:r>
          </w:p>
        </w:tc>
        <w:tc>
          <w:tcPr>
            <w:tcW w:w="1558" w:type="dxa"/>
            <w:vMerge w:val="continue"/>
            <w:vAlign w:val="center"/>
          </w:tcPr>
          <w:p w14:paraId="50AF546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14590A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4CAB7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3FE5CE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E2539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67E22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AB654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w:t>
            </w:r>
          </w:p>
        </w:tc>
        <w:tc>
          <w:tcPr>
            <w:tcW w:w="1558" w:type="dxa"/>
            <w:vMerge w:val="continue"/>
            <w:vAlign w:val="center"/>
          </w:tcPr>
          <w:p w14:paraId="3FC42DF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2497F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AE728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410CE9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761A4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30614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9C3DE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w:t>
            </w:r>
          </w:p>
        </w:tc>
        <w:tc>
          <w:tcPr>
            <w:tcW w:w="1558" w:type="dxa"/>
            <w:vMerge w:val="continue"/>
            <w:vAlign w:val="center"/>
          </w:tcPr>
          <w:p w14:paraId="1A39158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AFAACC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DC37A5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6F38C4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FC9EB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r>
      <w:tr w14:paraId="7F338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4E64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w:t>
            </w:r>
          </w:p>
        </w:tc>
        <w:tc>
          <w:tcPr>
            <w:tcW w:w="1558" w:type="dxa"/>
            <w:vMerge w:val="continue"/>
            <w:vAlign w:val="center"/>
          </w:tcPr>
          <w:p w14:paraId="40617C8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76F2074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国兴大道-龙溪路路口</w:t>
            </w:r>
          </w:p>
        </w:tc>
        <w:tc>
          <w:tcPr>
            <w:tcW w:w="2733" w:type="dxa"/>
            <w:shd w:val="clear" w:color="auto" w:fill="auto"/>
            <w:noWrap/>
            <w:vAlign w:val="center"/>
          </w:tcPr>
          <w:p w14:paraId="3E0EF5C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5EF7C7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62A216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3D3AD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70933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w:t>
            </w:r>
          </w:p>
        </w:tc>
        <w:tc>
          <w:tcPr>
            <w:tcW w:w="1558" w:type="dxa"/>
            <w:vMerge w:val="continue"/>
            <w:vAlign w:val="center"/>
          </w:tcPr>
          <w:p w14:paraId="371619D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5EB28F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990A63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0D445A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124A08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5144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5F3D4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w:t>
            </w:r>
          </w:p>
        </w:tc>
        <w:tc>
          <w:tcPr>
            <w:tcW w:w="1558" w:type="dxa"/>
            <w:vMerge w:val="continue"/>
            <w:vAlign w:val="center"/>
          </w:tcPr>
          <w:p w14:paraId="463889D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20C686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10EF2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708" w:type="dxa"/>
            <w:shd w:val="clear" w:color="auto" w:fill="auto"/>
            <w:noWrap/>
            <w:vAlign w:val="center"/>
          </w:tcPr>
          <w:p w14:paraId="2573DE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691E7A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78EA0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4D228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w:t>
            </w:r>
          </w:p>
        </w:tc>
        <w:tc>
          <w:tcPr>
            <w:tcW w:w="1558" w:type="dxa"/>
            <w:vMerge w:val="continue"/>
            <w:vAlign w:val="center"/>
          </w:tcPr>
          <w:p w14:paraId="1D67B04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DE36DF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8FE57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708" w:type="dxa"/>
            <w:shd w:val="clear" w:color="auto" w:fill="auto"/>
            <w:noWrap/>
            <w:vAlign w:val="center"/>
          </w:tcPr>
          <w:p w14:paraId="206047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2891B5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5AFF5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52682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49</w:t>
            </w:r>
          </w:p>
        </w:tc>
        <w:tc>
          <w:tcPr>
            <w:tcW w:w="1558" w:type="dxa"/>
            <w:vMerge w:val="continue"/>
            <w:vAlign w:val="center"/>
          </w:tcPr>
          <w:p w14:paraId="71792D8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0D4DB8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0F5AB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3BC993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F1D1D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33C8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1FDB2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w:t>
            </w:r>
          </w:p>
        </w:tc>
        <w:tc>
          <w:tcPr>
            <w:tcW w:w="1558" w:type="dxa"/>
            <w:vMerge w:val="continue"/>
            <w:vAlign w:val="center"/>
          </w:tcPr>
          <w:p w14:paraId="4CA60B1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904A9C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2F12BA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592383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26B23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2B01A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3A81E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w:t>
            </w:r>
          </w:p>
        </w:tc>
        <w:tc>
          <w:tcPr>
            <w:tcW w:w="1558" w:type="dxa"/>
            <w:vMerge w:val="continue"/>
            <w:vAlign w:val="center"/>
          </w:tcPr>
          <w:p w14:paraId="439C43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CC53B7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58713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7A0CBC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5975E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330</w:t>
            </w:r>
          </w:p>
        </w:tc>
      </w:tr>
      <w:tr w14:paraId="5E988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4BE0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w:t>
            </w:r>
          </w:p>
        </w:tc>
        <w:tc>
          <w:tcPr>
            <w:tcW w:w="1558" w:type="dxa"/>
            <w:vMerge w:val="continue"/>
            <w:vAlign w:val="center"/>
          </w:tcPr>
          <w:p w14:paraId="6EEA5C7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FEA52F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B7DB2C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30418A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D63F4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r>
      <w:tr w14:paraId="7154D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DD40C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53</w:t>
            </w:r>
          </w:p>
        </w:tc>
        <w:tc>
          <w:tcPr>
            <w:tcW w:w="1558" w:type="dxa"/>
            <w:vMerge w:val="continue"/>
            <w:vAlign w:val="center"/>
          </w:tcPr>
          <w:p w14:paraId="6AE6832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8419CA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8244CE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23A7DC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9CE10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r>
      <w:tr w14:paraId="5C04C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E1F92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54</w:t>
            </w:r>
          </w:p>
        </w:tc>
        <w:tc>
          <w:tcPr>
            <w:tcW w:w="1558" w:type="dxa"/>
            <w:vMerge w:val="continue"/>
            <w:vAlign w:val="center"/>
          </w:tcPr>
          <w:p w14:paraId="7C3E095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F84FF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B2104D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7CC43A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EF4AF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100</w:t>
            </w:r>
          </w:p>
        </w:tc>
      </w:tr>
      <w:tr w14:paraId="1C300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DC0D0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55</w:t>
            </w:r>
          </w:p>
        </w:tc>
        <w:tc>
          <w:tcPr>
            <w:tcW w:w="1558" w:type="dxa"/>
            <w:vMerge w:val="continue"/>
            <w:vAlign w:val="center"/>
          </w:tcPr>
          <w:p w14:paraId="290C4E1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1D998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297DE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175039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7BAFA3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48BAC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0607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56</w:t>
            </w:r>
          </w:p>
        </w:tc>
        <w:tc>
          <w:tcPr>
            <w:tcW w:w="1558" w:type="dxa"/>
            <w:vMerge w:val="continue"/>
            <w:vAlign w:val="center"/>
          </w:tcPr>
          <w:p w14:paraId="7767194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94244F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E5C6EC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0B139B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A49B5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1B39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3289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57</w:t>
            </w:r>
          </w:p>
        </w:tc>
        <w:tc>
          <w:tcPr>
            <w:tcW w:w="1558" w:type="dxa"/>
            <w:vMerge w:val="continue"/>
            <w:vAlign w:val="center"/>
          </w:tcPr>
          <w:p w14:paraId="6DD8AC9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C6197D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70AC0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3279DE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869E6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6AC64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11E07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58</w:t>
            </w:r>
          </w:p>
        </w:tc>
        <w:tc>
          <w:tcPr>
            <w:tcW w:w="1558" w:type="dxa"/>
            <w:vMerge w:val="continue"/>
            <w:vAlign w:val="center"/>
          </w:tcPr>
          <w:p w14:paraId="3816BEF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BA9EF8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1565B3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08F72D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D9A12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68E4D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38874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59</w:t>
            </w:r>
          </w:p>
        </w:tc>
        <w:tc>
          <w:tcPr>
            <w:tcW w:w="1558" w:type="dxa"/>
            <w:vMerge w:val="continue"/>
            <w:vAlign w:val="center"/>
          </w:tcPr>
          <w:p w14:paraId="34EE09F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B022B2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D3DE41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1A6307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42134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53A3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E8504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60</w:t>
            </w:r>
          </w:p>
        </w:tc>
        <w:tc>
          <w:tcPr>
            <w:tcW w:w="1558" w:type="dxa"/>
            <w:vMerge w:val="continue"/>
            <w:vAlign w:val="center"/>
          </w:tcPr>
          <w:p w14:paraId="401669E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E930D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B044A6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5EA638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9D7B7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18A75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16433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w:t>
            </w:r>
          </w:p>
        </w:tc>
        <w:tc>
          <w:tcPr>
            <w:tcW w:w="1558" w:type="dxa"/>
            <w:vMerge w:val="continue"/>
            <w:vAlign w:val="center"/>
          </w:tcPr>
          <w:p w14:paraId="0C1218C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2D4D36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国兴大道与三月三大道路口</w:t>
            </w:r>
          </w:p>
        </w:tc>
        <w:tc>
          <w:tcPr>
            <w:tcW w:w="2733" w:type="dxa"/>
            <w:shd w:val="clear" w:color="auto" w:fill="auto"/>
            <w:noWrap/>
            <w:vAlign w:val="center"/>
          </w:tcPr>
          <w:p w14:paraId="061F6D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7EBAE2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629C13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52424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6FEC4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w:t>
            </w:r>
          </w:p>
        </w:tc>
        <w:tc>
          <w:tcPr>
            <w:tcW w:w="1558" w:type="dxa"/>
            <w:vMerge w:val="continue"/>
            <w:vAlign w:val="center"/>
          </w:tcPr>
          <w:p w14:paraId="56D43A7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6D3C6B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57A378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5CB073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85790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CF2E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36084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63</w:t>
            </w:r>
          </w:p>
        </w:tc>
        <w:tc>
          <w:tcPr>
            <w:tcW w:w="1558" w:type="dxa"/>
            <w:vMerge w:val="continue"/>
            <w:vAlign w:val="center"/>
          </w:tcPr>
          <w:p w14:paraId="38D38E5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7080EE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B3053F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0812E0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7492A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5C046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D1EE0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64</w:t>
            </w:r>
          </w:p>
        </w:tc>
        <w:tc>
          <w:tcPr>
            <w:tcW w:w="1558" w:type="dxa"/>
            <w:vMerge w:val="continue"/>
            <w:vAlign w:val="center"/>
          </w:tcPr>
          <w:p w14:paraId="249678F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BAAA07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BDB23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40EE45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FEB96C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r>
      <w:tr w14:paraId="4DF38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09BBB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65</w:t>
            </w:r>
          </w:p>
        </w:tc>
        <w:tc>
          <w:tcPr>
            <w:tcW w:w="1558" w:type="dxa"/>
            <w:vMerge w:val="continue"/>
            <w:vAlign w:val="center"/>
          </w:tcPr>
          <w:p w14:paraId="616B6C3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123CF1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5CBFC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7D97D4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4D22C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2D4F5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3C8C3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66</w:t>
            </w:r>
          </w:p>
        </w:tc>
        <w:tc>
          <w:tcPr>
            <w:tcW w:w="1558" w:type="dxa"/>
            <w:vMerge w:val="continue"/>
            <w:vAlign w:val="center"/>
          </w:tcPr>
          <w:p w14:paraId="17FF40F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6CE97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B44BBD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66E60F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2DA57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6BFD5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753B1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67</w:t>
            </w:r>
          </w:p>
        </w:tc>
        <w:tc>
          <w:tcPr>
            <w:tcW w:w="1558" w:type="dxa"/>
            <w:vMerge w:val="continue"/>
            <w:vAlign w:val="center"/>
          </w:tcPr>
          <w:p w14:paraId="40D0EFC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A8BA42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A250D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0A75CE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4820B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r>
      <w:tr w14:paraId="73F4D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4EBB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68</w:t>
            </w:r>
          </w:p>
        </w:tc>
        <w:tc>
          <w:tcPr>
            <w:tcW w:w="1558" w:type="dxa"/>
            <w:vMerge w:val="continue"/>
            <w:vAlign w:val="center"/>
          </w:tcPr>
          <w:p w14:paraId="5172DED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EDCC94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722B8C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4A1895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C19C7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60CB8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39062B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69</w:t>
            </w:r>
          </w:p>
        </w:tc>
        <w:tc>
          <w:tcPr>
            <w:tcW w:w="1558" w:type="dxa"/>
            <w:vMerge w:val="continue"/>
            <w:vAlign w:val="center"/>
          </w:tcPr>
          <w:p w14:paraId="2528D27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A1FD97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2E715E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163F3C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30278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E1BF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B8E83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70</w:t>
            </w:r>
          </w:p>
        </w:tc>
        <w:tc>
          <w:tcPr>
            <w:tcW w:w="1558" w:type="dxa"/>
            <w:vMerge w:val="continue"/>
            <w:vAlign w:val="center"/>
          </w:tcPr>
          <w:p w14:paraId="2556099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0BB3A9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C30D3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2ADFD6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83396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67109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1B763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w:t>
            </w:r>
          </w:p>
        </w:tc>
        <w:tc>
          <w:tcPr>
            <w:tcW w:w="1558" w:type="dxa"/>
            <w:vMerge w:val="continue"/>
            <w:vAlign w:val="center"/>
          </w:tcPr>
          <w:p w14:paraId="637B0CA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2A224B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167281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0D7AE4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E8DF5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76BE3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3C95C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w:t>
            </w:r>
          </w:p>
        </w:tc>
        <w:tc>
          <w:tcPr>
            <w:tcW w:w="1558" w:type="dxa"/>
            <w:vMerge w:val="continue"/>
            <w:vAlign w:val="center"/>
          </w:tcPr>
          <w:p w14:paraId="5EFBDDD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F7AD90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6E58D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4F82C4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6CA37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120</w:t>
            </w:r>
          </w:p>
        </w:tc>
      </w:tr>
      <w:tr w14:paraId="436A5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A7E0A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73</w:t>
            </w:r>
          </w:p>
        </w:tc>
        <w:tc>
          <w:tcPr>
            <w:tcW w:w="1558" w:type="dxa"/>
            <w:vMerge w:val="continue"/>
            <w:vAlign w:val="center"/>
          </w:tcPr>
          <w:p w14:paraId="5070A55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C84299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53B582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10B268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75358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147EB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0B040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74</w:t>
            </w:r>
          </w:p>
        </w:tc>
        <w:tc>
          <w:tcPr>
            <w:tcW w:w="1558" w:type="dxa"/>
            <w:vMerge w:val="continue"/>
            <w:vAlign w:val="center"/>
          </w:tcPr>
          <w:p w14:paraId="649E16D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1FDF21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三月三大道与玉锦大道路口</w:t>
            </w:r>
          </w:p>
        </w:tc>
        <w:tc>
          <w:tcPr>
            <w:tcW w:w="2733" w:type="dxa"/>
            <w:shd w:val="clear" w:color="auto" w:fill="auto"/>
            <w:noWrap/>
            <w:vAlign w:val="center"/>
          </w:tcPr>
          <w:p w14:paraId="4E114A7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08621C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36E89A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3FD53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C2255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75</w:t>
            </w:r>
          </w:p>
        </w:tc>
        <w:tc>
          <w:tcPr>
            <w:tcW w:w="1558" w:type="dxa"/>
            <w:vMerge w:val="continue"/>
            <w:vAlign w:val="center"/>
          </w:tcPr>
          <w:p w14:paraId="2C2D1AD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96C8D5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47722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5973E8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EAF8D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10E2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288A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76</w:t>
            </w:r>
          </w:p>
        </w:tc>
        <w:tc>
          <w:tcPr>
            <w:tcW w:w="1558" w:type="dxa"/>
            <w:vMerge w:val="continue"/>
            <w:vAlign w:val="center"/>
          </w:tcPr>
          <w:p w14:paraId="185C2DF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35C3BF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47547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4240F7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168EB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A909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7CC83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77</w:t>
            </w:r>
          </w:p>
        </w:tc>
        <w:tc>
          <w:tcPr>
            <w:tcW w:w="1558" w:type="dxa"/>
            <w:vMerge w:val="continue"/>
            <w:vAlign w:val="center"/>
          </w:tcPr>
          <w:p w14:paraId="5BDB079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CC057D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F6E7A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10232C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0662B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5CB00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7B329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78</w:t>
            </w:r>
          </w:p>
        </w:tc>
        <w:tc>
          <w:tcPr>
            <w:tcW w:w="1558" w:type="dxa"/>
            <w:vMerge w:val="continue"/>
            <w:vAlign w:val="center"/>
          </w:tcPr>
          <w:p w14:paraId="2F51D74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1BC1F3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07A20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14DFE7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CBAFE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6ADB8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A177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79</w:t>
            </w:r>
          </w:p>
        </w:tc>
        <w:tc>
          <w:tcPr>
            <w:tcW w:w="1558" w:type="dxa"/>
            <w:vMerge w:val="continue"/>
            <w:vAlign w:val="center"/>
          </w:tcPr>
          <w:p w14:paraId="1560247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46358F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259125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7E214A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E407B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22F3F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392B1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c>
          <w:tcPr>
            <w:tcW w:w="1558" w:type="dxa"/>
            <w:vMerge w:val="continue"/>
            <w:vAlign w:val="center"/>
          </w:tcPr>
          <w:p w14:paraId="2DA2DA7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BA3008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75764C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0EC2E3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5A5C1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r>
      <w:tr w14:paraId="266B5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46B44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81</w:t>
            </w:r>
          </w:p>
        </w:tc>
        <w:tc>
          <w:tcPr>
            <w:tcW w:w="1558" w:type="dxa"/>
            <w:vMerge w:val="continue"/>
            <w:vAlign w:val="center"/>
          </w:tcPr>
          <w:p w14:paraId="221F141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D52C75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BB640A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69DB1D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60DB1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6680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AC86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82</w:t>
            </w:r>
          </w:p>
        </w:tc>
        <w:tc>
          <w:tcPr>
            <w:tcW w:w="1558" w:type="dxa"/>
            <w:vMerge w:val="continue"/>
            <w:vAlign w:val="center"/>
          </w:tcPr>
          <w:p w14:paraId="3BAE2EC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44696F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31B2E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04E4B4E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4FC1A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6CF6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5612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83</w:t>
            </w:r>
          </w:p>
        </w:tc>
        <w:tc>
          <w:tcPr>
            <w:tcW w:w="1558" w:type="dxa"/>
            <w:vMerge w:val="continue"/>
            <w:vAlign w:val="center"/>
          </w:tcPr>
          <w:p w14:paraId="761D3A3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A500D4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C1B26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489D18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DC8AE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100</w:t>
            </w:r>
          </w:p>
        </w:tc>
      </w:tr>
      <w:tr w14:paraId="4289B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D7A33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84</w:t>
            </w:r>
          </w:p>
        </w:tc>
        <w:tc>
          <w:tcPr>
            <w:tcW w:w="1558" w:type="dxa"/>
            <w:vMerge w:val="continue"/>
            <w:vAlign w:val="center"/>
          </w:tcPr>
          <w:p w14:paraId="541FD59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6451EC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龙溪路-玉锦大道路口</w:t>
            </w:r>
          </w:p>
        </w:tc>
        <w:tc>
          <w:tcPr>
            <w:tcW w:w="2733" w:type="dxa"/>
            <w:shd w:val="clear" w:color="auto" w:fill="auto"/>
            <w:noWrap/>
            <w:vAlign w:val="center"/>
          </w:tcPr>
          <w:p w14:paraId="35E9F0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6AB71D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0DE5C3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6485D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8F19B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85</w:t>
            </w:r>
          </w:p>
        </w:tc>
        <w:tc>
          <w:tcPr>
            <w:tcW w:w="1558" w:type="dxa"/>
            <w:vMerge w:val="continue"/>
            <w:vAlign w:val="center"/>
          </w:tcPr>
          <w:p w14:paraId="27F43F3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02A6FC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70F321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7D0135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325E3E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66C8F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CB83A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86</w:t>
            </w:r>
          </w:p>
        </w:tc>
        <w:tc>
          <w:tcPr>
            <w:tcW w:w="1558" w:type="dxa"/>
            <w:vMerge w:val="continue"/>
            <w:vAlign w:val="center"/>
          </w:tcPr>
          <w:p w14:paraId="429F41C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AA4BD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A2DA42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708" w:type="dxa"/>
            <w:shd w:val="clear" w:color="auto" w:fill="auto"/>
            <w:noWrap/>
            <w:vAlign w:val="center"/>
          </w:tcPr>
          <w:p w14:paraId="13FEFC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38210B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2410B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72CE2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87</w:t>
            </w:r>
          </w:p>
        </w:tc>
        <w:tc>
          <w:tcPr>
            <w:tcW w:w="1558" w:type="dxa"/>
            <w:vMerge w:val="continue"/>
            <w:vAlign w:val="center"/>
          </w:tcPr>
          <w:p w14:paraId="1FEB713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66410E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E9E67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708" w:type="dxa"/>
            <w:shd w:val="clear" w:color="auto" w:fill="auto"/>
            <w:noWrap/>
            <w:vAlign w:val="center"/>
          </w:tcPr>
          <w:p w14:paraId="133ADD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544632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6714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19CC9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88</w:t>
            </w:r>
          </w:p>
        </w:tc>
        <w:tc>
          <w:tcPr>
            <w:tcW w:w="1558" w:type="dxa"/>
            <w:vMerge w:val="continue"/>
            <w:vAlign w:val="center"/>
          </w:tcPr>
          <w:p w14:paraId="66EF677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960715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3E8997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1D53CD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2F545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D3B7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20DBE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89</w:t>
            </w:r>
          </w:p>
        </w:tc>
        <w:tc>
          <w:tcPr>
            <w:tcW w:w="1558" w:type="dxa"/>
            <w:vMerge w:val="continue"/>
            <w:vAlign w:val="center"/>
          </w:tcPr>
          <w:p w14:paraId="244CD82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30DB00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F27D90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26BE00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23318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1A47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D62E0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w:t>
            </w:r>
          </w:p>
        </w:tc>
        <w:tc>
          <w:tcPr>
            <w:tcW w:w="1558" w:type="dxa"/>
            <w:vMerge w:val="continue"/>
            <w:vAlign w:val="center"/>
          </w:tcPr>
          <w:p w14:paraId="654A96C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986AD0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EA7C3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4516F6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CEE6B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6ADBA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C7278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91</w:t>
            </w:r>
          </w:p>
        </w:tc>
        <w:tc>
          <w:tcPr>
            <w:tcW w:w="1558" w:type="dxa"/>
            <w:vMerge w:val="continue"/>
            <w:vAlign w:val="center"/>
          </w:tcPr>
          <w:p w14:paraId="6E8E439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2C51E1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F211D9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747A23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CB084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583FF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72598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92</w:t>
            </w:r>
          </w:p>
        </w:tc>
        <w:tc>
          <w:tcPr>
            <w:tcW w:w="1558" w:type="dxa"/>
            <w:vMerge w:val="continue"/>
            <w:vAlign w:val="center"/>
          </w:tcPr>
          <w:p w14:paraId="4862BB5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EBB046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7A3C10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2031D1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25093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2EE64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8689B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93</w:t>
            </w:r>
          </w:p>
        </w:tc>
        <w:tc>
          <w:tcPr>
            <w:tcW w:w="1558" w:type="dxa"/>
            <w:vMerge w:val="continue"/>
            <w:vAlign w:val="center"/>
          </w:tcPr>
          <w:p w14:paraId="5023EC0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D229BC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3BF66A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60D1FF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34165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r>
      <w:tr w14:paraId="50723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32142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94</w:t>
            </w:r>
          </w:p>
        </w:tc>
        <w:tc>
          <w:tcPr>
            <w:tcW w:w="1558" w:type="dxa"/>
            <w:vMerge w:val="continue"/>
            <w:vAlign w:val="center"/>
          </w:tcPr>
          <w:p w14:paraId="3DEF561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1C6B61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F44E60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713A5C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6EA95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60DD6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9BD84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95</w:t>
            </w:r>
          </w:p>
        </w:tc>
        <w:tc>
          <w:tcPr>
            <w:tcW w:w="1558" w:type="dxa"/>
            <w:vMerge w:val="continue"/>
            <w:vAlign w:val="center"/>
          </w:tcPr>
          <w:p w14:paraId="0685D56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75966D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BCB92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6BB213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9A2AD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0B3A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7C8BF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96</w:t>
            </w:r>
          </w:p>
        </w:tc>
        <w:tc>
          <w:tcPr>
            <w:tcW w:w="1558" w:type="dxa"/>
            <w:vMerge w:val="continue"/>
            <w:vAlign w:val="center"/>
          </w:tcPr>
          <w:p w14:paraId="5B66F75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82C027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B67C06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064E52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5BCA2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r>
      <w:tr w14:paraId="62A52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6DC44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97</w:t>
            </w:r>
          </w:p>
        </w:tc>
        <w:tc>
          <w:tcPr>
            <w:tcW w:w="1558" w:type="dxa"/>
            <w:vMerge w:val="continue"/>
            <w:vAlign w:val="center"/>
          </w:tcPr>
          <w:p w14:paraId="7B422F9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5281F1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F3DF64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671E90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AA90E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60BF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5F8F0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98</w:t>
            </w:r>
          </w:p>
        </w:tc>
        <w:tc>
          <w:tcPr>
            <w:tcW w:w="1558" w:type="dxa"/>
            <w:vMerge w:val="continue"/>
            <w:vAlign w:val="center"/>
          </w:tcPr>
          <w:p w14:paraId="6A25DD8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9B178D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7490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6AD600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EDC9E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4E5B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08BB5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99</w:t>
            </w:r>
          </w:p>
        </w:tc>
        <w:tc>
          <w:tcPr>
            <w:tcW w:w="1558" w:type="dxa"/>
            <w:vMerge w:val="continue"/>
            <w:vAlign w:val="center"/>
          </w:tcPr>
          <w:p w14:paraId="7AD01A8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C973C9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0FC04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0F385F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0A829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5EA80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C9D68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100</w:t>
            </w:r>
          </w:p>
        </w:tc>
        <w:tc>
          <w:tcPr>
            <w:tcW w:w="1558" w:type="dxa"/>
            <w:vMerge w:val="continue"/>
            <w:vAlign w:val="center"/>
          </w:tcPr>
          <w:p w14:paraId="5DB0B6B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5F5F81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兴教路-玉锦大道-万泉河路</w:t>
            </w:r>
          </w:p>
        </w:tc>
        <w:tc>
          <w:tcPr>
            <w:tcW w:w="2733" w:type="dxa"/>
            <w:shd w:val="clear" w:color="auto" w:fill="auto"/>
            <w:noWrap/>
            <w:vAlign w:val="center"/>
          </w:tcPr>
          <w:p w14:paraId="6DF4E36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66C3BD3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7E3F54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r>
      <w:tr w14:paraId="4DAE2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FA453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101</w:t>
            </w:r>
          </w:p>
        </w:tc>
        <w:tc>
          <w:tcPr>
            <w:tcW w:w="1558" w:type="dxa"/>
            <w:vMerge w:val="continue"/>
            <w:vAlign w:val="center"/>
          </w:tcPr>
          <w:p w14:paraId="0E31E01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A6F6D3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FBD7E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73B230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15FAB2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09C88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D4356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102</w:t>
            </w:r>
          </w:p>
        </w:tc>
        <w:tc>
          <w:tcPr>
            <w:tcW w:w="1558" w:type="dxa"/>
            <w:vMerge w:val="continue"/>
            <w:vAlign w:val="center"/>
          </w:tcPr>
          <w:p w14:paraId="0B52070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E3C56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119971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708" w:type="dxa"/>
            <w:shd w:val="clear" w:color="auto" w:fill="auto"/>
            <w:noWrap/>
            <w:vAlign w:val="center"/>
          </w:tcPr>
          <w:p w14:paraId="1DC5A1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41DB01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2AE7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DF716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103</w:t>
            </w:r>
          </w:p>
        </w:tc>
        <w:tc>
          <w:tcPr>
            <w:tcW w:w="1558" w:type="dxa"/>
            <w:vMerge w:val="continue"/>
            <w:vAlign w:val="center"/>
          </w:tcPr>
          <w:p w14:paraId="3B25185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9237E1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1A868C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708" w:type="dxa"/>
            <w:shd w:val="clear" w:color="auto" w:fill="auto"/>
            <w:noWrap/>
            <w:vAlign w:val="center"/>
          </w:tcPr>
          <w:p w14:paraId="34C89E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0F6B85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5AB02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195E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104</w:t>
            </w:r>
          </w:p>
        </w:tc>
        <w:tc>
          <w:tcPr>
            <w:tcW w:w="1558" w:type="dxa"/>
            <w:vMerge w:val="continue"/>
            <w:vAlign w:val="center"/>
          </w:tcPr>
          <w:p w14:paraId="5046180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C15690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C6AF9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3EF17F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1A8FA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798E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63F6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105</w:t>
            </w:r>
          </w:p>
        </w:tc>
        <w:tc>
          <w:tcPr>
            <w:tcW w:w="1558" w:type="dxa"/>
            <w:vMerge w:val="continue"/>
            <w:vAlign w:val="center"/>
          </w:tcPr>
          <w:p w14:paraId="3FF5001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5115FE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698E9D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634F13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BA72D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23701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F5EF3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106</w:t>
            </w:r>
          </w:p>
        </w:tc>
        <w:tc>
          <w:tcPr>
            <w:tcW w:w="1558" w:type="dxa"/>
            <w:vMerge w:val="continue"/>
            <w:vAlign w:val="center"/>
          </w:tcPr>
          <w:p w14:paraId="48BD417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F86561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A095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4E84F8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E4BF7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0F0BF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36D1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107</w:t>
            </w:r>
          </w:p>
        </w:tc>
        <w:tc>
          <w:tcPr>
            <w:tcW w:w="1558" w:type="dxa"/>
            <w:vMerge w:val="continue"/>
            <w:vAlign w:val="center"/>
          </w:tcPr>
          <w:p w14:paraId="380D0A8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759C54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F1B4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48B769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F5085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7044C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4CD4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108</w:t>
            </w:r>
          </w:p>
        </w:tc>
        <w:tc>
          <w:tcPr>
            <w:tcW w:w="1558" w:type="dxa"/>
            <w:vMerge w:val="continue"/>
            <w:vAlign w:val="center"/>
          </w:tcPr>
          <w:p w14:paraId="1673F22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91E748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06A14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20A6EC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ECA41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7C44E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A222A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109</w:t>
            </w:r>
          </w:p>
        </w:tc>
        <w:tc>
          <w:tcPr>
            <w:tcW w:w="1558" w:type="dxa"/>
            <w:vMerge w:val="continue"/>
            <w:vAlign w:val="center"/>
          </w:tcPr>
          <w:p w14:paraId="2BC422D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E78BB5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8B7C56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5D1D07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DB8F9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r>
      <w:tr w14:paraId="189E4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A0099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110</w:t>
            </w:r>
          </w:p>
        </w:tc>
        <w:tc>
          <w:tcPr>
            <w:tcW w:w="1558" w:type="dxa"/>
            <w:vMerge w:val="continue"/>
            <w:vAlign w:val="center"/>
          </w:tcPr>
          <w:p w14:paraId="041006E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5E57A7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975FE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车行信号灯杆件主体</w:t>
            </w:r>
          </w:p>
        </w:tc>
        <w:tc>
          <w:tcPr>
            <w:tcW w:w="708" w:type="dxa"/>
            <w:shd w:val="clear" w:color="auto" w:fill="auto"/>
            <w:noWrap/>
            <w:vAlign w:val="center"/>
          </w:tcPr>
          <w:p w14:paraId="6D46D7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51C1F3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7EAB8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BF31B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111</w:t>
            </w:r>
          </w:p>
        </w:tc>
        <w:tc>
          <w:tcPr>
            <w:tcW w:w="1558" w:type="dxa"/>
            <w:vMerge w:val="continue"/>
            <w:vAlign w:val="center"/>
          </w:tcPr>
          <w:p w14:paraId="0870B90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7765E5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30DF6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车行信号灯杆件基础</w:t>
            </w:r>
          </w:p>
        </w:tc>
        <w:tc>
          <w:tcPr>
            <w:tcW w:w="708" w:type="dxa"/>
            <w:shd w:val="clear" w:color="auto" w:fill="auto"/>
            <w:noWrap/>
            <w:vAlign w:val="center"/>
          </w:tcPr>
          <w:p w14:paraId="09B8CC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190E4F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7BE70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582E1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112</w:t>
            </w:r>
          </w:p>
        </w:tc>
        <w:tc>
          <w:tcPr>
            <w:tcW w:w="1558" w:type="dxa"/>
            <w:vMerge w:val="continue"/>
            <w:vAlign w:val="center"/>
          </w:tcPr>
          <w:p w14:paraId="591C8F3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7AE4D5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4D9530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105300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5B3E30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18BFF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DC3B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113</w:t>
            </w:r>
          </w:p>
        </w:tc>
        <w:tc>
          <w:tcPr>
            <w:tcW w:w="1558" w:type="dxa"/>
            <w:vMerge w:val="continue"/>
            <w:vAlign w:val="center"/>
          </w:tcPr>
          <w:p w14:paraId="63D1703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4CA73F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5D005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68769F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9C57F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r>
      <w:tr w14:paraId="1482C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6DF06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114</w:t>
            </w:r>
          </w:p>
        </w:tc>
        <w:tc>
          <w:tcPr>
            <w:tcW w:w="1558" w:type="dxa"/>
            <w:vMerge w:val="continue"/>
            <w:vAlign w:val="center"/>
          </w:tcPr>
          <w:p w14:paraId="0502164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C1DC59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D31E7E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5E997B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41166D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513D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7D256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115</w:t>
            </w:r>
          </w:p>
        </w:tc>
        <w:tc>
          <w:tcPr>
            <w:tcW w:w="1558" w:type="dxa"/>
            <w:vMerge w:val="continue"/>
            <w:vAlign w:val="center"/>
          </w:tcPr>
          <w:p w14:paraId="5B52938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9F202C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4622F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65CF3C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A3DEF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r>
      <w:tr w14:paraId="3F7ED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5E844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116</w:t>
            </w:r>
          </w:p>
        </w:tc>
        <w:tc>
          <w:tcPr>
            <w:tcW w:w="1558" w:type="dxa"/>
            <w:vMerge w:val="continue"/>
            <w:vAlign w:val="center"/>
          </w:tcPr>
          <w:p w14:paraId="2A95C7B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F1B813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D38C44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35CE41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44BDC6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2AD66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F0058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117</w:t>
            </w:r>
          </w:p>
        </w:tc>
        <w:tc>
          <w:tcPr>
            <w:tcW w:w="1558" w:type="dxa"/>
            <w:vMerge w:val="continue"/>
            <w:vAlign w:val="center"/>
          </w:tcPr>
          <w:p w14:paraId="4B5C187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722DB6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47E04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708" w:type="dxa"/>
            <w:shd w:val="clear" w:color="auto" w:fill="auto"/>
            <w:noWrap/>
            <w:vAlign w:val="center"/>
          </w:tcPr>
          <w:p w14:paraId="0373BF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A9255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63F2B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BED8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118</w:t>
            </w:r>
          </w:p>
        </w:tc>
        <w:tc>
          <w:tcPr>
            <w:tcW w:w="1558" w:type="dxa"/>
            <w:vMerge w:val="continue"/>
            <w:vAlign w:val="center"/>
          </w:tcPr>
          <w:p w14:paraId="7A95E94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23EEB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18A92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4C1BF6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7BD4A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5CAE0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2EC1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119</w:t>
            </w:r>
          </w:p>
        </w:tc>
        <w:tc>
          <w:tcPr>
            <w:tcW w:w="1558" w:type="dxa"/>
            <w:vMerge w:val="continue"/>
            <w:vAlign w:val="center"/>
          </w:tcPr>
          <w:p w14:paraId="06C1F1B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5962C5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牛营线（营乘路）-黎母大道（S304）路口</w:t>
            </w:r>
          </w:p>
        </w:tc>
        <w:tc>
          <w:tcPr>
            <w:tcW w:w="2733" w:type="dxa"/>
            <w:shd w:val="clear" w:color="auto" w:fill="auto"/>
            <w:noWrap/>
            <w:vAlign w:val="center"/>
          </w:tcPr>
          <w:p w14:paraId="3D40DA4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7C01E6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6FEFC6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6A188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B45B9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120</w:t>
            </w:r>
          </w:p>
        </w:tc>
        <w:tc>
          <w:tcPr>
            <w:tcW w:w="1558" w:type="dxa"/>
            <w:vMerge w:val="continue"/>
            <w:vAlign w:val="center"/>
          </w:tcPr>
          <w:p w14:paraId="5CDF0EB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443F12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D88006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158413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6F117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22B2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93A52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121</w:t>
            </w:r>
          </w:p>
        </w:tc>
        <w:tc>
          <w:tcPr>
            <w:tcW w:w="1558" w:type="dxa"/>
            <w:vMerge w:val="continue"/>
            <w:vAlign w:val="center"/>
          </w:tcPr>
          <w:p w14:paraId="5D7F9F9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419F57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2EAA40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2EA2A9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13B7C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DC88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D2442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122</w:t>
            </w:r>
          </w:p>
        </w:tc>
        <w:tc>
          <w:tcPr>
            <w:tcW w:w="1558" w:type="dxa"/>
            <w:vMerge w:val="continue"/>
            <w:vAlign w:val="center"/>
          </w:tcPr>
          <w:p w14:paraId="532669E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3BAD88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210AF2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451CEA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15B11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2C769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07DE4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123</w:t>
            </w:r>
          </w:p>
        </w:tc>
        <w:tc>
          <w:tcPr>
            <w:tcW w:w="1558" w:type="dxa"/>
            <w:vMerge w:val="continue"/>
            <w:vAlign w:val="center"/>
          </w:tcPr>
          <w:p w14:paraId="68AE0D9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84B9D6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7E338A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330192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E4F8A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17396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D0598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124</w:t>
            </w:r>
          </w:p>
        </w:tc>
        <w:tc>
          <w:tcPr>
            <w:tcW w:w="1558" w:type="dxa"/>
            <w:vMerge w:val="continue"/>
            <w:vAlign w:val="center"/>
          </w:tcPr>
          <w:p w14:paraId="3ABDEC2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319517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D56E5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29B5CE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EB094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r>
      <w:tr w14:paraId="72147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FDAB1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125</w:t>
            </w:r>
          </w:p>
        </w:tc>
        <w:tc>
          <w:tcPr>
            <w:tcW w:w="1558" w:type="dxa"/>
            <w:vMerge w:val="continue"/>
            <w:vAlign w:val="center"/>
          </w:tcPr>
          <w:p w14:paraId="53D86B9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0A475D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04AA2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3A50EA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4D41D8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3446D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68FFB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126</w:t>
            </w:r>
          </w:p>
        </w:tc>
        <w:tc>
          <w:tcPr>
            <w:tcW w:w="1558" w:type="dxa"/>
            <w:vMerge w:val="continue"/>
            <w:vAlign w:val="center"/>
          </w:tcPr>
          <w:p w14:paraId="2CB4A4D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92531D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2F5B5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7732C3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718C73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3806B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C7020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127</w:t>
            </w:r>
          </w:p>
        </w:tc>
        <w:tc>
          <w:tcPr>
            <w:tcW w:w="1558" w:type="dxa"/>
            <w:vMerge w:val="continue"/>
            <w:vAlign w:val="center"/>
          </w:tcPr>
          <w:p w14:paraId="1494870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10C51C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0AA61B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537461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2D532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18BB6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5A51F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128</w:t>
            </w:r>
          </w:p>
        </w:tc>
        <w:tc>
          <w:tcPr>
            <w:tcW w:w="1558" w:type="dxa"/>
            <w:vMerge w:val="continue"/>
            <w:vAlign w:val="center"/>
          </w:tcPr>
          <w:p w14:paraId="5AC5C20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FB1499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6188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5BC1D5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61D2F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615AD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765BE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129</w:t>
            </w:r>
          </w:p>
        </w:tc>
        <w:tc>
          <w:tcPr>
            <w:tcW w:w="1558" w:type="dxa"/>
            <w:vMerge w:val="continue"/>
            <w:vAlign w:val="center"/>
          </w:tcPr>
          <w:p w14:paraId="4548E1C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180B58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营红路-黎母大道（S304）路口</w:t>
            </w:r>
          </w:p>
        </w:tc>
        <w:tc>
          <w:tcPr>
            <w:tcW w:w="2733" w:type="dxa"/>
            <w:shd w:val="clear" w:color="auto" w:fill="auto"/>
            <w:noWrap/>
            <w:vAlign w:val="center"/>
          </w:tcPr>
          <w:p w14:paraId="063BF2B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44DBDE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41E09F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3EFE3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4C973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130</w:t>
            </w:r>
          </w:p>
        </w:tc>
        <w:tc>
          <w:tcPr>
            <w:tcW w:w="1558" w:type="dxa"/>
            <w:vMerge w:val="continue"/>
            <w:vAlign w:val="center"/>
          </w:tcPr>
          <w:p w14:paraId="6F55D8F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B71BA1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4FE263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050D7F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1E6D1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BFF3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A0EF9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131</w:t>
            </w:r>
          </w:p>
        </w:tc>
        <w:tc>
          <w:tcPr>
            <w:tcW w:w="1558" w:type="dxa"/>
            <w:vMerge w:val="continue"/>
            <w:vAlign w:val="center"/>
          </w:tcPr>
          <w:p w14:paraId="6B78556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272532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6EBB75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4BE527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12463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F4B8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0445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132</w:t>
            </w:r>
          </w:p>
        </w:tc>
        <w:tc>
          <w:tcPr>
            <w:tcW w:w="1558" w:type="dxa"/>
            <w:vMerge w:val="continue"/>
            <w:vAlign w:val="center"/>
          </w:tcPr>
          <w:p w14:paraId="06DC6E0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17521F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5A4AF0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69DBCF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0C1A1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65E08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012B4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133</w:t>
            </w:r>
          </w:p>
        </w:tc>
        <w:tc>
          <w:tcPr>
            <w:tcW w:w="1558" w:type="dxa"/>
            <w:vMerge w:val="continue"/>
            <w:vAlign w:val="center"/>
          </w:tcPr>
          <w:p w14:paraId="48A3AD8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A44E6C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055B5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030FE1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352AD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2AF58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1876A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134</w:t>
            </w:r>
          </w:p>
        </w:tc>
        <w:tc>
          <w:tcPr>
            <w:tcW w:w="1558" w:type="dxa"/>
            <w:vMerge w:val="continue"/>
            <w:vAlign w:val="center"/>
          </w:tcPr>
          <w:p w14:paraId="72FF0CF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DA03FC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7BAD6F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65D55A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50D51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389C8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7F6F6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135</w:t>
            </w:r>
          </w:p>
        </w:tc>
        <w:tc>
          <w:tcPr>
            <w:tcW w:w="1558" w:type="dxa"/>
            <w:vMerge w:val="continue"/>
            <w:vAlign w:val="center"/>
          </w:tcPr>
          <w:p w14:paraId="485A077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0DCA6E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BFC14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40A00D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73C1F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282C7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C90D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136</w:t>
            </w:r>
          </w:p>
        </w:tc>
        <w:tc>
          <w:tcPr>
            <w:tcW w:w="1558" w:type="dxa"/>
            <w:vMerge w:val="continue"/>
            <w:vAlign w:val="center"/>
          </w:tcPr>
          <w:p w14:paraId="041074D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65FB14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020C1B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23B469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B5007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r>
      <w:tr w14:paraId="0FBFC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D1CCE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137</w:t>
            </w:r>
          </w:p>
        </w:tc>
        <w:tc>
          <w:tcPr>
            <w:tcW w:w="1558" w:type="dxa"/>
            <w:vMerge w:val="continue"/>
            <w:vAlign w:val="center"/>
          </w:tcPr>
          <w:p w14:paraId="65196B1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B2F1FB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DF68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0AC612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BBB69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1201B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C3D76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138</w:t>
            </w:r>
          </w:p>
        </w:tc>
        <w:tc>
          <w:tcPr>
            <w:tcW w:w="1558" w:type="dxa"/>
            <w:vMerge w:val="continue"/>
            <w:vAlign w:val="center"/>
          </w:tcPr>
          <w:p w14:paraId="6CEAD7D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868126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B95C5A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5BCCED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FD1E3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04D6F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62363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139</w:t>
            </w:r>
          </w:p>
        </w:tc>
        <w:tc>
          <w:tcPr>
            <w:tcW w:w="1558" w:type="dxa"/>
            <w:vMerge w:val="continue"/>
            <w:vAlign w:val="center"/>
          </w:tcPr>
          <w:p w14:paraId="76BDA7B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64D89D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黎母大道（S304）-三月三大道路口</w:t>
            </w:r>
          </w:p>
        </w:tc>
        <w:tc>
          <w:tcPr>
            <w:tcW w:w="2733" w:type="dxa"/>
            <w:shd w:val="clear" w:color="auto" w:fill="auto"/>
            <w:noWrap/>
            <w:vAlign w:val="center"/>
          </w:tcPr>
          <w:p w14:paraId="65307E9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107474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5E9B3F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02DAB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53595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140</w:t>
            </w:r>
          </w:p>
        </w:tc>
        <w:tc>
          <w:tcPr>
            <w:tcW w:w="1558" w:type="dxa"/>
            <w:vMerge w:val="continue"/>
            <w:vAlign w:val="center"/>
          </w:tcPr>
          <w:p w14:paraId="33BDE00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648561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01C94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708" w:type="dxa"/>
            <w:shd w:val="clear" w:color="auto" w:fill="auto"/>
            <w:noWrap/>
            <w:vAlign w:val="center"/>
          </w:tcPr>
          <w:p w14:paraId="136B06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0BF2F6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42AF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CBA61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141</w:t>
            </w:r>
          </w:p>
        </w:tc>
        <w:tc>
          <w:tcPr>
            <w:tcW w:w="1558" w:type="dxa"/>
            <w:vMerge w:val="continue"/>
            <w:vAlign w:val="center"/>
          </w:tcPr>
          <w:p w14:paraId="354D787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812F9A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B00F4C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3EBC5B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AFCED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B0A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E4A4E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142</w:t>
            </w:r>
          </w:p>
        </w:tc>
        <w:tc>
          <w:tcPr>
            <w:tcW w:w="1558" w:type="dxa"/>
            <w:vMerge w:val="continue"/>
            <w:vAlign w:val="center"/>
          </w:tcPr>
          <w:p w14:paraId="33B310D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7990D4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5A001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266AB8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72895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22FA2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F9221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143</w:t>
            </w:r>
          </w:p>
        </w:tc>
        <w:tc>
          <w:tcPr>
            <w:tcW w:w="1558" w:type="dxa"/>
            <w:vMerge w:val="continue"/>
            <w:vAlign w:val="center"/>
          </w:tcPr>
          <w:p w14:paraId="241E828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182609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1BF674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708" w:type="dxa"/>
            <w:shd w:val="clear" w:color="auto" w:fill="auto"/>
            <w:noWrap/>
            <w:vAlign w:val="center"/>
          </w:tcPr>
          <w:p w14:paraId="66E8F4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1F945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098FF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CEA2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144</w:t>
            </w:r>
          </w:p>
        </w:tc>
        <w:tc>
          <w:tcPr>
            <w:tcW w:w="1558" w:type="dxa"/>
            <w:vMerge w:val="continue"/>
            <w:vAlign w:val="center"/>
          </w:tcPr>
          <w:p w14:paraId="7C2F80C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56BCDD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3C5C8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65B4D2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50EF3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56ACD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421D7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145</w:t>
            </w:r>
          </w:p>
        </w:tc>
        <w:tc>
          <w:tcPr>
            <w:tcW w:w="1558" w:type="dxa"/>
            <w:vMerge w:val="continue"/>
            <w:vAlign w:val="center"/>
          </w:tcPr>
          <w:p w14:paraId="5156F82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07B491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4AFA5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415C29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79E15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6E15D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39B2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146</w:t>
            </w:r>
          </w:p>
        </w:tc>
        <w:tc>
          <w:tcPr>
            <w:tcW w:w="1558" w:type="dxa"/>
            <w:vMerge w:val="continue"/>
            <w:vAlign w:val="center"/>
          </w:tcPr>
          <w:p w14:paraId="0075686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332FB2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5D9E8C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708" w:type="dxa"/>
            <w:shd w:val="clear" w:color="auto" w:fill="auto"/>
            <w:noWrap/>
            <w:vAlign w:val="center"/>
          </w:tcPr>
          <w:p w14:paraId="53C4D9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1D6F2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r>
      <w:tr w14:paraId="0C8AD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6732F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147</w:t>
            </w:r>
          </w:p>
        </w:tc>
        <w:tc>
          <w:tcPr>
            <w:tcW w:w="1558" w:type="dxa"/>
            <w:vMerge w:val="continue"/>
            <w:vAlign w:val="center"/>
          </w:tcPr>
          <w:p w14:paraId="1C00E55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96A23B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7E86A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1A4EC1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A6916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742A1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487E0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148</w:t>
            </w:r>
          </w:p>
        </w:tc>
        <w:tc>
          <w:tcPr>
            <w:tcW w:w="1558" w:type="dxa"/>
            <w:vMerge w:val="continue"/>
            <w:vAlign w:val="center"/>
          </w:tcPr>
          <w:p w14:paraId="2BAEF71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4AB6D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754AB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708" w:type="dxa"/>
            <w:shd w:val="clear" w:color="auto" w:fill="auto"/>
            <w:noWrap/>
            <w:vAlign w:val="center"/>
          </w:tcPr>
          <w:p w14:paraId="464BAC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0388A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3799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E1693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149</w:t>
            </w:r>
          </w:p>
        </w:tc>
        <w:tc>
          <w:tcPr>
            <w:tcW w:w="1558" w:type="dxa"/>
            <w:vMerge w:val="continue"/>
            <w:vAlign w:val="center"/>
          </w:tcPr>
          <w:p w14:paraId="132174E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58F0C1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BCF11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31D71C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46576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r>
      <w:tr w14:paraId="57308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B6A64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c>
          <w:tcPr>
            <w:tcW w:w="1558" w:type="dxa"/>
            <w:vMerge w:val="continue"/>
            <w:vAlign w:val="center"/>
          </w:tcPr>
          <w:p w14:paraId="4B9905B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87D5E0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C8DFC6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3E17DF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4D47F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4B84B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B1D7B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151</w:t>
            </w:r>
          </w:p>
        </w:tc>
        <w:tc>
          <w:tcPr>
            <w:tcW w:w="1558" w:type="dxa"/>
            <w:vMerge w:val="continue"/>
            <w:vAlign w:val="center"/>
          </w:tcPr>
          <w:p w14:paraId="351B811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B330C9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077E00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41D9D2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C6937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54775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E049B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152</w:t>
            </w:r>
          </w:p>
        </w:tc>
        <w:tc>
          <w:tcPr>
            <w:tcW w:w="1558" w:type="dxa"/>
            <w:vMerge w:val="continue"/>
            <w:vAlign w:val="center"/>
          </w:tcPr>
          <w:p w14:paraId="51CF33B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14FF59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海榆中线（G224）-黎母大道（S304）</w:t>
            </w:r>
          </w:p>
        </w:tc>
        <w:tc>
          <w:tcPr>
            <w:tcW w:w="2733" w:type="dxa"/>
            <w:shd w:val="clear" w:color="auto" w:fill="auto"/>
            <w:noWrap/>
            <w:vAlign w:val="center"/>
          </w:tcPr>
          <w:p w14:paraId="2329DBA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708" w:type="dxa"/>
            <w:shd w:val="clear" w:color="auto" w:fill="auto"/>
            <w:noWrap/>
            <w:vAlign w:val="center"/>
          </w:tcPr>
          <w:p w14:paraId="17DB4C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930" w:type="dxa"/>
            <w:shd w:val="clear" w:color="auto" w:fill="auto"/>
            <w:noWrap/>
            <w:vAlign w:val="center"/>
          </w:tcPr>
          <w:p w14:paraId="5317D5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43669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186C6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153</w:t>
            </w:r>
          </w:p>
        </w:tc>
        <w:tc>
          <w:tcPr>
            <w:tcW w:w="1558" w:type="dxa"/>
            <w:vMerge w:val="continue"/>
            <w:vAlign w:val="center"/>
          </w:tcPr>
          <w:p w14:paraId="2A66C76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3FC158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D3BFD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708" w:type="dxa"/>
            <w:shd w:val="clear" w:color="auto" w:fill="auto"/>
            <w:noWrap/>
            <w:vAlign w:val="center"/>
          </w:tcPr>
          <w:p w14:paraId="2E7375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E79D8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245E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18906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154</w:t>
            </w:r>
          </w:p>
        </w:tc>
        <w:tc>
          <w:tcPr>
            <w:tcW w:w="1558" w:type="dxa"/>
            <w:vMerge w:val="continue"/>
            <w:vAlign w:val="center"/>
          </w:tcPr>
          <w:p w14:paraId="10CD675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301D10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BC559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708" w:type="dxa"/>
            <w:shd w:val="clear" w:color="auto" w:fill="auto"/>
            <w:noWrap/>
            <w:vAlign w:val="center"/>
          </w:tcPr>
          <w:p w14:paraId="3F2BE1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17360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C274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E4CB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155</w:t>
            </w:r>
          </w:p>
        </w:tc>
        <w:tc>
          <w:tcPr>
            <w:tcW w:w="1558" w:type="dxa"/>
            <w:vMerge w:val="continue"/>
            <w:vAlign w:val="center"/>
          </w:tcPr>
          <w:p w14:paraId="4A52CED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5D5097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D9A08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708" w:type="dxa"/>
            <w:shd w:val="clear" w:color="auto" w:fill="auto"/>
            <w:noWrap/>
            <w:vAlign w:val="center"/>
          </w:tcPr>
          <w:p w14:paraId="0FF13E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4F7A9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65B6D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93772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156</w:t>
            </w:r>
          </w:p>
        </w:tc>
        <w:tc>
          <w:tcPr>
            <w:tcW w:w="1558" w:type="dxa"/>
            <w:vMerge w:val="continue"/>
            <w:vAlign w:val="center"/>
          </w:tcPr>
          <w:p w14:paraId="4F3CC44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943619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02B5D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708" w:type="dxa"/>
            <w:shd w:val="clear" w:color="auto" w:fill="auto"/>
            <w:noWrap/>
            <w:vAlign w:val="center"/>
          </w:tcPr>
          <w:p w14:paraId="5807D6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FB6DF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4D08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9708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157</w:t>
            </w:r>
          </w:p>
        </w:tc>
        <w:tc>
          <w:tcPr>
            <w:tcW w:w="1558" w:type="dxa"/>
            <w:vMerge w:val="continue"/>
            <w:vAlign w:val="center"/>
          </w:tcPr>
          <w:p w14:paraId="67266BB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7FFC52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A3AD89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708" w:type="dxa"/>
            <w:shd w:val="clear" w:color="auto" w:fill="auto"/>
            <w:noWrap/>
            <w:vAlign w:val="center"/>
          </w:tcPr>
          <w:p w14:paraId="7E94AD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8BF46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10FAA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FC4113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158</w:t>
            </w:r>
          </w:p>
        </w:tc>
        <w:tc>
          <w:tcPr>
            <w:tcW w:w="1558" w:type="dxa"/>
            <w:vMerge w:val="continue"/>
            <w:vAlign w:val="center"/>
          </w:tcPr>
          <w:p w14:paraId="2FD5C09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4AA85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927F32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3CA732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754FC9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6ABF0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A9360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159</w:t>
            </w:r>
          </w:p>
        </w:tc>
        <w:tc>
          <w:tcPr>
            <w:tcW w:w="1558" w:type="dxa"/>
            <w:vMerge w:val="continue"/>
            <w:vAlign w:val="center"/>
          </w:tcPr>
          <w:p w14:paraId="02D9455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45FA7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BA580B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708" w:type="dxa"/>
            <w:shd w:val="clear" w:color="auto" w:fill="auto"/>
            <w:noWrap/>
            <w:vAlign w:val="center"/>
          </w:tcPr>
          <w:p w14:paraId="4748D2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FC59A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r>
      <w:tr w14:paraId="1518F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D9811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160</w:t>
            </w:r>
          </w:p>
        </w:tc>
        <w:tc>
          <w:tcPr>
            <w:tcW w:w="1558" w:type="dxa"/>
            <w:vMerge w:val="restart"/>
            <w:shd w:val="clear" w:color="auto" w:fill="auto"/>
            <w:noWrap/>
            <w:vAlign w:val="center"/>
          </w:tcPr>
          <w:p w14:paraId="0DDCDA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电子警察系统改造</w:t>
            </w:r>
          </w:p>
        </w:tc>
        <w:tc>
          <w:tcPr>
            <w:tcW w:w="1615" w:type="dxa"/>
            <w:vMerge w:val="restart"/>
            <w:shd w:val="clear" w:color="auto" w:fill="auto"/>
            <w:noWrap/>
            <w:vAlign w:val="center"/>
          </w:tcPr>
          <w:p w14:paraId="6CA4AE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山兰大厦路口</w:t>
            </w:r>
          </w:p>
        </w:tc>
        <w:tc>
          <w:tcPr>
            <w:tcW w:w="2733" w:type="dxa"/>
            <w:shd w:val="clear" w:color="auto" w:fill="auto"/>
            <w:noWrap/>
            <w:vAlign w:val="center"/>
          </w:tcPr>
          <w:p w14:paraId="04D5EF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1E4CA5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D85E7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22F19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8E023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161</w:t>
            </w:r>
          </w:p>
        </w:tc>
        <w:tc>
          <w:tcPr>
            <w:tcW w:w="1558" w:type="dxa"/>
            <w:vMerge w:val="continue"/>
            <w:vAlign w:val="center"/>
          </w:tcPr>
          <w:p w14:paraId="49CFBEF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1DD476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109B7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4CC700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965D6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721DB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9AA32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162</w:t>
            </w:r>
          </w:p>
        </w:tc>
        <w:tc>
          <w:tcPr>
            <w:tcW w:w="1558" w:type="dxa"/>
            <w:vMerge w:val="continue"/>
            <w:vAlign w:val="center"/>
          </w:tcPr>
          <w:p w14:paraId="01529F9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9C232A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A1D609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240E9F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01073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DC73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FD16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163</w:t>
            </w:r>
          </w:p>
        </w:tc>
        <w:tc>
          <w:tcPr>
            <w:tcW w:w="1558" w:type="dxa"/>
            <w:vMerge w:val="continue"/>
            <w:vAlign w:val="center"/>
          </w:tcPr>
          <w:p w14:paraId="7D671F0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81D4D6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72EE20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7CA2D5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DF010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632BA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F6BCE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164</w:t>
            </w:r>
          </w:p>
        </w:tc>
        <w:tc>
          <w:tcPr>
            <w:tcW w:w="1558" w:type="dxa"/>
            <w:vMerge w:val="continue"/>
            <w:vAlign w:val="center"/>
          </w:tcPr>
          <w:p w14:paraId="15E6DB6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47B3DC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6FCF85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01CF28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34402C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6C63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00D0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165</w:t>
            </w:r>
          </w:p>
        </w:tc>
        <w:tc>
          <w:tcPr>
            <w:tcW w:w="1558" w:type="dxa"/>
            <w:vMerge w:val="continue"/>
            <w:vAlign w:val="center"/>
          </w:tcPr>
          <w:p w14:paraId="2039527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21E7D3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6B6B83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5AC50A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42C69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60C4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CFC17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166</w:t>
            </w:r>
          </w:p>
        </w:tc>
        <w:tc>
          <w:tcPr>
            <w:tcW w:w="1558" w:type="dxa"/>
            <w:vMerge w:val="continue"/>
            <w:vAlign w:val="center"/>
          </w:tcPr>
          <w:p w14:paraId="2E26E37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4F1C64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A4FFD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19C515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8CCDB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0BB2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D831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167</w:t>
            </w:r>
          </w:p>
        </w:tc>
        <w:tc>
          <w:tcPr>
            <w:tcW w:w="1558" w:type="dxa"/>
            <w:vMerge w:val="continue"/>
            <w:vAlign w:val="center"/>
          </w:tcPr>
          <w:p w14:paraId="40F52A3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862087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3EC118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12684B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63455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5F187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7518B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168</w:t>
            </w:r>
          </w:p>
        </w:tc>
        <w:tc>
          <w:tcPr>
            <w:tcW w:w="1558" w:type="dxa"/>
            <w:vMerge w:val="continue"/>
            <w:vAlign w:val="center"/>
          </w:tcPr>
          <w:p w14:paraId="5E5B15C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75FE56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4EFDC3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60E0B8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80EE9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A7DD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80A67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169</w:t>
            </w:r>
          </w:p>
        </w:tc>
        <w:tc>
          <w:tcPr>
            <w:tcW w:w="1558" w:type="dxa"/>
            <w:vMerge w:val="continue"/>
            <w:vAlign w:val="center"/>
          </w:tcPr>
          <w:p w14:paraId="522C6A6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CFB92F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A40FB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1A1034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AB3B0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E90A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8391A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170</w:t>
            </w:r>
          </w:p>
        </w:tc>
        <w:tc>
          <w:tcPr>
            <w:tcW w:w="1558" w:type="dxa"/>
            <w:vMerge w:val="continue"/>
            <w:vAlign w:val="center"/>
          </w:tcPr>
          <w:p w14:paraId="31C4DD5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86B5FE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A4A842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17BC62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129E0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473C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D61BD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171</w:t>
            </w:r>
          </w:p>
        </w:tc>
        <w:tc>
          <w:tcPr>
            <w:tcW w:w="1558" w:type="dxa"/>
            <w:vMerge w:val="continue"/>
            <w:vAlign w:val="center"/>
          </w:tcPr>
          <w:p w14:paraId="29BD29E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FDC80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AF096F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1ADBEE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25E3D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180D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9EB8E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172</w:t>
            </w:r>
          </w:p>
        </w:tc>
        <w:tc>
          <w:tcPr>
            <w:tcW w:w="1558" w:type="dxa"/>
            <w:vMerge w:val="continue"/>
            <w:vAlign w:val="center"/>
          </w:tcPr>
          <w:p w14:paraId="7CCBAB7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C7D495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D749F3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5E0E16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D877A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6ACB8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7F418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173</w:t>
            </w:r>
          </w:p>
        </w:tc>
        <w:tc>
          <w:tcPr>
            <w:tcW w:w="1558" w:type="dxa"/>
            <w:vMerge w:val="continue"/>
            <w:vAlign w:val="center"/>
          </w:tcPr>
          <w:p w14:paraId="2A57767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8685C1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6A0D1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729D15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F4F28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523DA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CC299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174</w:t>
            </w:r>
          </w:p>
        </w:tc>
        <w:tc>
          <w:tcPr>
            <w:tcW w:w="1558" w:type="dxa"/>
            <w:vMerge w:val="continue"/>
            <w:vAlign w:val="center"/>
          </w:tcPr>
          <w:p w14:paraId="708B5DE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D9EEA5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4901F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681A6D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8E7DE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7E06B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38380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175</w:t>
            </w:r>
          </w:p>
        </w:tc>
        <w:tc>
          <w:tcPr>
            <w:tcW w:w="1558" w:type="dxa"/>
            <w:vMerge w:val="continue"/>
            <w:vAlign w:val="center"/>
          </w:tcPr>
          <w:p w14:paraId="06EA1E8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EA2789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9F9E8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236376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9D366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44473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375BD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176</w:t>
            </w:r>
          </w:p>
        </w:tc>
        <w:tc>
          <w:tcPr>
            <w:tcW w:w="1558" w:type="dxa"/>
            <w:vMerge w:val="continue"/>
            <w:vAlign w:val="center"/>
          </w:tcPr>
          <w:p w14:paraId="36E9AB7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D64F4E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5147D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5E184A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4F91F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70928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C3160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177</w:t>
            </w:r>
          </w:p>
        </w:tc>
        <w:tc>
          <w:tcPr>
            <w:tcW w:w="1558" w:type="dxa"/>
            <w:vMerge w:val="continue"/>
            <w:vAlign w:val="center"/>
          </w:tcPr>
          <w:p w14:paraId="0D5067C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0AAA74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DE0CC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0406A6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E2305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2096D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F7B2F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178</w:t>
            </w:r>
          </w:p>
        </w:tc>
        <w:tc>
          <w:tcPr>
            <w:tcW w:w="1558" w:type="dxa"/>
            <w:vMerge w:val="continue"/>
            <w:vAlign w:val="center"/>
          </w:tcPr>
          <w:p w14:paraId="73D913E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9DCF0F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C15E7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4F68F3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84380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71EBE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6CBF3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179</w:t>
            </w:r>
          </w:p>
        </w:tc>
        <w:tc>
          <w:tcPr>
            <w:tcW w:w="1558" w:type="dxa"/>
            <w:vMerge w:val="continue"/>
            <w:vAlign w:val="center"/>
          </w:tcPr>
          <w:p w14:paraId="6945CCB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5CBBD4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42958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213370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D708D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C5E2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1877B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180</w:t>
            </w:r>
          </w:p>
        </w:tc>
        <w:tc>
          <w:tcPr>
            <w:tcW w:w="1558" w:type="dxa"/>
            <w:vMerge w:val="continue"/>
            <w:vAlign w:val="center"/>
          </w:tcPr>
          <w:p w14:paraId="45937DC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64C94C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2F4940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7BDF7C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7A7D3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37AE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2A9DA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181</w:t>
            </w:r>
          </w:p>
        </w:tc>
        <w:tc>
          <w:tcPr>
            <w:tcW w:w="1558" w:type="dxa"/>
            <w:vMerge w:val="continue"/>
            <w:vAlign w:val="center"/>
          </w:tcPr>
          <w:p w14:paraId="192B52F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E1BA40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56F8A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530E72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C3E0C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F907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CA7A2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182</w:t>
            </w:r>
          </w:p>
        </w:tc>
        <w:tc>
          <w:tcPr>
            <w:tcW w:w="1558" w:type="dxa"/>
            <w:vMerge w:val="continue"/>
            <w:vAlign w:val="center"/>
          </w:tcPr>
          <w:p w14:paraId="06212E0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41EF2E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零公里路口</w:t>
            </w:r>
          </w:p>
        </w:tc>
        <w:tc>
          <w:tcPr>
            <w:tcW w:w="2733" w:type="dxa"/>
            <w:shd w:val="clear" w:color="auto" w:fill="auto"/>
            <w:noWrap/>
            <w:vAlign w:val="center"/>
          </w:tcPr>
          <w:p w14:paraId="0FE4AA5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5267F3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8FBD1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834B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3A19A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183</w:t>
            </w:r>
          </w:p>
        </w:tc>
        <w:tc>
          <w:tcPr>
            <w:tcW w:w="1558" w:type="dxa"/>
            <w:vMerge w:val="continue"/>
            <w:vAlign w:val="center"/>
          </w:tcPr>
          <w:p w14:paraId="39B46BF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99DFBA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CCB2B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395949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15440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r>
      <w:tr w14:paraId="007D1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6CC4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184</w:t>
            </w:r>
          </w:p>
        </w:tc>
        <w:tc>
          <w:tcPr>
            <w:tcW w:w="1558" w:type="dxa"/>
            <w:vMerge w:val="continue"/>
            <w:vAlign w:val="center"/>
          </w:tcPr>
          <w:p w14:paraId="2FAB44C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7A566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8511A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0A7F5B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2F0F1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98C1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A6DF2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185</w:t>
            </w:r>
          </w:p>
        </w:tc>
        <w:tc>
          <w:tcPr>
            <w:tcW w:w="1558" w:type="dxa"/>
            <w:vMerge w:val="continue"/>
            <w:vAlign w:val="center"/>
          </w:tcPr>
          <w:p w14:paraId="4702777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4AEC9A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07B044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0A60E8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2CDBB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r>
      <w:tr w14:paraId="473CB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E33FC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186</w:t>
            </w:r>
          </w:p>
        </w:tc>
        <w:tc>
          <w:tcPr>
            <w:tcW w:w="1558" w:type="dxa"/>
            <w:vMerge w:val="continue"/>
            <w:vAlign w:val="center"/>
          </w:tcPr>
          <w:p w14:paraId="6B713F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8CDD7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11A09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7EF343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58415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527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9882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187</w:t>
            </w:r>
          </w:p>
        </w:tc>
        <w:tc>
          <w:tcPr>
            <w:tcW w:w="1558" w:type="dxa"/>
            <w:vMerge w:val="continue"/>
            <w:vAlign w:val="center"/>
          </w:tcPr>
          <w:p w14:paraId="3BE2F72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D2FF97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4823ED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13B0CA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043D3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E3E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4A356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188</w:t>
            </w:r>
          </w:p>
        </w:tc>
        <w:tc>
          <w:tcPr>
            <w:tcW w:w="1558" w:type="dxa"/>
            <w:vMerge w:val="continue"/>
            <w:vAlign w:val="center"/>
          </w:tcPr>
          <w:p w14:paraId="292BEDA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5490C5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E6A41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3D5D40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D804E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BFB2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DC603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189</w:t>
            </w:r>
          </w:p>
        </w:tc>
        <w:tc>
          <w:tcPr>
            <w:tcW w:w="1558" w:type="dxa"/>
            <w:vMerge w:val="continue"/>
            <w:vAlign w:val="center"/>
          </w:tcPr>
          <w:p w14:paraId="708F6CC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94D2EA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103185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5EC924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59123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FB03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D07C3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190</w:t>
            </w:r>
          </w:p>
        </w:tc>
        <w:tc>
          <w:tcPr>
            <w:tcW w:w="1558" w:type="dxa"/>
            <w:vMerge w:val="continue"/>
            <w:vAlign w:val="center"/>
          </w:tcPr>
          <w:p w14:paraId="6DE1A4E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48056D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A9021A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166758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5BB5B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DFEC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74807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191</w:t>
            </w:r>
          </w:p>
        </w:tc>
        <w:tc>
          <w:tcPr>
            <w:tcW w:w="1558" w:type="dxa"/>
            <w:vMerge w:val="continue"/>
            <w:vAlign w:val="center"/>
          </w:tcPr>
          <w:p w14:paraId="614A2BD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581976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79AF7C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5F207C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C5D2F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DCFB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14209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192</w:t>
            </w:r>
          </w:p>
        </w:tc>
        <w:tc>
          <w:tcPr>
            <w:tcW w:w="1558" w:type="dxa"/>
            <w:vMerge w:val="continue"/>
            <w:vAlign w:val="center"/>
          </w:tcPr>
          <w:p w14:paraId="6D7C599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686166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117375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22B262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07183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D86C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50457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193</w:t>
            </w:r>
          </w:p>
        </w:tc>
        <w:tc>
          <w:tcPr>
            <w:tcW w:w="1558" w:type="dxa"/>
            <w:vMerge w:val="continue"/>
            <w:vAlign w:val="center"/>
          </w:tcPr>
          <w:p w14:paraId="42A265B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B263B4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4BE274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7DF4D5A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4B48C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A03B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5D19B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194</w:t>
            </w:r>
          </w:p>
        </w:tc>
        <w:tc>
          <w:tcPr>
            <w:tcW w:w="1558" w:type="dxa"/>
            <w:vMerge w:val="continue"/>
            <w:vAlign w:val="center"/>
          </w:tcPr>
          <w:p w14:paraId="5547EDA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374B2D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EFE1B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257F5F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26E3C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524A0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C1AC9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195</w:t>
            </w:r>
          </w:p>
        </w:tc>
        <w:tc>
          <w:tcPr>
            <w:tcW w:w="1558" w:type="dxa"/>
            <w:vMerge w:val="continue"/>
            <w:vAlign w:val="center"/>
          </w:tcPr>
          <w:p w14:paraId="2AABD4C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D0E574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A36B3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2F8D5F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D8BAB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2E744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CA805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196</w:t>
            </w:r>
          </w:p>
        </w:tc>
        <w:tc>
          <w:tcPr>
            <w:tcW w:w="1558" w:type="dxa"/>
            <w:vMerge w:val="continue"/>
            <w:vAlign w:val="center"/>
          </w:tcPr>
          <w:p w14:paraId="54E5A46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8DFFF7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4587D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21D1A3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273C5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1F389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E7BA8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197</w:t>
            </w:r>
          </w:p>
        </w:tc>
        <w:tc>
          <w:tcPr>
            <w:tcW w:w="1558" w:type="dxa"/>
            <w:vMerge w:val="continue"/>
            <w:vAlign w:val="center"/>
          </w:tcPr>
          <w:p w14:paraId="28EA918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9DCBDB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4678DC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03B77C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140D5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2350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BB00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198</w:t>
            </w:r>
          </w:p>
        </w:tc>
        <w:tc>
          <w:tcPr>
            <w:tcW w:w="1558" w:type="dxa"/>
            <w:vMerge w:val="continue"/>
            <w:vAlign w:val="center"/>
          </w:tcPr>
          <w:p w14:paraId="18FE7F0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65C8DE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7BDC17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25B4FD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B6D11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BF54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80142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199</w:t>
            </w:r>
          </w:p>
        </w:tc>
        <w:tc>
          <w:tcPr>
            <w:tcW w:w="1558" w:type="dxa"/>
            <w:vMerge w:val="continue"/>
            <w:vAlign w:val="center"/>
          </w:tcPr>
          <w:p w14:paraId="035E3B6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11A605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BEE0B9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763EBB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5FAA1B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39F2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C5719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1558" w:type="dxa"/>
            <w:vMerge w:val="continue"/>
            <w:vAlign w:val="center"/>
          </w:tcPr>
          <w:p w14:paraId="246BAB0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18D138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C3399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52A14E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1401C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A38C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AF94E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201</w:t>
            </w:r>
          </w:p>
        </w:tc>
        <w:tc>
          <w:tcPr>
            <w:tcW w:w="1558" w:type="dxa"/>
            <w:vMerge w:val="continue"/>
            <w:vAlign w:val="center"/>
          </w:tcPr>
          <w:p w14:paraId="79340C0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CBD870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DF33E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27B7CF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18E46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A139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F63AA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202</w:t>
            </w:r>
          </w:p>
        </w:tc>
        <w:tc>
          <w:tcPr>
            <w:tcW w:w="1558" w:type="dxa"/>
            <w:vMerge w:val="continue"/>
            <w:vAlign w:val="center"/>
          </w:tcPr>
          <w:p w14:paraId="3D9B84F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124998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国兴大道-兴教路路口</w:t>
            </w:r>
          </w:p>
        </w:tc>
        <w:tc>
          <w:tcPr>
            <w:tcW w:w="2733" w:type="dxa"/>
            <w:shd w:val="clear" w:color="auto" w:fill="auto"/>
            <w:noWrap/>
            <w:vAlign w:val="center"/>
          </w:tcPr>
          <w:p w14:paraId="2C6F48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443280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0697D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635E5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CDF58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203</w:t>
            </w:r>
          </w:p>
        </w:tc>
        <w:tc>
          <w:tcPr>
            <w:tcW w:w="1558" w:type="dxa"/>
            <w:vMerge w:val="continue"/>
            <w:vAlign w:val="center"/>
          </w:tcPr>
          <w:p w14:paraId="4F59B9B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037803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C3EC82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7F9131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02696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r>
      <w:tr w14:paraId="564CA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5081F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204</w:t>
            </w:r>
          </w:p>
        </w:tc>
        <w:tc>
          <w:tcPr>
            <w:tcW w:w="1558" w:type="dxa"/>
            <w:vMerge w:val="continue"/>
            <w:vAlign w:val="center"/>
          </w:tcPr>
          <w:p w14:paraId="13BC2F3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56D26F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77C38C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339B17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FEE5C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1B089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6DB45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205</w:t>
            </w:r>
          </w:p>
        </w:tc>
        <w:tc>
          <w:tcPr>
            <w:tcW w:w="1558" w:type="dxa"/>
            <w:vMerge w:val="continue"/>
            <w:vAlign w:val="center"/>
          </w:tcPr>
          <w:p w14:paraId="35099E8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D127CE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4D783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0C08A8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34722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r>
      <w:tr w14:paraId="1CD5E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414B3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206</w:t>
            </w:r>
          </w:p>
        </w:tc>
        <w:tc>
          <w:tcPr>
            <w:tcW w:w="1558" w:type="dxa"/>
            <w:vMerge w:val="continue"/>
            <w:vAlign w:val="center"/>
          </w:tcPr>
          <w:p w14:paraId="19331CB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E11EA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F60B5E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4C2FD1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18094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F37F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59114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207</w:t>
            </w:r>
          </w:p>
        </w:tc>
        <w:tc>
          <w:tcPr>
            <w:tcW w:w="1558" w:type="dxa"/>
            <w:vMerge w:val="continue"/>
            <w:vAlign w:val="center"/>
          </w:tcPr>
          <w:p w14:paraId="39C965B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E50590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B742D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630EA7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44968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CA43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083FC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208</w:t>
            </w:r>
          </w:p>
        </w:tc>
        <w:tc>
          <w:tcPr>
            <w:tcW w:w="1558" w:type="dxa"/>
            <w:vMerge w:val="continue"/>
            <w:vAlign w:val="center"/>
          </w:tcPr>
          <w:p w14:paraId="526F979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E17F60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846CA9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6ED66D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33969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6CCA0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3B84E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209</w:t>
            </w:r>
          </w:p>
        </w:tc>
        <w:tc>
          <w:tcPr>
            <w:tcW w:w="1558" w:type="dxa"/>
            <w:vMerge w:val="continue"/>
            <w:vAlign w:val="center"/>
          </w:tcPr>
          <w:p w14:paraId="50AB512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755AA7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C78D0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11EC25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B796F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8A0F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AF82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210</w:t>
            </w:r>
          </w:p>
        </w:tc>
        <w:tc>
          <w:tcPr>
            <w:tcW w:w="1558" w:type="dxa"/>
            <w:vMerge w:val="continue"/>
            <w:vAlign w:val="center"/>
          </w:tcPr>
          <w:p w14:paraId="4E378EF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474485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C07E45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15CF69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5112C8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D160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C95E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211</w:t>
            </w:r>
          </w:p>
        </w:tc>
        <w:tc>
          <w:tcPr>
            <w:tcW w:w="1558" w:type="dxa"/>
            <w:vMerge w:val="continue"/>
            <w:vAlign w:val="center"/>
          </w:tcPr>
          <w:p w14:paraId="722DD86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3D2F5C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F2AB1F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13FA748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A5515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BBE0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0E158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212</w:t>
            </w:r>
          </w:p>
        </w:tc>
        <w:tc>
          <w:tcPr>
            <w:tcW w:w="1558" w:type="dxa"/>
            <w:vMerge w:val="continue"/>
            <w:vAlign w:val="center"/>
          </w:tcPr>
          <w:p w14:paraId="7010272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BB6AB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EF912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445A7C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E645F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AD33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4A5EE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213</w:t>
            </w:r>
          </w:p>
        </w:tc>
        <w:tc>
          <w:tcPr>
            <w:tcW w:w="1558" w:type="dxa"/>
            <w:vMerge w:val="continue"/>
            <w:vAlign w:val="center"/>
          </w:tcPr>
          <w:p w14:paraId="7CC2275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F6BC27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410404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1E7F81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C8950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371E0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410E0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214</w:t>
            </w:r>
          </w:p>
        </w:tc>
        <w:tc>
          <w:tcPr>
            <w:tcW w:w="1558" w:type="dxa"/>
            <w:vMerge w:val="continue"/>
            <w:vAlign w:val="center"/>
          </w:tcPr>
          <w:p w14:paraId="468C37A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C405AE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BEB800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349C0E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1D4AD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20051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51DF1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215</w:t>
            </w:r>
          </w:p>
        </w:tc>
        <w:tc>
          <w:tcPr>
            <w:tcW w:w="1558" w:type="dxa"/>
            <w:vMerge w:val="continue"/>
            <w:vAlign w:val="center"/>
          </w:tcPr>
          <w:p w14:paraId="38BF1E8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7029E5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A8181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35518B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45BC7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04982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DA36A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216</w:t>
            </w:r>
          </w:p>
        </w:tc>
        <w:tc>
          <w:tcPr>
            <w:tcW w:w="1558" w:type="dxa"/>
            <w:vMerge w:val="continue"/>
            <w:vAlign w:val="center"/>
          </w:tcPr>
          <w:p w14:paraId="0144299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EFB481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0863F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51F075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0CC31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r>
      <w:tr w14:paraId="4BA3B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D279B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217</w:t>
            </w:r>
          </w:p>
        </w:tc>
        <w:tc>
          <w:tcPr>
            <w:tcW w:w="1558" w:type="dxa"/>
            <w:vMerge w:val="continue"/>
            <w:vAlign w:val="center"/>
          </w:tcPr>
          <w:p w14:paraId="53955BA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3E9712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DA7B9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369530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46A43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2741E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3B184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218</w:t>
            </w:r>
          </w:p>
        </w:tc>
        <w:tc>
          <w:tcPr>
            <w:tcW w:w="1558" w:type="dxa"/>
            <w:vMerge w:val="continue"/>
            <w:vAlign w:val="center"/>
          </w:tcPr>
          <w:p w14:paraId="2C25878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CD14B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4A0A60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520ECD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CF2BC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7CAE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6C380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219</w:t>
            </w:r>
          </w:p>
        </w:tc>
        <w:tc>
          <w:tcPr>
            <w:tcW w:w="1558" w:type="dxa"/>
            <w:vMerge w:val="continue"/>
            <w:vAlign w:val="center"/>
          </w:tcPr>
          <w:p w14:paraId="3518EE4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87AE36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D72C1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767D13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75616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BFEE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D8DCE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220</w:t>
            </w:r>
          </w:p>
        </w:tc>
        <w:tc>
          <w:tcPr>
            <w:tcW w:w="1558" w:type="dxa"/>
            <w:vMerge w:val="continue"/>
            <w:vAlign w:val="center"/>
          </w:tcPr>
          <w:p w14:paraId="543B617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517715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F64FA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708" w:type="dxa"/>
            <w:shd w:val="clear" w:color="auto" w:fill="auto"/>
            <w:noWrap/>
            <w:vAlign w:val="center"/>
          </w:tcPr>
          <w:p w14:paraId="0FDD0C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2E3540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8CBF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DD0AC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221</w:t>
            </w:r>
          </w:p>
        </w:tc>
        <w:tc>
          <w:tcPr>
            <w:tcW w:w="1558" w:type="dxa"/>
            <w:vMerge w:val="continue"/>
            <w:vAlign w:val="center"/>
          </w:tcPr>
          <w:p w14:paraId="196C08C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099C71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677561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2B2E3B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7A2BA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A97A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510C8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222</w:t>
            </w:r>
          </w:p>
        </w:tc>
        <w:tc>
          <w:tcPr>
            <w:tcW w:w="1558" w:type="dxa"/>
            <w:vMerge w:val="continue"/>
            <w:vAlign w:val="center"/>
          </w:tcPr>
          <w:p w14:paraId="5FF6889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FE325E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832045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708" w:type="dxa"/>
            <w:shd w:val="clear" w:color="auto" w:fill="auto"/>
            <w:noWrap/>
            <w:vAlign w:val="center"/>
          </w:tcPr>
          <w:p w14:paraId="51DCFC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5D1BE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30AB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62EFA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223</w:t>
            </w:r>
          </w:p>
        </w:tc>
        <w:tc>
          <w:tcPr>
            <w:tcW w:w="1558" w:type="dxa"/>
            <w:vMerge w:val="continue"/>
            <w:vAlign w:val="center"/>
          </w:tcPr>
          <w:p w14:paraId="735B164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8717BE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4AB211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34203B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53A9C5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DDE3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E2711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224</w:t>
            </w:r>
          </w:p>
        </w:tc>
        <w:tc>
          <w:tcPr>
            <w:tcW w:w="1558" w:type="dxa"/>
            <w:vMerge w:val="continue"/>
            <w:vAlign w:val="center"/>
          </w:tcPr>
          <w:p w14:paraId="7BC571B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0A8657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748E33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708" w:type="dxa"/>
            <w:shd w:val="clear" w:color="auto" w:fill="auto"/>
            <w:noWrap/>
            <w:vAlign w:val="center"/>
          </w:tcPr>
          <w:p w14:paraId="02427B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B8F27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655F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1697D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225</w:t>
            </w:r>
          </w:p>
        </w:tc>
        <w:tc>
          <w:tcPr>
            <w:tcW w:w="1558" w:type="dxa"/>
            <w:vMerge w:val="continue"/>
            <w:vAlign w:val="center"/>
          </w:tcPr>
          <w:p w14:paraId="27062BD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2CC851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B1B713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16D42A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47C79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E62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B9A98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226</w:t>
            </w:r>
          </w:p>
        </w:tc>
        <w:tc>
          <w:tcPr>
            <w:tcW w:w="1558" w:type="dxa"/>
            <w:vMerge w:val="continue"/>
            <w:vAlign w:val="center"/>
          </w:tcPr>
          <w:p w14:paraId="74E3D58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638337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国兴大道-龙溪路路口</w:t>
            </w:r>
          </w:p>
        </w:tc>
        <w:tc>
          <w:tcPr>
            <w:tcW w:w="2733" w:type="dxa"/>
            <w:shd w:val="clear" w:color="auto" w:fill="auto"/>
            <w:noWrap/>
            <w:vAlign w:val="center"/>
          </w:tcPr>
          <w:p w14:paraId="3BEB1CF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45C308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62D99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B0B9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2EC68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227</w:t>
            </w:r>
          </w:p>
        </w:tc>
        <w:tc>
          <w:tcPr>
            <w:tcW w:w="1558" w:type="dxa"/>
            <w:vMerge w:val="continue"/>
            <w:vAlign w:val="center"/>
          </w:tcPr>
          <w:p w14:paraId="627DED2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400834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2B83F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21648C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97225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5A7B0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5E108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228</w:t>
            </w:r>
          </w:p>
        </w:tc>
        <w:tc>
          <w:tcPr>
            <w:tcW w:w="1558" w:type="dxa"/>
            <w:vMerge w:val="continue"/>
            <w:vAlign w:val="center"/>
          </w:tcPr>
          <w:p w14:paraId="451B374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023747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B38718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2F68B9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FA866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21CB4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CE72F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229</w:t>
            </w:r>
          </w:p>
        </w:tc>
        <w:tc>
          <w:tcPr>
            <w:tcW w:w="1558" w:type="dxa"/>
            <w:vMerge w:val="continue"/>
            <w:vAlign w:val="center"/>
          </w:tcPr>
          <w:p w14:paraId="0C2257C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C8ECBA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D28B03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0CFE39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FE365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0395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F111C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230</w:t>
            </w:r>
          </w:p>
        </w:tc>
        <w:tc>
          <w:tcPr>
            <w:tcW w:w="1558" w:type="dxa"/>
            <w:vMerge w:val="continue"/>
            <w:vAlign w:val="center"/>
          </w:tcPr>
          <w:p w14:paraId="1E916BC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BE16E2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24C21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5DA135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C85C9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8AA4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FE1A2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231</w:t>
            </w:r>
          </w:p>
        </w:tc>
        <w:tc>
          <w:tcPr>
            <w:tcW w:w="1558" w:type="dxa"/>
            <w:vMerge w:val="continue"/>
            <w:vAlign w:val="center"/>
          </w:tcPr>
          <w:p w14:paraId="2E10929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CD3CA3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400D43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5EDA9C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3BD1A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4968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4903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232</w:t>
            </w:r>
          </w:p>
        </w:tc>
        <w:tc>
          <w:tcPr>
            <w:tcW w:w="1558" w:type="dxa"/>
            <w:vMerge w:val="continue"/>
            <w:vAlign w:val="center"/>
          </w:tcPr>
          <w:p w14:paraId="741E5D2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BE9B86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05429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17CEA4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D7CB7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5B9F3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033C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233</w:t>
            </w:r>
          </w:p>
        </w:tc>
        <w:tc>
          <w:tcPr>
            <w:tcW w:w="1558" w:type="dxa"/>
            <w:vMerge w:val="continue"/>
            <w:vAlign w:val="center"/>
          </w:tcPr>
          <w:p w14:paraId="5D447CA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76DF92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0FBACF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1226BC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309D7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D9D9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5A781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234</w:t>
            </w:r>
          </w:p>
        </w:tc>
        <w:tc>
          <w:tcPr>
            <w:tcW w:w="1558" w:type="dxa"/>
            <w:vMerge w:val="continue"/>
            <w:vAlign w:val="center"/>
          </w:tcPr>
          <w:p w14:paraId="0618AB2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B6A25B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235F30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5AB98F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BBEB1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180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0EF77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235</w:t>
            </w:r>
          </w:p>
        </w:tc>
        <w:tc>
          <w:tcPr>
            <w:tcW w:w="1558" w:type="dxa"/>
            <w:vMerge w:val="continue"/>
            <w:vAlign w:val="center"/>
          </w:tcPr>
          <w:p w14:paraId="1DD1305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D38CA5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6B7E0D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5739ABF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A85FE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844D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68202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236</w:t>
            </w:r>
          </w:p>
        </w:tc>
        <w:tc>
          <w:tcPr>
            <w:tcW w:w="1558" w:type="dxa"/>
            <w:vMerge w:val="continue"/>
            <w:vAlign w:val="center"/>
          </w:tcPr>
          <w:p w14:paraId="649DDAD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6E273A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87AC06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683506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55065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5BF72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54AD7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237</w:t>
            </w:r>
          </w:p>
        </w:tc>
        <w:tc>
          <w:tcPr>
            <w:tcW w:w="1558" w:type="dxa"/>
            <w:vMerge w:val="continue"/>
            <w:vAlign w:val="center"/>
          </w:tcPr>
          <w:p w14:paraId="33477CE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8F279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6EEDA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143674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82704F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317F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381F0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238</w:t>
            </w:r>
          </w:p>
        </w:tc>
        <w:tc>
          <w:tcPr>
            <w:tcW w:w="1558" w:type="dxa"/>
            <w:vMerge w:val="continue"/>
            <w:vAlign w:val="center"/>
          </w:tcPr>
          <w:p w14:paraId="1AFB483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50E02E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59236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053269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A0BD5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6BD08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864C7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239</w:t>
            </w:r>
          </w:p>
        </w:tc>
        <w:tc>
          <w:tcPr>
            <w:tcW w:w="1558" w:type="dxa"/>
            <w:vMerge w:val="continue"/>
            <w:vAlign w:val="center"/>
          </w:tcPr>
          <w:p w14:paraId="0D4B65E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091E0E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76EEE4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15B77E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B7AA9C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20828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96790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240</w:t>
            </w:r>
          </w:p>
        </w:tc>
        <w:tc>
          <w:tcPr>
            <w:tcW w:w="1558" w:type="dxa"/>
            <w:vMerge w:val="continue"/>
            <w:vAlign w:val="center"/>
          </w:tcPr>
          <w:p w14:paraId="55249ED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8EEB84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2181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1571B4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614A1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72999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B67F2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241</w:t>
            </w:r>
          </w:p>
        </w:tc>
        <w:tc>
          <w:tcPr>
            <w:tcW w:w="1558" w:type="dxa"/>
            <w:vMerge w:val="continue"/>
            <w:vAlign w:val="center"/>
          </w:tcPr>
          <w:p w14:paraId="6DD94B2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424097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58C7B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695AFF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2FBD7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2C3E4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A35CE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242</w:t>
            </w:r>
          </w:p>
        </w:tc>
        <w:tc>
          <w:tcPr>
            <w:tcW w:w="1558" w:type="dxa"/>
            <w:vMerge w:val="continue"/>
            <w:vAlign w:val="center"/>
          </w:tcPr>
          <w:p w14:paraId="4D39172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239F43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45A62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3A7653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87359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7230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BCAF5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243</w:t>
            </w:r>
          </w:p>
        </w:tc>
        <w:tc>
          <w:tcPr>
            <w:tcW w:w="1558" w:type="dxa"/>
            <w:vMerge w:val="continue"/>
            <w:vAlign w:val="center"/>
          </w:tcPr>
          <w:p w14:paraId="64457A5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72472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32143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1E2151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F3012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A37C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A790D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244</w:t>
            </w:r>
          </w:p>
        </w:tc>
        <w:tc>
          <w:tcPr>
            <w:tcW w:w="1558" w:type="dxa"/>
            <w:vMerge w:val="continue"/>
            <w:vAlign w:val="center"/>
          </w:tcPr>
          <w:p w14:paraId="20F9D52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B73000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5D5C6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251E4D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680E7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CC0F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25E6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245</w:t>
            </w:r>
          </w:p>
        </w:tc>
        <w:tc>
          <w:tcPr>
            <w:tcW w:w="1558" w:type="dxa"/>
            <w:vMerge w:val="continue"/>
            <w:vAlign w:val="center"/>
          </w:tcPr>
          <w:p w14:paraId="3E099C5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1C0750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F564D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4CF4B8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35206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AA3E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7842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246</w:t>
            </w:r>
          </w:p>
        </w:tc>
        <w:tc>
          <w:tcPr>
            <w:tcW w:w="1558" w:type="dxa"/>
            <w:vMerge w:val="continue"/>
            <w:vAlign w:val="center"/>
          </w:tcPr>
          <w:p w14:paraId="0AAA83A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4A88CC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国兴大道与三月三大道路口</w:t>
            </w:r>
          </w:p>
        </w:tc>
        <w:tc>
          <w:tcPr>
            <w:tcW w:w="2733" w:type="dxa"/>
            <w:shd w:val="clear" w:color="auto" w:fill="auto"/>
            <w:noWrap/>
            <w:vAlign w:val="center"/>
          </w:tcPr>
          <w:p w14:paraId="7D0F6F8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5436C9E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4EBF1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AFFF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BDC06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247</w:t>
            </w:r>
          </w:p>
        </w:tc>
        <w:tc>
          <w:tcPr>
            <w:tcW w:w="1558" w:type="dxa"/>
            <w:vMerge w:val="continue"/>
            <w:vAlign w:val="center"/>
          </w:tcPr>
          <w:p w14:paraId="42E3C32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C1AA2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EAA240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203472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71DBD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7486A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71001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248</w:t>
            </w:r>
          </w:p>
        </w:tc>
        <w:tc>
          <w:tcPr>
            <w:tcW w:w="1558" w:type="dxa"/>
            <w:vMerge w:val="continue"/>
            <w:vAlign w:val="center"/>
          </w:tcPr>
          <w:p w14:paraId="7F1DBE1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312275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A7BE3E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5DE246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CB91C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2207E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BCE1E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249</w:t>
            </w:r>
          </w:p>
        </w:tc>
        <w:tc>
          <w:tcPr>
            <w:tcW w:w="1558" w:type="dxa"/>
            <w:vMerge w:val="continue"/>
            <w:vAlign w:val="center"/>
          </w:tcPr>
          <w:p w14:paraId="5D6899C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0DF999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D14283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3956E7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5EA8B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62B3A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4FF40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250</w:t>
            </w:r>
          </w:p>
        </w:tc>
        <w:tc>
          <w:tcPr>
            <w:tcW w:w="1558" w:type="dxa"/>
            <w:vMerge w:val="continue"/>
            <w:vAlign w:val="center"/>
          </w:tcPr>
          <w:p w14:paraId="6F5CFB6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D257A8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1D989D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1189FB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579F4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4CA4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247E9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251</w:t>
            </w:r>
          </w:p>
        </w:tc>
        <w:tc>
          <w:tcPr>
            <w:tcW w:w="1558" w:type="dxa"/>
            <w:vMerge w:val="continue"/>
            <w:vAlign w:val="center"/>
          </w:tcPr>
          <w:p w14:paraId="3BC40A8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AD504C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92647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1C892C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586F0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F57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03BAB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252</w:t>
            </w:r>
          </w:p>
        </w:tc>
        <w:tc>
          <w:tcPr>
            <w:tcW w:w="1558" w:type="dxa"/>
            <w:vMerge w:val="continue"/>
            <w:vAlign w:val="center"/>
          </w:tcPr>
          <w:p w14:paraId="1C28D3B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54DF1C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A41869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3ED5D9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CFE35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DA6F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7684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253</w:t>
            </w:r>
          </w:p>
        </w:tc>
        <w:tc>
          <w:tcPr>
            <w:tcW w:w="1558" w:type="dxa"/>
            <w:vMerge w:val="continue"/>
            <w:vAlign w:val="center"/>
          </w:tcPr>
          <w:p w14:paraId="55D90EB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3175C4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23BCDA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3B4E8D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FA164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E280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99569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254</w:t>
            </w:r>
          </w:p>
        </w:tc>
        <w:tc>
          <w:tcPr>
            <w:tcW w:w="1558" w:type="dxa"/>
            <w:vMerge w:val="continue"/>
            <w:vAlign w:val="center"/>
          </w:tcPr>
          <w:p w14:paraId="4406EA3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53A59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C0507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07FF50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8B9E2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D909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15AB8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255</w:t>
            </w:r>
          </w:p>
        </w:tc>
        <w:tc>
          <w:tcPr>
            <w:tcW w:w="1558" w:type="dxa"/>
            <w:vMerge w:val="continue"/>
            <w:vAlign w:val="center"/>
          </w:tcPr>
          <w:p w14:paraId="3065FE3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3D56DE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DE5F11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395DCA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E3BF7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3E11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F622DF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256</w:t>
            </w:r>
          </w:p>
        </w:tc>
        <w:tc>
          <w:tcPr>
            <w:tcW w:w="1558" w:type="dxa"/>
            <w:vMerge w:val="continue"/>
            <w:vAlign w:val="center"/>
          </w:tcPr>
          <w:p w14:paraId="248B632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268C9E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1790B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7817B3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05B26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21F4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D1CAB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257</w:t>
            </w:r>
          </w:p>
        </w:tc>
        <w:tc>
          <w:tcPr>
            <w:tcW w:w="1558" w:type="dxa"/>
            <w:vMerge w:val="continue"/>
            <w:vAlign w:val="center"/>
          </w:tcPr>
          <w:p w14:paraId="7FDC7D0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8B5502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ECFF30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3AAC3D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CC3E4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A545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4BDDF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258</w:t>
            </w:r>
          </w:p>
        </w:tc>
        <w:tc>
          <w:tcPr>
            <w:tcW w:w="1558" w:type="dxa"/>
            <w:vMerge w:val="continue"/>
            <w:vAlign w:val="center"/>
          </w:tcPr>
          <w:p w14:paraId="032CED0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D8D5A9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2D9C4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575B1F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DC504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67396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BDE3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259</w:t>
            </w:r>
          </w:p>
        </w:tc>
        <w:tc>
          <w:tcPr>
            <w:tcW w:w="1558" w:type="dxa"/>
            <w:vMerge w:val="continue"/>
            <w:vAlign w:val="center"/>
          </w:tcPr>
          <w:p w14:paraId="4FD0A5B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2724E7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6394E8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1F8556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9532E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401E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0E426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c>
          <w:tcPr>
            <w:tcW w:w="1558" w:type="dxa"/>
            <w:vMerge w:val="continue"/>
            <w:vAlign w:val="center"/>
          </w:tcPr>
          <w:p w14:paraId="6B92FEF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14CBE6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8301E9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6912B6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DEFB5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3EA1E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0789A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261</w:t>
            </w:r>
          </w:p>
        </w:tc>
        <w:tc>
          <w:tcPr>
            <w:tcW w:w="1558" w:type="dxa"/>
            <w:vMerge w:val="continue"/>
            <w:vAlign w:val="center"/>
          </w:tcPr>
          <w:p w14:paraId="0DC862B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B81007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EFCCA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42E10E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EFF99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06C28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3CE6C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262</w:t>
            </w:r>
          </w:p>
        </w:tc>
        <w:tc>
          <w:tcPr>
            <w:tcW w:w="1558" w:type="dxa"/>
            <w:vMerge w:val="continue"/>
            <w:vAlign w:val="center"/>
          </w:tcPr>
          <w:p w14:paraId="0137B28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0C79FC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548A55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1EFC44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EE6C93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32E6B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0E111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263</w:t>
            </w:r>
          </w:p>
        </w:tc>
        <w:tc>
          <w:tcPr>
            <w:tcW w:w="1558" w:type="dxa"/>
            <w:vMerge w:val="continue"/>
            <w:vAlign w:val="center"/>
          </w:tcPr>
          <w:p w14:paraId="0573B3E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2C91F7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C84EA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777E28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DDBC3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r>
      <w:tr w14:paraId="7359A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BC55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264</w:t>
            </w:r>
          </w:p>
        </w:tc>
        <w:tc>
          <w:tcPr>
            <w:tcW w:w="1558" w:type="dxa"/>
            <w:vMerge w:val="continue"/>
            <w:vAlign w:val="center"/>
          </w:tcPr>
          <w:p w14:paraId="4C2D44B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FB23B2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3935D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777A6C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2EAB0E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18C2E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1CE96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265</w:t>
            </w:r>
          </w:p>
        </w:tc>
        <w:tc>
          <w:tcPr>
            <w:tcW w:w="1558" w:type="dxa"/>
            <w:vMerge w:val="continue"/>
            <w:vAlign w:val="center"/>
          </w:tcPr>
          <w:p w14:paraId="7D81F17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D1978D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53D877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348336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8C140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B1F3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95BD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266</w:t>
            </w:r>
          </w:p>
        </w:tc>
        <w:tc>
          <w:tcPr>
            <w:tcW w:w="1558" w:type="dxa"/>
            <w:vMerge w:val="continue"/>
            <w:vAlign w:val="center"/>
          </w:tcPr>
          <w:p w14:paraId="739CA07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AC43CB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55AD3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788157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4FE4E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CA67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6FD02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267</w:t>
            </w:r>
          </w:p>
        </w:tc>
        <w:tc>
          <w:tcPr>
            <w:tcW w:w="1558" w:type="dxa"/>
            <w:vMerge w:val="continue"/>
            <w:vAlign w:val="center"/>
          </w:tcPr>
          <w:p w14:paraId="6368E30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9DB51A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DD824A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6803AC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FF8F3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32CC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36CD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268</w:t>
            </w:r>
          </w:p>
        </w:tc>
        <w:tc>
          <w:tcPr>
            <w:tcW w:w="1558" w:type="dxa"/>
            <w:vMerge w:val="continue"/>
            <w:vAlign w:val="center"/>
          </w:tcPr>
          <w:p w14:paraId="497B0E8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10E9FD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三月三大道与玉锦大道路口</w:t>
            </w:r>
          </w:p>
        </w:tc>
        <w:tc>
          <w:tcPr>
            <w:tcW w:w="2733" w:type="dxa"/>
            <w:shd w:val="clear" w:color="auto" w:fill="auto"/>
            <w:noWrap/>
            <w:vAlign w:val="center"/>
          </w:tcPr>
          <w:p w14:paraId="7BA0C6E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61FABB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AF8BB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CF2C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77A65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269</w:t>
            </w:r>
          </w:p>
        </w:tc>
        <w:tc>
          <w:tcPr>
            <w:tcW w:w="1558" w:type="dxa"/>
            <w:vMerge w:val="continue"/>
            <w:vAlign w:val="center"/>
          </w:tcPr>
          <w:p w14:paraId="3D9E19A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54B815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CAD1C9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482E21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CD831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1C5D3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12CF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270</w:t>
            </w:r>
          </w:p>
        </w:tc>
        <w:tc>
          <w:tcPr>
            <w:tcW w:w="1558" w:type="dxa"/>
            <w:vMerge w:val="continue"/>
            <w:vAlign w:val="center"/>
          </w:tcPr>
          <w:p w14:paraId="54B5926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4BF98D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5568A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7414E4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093AC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2181B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F37F5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271</w:t>
            </w:r>
          </w:p>
        </w:tc>
        <w:tc>
          <w:tcPr>
            <w:tcW w:w="1558" w:type="dxa"/>
            <w:vMerge w:val="continue"/>
            <w:vAlign w:val="center"/>
          </w:tcPr>
          <w:p w14:paraId="60D092B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C98A6E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747EF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2DC9EC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68182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3E40C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D69D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272</w:t>
            </w:r>
          </w:p>
        </w:tc>
        <w:tc>
          <w:tcPr>
            <w:tcW w:w="1558" w:type="dxa"/>
            <w:vMerge w:val="continue"/>
            <w:vAlign w:val="center"/>
          </w:tcPr>
          <w:p w14:paraId="2C63630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BDACEF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443E31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0B6C4DF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4F7B7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8FC4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611531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273</w:t>
            </w:r>
          </w:p>
        </w:tc>
        <w:tc>
          <w:tcPr>
            <w:tcW w:w="1558" w:type="dxa"/>
            <w:vMerge w:val="continue"/>
            <w:vAlign w:val="center"/>
          </w:tcPr>
          <w:p w14:paraId="71ADD7E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540690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309D6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2B705B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07FFC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E8FF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1FADE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274</w:t>
            </w:r>
          </w:p>
        </w:tc>
        <w:tc>
          <w:tcPr>
            <w:tcW w:w="1558" w:type="dxa"/>
            <w:vMerge w:val="continue"/>
            <w:vAlign w:val="center"/>
          </w:tcPr>
          <w:p w14:paraId="3040696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21885B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1CE63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15BF50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77F02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37D20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36321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275</w:t>
            </w:r>
          </w:p>
        </w:tc>
        <w:tc>
          <w:tcPr>
            <w:tcW w:w="1558" w:type="dxa"/>
            <w:vMerge w:val="continue"/>
            <w:vAlign w:val="center"/>
          </w:tcPr>
          <w:p w14:paraId="4D0CFD7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663B27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9C3487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13BFDC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26856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4B42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E752C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276</w:t>
            </w:r>
          </w:p>
        </w:tc>
        <w:tc>
          <w:tcPr>
            <w:tcW w:w="1558" w:type="dxa"/>
            <w:vMerge w:val="continue"/>
            <w:vAlign w:val="center"/>
          </w:tcPr>
          <w:p w14:paraId="4032A8B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80887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80133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7115F4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726055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F95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EB799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277</w:t>
            </w:r>
          </w:p>
        </w:tc>
        <w:tc>
          <w:tcPr>
            <w:tcW w:w="1558" w:type="dxa"/>
            <w:vMerge w:val="continue"/>
            <w:vAlign w:val="center"/>
          </w:tcPr>
          <w:p w14:paraId="248E20F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B945FC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62B354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42A7B2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67773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E953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19DC3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278</w:t>
            </w:r>
          </w:p>
        </w:tc>
        <w:tc>
          <w:tcPr>
            <w:tcW w:w="1558" w:type="dxa"/>
            <w:vMerge w:val="continue"/>
            <w:vAlign w:val="center"/>
          </w:tcPr>
          <w:p w14:paraId="2C71D52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60C122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20AD0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589B61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BEAED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603B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D15EE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279</w:t>
            </w:r>
          </w:p>
        </w:tc>
        <w:tc>
          <w:tcPr>
            <w:tcW w:w="1558" w:type="dxa"/>
            <w:vMerge w:val="continue"/>
            <w:vAlign w:val="center"/>
          </w:tcPr>
          <w:p w14:paraId="6D63515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6355DB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859E6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4BE75B4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5A640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130D4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A24B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280</w:t>
            </w:r>
          </w:p>
        </w:tc>
        <w:tc>
          <w:tcPr>
            <w:tcW w:w="1558" w:type="dxa"/>
            <w:vMerge w:val="continue"/>
            <w:vAlign w:val="center"/>
          </w:tcPr>
          <w:p w14:paraId="353D716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134628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1B55E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45F4D6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CDFDC2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6386E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8724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281</w:t>
            </w:r>
          </w:p>
        </w:tc>
        <w:tc>
          <w:tcPr>
            <w:tcW w:w="1558" w:type="dxa"/>
            <w:vMerge w:val="continue"/>
            <w:vAlign w:val="center"/>
          </w:tcPr>
          <w:p w14:paraId="219A2E0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2E4664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34CAA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274F0A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E5CA7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7FF7A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8526B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282</w:t>
            </w:r>
          </w:p>
        </w:tc>
        <w:tc>
          <w:tcPr>
            <w:tcW w:w="1558" w:type="dxa"/>
            <w:vMerge w:val="continue"/>
            <w:vAlign w:val="center"/>
          </w:tcPr>
          <w:p w14:paraId="1CE64E8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A5E645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23BF6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717CF1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1471B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r>
      <w:tr w14:paraId="32C16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A1818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283</w:t>
            </w:r>
          </w:p>
        </w:tc>
        <w:tc>
          <w:tcPr>
            <w:tcW w:w="1558" w:type="dxa"/>
            <w:vMerge w:val="continue"/>
            <w:vAlign w:val="center"/>
          </w:tcPr>
          <w:p w14:paraId="695FFB3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2368D2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1D124C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6F7B93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2DA10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0279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113CE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284</w:t>
            </w:r>
          </w:p>
        </w:tc>
        <w:tc>
          <w:tcPr>
            <w:tcW w:w="1558" w:type="dxa"/>
            <w:vMerge w:val="continue"/>
            <w:vAlign w:val="center"/>
          </w:tcPr>
          <w:p w14:paraId="2FF5BD2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1673CD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095E79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41E32D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364E1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5E35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9E982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285</w:t>
            </w:r>
          </w:p>
        </w:tc>
        <w:tc>
          <w:tcPr>
            <w:tcW w:w="1558" w:type="dxa"/>
            <w:vMerge w:val="continue"/>
            <w:vAlign w:val="center"/>
          </w:tcPr>
          <w:p w14:paraId="6E506C6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E5B8F0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989B5E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73148D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67F8A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F046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D607C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286</w:t>
            </w:r>
          </w:p>
        </w:tc>
        <w:tc>
          <w:tcPr>
            <w:tcW w:w="1558" w:type="dxa"/>
            <w:vMerge w:val="continue"/>
            <w:vAlign w:val="center"/>
          </w:tcPr>
          <w:p w14:paraId="098BCC7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32EC41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424C9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52456B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C449B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D61F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7DED3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287</w:t>
            </w:r>
          </w:p>
        </w:tc>
        <w:tc>
          <w:tcPr>
            <w:tcW w:w="1558" w:type="dxa"/>
            <w:vMerge w:val="continue"/>
            <w:vAlign w:val="center"/>
          </w:tcPr>
          <w:p w14:paraId="6A53DED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E9973C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FFBEC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0EA79F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FA94F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45CA3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1C12E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288</w:t>
            </w:r>
          </w:p>
        </w:tc>
        <w:tc>
          <w:tcPr>
            <w:tcW w:w="1558" w:type="dxa"/>
            <w:vMerge w:val="continue"/>
            <w:vAlign w:val="center"/>
          </w:tcPr>
          <w:p w14:paraId="0B21621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1ABD60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龙溪路-玉锦大道路口</w:t>
            </w:r>
          </w:p>
        </w:tc>
        <w:tc>
          <w:tcPr>
            <w:tcW w:w="2733" w:type="dxa"/>
            <w:shd w:val="clear" w:color="auto" w:fill="auto"/>
            <w:noWrap/>
            <w:vAlign w:val="center"/>
          </w:tcPr>
          <w:p w14:paraId="6E2B0A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044941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96A15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14E87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976BA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289</w:t>
            </w:r>
          </w:p>
        </w:tc>
        <w:tc>
          <w:tcPr>
            <w:tcW w:w="1558" w:type="dxa"/>
            <w:vMerge w:val="continue"/>
            <w:vAlign w:val="center"/>
          </w:tcPr>
          <w:p w14:paraId="5ADD6F6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C07B78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F18B29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018787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754A2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57763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603E3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290</w:t>
            </w:r>
          </w:p>
        </w:tc>
        <w:tc>
          <w:tcPr>
            <w:tcW w:w="1558" w:type="dxa"/>
            <w:vMerge w:val="continue"/>
            <w:vAlign w:val="center"/>
          </w:tcPr>
          <w:p w14:paraId="4E4B9DD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5F40BE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E79E7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65B99F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D1F5E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4344F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E5A22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291</w:t>
            </w:r>
          </w:p>
        </w:tc>
        <w:tc>
          <w:tcPr>
            <w:tcW w:w="1558" w:type="dxa"/>
            <w:vMerge w:val="continue"/>
            <w:vAlign w:val="center"/>
          </w:tcPr>
          <w:p w14:paraId="12DD3A9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C1E6A0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5D69C4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55374F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5F782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2CD91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705F7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292</w:t>
            </w:r>
          </w:p>
        </w:tc>
        <w:tc>
          <w:tcPr>
            <w:tcW w:w="1558" w:type="dxa"/>
            <w:vMerge w:val="continue"/>
            <w:vAlign w:val="center"/>
          </w:tcPr>
          <w:p w14:paraId="4AF1ADE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4A904D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32C17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5D812B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F8001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209B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9F70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293</w:t>
            </w:r>
          </w:p>
        </w:tc>
        <w:tc>
          <w:tcPr>
            <w:tcW w:w="1558" w:type="dxa"/>
            <w:vMerge w:val="continue"/>
            <w:vAlign w:val="center"/>
          </w:tcPr>
          <w:p w14:paraId="65A72EB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9B8683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282ED3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43D3D5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0BE5D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C67D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AF11E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294</w:t>
            </w:r>
          </w:p>
        </w:tc>
        <w:tc>
          <w:tcPr>
            <w:tcW w:w="1558" w:type="dxa"/>
            <w:vMerge w:val="continue"/>
            <w:vAlign w:val="center"/>
          </w:tcPr>
          <w:p w14:paraId="2F202AA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011DF6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8B440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462965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D2054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3B7B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60486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295</w:t>
            </w:r>
          </w:p>
        </w:tc>
        <w:tc>
          <w:tcPr>
            <w:tcW w:w="1558" w:type="dxa"/>
            <w:vMerge w:val="continue"/>
            <w:vAlign w:val="center"/>
          </w:tcPr>
          <w:p w14:paraId="06AC513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BB5206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EA7B17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525094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86848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69D3E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B07B5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296</w:t>
            </w:r>
          </w:p>
        </w:tc>
        <w:tc>
          <w:tcPr>
            <w:tcW w:w="1558" w:type="dxa"/>
            <w:vMerge w:val="continue"/>
            <w:vAlign w:val="center"/>
          </w:tcPr>
          <w:p w14:paraId="01C1C14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12096E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A4950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49B4F8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EAF65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F27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1C9EF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297</w:t>
            </w:r>
          </w:p>
        </w:tc>
        <w:tc>
          <w:tcPr>
            <w:tcW w:w="1558" w:type="dxa"/>
            <w:vMerge w:val="continue"/>
            <w:vAlign w:val="center"/>
          </w:tcPr>
          <w:p w14:paraId="3B00351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2020CC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3B1E39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0A7537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DD493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87DB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7E82A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298</w:t>
            </w:r>
          </w:p>
        </w:tc>
        <w:tc>
          <w:tcPr>
            <w:tcW w:w="1558" w:type="dxa"/>
            <w:vMerge w:val="continue"/>
            <w:vAlign w:val="center"/>
          </w:tcPr>
          <w:p w14:paraId="00A545B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F70AF3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0FE7E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3E51E3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6904A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4CB7C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B1D50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299</w:t>
            </w:r>
          </w:p>
        </w:tc>
        <w:tc>
          <w:tcPr>
            <w:tcW w:w="1558" w:type="dxa"/>
            <w:vMerge w:val="continue"/>
            <w:vAlign w:val="center"/>
          </w:tcPr>
          <w:p w14:paraId="4EA2A52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0A6E7A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E115E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6B73E7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87CF4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7A95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299BC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c>
          <w:tcPr>
            <w:tcW w:w="1558" w:type="dxa"/>
            <w:vMerge w:val="continue"/>
            <w:vAlign w:val="center"/>
          </w:tcPr>
          <w:p w14:paraId="1ED420E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AFFE82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67937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0352C0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8A186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115A9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7B855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301</w:t>
            </w:r>
          </w:p>
        </w:tc>
        <w:tc>
          <w:tcPr>
            <w:tcW w:w="1558" w:type="dxa"/>
            <w:vMerge w:val="continue"/>
            <w:vAlign w:val="center"/>
          </w:tcPr>
          <w:p w14:paraId="45B1E00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3EC7DE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2A6EF7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493CAA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77151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2EF0A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B64BF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302</w:t>
            </w:r>
          </w:p>
        </w:tc>
        <w:tc>
          <w:tcPr>
            <w:tcW w:w="1558" w:type="dxa"/>
            <w:vMerge w:val="continue"/>
            <w:vAlign w:val="center"/>
          </w:tcPr>
          <w:p w14:paraId="430FBA4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D69B97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BFCE03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5F33BE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F2BD0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r>
      <w:tr w14:paraId="45AEF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10941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303</w:t>
            </w:r>
          </w:p>
        </w:tc>
        <w:tc>
          <w:tcPr>
            <w:tcW w:w="1558" w:type="dxa"/>
            <w:vMerge w:val="continue"/>
            <w:vAlign w:val="center"/>
          </w:tcPr>
          <w:p w14:paraId="3B214DA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7AC7D8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5740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515A5C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129052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4BEE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43643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304</w:t>
            </w:r>
          </w:p>
        </w:tc>
        <w:tc>
          <w:tcPr>
            <w:tcW w:w="1558" w:type="dxa"/>
            <w:vMerge w:val="continue"/>
            <w:vAlign w:val="center"/>
          </w:tcPr>
          <w:p w14:paraId="10BA787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CAC7CD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03F325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737BA1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8EFA0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0B473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C1C5F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305</w:t>
            </w:r>
          </w:p>
        </w:tc>
        <w:tc>
          <w:tcPr>
            <w:tcW w:w="1558" w:type="dxa"/>
            <w:vMerge w:val="continue"/>
            <w:vAlign w:val="center"/>
          </w:tcPr>
          <w:p w14:paraId="077E5BB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5902F1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76AD85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38F9BB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5F9FA9F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8FC4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69FD4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306</w:t>
            </w:r>
          </w:p>
        </w:tc>
        <w:tc>
          <w:tcPr>
            <w:tcW w:w="1558" w:type="dxa"/>
            <w:vMerge w:val="continue"/>
            <w:vAlign w:val="center"/>
          </w:tcPr>
          <w:p w14:paraId="7CA15EB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5BADE1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CE78C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5A18EE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098832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3E33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19C3F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307</w:t>
            </w:r>
          </w:p>
        </w:tc>
        <w:tc>
          <w:tcPr>
            <w:tcW w:w="1558" w:type="dxa"/>
            <w:vMerge w:val="continue"/>
            <w:vAlign w:val="center"/>
          </w:tcPr>
          <w:p w14:paraId="324ADA0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C9A0E3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D2104A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36BBD0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E3435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1F683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F2DCC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308</w:t>
            </w:r>
          </w:p>
        </w:tc>
        <w:tc>
          <w:tcPr>
            <w:tcW w:w="1558" w:type="dxa"/>
            <w:vMerge w:val="continue"/>
            <w:vAlign w:val="center"/>
          </w:tcPr>
          <w:p w14:paraId="6B0993E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697CA2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兴教路-玉锦大道-万泉河路路口</w:t>
            </w:r>
          </w:p>
        </w:tc>
        <w:tc>
          <w:tcPr>
            <w:tcW w:w="2733" w:type="dxa"/>
            <w:shd w:val="clear" w:color="auto" w:fill="auto"/>
            <w:noWrap/>
            <w:vAlign w:val="center"/>
          </w:tcPr>
          <w:p w14:paraId="6D6ED8A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50796D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D68FAB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07D3E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B468D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309</w:t>
            </w:r>
          </w:p>
        </w:tc>
        <w:tc>
          <w:tcPr>
            <w:tcW w:w="1558" w:type="dxa"/>
            <w:vMerge w:val="continue"/>
            <w:vAlign w:val="center"/>
          </w:tcPr>
          <w:p w14:paraId="5CBC62B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2232E9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ABF2E3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735D12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49F8C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r>
      <w:tr w14:paraId="2A5E8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786EA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310</w:t>
            </w:r>
          </w:p>
        </w:tc>
        <w:tc>
          <w:tcPr>
            <w:tcW w:w="1558" w:type="dxa"/>
            <w:vMerge w:val="continue"/>
            <w:vAlign w:val="center"/>
          </w:tcPr>
          <w:p w14:paraId="3DEC21E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6DCA48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A0CF8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2946F5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23370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48404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6700B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311</w:t>
            </w:r>
          </w:p>
        </w:tc>
        <w:tc>
          <w:tcPr>
            <w:tcW w:w="1558" w:type="dxa"/>
            <w:vMerge w:val="continue"/>
            <w:vAlign w:val="center"/>
          </w:tcPr>
          <w:p w14:paraId="1371C25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E3A24C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A0D81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208E5A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0347A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r>
      <w:tr w14:paraId="0D5B9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52262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312</w:t>
            </w:r>
          </w:p>
        </w:tc>
        <w:tc>
          <w:tcPr>
            <w:tcW w:w="1558" w:type="dxa"/>
            <w:vMerge w:val="continue"/>
            <w:vAlign w:val="center"/>
          </w:tcPr>
          <w:p w14:paraId="7330633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25BCD3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6DC77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42DB45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116A8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50FD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E4CFE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313</w:t>
            </w:r>
          </w:p>
        </w:tc>
        <w:tc>
          <w:tcPr>
            <w:tcW w:w="1558" w:type="dxa"/>
            <w:vMerge w:val="continue"/>
            <w:vAlign w:val="center"/>
          </w:tcPr>
          <w:p w14:paraId="3AD3633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A92983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4E732C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7493D5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66829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839D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AD2F7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314</w:t>
            </w:r>
          </w:p>
        </w:tc>
        <w:tc>
          <w:tcPr>
            <w:tcW w:w="1558" w:type="dxa"/>
            <w:vMerge w:val="continue"/>
            <w:vAlign w:val="center"/>
          </w:tcPr>
          <w:p w14:paraId="5A7089C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A63A80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C313E7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1835A6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D51DA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12ED0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E0A04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315</w:t>
            </w:r>
          </w:p>
        </w:tc>
        <w:tc>
          <w:tcPr>
            <w:tcW w:w="1558" w:type="dxa"/>
            <w:vMerge w:val="continue"/>
            <w:vAlign w:val="center"/>
          </w:tcPr>
          <w:p w14:paraId="7153F56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CFA852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1D2F2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449D92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C0EE8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6A0F5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B1170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316</w:t>
            </w:r>
          </w:p>
        </w:tc>
        <w:tc>
          <w:tcPr>
            <w:tcW w:w="1558" w:type="dxa"/>
            <w:vMerge w:val="continue"/>
            <w:vAlign w:val="center"/>
          </w:tcPr>
          <w:p w14:paraId="5705E4B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825245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3EF025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633A29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4947FF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A8AB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9EC58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317</w:t>
            </w:r>
          </w:p>
        </w:tc>
        <w:tc>
          <w:tcPr>
            <w:tcW w:w="1558" w:type="dxa"/>
            <w:vMerge w:val="continue"/>
            <w:vAlign w:val="center"/>
          </w:tcPr>
          <w:p w14:paraId="2B16DE9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765992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B1284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4A635E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12A30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1B3C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74828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318</w:t>
            </w:r>
          </w:p>
        </w:tc>
        <w:tc>
          <w:tcPr>
            <w:tcW w:w="1558" w:type="dxa"/>
            <w:vMerge w:val="continue"/>
            <w:vAlign w:val="center"/>
          </w:tcPr>
          <w:p w14:paraId="1635023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AA2D81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449AC1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395C13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C67B5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00D12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87860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319</w:t>
            </w:r>
          </w:p>
        </w:tc>
        <w:tc>
          <w:tcPr>
            <w:tcW w:w="1558" w:type="dxa"/>
            <w:vMerge w:val="continue"/>
            <w:vAlign w:val="center"/>
          </w:tcPr>
          <w:p w14:paraId="3D1D32B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42FEF4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DFA30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621EFA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96B34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r>
      <w:tr w14:paraId="13350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22DE4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320</w:t>
            </w:r>
          </w:p>
        </w:tc>
        <w:tc>
          <w:tcPr>
            <w:tcW w:w="1558" w:type="dxa"/>
            <w:vMerge w:val="continue"/>
            <w:vAlign w:val="center"/>
          </w:tcPr>
          <w:p w14:paraId="65A125E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38017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99DC17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641407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F61BA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r>
      <w:tr w14:paraId="002C2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3BB27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321</w:t>
            </w:r>
          </w:p>
        </w:tc>
        <w:tc>
          <w:tcPr>
            <w:tcW w:w="1558" w:type="dxa"/>
            <w:vMerge w:val="continue"/>
            <w:vAlign w:val="center"/>
          </w:tcPr>
          <w:p w14:paraId="6DF2F60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CD575D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4165F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296D778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78F51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509AB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7E591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322</w:t>
            </w:r>
          </w:p>
        </w:tc>
        <w:tc>
          <w:tcPr>
            <w:tcW w:w="1558" w:type="dxa"/>
            <w:vMerge w:val="continue"/>
            <w:vAlign w:val="center"/>
          </w:tcPr>
          <w:p w14:paraId="7D05FEA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A07A73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2A77CC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2E6B42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3F532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587B7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983EB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323</w:t>
            </w:r>
          </w:p>
        </w:tc>
        <w:tc>
          <w:tcPr>
            <w:tcW w:w="1558" w:type="dxa"/>
            <w:vMerge w:val="continue"/>
            <w:vAlign w:val="center"/>
          </w:tcPr>
          <w:p w14:paraId="3501373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AAFAE1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0B781C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6AFA70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4C299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51EF1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40C57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324</w:t>
            </w:r>
          </w:p>
        </w:tc>
        <w:tc>
          <w:tcPr>
            <w:tcW w:w="1558" w:type="dxa"/>
            <w:vMerge w:val="continue"/>
            <w:vAlign w:val="center"/>
          </w:tcPr>
          <w:p w14:paraId="3878AF2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8E4ADF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7F35A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5DD8B6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DD510B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753C1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C5D77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325</w:t>
            </w:r>
          </w:p>
        </w:tc>
        <w:tc>
          <w:tcPr>
            <w:tcW w:w="1558" w:type="dxa"/>
            <w:vMerge w:val="continue"/>
            <w:vAlign w:val="center"/>
          </w:tcPr>
          <w:p w14:paraId="08C8FDD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1BECDD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FEB75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708" w:type="dxa"/>
            <w:shd w:val="clear" w:color="auto" w:fill="auto"/>
            <w:noWrap/>
            <w:vAlign w:val="center"/>
          </w:tcPr>
          <w:p w14:paraId="77053C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1EF698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r>
      <w:tr w14:paraId="4B2E1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D7C69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326</w:t>
            </w:r>
          </w:p>
        </w:tc>
        <w:tc>
          <w:tcPr>
            <w:tcW w:w="1558" w:type="dxa"/>
            <w:vMerge w:val="continue"/>
            <w:vAlign w:val="center"/>
          </w:tcPr>
          <w:p w14:paraId="48D920D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CCD2DB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65EE6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708" w:type="dxa"/>
            <w:shd w:val="clear" w:color="auto" w:fill="auto"/>
            <w:noWrap/>
            <w:vAlign w:val="center"/>
          </w:tcPr>
          <w:p w14:paraId="31CADC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4E87CF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r>
      <w:tr w14:paraId="4D0F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1E820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327</w:t>
            </w:r>
          </w:p>
        </w:tc>
        <w:tc>
          <w:tcPr>
            <w:tcW w:w="1558" w:type="dxa"/>
            <w:vMerge w:val="continue"/>
            <w:vAlign w:val="center"/>
          </w:tcPr>
          <w:p w14:paraId="0127384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A63AF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C31847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12B330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F4D21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5997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77C08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328</w:t>
            </w:r>
          </w:p>
        </w:tc>
        <w:tc>
          <w:tcPr>
            <w:tcW w:w="1558" w:type="dxa"/>
            <w:vMerge w:val="continue"/>
            <w:vAlign w:val="center"/>
          </w:tcPr>
          <w:p w14:paraId="1C4D5DD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F16FF9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0590E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708" w:type="dxa"/>
            <w:shd w:val="clear" w:color="auto" w:fill="auto"/>
            <w:noWrap/>
            <w:vAlign w:val="center"/>
          </w:tcPr>
          <w:p w14:paraId="438BC7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647D4A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141B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C2637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329</w:t>
            </w:r>
          </w:p>
        </w:tc>
        <w:tc>
          <w:tcPr>
            <w:tcW w:w="1558" w:type="dxa"/>
            <w:vMerge w:val="continue"/>
            <w:vAlign w:val="center"/>
          </w:tcPr>
          <w:p w14:paraId="412FE53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5783EE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111DC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3555C5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691D8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B858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F2D0C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330</w:t>
            </w:r>
          </w:p>
        </w:tc>
        <w:tc>
          <w:tcPr>
            <w:tcW w:w="1558" w:type="dxa"/>
            <w:vMerge w:val="continue"/>
            <w:vAlign w:val="center"/>
          </w:tcPr>
          <w:p w14:paraId="7E43E09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D0BAC8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3E7001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708" w:type="dxa"/>
            <w:shd w:val="clear" w:color="auto" w:fill="auto"/>
            <w:noWrap/>
            <w:vAlign w:val="center"/>
          </w:tcPr>
          <w:p w14:paraId="1FFABF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19EFE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BF97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D7BFC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331</w:t>
            </w:r>
          </w:p>
        </w:tc>
        <w:tc>
          <w:tcPr>
            <w:tcW w:w="1558" w:type="dxa"/>
            <w:vMerge w:val="continue"/>
            <w:vAlign w:val="center"/>
          </w:tcPr>
          <w:p w14:paraId="289DE77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CC5936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2B4A1B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76ACFE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65B56B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36776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C226C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332</w:t>
            </w:r>
          </w:p>
        </w:tc>
        <w:tc>
          <w:tcPr>
            <w:tcW w:w="1558" w:type="dxa"/>
            <w:vMerge w:val="continue"/>
            <w:vAlign w:val="center"/>
          </w:tcPr>
          <w:p w14:paraId="3FB7504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69050A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973A0E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708" w:type="dxa"/>
            <w:shd w:val="clear" w:color="auto" w:fill="auto"/>
            <w:noWrap/>
            <w:vAlign w:val="center"/>
          </w:tcPr>
          <w:p w14:paraId="03F00C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B1DEF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3C479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D77A9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333</w:t>
            </w:r>
          </w:p>
        </w:tc>
        <w:tc>
          <w:tcPr>
            <w:tcW w:w="1558" w:type="dxa"/>
            <w:vMerge w:val="continue"/>
            <w:vAlign w:val="center"/>
          </w:tcPr>
          <w:p w14:paraId="12B4267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435537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CCEDB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16BC73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69C11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3400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0E2B1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334</w:t>
            </w:r>
          </w:p>
        </w:tc>
        <w:tc>
          <w:tcPr>
            <w:tcW w:w="1558" w:type="dxa"/>
            <w:vMerge w:val="continue"/>
            <w:vAlign w:val="center"/>
          </w:tcPr>
          <w:p w14:paraId="33D358E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4E068A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牛营线（营乘路）-黎母大道（S304）</w:t>
            </w:r>
          </w:p>
        </w:tc>
        <w:tc>
          <w:tcPr>
            <w:tcW w:w="2733" w:type="dxa"/>
            <w:shd w:val="clear" w:color="auto" w:fill="auto"/>
            <w:noWrap/>
            <w:vAlign w:val="center"/>
          </w:tcPr>
          <w:p w14:paraId="6C0AC85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74B442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26C63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F584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A23C9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335</w:t>
            </w:r>
          </w:p>
        </w:tc>
        <w:tc>
          <w:tcPr>
            <w:tcW w:w="1558" w:type="dxa"/>
            <w:vMerge w:val="continue"/>
            <w:vAlign w:val="center"/>
          </w:tcPr>
          <w:p w14:paraId="29F6043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E0BE40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938CA8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62BE3D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74C90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6B188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A0072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336</w:t>
            </w:r>
          </w:p>
        </w:tc>
        <w:tc>
          <w:tcPr>
            <w:tcW w:w="1558" w:type="dxa"/>
            <w:vMerge w:val="continue"/>
            <w:vAlign w:val="center"/>
          </w:tcPr>
          <w:p w14:paraId="0E44B5E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D040CC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F6C0E2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0F67ED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11985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6DCB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75999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337</w:t>
            </w:r>
          </w:p>
        </w:tc>
        <w:tc>
          <w:tcPr>
            <w:tcW w:w="1558" w:type="dxa"/>
            <w:vMerge w:val="continue"/>
            <w:vAlign w:val="center"/>
          </w:tcPr>
          <w:p w14:paraId="336F684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4014FB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15B7E4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3E08A4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CA7A7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7EEC4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D5574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338</w:t>
            </w:r>
          </w:p>
        </w:tc>
        <w:tc>
          <w:tcPr>
            <w:tcW w:w="1558" w:type="dxa"/>
            <w:vMerge w:val="continue"/>
            <w:vAlign w:val="center"/>
          </w:tcPr>
          <w:p w14:paraId="2272995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172374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5BFD5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1B75CF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1B59A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D619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8C3D9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339</w:t>
            </w:r>
          </w:p>
        </w:tc>
        <w:tc>
          <w:tcPr>
            <w:tcW w:w="1558" w:type="dxa"/>
            <w:vMerge w:val="continue"/>
            <w:vAlign w:val="center"/>
          </w:tcPr>
          <w:p w14:paraId="1C7234D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628FC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4326D1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0D8F83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5B149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1A11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53CECF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340</w:t>
            </w:r>
          </w:p>
        </w:tc>
        <w:tc>
          <w:tcPr>
            <w:tcW w:w="1558" w:type="dxa"/>
            <w:vMerge w:val="continue"/>
            <w:vAlign w:val="center"/>
          </w:tcPr>
          <w:p w14:paraId="3D5BA9F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094CB8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51404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331CBB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05756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56EE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B07D8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341</w:t>
            </w:r>
          </w:p>
        </w:tc>
        <w:tc>
          <w:tcPr>
            <w:tcW w:w="1558" w:type="dxa"/>
            <w:vMerge w:val="continue"/>
            <w:vAlign w:val="center"/>
          </w:tcPr>
          <w:p w14:paraId="770631D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3B4306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2B2752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434626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53821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9813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A80E0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342</w:t>
            </w:r>
          </w:p>
        </w:tc>
        <w:tc>
          <w:tcPr>
            <w:tcW w:w="1558" w:type="dxa"/>
            <w:vMerge w:val="continue"/>
            <w:vAlign w:val="center"/>
          </w:tcPr>
          <w:p w14:paraId="0D42C89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616C59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2A6FF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1B9872F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427E11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712D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CBCFA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343</w:t>
            </w:r>
          </w:p>
        </w:tc>
        <w:tc>
          <w:tcPr>
            <w:tcW w:w="1558" w:type="dxa"/>
            <w:vMerge w:val="continue"/>
            <w:vAlign w:val="center"/>
          </w:tcPr>
          <w:p w14:paraId="28DEDB6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89472E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20922B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7385D1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FB0A7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950F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86311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344</w:t>
            </w:r>
          </w:p>
        </w:tc>
        <w:tc>
          <w:tcPr>
            <w:tcW w:w="1558" w:type="dxa"/>
            <w:vMerge w:val="continue"/>
            <w:vAlign w:val="center"/>
          </w:tcPr>
          <w:p w14:paraId="6B92E55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D75E3F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EB884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77D069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16ACD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46B6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1ACB4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345</w:t>
            </w:r>
          </w:p>
        </w:tc>
        <w:tc>
          <w:tcPr>
            <w:tcW w:w="1558" w:type="dxa"/>
            <w:vMerge w:val="continue"/>
            <w:vAlign w:val="center"/>
          </w:tcPr>
          <w:p w14:paraId="19A6ED8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3F220D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AE1B9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708A0FF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B92A9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D2DC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6E695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346</w:t>
            </w:r>
          </w:p>
        </w:tc>
        <w:tc>
          <w:tcPr>
            <w:tcW w:w="1558" w:type="dxa"/>
            <w:vMerge w:val="continue"/>
            <w:vAlign w:val="center"/>
          </w:tcPr>
          <w:p w14:paraId="3712A2D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0FD70E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5E188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684F47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4737A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58E78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08E61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347</w:t>
            </w:r>
          </w:p>
        </w:tc>
        <w:tc>
          <w:tcPr>
            <w:tcW w:w="1558" w:type="dxa"/>
            <w:vMerge w:val="continue"/>
            <w:vAlign w:val="center"/>
          </w:tcPr>
          <w:p w14:paraId="7141857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9A9E9E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67EB6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461D01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1CB8C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4B53B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67897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348</w:t>
            </w:r>
          </w:p>
        </w:tc>
        <w:tc>
          <w:tcPr>
            <w:tcW w:w="1558" w:type="dxa"/>
            <w:vMerge w:val="continue"/>
            <w:vAlign w:val="center"/>
          </w:tcPr>
          <w:p w14:paraId="1B62D62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9BE667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86EBED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2B9B70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53131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2EC9F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58BED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349</w:t>
            </w:r>
          </w:p>
        </w:tc>
        <w:tc>
          <w:tcPr>
            <w:tcW w:w="1558" w:type="dxa"/>
            <w:vMerge w:val="continue"/>
            <w:vAlign w:val="center"/>
          </w:tcPr>
          <w:p w14:paraId="442C44D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159325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5ECE55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6C27C5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CC7F9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6067C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468D0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1558" w:type="dxa"/>
            <w:vMerge w:val="continue"/>
            <w:vAlign w:val="center"/>
          </w:tcPr>
          <w:p w14:paraId="1404206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D5B062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807C2A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4CC2B1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6413A3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4DEB9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2585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351</w:t>
            </w:r>
          </w:p>
        </w:tc>
        <w:tc>
          <w:tcPr>
            <w:tcW w:w="1558" w:type="dxa"/>
            <w:vMerge w:val="continue"/>
            <w:vAlign w:val="center"/>
          </w:tcPr>
          <w:p w14:paraId="228E32E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4438EC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ECA21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5B8221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A59B1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611D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18F0E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352</w:t>
            </w:r>
          </w:p>
        </w:tc>
        <w:tc>
          <w:tcPr>
            <w:tcW w:w="1558" w:type="dxa"/>
            <w:vMerge w:val="continue"/>
            <w:vAlign w:val="center"/>
          </w:tcPr>
          <w:p w14:paraId="48238D1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6E96AC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3B214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708" w:type="dxa"/>
            <w:shd w:val="clear" w:color="auto" w:fill="auto"/>
            <w:noWrap/>
            <w:vAlign w:val="center"/>
          </w:tcPr>
          <w:p w14:paraId="31CC6C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0A5CD2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1A57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65CC5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353</w:t>
            </w:r>
          </w:p>
        </w:tc>
        <w:tc>
          <w:tcPr>
            <w:tcW w:w="1558" w:type="dxa"/>
            <w:vMerge w:val="continue"/>
            <w:vAlign w:val="center"/>
          </w:tcPr>
          <w:p w14:paraId="0016836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ABB34E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AE91D6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5C1A6C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CBFB5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53DD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51B12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354</w:t>
            </w:r>
          </w:p>
        </w:tc>
        <w:tc>
          <w:tcPr>
            <w:tcW w:w="1558" w:type="dxa"/>
            <w:vMerge w:val="continue"/>
            <w:vAlign w:val="center"/>
          </w:tcPr>
          <w:p w14:paraId="1A91322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F3EC8E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6AF31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708" w:type="dxa"/>
            <w:shd w:val="clear" w:color="auto" w:fill="auto"/>
            <w:noWrap/>
            <w:vAlign w:val="center"/>
          </w:tcPr>
          <w:p w14:paraId="7A09AE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080B8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7D8B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1AA40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355</w:t>
            </w:r>
          </w:p>
        </w:tc>
        <w:tc>
          <w:tcPr>
            <w:tcW w:w="1558" w:type="dxa"/>
            <w:vMerge w:val="continue"/>
            <w:vAlign w:val="center"/>
          </w:tcPr>
          <w:p w14:paraId="2B83609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A1E56E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8F8BD0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697878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4DB79B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9728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0B35A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356</w:t>
            </w:r>
          </w:p>
        </w:tc>
        <w:tc>
          <w:tcPr>
            <w:tcW w:w="1558" w:type="dxa"/>
            <w:vMerge w:val="continue"/>
            <w:vAlign w:val="center"/>
          </w:tcPr>
          <w:p w14:paraId="2BB20B8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871373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A6159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708" w:type="dxa"/>
            <w:shd w:val="clear" w:color="auto" w:fill="auto"/>
            <w:noWrap/>
            <w:vAlign w:val="center"/>
          </w:tcPr>
          <w:p w14:paraId="63BC3F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7E50E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9571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ACCB1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357</w:t>
            </w:r>
          </w:p>
        </w:tc>
        <w:tc>
          <w:tcPr>
            <w:tcW w:w="1558" w:type="dxa"/>
            <w:vMerge w:val="continue"/>
            <w:vAlign w:val="center"/>
          </w:tcPr>
          <w:p w14:paraId="19B1E23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84060B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CB860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72E0A4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F0C63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495E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E31A7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358</w:t>
            </w:r>
          </w:p>
        </w:tc>
        <w:tc>
          <w:tcPr>
            <w:tcW w:w="1558" w:type="dxa"/>
            <w:vMerge w:val="continue"/>
            <w:vAlign w:val="center"/>
          </w:tcPr>
          <w:p w14:paraId="01F73A3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04818B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营红路-黎母大道（S304）路口</w:t>
            </w:r>
          </w:p>
        </w:tc>
        <w:tc>
          <w:tcPr>
            <w:tcW w:w="2733" w:type="dxa"/>
            <w:shd w:val="clear" w:color="auto" w:fill="auto"/>
            <w:noWrap/>
            <w:vAlign w:val="center"/>
          </w:tcPr>
          <w:p w14:paraId="78E3C58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551E60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969A2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326A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4F954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359</w:t>
            </w:r>
          </w:p>
        </w:tc>
        <w:tc>
          <w:tcPr>
            <w:tcW w:w="1558" w:type="dxa"/>
            <w:vMerge w:val="continue"/>
            <w:vAlign w:val="center"/>
          </w:tcPr>
          <w:p w14:paraId="1C1E35C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E021CC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21730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0EB6E9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A16AE3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r>
      <w:tr w14:paraId="0707A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C73AD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360</w:t>
            </w:r>
          </w:p>
        </w:tc>
        <w:tc>
          <w:tcPr>
            <w:tcW w:w="1558" w:type="dxa"/>
            <w:vMerge w:val="continue"/>
            <w:vAlign w:val="center"/>
          </w:tcPr>
          <w:p w14:paraId="6CE632F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63D7A0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F7F522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227FACC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71476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2F860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C422B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361</w:t>
            </w:r>
          </w:p>
        </w:tc>
        <w:tc>
          <w:tcPr>
            <w:tcW w:w="1558" w:type="dxa"/>
            <w:vMerge w:val="continue"/>
            <w:vAlign w:val="center"/>
          </w:tcPr>
          <w:p w14:paraId="2191078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3DB5EF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1D668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3986B4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FC7D0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r>
      <w:tr w14:paraId="43BEA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46664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362</w:t>
            </w:r>
          </w:p>
        </w:tc>
        <w:tc>
          <w:tcPr>
            <w:tcW w:w="1558" w:type="dxa"/>
            <w:vMerge w:val="continue"/>
            <w:vAlign w:val="center"/>
          </w:tcPr>
          <w:p w14:paraId="27332F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1A0ECB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5A752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3F0A31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526FC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0855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43F4D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363</w:t>
            </w:r>
          </w:p>
        </w:tc>
        <w:tc>
          <w:tcPr>
            <w:tcW w:w="1558" w:type="dxa"/>
            <w:vMerge w:val="continue"/>
            <w:vAlign w:val="center"/>
          </w:tcPr>
          <w:p w14:paraId="0B83A73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4B35C7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F05A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42D4EB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D5BA9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0EA2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5F292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364</w:t>
            </w:r>
          </w:p>
        </w:tc>
        <w:tc>
          <w:tcPr>
            <w:tcW w:w="1558" w:type="dxa"/>
            <w:vMerge w:val="continue"/>
            <w:vAlign w:val="center"/>
          </w:tcPr>
          <w:p w14:paraId="55F1EB4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CDC33B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6B82E3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42D307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4C126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9313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335E0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365</w:t>
            </w:r>
          </w:p>
        </w:tc>
        <w:tc>
          <w:tcPr>
            <w:tcW w:w="1558" w:type="dxa"/>
            <w:vMerge w:val="continue"/>
            <w:vAlign w:val="center"/>
          </w:tcPr>
          <w:p w14:paraId="24E9678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9362D5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E76476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3A9D60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28090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37B0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02859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366</w:t>
            </w:r>
          </w:p>
        </w:tc>
        <w:tc>
          <w:tcPr>
            <w:tcW w:w="1558" w:type="dxa"/>
            <w:vMerge w:val="continue"/>
            <w:vAlign w:val="center"/>
          </w:tcPr>
          <w:p w14:paraId="3703CAE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78B25E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03AEF8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100406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57E25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DB63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E7C6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367</w:t>
            </w:r>
          </w:p>
        </w:tc>
        <w:tc>
          <w:tcPr>
            <w:tcW w:w="1558" w:type="dxa"/>
            <w:vMerge w:val="continue"/>
            <w:vAlign w:val="center"/>
          </w:tcPr>
          <w:p w14:paraId="00A9797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0A6C0E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8420C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38EBEE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E3977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1FA2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39523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368</w:t>
            </w:r>
          </w:p>
        </w:tc>
        <w:tc>
          <w:tcPr>
            <w:tcW w:w="1558" w:type="dxa"/>
            <w:vMerge w:val="continue"/>
            <w:vAlign w:val="center"/>
          </w:tcPr>
          <w:p w14:paraId="2B8B790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0AF615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336A90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62FFBB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7C23F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AC60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4A2CB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369</w:t>
            </w:r>
          </w:p>
        </w:tc>
        <w:tc>
          <w:tcPr>
            <w:tcW w:w="1558" w:type="dxa"/>
            <w:vMerge w:val="continue"/>
            <w:vAlign w:val="center"/>
          </w:tcPr>
          <w:p w14:paraId="646F256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6FB5B3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3E6B1D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044201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34D62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65CD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9283F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370</w:t>
            </w:r>
          </w:p>
        </w:tc>
        <w:tc>
          <w:tcPr>
            <w:tcW w:w="1558" w:type="dxa"/>
            <w:vMerge w:val="continue"/>
            <w:vAlign w:val="center"/>
          </w:tcPr>
          <w:p w14:paraId="380E046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CCC0B6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ADE77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13A54B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75441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7AC2E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753A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371</w:t>
            </w:r>
          </w:p>
        </w:tc>
        <w:tc>
          <w:tcPr>
            <w:tcW w:w="1558" w:type="dxa"/>
            <w:vMerge w:val="continue"/>
            <w:vAlign w:val="center"/>
          </w:tcPr>
          <w:p w14:paraId="565304C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9EB989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E4ABA1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43D101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43D32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723D3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15857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372</w:t>
            </w:r>
          </w:p>
        </w:tc>
        <w:tc>
          <w:tcPr>
            <w:tcW w:w="1558" w:type="dxa"/>
            <w:vMerge w:val="continue"/>
            <w:vAlign w:val="center"/>
          </w:tcPr>
          <w:p w14:paraId="5532143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D3E31C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608C18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28F4A2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4BFE34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124B0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174E0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373</w:t>
            </w:r>
          </w:p>
        </w:tc>
        <w:tc>
          <w:tcPr>
            <w:tcW w:w="1558" w:type="dxa"/>
            <w:vMerge w:val="continue"/>
            <w:vAlign w:val="center"/>
          </w:tcPr>
          <w:p w14:paraId="6BC6609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475946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DCBB30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2A9ED0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9B4A5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75E7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4749B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374</w:t>
            </w:r>
          </w:p>
        </w:tc>
        <w:tc>
          <w:tcPr>
            <w:tcW w:w="1558" w:type="dxa"/>
            <w:vMerge w:val="continue"/>
            <w:vAlign w:val="center"/>
          </w:tcPr>
          <w:p w14:paraId="6889D02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A03495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B21CB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1A9163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6ABC9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39EF0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D5B25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375</w:t>
            </w:r>
          </w:p>
        </w:tc>
        <w:tc>
          <w:tcPr>
            <w:tcW w:w="1558" w:type="dxa"/>
            <w:vMerge w:val="continue"/>
            <w:vAlign w:val="center"/>
          </w:tcPr>
          <w:p w14:paraId="4CC1A99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C93680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E0AEF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04A106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07956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3560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19563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376</w:t>
            </w:r>
          </w:p>
        </w:tc>
        <w:tc>
          <w:tcPr>
            <w:tcW w:w="1558" w:type="dxa"/>
            <w:vMerge w:val="continue"/>
            <w:vAlign w:val="center"/>
          </w:tcPr>
          <w:p w14:paraId="7B0BC9F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E4FB6D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32518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708" w:type="dxa"/>
            <w:shd w:val="clear" w:color="auto" w:fill="auto"/>
            <w:noWrap/>
            <w:vAlign w:val="center"/>
          </w:tcPr>
          <w:p w14:paraId="61228B3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05442B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3F50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64824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377</w:t>
            </w:r>
          </w:p>
        </w:tc>
        <w:tc>
          <w:tcPr>
            <w:tcW w:w="1558" w:type="dxa"/>
            <w:vMerge w:val="continue"/>
            <w:vAlign w:val="center"/>
          </w:tcPr>
          <w:p w14:paraId="08A0B13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7BB167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58E53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105F16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AE08F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EE0E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90F8D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378</w:t>
            </w:r>
          </w:p>
        </w:tc>
        <w:tc>
          <w:tcPr>
            <w:tcW w:w="1558" w:type="dxa"/>
            <w:vMerge w:val="continue"/>
            <w:vAlign w:val="center"/>
          </w:tcPr>
          <w:p w14:paraId="14A7AF6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0008A7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FCBAEE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708" w:type="dxa"/>
            <w:shd w:val="clear" w:color="auto" w:fill="auto"/>
            <w:noWrap/>
            <w:vAlign w:val="center"/>
          </w:tcPr>
          <w:p w14:paraId="340086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32509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5B8B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52B0C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379</w:t>
            </w:r>
          </w:p>
        </w:tc>
        <w:tc>
          <w:tcPr>
            <w:tcW w:w="1558" w:type="dxa"/>
            <w:vMerge w:val="continue"/>
            <w:vAlign w:val="center"/>
          </w:tcPr>
          <w:p w14:paraId="3F7E275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5B7C8A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69AD5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0CFCF6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5F7CE7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18BFA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AF3BA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380</w:t>
            </w:r>
          </w:p>
        </w:tc>
        <w:tc>
          <w:tcPr>
            <w:tcW w:w="1558" w:type="dxa"/>
            <w:vMerge w:val="continue"/>
            <w:vAlign w:val="center"/>
          </w:tcPr>
          <w:p w14:paraId="634C419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F7CAB5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CC6545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708" w:type="dxa"/>
            <w:shd w:val="clear" w:color="auto" w:fill="auto"/>
            <w:noWrap/>
            <w:vAlign w:val="center"/>
          </w:tcPr>
          <w:p w14:paraId="0F9E73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CCABC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6746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B361B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381</w:t>
            </w:r>
          </w:p>
        </w:tc>
        <w:tc>
          <w:tcPr>
            <w:tcW w:w="1558" w:type="dxa"/>
            <w:vMerge w:val="continue"/>
            <w:vAlign w:val="center"/>
          </w:tcPr>
          <w:p w14:paraId="35DBE97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099259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E431E9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0FFA5F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326E6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52EE5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B3DC0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382</w:t>
            </w:r>
          </w:p>
        </w:tc>
        <w:tc>
          <w:tcPr>
            <w:tcW w:w="1558" w:type="dxa"/>
            <w:vMerge w:val="continue"/>
            <w:vAlign w:val="center"/>
          </w:tcPr>
          <w:p w14:paraId="1AFE8DD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329545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黎母大道（S304）-三月三大道路口</w:t>
            </w:r>
          </w:p>
        </w:tc>
        <w:tc>
          <w:tcPr>
            <w:tcW w:w="2733" w:type="dxa"/>
            <w:shd w:val="clear" w:color="auto" w:fill="auto"/>
            <w:noWrap/>
            <w:vAlign w:val="center"/>
          </w:tcPr>
          <w:p w14:paraId="23A6A67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4B4D52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06AF9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29F6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BF454B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383</w:t>
            </w:r>
          </w:p>
        </w:tc>
        <w:tc>
          <w:tcPr>
            <w:tcW w:w="1558" w:type="dxa"/>
            <w:vMerge w:val="continue"/>
            <w:vAlign w:val="center"/>
          </w:tcPr>
          <w:p w14:paraId="0762BF2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24C30B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FF64F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575690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2F051F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6921D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A7FD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384</w:t>
            </w:r>
          </w:p>
        </w:tc>
        <w:tc>
          <w:tcPr>
            <w:tcW w:w="1558" w:type="dxa"/>
            <w:vMerge w:val="continue"/>
            <w:vAlign w:val="center"/>
          </w:tcPr>
          <w:p w14:paraId="0FA6BED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AF5295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A4078A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16625E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6DFF7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63C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19459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385</w:t>
            </w:r>
          </w:p>
        </w:tc>
        <w:tc>
          <w:tcPr>
            <w:tcW w:w="1558" w:type="dxa"/>
            <w:vMerge w:val="continue"/>
            <w:vAlign w:val="center"/>
          </w:tcPr>
          <w:p w14:paraId="433792E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60B556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BD80D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6A92C8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C32DC5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r>
      <w:tr w14:paraId="06338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0AED4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386</w:t>
            </w:r>
          </w:p>
        </w:tc>
        <w:tc>
          <w:tcPr>
            <w:tcW w:w="1558" w:type="dxa"/>
            <w:vMerge w:val="continue"/>
            <w:vAlign w:val="center"/>
          </w:tcPr>
          <w:p w14:paraId="3E2DF8C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4ACCDD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461A7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615506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5F8D5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5E1B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2E742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387</w:t>
            </w:r>
          </w:p>
        </w:tc>
        <w:tc>
          <w:tcPr>
            <w:tcW w:w="1558" w:type="dxa"/>
            <w:vMerge w:val="continue"/>
            <w:vAlign w:val="center"/>
          </w:tcPr>
          <w:p w14:paraId="7CFA344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5B422B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AA3D9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4ACED3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B8985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011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800D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388</w:t>
            </w:r>
          </w:p>
        </w:tc>
        <w:tc>
          <w:tcPr>
            <w:tcW w:w="1558" w:type="dxa"/>
            <w:vMerge w:val="continue"/>
            <w:vAlign w:val="center"/>
          </w:tcPr>
          <w:p w14:paraId="317FAB5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9DD097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FC1D4E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4A1284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362CA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0FF7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C11EB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389</w:t>
            </w:r>
          </w:p>
        </w:tc>
        <w:tc>
          <w:tcPr>
            <w:tcW w:w="1558" w:type="dxa"/>
            <w:vMerge w:val="continue"/>
            <w:vAlign w:val="center"/>
          </w:tcPr>
          <w:p w14:paraId="0689C41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E34E4E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E3E220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30AC0B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533B9C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04A55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3D5A7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390</w:t>
            </w:r>
          </w:p>
        </w:tc>
        <w:tc>
          <w:tcPr>
            <w:tcW w:w="1558" w:type="dxa"/>
            <w:vMerge w:val="continue"/>
            <w:vAlign w:val="center"/>
          </w:tcPr>
          <w:p w14:paraId="4694FBA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C87555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EE1C7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46AA36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0AE816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D7E0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6705D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391</w:t>
            </w:r>
          </w:p>
        </w:tc>
        <w:tc>
          <w:tcPr>
            <w:tcW w:w="1558" w:type="dxa"/>
            <w:vMerge w:val="continue"/>
            <w:vAlign w:val="center"/>
          </w:tcPr>
          <w:p w14:paraId="2FB2BBE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6DF1D6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877D0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579082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DE3F6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B660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7BB01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392</w:t>
            </w:r>
          </w:p>
        </w:tc>
        <w:tc>
          <w:tcPr>
            <w:tcW w:w="1558" w:type="dxa"/>
            <w:vMerge w:val="continue"/>
            <w:vAlign w:val="center"/>
          </w:tcPr>
          <w:p w14:paraId="1C31B15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96D708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682088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358D68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CFE1B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33A55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40AFB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393</w:t>
            </w:r>
          </w:p>
        </w:tc>
        <w:tc>
          <w:tcPr>
            <w:tcW w:w="1558" w:type="dxa"/>
            <w:vMerge w:val="continue"/>
            <w:vAlign w:val="center"/>
          </w:tcPr>
          <w:p w14:paraId="1461277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E32DE0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07BE94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1CB096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D9C63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D399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8F7E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394</w:t>
            </w:r>
          </w:p>
        </w:tc>
        <w:tc>
          <w:tcPr>
            <w:tcW w:w="1558" w:type="dxa"/>
            <w:vMerge w:val="continue"/>
            <w:vAlign w:val="center"/>
          </w:tcPr>
          <w:p w14:paraId="64009B2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64CD36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C55EA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1704EA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29305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63EC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57A31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395</w:t>
            </w:r>
          </w:p>
        </w:tc>
        <w:tc>
          <w:tcPr>
            <w:tcW w:w="1558" w:type="dxa"/>
            <w:vMerge w:val="continue"/>
            <w:vAlign w:val="center"/>
          </w:tcPr>
          <w:p w14:paraId="2BD6A36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46826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0056BC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6B0595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036DD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r>
      <w:tr w14:paraId="185B6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D535B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396</w:t>
            </w:r>
          </w:p>
        </w:tc>
        <w:tc>
          <w:tcPr>
            <w:tcW w:w="1558" w:type="dxa"/>
            <w:vMerge w:val="continue"/>
            <w:vAlign w:val="center"/>
          </w:tcPr>
          <w:p w14:paraId="01D8130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95FCF2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B9A3D6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773227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5A2A00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r>
      <w:tr w14:paraId="75C68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63A2D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397</w:t>
            </w:r>
          </w:p>
        </w:tc>
        <w:tc>
          <w:tcPr>
            <w:tcW w:w="1558" w:type="dxa"/>
            <w:vMerge w:val="continue"/>
            <w:vAlign w:val="center"/>
          </w:tcPr>
          <w:p w14:paraId="00DD7A5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BAA786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5D9CE6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6FCF1E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7D9B3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26E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C6471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398</w:t>
            </w:r>
          </w:p>
        </w:tc>
        <w:tc>
          <w:tcPr>
            <w:tcW w:w="1558" w:type="dxa"/>
            <w:vMerge w:val="continue"/>
            <w:vAlign w:val="center"/>
          </w:tcPr>
          <w:p w14:paraId="146085DF">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5FC679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F200D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1BB8F0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20EF2B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1E4EC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BF386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399</w:t>
            </w:r>
          </w:p>
        </w:tc>
        <w:tc>
          <w:tcPr>
            <w:tcW w:w="1558" w:type="dxa"/>
            <w:vMerge w:val="continue"/>
            <w:vAlign w:val="center"/>
          </w:tcPr>
          <w:p w14:paraId="387DAB3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81EF8B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39194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148B1E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8292A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EB0B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01F4F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1558" w:type="dxa"/>
            <w:vMerge w:val="continue"/>
            <w:vAlign w:val="center"/>
          </w:tcPr>
          <w:p w14:paraId="5C31927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4CD9F9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F718B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708" w:type="dxa"/>
            <w:shd w:val="clear" w:color="auto" w:fill="auto"/>
            <w:noWrap/>
            <w:vAlign w:val="center"/>
          </w:tcPr>
          <w:p w14:paraId="11F8E7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14DBC8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2D3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B7701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401</w:t>
            </w:r>
          </w:p>
        </w:tc>
        <w:tc>
          <w:tcPr>
            <w:tcW w:w="1558" w:type="dxa"/>
            <w:vMerge w:val="continue"/>
            <w:vAlign w:val="center"/>
          </w:tcPr>
          <w:p w14:paraId="4F942DA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2A7A14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3E208B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41742C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0CD66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E0AE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86E94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402</w:t>
            </w:r>
          </w:p>
        </w:tc>
        <w:tc>
          <w:tcPr>
            <w:tcW w:w="1558" w:type="dxa"/>
            <w:vMerge w:val="continue"/>
            <w:vAlign w:val="center"/>
          </w:tcPr>
          <w:p w14:paraId="15533A5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4F1CC9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B42F29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708" w:type="dxa"/>
            <w:shd w:val="clear" w:color="auto" w:fill="auto"/>
            <w:noWrap/>
            <w:vAlign w:val="center"/>
          </w:tcPr>
          <w:p w14:paraId="12618D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3869B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35E7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44DFF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403</w:t>
            </w:r>
          </w:p>
        </w:tc>
        <w:tc>
          <w:tcPr>
            <w:tcW w:w="1558" w:type="dxa"/>
            <w:vMerge w:val="continue"/>
            <w:vAlign w:val="center"/>
          </w:tcPr>
          <w:p w14:paraId="5F3DE4A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7968C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0B493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4A9111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3A5895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9F4C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9194E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404</w:t>
            </w:r>
          </w:p>
        </w:tc>
        <w:tc>
          <w:tcPr>
            <w:tcW w:w="1558" w:type="dxa"/>
            <w:vMerge w:val="continue"/>
            <w:vAlign w:val="center"/>
          </w:tcPr>
          <w:p w14:paraId="2AF66CD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ABB10A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57BDE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708" w:type="dxa"/>
            <w:shd w:val="clear" w:color="auto" w:fill="auto"/>
            <w:noWrap/>
            <w:vAlign w:val="center"/>
          </w:tcPr>
          <w:p w14:paraId="7C1273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AEE10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D28A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FC3F7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405</w:t>
            </w:r>
          </w:p>
        </w:tc>
        <w:tc>
          <w:tcPr>
            <w:tcW w:w="1558" w:type="dxa"/>
            <w:vMerge w:val="continue"/>
            <w:vAlign w:val="center"/>
          </w:tcPr>
          <w:p w14:paraId="2C07601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1FD8D7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2A1DB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55C415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E819B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77A5F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C0E0B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406</w:t>
            </w:r>
          </w:p>
        </w:tc>
        <w:tc>
          <w:tcPr>
            <w:tcW w:w="1558" w:type="dxa"/>
            <w:vMerge w:val="continue"/>
            <w:vAlign w:val="center"/>
          </w:tcPr>
          <w:p w14:paraId="11DA31F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7ABC90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海榆中线（G224）-黎母大道（S304）路口</w:t>
            </w:r>
          </w:p>
        </w:tc>
        <w:tc>
          <w:tcPr>
            <w:tcW w:w="2733" w:type="dxa"/>
            <w:shd w:val="clear" w:color="auto" w:fill="auto"/>
            <w:noWrap/>
            <w:vAlign w:val="center"/>
          </w:tcPr>
          <w:p w14:paraId="2EFB88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708" w:type="dxa"/>
            <w:shd w:val="clear" w:color="auto" w:fill="auto"/>
            <w:noWrap/>
            <w:vAlign w:val="center"/>
          </w:tcPr>
          <w:p w14:paraId="029FE2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AB75E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DBEA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4080F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407</w:t>
            </w:r>
          </w:p>
        </w:tc>
        <w:tc>
          <w:tcPr>
            <w:tcW w:w="1558" w:type="dxa"/>
            <w:vMerge w:val="continue"/>
            <w:vAlign w:val="center"/>
          </w:tcPr>
          <w:p w14:paraId="3444B9F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B9F0BC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F92A87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708" w:type="dxa"/>
            <w:shd w:val="clear" w:color="auto" w:fill="auto"/>
            <w:noWrap/>
            <w:vAlign w:val="center"/>
          </w:tcPr>
          <w:p w14:paraId="285647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10026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r>
      <w:tr w14:paraId="5D719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62595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408</w:t>
            </w:r>
          </w:p>
        </w:tc>
        <w:tc>
          <w:tcPr>
            <w:tcW w:w="1558" w:type="dxa"/>
            <w:vMerge w:val="continue"/>
            <w:vAlign w:val="center"/>
          </w:tcPr>
          <w:p w14:paraId="0AEC2A7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125496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E7CF2A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708" w:type="dxa"/>
            <w:shd w:val="clear" w:color="auto" w:fill="auto"/>
            <w:noWrap/>
            <w:vAlign w:val="center"/>
          </w:tcPr>
          <w:p w14:paraId="0A7566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4F1DB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B97E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8C472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409</w:t>
            </w:r>
          </w:p>
        </w:tc>
        <w:tc>
          <w:tcPr>
            <w:tcW w:w="1558" w:type="dxa"/>
            <w:vMerge w:val="continue"/>
            <w:vAlign w:val="center"/>
          </w:tcPr>
          <w:p w14:paraId="5358595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F67C7F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B6FA1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708" w:type="dxa"/>
            <w:shd w:val="clear" w:color="auto" w:fill="auto"/>
            <w:noWrap/>
            <w:vAlign w:val="center"/>
          </w:tcPr>
          <w:p w14:paraId="14882A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6D605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r>
      <w:tr w14:paraId="72371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D7DF4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410</w:t>
            </w:r>
          </w:p>
        </w:tc>
        <w:tc>
          <w:tcPr>
            <w:tcW w:w="1558" w:type="dxa"/>
            <w:vMerge w:val="continue"/>
            <w:vAlign w:val="center"/>
          </w:tcPr>
          <w:p w14:paraId="540D5AE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F655A1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E3DD5B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708" w:type="dxa"/>
            <w:shd w:val="clear" w:color="auto" w:fill="auto"/>
            <w:noWrap/>
            <w:vAlign w:val="center"/>
          </w:tcPr>
          <w:p w14:paraId="753D5B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DF2AF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2C9F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63388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411</w:t>
            </w:r>
          </w:p>
        </w:tc>
        <w:tc>
          <w:tcPr>
            <w:tcW w:w="1558" w:type="dxa"/>
            <w:vMerge w:val="continue"/>
            <w:vAlign w:val="center"/>
          </w:tcPr>
          <w:p w14:paraId="41FA49B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9EA77E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3078A6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708" w:type="dxa"/>
            <w:shd w:val="clear" w:color="auto" w:fill="auto"/>
            <w:noWrap/>
            <w:vAlign w:val="center"/>
          </w:tcPr>
          <w:p w14:paraId="035559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7C6892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2C6E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82D9C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412</w:t>
            </w:r>
          </w:p>
        </w:tc>
        <w:tc>
          <w:tcPr>
            <w:tcW w:w="1558" w:type="dxa"/>
            <w:vMerge w:val="continue"/>
            <w:vAlign w:val="center"/>
          </w:tcPr>
          <w:p w14:paraId="78CB6F8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F81C00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FB13C8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708" w:type="dxa"/>
            <w:shd w:val="clear" w:color="auto" w:fill="auto"/>
            <w:noWrap/>
            <w:vAlign w:val="center"/>
          </w:tcPr>
          <w:p w14:paraId="6D6C4C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6EB076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7932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2D662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413</w:t>
            </w:r>
          </w:p>
        </w:tc>
        <w:tc>
          <w:tcPr>
            <w:tcW w:w="1558" w:type="dxa"/>
            <w:vMerge w:val="continue"/>
            <w:vAlign w:val="center"/>
          </w:tcPr>
          <w:p w14:paraId="157F000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42FEE7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DDB5B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708" w:type="dxa"/>
            <w:shd w:val="clear" w:color="auto" w:fill="auto"/>
            <w:noWrap/>
            <w:vAlign w:val="center"/>
          </w:tcPr>
          <w:p w14:paraId="634711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87B9C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5DA3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E9E64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414</w:t>
            </w:r>
          </w:p>
        </w:tc>
        <w:tc>
          <w:tcPr>
            <w:tcW w:w="1558" w:type="dxa"/>
            <w:vMerge w:val="continue"/>
            <w:vAlign w:val="center"/>
          </w:tcPr>
          <w:p w14:paraId="6D7B68C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27006C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EC070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708" w:type="dxa"/>
            <w:shd w:val="clear" w:color="auto" w:fill="auto"/>
            <w:noWrap/>
            <w:vAlign w:val="center"/>
          </w:tcPr>
          <w:p w14:paraId="07B951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6B7C2D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DF2A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EACE8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415</w:t>
            </w:r>
          </w:p>
        </w:tc>
        <w:tc>
          <w:tcPr>
            <w:tcW w:w="1558" w:type="dxa"/>
            <w:vMerge w:val="continue"/>
            <w:vAlign w:val="center"/>
          </w:tcPr>
          <w:p w14:paraId="7A5BEDD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3C01CD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C1FEFF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708" w:type="dxa"/>
            <w:shd w:val="clear" w:color="auto" w:fill="auto"/>
            <w:noWrap/>
            <w:vAlign w:val="center"/>
          </w:tcPr>
          <w:p w14:paraId="20460B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A2CA6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B889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5DF7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416</w:t>
            </w:r>
          </w:p>
        </w:tc>
        <w:tc>
          <w:tcPr>
            <w:tcW w:w="1558" w:type="dxa"/>
            <w:vMerge w:val="continue"/>
            <w:vAlign w:val="center"/>
          </w:tcPr>
          <w:p w14:paraId="6FF7A02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9C7D29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1E767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708" w:type="dxa"/>
            <w:shd w:val="clear" w:color="auto" w:fill="auto"/>
            <w:noWrap/>
            <w:vAlign w:val="center"/>
          </w:tcPr>
          <w:p w14:paraId="357819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B74D1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2058F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C1C7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417</w:t>
            </w:r>
          </w:p>
        </w:tc>
        <w:tc>
          <w:tcPr>
            <w:tcW w:w="1558" w:type="dxa"/>
            <w:vMerge w:val="continue"/>
            <w:vAlign w:val="center"/>
          </w:tcPr>
          <w:p w14:paraId="4F0E6E9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7B52D1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C9062F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708" w:type="dxa"/>
            <w:shd w:val="clear" w:color="auto" w:fill="auto"/>
            <w:noWrap/>
            <w:vAlign w:val="center"/>
          </w:tcPr>
          <w:p w14:paraId="4A3259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896E8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87BF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00AAE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418</w:t>
            </w:r>
          </w:p>
        </w:tc>
        <w:tc>
          <w:tcPr>
            <w:tcW w:w="1558" w:type="dxa"/>
            <w:vMerge w:val="continue"/>
            <w:vAlign w:val="center"/>
          </w:tcPr>
          <w:p w14:paraId="04C4EE8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1FEE8B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B3369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708" w:type="dxa"/>
            <w:shd w:val="clear" w:color="auto" w:fill="auto"/>
            <w:noWrap/>
            <w:vAlign w:val="center"/>
          </w:tcPr>
          <w:p w14:paraId="7E6856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3DB8B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17AAB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66538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419</w:t>
            </w:r>
          </w:p>
        </w:tc>
        <w:tc>
          <w:tcPr>
            <w:tcW w:w="1558" w:type="dxa"/>
            <w:vMerge w:val="continue"/>
            <w:vAlign w:val="center"/>
          </w:tcPr>
          <w:p w14:paraId="5433A42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C2DB9E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142645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708" w:type="dxa"/>
            <w:shd w:val="clear" w:color="auto" w:fill="auto"/>
            <w:noWrap/>
            <w:vAlign w:val="center"/>
          </w:tcPr>
          <w:p w14:paraId="4B0FE3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B8FD3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r>
      <w:tr w14:paraId="02291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C018D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420</w:t>
            </w:r>
          </w:p>
        </w:tc>
        <w:tc>
          <w:tcPr>
            <w:tcW w:w="1558" w:type="dxa"/>
            <w:vMerge w:val="continue"/>
            <w:vAlign w:val="center"/>
          </w:tcPr>
          <w:p w14:paraId="328FAD6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CFB819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A824E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708" w:type="dxa"/>
            <w:shd w:val="clear" w:color="auto" w:fill="auto"/>
            <w:noWrap/>
            <w:vAlign w:val="center"/>
          </w:tcPr>
          <w:p w14:paraId="389D57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0723C4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r>
      <w:tr w14:paraId="657A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5BCC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421</w:t>
            </w:r>
          </w:p>
        </w:tc>
        <w:tc>
          <w:tcPr>
            <w:tcW w:w="1558" w:type="dxa"/>
            <w:vMerge w:val="continue"/>
            <w:vAlign w:val="center"/>
          </w:tcPr>
          <w:p w14:paraId="22C8B58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8E936B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5E3E9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708" w:type="dxa"/>
            <w:shd w:val="clear" w:color="auto" w:fill="auto"/>
            <w:noWrap/>
            <w:vAlign w:val="center"/>
          </w:tcPr>
          <w:p w14:paraId="4388C0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703CBF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0D608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DF804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422</w:t>
            </w:r>
          </w:p>
        </w:tc>
        <w:tc>
          <w:tcPr>
            <w:tcW w:w="1558" w:type="dxa"/>
            <w:vMerge w:val="continue"/>
            <w:vAlign w:val="center"/>
          </w:tcPr>
          <w:p w14:paraId="1EC7A31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BC806F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3BFFD4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708" w:type="dxa"/>
            <w:shd w:val="clear" w:color="auto" w:fill="auto"/>
            <w:noWrap/>
            <w:vAlign w:val="center"/>
          </w:tcPr>
          <w:p w14:paraId="2763AA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930" w:type="dxa"/>
            <w:shd w:val="clear" w:color="auto" w:fill="auto"/>
            <w:noWrap/>
            <w:vAlign w:val="center"/>
          </w:tcPr>
          <w:p w14:paraId="358D6B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r>
      <w:tr w14:paraId="3A6D6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C4B39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423</w:t>
            </w:r>
          </w:p>
        </w:tc>
        <w:tc>
          <w:tcPr>
            <w:tcW w:w="1558" w:type="dxa"/>
            <w:vMerge w:val="continue"/>
            <w:vAlign w:val="center"/>
          </w:tcPr>
          <w:p w14:paraId="7CE2483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FFA436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EF76D0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708" w:type="dxa"/>
            <w:shd w:val="clear" w:color="auto" w:fill="auto"/>
            <w:noWrap/>
            <w:vAlign w:val="center"/>
          </w:tcPr>
          <w:p w14:paraId="451F67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0E132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6DA7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3106D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424</w:t>
            </w:r>
          </w:p>
        </w:tc>
        <w:tc>
          <w:tcPr>
            <w:tcW w:w="1558" w:type="dxa"/>
            <w:vMerge w:val="continue"/>
            <w:vAlign w:val="center"/>
          </w:tcPr>
          <w:p w14:paraId="784D3DB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644D56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9BC38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708" w:type="dxa"/>
            <w:shd w:val="clear" w:color="auto" w:fill="auto"/>
            <w:noWrap/>
            <w:vAlign w:val="center"/>
          </w:tcPr>
          <w:p w14:paraId="24C3C2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051161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184D4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74441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425</w:t>
            </w:r>
          </w:p>
        </w:tc>
        <w:tc>
          <w:tcPr>
            <w:tcW w:w="1558" w:type="dxa"/>
            <w:vMerge w:val="continue"/>
            <w:vAlign w:val="center"/>
          </w:tcPr>
          <w:p w14:paraId="60900CE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14BED3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8D8DF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708" w:type="dxa"/>
            <w:shd w:val="clear" w:color="auto" w:fill="auto"/>
            <w:noWrap/>
            <w:vAlign w:val="center"/>
          </w:tcPr>
          <w:p w14:paraId="22F6AD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C5873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D297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7BE53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426</w:t>
            </w:r>
          </w:p>
        </w:tc>
        <w:tc>
          <w:tcPr>
            <w:tcW w:w="1558" w:type="dxa"/>
            <w:vMerge w:val="continue"/>
            <w:vAlign w:val="center"/>
          </w:tcPr>
          <w:p w14:paraId="0BA46A9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D997E1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48624E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708" w:type="dxa"/>
            <w:shd w:val="clear" w:color="auto" w:fill="auto"/>
            <w:noWrap/>
            <w:vAlign w:val="center"/>
          </w:tcPr>
          <w:p w14:paraId="694253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086C4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4C65F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A63ED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427</w:t>
            </w:r>
          </w:p>
        </w:tc>
        <w:tc>
          <w:tcPr>
            <w:tcW w:w="1558" w:type="dxa"/>
            <w:vMerge w:val="continue"/>
            <w:vAlign w:val="center"/>
          </w:tcPr>
          <w:p w14:paraId="66AAD09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211460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BB8B9E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708" w:type="dxa"/>
            <w:shd w:val="clear" w:color="auto" w:fill="auto"/>
            <w:noWrap/>
            <w:vAlign w:val="center"/>
          </w:tcPr>
          <w:p w14:paraId="68C0F6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930" w:type="dxa"/>
            <w:shd w:val="clear" w:color="auto" w:fill="auto"/>
            <w:noWrap/>
            <w:vAlign w:val="center"/>
          </w:tcPr>
          <w:p w14:paraId="4DABA1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6EEFE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E5891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428</w:t>
            </w:r>
          </w:p>
        </w:tc>
        <w:tc>
          <w:tcPr>
            <w:tcW w:w="1558" w:type="dxa"/>
            <w:vMerge w:val="continue"/>
            <w:vAlign w:val="center"/>
          </w:tcPr>
          <w:p w14:paraId="26DA2DF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B21F72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1147E2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708" w:type="dxa"/>
            <w:shd w:val="clear" w:color="auto" w:fill="auto"/>
            <w:noWrap/>
            <w:vAlign w:val="center"/>
          </w:tcPr>
          <w:p w14:paraId="0A3740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049F50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5FBDE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51FD3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429</w:t>
            </w:r>
          </w:p>
        </w:tc>
        <w:tc>
          <w:tcPr>
            <w:tcW w:w="1558" w:type="dxa"/>
            <w:vMerge w:val="continue"/>
            <w:vAlign w:val="center"/>
          </w:tcPr>
          <w:p w14:paraId="3100781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A0BC77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0F135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708" w:type="dxa"/>
            <w:shd w:val="clear" w:color="auto" w:fill="auto"/>
            <w:noWrap/>
            <w:vAlign w:val="center"/>
          </w:tcPr>
          <w:p w14:paraId="309936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0BCA2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5720C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43D26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430</w:t>
            </w:r>
          </w:p>
        </w:tc>
        <w:tc>
          <w:tcPr>
            <w:tcW w:w="1558" w:type="dxa"/>
            <w:vMerge w:val="restart"/>
            <w:shd w:val="clear" w:color="auto" w:fill="auto"/>
            <w:noWrap/>
            <w:vAlign w:val="center"/>
          </w:tcPr>
          <w:p w14:paraId="08F458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交通综合管控平台</w:t>
            </w:r>
          </w:p>
        </w:tc>
        <w:tc>
          <w:tcPr>
            <w:tcW w:w="1615" w:type="dxa"/>
            <w:shd w:val="clear" w:color="auto" w:fill="auto"/>
            <w:noWrap/>
            <w:vAlign w:val="center"/>
          </w:tcPr>
          <w:p w14:paraId="20FFAD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基础应用</w:t>
            </w:r>
          </w:p>
        </w:tc>
        <w:tc>
          <w:tcPr>
            <w:tcW w:w="2733" w:type="dxa"/>
            <w:shd w:val="clear" w:color="auto" w:fill="auto"/>
            <w:noWrap/>
            <w:vAlign w:val="center"/>
          </w:tcPr>
          <w:p w14:paraId="0B9FB4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08E522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597ACD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E868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F3B05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431</w:t>
            </w:r>
          </w:p>
        </w:tc>
        <w:tc>
          <w:tcPr>
            <w:tcW w:w="1558" w:type="dxa"/>
            <w:vMerge w:val="continue"/>
            <w:vAlign w:val="center"/>
          </w:tcPr>
          <w:p w14:paraId="3654D1B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6EFEA2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视频监控应用</w:t>
            </w:r>
          </w:p>
        </w:tc>
        <w:tc>
          <w:tcPr>
            <w:tcW w:w="2733" w:type="dxa"/>
            <w:shd w:val="clear" w:color="auto" w:fill="auto"/>
            <w:noWrap/>
            <w:vAlign w:val="center"/>
          </w:tcPr>
          <w:p w14:paraId="39A4C2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00D6FA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525128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0E68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B031C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432</w:t>
            </w:r>
          </w:p>
        </w:tc>
        <w:tc>
          <w:tcPr>
            <w:tcW w:w="1558" w:type="dxa"/>
            <w:vMerge w:val="continue"/>
            <w:vAlign w:val="center"/>
          </w:tcPr>
          <w:p w14:paraId="2156F39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1FCBA0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视频级联网关</w:t>
            </w:r>
          </w:p>
        </w:tc>
        <w:tc>
          <w:tcPr>
            <w:tcW w:w="2733" w:type="dxa"/>
            <w:shd w:val="clear" w:color="auto" w:fill="auto"/>
            <w:noWrap/>
            <w:vAlign w:val="center"/>
          </w:tcPr>
          <w:p w14:paraId="61D654C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767E64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9D5FA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8243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6DCF4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433</w:t>
            </w:r>
          </w:p>
        </w:tc>
        <w:tc>
          <w:tcPr>
            <w:tcW w:w="1558" w:type="dxa"/>
            <w:vMerge w:val="continue"/>
            <w:vAlign w:val="center"/>
          </w:tcPr>
          <w:p w14:paraId="55964E0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023D15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视频运维应用</w:t>
            </w:r>
          </w:p>
        </w:tc>
        <w:tc>
          <w:tcPr>
            <w:tcW w:w="2733" w:type="dxa"/>
            <w:shd w:val="clear" w:color="auto" w:fill="auto"/>
            <w:noWrap/>
            <w:vAlign w:val="center"/>
          </w:tcPr>
          <w:p w14:paraId="7C61372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388CF5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2B36B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FF4E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06D52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434</w:t>
            </w:r>
          </w:p>
        </w:tc>
        <w:tc>
          <w:tcPr>
            <w:tcW w:w="1558" w:type="dxa"/>
            <w:vMerge w:val="continue"/>
            <w:vAlign w:val="center"/>
          </w:tcPr>
          <w:p w14:paraId="2CFE8B1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3C2BA7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地图应用</w:t>
            </w:r>
          </w:p>
        </w:tc>
        <w:tc>
          <w:tcPr>
            <w:tcW w:w="2733" w:type="dxa"/>
            <w:shd w:val="clear" w:color="auto" w:fill="auto"/>
            <w:noWrap/>
            <w:vAlign w:val="center"/>
          </w:tcPr>
          <w:p w14:paraId="71D0921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6981BF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19298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333D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276A0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435</w:t>
            </w:r>
          </w:p>
        </w:tc>
        <w:tc>
          <w:tcPr>
            <w:tcW w:w="1558" w:type="dxa"/>
            <w:vMerge w:val="continue"/>
            <w:vAlign w:val="center"/>
          </w:tcPr>
          <w:p w14:paraId="2C0197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540CBB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违法查询</w:t>
            </w:r>
          </w:p>
        </w:tc>
        <w:tc>
          <w:tcPr>
            <w:tcW w:w="2733" w:type="dxa"/>
            <w:shd w:val="clear" w:color="auto" w:fill="auto"/>
            <w:noWrap/>
            <w:vAlign w:val="center"/>
          </w:tcPr>
          <w:p w14:paraId="0781AE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151373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65057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9E80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6425A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436</w:t>
            </w:r>
          </w:p>
        </w:tc>
        <w:tc>
          <w:tcPr>
            <w:tcW w:w="1558" w:type="dxa"/>
            <w:vMerge w:val="continue"/>
            <w:vAlign w:val="center"/>
          </w:tcPr>
          <w:p w14:paraId="5A940E6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7CF909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基础车辆应用</w:t>
            </w:r>
          </w:p>
        </w:tc>
        <w:tc>
          <w:tcPr>
            <w:tcW w:w="2733" w:type="dxa"/>
            <w:shd w:val="clear" w:color="auto" w:fill="auto"/>
            <w:noWrap/>
            <w:vAlign w:val="center"/>
          </w:tcPr>
          <w:p w14:paraId="78F86C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6D5C1C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01BF10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67D0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4D702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437</w:t>
            </w:r>
          </w:p>
        </w:tc>
        <w:tc>
          <w:tcPr>
            <w:tcW w:w="1558" w:type="dxa"/>
            <w:vMerge w:val="continue"/>
            <w:vAlign w:val="center"/>
          </w:tcPr>
          <w:p w14:paraId="77942DE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0AB285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红名单车辆</w:t>
            </w:r>
          </w:p>
        </w:tc>
        <w:tc>
          <w:tcPr>
            <w:tcW w:w="2733" w:type="dxa"/>
            <w:shd w:val="clear" w:color="auto" w:fill="auto"/>
            <w:noWrap/>
            <w:vAlign w:val="center"/>
          </w:tcPr>
          <w:p w14:paraId="7DB7BC4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0CBF3F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FEDF2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3069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5D0BE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438</w:t>
            </w:r>
          </w:p>
        </w:tc>
        <w:tc>
          <w:tcPr>
            <w:tcW w:w="1558" w:type="dxa"/>
            <w:vMerge w:val="continue"/>
            <w:vAlign w:val="center"/>
          </w:tcPr>
          <w:p w14:paraId="341963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4CF9DC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车辆轨迹查询</w:t>
            </w:r>
          </w:p>
        </w:tc>
        <w:tc>
          <w:tcPr>
            <w:tcW w:w="2733" w:type="dxa"/>
            <w:shd w:val="clear" w:color="auto" w:fill="auto"/>
            <w:noWrap/>
            <w:vAlign w:val="center"/>
          </w:tcPr>
          <w:p w14:paraId="2896118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202B64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BAFD1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9D34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E4B91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439</w:t>
            </w:r>
          </w:p>
        </w:tc>
        <w:tc>
          <w:tcPr>
            <w:tcW w:w="1558" w:type="dxa"/>
            <w:vMerge w:val="continue"/>
            <w:vAlign w:val="center"/>
          </w:tcPr>
          <w:p w14:paraId="0428553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1A599E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区间测速</w:t>
            </w:r>
          </w:p>
        </w:tc>
        <w:tc>
          <w:tcPr>
            <w:tcW w:w="2733" w:type="dxa"/>
            <w:shd w:val="clear" w:color="auto" w:fill="auto"/>
            <w:noWrap/>
            <w:vAlign w:val="center"/>
          </w:tcPr>
          <w:p w14:paraId="7B1DDE0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43DCB1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049B03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F08B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884E7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440</w:t>
            </w:r>
          </w:p>
        </w:tc>
        <w:tc>
          <w:tcPr>
            <w:tcW w:w="1558" w:type="dxa"/>
            <w:vMerge w:val="continue"/>
            <w:vAlign w:val="center"/>
          </w:tcPr>
          <w:p w14:paraId="2DA39AB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7873C5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交通事件参数</w:t>
            </w:r>
          </w:p>
        </w:tc>
        <w:tc>
          <w:tcPr>
            <w:tcW w:w="2733" w:type="dxa"/>
            <w:shd w:val="clear" w:color="auto" w:fill="auto"/>
            <w:noWrap/>
            <w:vAlign w:val="center"/>
          </w:tcPr>
          <w:p w14:paraId="0C60805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6D27F1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07622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FC90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CB909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441</w:t>
            </w:r>
          </w:p>
        </w:tc>
        <w:tc>
          <w:tcPr>
            <w:tcW w:w="1558" w:type="dxa"/>
            <w:vMerge w:val="continue"/>
            <w:vAlign w:val="center"/>
          </w:tcPr>
          <w:p w14:paraId="71A1CD2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674827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智慧信控</w:t>
            </w:r>
          </w:p>
        </w:tc>
        <w:tc>
          <w:tcPr>
            <w:tcW w:w="2733" w:type="dxa"/>
            <w:shd w:val="clear" w:color="auto" w:fill="auto"/>
            <w:noWrap/>
            <w:vAlign w:val="center"/>
          </w:tcPr>
          <w:p w14:paraId="562B22F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4FE902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90429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7FCE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EF000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442</w:t>
            </w:r>
          </w:p>
        </w:tc>
        <w:tc>
          <w:tcPr>
            <w:tcW w:w="1558" w:type="dxa"/>
            <w:vMerge w:val="continue"/>
            <w:vAlign w:val="center"/>
          </w:tcPr>
          <w:p w14:paraId="285E94E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4F8226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信控运维监测</w:t>
            </w:r>
          </w:p>
        </w:tc>
        <w:tc>
          <w:tcPr>
            <w:tcW w:w="2733" w:type="dxa"/>
            <w:shd w:val="clear" w:color="auto" w:fill="auto"/>
            <w:noWrap/>
            <w:vAlign w:val="center"/>
          </w:tcPr>
          <w:p w14:paraId="4F15514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7FDB7C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240B8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F59D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CCF66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443</w:t>
            </w:r>
          </w:p>
        </w:tc>
        <w:tc>
          <w:tcPr>
            <w:tcW w:w="1558" w:type="dxa"/>
            <w:vMerge w:val="continue"/>
            <w:vAlign w:val="center"/>
          </w:tcPr>
          <w:p w14:paraId="2B96ED0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581101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多路口监控</w:t>
            </w:r>
          </w:p>
        </w:tc>
        <w:tc>
          <w:tcPr>
            <w:tcW w:w="2733" w:type="dxa"/>
            <w:shd w:val="clear" w:color="auto" w:fill="auto"/>
            <w:noWrap/>
            <w:vAlign w:val="center"/>
          </w:tcPr>
          <w:p w14:paraId="1F7F463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70B60BB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2EC53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8175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411A2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444</w:t>
            </w:r>
          </w:p>
        </w:tc>
        <w:tc>
          <w:tcPr>
            <w:tcW w:w="1558" w:type="dxa"/>
            <w:vMerge w:val="continue"/>
            <w:vAlign w:val="center"/>
          </w:tcPr>
          <w:p w14:paraId="33A3D76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2F8C6A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交通运行指标查询</w:t>
            </w:r>
          </w:p>
        </w:tc>
        <w:tc>
          <w:tcPr>
            <w:tcW w:w="2733" w:type="dxa"/>
            <w:shd w:val="clear" w:color="auto" w:fill="auto"/>
            <w:noWrap/>
            <w:vAlign w:val="center"/>
          </w:tcPr>
          <w:p w14:paraId="38DBE5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66F24E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8ABF6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9A20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398B7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445</w:t>
            </w:r>
          </w:p>
        </w:tc>
        <w:tc>
          <w:tcPr>
            <w:tcW w:w="1558" w:type="dxa"/>
            <w:vMerge w:val="continue"/>
            <w:vAlign w:val="center"/>
          </w:tcPr>
          <w:p w14:paraId="04D38EF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431FFA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单点优化控制效果监测</w:t>
            </w:r>
          </w:p>
        </w:tc>
        <w:tc>
          <w:tcPr>
            <w:tcW w:w="2733" w:type="dxa"/>
            <w:shd w:val="clear" w:color="auto" w:fill="auto"/>
            <w:noWrap/>
            <w:vAlign w:val="center"/>
          </w:tcPr>
          <w:p w14:paraId="3CD66A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08CD3B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468F5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5170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8958F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446</w:t>
            </w:r>
          </w:p>
        </w:tc>
        <w:tc>
          <w:tcPr>
            <w:tcW w:w="1558" w:type="dxa"/>
            <w:vMerge w:val="continue"/>
            <w:vAlign w:val="center"/>
          </w:tcPr>
          <w:p w14:paraId="0CAD37C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6C4075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单点方案智能计算</w:t>
            </w:r>
          </w:p>
        </w:tc>
        <w:tc>
          <w:tcPr>
            <w:tcW w:w="2733" w:type="dxa"/>
            <w:shd w:val="clear" w:color="auto" w:fill="auto"/>
            <w:noWrap/>
            <w:vAlign w:val="center"/>
          </w:tcPr>
          <w:p w14:paraId="7FF1242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6104E6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1406D4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06FD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AA6B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447</w:t>
            </w:r>
          </w:p>
        </w:tc>
        <w:tc>
          <w:tcPr>
            <w:tcW w:w="1558" w:type="dxa"/>
            <w:vMerge w:val="continue"/>
            <w:vAlign w:val="center"/>
          </w:tcPr>
          <w:p w14:paraId="64DC83F0">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shd w:val="clear" w:color="auto" w:fill="auto"/>
            <w:noWrap/>
            <w:vAlign w:val="center"/>
          </w:tcPr>
          <w:p w14:paraId="7ABE7B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路口交通评价</w:t>
            </w:r>
          </w:p>
        </w:tc>
        <w:tc>
          <w:tcPr>
            <w:tcW w:w="2733" w:type="dxa"/>
            <w:shd w:val="clear" w:color="auto" w:fill="auto"/>
            <w:noWrap/>
            <w:vAlign w:val="center"/>
          </w:tcPr>
          <w:p w14:paraId="78A084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708" w:type="dxa"/>
            <w:shd w:val="clear" w:color="auto" w:fill="auto"/>
            <w:noWrap/>
            <w:vAlign w:val="center"/>
          </w:tcPr>
          <w:p w14:paraId="40F798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5A831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25FC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E1D71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448</w:t>
            </w:r>
          </w:p>
        </w:tc>
        <w:tc>
          <w:tcPr>
            <w:tcW w:w="1558" w:type="dxa"/>
            <w:vMerge w:val="continue"/>
            <w:vAlign w:val="center"/>
          </w:tcPr>
          <w:p w14:paraId="7A8DC86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2C4D63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平台对接</w:t>
            </w:r>
          </w:p>
        </w:tc>
        <w:tc>
          <w:tcPr>
            <w:tcW w:w="2733" w:type="dxa"/>
            <w:shd w:val="clear" w:color="auto" w:fill="auto"/>
            <w:vAlign w:val="center"/>
          </w:tcPr>
          <w:p w14:paraId="2FFA36E4">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与县局视频图像信息共享平台的对接</w:t>
            </w:r>
          </w:p>
        </w:tc>
        <w:tc>
          <w:tcPr>
            <w:tcW w:w="708" w:type="dxa"/>
            <w:shd w:val="clear" w:color="auto" w:fill="auto"/>
            <w:noWrap/>
            <w:vAlign w:val="center"/>
          </w:tcPr>
          <w:p w14:paraId="2D18A1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w:t>
            </w:r>
          </w:p>
        </w:tc>
        <w:tc>
          <w:tcPr>
            <w:tcW w:w="930" w:type="dxa"/>
            <w:shd w:val="clear" w:color="auto" w:fill="auto"/>
            <w:noWrap/>
            <w:vAlign w:val="center"/>
          </w:tcPr>
          <w:p w14:paraId="250B6C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EDBC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0002F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449</w:t>
            </w:r>
          </w:p>
        </w:tc>
        <w:tc>
          <w:tcPr>
            <w:tcW w:w="1558" w:type="dxa"/>
            <w:vMerge w:val="continue"/>
            <w:vAlign w:val="center"/>
          </w:tcPr>
          <w:p w14:paraId="521C56F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441C74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0A87D94D">
            <w:pPr>
              <w:widowControl/>
              <w:spacing w:line="240" w:lineRule="auto"/>
              <w:ind w:firstLine="0" w:firstLineChars="0"/>
              <w:rPr>
                <w:rFonts w:hint="eastAsia" w:ascii="宋体" w:hAnsi="宋体" w:eastAsia="宋体" w:cs="宋体"/>
                <w:kern w:val="0"/>
                <w:sz w:val="20"/>
                <w:szCs w:val="20"/>
              </w:rPr>
            </w:pPr>
            <w:r>
              <w:rPr>
                <w:rFonts w:hint="eastAsia" w:ascii="宋体" w:hAnsi="宋体" w:eastAsia="宋体" w:cs="宋体"/>
                <w:kern w:val="0"/>
                <w:sz w:val="20"/>
                <w:szCs w:val="20"/>
              </w:rPr>
              <w:t>与省集成指挥平台对接</w:t>
            </w:r>
          </w:p>
        </w:tc>
        <w:tc>
          <w:tcPr>
            <w:tcW w:w="708" w:type="dxa"/>
            <w:shd w:val="clear" w:color="auto" w:fill="auto"/>
            <w:noWrap/>
            <w:vAlign w:val="center"/>
          </w:tcPr>
          <w:p w14:paraId="18A809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w:t>
            </w:r>
          </w:p>
        </w:tc>
        <w:tc>
          <w:tcPr>
            <w:tcW w:w="930" w:type="dxa"/>
            <w:shd w:val="clear" w:color="auto" w:fill="auto"/>
            <w:noWrap/>
            <w:vAlign w:val="center"/>
          </w:tcPr>
          <w:p w14:paraId="0190E6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4151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ACB8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1558" w:type="dxa"/>
            <w:vMerge w:val="continue"/>
            <w:vAlign w:val="center"/>
          </w:tcPr>
          <w:p w14:paraId="3D37C70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FDAEE5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2CF5A206">
            <w:pPr>
              <w:widowControl/>
              <w:spacing w:line="240" w:lineRule="auto"/>
              <w:ind w:firstLine="0" w:firstLineChars="0"/>
              <w:rPr>
                <w:rFonts w:hint="eastAsia" w:ascii="宋体" w:hAnsi="宋体" w:eastAsia="宋体" w:cs="宋体"/>
                <w:kern w:val="0"/>
                <w:sz w:val="20"/>
                <w:szCs w:val="20"/>
              </w:rPr>
            </w:pPr>
            <w:r>
              <w:rPr>
                <w:rFonts w:hint="eastAsia" w:ascii="宋体" w:hAnsi="宋体" w:eastAsia="宋体" w:cs="宋体"/>
                <w:kern w:val="0"/>
                <w:sz w:val="20"/>
                <w:szCs w:val="20"/>
              </w:rPr>
              <w:t>与交通管理综合应用平台（六合一平台）的对接</w:t>
            </w:r>
          </w:p>
        </w:tc>
        <w:tc>
          <w:tcPr>
            <w:tcW w:w="708" w:type="dxa"/>
            <w:shd w:val="clear" w:color="auto" w:fill="auto"/>
            <w:noWrap/>
            <w:vAlign w:val="center"/>
          </w:tcPr>
          <w:p w14:paraId="665578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w:t>
            </w:r>
          </w:p>
        </w:tc>
        <w:tc>
          <w:tcPr>
            <w:tcW w:w="930" w:type="dxa"/>
            <w:shd w:val="clear" w:color="auto" w:fill="auto"/>
            <w:noWrap/>
            <w:vAlign w:val="center"/>
          </w:tcPr>
          <w:p w14:paraId="78035D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342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8A4BB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451</w:t>
            </w:r>
          </w:p>
        </w:tc>
        <w:tc>
          <w:tcPr>
            <w:tcW w:w="1558" w:type="dxa"/>
            <w:vMerge w:val="continue"/>
            <w:vAlign w:val="center"/>
          </w:tcPr>
          <w:p w14:paraId="52B8B09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25AEA45">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44DA1E00">
            <w:pPr>
              <w:widowControl/>
              <w:spacing w:line="240" w:lineRule="auto"/>
              <w:ind w:firstLine="0" w:firstLineChars="0"/>
              <w:rPr>
                <w:rFonts w:hint="eastAsia" w:ascii="宋体" w:hAnsi="宋体" w:eastAsia="宋体" w:cs="宋体"/>
                <w:kern w:val="0"/>
                <w:sz w:val="20"/>
                <w:szCs w:val="20"/>
              </w:rPr>
            </w:pPr>
            <w:r>
              <w:rPr>
                <w:rFonts w:hint="eastAsia" w:ascii="宋体" w:hAnsi="宋体" w:eastAsia="宋体" w:cs="宋体"/>
                <w:kern w:val="0"/>
                <w:sz w:val="20"/>
                <w:szCs w:val="20"/>
              </w:rPr>
              <w:t>与其他业务平台的预留接口开发</w:t>
            </w:r>
          </w:p>
        </w:tc>
        <w:tc>
          <w:tcPr>
            <w:tcW w:w="708" w:type="dxa"/>
            <w:shd w:val="clear" w:color="auto" w:fill="auto"/>
            <w:noWrap/>
            <w:vAlign w:val="center"/>
          </w:tcPr>
          <w:p w14:paraId="7EBDC4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w:t>
            </w:r>
          </w:p>
        </w:tc>
        <w:tc>
          <w:tcPr>
            <w:tcW w:w="930" w:type="dxa"/>
            <w:shd w:val="clear" w:color="auto" w:fill="auto"/>
            <w:noWrap/>
            <w:vAlign w:val="center"/>
          </w:tcPr>
          <w:p w14:paraId="511665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DFE9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8AE3D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452</w:t>
            </w:r>
          </w:p>
        </w:tc>
        <w:tc>
          <w:tcPr>
            <w:tcW w:w="1558" w:type="dxa"/>
            <w:vMerge w:val="continue"/>
            <w:vAlign w:val="center"/>
          </w:tcPr>
          <w:p w14:paraId="4F895EA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401B64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30BB0B80">
            <w:pPr>
              <w:widowControl/>
              <w:spacing w:line="240" w:lineRule="auto"/>
              <w:ind w:firstLine="0" w:firstLineChars="0"/>
              <w:rPr>
                <w:rFonts w:hint="eastAsia" w:ascii="宋体" w:hAnsi="宋体" w:eastAsia="宋体" w:cs="宋体"/>
                <w:kern w:val="0"/>
                <w:sz w:val="20"/>
                <w:szCs w:val="20"/>
              </w:rPr>
            </w:pPr>
            <w:r>
              <w:rPr>
                <w:rFonts w:hint="eastAsia" w:ascii="宋体" w:hAnsi="宋体" w:eastAsia="宋体" w:cs="宋体"/>
                <w:kern w:val="0"/>
                <w:sz w:val="20"/>
                <w:szCs w:val="20"/>
              </w:rPr>
              <w:t>与现有交通信号设施对接</w:t>
            </w:r>
          </w:p>
        </w:tc>
        <w:tc>
          <w:tcPr>
            <w:tcW w:w="708" w:type="dxa"/>
            <w:shd w:val="clear" w:color="auto" w:fill="auto"/>
            <w:noWrap/>
            <w:vAlign w:val="center"/>
          </w:tcPr>
          <w:p w14:paraId="12B506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w:t>
            </w:r>
          </w:p>
        </w:tc>
        <w:tc>
          <w:tcPr>
            <w:tcW w:w="930" w:type="dxa"/>
            <w:shd w:val="clear" w:color="auto" w:fill="auto"/>
            <w:noWrap/>
            <w:vAlign w:val="center"/>
          </w:tcPr>
          <w:p w14:paraId="45C4E7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F8DF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A9395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453</w:t>
            </w:r>
          </w:p>
        </w:tc>
        <w:tc>
          <w:tcPr>
            <w:tcW w:w="1558" w:type="dxa"/>
            <w:vMerge w:val="continue"/>
            <w:vAlign w:val="center"/>
          </w:tcPr>
          <w:p w14:paraId="2AE9354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FAE81A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74B16DE3">
            <w:pPr>
              <w:widowControl/>
              <w:spacing w:line="240" w:lineRule="auto"/>
              <w:ind w:firstLine="0" w:firstLineChars="0"/>
              <w:rPr>
                <w:rFonts w:hint="eastAsia" w:ascii="宋体" w:hAnsi="宋体" w:eastAsia="宋体" w:cs="宋体"/>
                <w:kern w:val="0"/>
                <w:sz w:val="20"/>
                <w:szCs w:val="20"/>
              </w:rPr>
            </w:pPr>
            <w:r>
              <w:rPr>
                <w:rFonts w:hint="eastAsia" w:ascii="宋体" w:hAnsi="宋体" w:eastAsia="宋体" w:cs="宋体"/>
                <w:kern w:val="0"/>
                <w:sz w:val="20"/>
                <w:szCs w:val="20"/>
              </w:rPr>
              <w:t>与现有交通违法监测设备（卡口、违停）对接</w:t>
            </w:r>
          </w:p>
        </w:tc>
        <w:tc>
          <w:tcPr>
            <w:tcW w:w="708" w:type="dxa"/>
            <w:shd w:val="clear" w:color="auto" w:fill="auto"/>
            <w:noWrap/>
            <w:vAlign w:val="center"/>
          </w:tcPr>
          <w:p w14:paraId="55D185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w:t>
            </w:r>
          </w:p>
        </w:tc>
        <w:tc>
          <w:tcPr>
            <w:tcW w:w="930" w:type="dxa"/>
            <w:shd w:val="clear" w:color="auto" w:fill="auto"/>
            <w:noWrap/>
            <w:vAlign w:val="center"/>
          </w:tcPr>
          <w:p w14:paraId="61FA04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2E8A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51AB6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454</w:t>
            </w:r>
          </w:p>
        </w:tc>
        <w:tc>
          <w:tcPr>
            <w:tcW w:w="1558" w:type="dxa"/>
            <w:vMerge w:val="restart"/>
            <w:shd w:val="clear" w:color="auto" w:fill="auto"/>
            <w:noWrap/>
            <w:vAlign w:val="center"/>
          </w:tcPr>
          <w:p w14:paraId="3CD618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其他配套</w:t>
            </w:r>
          </w:p>
        </w:tc>
        <w:tc>
          <w:tcPr>
            <w:tcW w:w="1615" w:type="dxa"/>
            <w:vMerge w:val="restart"/>
            <w:shd w:val="clear" w:color="auto" w:fill="auto"/>
            <w:noWrap/>
            <w:vAlign w:val="center"/>
          </w:tcPr>
          <w:p w14:paraId="7C6815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配套成品软件</w:t>
            </w:r>
          </w:p>
        </w:tc>
        <w:tc>
          <w:tcPr>
            <w:tcW w:w="2733" w:type="dxa"/>
            <w:shd w:val="clear" w:color="auto" w:fill="auto"/>
            <w:noWrap/>
            <w:vAlign w:val="center"/>
          </w:tcPr>
          <w:p w14:paraId="400EEC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图片接入软件</w:t>
            </w:r>
          </w:p>
        </w:tc>
        <w:tc>
          <w:tcPr>
            <w:tcW w:w="708" w:type="dxa"/>
            <w:shd w:val="clear" w:color="auto" w:fill="auto"/>
            <w:noWrap/>
            <w:vAlign w:val="center"/>
          </w:tcPr>
          <w:p w14:paraId="1782B3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0C2A04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EADA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739D9A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455</w:t>
            </w:r>
          </w:p>
        </w:tc>
        <w:tc>
          <w:tcPr>
            <w:tcW w:w="1558" w:type="dxa"/>
            <w:vMerge w:val="continue"/>
            <w:vAlign w:val="center"/>
          </w:tcPr>
          <w:p w14:paraId="0038F35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3DBA0E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BB796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数据转发服务软件</w:t>
            </w:r>
          </w:p>
        </w:tc>
        <w:tc>
          <w:tcPr>
            <w:tcW w:w="708" w:type="dxa"/>
            <w:shd w:val="clear" w:color="auto" w:fill="auto"/>
            <w:noWrap/>
            <w:vAlign w:val="center"/>
          </w:tcPr>
          <w:p w14:paraId="0D16A9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3971D2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1DB7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6AB47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456</w:t>
            </w:r>
          </w:p>
        </w:tc>
        <w:tc>
          <w:tcPr>
            <w:tcW w:w="1558" w:type="dxa"/>
            <w:vMerge w:val="continue"/>
            <w:vAlign w:val="center"/>
          </w:tcPr>
          <w:p w14:paraId="33D938A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F5ED5F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443AE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数据库管理服务软件</w:t>
            </w:r>
          </w:p>
        </w:tc>
        <w:tc>
          <w:tcPr>
            <w:tcW w:w="708" w:type="dxa"/>
            <w:shd w:val="clear" w:color="auto" w:fill="auto"/>
            <w:noWrap/>
            <w:vAlign w:val="center"/>
          </w:tcPr>
          <w:p w14:paraId="139BF6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6154EB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62A0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2B150F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457</w:t>
            </w:r>
          </w:p>
        </w:tc>
        <w:tc>
          <w:tcPr>
            <w:tcW w:w="1558" w:type="dxa"/>
            <w:vMerge w:val="continue"/>
            <w:vAlign w:val="center"/>
          </w:tcPr>
          <w:p w14:paraId="61FC21D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0AAAC3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E9C96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大数据支撑软件</w:t>
            </w:r>
          </w:p>
        </w:tc>
        <w:tc>
          <w:tcPr>
            <w:tcW w:w="708" w:type="dxa"/>
            <w:shd w:val="clear" w:color="auto" w:fill="auto"/>
            <w:noWrap/>
            <w:vAlign w:val="center"/>
          </w:tcPr>
          <w:p w14:paraId="6834C6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4BC2AB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CEAA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6B20C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458</w:t>
            </w:r>
          </w:p>
        </w:tc>
        <w:tc>
          <w:tcPr>
            <w:tcW w:w="1558" w:type="dxa"/>
            <w:vMerge w:val="continue"/>
            <w:vAlign w:val="center"/>
          </w:tcPr>
          <w:p w14:paraId="4790D24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9E0CC9C">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01641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感知数据服务软件</w:t>
            </w:r>
          </w:p>
        </w:tc>
        <w:tc>
          <w:tcPr>
            <w:tcW w:w="708" w:type="dxa"/>
            <w:shd w:val="clear" w:color="auto" w:fill="auto"/>
            <w:noWrap/>
            <w:vAlign w:val="center"/>
          </w:tcPr>
          <w:p w14:paraId="50CB96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D4FE4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25AC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18F09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459</w:t>
            </w:r>
          </w:p>
        </w:tc>
        <w:tc>
          <w:tcPr>
            <w:tcW w:w="1558" w:type="dxa"/>
            <w:vMerge w:val="continue"/>
            <w:vAlign w:val="center"/>
          </w:tcPr>
          <w:p w14:paraId="675D811D">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92F1EB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FBAF8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算法引擎软件</w:t>
            </w:r>
          </w:p>
        </w:tc>
        <w:tc>
          <w:tcPr>
            <w:tcW w:w="708" w:type="dxa"/>
            <w:shd w:val="clear" w:color="auto" w:fill="auto"/>
            <w:noWrap/>
            <w:vAlign w:val="center"/>
          </w:tcPr>
          <w:p w14:paraId="72DC17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006D0B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D448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EC545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460</w:t>
            </w:r>
          </w:p>
        </w:tc>
        <w:tc>
          <w:tcPr>
            <w:tcW w:w="1558" w:type="dxa"/>
            <w:vMerge w:val="continue"/>
            <w:vAlign w:val="center"/>
          </w:tcPr>
          <w:p w14:paraId="11182A9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72734C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6219B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数据对接</w:t>
            </w:r>
          </w:p>
        </w:tc>
        <w:tc>
          <w:tcPr>
            <w:tcW w:w="708" w:type="dxa"/>
            <w:shd w:val="clear" w:color="auto" w:fill="auto"/>
            <w:noWrap/>
            <w:vAlign w:val="center"/>
          </w:tcPr>
          <w:p w14:paraId="32452D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2EA30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B731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A1C50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461</w:t>
            </w:r>
          </w:p>
        </w:tc>
        <w:tc>
          <w:tcPr>
            <w:tcW w:w="1558" w:type="dxa"/>
            <w:vMerge w:val="continue"/>
            <w:vAlign w:val="center"/>
          </w:tcPr>
          <w:p w14:paraId="4B554D3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28061B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2328E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云存储扩容</w:t>
            </w:r>
          </w:p>
        </w:tc>
        <w:tc>
          <w:tcPr>
            <w:tcW w:w="708" w:type="dxa"/>
            <w:shd w:val="clear" w:color="auto" w:fill="auto"/>
            <w:noWrap/>
            <w:vAlign w:val="center"/>
          </w:tcPr>
          <w:p w14:paraId="588985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2ED9FA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855E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A6C02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462</w:t>
            </w:r>
          </w:p>
        </w:tc>
        <w:tc>
          <w:tcPr>
            <w:tcW w:w="1558" w:type="dxa"/>
            <w:vMerge w:val="continue"/>
            <w:vAlign w:val="center"/>
          </w:tcPr>
          <w:p w14:paraId="6CA3F3B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8C9A15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1A3ED2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车辆算法</w:t>
            </w:r>
          </w:p>
        </w:tc>
        <w:tc>
          <w:tcPr>
            <w:tcW w:w="708" w:type="dxa"/>
            <w:shd w:val="clear" w:color="auto" w:fill="auto"/>
            <w:noWrap/>
            <w:vAlign w:val="center"/>
          </w:tcPr>
          <w:p w14:paraId="770E3C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783F88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FECC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36458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463</w:t>
            </w:r>
          </w:p>
        </w:tc>
        <w:tc>
          <w:tcPr>
            <w:tcW w:w="1558" w:type="dxa"/>
            <w:vMerge w:val="continue"/>
            <w:vAlign w:val="center"/>
          </w:tcPr>
          <w:p w14:paraId="4BA8AE1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212AA8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配套硬件设备-配套服务器</w:t>
            </w:r>
          </w:p>
        </w:tc>
        <w:tc>
          <w:tcPr>
            <w:tcW w:w="2733" w:type="dxa"/>
            <w:shd w:val="clear" w:color="auto" w:fill="auto"/>
            <w:noWrap/>
            <w:vAlign w:val="center"/>
          </w:tcPr>
          <w:p w14:paraId="7C7C026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应用服务器</w:t>
            </w:r>
          </w:p>
        </w:tc>
        <w:tc>
          <w:tcPr>
            <w:tcW w:w="708" w:type="dxa"/>
            <w:shd w:val="clear" w:color="auto" w:fill="auto"/>
            <w:noWrap/>
            <w:vAlign w:val="center"/>
          </w:tcPr>
          <w:p w14:paraId="3C762E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CE388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r>
      <w:tr w14:paraId="001A0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9498F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464</w:t>
            </w:r>
          </w:p>
        </w:tc>
        <w:tc>
          <w:tcPr>
            <w:tcW w:w="1558" w:type="dxa"/>
            <w:vMerge w:val="continue"/>
            <w:vAlign w:val="center"/>
          </w:tcPr>
          <w:p w14:paraId="3617ED8E">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F0120CD">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954257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存储管理服务器</w:t>
            </w:r>
          </w:p>
        </w:tc>
        <w:tc>
          <w:tcPr>
            <w:tcW w:w="708" w:type="dxa"/>
            <w:shd w:val="clear" w:color="auto" w:fill="auto"/>
            <w:noWrap/>
            <w:vAlign w:val="center"/>
          </w:tcPr>
          <w:p w14:paraId="2C2F6E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32BC62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DEEF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1261F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465</w:t>
            </w:r>
          </w:p>
        </w:tc>
        <w:tc>
          <w:tcPr>
            <w:tcW w:w="1558" w:type="dxa"/>
            <w:vMerge w:val="continue"/>
            <w:vAlign w:val="center"/>
          </w:tcPr>
          <w:p w14:paraId="2E9EE845">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1417D64">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687427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数据接入转发硬件服务器</w:t>
            </w:r>
          </w:p>
        </w:tc>
        <w:tc>
          <w:tcPr>
            <w:tcW w:w="708" w:type="dxa"/>
            <w:shd w:val="clear" w:color="auto" w:fill="auto"/>
            <w:noWrap/>
            <w:vAlign w:val="center"/>
          </w:tcPr>
          <w:p w14:paraId="4B246E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FBA6C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4B507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4DEDB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466</w:t>
            </w:r>
          </w:p>
        </w:tc>
        <w:tc>
          <w:tcPr>
            <w:tcW w:w="1558" w:type="dxa"/>
            <w:vMerge w:val="continue"/>
            <w:vAlign w:val="center"/>
          </w:tcPr>
          <w:p w14:paraId="4490361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B783319">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7D4D340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数据库硬件服务器</w:t>
            </w:r>
          </w:p>
        </w:tc>
        <w:tc>
          <w:tcPr>
            <w:tcW w:w="708" w:type="dxa"/>
            <w:shd w:val="clear" w:color="auto" w:fill="auto"/>
            <w:noWrap/>
            <w:vAlign w:val="center"/>
          </w:tcPr>
          <w:p w14:paraId="15D0CF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6C193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7F89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99783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467</w:t>
            </w:r>
          </w:p>
        </w:tc>
        <w:tc>
          <w:tcPr>
            <w:tcW w:w="1558" w:type="dxa"/>
            <w:vMerge w:val="continue"/>
            <w:vAlign w:val="center"/>
          </w:tcPr>
          <w:p w14:paraId="749704F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60A729F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801AA4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交通大数据服务器</w:t>
            </w:r>
          </w:p>
        </w:tc>
        <w:tc>
          <w:tcPr>
            <w:tcW w:w="708" w:type="dxa"/>
            <w:shd w:val="clear" w:color="auto" w:fill="auto"/>
            <w:noWrap/>
            <w:vAlign w:val="center"/>
          </w:tcPr>
          <w:p w14:paraId="42EED6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FAC16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18C00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6BC52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468</w:t>
            </w:r>
          </w:p>
        </w:tc>
        <w:tc>
          <w:tcPr>
            <w:tcW w:w="1558" w:type="dxa"/>
            <w:vMerge w:val="continue"/>
            <w:vAlign w:val="center"/>
          </w:tcPr>
          <w:p w14:paraId="41AFA07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09AC7677">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849564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车辆分析服务器（含分析算法）</w:t>
            </w:r>
          </w:p>
        </w:tc>
        <w:tc>
          <w:tcPr>
            <w:tcW w:w="708" w:type="dxa"/>
            <w:shd w:val="clear" w:color="auto" w:fill="auto"/>
            <w:noWrap/>
            <w:vAlign w:val="center"/>
          </w:tcPr>
          <w:p w14:paraId="70807B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C183B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0AE66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A217D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469</w:t>
            </w:r>
          </w:p>
        </w:tc>
        <w:tc>
          <w:tcPr>
            <w:tcW w:w="1558" w:type="dxa"/>
            <w:vMerge w:val="continue"/>
            <w:vAlign w:val="center"/>
          </w:tcPr>
          <w:p w14:paraId="11D48DD8">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2525E8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4D0035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视频存储节点</w:t>
            </w:r>
          </w:p>
        </w:tc>
        <w:tc>
          <w:tcPr>
            <w:tcW w:w="708" w:type="dxa"/>
            <w:shd w:val="clear" w:color="auto" w:fill="auto"/>
            <w:noWrap/>
            <w:vAlign w:val="center"/>
          </w:tcPr>
          <w:p w14:paraId="1C1E04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69987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r>
      <w:tr w14:paraId="2269A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55345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470</w:t>
            </w:r>
          </w:p>
        </w:tc>
        <w:tc>
          <w:tcPr>
            <w:tcW w:w="1558" w:type="dxa"/>
            <w:vMerge w:val="continue"/>
            <w:vAlign w:val="center"/>
          </w:tcPr>
          <w:p w14:paraId="26A2E23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1CC4E30">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5E05FD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图片存储节点</w:t>
            </w:r>
          </w:p>
        </w:tc>
        <w:tc>
          <w:tcPr>
            <w:tcW w:w="708" w:type="dxa"/>
            <w:shd w:val="clear" w:color="auto" w:fill="auto"/>
            <w:noWrap/>
            <w:vAlign w:val="center"/>
          </w:tcPr>
          <w:p w14:paraId="2BCA14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02917C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2488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A174E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471</w:t>
            </w:r>
          </w:p>
        </w:tc>
        <w:tc>
          <w:tcPr>
            <w:tcW w:w="1558" w:type="dxa"/>
            <w:vMerge w:val="continue"/>
            <w:vAlign w:val="center"/>
          </w:tcPr>
          <w:p w14:paraId="7B314783">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C916D8B">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22438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校时服务器</w:t>
            </w:r>
          </w:p>
        </w:tc>
        <w:tc>
          <w:tcPr>
            <w:tcW w:w="708" w:type="dxa"/>
            <w:shd w:val="clear" w:color="auto" w:fill="auto"/>
            <w:noWrap/>
            <w:vAlign w:val="center"/>
          </w:tcPr>
          <w:p w14:paraId="228CDA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10957F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73C6F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37C35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472</w:t>
            </w:r>
          </w:p>
        </w:tc>
        <w:tc>
          <w:tcPr>
            <w:tcW w:w="1558" w:type="dxa"/>
            <w:vMerge w:val="continue"/>
            <w:vAlign w:val="center"/>
          </w:tcPr>
          <w:p w14:paraId="0F185C86">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34A240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配套硬件设备-配套网络安全设备及UPS设备</w:t>
            </w:r>
          </w:p>
        </w:tc>
        <w:tc>
          <w:tcPr>
            <w:tcW w:w="2733" w:type="dxa"/>
            <w:shd w:val="clear" w:color="auto" w:fill="auto"/>
            <w:noWrap/>
            <w:vAlign w:val="center"/>
          </w:tcPr>
          <w:p w14:paraId="4F8F1EFE">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网络机柜</w:t>
            </w:r>
          </w:p>
        </w:tc>
        <w:tc>
          <w:tcPr>
            <w:tcW w:w="708" w:type="dxa"/>
            <w:shd w:val="clear" w:color="auto" w:fill="auto"/>
            <w:noWrap/>
            <w:vAlign w:val="center"/>
          </w:tcPr>
          <w:p w14:paraId="40A4DE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架</w:t>
            </w:r>
          </w:p>
        </w:tc>
        <w:tc>
          <w:tcPr>
            <w:tcW w:w="930" w:type="dxa"/>
            <w:shd w:val="clear" w:color="auto" w:fill="auto"/>
            <w:noWrap/>
            <w:vAlign w:val="center"/>
          </w:tcPr>
          <w:p w14:paraId="0FF2E1A3">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2</w:t>
            </w:r>
          </w:p>
        </w:tc>
      </w:tr>
      <w:tr w14:paraId="4AAF1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2867A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473</w:t>
            </w:r>
          </w:p>
        </w:tc>
        <w:tc>
          <w:tcPr>
            <w:tcW w:w="1558" w:type="dxa"/>
            <w:vMerge w:val="continue"/>
            <w:vAlign w:val="center"/>
          </w:tcPr>
          <w:p w14:paraId="6C1DB9A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B6753D1">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56075C5B">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24口接入交换机</w:t>
            </w:r>
          </w:p>
        </w:tc>
        <w:tc>
          <w:tcPr>
            <w:tcW w:w="708" w:type="dxa"/>
            <w:shd w:val="clear" w:color="auto" w:fill="auto"/>
            <w:noWrap/>
            <w:vAlign w:val="center"/>
          </w:tcPr>
          <w:p w14:paraId="736EEA52">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台</w:t>
            </w:r>
          </w:p>
        </w:tc>
        <w:tc>
          <w:tcPr>
            <w:tcW w:w="930" w:type="dxa"/>
            <w:shd w:val="clear" w:color="auto" w:fill="auto"/>
            <w:noWrap/>
            <w:vAlign w:val="center"/>
          </w:tcPr>
          <w:p w14:paraId="01202EC6">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w:t>
            </w:r>
          </w:p>
        </w:tc>
      </w:tr>
      <w:tr w14:paraId="036E7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98A4B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474</w:t>
            </w:r>
          </w:p>
        </w:tc>
        <w:tc>
          <w:tcPr>
            <w:tcW w:w="1558" w:type="dxa"/>
            <w:vMerge w:val="continue"/>
            <w:vAlign w:val="center"/>
          </w:tcPr>
          <w:p w14:paraId="098B6DD7">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5018D9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67A10A48">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前端汇聚交换机</w:t>
            </w:r>
          </w:p>
        </w:tc>
        <w:tc>
          <w:tcPr>
            <w:tcW w:w="708" w:type="dxa"/>
            <w:shd w:val="clear" w:color="auto" w:fill="auto"/>
            <w:noWrap/>
            <w:vAlign w:val="center"/>
          </w:tcPr>
          <w:p w14:paraId="281449BE">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台</w:t>
            </w:r>
          </w:p>
        </w:tc>
        <w:tc>
          <w:tcPr>
            <w:tcW w:w="930" w:type="dxa"/>
            <w:shd w:val="clear" w:color="auto" w:fill="auto"/>
            <w:noWrap/>
            <w:vAlign w:val="center"/>
          </w:tcPr>
          <w:p w14:paraId="2D5DD2D8">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w:t>
            </w:r>
          </w:p>
        </w:tc>
      </w:tr>
      <w:tr w14:paraId="12B6D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F567B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475</w:t>
            </w:r>
          </w:p>
        </w:tc>
        <w:tc>
          <w:tcPr>
            <w:tcW w:w="1558" w:type="dxa"/>
            <w:vMerge w:val="continue"/>
            <w:vAlign w:val="center"/>
          </w:tcPr>
          <w:p w14:paraId="73D51D5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51D3176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2A3595D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前端边界防火墙</w:t>
            </w:r>
          </w:p>
        </w:tc>
        <w:tc>
          <w:tcPr>
            <w:tcW w:w="708" w:type="dxa"/>
            <w:shd w:val="clear" w:color="auto" w:fill="auto"/>
            <w:vAlign w:val="center"/>
          </w:tcPr>
          <w:p w14:paraId="64C362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vAlign w:val="center"/>
          </w:tcPr>
          <w:p w14:paraId="36A5D3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57CE4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BD46F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476</w:t>
            </w:r>
          </w:p>
        </w:tc>
        <w:tc>
          <w:tcPr>
            <w:tcW w:w="1558" w:type="dxa"/>
            <w:vMerge w:val="continue"/>
            <w:vAlign w:val="center"/>
          </w:tcPr>
          <w:p w14:paraId="6FCF5011">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7F3F9508">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454553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边界防火墙</w:t>
            </w:r>
          </w:p>
        </w:tc>
        <w:tc>
          <w:tcPr>
            <w:tcW w:w="708" w:type="dxa"/>
            <w:shd w:val="clear" w:color="auto" w:fill="auto"/>
            <w:vAlign w:val="center"/>
          </w:tcPr>
          <w:p w14:paraId="0FA748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vAlign w:val="center"/>
          </w:tcPr>
          <w:p w14:paraId="1F9CA7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42311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FCC81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477</w:t>
            </w:r>
          </w:p>
        </w:tc>
        <w:tc>
          <w:tcPr>
            <w:tcW w:w="1558" w:type="dxa"/>
            <w:vMerge w:val="continue"/>
            <w:vAlign w:val="center"/>
          </w:tcPr>
          <w:p w14:paraId="0392A8D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C64C0F6">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304B6A5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UPS不间断电源</w:t>
            </w:r>
          </w:p>
        </w:tc>
        <w:tc>
          <w:tcPr>
            <w:tcW w:w="708" w:type="dxa"/>
            <w:shd w:val="clear" w:color="auto" w:fill="auto"/>
            <w:noWrap/>
            <w:vAlign w:val="center"/>
          </w:tcPr>
          <w:p w14:paraId="583A94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930" w:type="dxa"/>
            <w:shd w:val="clear" w:color="auto" w:fill="auto"/>
            <w:noWrap/>
            <w:vAlign w:val="center"/>
          </w:tcPr>
          <w:p w14:paraId="5A5321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EF86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FF640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478</w:t>
            </w:r>
          </w:p>
        </w:tc>
        <w:tc>
          <w:tcPr>
            <w:tcW w:w="1558" w:type="dxa"/>
            <w:vMerge w:val="continue"/>
            <w:vAlign w:val="center"/>
          </w:tcPr>
          <w:p w14:paraId="5515492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2CA4A202">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42E7E0B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蓄电池组</w:t>
            </w:r>
          </w:p>
        </w:tc>
        <w:tc>
          <w:tcPr>
            <w:tcW w:w="708" w:type="dxa"/>
            <w:shd w:val="clear" w:color="auto" w:fill="auto"/>
            <w:vAlign w:val="center"/>
          </w:tcPr>
          <w:p w14:paraId="54A4E34F">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块</w:t>
            </w:r>
          </w:p>
        </w:tc>
        <w:tc>
          <w:tcPr>
            <w:tcW w:w="930" w:type="dxa"/>
            <w:shd w:val="clear" w:color="auto" w:fill="auto"/>
            <w:vAlign w:val="center"/>
          </w:tcPr>
          <w:p w14:paraId="54B14030">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16</w:t>
            </w:r>
          </w:p>
        </w:tc>
      </w:tr>
      <w:tr w14:paraId="6F2E6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099190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479</w:t>
            </w:r>
          </w:p>
        </w:tc>
        <w:tc>
          <w:tcPr>
            <w:tcW w:w="1558" w:type="dxa"/>
            <w:vMerge w:val="continue"/>
            <w:vAlign w:val="center"/>
          </w:tcPr>
          <w:p w14:paraId="3057E402">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6D2E4C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539EE3FB">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电池柜</w:t>
            </w:r>
          </w:p>
        </w:tc>
        <w:tc>
          <w:tcPr>
            <w:tcW w:w="708" w:type="dxa"/>
            <w:shd w:val="clear" w:color="auto" w:fill="auto"/>
            <w:vAlign w:val="center"/>
          </w:tcPr>
          <w:p w14:paraId="119CF78B">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台</w:t>
            </w:r>
          </w:p>
        </w:tc>
        <w:tc>
          <w:tcPr>
            <w:tcW w:w="930" w:type="dxa"/>
            <w:shd w:val="clear" w:color="auto" w:fill="auto"/>
            <w:vAlign w:val="center"/>
          </w:tcPr>
          <w:p w14:paraId="4DD13D6D">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w:t>
            </w:r>
          </w:p>
        </w:tc>
      </w:tr>
      <w:tr w14:paraId="1C44D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62005B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480</w:t>
            </w:r>
          </w:p>
        </w:tc>
        <w:tc>
          <w:tcPr>
            <w:tcW w:w="1558" w:type="dxa"/>
            <w:vMerge w:val="continue"/>
            <w:vAlign w:val="center"/>
          </w:tcPr>
          <w:p w14:paraId="42C1E389">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restart"/>
            <w:shd w:val="clear" w:color="auto" w:fill="auto"/>
            <w:noWrap/>
            <w:vAlign w:val="center"/>
          </w:tcPr>
          <w:p w14:paraId="2342C9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配套硬件设备-配套密码设备</w:t>
            </w:r>
          </w:p>
        </w:tc>
        <w:tc>
          <w:tcPr>
            <w:tcW w:w="2733" w:type="dxa"/>
            <w:shd w:val="clear" w:color="auto" w:fill="auto"/>
            <w:vAlign w:val="center"/>
          </w:tcPr>
          <w:p w14:paraId="543AE4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SSLVPN</w:t>
            </w:r>
          </w:p>
        </w:tc>
        <w:tc>
          <w:tcPr>
            <w:tcW w:w="708" w:type="dxa"/>
            <w:shd w:val="clear" w:color="auto" w:fill="auto"/>
            <w:noWrap/>
            <w:vAlign w:val="center"/>
          </w:tcPr>
          <w:p w14:paraId="7256A7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vAlign w:val="center"/>
          </w:tcPr>
          <w:p w14:paraId="015E5D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26B2D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171165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481</w:t>
            </w:r>
          </w:p>
        </w:tc>
        <w:tc>
          <w:tcPr>
            <w:tcW w:w="1558" w:type="dxa"/>
            <w:vMerge w:val="continue"/>
            <w:vAlign w:val="center"/>
          </w:tcPr>
          <w:p w14:paraId="116085D4">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3EFADD03">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38FD86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国密USBKey</w:t>
            </w:r>
          </w:p>
        </w:tc>
        <w:tc>
          <w:tcPr>
            <w:tcW w:w="708" w:type="dxa"/>
            <w:shd w:val="clear" w:color="auto" w:fill="auto"/>
            <w:noWrap/>
            <w:vAlign w:val="center"/>
          </w:tcPr>
          <w:p w14:paraId="7127875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vAlign w:val="center"/>
          </w:tcPr>
          <w:p w14:paraId="1480A7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w:t>
            </w:r>
          </w:p>
        </w:tc>
      </w:tr>
      <w:tr w14:paraId="34266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36DD23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482</w:t>
            </w:r>
          </w:p>
        </w:tc>
        <w:tc>
          <w:tcPr>
            <w:tcW w:w="1558" w:type="dxa"/>
            <w:vMerge w:val="continue"/>
            <w:vAlign w:val="center"/>
          </w:tcPr>
          <w:p w14:paraId="5CB1735C">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EA37EDE">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0146DA7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服务器密码机</w:t>
            </w:r>
          </w:p>
        </w:tc>
        <w:tc>
          <w:tcPr>
            <w:tcW w:w="708" w:type="dxa"/>
            <w:shd w:val="clear" w:color="auto" w:fill="auto"/>
            <w:noWrap/>
            <w:vAlign w:val="center"/>
          </w:tcPr>
          <w:p w14:paraId="163732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5E95CE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324CE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0CBA4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483</w:t>
            </w:r>
          </w:p>
        </w:tc>
        <w:tc>
          <w:tcPr>
            <w:tcW w:w="1558" w:type="dxa"/>
            <w:vMerge w:val="continue"/>
            <w:vAlign w:val="center"/>
          </w:tcPr>
          <w:p w14:paraId="5F6F518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4C9835EF">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vAlign w:val="center"/>
          </w:tcPr>
          <w:p w14:paraId="0659F6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签名验签服务器</w:t>
            </w:r>
          </w:p>
        </w:tc>
        <w:tc>
          <w:tcPr>
            <w:tcW w:w="708" w:type="dxa"/>
            <w:shd w:val="clear" w:color="auto" w:fill="auto"/>
            <w:noWrap/>
            <w:vAlign w:val="center"/>
          </w:tcPr>
          <w:p w14:paraId="443F58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930" w:type="dxa"/>
            <w:shd w:val="clear" w:color="auto" w:fill="auto"/>
            <w:noWrap/>
            <w:vAlign w:val="center"/>
          </w:tcPr>
          <w:p w14:paraId="4D362C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r>
      <w:tr w14:paraId="66D54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4A8333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484</w:t>
            </w:r>
          </w:p>
        </w:tc>
        <w:tc>
          <w:tcPr>
            <w:tcW w:w="1558" w:type="dxa"/>
            <w:vMerge w:val="continue"/>
            <w:vAlign w:val="center"/>
          </w:tcPr>
          <w:p w14:paraId="26580A7A">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Merge w:val="continue"/>
            <w:vAlign w:val="center"/>
          </w:tcPr>
          <w:p w14:paraId="1A96C12A">
            <w:pPr>
              <w:widowControl/>
              <w:spacing w:line="240" w:lineRule="auto"/>
              <w:ind w:firstLine="0" w:firstLineChars="0"/>
              <w:jc w:val="left"/>
              <w:rPr>
                <w:rFonts w:hint="eastAsia" w:ascii="宋体" w:hAnsi="宋体" w:eastAsia="宋体" w:cs="宋体"/>
                <w:color w:val="000000"/>
                <w:kern w:val="0"/>
                <w:sz w:val="20"/>
                <w:szCs w:val="20"/>
              </w:rPr>
            </w:pPr>
          </w:p>
        </w:tc>
        <w:tc>
          <w:tcPr>
            <w:tcW w:w="2733" w:type="dxa"/>
            <w:shd w:val="clear" w:color="auto" w:fill="auto"/>
            <w:noWrap/>
            <w:vAlign w:val="center"/>
          </w:tcPr>
          <w:p w14:paraId="247D2FB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国密门禁</w:t>
            </w:r>
          </w:p>
        </w:tc>
        <w:tc>
          <w:tcPr>
            <w:tcW w:w="708" w:type="dxa"/>
            <w:shd w:val="clear" w:color="auto" w:fill="auto"/>
            <w:noWrap/>
            <w:vAlign w:val="center"/>
          </w:tcPr>
          <w:p w14:paraId="719D4A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930" w:type="dxa"/>
            <w:shd w:val="clear" w:color="auto" w:fill="auto"/>
            <w:noWrap/>
            <w:vAlign w:val="center"/>
          </w:tcPr>
          <w:p w14:paraId="3A3D90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r>
      <w:tr w14:paraId="29921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2" w:type="dxa"/>
            <w:shd w:val="clear" w:color="auto" w:fill="auto"/>
            <w:noWrap/>
            <w:vAlign w:val="center"/>
          </w:tcPr>
          <w:p w14:paraId="5070FF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485</w:t>
            </w:r>
          </w:p>
        </w:tc>
        <w:tc>
          <w:tcPr>
            <w:tcW w:w="1558" w:type="dxa"/>
            <w:vMerge w:val="continue"/>
            <w:vAlign w:val="center"/>
          </w:tcPr>
          <w:p w14:paraId="1A02E2AB">
            <w:pPr>
              <w:widowControl/>
              <w:spacing w:line="240" w:lineRule="auto"/>
              <w:ind w:firstLine="0" w:firstLineChars="0"/>
              <w:jc w:val="left"/>
              <w:rPr>
                <w:rFonts w:hint="eastAsia" w:ascii="宋体" w:hAnsi="宋体" w:eastAsia="宋体" w:cs="宋体"/>
                <w:color w:val="000000"/>
                <w:kern w:val="0"/>
                <w:sz w:val="20"/>
                <w:szCs w:val="20"/>
              </w:rPr>
            </w:pPr>
          </w:p>
        </w:tc>
        <w:tc>
          <w:tcPr>
            <w:tcW w:w="1615" w:type="dxa"/>
            <w:vAlign w:val="center"/>
          </w:tcPr>
          <w:p w14:paraId="7BBE82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链路</w:t>
            </w:r>
          </w:p>
        </w:tc>
        <w:tc>
          <w:tcPr>
            <w:tcW w:w="2733" w:type="dxa"/>
            <w:shd w:val="clear" w:color="auto" w:fill="auto"/>
            <w:noWrap/>
            <w:vAlign w:val="center"/>
          </w:tcPr>
          <w:p w14:paraId="5695D4B0">
            <w:pPr>
              <w:widowControl/>
              <w:spacing w:line="240" w:lineRule="auto"/>
              <w:ind w:firstLine="0" w:firstLineChars="0"/>
              <w:jc w:val="left"/>
              <w:rPr>
                <w:rFonts w:hint="default" w:ascii="宋体" w:hAnsi="宋体" w:eastAsia="宋体" w:cs="宋体"/>
                <w:color w:val="000000"/>
                <w:kern w:val="0"/>
                <w:sz w:val="20"/>
                <w:szCs w:val="20"/>
                <w:lang w:val="en-US" w:eastAsia="zh-CN"/>
              </w:rPr>
            </w:pPr>
            <w:r>
              <w:rPr>
                <w:rFonts w:hint="eastAsia" w:ascii="宋体" w:hAnsi="宋体" w:eastAsia="宋体" w:cs="宋体"/>
                <w:color w:val="000000"/>
                <w:kern w:val="0"/>
                <w:sz w:val="20"/>
                <w:szCs w:val="20"/>
                <w:lang w:val="en-US" w:eastAsia="zh-CN"/>
              </w:rPr>
              <w:t>不低于100M光纤链路</w:t>
            </w:r>
          </w:p>
        </w:tc>
        <w:tc>
          <w:tcPr>
            <w:tcW w:w="708" w:type="dxa"/>
            <w:shd w:val="clear" w:color="auto" w:fill="auto"/>
            <w:noWrap/>
            <w:vAlign w:val="center"/>
          </w:tcPr>
          <w:p w14:paraId="4D0D4F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条</w:t>
            </w:r>
          </w:p>
        </w:tc>
        <w:tc>
          <w:tcPr>
            <w:tcW w:w="930" w:type="dxa"/>
            <w:shd w:val="clear" w:color="auto" w:fill="auto"/>
            <w:noWrap/>
            <w:vAlign w:val="center"/>
          </w:tcPr>
          <w:p w14:paraId="129CEF39">
            <w:pPr>
              <w:widowControl/>
              <w:spacing w:line="240" w:lineRule="auto"/>
              <w:ind w:firstLine="0" w:firstLineChars="0"/>
              <w:jc w:val="center"/>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lang w:val="en-US" w:eastAsia="zh-CN"/>
              </w:rPr>
              <w:t>13</w:t>
            </w:r>
          </w:p>
        </w:tc>
      </w:tr>
    </w:tbl>
    <w:p w14:paraId="18FAA555">
      <w:pPr>
        <w:ind w:firstLine="0" w:firstLineChars="0"/>
      </w:pPr>
    </w:p>
    <w:p w14:paraId="62A5750F">
      <w:pPr>
        <w:pStyle w:val="2"/>
      </w:pPr>
      <w:r>
        <w:rPr>
          <w:rFonts w:hint="eastAsia"/>
        </w:rPr>
        <w:t>系统建设需求</w:t>
      </w:r>
    </w:p>
    <w:p w14:paraId="0088AFB9">
      <w:pPr>
        <w:pStyle w:val="3"/>
      </w:pPr>
      <w:r>
        <w:rPr>
          <w:rFonts w:hint="eastAsia"/>
          <w:lang w:eastAsia="zh-Hans"/>
        </w:rPr>
        <w:t>技术</w:t>
      </w:r>
      <w:r>
        <w:rPr>
          <w:rFonts w:hint="eastAsia"/>
        </w:rPr>
        <w:t>要求</w:t>
      </w:r>
    </w:p>
    <w:p w14:paraId="763F8E84">
      <w:pPr>
        <w:pStyle w:val="4"/>
      </w:pPr>
      <w:r>
        <w:rPr>
          <w:rFonts w:hint="eastAsia"/>
        </w:rPr>
        <w:t>信号控制系统联网</w:t>
      </w:r>
    </w:p>
    <w:p w14:paraId="50E7A72C">
      <w:pPr>
        <w:pStyle w:val="5"/>
        <w:tabs>
          <w:tab w:val="clear" w:pos="425"/>
        </w:tabs>
      </w:pPr>
      <w:r>
        <w:rPr>
          <w:rFonts w:hint="eastAsia"/>
        </w:rPr>
        <w:t>业务逻辑描述</w:t>
      </w:r>
    </w:p>
    <w:p w14:paraId="1994220D">
      <w:pPr>
        <w:pStyle w:val="28"/>
        <w:spacing w:line="360" w:lineRule="auto"/>
        <w:rPr>
          <w:rFonts w:hint="eastAsia" w:ascii="宋体" w:hAnsi="宋体"/>
          <w:lang w:eastAsia="zh-CN"/>
        </w:rPr>
      </w:pPr>
      <w:r>
        <w:rPr>
          <w:rFonts w:hint="eastAsia" w:ascii="宋体" w:hAnsi="宋体"/>
          <w:lang w:eastAsia="zh-CN"/>
        </w:rPr>
        <w:t>随着经济的快速发展，以及城市汽车保有量持续增长，城市道路交通拥堵问题日益严重。道路交通拥堵不但会降低城市运转的执行效率，还会加重城市空气环境的污染，从而削弱城市的竞争活力。城市道路交通是否拥堵受路网中各交叉口的制约，据有关资料统计，车辆在城市中的行程时间约有1/3耗费在交叉口。因此，在有限的空间、经济和环境条件制约下，如何提高交叉口通行效率是解决城市道路交通拥堵的关键。</w:t>
      </w:r>
    </w:p>
    <w:p w14:paraId="6BAE7FE9">
      <w:pPr>
        <w:pStyle w:val="28"/>
        <w:spacing w:line="360" w:lineRule="auto"/>
        <w:rPr>
          <w:rFonts w:ascii="宋体" w:hAnsi="宋体"/>
          <w:lang w:eastAsia="zh-CN"/>
        </w:rPr>
      </w:pPr>
      <w:r>
        <w:rPr>
          <w:rFonts w:hint="eastAsia" w:ascii="宋体" w:hAnsi="宋体"/>
          <w:lang w:eastAsia="zh-CN"/>
        </w:rPr>
        <w:t>交通信号控制系统作为城市智慧交通核心组成部分，其建设具体目标是提高交叉口通行效率、干线协调通行能力和路网交通均衡控制水平，减少交叉口冲突，提高行人过街安全性，提高道路安全性，从而缓解城市交通拥堵、减少交通事故、保证道路安全畅通，同时提高交通管理的科技含量、科学化水平和工作效率。交通信号控制系统应用效果对交叉口的通行效率有较大的影响，也决定着人们对交叉口拥堵的感受，是影响城市交通出行顺畅的重要因素。</w:t>
      </w:r>
    </w:p>
    <w:p w14:paraId="73E54C69">
      <w:pPr>
        <w:pStyle w:val="28"/>
        <w:spacing w:line="360" w:lineRule="auto"/>
        <w:rPr>
          <w:rFonts w:hint="eastAsia" w:ascii="宋体" w:hAnsi="宋体"/>
          <w:lang w:eastAsia="zh-CN"/>
        </w:rPr>
      </w:pPr>
      <w:bookmarkStart w:id="35" w:name="_Hlk187135782"/>
      <w:r>
        <w:rPr>
          <w:rFonts w:hint="eastAsia" w:ascii="宋体" w:hAnsi="宋体"/>
          <w:lang w:eastAsia="zh-CN"/>
        </w:rPr>
        <w:t>本项目所涉及的路口目前其信号灯控制机均不具备联网功能，需进行更换，更换所建信号机应具备基础功能，包括但不限于具备联网、车检数据接入、交通参数采集和统计、校时、升级等功能，以满足常规的信号控制需求。</w:t>
      </w:r>
    </w:p>
    <w:bookmarkEnd w:id="35"/>
    <w:p w14:paraId="6CFB90AD">
      <w:pPr>
        <w:pStyle w:val="5"/>
        <w:tabs>
          <w:tab w:val="clear" w:pos="425"/>
        </w:tabs>
        <w:rPr>
          <w:rFonts w:ascii="Calibri" w:hAnsi="Calibri" w:eastAsia="黑体"/>
        </w:rPr>
      </w:pPr>
      <w:bookmarkStart w:id="36" w:name="_Hlk187139132"/>
      <w:r>
        <w:rPr>
          <w:rFonts w:hint="eastAsia" w:ascii="Calibri" w:hAnsi="Calibri" w:eastAsia="黑体"/>
        </w:rPr>
        <w:t>系统</w:t>
      </w:r>
      <w:r>
        <w:rPr>
          <w:rFonts w:ascii="Calibri" w:hAnsi="Calibri" w:eastAsia="黑体"/>
        </w:rPr>
        <w:t>架构</w:t>
      </w:r>
    </w:p>
    <w:bookmarkEnd w:id="36"/>
    <w:p w14:paraId="09EA200E">
      <w:pPr>
        <w:keepNext/>
        <w:ind w:firstLine="480"/>
        <w:jc w:val="center"/>
      </w:pPr>
      <w:r>
        <w:object>
          <v:shape id="_x0000_i1040" o:spt="75" type="#_x0000_t75" style="height:275.25pt;width:313.5pt;" o:ole="t" filled="f" o:preferrelative="t" stroked="f" coordsize="21600,21600">
            <v:path/>
            <v:fill on="f" focussize="0,0"/>
            <v:stroke on="f" joinstyle="miter"/>
            <v:imagedata r:id="rId44" o:title=""/>
            <o:lock v:ext="edit" aspectratio="t"/>
            <w10:wrap type="none"/>
            <w10:anchorlock/>
          </v:shape>
          <o:OLEObject Type="Embed" ProgID="Visio.Drawing.11" ShapeID="_x0000_i1040" DrawAspect="Content" ObjectID="_1468075740" r:id="rId43">
            <o:LockedField>false</o:LockedField>
          </o:OLEObject>
        </w:object>
      </w:r>
    </w:p>
    <w:p w14:paraId="75DC7F71">
      <w:pPr>
        <w:ind w:firstLine="480"/>
      </w:pPr>
      <w:r>
        <w:rPr>
          <w:rFonts w:hint="eastAsia"/>
        </w:rPr>
        <w:t>交通信号控制系统由前端子系统、网络传输子系统以及后端管理子系统三大部分组成，实现对路口交通信号配时方案的自动控制、优化。</w:t>
      </w:r>
    </w:p>
    <w:p w14:paraId="27120165">
      <w:pPr>
        <w:ind w:firstLine="480"/>
      </w:pPr>
      <w:r>
        <w:rPr>
          <w:rFonts w:hint="eastAsia"/>
        </w:rPr>
        <w:t>1、前端子系统</w:t>
      </w:r>
    </w:p>
    <w:p w14:paraId="78CC5688">
      <w:pPr>
        <w:ind w:firstLine="480"/>
      </w:pPr>
      <w:r>
        <w:rPr>
          <w:rFonts w:hint="eastAsia"/>
        </w:rPr>
        <w:t>以信号机为主体，可根据信号机本身或中心下发的指令改变道路交通信号灯状态，调节配时并控制道路交通信号灯运行。同时通过流量检测摄像机</w:t>
      </w:r>
      <w:r>
        <w:t>采集主干道上</w:t>
      </w:r>
      <w:r>
        <w:rPr>
          <w:rFonts w:hint="eastAsia"/>
        </w:rPr>
        <w:t>车流量、速度、状态、队列、时距、间距、区域停车数、平均延误、空间占有率以及时间占有率等数据，</w:t>
      </w:r>
      <w:r>
        <w:t>为信号机</w:t>
      </w:r>
      <w:r>
        <w:rPr>
          <w:rFonts w:hint="eastAsia"/>
        </w:rPr>
        <w:t>提供感知</w:t>
      </w:r>
      <w:r>
        <w:t>数据，实现路口智能控制。</w:t>
      </w:r>
    </w:p>
    <w:p w14:paraId="52208D40">
      <w:pPr>
        <w:ind w:firstLine="480"/>
      </w:pPr>
      <w:r>
        <w:rPr>
          <w:rFonts w:hint="eastAsia"/>
        </w:rPr>
        <w:t>本项目建设所涉及的路口目前其信号灯控制机基本不具备联网功能，需进行更换，更换所建信号机应具备基础功能，包括但不限于具备联网、车检数据接入、交通参数采集和统计、校时、升级等功能，以满足常规的信号控制需求。</w:t>
      </w:r>
    </w:p>
    <w:p w14:paraId="45D7B52E">
      <w:pPr>
        <w:pStyle w:val="14"/>
      </w:pPr>
    </w:p>
    <w:tbl>
      <w:tblPr>
        <w:tblStyle w:val="23"/>
        <w:tblW w:w="5000" w:type="pct"/>
        <w:jc w:val="center"/>
        <w:tblLayout w:type="autofit"/>
        <w:tblCellMar>
          <w:top w:w="0" w:type="dxa"/>
          <w:left w:w="108" w:type="dxa"/>
          <w:bottom w:w="0" w:type="dxa"/>
          <w:right w:w="108" w:type="dxa"/>
        </w:tblCellMar>
      </w:tblPr>
      <w:tblGrid>
        <w:gridCol w:w="639"/>
        <w:gridCol w:w="3707"/>
        <w:gridCol w:w="1437"/>
        <w:gridCol w:w="1418"/>
        <w:gridCol w:w="1321"/>
      </w:tblGrid>
      <w:tr w14:paraId="039A2573">
        <w:tblPrEx>
          <w:tblCellMar>
            <w:top w:w="0" w:type="dxa"/>
            <w:left w:w="108" w:type="dxa"/>
            <w:bottom w:w="0" w:type="dxa"/>
            <w:right w:w="108" w:type="dxa"/>
          </w:tblCellMar>
        </w:tblPrEx>
        <w:trPr>
          <w:jc w:val="center"/>
        </w:trPr>
        <w:tc>
          <w:tcPr>
            <w:tcW w:w="375" w:type="pct"/>
            <w:tcBorders>
              <w:top w:val="single" w:color="auto" w:sz="4" w:space="0"/>
              <w:left w:val="single" w:color="auto" w:sz="4" w:space="0"/>
              <w:bottom w:val="single" w:color="auto" w:sz="4" w:space="0"/>
              <w:right w:val="single" w:color="auto" w:sz="4" w:space="0"/>
            </w:tcBorders>
            <w:shd w:val="clear" w:color="000000" w:fill="808080"/>
            <w:noWrap/>
            <w:vAlign w:val="center"/>
          </w:tcPr>
          <w:p w14:paraId="7F4E72E2">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序号</w:t>
            </w:r>
          </w:p>
        </w:tc>
        <w:tc>
          <w:tcPr>
            <w:tcW w:w="2175" w:type="pct"/>
            <w:tcBorders>
              <w:top w:val="single" w:color="auto" w:sz="4" w:space="0"/>
              <w:left w:val="nil"/>
              <w:bottom w:val="single" w:color="auto" w:sz="4" w:space="0"/>
              <w:right w:val="single" w:color="auto" w:sz="4" w:space="0"/>
            </w:tcBorders>
            <w:shd w:val="clear" w:color="000000" w:fill="808080"/>
            <w:noWrap/>
            <w:vAlign w:val="center"/>
          </w:tcPr>
          <w:p w14:paraId="7F9A4BBF">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卡口</w:t>
            </w:r>
          </w:p>
        </w:tc>
        <w:tc>
          <w:tcPr>
            <w:tcW w:w="843" w:type="pct"/>
            <w:tcBorders>
              <w:top w:val="single" w:color="auto" w:sz="4" w:space="0"/>
              <w:left w:val="nil"/>
              <w:bottom w:val="single" w:color="auto" w:sz="4" w:space="0"/>
              <w:right w:val="single" w:color="auto" w:sz="4" w:space="0"/>
            </w:tcBorders>
            <w:shd w:val="clear" w:color="000000" w:fill="808080"/>
            <w:noWrap/>
            <w:vAlign w:val="center"/>
          </w:tcPr>
          <w:p w14:paraId="5D58E422">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经度</w:t>
            </w:r>
          </w:p>
        </w:tc>
        <w:tc>
          <w:tcPr>
            <w:tcW w:w="832" w:type="pct"/>
            <w:tcBorders>
              <w:top w:val="single" w:color="auto" w:sz="4" w:space="0"/>
              <w:left w:val="nil"/>
              <w:bottom w:val="single" w:color="auto" w:sz="4" w:space="0"/>
              <w:right w:val="single" w:color="auto" w:sz="4" w:space="0"/>
            </w:tcBorders>
            <w:shd w:val="clear" w:color="000000" w:fill="808080"/>
            <w:noWrap/>
            <w:vAlign w:val="center"/>
          </w:tcPr>
          <w:p w14:paraId="3634CF08">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纬度</w:t>
            </w:r>
          </w:p>
        </w:tc>
        <w:tc>
          <w:tcPr>
            <w:tcW w:w="775" w:type="pct"/>
            <w:tcBorders>
              <w:top w:val="single" w:color="auto" w:sz="4" w:space="0"/>
              <w:left w:val="nil"/>
              <w:bottom w:val="single" w:color="auto" w:sz="4" w:space="0"/>
              <w:right w:val="single" w:color="auto" w:sz="4" w:space="0"/>
            </w:tcBorders>
            <w:shd w:val="clear" w:color="000000" w:fill="808080"/>
            <w:vAlign w:val="center"/>
          </w:tcPr>
          <w:p w14:paraId="22F74837">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备注</w:t>
            </w:r>
          </w:p>
        </w:tc>
      </w:tr>
      <w:tr w14:paraId="14BB72B4">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4B9B5A7C">
            <w:pPr>
              <w:ind w:firstLine="0" w:firstLineChars="0"/>
              <w:jc w:val="center"/>
              <w:rPr>
                <w:rFonts w:ascii="Times New Roman" w:hAnsi="Times New Roman"/>
                <w:color w:val="000000"/>
                <w:sz w:val="21"/>
                <w:szCs w:val="21"/>
              </w:rPr>
            </w:pPr>
            <w:r>
              <w:rPr>
                <w:rFonts w:ascii="Times New Roman" w:hAnsi="Times New Roman"/>
                <w:color w:val="000000"/>
                <w:sz w:val="21"/>
                <w:szCs w:val="21"/>
              </w:rPr>
              <w:t>1</w:t>
            </w:r>
          </w:p>
        </w:tc>
        <w:tc>
          <w:tcPr>
            <w:tcW w:w="2175" w:type="pct"/>
            <w:tcBorders>
              <w:top w:val="nil"/>
              <w:left w:val="nil"/>
              <w:bottom w:val="single" w:color="auto" w:sz="4" w:space="0"/>
              <w:right w:val="single" w:color="auto" w:sz="4" w:space="0"/>
            </w:tcBorders>
            <w:noWrap/>
            <w:vAlign w:val="center"/>
          </w:tcPr>
          <w:p w14:paraId="21EB193F">
            <w:pPr>
              <w:ind w:firstLine="0" w:firstLineChars="0"/>
              <w:jc w:val="center"/>
              <w:rPr>
                <w:rFonts w:ascii="Times New Roman" w:hAnsi="Times New Roman"/>
                <w:color w:val="000000"/>
                <w:sz w:val="21"/>
                <w:szCs w:val="21"/>
              </w:rPr>
            </w:pPr>
            <w:r>
              <w:rPr>
                <w:rFonts w:ascii="Times New Roman" w:hAnsi="Times New Roman"/>
                <w:color w:val="000000"/>
                <w:sz w:val="21"/>
                <w:szCs w:val="21"/>
              </w:rPr>
              <w:t>山兰大厦路口</w:t>
            </w:r>
          </w:p>
          <w:p w14:paraId="53344354">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【国兴大道-营根路】</w:t>
            </w:r>
          </w:p>
        </w:tc>
        <w:tc>
          <w:tcPr>
            <w:tcW w:w="843" w:type="pct"/>
            <w:tcBorders>
              <w:top w:val="nil"/>
              <w:left w:val="nil"/>
              <w:bottom w:val="single" w:color="auto" w:sz="4" w:space="0"/>
              <w:right w:val="single" w:color="auto" w:sz="4" w:space="0"/>
            </w:tcBorders>
            <w:noWrap/>
            <w:vAlign w:val="center"/>
          </w:tcPr>
          <w:p w14:paraId="1707C542">
            <w:pPr>
              <w:ind w:firstLine="0" w:firstLineChars="0"/>
              <w:jc w:val="center"/>
              <w:rPr>
                <w:rFonts w:ascii="Times New Roman" w:hAnsi="Times New Roman"/>
                <w:color w:val="000000"/>
                <w:sz w:val="21"/>
                <w:szCs w:val="21"/>
              </w:rPr>
            </w:pPr>
            <w:r>
              <w:rPr>
                <w:rFonts w:ascii="Times New Roman" w:hAnsi="Times New Roman"/>
                <w:sz w:val="21"/>
                <w:szCs w:val="21"/>
              </w:rPr>
              <w:t>109.838227</w:t>
            </w:r>
          </w:p>
        </w:tc>
        <w:tc>
          <w:tcPr>
            <w:tcW w:w="832" w:type="pct"/>
            <w:tcBorders>
              <w:top w:val="nil"/>
              <w:left w:val="nil"/>
              <w:bottom w:val="single" w:color="auto" w:sz="4" w:space="0"/>
              <w:right w:val="single" w:color="auto" w:sz="4" w:space="0"/>
            </w:tcBorders>
            <w:noWrap/>
            <w:vAlign w:val="center"/>
          </w:tcPr>
          <w:p w14:paraId="2027435B">
            <w:pPr>
              <w:ind w:firstLine="0" w:firstLineChars="0"/>
              <w:jc w:val="center"/>
              <w:rPr>
                <w:rFonts w:ascii="Times New Roman" w:hAnsi="Times New Roman"/>
                <w:color w:val="000000"/>
                <w:sz w:val="21"/>
                <w:szCs w:val="21"/>
              </w:rPr>
            </w:pPr>
            <w:r>
              <w:rPr>
                <w:rFonts w:ascii="Times New Roman" w:hAnsi="Times New Roman"/>
                <w:sz w:val="21"/>
                <w:szCs w:val="21"/>
              </w:rPr>
              <w:t>19.03656248</w:t>
            </w:r>
          </w:p>
        </w:tc>
        <w:tc>
          <w:tcPr>
            <w:tcW w:w="775" w:type="pct"/>
            <w:vMerge w:val="restart"/>
            <w:tcBorders>
              <w:top w:val="nil"/>
              <w:left w:val="nil"/>
              <w:right w:val="single" w:color="auto" w:sz="4" w:space="0"/>
            </w:tcBorders>
            <w:vAlign w:val="center"/>
          </w:tcPr>
          <w:p w14:paraId="1D4FAD63">
            <w:pPr>
              <w:ind w:firstLine="0" w:firstLineChars="0"/>
              <w:jc w:val="center"/>
              <w:rPr>
                <w:rFonts w:ascii="Times New Roman" w:hAnsi="Times New Roman"/>
                <w:sz w:val="21"/>
                <w:szCs w:val="21"/>
              </w:rPr>
            </w:pPr>
            <w:r>
              <w:rPr>
                <w:rFonts w:hint="eastAsia" w:ascii="Times New Roman" w:hAnsi="Times New Roman"/>
                <w:sz w:val="21"/>
                <w:szCs w:val="21"/>
              </w:rPr>
              <w:t>现有信号机不具备联网功能，而且信号机使用年限较久，本项目更换至具有联网的信号控制机</w:t>
            </w:r>
          </w:p>
        </w:tc>
      </w:tr>
      <w:tr w14:paraId="5FBB62BA">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762C1EA8">
            <w:pPr>
              <w:ind w:firstLine="0" w:firstLineChars="0"/>
              <w:jc w:val="center"/>
              <w:rPr>
                <w:rFonts w:ascii="Times New Roman" w:hAnsi="Times New Roman"/>
                <w:color w:val="000000"/>
                <w:sz w:val="21"/>
                <w:szCs w:val="21"/>
              </w:rPr>
            </w:pPr>
            <w:r>
              <w:rPr>
                <w:rFonts w:ascii="Times New Roman" w:hAnsi="Times New Roman"/>
                <w:color w:val="000000"/>
                <w:sz w:val="21"/>
                <w:szCs w:val="21"/>
              </w:rPr>
              <w:t>2</w:t>
            </w:r>
          </w:p>
        </w:tc>
        <w:tc>
          <w:tcPr>
            <w:tcW w:w="2175" w:type="pct"/>
            <w:tcBorders>
              <w:top w:val="nil"/>
              <w:left w:val="nil"/>
              <w:bottom w:val="single" w:color="auto" w:sz="4" w:space="0"/>
              <w:right w:val="single" w:color="auto" w:sz="4" w:space="0"/>
            </w:tcBorders>
            <w:noWrap/>
            <w:vAlign w:val="center"/>
          </w:tcPr>
          <w:p w14:paraId="15A106E0">
            <w:pPr>
              <w:ind w:firstLine="0" w:firstLineChars="0"/>
              <w:jc w:val="center"/>
              <w:rPr>
                <w:rFonts w:ascii="Times New Roman" w:hAnsi="Times New Roman"/>
                <w:color w:val="000000"/>
                <w:sz w:val="21"/>
                <w:szCs w:val="21"/>
              </w:rPr>
            </w:pPr>
            <w:r>
              <w:rPr>
                <w:rFonts w:ascii="Times New Roman" w:hAnsi="Times New Roman"/>
                <w:color w:val="000000"/>
                <w:sz w:val="21"/>
                <w:szCs w:val="21"/>
              </w:rPr>
              <w:t>零公里路口</w:t>
            </w:r>
          </w:p>
          <w:p w14:paraId="5D916BF5">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【国兴大道-营乘路】</w:t>
            </w:r>
          </w:p>
        </w:tc>
        <w:tc>
          <w:tcPr>
            <w:tcW w:w="843" w:type="pct"/>
            <w:tcBorders>
              <w:top w:val="nil"/>
              <w:left w:val="nil"/>
              <w:bottom w:val="single" w:color="auto" w:sz="4" w:space="0"/>
              <w:right w:val="single" w:color="auto" w:sz="4" w:space="0"/>
            </w:tcBorders>
            <w:noWrap/>
            <w:vAlign w:val="center"/>
          </w:tcPr>
          <w:p w14:paraId="2EE772C4">
            <w:pPr>
              <w:ind w:firstLine="0" w:firstLineChars="0"/>
              <w:jc w:val="center"/>
              <w:rPr>
                <w:rFonts w:ascii="Times New Roman" w:hAnsi="Times New Roman"/>
                <w:color w:val="000000"/>
                <w:sz w:val="21"/>
                <w:szCs w:val="21"/>
              </w:rPr>
            </w:pPr>
            <w:r>
              <w:rPr>
                <w:rFonts w:ascii="Times New Roman" w:hAnsi="Times New Roman"/>
                <w:sz w:val="21"/>
                <w:szCs w:val="21"/>
              </w:rPr>
              <w:t>109.8435905</w:t>
            </w:r>
          </w:p>
        </w:tc>
        <w:tc>
          <w:tcPr>
            <w:tcW w:w="832" w:type="pct"/>
            <w:tcBorders>
              <w:top w:val="nil"/>
              <w:left w:val="nil"/>
              <w:bottom w:val="single" w:color="auto" w:sz="4" w:space="0"/>
              <w:right w:val="single" w:color="auto" w:sz="4" w:space="0"/>
            </w:tcBorders>
            <w:noWrap/>
            <w:vAlign w:val="center"/>
          </w:tcPr>
          <w:p w14:paraId="002A9E1A">
            <w:pPr>
              <w:ind w:firstLine="0" w:firstLineChars="0"/>
              <w:jc w:val="center"/>
              <w:rPr>
                <w:rFonts w:ascii="Times New Roman" w:hAnsi="Times New Roman"/>
                <w:color w:val="000000"/>
                <w:sz w:val="21"/>
                <w:szCs w:val="21"/>
              </w:rPr>
            </w:pPr>
            <w:r>
              <w:rPr>
                <w:rFonts w:ascii="Times New Roman" w:hAnsi="Times New Roman"/>
                <w:sz w:val="21"/>
                <w:szCs w:val="21"/>
              </w:rPr>
              <w:t>19.03754058</w:t>
            </w:r>
          </w:p>
        </w:tc>
        <w:tc>
          <w:tcPr>
            <w:tcW w:w="775" w:type="pct"/>
            <w:vMerge w:val="continue"/>
            <w:tcBorders>
              <w:left w:val="nil"/>
              <w:right w:val="single" w:color="auto" w:sz="4" w:space="0"/>
            </w:tcBorders>
            <w:vAlign w:val="center"/>
          </w:tcPr>
          <w:p w14:paraId="7DFFF733">
            <w:pPr>
              <w:ind w:firstLine="0" w:firstLineChars="0"/>
              <w:jc w:val="center"/>
              <w:rPr>
                <w:rFonts w:ascii="Times New Roman" w:hAnsi="Times New Roman"/>
                <w:sz w:val="21"/>
                <w:szCs w:val="21"/>
              </w:rPr>
            </w:pPr>
          </w:p>
        </w:tc>
      </w:tr>
      <w:tr w14:paraId="5364C8A1">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32C763E5">
            <w:pPr>
              <w:ind w:firstLine="0" w:firstLineChars="0"/>
              <w:jc w:val="center"/>
              <w:rPr>
                <w:rFonts w:ascii="Times New Roman" w:hAnsi="Times New Roman"/>
                <w:color w:val="000000"/>
                <w:sz w:val="21"/>
                <w:szCs w:val="21"/>
              </w:rPr>
            </w:pPr>
            <w:r>
              <w:rPr>
                <w:rFonts w:ascii="Times New Roman" w:hAnsi="Times New Roman"/>
                <w:color w:val="000000"/>
                <w:sz w:val="21"/>
                <w:szCs w:val="21"/>
              </w:rPr>
              <w:t>3</w:t>
            </w:r>
          </w:p>
        </w:tc>
        <w:tc>
          <w:tcPr>
            <w:tcW w:w="2175" w:type="pct"/>
            <w:tcBorders>
              <w:top w:val="nil"/>
              <w:left w:val="nil"/>
              <w:bottom w:val="single" w:color="auto" w:sz="4" w:space="0"/>
              <w:right w:val="single" w:color="auto" w:sz="4" w:space="0"/>
            </w:tcBorders>
            <w:noWrap/>
            <w:vAlign w:val="center"/>
          </w:tcPr>
          <w:p w14:paraId="2650185E">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国兴大道-</w:t>
            </w:r>
            <w:r>
              <w:rPr>
                <w:rFonts w:ascii="Times New Roman" w:hAnsi="Times New Roman"/>
                <w:color w:val="000000"/>
                <w:sz w:val="21"/>
                <w:szCs w:val="21"/>
              </w:rPr>
              <w:t>兴教路</w:t>
            </w:r>
          </w:p>
        </w:tc>
        <w:tc>
          <w:tcPr>
            <w:tcW w:w="843" w:type="pct"/>
            <w:tcBorders>
              <w:top w:val="nil"/>
              <w:left w:val="nil"/>
              <w:bottom w:val="single" w:color="auto" w:sz="4" w:space="0"/>
              <w:right w:val="single" w:color="auto" w:sz="4" w:space="0"/>
            </w:tcBorders>
            <w:noWrap/>
            <w:vAlign w:val="center"/>
          </w:tcPr>
          <w:p w14:paraId="69C38F42">
            <w:pPr>
              <w:ind w:firstLine="0" w:firstLineChars="0"/>
              <w:jc w:val="center"/>
              <w:rPr>
                <w:rFonts w:ascii="Times New Roman" w:hAnsi="Times New Roman"/>
                <w:color w:val="000000"/>
                <w:sz w:val="21"/>
                <w:szCs w:val="21"/>
              </w:rPr>
            </w:pPr>
            <w:r>
              <w:rPr>
                <w:rFonts w:ascii="Times New Roman" w:hAnsi="Times New Roman"/>
                <w:sz w:val="21"/>
                <w:szCs w:val="21"/>
              </w:rPr>
              <w:t>109.8469597</w:t>
            </w:r>
          </w:p>
        </w:tc>
        <w:tc>
          <w:tcPr>
            <w:tcW w:w="832" w:type="pct"/>
            <w:tcBorders>
              <w:top w:val="nil"/>
              <w:left w:val="nil"/>
              <w:bottom w:val="single" w:color="auto" w:sz="4" w:space="0"/>
              <w:right w:val="single" w:color="auto" w:sz="4" w:space="0"/>
            </w:tcBorders>
            <w:noWrap/>
            <w:vAlign w:val="center"/>
          </w:tcPr>
          <w:p w14:paraId="0E5BD143">
            <w:pPr>
              <w:ind w:firstLine="0" w:firstLineChars="0"/>
              <w:jc w:val="center"/>
              <w:rPr>
                <w:rFonts w:ascii="Times New Roman" w:hAnsi="Times New Roman"/>
                <w:color w:val="000000"/>
                <w:sz w:val="21"/>
                <w:szCs w:val="21"/>
              </w:rPr>
            </w:pPr>
            <w:r>
              <w:rPr>
                <w:rFonts w:ascii="Times New Roman" w:hAnsi="Times New Roman"/>
                <w:sz w:val="21"/>
                <w:szCs w:val="21"/>
              </w:rPr>
              <w:t>19.04126798</w:t>
            </w:r>
          </w:p>
        </w:tc>
        <w:tc>
          <w:tcPr>
            <w:tcW w:w="775" w:type="pct"/>
            <w:vMerge w:val="continue"/>
            <w:tcBorders>
              <w:left w:val="nil"/>
              <w:right w:val="single" w:color="auto" w:sz="4" w:space="0"/>
            </w:tcBorders>
            <w:vAlign w:val="center"/>
          </w:tcPr>
          <w:p w14:paraId="7377BB99">
            <w:pPr>
              <w:ind w:firstLine="0" w:firstLineChars="0"/>
              <w:jc w:val="center"/>
              <w:rPr>
                <w:rFonts w:ascii="Times New Roman" w:hAnsi="Times New Roman"/>
                <w:sz w:val="21"/>
                <w:szCs w:val="21"/>
              </w:rPr>
            </w:pPr>
          </w:p>
        </w:tc>
      </w:tr>
      <w:tr w14:paraId="607B8423">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5C719FA1">
            <w:pPr>
              <w:ind w:firstLine="0" w:firstLineChars="0"/>
              <w:jc w:val="center"/>
              <w:rPr>
                <w:rFonts w:ascii="Times New Roman" w:hAnsi="Times New Roman"/>
                <w:color w:val="000000"/>
                <w:sz w:val="21"/>
                <w:szCs w:val="21"/>
              </w:rPr>
            </w:pPr>
            <w:r>
              <w:rPr>
                <w:rFonts w:ascii="Times New Roman" w:hAnsi="Times New Roman"/>
                <w:color w:val="000000"/>
                <w:sz w:val="21"/>
                <w:szCs w:val="21"/>
              </w:rPr>
              <w:t>4</w:t>
            </w:r>
          </w:p>
        </w:tc>
        <w:tc>
          <w:tcPr>
            <w:tcW w:w="2175" w:type="pct"/>
            <w:tcBorders>
              <w:top w:val="nil"/>
              <w:left w:val="nil"/>
              <w:bottom w:val="single" w:color="auto" w:sz="4" w:space="0"/>
              <w:right w:val="single" w:color="auto" w:sz="4" w:space="0"/>
            </w:tcBorders>
            <w:noWrap/>
            <w:vAlign w:val="center"/>
          </w:tcPr>
          <w:p w14:paraId="0E05C6D9">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国兴大道-龙溪路</w:t>
            </w:r>
          </w:p>
        </w:tc>
        <w:tc>
          <w:tcPr>
            <w:tcW w:w="843" w:type="pct"/>
            <w:tcBorders>
              <w:top w:val="nil"/>
              <w:left w:val="nil"/>
              <w:bottom w:val="single" w:color="auto" w:sz="4" w:space="0"/>
              <w:right w:val="single" w:color="auto" w:sz="4" w:space="0"/>
            </w:tcBorders>
            <w:noWrap/>
            <w:vAlign w:val="center"/>
          </w:tcPr>
          <w:p w14:paraId="0EAA20C4">
            <w:pPr>
              <w:ind w:firstLine="0" w:firstLineChars="0"/>
              <w:jc w:val="center"/>
              <w:rPr>
                <w:rFonts w:ascii="Times New Roman" w:hAnsi="Times New Roman"/>
                <w:color w:val="000000"/>
                <w:sz w:val="21"/>
                <w:szCs w:val="21"/>
              </w:rPr>
            </w:pPr>
            <w:r>
              <w:rPr>
                <w:rFonts w:ascii="Times New Roman" w:hAnsi="Times New Roman"/>
                <w:sz w:val="21"/>
                <w:szCs w:val="21"/>
              </w:rPr>
              <w:t>109.8474483</w:t>
            </w:r>
          </w:p>
        </w:tc>
        <w:tc>
          <w:tcPr>
            <w:tcW w:w="832" w:type="pct"/>
            <w:tcBorders>
              <w:top w:val="nil"/>
              <w:left w:val="nil"/>
              <w:bottom w:val="single" w:color="auto" w:sz="4" w:space="0"/>
              <w:right w:val="single" w:color="auto" w:sz="4" w:space="0"/>
            </w:tcBorders>
            <w:noWrap/>
            <w:vAlign w:val="center"/>
          </w:tcPr>
          <w:p w14:paraId="2FB7BFF1">
            <w:pPr>
              <w:ind w:firstLine="0" w:firstLineChars="0"/>
              <w:jc w:val="center"/>
              <w:rPr>
                <w:rFonts w:ascii="Times New Roman" w:hAnsi="Times New Roman"/>
                <w:color w:val="000000"/>
                <w:sz w:val="21"/>
                <w:szCs w:val="21"/>
              </w:rPr>
            </w:pPr>
            <w:r>
              <w:rPr>
                <w:rFonts w:ascii="Times New Roman" w:hAnsi="Times New Roman"/>
                <w:sz w:val="21"/>
                <w:szCs w:val="21"/>
              </w:rPr>
              <w:t>19.04546653</w:t>
            </w:r>
          </w:p>
        </w:tc>
        <w:tc>
          <w:tcPr>
            <w:tcW w:w="775" w:type="pct"/>
            <w:vMerge w:val="continue"/>
            <w:tcBorders>
              <w:left w:val="nil"/>
              <w:right w:val="single" w:color="auto" w:sz="4" w:space="0"/>
            </w:tcBorders>
            <w:vAlign w:val="center"/>
          </w:tcPr>
          <w:p w14:paraId="374B57FE">
            <w:pPr>
              <w:ind w:firstLine="0" w:firstLineChars="0"/>
              <w:jc w:val="center"/>
              <w:rPr>
                <w:rFonts w:ascii="Times New Roman" w:hAnsi="Times New Roman"/>
                <w:sz w:val="21"/>
                <w:szCs w:val="21"/>
              </w:rPr>
            </w:pPr>
          </w:p>
        </w:tc>
      </w:tr>
      <w:tr w14:paraId="780DD611">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7D891CE3">
            <w:pPr>
              <w:ind w:firstLine="0" w:firstLineChars="0"/>
              <w:jc w:val="center"/>
              <w:rPr>
                <w:rFonts w:ascii="Times New Roman" w:hAnsi="Times New Roman"/>
                <w:color w:val="000000"/>
                <w:sz w:val="21"/>
                <w:szCs w:val="21"/>
              </w:rPr>
            </w:pPr>
            <w:r>
              <w:rPr>
                <w:rFonts w:ascii="Times New Roman" w:hAnsi="Times New Roman"/>
                <w:color w:val="000000"/>
                <w:sz w:val="21"/>
                <w:szCs w:val="21"/>
              </w:rPr>
              <w:t>5</w:t>
            </w:r>
          </w:p>
        </w:tc>
        <w:tc>
          <w:tcPr>
            <w:tcW w:w="2175" w:type="pct"/>
            <w:tcBorders>
              <w:top w:val="nil"/>
              <w:left w:val="nil"/>
              <w:bottom w:val="single" w:color="auto" w:sz="4" w:space="0"/>
              <w:right w:val="single" w:color="auto" w:sz="4" w:space="0"/>
            </w:tcBorders>
            <w:noWrap/>
            <w:vAlign w:val="center"/>
          </w:tcPr>
          <w:p w14:paraId="10261911">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国兴大道-三月三大道</w:t>
            </w:r>
          </w:p>
        </w:tc>
        <w:tc>
          <w:tcPr>
            <w:tcW w:w="843" w:type="pct"/>
            <w:tcBorders>
              <w:top w:val="nil"/>
              <w:left w:val="nil"/>
              <w:bottom w:val="single" w:color="auto" w:sz="4" w:space="0"/>
              <w:right w:val="single" w:color="auto" w:sz="4" w:space="0"/>
            </w:tcBorders>
            <w:noWrap/>
            <w:vAlign w:val="center"/>
          </w:tcPr>
          <w:p w14:paraId="209C6A88">
            <w:pPr>
              <w:ind w:firstLine="0" w:firstLineChars="0"/>
              <w:jc w:val="center"/>
              <w:rPr>
                <w:rFonts w:ascii="Times New Roman" w:hAnsi="Times New Roman"/>
                <w:color w:val="000000"/>
                <w:sz w:val="21"/>
                <w:szCs w:val="21"/>
              </w:rPr>
            </w:pPr>
            <w:r>
              <w:rPr>
                <w:rFonts w:ascii="Times New Roman" w:hAnsi="Times New Roman"/>
                <w:sz w:val="21"/>
                <w:szCs w:val="21"/>
              </w:rPr>
              <w:t>109.849728</w:t>
            </w:r>
          </w:p>
        </w:tc>
        <w:tc>
          <w:tcPr>
            <w:tcW w:w="832" w:type="pct"/>
            <w:tcBorders>
              <w:top w:val="nil"/>
              <w:left w:val="nil"/>
              <w:bottom w:val="single" w:color="auto" w:sz="4" w:space="0"/>
              <w:right w:val="single" w:color="auto" w:sz="4" w:space="0"/>
            </w:tcBorders>
            <w:noWrap/>
            <w:vAlign w:val="center"/>
          </w:tcPr>
          <w:p w14:paraId="2BAFB694">
            <w:pPr>
              <w:ind w:firstLine="0" w:firstLineChars="0"/>
              <w:jc w:val="center"/>
              <w:rPr>
                <w:rFonts w:ascii="Times New Roman" w:hAnsi="Times New Roman"/>
                <w:color w:val="000000"/>
                <w:sz w:val="21"/>
                <w:szCs w:val="21"/>
              </w:rPr>
            </w:pPr>
            <w:r>
              <w:rPr>
                <w:rFonts w:ascii="Times New Roman" w:hAnsi="Times New Roman"/>
                <w:sz w:val="21"/>
                <w:szCs w:val="21"/>
              </w:rPr>
              <w:t>19.0525883</w:t>
            </w:r>
          </w:p>
        </w:tc>
        <w:tc>
          <w:tcPr>
            <w:tcW w:w="775" w:type="pct"/>
            <w:vMerge w:val="continue"/>
            <w:tcBorders>
              <w:left w:val="nil"/>
              <w:right w:val="single" w:color="auto" w:sz="4" w:space="0"/>
            </w:tcBorders>
            <w:vAlign w:val="center"/>
          </w:tcPr>
          <w:p w14:paraId="0EFC1712">
            <w:pPr>
              <w:ind w:firstLine="0" w:firstLineChars="0"/>
              <w:jc w:val="center"/>
              <w:rPr>
                <w:rFonts w:ascii="Times New Roman" w:hAnsi="Times New Roman"/>
                <w:sz w:val="21"/>
                <w:szCs w:val="21"/>
              </w:rPr>
            </w:pPr>
          </w:p>
        </w:tc>
      </w:tr>
      <w:tr w14:paraId="2979E469">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45DA43C9">
            <w:pPr>
              <w:ind w:firstLine="0" w:firstLineChars="0"/>
              <w:jc w:val="center"/>
              <w:rPr>
                <w:rFonts w:ascii="Times New Roman" w:hAnsi="Times New Roman"/>
                <w:color w:val="000000"/>
                <w:sz w:val="21"/>
                <w:szCs w:val="21"/>
              </w:rPr>
            </w:pPr>
            <w:r>
              <w:rPr>
                <w:rFonts w:ascii="Times New Roman" w:hAnsi="Times New Roman"/>
                <w:color w:val="000000"/>
                <w:sz w:val="21"/>
                <w:szCs w:val="21"/>
              </w:rPr>
              <w:t>6</w:t>
            </w:r>
          </w:p>
        </w:tc>
        <w:tc>
          <w:tcPr>
            <w:tcW w:w="2175" w:type="pct"/>
            <w:tcBorders>
              <w:top w:val="nil"/>
              <w:left w:val="nil"/>
              <w:bottom w:val="single" w:color="auto" w:sz="4" w:space="0"/>
              <w:right w:val="single" w:color="auto" w:sz="4" w:space="0"/>
            </w:tcBorders>
            <w:noWrap/>
            <w:vAlign w:val="center"/>
          </w:tcPr>
          <w:p w14:paraId="6167485D">
            <w:pPr>
              <w:ind w:firstLine="0" w:firstLineChars="0"/>
              <w:jc w:val="center"/>
              <w:rPr>
                <w:rFonts w:ascii="Times New Roman" w:hAnsi="Times New Roman"/>
                <w:color w:val="000000"/>
                <w:sz w:val="21"/>
                <w:szCs w:val="21"/>
              </w:rPr>
            </w:pPr>
            <w:r>
              <w:rPr>
                <w:rFonts w:ascii="Times New Roman" w:hAnsi="Times New Roman"/>
                <w:color w:val="000000"/>
                <w:sz w:val="21"/>
                <w:szCs w:val="21"/>
              </w:rPr>
              <w:t>三月三大道-玉锦大道</w:t>
            </w:r>
          </w:p>
        </w:tc>
        <w:tc>
          <w:tcPr>
            <w:tcW w:w="843" w:type="pct"/>
            <w:tcBorders>
              <w:top w:val="nil"/>
              <w:left w:val="nil"/>
              <w:bottom w:val="single" w:color="auto" w:sz="4" w:space="0"/>
              <w:right w:val="single" w:color="auto" w:sz="4" w:space="0"/>
            </w:tcBorders>
            <w:noWrap/>
            <w:vAlign w:val="center"/>
          </w:tcPr>
          <w:p w14:paraId="52500987">
            <w:pPr>
              <w:ind w:firstLine="0" w:firstLineChars="0"/>
              <w:jc w:val="center"/>
              <w:rPr>
                <w:rFonts w:ascii="Times New Roman" w:hAnsi="Times New Roman"/>
                <w:color w:val="000000"/>
                <w:sz w:val="21"/>
                <w:szCs w:val="21"/>
              </w:rPr>
            </w:pPr>
            <w:r>
              <w:rPr>
                <w:rFonts w:ascii="Times New Roman" w:hAnsi="Times New Roman"/>
                <w:sz w:val="21"/>
                <w:szCs w:val="21"/>
              </w:rPr>
              <w:t>109.8534134</w:t>
            </w:r>
          </w:p>
        </w:tc>
        <w:tc>
          <w:tcPr>
            <w:tcW w:w="832" w:type="pct"/>
            <w:tcBorders>
              <w:top w:val="nil"/>
              <w:left w:val="nil"/>
              <w:bottom w:val="single" w:color="auto" w:sz="4" w:space="0"/>
              <w:right w:val="single" w:color="auto" w:sz="4" w:space="0"/>
            </w:tcBorders>
            <w:noWrap/>
            <w:vAlign w:val="center"/>
          </w:tcPr>
          <w:p w14:paraId="638A4F8A">
            <w:pPr>
              <w:ind w:firstLine="0" w:firstLineChars="0"/>
              <w:jc w:val="center"/>
              <w:rPr>
                <w:rFonts w:ascii="Times New Roman" w:hAnsi="Times New Roman"/>
                <w:color w:val="000000"/>
                <w:sz w:val="21"/>
                <w:szCs w:val="21"/>
              </w:rPr>
            </w:pPr>
            <w:r>
              <w:rPr>
                <w:rFonts w:ascii="Times New Roman" w:hAnsi="Times New Roman"/>
                <w:sz w:val="21"/>
                <w:szCs w:val="21"/>
              </w:rPr>
              <w:t>19.0518024</w:t>
            </w:r>
          </w:p>
        </w:tc>
        <w:tc>
          <w:tcPr>
            <w:tcW w:w="775" w:type="pct"/>
            <w:vMerge w:val="continue"/>
            <w:tcBorders>
              <w:left w:val="nil"/>
              <w:right w:val="single" w:color="auto" w:sz="4" w:space="0"/>
            </w:tcBorders>
            <w:vAlign w:val="center"/>
          </w:tcPr>
          <w:p w14:paraId="4C1A569F">
            <w:pPr>
              <w:ind w:firstLine="0" w:firstLineChars="0"/>
              <w:jc w:val="center"/>
              <w:rPr>
                <w:rFonts w:ascii="Times New Roman" w:hAnsi="Times New Roman"/>
                <w:sz w:val="21"/>
                <w:szCs w:val="21"/>
              </w:rPr>
            </w:pPr>
          </w:p>
        </w:tc>
      </w:tr>
      <w:tr w14:paraId="3F621B75">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443C5108">
            <w:pPr>
              <w:ind w:firstLine="0" w:firstLineChars="0"/>
              <w:jc w:val="center"/>
              <w:rPr>
                <w:rFonts w:ascii="Times New Roman" w:hAnsi="Times New Roman"/>
                <w:color w:val="000000"/>
                <w:sz w:val="21"/>
                <w:szCs w:val="21"/>
              </w:rPr>
            </w:pPr>
            <w:r>
              <w:rPr>
                <w:rFonts w:ascii="Times New Roman" w:hAnsi="Times New Roman"/>
                <w:color w:val="000000"/>
                <w:sz w:val="21"/>
                <w:szCs w:val="21"/>
              </w:rPr>
              <w:t>7</w:t>
            </w:r>
          </w:p>
        </w:tc>
        <w:tc>
          <w:tcPr>
            <w:tcW w:w="2175" w:type="pct"/>
            <w:tcBorders>
              <w:top w:val="nil"/>
              <w:left w:val="nil"/>
              <w:bottom w:val="single" w:color="auto" w:sz="4" w:space="0"/>
              <w:right w:val="single" w:color="auto" w:sz="4" w:space="0"/>
            </w:tcBorders>
            <w:noWrap/>
            <w:vAlign w:val="center"/>
          </w:tcPr>
          <w:p w14:paraId="58FD8548">
            <w:pPr>
              <w:ind w:firstLine="0" w:firstLineChars="0"/>
              <w:jc w:val="center"/>
              <w:rPr>
                <w:rFonts w:ascii="Times New Roman" w:hAnsi="Times New Roman"/>
                <w:color w:val="000000"/>
                <w:sz w:val="21"/>
                <w:szCs w:val="21"/>
              </w:rPr>
            </w:pPr>
            <w:r>
              <w:rPr>
                <w:rFonts w:ascii="Times New Roman" w:hAnsi="Times New Roman"/>
                <w:color w:val="000000"/>
                <w:sz w:val="21"/>
                <w:szCs w:val="21"/>
              </w:rPr>
              <w:t>龙溪路-玉锦大道</w:t>
            </w:r>
          </w:p>
        </w:tc>
        <w:tc>
          <w:tcPr>
            <w:tcW w:w="843" w:type="pct"/>
            <w:tcBorders>
              <w:top w:val="nil"/>
              <w:left w:val="nil"/>
              <w:bottom w:val="single" w:color="auto" w:sz="4" w:space="0"/>
              <w:right w:val="single" w:color="auto" w:sz="4" w:space="0"/>
            </w:tcBorders>
            <w:noWrap/>
            <w:vAlign w:val="center"/>
          </w:tcPr>
          <w:p w14:paraId="10EF1225">
            <w:pPr>
              <w:ind w:firstLine="0" w:firstLineChars="0"/>
              <w:jc w:val="center"/>
              <w:rPr>
                <w:rFonts w:ascii="Times New Roman" w:hAnsi="Times New Roman"/>
                <w:color w:val="000000"/>
                <w:sz w:val="21"/>
                <w:szCs w:val="21"/>
              </w:rPr>
            </w:pPr>
            <w:r>
              <w:rPr>
                <w:rFonts w:ascii="Times New Roman" w:hAnsi="Times New Roman"/>
                <w:sz w:val="21"/>
                <w:szCs w:val="21"/>
              </w:rPr>
              <w:t>109.8535685</w:t>
            </w:r>
          </w:p>
        </w:tc>
        <w:tc>
          <w:tcPr>
            <w:tcW w:w="832" w:type="pct"/>
            <w:tcBorders>
              <w:top w:val="nil"/>
              <w:left w:val="nil"/>
              <w:bottom w:val="single" w:color="auto" w:sz="4" w:space="0"/>
              <w:right w:val="single" w:color="auto" w:sz="4" w:space="0"/>
            </w:tcBorders>
            <w:noWrap/>
            <w:vAlign w:val="center"/>
          </w:tcPr>
          <w:p w14:paraId="3E97DA00">
            <w:pPr>
              <w:ind w:firstLine="0" w:firstLineChars="0"/>
              <w:jc w:val="center"/>
              <w:rPr>
                <w:rFonts w:ascii="Times New Roman" w:hAnsi="Times New Roman"/>
                <w:color w:val="000000"/>
                <w:sz w:val="21"/>
                <w:szCs w:val="21"/>
              </w:rPr>
            </w:pPr>
            <w:r>
              <w:rPr>
                <w:rFonts w:ascii="Times New Roman" w:hAnsi="Times New Roman"/>
                <w:sz w:val="21"/>
                <w:szCs w:val="21"/>
              </w:rPr>
              <w:t>19.04510985</w:t>
            </w:r>
          </w:p>
        </w:tc>
        <w:tc>
          <w:tcPr>
            <w:tcW w:w="775" w:type="pct"/>
            <w:vMerge w:val="continue"/>
            <w:tcBorders>
              <w:left w:val="nil"/>
              <w:right w:val="single" w:color="auto" w:sz="4" w:space="0"/>
            </w:tcBorders>
            <w:vAlign w:val="center"/>
          </w:tcPr>
          <w:p w14:paraId="6293138E">
            <w:pPr>
              <w:ind w:firstLine="0" w:firstLineChars="0"/>
              <w:jc w:val="center"/>
              <w:rPr>
                <w:rFonts w:ascii="Times New Roman" w:hAnsi="Times New Roman"/>
                <w:sz w:val="21"/>
                <w:szCs w:val="21"/>
              </w:rPr>
            </w:pPr>
          </w:p>
        </w:tc>
      </w:tr>
      <w:tr w14:paraId="5E78F1FE">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31C42E6C">
            <w:pPr>
              <w:ind w:firstLine="0" w:firstLineChars="0"/>
              <w:jc w:val="center"/>
              <w:rPr>
                <w:rFonts w:ascii="Times New Roman" w:hAnsi="Times New Roman"/>
                <w:color w:val="000000"/>
                <w:sz w:val="21"/>
                <w:szCs w:val="21"/>
              </w:rPr>
            </w:pPr>
            <w:r>
              <w:rPr>
                <w:rFonts w:ascii="Times New Roman" w:hAnsi="Times New Roman"/>
                <w:color w:val="000000"/>
                <w:sz w:val="21"/>
                <w:szCs w:val="21"/>
              </w:rPr>
              <w:t>8</w:t>
            </w:r>
          </w:p>
        </w:tc>
        <w:tc>
          <w:tcPr>
            <w:tcW w:w="2175" w:type="pct"/>
            <w:tcBorders>
              <w:top w:val="nil"/>
              <w:left w:val="nil"/>
              <w:bottom w:val="single" w:color="auto" w:sz="4" w:space="0"/>
              <w:right w:val="single" w:color="auto" w:sz="4" w:space="0"/>
            </w:tcBorders>
            <w:noWrap/>
            <w:vAlign w:val="center"/>
          </w:tcPr>
          <w:p w14:paraId="4E35B3AF">
            <w:pPr>
              <w:ind w:firstLine="0" w:firstLineChars="0"/>
              <w:jc w:val="center"/>
              <w:rPr>
                <w:rFonts w:ascii="Times New Roman" w:hAnsi="Times New Roman"/>
                <w:color w:val="000000"/>
                <w:sz w:val="21"/>
                <w:szCs w:val="21"/>
              </w:rPr>
            </w:pPr>
            <w:r>
              <w:rPr>
                <w:rFonts w:ascii="Times New Roman" w:hAnsi="Times New Roman"/>
                <w:color w:val="000000"/>
                <w:sz w:val="21"/>
                <w:szCs w:val="21"/>
              </w:rPr>
              <w:t>兴教路-玉锦大道-万泉河路</w:t>
            </w:r>
          </w:p>
        </w:tc>
        <w:tc>
          <w:tcPr>
            <w:tcW w:w="843" w:type="pct"/>
            <w:tcBorders>
              <w:top w:val="nil"/>
              <w:left w:val="nil"/>
              <w:bottom w:val="single" w:color="auto" w:sz="4" w:space="0"/>
              <w:right w:val="single" w:color="auto" w:sz="4" w:space="0"/>
            </w:tcBorders>
            <w:noWrap/>
            <w:vAlign w:val="center"/>
          </w:tcPr>
          <w:p w14:paraId="7D3B213A">
            <w:pPr>
              <w:ind w:firstLine="0" w:firstLineChars="0"/>
              <w:jc w:val="center"/>
              <w:rPr>
                <w:rFonts w:ascii="Times New Roman" w:hAnsi="Times New Roman"/>
                <w:color w:val="000000"/>
                <w:sz w:val="21"/>
                <w:szCs w:val="21"/>
              </w:rPr>
            </w:pPr>
            <w:r>
              <w:rPr>
                <w:rFonts w:ascii="Times New Roman" w:hAnsi="Times New Roman"/>
                <w:sz w:val="21"/>
                <w:szCs w:val="21"/>
              </w:rPr>
              <w:t>109.8529625</w:t>
            </w:r>
          </w:p>
        </w:tc>
        <w:tc>
          <w:tcPr>
            <w:tcW w:w="832" w:type="pct"/>
            <w:tcBorders>
              <w:top w:val="nil"/>
              <w:left w:val="nil"/>
              <w:bottom w:val="single" w:color="auto" w:sz="4" w:space="0"/>
              <w:right w:val="single" w:color="auto" w:sz="4" w:space="0"/>
            </w:tcBorders>
            <w:noWrap/>
            <w:vAlign w:val="center"/>
          </w:tcPr>
          <w:p w14:paraId="6076BA69">
            <w:pPr>
              <w:ind w:firstLine="0" w:firstLineChars="0"/>
              <w:jc w:val="center"/>
              <w:rPr>
                <w:rFonts w:ascii="Times New Roman" w:hAnsi="Times New Roman"/>
                <w:color w:val="000000"/>
                <w:sz w:val="21"/>
                <w:szCs w:val="21"/>
              </w:rPr>
            </w:pPr>
            <w:r>
              <w:rPr>
                <w:rFonts w:ascii="Times New Roman" w:hAnsi="Times New Roman"/>
                <w:sz w:val="21"/>
                <w:szCs w:val="21"/>
              </w:rPr>
              <w:t>19.03779349</w:t>
            </w:r>
          </w:p>
        </w:tc>
        <w:tc>
          <w:tcPr>
            <w:tcW w:w="775" w:type="pct"/>
            <w:vMerge w:val="continue"/>
            <w:tcBorders>
              <w:left w:val="nil"/>
              <w:right w:val="single" w:color="auto" w:sz="4" w:space="0"/>
            </w:tcBorders>
            <w:vAlign w:val="center"/>
          </w:tcPr>
          <w:p w14:paraId="45DA303A">
            <w:pPr>
              <w:ind w:firstLine="0" w:firstLineChars="0"/>
              <w:jc w:val="center"/>
              <w:rPr>
                <w:rFonts w:ascii="Times New Roman" w:hAnsi="Times New Roman"/>
                <w:sz w:val="21"/>
                <w:szCs w:val="21"/>
              </w:rPr>
            </w:pPr>
          </w:p>
        </w:tc>
      </w:tr>
      <w:tr w14:paraId="01E886A0">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60E87DB4">
            <w:pPr>
              <w:ind w:firstLine="0" w:firstLineChars="0"/>
              <w:jc w:val="center"/>
              <w:rPr>
                <w:rFonts w:ascii="Times New Roman" w:hAnsi="Times New Roman"/>
                <w:color w:val="000000"/>
                <w:sz w:val="21"/>
                <w:szCs w:val="21"/>
              </w:rPr>
            </w:pPr>
            <w:r>
              <w:rPr>
                <w:rFonts w:ascii="Times New Roman" w:hAnsi="Times New Roman"/>
                <w:color w:val="000000"/>
                <w:sz w:val="21"/>
                <w:szCs w:val="21"/>
              </w:rPr>
              <w:t>9</w:t>
            </w:r>
          </w:p>
        </w:tc>
        <w:tc>
          <w:tcPr>
            <w:tcW w:w="2175" w:type="pct"/>
            <w:tcBorders>
              <w:top w:val="nil"/>
              <w:left w:val="nil"/>
              <w:bottom w:val="single" w:color="auto" w:sz="4" w:space="0"/>
              <w:right w:val="single" w:color="auto" w:sz="4" w:space="0"/>
            </w:tcBorders>
            <w:noWrap/>
            <w:vAlign w:val="center"/>
          </w:tcPr>
          <w:p w14:paraId="522B59D3">
            <w:pPr>
              <w:ind w:firstLine="0" w:firstLineChars="0"/>
              <w:jc w:val="center"/>
              <w:rPr>
                <w:rFonts w:ascii="Times New Roman" w:hAnsi="Times New Roman"/>
                <w:color w:val="000000"/>
                <w:sz w:val="21"/>
                <w:szCs w:val="21"/>
              </w:rPr>
            </w:pPr>
            <w:r>
              <w:rPr>
                <w:rFonts w:ascii="Times New Roman" w:hAnsi="Times New Roman"/>
                <w:color w:val="000000"/>
                <w:sz w:val="21"/>
                <w:szCs w:val="21"/>
              </w:rPr>
              <w:t>牛营线（营乘路）-黎母大道（S304）</w:t>
            </w:r>
          </w:p>
        </w:tc>
        <w:tc>
          <w:tcPr>
            <w:tcW w:w="843" w:type="pct"/>
            <w:tcBorders>
              <w:top w:val="nil"/>
              <w:left w:val="nil"/>
              <w:bottom w:val="single" w:color="auto" w:sz="4" w:space="0"/>
              <w:right w:val="single" w:color="auto" w:sz="4" w:space="0"/>
            </w:tcBorders>
            <w:noWrap/>
            <w:vAlign w:val="center"/>
          </w:tcPr>
          <w:p w14:paraId="6421E205">
            <w:pPr>
              <w:ind w:firstLine="0" w:firstLineChars="0"/>
              <w:jc w:val="center"/>
              <w:rPr>
                <w:rFonts w:ascii="Times New Roman" w:hAnsi="Times New Roman"/>
                <w:color w:val="000000"/>
                <w:sz w:val="21"/>
                <w:szCs w:val="21"/>
              </w:rPr>
            </w:pPr>
            <w:r>
              <w:rPr>
                <w:rFonts w:ascii="Times New Roman" w:hAnsi="Times New Roman"/>
                <w:sz w:val="21"/>
                <w:szCs w:val="21"/>
              </w:rPr>
              <w:t>109.858333</w:t>
            </w:r>
          </w:p>
        </w:tc>
        <w:tc>
          <w:tcPr>
            <w:tcW w:w="832" w:type="pct"/>
            <w:tcBorders>
              <w:top w:val="nil"/>
              <w:left w:val="nil"/>
              <w:bottom w:val="single" w:color="auto" w:sz="4" w:space="0"/>
              <w:right w:val="single" w:color="auto" w:sz="4" w:space="0"/>
            </w:tcBorders>
            <w:noWrap/>
            <w:vAlign w:val="center"/>
          </w:tcPr>
          <w:p w14:paraId="02E8C904">
            <w:pPr>
              <w:ind w:firstLine="0" w:firstLineChars="0"/>
              <w:jc w:val="center"/>
              <w:rPr>
                <w:rFonts w:ascii="Times New Roman" w:hAnsi="Times New Roman"/>
                <w:color w:val="000000"/>
                <w:sz w:val="21"/>
                <w:szCs w:val="21"/>
              </w:rPr>
            </w:pPr>
            <w:r>
              <w:rPr>
                <w:rFonts w:ascii="Times New Roman" w:hAnsi="Times New Roman"/>
                <w:sz w:val="21"/>
                <w:szCs w:val="21"/>
              </w:rPr>
              <w:t>19.017778</w:t>
            </w:r>
          </w:p>
        </w:tc>
        <w:tc>
          <w:tcPr>
            <w:tcW w:w="775" w:type="pct"/>
            <w:vMerge w:val="continue"/>
            <w:tcBorders>
              <w:left w:val="nil"/>
              <w:right w:val="single" w:color="auto" w:sz="4" w:space="0"/>
            </w:tcBorders>
            <w:vAlign w:val="center"/>
          </w:tcPr>
          <w:p w14:paraId="377440D9">
            <w:pPr>
              <w:ind w:firstLine="0" w:firstLineChars="0"/>
              <w:jc w:val="center"/>
              <w:rPr>
                <w:rFonts w:ascii="Times New Roman" w:hAnsi="Times New Roman"/>
                <w:sz w:val="21"/>
                <w:szCs w:val="21"/>
              </w:rPr>
            </w:pPr>
          </w:p>
        </w:tc>
      </w:tr>
      <w:tr w14:paraId="4DF3BFFD">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50815EAC">
            <w:pPr>
              <w:ind w:firstLine="0" w:firstLineChars="0"/>
              <w:jc w:val="center"/>
              <w:rPr>
                <w:rFonts w:ascii="Times New Roman" w:hAnsi="Times New Roman"/>
                <w:color w:val="000000"/>
                <w:sz w:val="21"/>
                <w:szCs w:val="21"/>
              </w:rPr>
            </w:pPr>
            <w:r>
              <w:rPr>
                <w:rFonts w:ascii="Times New Roman" w:hAnsi="Times New Roman"/>
                <w:color w:val="000000"/>
                <w:sz w:val="21"/>
                <w:szCs w:val="21"/>
              </w:rPr>
              <w:t>10</w:t>
            </w:r>
          </w:p>
        </w:tc>
        <w:tc>
          <w:tcPr>
            <w:tcW w:w="2175" w:type="pct"/>
            <w:tcBorders>
              <w:top w:val="nil"/>
              <w:left w:val="nil"/>
              <w:bottom w:val="single" w:color="auto" w:sz="4" w:space="0"/>
              <w:right w:val="single" w:color="auto" w:sz="4" w:space="0"/>
            </w:tcBorders>
            <w:noWrap/>
            <w:vAlign w:val="center"/>
          </w:tcPr>
          <w:p w14:paraId="0E19CF52">
            <w:pPr>
              <w:ind w:firstLine="0" w:firstLineChars="0"/>
              <w:jc w:val="center"/>
              <w:rPr>
                <w:rFonts w:ascii="Times New Roman" w:hAnsi="Times New Roman"/>
                <w:color w:val="000000"/>
                <w:sz w:val="21"/>
                <w:szCs w:val="21"/>
              </w:rPr>
            </w:pPr>
            <w:r>
              <w:rPr>
                <w:rFonts w:ascii="Times New Roman" w:hAnsi="Times New Roman"/>
                <w:color w:val="000000"/>
                <w:sz w:val="21"/>
                <w:szCs w:val="21"/>
              </w:rPr>
              <w:t>营</w:t>
            </w:r>
            <w:r>
              <w:rPr>
                <w:rFonts w:hint="eastAsia" w:ascii="Times New Roman" w:hAnsi="Times New Roman"/>
                <w:color w:val="000000"/>
                <w:sz w:val="21"/>
                <w:szCs w:val="21"/>
              </w:rPr>
              <w:t>红路-黎母大道（S304）</w:t>
            </w:r>
          </w:p>
        </w:tc>
        <w:tc>
          <w:tcPr>
            <w:tcW w:w="843" w:type="pct"/>
            <w:tcBorders>
              <w:top w:val="nil"/>
              <w:left w:val="nil"/>
              <w:bottom w:val="single" w:color="auto" w:sz="4" w:space="0"/>
              <w:right w:val="single" w:color="auto" w:sz="4" w:space="0"/>
            </w:tcBorders>
            <w:noWrap/>
          </w:tcPr>
          <w:p w14:paraId="0F333750">
            <w:pPr>
              <w:ind w:firstLine="0" w:firstLineChars="0"/>
              <w:jc w:val="center"/>
              <w:rPr>
                <w:rFonts w:ascii="Times New Roman" w:hAnsi="Times New Roman"/>
                <w:sz w:val="21"/>
                <w:szCs w:val="21"/>
              </w:rPr>
            </w:pPr>
            <w:r>
              <w:rPr>
                <w:rFonts w:ascii="Times New Roman" w:hAnsi="Times New Roman"/>
                <w:sz w:val="21"/>
                <w:szCs w:val="21"/>
              </w:rPr>
              <w:t>109.8657076</w:t>
            </w:r>
          </w:p>
        </w:tc>
        <w:tc>
          <w:tcPr>
            <w:tcW w:w="832" w:type="pct"/>
            <w:tcBorders>
              <w:top w:val="nil"/>
              <w:left w:val="nil"/>
              <w:bottom w:val="single" w:color="auto" w:sz="4" w:space="0"/>
              <w:right w:val="single" w:color="auto" w:sz="4" w:space="0"/>
            </w:tcBorders>
            <w:noWrap/>
          </w:tcPr>
          <w:p w14:paraId="3ADDA638">
            <w:pPr>
              <w:ind w:firstLine="0" w:firstLineChars="0"/>
              <w:jc w:val="center"/>
              <w:rPr>
                <w:rFonts w:ascii="Times New Roman" w:hAnsi="Times New Roman"/>
                <w:sz w:val="21"/>
                <w:szCs w:val="21"/>
              </w:rPr>
            </w:pPr>
            <w:r>
              <w:rPr>
                <w:rFonts w:ascii="Times New Roman" w:hAnsi="Times New Roman"/>
                <w:sz w:val="21"/>
                <w:szCs w:val="21"/>
              </w:rPr>
              <w:t>19.03763193</w:t>
            </w:r>
          </w:p>
        </w:tc>
        <w:tc>
          <w:tcPr>
            <w:tcW w:w="775" w:type="pct"/>
            <w:vMerge w:val="continue"/>
            <w:tcBorders>
              <w:left w:val="nil"/>
              <w:right w:val="single" w:color="auto" w:sz="4" w:space="0"/>
            </w:tcBorders>
            <w:vAlign w:val="center"/>
          </w:tcPr>
          <w:p w14:paraId="643E87FC">
            <w:pPr>
              <w:ind w:firstLine="0" w:firstLineChars="0"/>
              <w:jc w:val="center"/>
              <w:rPr>
                <w:rFonts w:ascii="Times New Roman" w:hAnsi="Times New Roman"/>
                <w:color w:val="000000"/>
                <w:sz w:val="21"/>
                <w:szCs w:val="21"/>
              </w:rPr>
            </w:pPr>
          </w:p>
        </w:tc>
      </w:tr>
      <w:tr w14:paraId="13665AA5">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1B1926E7">
            <w:pPr>
              <w:ind w:firstLine="0" w:firstLineChars="0"/>
              <w:jc w:val="center"/>
              <w:rPr>
                <w:rFonts w:ascii="Times New Roman" w:hAnsi="Times New Roman"/>
                <w:color w:val="000000"/>
                <w:sz w:val="21"/>
                <w:szCs w:val="21"/>
              </w:rPr>
            </w:pPr>
            <w:r>
              <w:rPr>
                <w:rFonts w:ascii="Times New Roman" w:hAnsi="Times New Roman"/>
                <w:color w:val="000000"/>
                <w:sz w:val="21"/>
                <w:szCs w:val="21"/>
              </w:rPr>
              <w:t>11</w:t>
            </w:r>
          </w:p>
        </w:tc>
        <w:tc>
          <w:tcPr>
            <w:tcW w:w="2175" w:type="pct"/>
            <w:tcBorders>
              <w:top w:val="nil"/>
              <w:left w:val="nil"/>
              <w:bottom w:val="single" w:color="auto" w:sz="4" w:space="0"/>
              <w:right w:val="single" w:color="auto" w:sz="4" w:space="0"/>
            </w:tcBorders>
            <w:noWrap/>
            <w:vAlign w:val="center"/>
          </w:tcPr>
          <w:p w14:paraId="2EF6252A">
            <w:pPr>
              <w:ind w:firstLine="0" w:firstLineChars="0"/>
              <w:jc w:val="center"/>
              <w:rPr>
                <w:rFonts w:ascii="Times New Roman" w:hAnsi="Times New Roman"/>
                <w:color w:val="000000"/>
                <w:sz w:val="21"/>
                <w:szCs w:val="21"/>
              </w:rPr>
            </w:pPr>
            <w:r>
              <w:rPr>
                <w:rFonts w:ascii="Times New Roman" w:hAnsi="Times New Roman"/>
                <w:color w:val="000000"/>
                <w:sz w:val="21"/>
                <w:szCs w:val="21"/>
              </w:rPr>
              <w:t>黎母大道（S304）-三月三大道</w:t>
            </w:r>
          </w:p>
        </w:tc>
        <w:tc>
          <w:tcPr>
            <w:tcW w:w="843" w:type="pct"/>
            <w:tcBorders>
              <w:top w:val="nil"/>
              <w:left w:val="nil"/>
              <w:bottom w:val="single" w:color="auto" w:sz="4" w:space="0"/>
              <w:right w:val="single" w:color="auto" w:sz="4" w:space="0"/>
            </w:tcBorders>
            <w:noWrap/>
            <w:vAlign w:val="center"/>
          </w:tcPr>
          <w:p w14:paraId="33FC8D68">
            <w:pPr>
              <w:ind w:firstLine="0" w:firstLineChars="0"/>
              <w:jc w:val="center"/>
              <w:rPr>
                <w:rFonts w:ascii="Times New Roman" w:hAnsi="Times New Roman"/>
                <w:color w:val="000000"/>
                <w:sz w:val="21"/>
                <w:szCs w:val="21"/>
              </w:rPr>
            </w:pPr>
            <w:r>
              <w:rPr>
                <w:rFonts w:ascii="Times New Roman" w:hAnsi="Times New Roman"/>
                <w:sz w:val="21"/>
                <w:szCs w:val="21"/>
              </w:rPr>
              <w:t>109.8670605</w:t>
            </w:r>
          </w:p>
        </w:tc>
        <w:tc>
          <w:tcPr>
            <w:tcW w:w="832" w:type="pct"/>
            <w:tcBorders>
              <w:top w:val="nil"/>
              <w:left w:val="nil"/>
              <w:bottom w:val="single" w:color="auto" w:sz="4" w:space="0"/>
              <w:right w:val="single" w:color="auto" w:sz="4" w:space="0"/>
            </w:tcBorders>
            <w:noWrap/>
            <w:vAlign w:val="center"/>
          </w:tcPr>
          <w:p w14:paraId="7AC99DC1">
            <w:pPr>
              <w:ind w:firstLine="0" w:firstLineChars="0"/>
              <w:jc w:val="center"/>
              <w:rPr>
                <w:rFonts w:ascii="Times New Roman" w:hAnsi="Times New Roman"/>
                <w:color w:val="000000"/>
                <w:sz w:val="21"/>
                <w:szCs w:val="21"/>
              </w:rPr>
            </w:pPr>
            <w:r>
              <w:rPr>
                <w:rFonts w:ascii="Times New Roman" w:hAnsi="Times New Roman"/>
                <w:sz w:val="21"/>
                <w:szCs w:val="21"/>
              </w:rPr>
              <w:t>19.04639912</w:t>
            </w:r>
          </w:p>
        </w:tc>
        <w:tc>
          <w:tcPr>
            <w:tcW w:w="775" w:type="pct"/>
            <w:vMerge w:val="continue"/>
            <w:tcBorders>
              <w:left w:val="nil"/>
              <w:right w:val="single" w:color="auto" w:sz="4" w:space="0"/>
            </w:tcBorders>
            <w:vAlign w:val="center"/>
          </w:tcPr>
          <w:p w14:paraId="23B5E030">
            <w:pPr>
              <w:ind w:firstLine="0" w:firstLineChars="0"/>
              <w:jc w:val="center"/>
              <w:rPr>
                <w:rFonts w:ascii="Times New Roman" w:hAnsi="Times New Roman"/>
                <w:sz w:val="21"/>
                <w:szCs w:val="21"/>
              </w:rPr>
            </w:pPr>
          </w:p>
        </w:tc>
      </w:tr>
      <w:tr w14:paraId="386E63AC">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58B0312D">
            <w:pPr>
              <w:ind w:firstLine="0" w:firstLineChars="0"/>
              <w:jc w:val="center"/>
              <w:rPr>
                <w:rFonts w:ascii="Times New Roman" w:hAnsi="Times New Roman"/>
                <w:color w:val="000000"/>
                <w:sz w:val="21"/>
                <w:szCs w:val="21"/>
              </w:rPr>
            </w:pPr>
            <w:r>
              <w:rPr>
                <w:rFonts w:ascii="Times New Roman" w:hAnsi="Times New Roman"/>
                <w:color w:val="000000"/>
                <w:sz w:val="21"/>
                <w:szCs w:val="21"/>
              </w:rPr>
              <w:t>12</w:t>
            </w:r>
          </w:p>
        </w:tc>
        <w:tc>
          <w:tcPr>
            <w:tcW w:w="2175" w:type="pct"/>
            <w:tcBorders>
              <w:top w:val="nil"/>
              <w:left w:val="nil"/>
              <w:bottom w:val="single" w:color="auto" w:sz="4" w:space="0"/>
              <w:right w:val="single" w:color="auto" w:sz="4" w:space="0"/>
            </w:tcBorders>
            <w:noWrap/>
            <w:vAlign w:val="center"/>
          </w:tcPr>
          <w:p w14:paraId="7A5B5EE4">
            <w:pPr>
              <w:ind w:firstLine="0" w:firstLineChars="0"/>
              <w:jc w:val="center"/>
              <w:rPr>
                <w:rFonts w:ascii="Times New Roman" w:hAnsi="Times New Roman"/>
                <w:color w:val="000000"/>
                <w:sz w:val="21"/>
                <w:szCs w:val="21"/>
              </w:rPr>
            </w:pPr>
            <w:r>
              <w:rPr>
                <w:rFonts w:ascii="Times New Roman" w:hAnsi="Times New Roman"/>
                <w:color w:val="000000"/>
                <w:sz w:val="21"/>
                <w:szCs w:val="21"/>
              </w:rPr>
              <w:t>海榆中线（G224）-黎母大道（S304）</w:t>
            </w:r>
          </w:p>
        </w:tc>
        <w:tc>
          <w:tcPr>
            <w:tcW w:w="843" w:type="pct"/>
            <w:tcBorders>
              <w:top w:val="nil"/>
              <w:left w:val="nil"/>
              <w:bottom w:val="single" w:color="auto" w:sz="4" w:space="0"/>
              <w:right w:val="single" w:color="auto" w:sz="4" w:space="0"/>
            </w:tcBorders>
            <w:noWrap/>
            <w:vAlign w:val="center"/>
          </w:tcPr>
          <w:p w14:paraId="1E543EFA">
            <w:pPr>
              <w:ind w:firstLine="0" w:firstLineChars="0"/>
              <w:jc w:val="center"/>
              <w:rPr>
                <w:rFonts w:ascii="Times New Roman" w:hAnsi="Times New Roman"/>
                <w:color w:val="000000"/>
                <w:sz w:val="21"/>
                <w:szCs w:val="21"/>
              </w:rPr>
            </w:pPr>
            <w:r>
              <w:rPr>
                <w:rFonts w:ascii="Times New Roman" w:hAnsi="Times New Roman"/>
                <w:sz w:val="21"/>
                <w:szCs w:val="21"/>
              </w:rPr>
              <w:t>109.864062</w:t>
            </w:r>
          </w:p>
        </w:tc>
        <w:tc>
          <w:tcPr>
            <w:tcW w:w="832" w:type="pct"/>
            <w:tcBorders>
              <w:top w:val="nil"/>
              <w:left w:val="nil"/>
              <w:bottom w:val="single" w:color="auto" w:sz="4" w:space="0"/>
              <w:right w:val="single" w:color="auto" w:sz="4" w:space="0"/>
            </w:tcBorders>
            <w:noWrap/>
            <w:vAlign w:val="center"/>
          </w:tcPr>
          <w:p w14:paraId="2100B0E6">
            <w:pPr>
              <w:ind w:firstLine="0" w:firstLineChars="0"/>
              <w:jc w:val="center"/>
              <w:rPr>
                <w:rFonts w:ascii="Times New Roman" w:hAnsi="Times New Roman"/>
                <w:color w:val="000000"/>
                <w:sz w:val="21"/>
                <w:szCs w:val="21"/>
              </w:rPr>
            </w:pPr>
            <w:r>
              <w:rPr>
                <w:rFonts w:ascii="Times New Roman" w:hAnsi="Times New Roman"/>
                <w:sz w:val="21"/>
                <w:szCs w:val="21"/>
              </w:rPr>
              <w:t>19.08195383</w:t>
            </w:r>
          </w:p>
        </w:tc>
        <w:tc>
          <w:tcPr>
            <w:tcW w:w="775" w:type="pct"/>
            <w:vMerge w:val="continue"/>
            <w:tcBorders>
              <w:left w:val="nil"/>
              <w:right w:val="single" w:color="auto" w:sz="4" w:space="0"/>
            </w:tcBorders>
            <w:vAlign w:val="center"/>
          </w:tcPr>
          <w:p w14:paraId="328F243F">
            <w:pPr>
              <w:ind w:firstLine="0" w:firstLineChars="0"/>
              <w:jc w:val="center"/>
              <w:rPr>
                <w:rFonts w:ascii="Times New Roman" w:hAnsi="Times New Roman"/>
                <w:sz w:val="21"/>
                <w:szCs w:val="21"/>
              </w:rPr>
            </w:pPr>
          </w:p>
        </w:tc>
      </w:tr>
      <w:tr w14:paraId="08D942E3">
        <w:tblPrEx>
          <w:tblCellMar>
            <w:top w:w="0" w:type="dxa"/>
            <w:left w:w="108" w:type="dxa"/>
            <w:bottom w:w="0" w:type="dxa"/>
            <w:right w:w="108" w:type="dxa"/>
          </w:tblCellMar>
        </w:tblPrEx>
        <w:trPr>
          <w:jc w:val="center"/>
        </w:trPr>
        <w:tc>
          <w:tcPr>
            <w:tcW w:w="375" w:type="pct"/>
            <w:tcBorders>
              <w:top w:val="nil"/>
              <w:left w:val="single" w:color="auto" w:sz="4" w:space="0"/>
              <w:bottom w:val="single" w:color="auto" w:sz="4" w:space="0"/>
              <w:right w:val="single" w:color="auto" w:sz="4" w:space="0"/>
            </w:tcBorders>
            <w:noWrap/>
            <w:vAlign w:val="center"/>
          </w:tcPr>
          <w:p w14:paraId="7DF28EB4">
            <w:pPr>
              <w:ind w:firstLine="0" w:firstLineChars="0"/>
              <w:jc w:val="center"/>
              <w:rPr>
                <w:rFonts w:ascii="Times New Roman" w:hAnsi="Times New Roman"/>
                <w:color w:val="000000"/>
                <w:sz w:val="21"/>
                <w:szCs w:val="21"/>
              </w:rPr>
            </w:pPr>
            <w:r>
              <w:rPr>
                <w:rFonts w:ascii="Times New Roman" w:hAnsi="Times New Roman"/>
                <w:color w:val="000000"/>
                <w:sz w:val="21"/>
                <w:szCs w:val="21"/>
              </w:rPr>
              <w:t>13</w:t>
            </w:r>
          </w:p>
        </w:tc>
        <w:tc>
          <w:tcPr>
            <w:tcW w:w="2175" w:type="pct"/>
            <w:tcBorders>
              <w:top w:val="nil"/>
              <w:left w:val="nil"/>
              <w:bottom w:val="single" w:color="auto" w:sz="4" w:space="0"/>
              <w:right w:val="single" w:color="auto" w:sz="4" w:space="0"/>
            </w:tcBorders>
            <w:noWrap/>
            <w:vAlign w:val="center"/>
          </w:tcPr>
          <w:p w14:paraId="5D598BB2">
            <w:pPr>
              <w:ind w:firstLine="0" w:firstLineChars="0"/>
              <w:jc w:val="center"/>
              <w:rPr>
                <w:rFonts w:ascii="Times New Roman" w:hAnsi="Times New Roman"/>
                <w:color w:val="000000"/>
                <w:sz w:val="21"/>
                <w:szCs w:val="21"/>
              </w:rPr>
            </w:pPr>
            <w:r>
              <w:rPr>
                <w:rFonts w:ascii="Times New Roman" w:hAnsi="Times New Roman"/>
                <w:color w:val="000000"/>
                <w:sz w:val="21"/>
                <w:szCs w:val="21"/>
              </w:rPr>
              <w:t>玉锦大道-海榆中线（G224）</w:t>
            </w:r>
          </w:p>
        </w:tc>
        <w:tc>
          <w:tcPr>
            <w:tcW w:w="843" w:type="pct"/>
            <w:tcBorders>
              <w:top w:val="nil"/>
              <w:left w:val="nil"/>
              <w:bottom w:val="single" w:color="auto" w:sz="4" w:space="0"/>
              <w:right w:val="single" w:color="auto" w:sz="4" w:space="0"/>
            </w:tcBorders>
            <w:noWrap/>
            <w:vAlign w:val="center"/>
          </w:tcPr>
          <w:p w14:paraId="4F5112B1">
            <w:pPr>
              <w:ind w:firstLine="0" w:firstLineChars="0"/>
              <w:jc w:val="center"/>
              <w:rPr>
                <w:rFonts w:ascii="Times New Roman" w:hAnsi="Times New Roman"/>
                <w:color w:val="000000"/>
                <w:sz w:val="21"/>
                <w:szCs w:val="21"/>
              </w:rPr>
            </w:pPr>
            <w:r>
              <w:rPr>
                <w:rFonts w:ascii="Times New Roman" w:hAnsi="Times New Roman"/>
                <w:sz w:val="21"/>
                <w:szCs w:val="21"/>
              </w:rPr>
              <w:t>109.8491591</w:t>
            </w:r>
          </w:p>
        </w:tc>
        <w:tc>
          <w:tcPr>
            <w:tcW w:w="832" w:type="pct"/>
            <w:tcBorders>
              <w:top w:val="nil"/>
              <w:left w:val="nil"/>
              <w:bottom w:val="single" w:color="auto" w:sz="4" w:space="0"/>
              <w:right w:val="single" w:color="auto" w:sz="4" w:space="0"/>
            </w:tcBorders>
            <w:noWrap/>
            <w:vAlign w:val="center"/>
          </w:tcPr>
          <w:p w14:paraId="7446E0C5">
            <w:pPr>
              <w:ind w:firstLine="0" w:firstLineChars="0"/>
              <w:jc w:val="center"/>
              <w:rPr>
                <w:rFonts w:ascii="Times New Roman" w:hAnsi="Times New Roman"/>
                <w:color w:val="000000"/>
                <w:sz w:val="21"/>
                <w:szCs w:val="21"/>
              </w:rPr>
            </w:pPr>
            <w:r>
              <w:rPr>
                <w:rFonts w:ascii="Times New Roman" w:hAnsi="Times New Roman"/>
                <w:sz w:val="21"/>
                <w:szCs w:val="21"/>
              </w:rPr>
              <w:t>19.0580163</w:t>
            </w:r>
          </w:p>
        </w:tc>
        <w:tc>
          <w:tcPr>
            <w:tcW w:w="775" w:type="pct"/>
            <w:vMerge w:val="continue"/>
            <w:tcBorders>
              <w:left w:val="nil"/>
              <w:bottom w:val="single" w:color="auto" w:sz="4" w:space="0"/>
              <w:right w:val="single" w:color="auto" w:sz="4" w:space="0"/>
            </w:tcBorders>
            <w:vAlign w:val="center"/>
          </w:tcPr>
          <w:p w14:paraId="5E29E8EA">
            <w:pPr>
              <w:ind w:firstLine="0" w:firstLineChars="0"/>
              <w:jc w:val="center"/>
              <w:rPr>
                <w:rFonts w:ascii="Times New Roman" w:hAnsi="Times New Roman"/>
                <w:sz w:val="21"/>
                <w:szCs w:val="21"/>
              </w:rPr>
            </w:pPr>
          </w:p>
        </w:tc>
      </w:tr>
    </w:tbl>
    <w:p w14:paraId="11E7A4D5">
      <w:pPr>
        <w:ind w:firstLine="480"/>
      </w:pPr>
    </w:p>
    <w:p w14:paraId="7EAB32DA">
      <w:pPr>
        <w:ind w:firstLine="480"/>
      </w:pPr>
      <w:r>
        <w:rPr>
          <w:rFonts w:hint="eastAsia"/>
        </w:rPr>
        <w:t>本项目购置的交通信号等控制机符合 GB 25280-2016《道路交通信号控制机》标准，道路交通信号控制机的指令和消息格式（通信协议）符合 GB 25280-2016《道 路交通信号控制机》附录 A 的要求，支持开放、标准化通信协议，开源协议方便扩展，应能接入交通综合管控平台管理和控制。</w:t>
      </w:r>
    </w:p>
    <w:p w14:paraId="08CACD3C">
      <w:pPr>
        <w:ind w:firstLine="480"/>
      </w:pPr>
      <w:r>
        <w:rPr>
          <w:rFonts w:hint="eastAsia"/>
        </w:rPr>
        <w:t>2、网络传输子系统</w:t>
      </w:r>
    </w:p>
    <w:p w14:paraId="673029F9">
      <w:pPr>
        <w:ind w:firstLine="480"/>
      </w:pPr>
      <w:r>
        <w:rPr>
          <w:rFonts w:hint="eastAsia"/>
        </w:rPr>
        <w:t>负责数据的传输与交换。中心网络主要由接入层交换机以及核心交换机组成。</w:t>
      </w:r>
    </w:p>
    <w:p w14:paraId="3DC7119F">
      <w:pPr>
        <w:ind w:firstLine="480"/>
      </w:pPr>
      <w:r>
        <w:rPr>
          <w:rFonts w:hint="eastAsia"/>
        </w:rPr>
        <w:t>3、后端管理子系统</w:t>
      </w:r>
    </w:p>
    <w:p w14:paraId="18FBC446">
      <w:pPr>
        <w:ind w:firstLine="480"/>
      </w:pPr>
      <w:r>
        <w:rPr>
          <w:rFonts w:hint="eastAsia"/>
        </w:rPr>
        <w:t>由区域计算机和中心管理平台组成。区域计算机主动对前端交通流数据进行分析，自适应的选择合适的信号配时方案，并实时下发到各个路口对应的信号机。中心管理平台负责实现对辖区内相关数据的汇聚、处理、存储、应用、管理与共享。</w:t>
      </w:r>
    </w:p>
    <w:p w14:paraId="0DA57E29">
      <w:pPr>
        <w:pStyle w:val="6"/>
      </w:pPr>
      <w:bookmarkStart w:id="37" w:name="_Hlk183774289"/>
      <w:r>
        <w:rPr>
          <w:rFonts w:hint="eastAsia"/>
        </w:rPr>
        <w:t>信号控制互联互通</w:t>
      </w:r>
    </w:p>
    <w:bookmarkEnd w:id="37"/>
    <w:p w14:paraId="20E59E5F">
      <w:pPr>
        <w:ind w:firstLine="480"/>
      </w:pPr>
      <w:r>
        <w:rPr>
          <w:rFonts w:hint="eastAsia"/>
        </w:rPr>
        <w:t>针对目前现有的信号灯控制机不具备联网能力，通过本项目实现设备更新，实现交通路口信号控制系统与原系统之间设备的兼容，以提高交通管理效率、优化交通流量、减少交通拥堵，并提升整体交通安全水平。通过采用先进的通信技术和控制系统，实现信号灯的远程监控、智能调度和实时数据分析。</w:t>
      </w:r>
    </w:p>
    <w:p w14:paraId="23F97430">
      <w:pPr>
        <w:ind w:firstLine="480"/>
      </w:pPr>
      <w:r>
        <w:rPr>
          <w:rFonts w:hint="eastAsia"/>
        </w:rPr>
        <w:t>采用统一的通信协议和接口标准，确保新项目信号控制系统与原系统信号灯之间的数据交换和指令传输能够顺畅进行。原控制系统相关信号灯、信号灯控制机设备遵循国家及行业相关标准，信号灯的灯具应符合国家标准《道路交通信号灯》（</w:t>
      </w:r>
      <w:bookmarkStart w:id="38" w:name="_Hlk183774439"/>
      <w:r>
        <w:rPr>
          <w:rFonts w:hint="eastAsia"/>
        </w:rPr>
        <w:t>GB 14887）的要求，信号灯的安装应符合国家标准《道路交通信号灯设置与安装规范》（GB 14886）</w:t>
      </w:r>
      <w:bookmarkEnd w:id="38"/>
      <w:r>
        <w:rPr>
          <w:rFonts w:hint="eastAsia"/>
        </w:rPr>
        <w:t>的要求等，确保系统的兼容性和可扩展性，信号机采用国标GB/T 30999与交通综合管控平台对接，或信号控制系统采用国标GAT 1049.2与交通综合管控平台对接，可利旧接入交通综合管控平台统一管理。</w:t>
      </w:r>
    </w:p>
    <w:p w14:paraId="33EB0877">
      <w:pPr>
        <w:ind w:firstLine="480"/>
      </w:pPr>
      <w:r>
        <w:rPr>
          <w:rFonts w:hint="eastAsia"/>
        </w:rPr>
        <w:t>原信号控制系统可利旧情况：</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
        <w:gridCol w:w="2383"/>
        <w:gridCol w:w="924"/>
        <w:gridCol w:w="924"/>
        <w:gridCol w:w="3808"/>
      </w:tblGrid>
      <w:tr w14:paraId="6C1A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286" w:type="pct"/>
            <w:shd w:val="clear" w:color="000000" w:fill="808080"/>
            <w:noWrap/>
            <w:vAlign w:val="center"/>
          </w:tcPr>
          <w:p w14:paraId="5AB08B74">
            <w:pPr>
              <w:ind w:firstLine="0" w:firstLineChars="0"/>
              <w:jc w:val="center"/>
              <w:rPr>
                <w:b/>
                <w:bCs/>
                <w:color w:val="000000"/>
                <w:sz w:val="21"/>
                <w:szCs w:val="21"/>
              </w:rPr>
            </w:pPr>
            <w:r>
              <w:rPr>
                <w:rFonts w:hint="eastAsia"/>
                <w:b/>
                <w:bCs/>
                <w:color w:val="000000"/>
                <w:sz w:val="21"/>
                <w:szCs w:val="21"/>
              </w:rPr>
              <w:t>序号</w:t>
            </w:r>
          </w:p>
        </w:tc>
        <w:tc>
          <w:tcPr>
            <w:tcW w:w="1396" w:type="pct"/>
            <w:shd w:val="clear" w:color="000000" w:fill="808080"/>
            <w:noWrap/>
            <w:vAlign w:val="center"/>
          </w:tcPr>
          <w:p w14:paraId="41E2D342">
            <w:pPr>
              <w:ind w:firstLine="0" w:firstLineChars="0"/>
              <w:jc w:val="center"/>
              <w:rPr>
                <w:b/>
                <w:bCs/>
                <w:color w:val="000000"/>
                <w:sz w:val="21"/>
                <w:szCs w:val="21"/>
              </w:rPr>
            </w:pPr>
            <w:r>
              <w:rPr>
                <w:rFonts w:hint="eastAsia"/>
                <w:b/>
                <w:bCs/>
                <w:color w:val="000000"/>
                <w:sz w:val="21"/>
                <w:szCs w:val="21"/>
              </w:rPr>
              <w:t>卡口</w:t>
            </w:r>
          </w:p>
        </w:tc>
        <w:tc>
          <w:tcPr>
            <w:tcW w:w="544" w:type="pct"/>
            <w:shd w:val="clear" w:color="000000" w:fill="808080"/>
            <w:noWrap/>
            <w:vAlign w:val="center"/>
          </w:tcPr>
          <w:p w14:paraId="35CF56F4">
            <w:pPr>
              <w:ind w:firstLine="0" w:firstLineChars="0"/>
              <w:jc w:val="center"/>
              <w:rPr>
                <w:b/>
                <w:bCs/>
                <w:color w:val="000000"/>
                <w:sz w:val="21"/>
                <w:szCs w:val="21"/>
              </w:rPr>
            </w:pPr>
            <w:r>
              <w:rPr>
                <w:rFonts w:hint="eastAsia"/>
                <w:b/>
                <w:bCs/>
                <w:color w:val="000000"/>
                <w:sz w:val="21"/>
                <w:szCs w:val="21"/>
              </w:rPr>
              <w:t>经度</w:t>
            </w:r>
          </w:p>
        </w:tc>
        <w:tc>
          <w:tcPr>
            <w:tcW w:w="544" w:type="pct"/>
            <w:shd w:val="clear" w:color="000000" w:fill="808080"/>
            <w:noWrap/>
            <w:vAlign w:val="center"/>
          </w:tcPr>
          <w:p w14:paraId="6E47AF85">
            <w:pPr>
              <w:ind w:firstLine="0" w:firstLineChars="0"/>
              <w:jc w:val="center"/>
              <w:rPr>
                <w:b/>
                <w:bCs/>
                <w:color w:val="000000"/>
                <w:sz w:val="21"/>
                <w:szCs w:val="21"/>
              </w:rPr>
            </w:pPr>
            <w:r>
              <w:rPr>
                <w:rFonts w:hint="eastAsia"/>
                <w:b/>
                <w:bCs/>
                <w:color w:val="000000"/>
                <w:sz w:val="21"/>
                <w:szCs w:val="21"/>
              </w:rPr>
              <w:t>纬度</w:t>
            </w:r>
          </w:p>
        </w:tc>
        <w:tc>
          <w:tcPr>
            <w:tcW w:w="2229" w:type="pct"/>
            <w:shd w:val="clear" w:color="000000" w:fill="808080"/>
            <w:noWrap/>
            <w:vAlign w:val="center"/>
          </w:tcPr>
          <w:p w14:paraId="4F257C33">
            <w:pPr>
              <w:ind w:firstLine="0" w:firstLineChars="0"/>
              <w:jc w:val="center"/>
              <w:rPr>
                <w:b/>
                <w:bCs/>
                <w:color w:val="000000"/>
                <w:sz w:val="21"/>
                <w:szCs w:val="21"/>
              </w:rPr>
            </w:pPr>
            <w:r>
              <w:rPr>
                <w:rFonts w:hint="eastAsia"/>
                <w:b/>
                <w:bCs/>
                <w:color w:val="000000"/>
                <w:sz w:val="21"/>
                <w:szCs w:val="21"/>
              </w:rPr>
              <w:t>现状说明</w:t>
            </w:r>
          </w:p>
        </w:tc>
      </w:tr>
      <w:tr w14:paraId="36649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0" w:hRule="atLeast"/>
        </w:trPr>
        <w:tc>
          <w:tcPr>
            <w:tcW w:w="286" w:type="pct"/>
            <w:noWrap/>
            <w:vAlign w:val="center"/>
          </w:tcPr>
          <w:p w14:paraId="509A1110">
            <w:pPr>
              <w:ind w:firstLine="0" w:firstLineChars="0"/>
              <w:jc w:val="center"/>
              <w:rPr>
                <w:color w:val="000000"/>
                <w:sz w:val="21"/>
                <w:szCs w:val="21"/>
              </w:rPr>
            </w:pPr>
            <w:r>
              <w:rPr>
                <w:rFonts w:hint="eastAsia"/>
                <w:color w:val="000000"/>
                <w:sz w:val="21"/>
                <w:szCs w:val="21"/>
              </w:rPr>
              <w:t>1</w:t>
            </w:r>
          </w:p>
        </w:tc>
        <w:tc>
          <w:tcPr>
            <w:tcW w:w="1396" w:type="pct"/>
            <w:noWrap/>
            <w:vAlign w:val="center"/>
          </w:tcPr>
          <w:p w14:paraId="418D6CF4">
            <w:pPr>
              <w:ind w:firstLine="0" w:firstLineChars="0"/>
              <w:jc w:val="center"/>
              <w:rPr>
                <w:color w:val="000000"/>
                <w:sz w:val="21"/>
                <w:szCs w:val="21"/>
              </w:rPr>
            </w:pPr>
            <w:r>
              <w:rPr>
                <w:rFonts w:hint="eastAsia"/>
                <w:color w:val="000000"/>
                <w:sz w:val="21"/>
                <w:szCs w:val="21"/>
              </w:rPr>
              <w:t>山兰大厦路口【国兴大道-营根路】</w:t>
            </w:r>
          </w:p>
        </w:tc>
        <w:tc>
          <w:tcPr>
            <w:tcW w:w="544" w:type="pct"/>
            <w:noWrap/>
            <w:vAlign w:val="center"/>
          </w:tcPr>
          <w:p w14:paraId="699993D2">
            <w:pPr>
              <w:ind w:firstLine="0" w:firstLineChars="0"/>
              <w:jc w:val="center"/>
              <w:rPr>
                <w:color w:val="000000"/>
                <w:sz w:val="21"/>
                <w:szCs w:val="21"/>
              </w:rPr>
            </w:pPr>
            <w:r>
              <w:rPr>
                <w:rFonts w:hint="eastAsia"/>
                <w:color w:val="000000"/>
                <w:sz w:val="21"/>
                <w:szCs w:val="21"/>
              </w:rPr>
              <w:t>109.838227</w:t>
            </w:r>
          </w:p>
        </w:tc>
        <w:tc>
          <w:tcPr>
            <w:tcW w:w="544" w:type="pct"/>
            <w:noWrap/>
            <w:vAlign w:val="center"/>
          </w:tcPr>
          <w:p w14:paraId="43C8CE8F">
            <w:pPr>
              <w:ind w:firstLine="0" w:firstLineChars="0"/>
              <w:jc w:val="center"/>
              <w:rPr>
                <w:color w:val="000000"/>
                <w:sz w:val="21"/>
                <w:szCs w:val="21"/>
              </w:rPr>
            </w:pPr>
            <w:r>
              <w:rPr>
                <w:rFonts w:hint="eastAsia"/>
                <w:color w:val="000000"/>
                <w:sz w:val="21"/>
                <w:szCs w:val="21"/>
              </w:rPr>
              <w:t>19.03656248</w:t>
            </w:r>
          </w:p>
        </w:tc>
        <w:tc>
          <w:tcPr>
            <w:tcW w:w="2229" w:type="pct"/>
            <w:vAlign w:val="center"/>
          </w:tcPr>
          <w:p w14:paraId="09A913AD">
            <w:pPr>
              <w:ind w:firstLine="0" w:firstLineChars="0"/>
              <w:rPr>
                <w:color w:val="000000"/>
                <w:sz w:val="21"/>
                <w:szCs w:val="21"/>
              </w:rPr>
            </w:pPr>
            <w:r>
              <w:rPr>
                <w:rFonts w:hint="eastAsia"/>
                <w:color w:val="000000"/>
                <w:sz w:val="21"/>
                <w:szCs w:val="21"/>
              </w:rPr>
              <w:t>已经有一体化人行灯6个，满足国标要求，可利旧接入</w:t>
            </w:r>
            <w:r>
              <w:rPr>
                <w:rFonts w:hint="eastAsia"/>
                <w:color w:val="000000"/>
                <w:sz w:val="21"/>
                <w:szCs w:val="21"/>
              </w:rPr>
              <w:br w:type="textWrapping"/>
            </w:r>
          </w:p>
        </w:tc>
      </w:tr>
      <w:tr w14:paraId="7EBCC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286" w:type="pct"/>
            <w:noWrap/>
            <w:vAlign w:val="center"/>
          </w:tcPr>
          <w:p w14:paraId="4B2F3B3C">
            <w:pPr>
              <w:ind w:firstLine="0" w:firstLineChars="0"/>
              <w:jc w:val="center"/>
              <w:rPr>
                <w:color w:val="000000"/>
                <w:sz w:val="21"/>
                <w:szCs w:val="21"/>
              </w:rPr>
            </w:pPr>
            <w:r>
              <w:rPr>
                <w:rFonts w:hint="eastAsia"/>
                <w:color w:val="000000"/>
                <w:sz w:val="21"/>
                <w:szCs w:val="21"/>
              </w:rPr>
              <w:t>2</w:t>
            </w:r>
          </w:p>
        </w:tc>
        <w:tc>
          <w:tcPr>
            <w:tcW w:w="1396" w:type="pct"/>
            <w:noWrap/>
            <w:vAlign w:val="center"/>
          </w:tcPr>
          <w:p w14:paraId="6E00552B">
            <w:pPr>
              <w:ind w:firstLine="0" w:firstLineChars="0"/>
              <w:jc w:val="center"/>
              <w:rPr>
                <w:color w:val="000000"/>
                <w:sz w:val="21"/>
                <w:szCs w:val="21"/>
              </w:rPr>
            </w:pPr>
            <w:r>
              <w:rPr>
                <w:rFonts w:hint="eastAsia"/>
                <w:color w:val="000000"/>
                <w:sz w:val="21"/>
                <w:szCs w:val="21"/>
              </w:rPr>
              <w:t>牛营线（营乘路）-黎母大道（S304）</w:t>
            </w:r>
          </w:p>
        </w:tc>
        <w:tc>
          <w:tcPr>
            <w:tcW w:w="544" w:type="pct"/>
            <w:noWrap/>
            <w:vAlign w:val="center"/>
          </w:tcPr>
          <w:p w14:paraId="1DD053CD">
            <w:pPr>
              <w:ind w:firstLine="0" w:firstLineChars="0"/>
              <w:jc w:val="center"/>
              <w:rPr>
                <w:color w:val="000000"/>
                <w:sz w:val="21"/>
                <w:szCs w:val="21"/>
              </w:rPr>
            </w:pPr>
            <w:r>
              <w:rPr>
                <w:rFonts w:hint="eastAsia"/>
                <w:color w:val="000000"/>
                <w:sz w:val="21"/>
                <w:szCs w:val="21"/>
              </w:rPr>
              <w:t>109.858333</w:t>
            </w:r>
          </w:p>
        </w:tc>
        <w:tc>
          <w:tcPr>
            <w:tcW w:w="544" w:type="pct"/>
            <w:noWrap/>
            <w:vAlign w:val="center"/>
          </w:tcPr>
          <w:p w14:paraId="5C2B98A4">
            <w:pPr>
              <w:ind w:firstLine="0" w:firstLineChars="0"/>
              <w:jc w:val="center"/>
              <w:rPr>
                <w:color w:val="000000"/>
                <w:sz w:val="21"/>
                <w:szCs w:val="21"/>
              </w:rPr>
            </w:pPr>
            <w:r>
              <w:rPr>
                <w:rFonts w:hint="eastAsia"/>
                <w:color w:val="000000"/>
                <w:sz w:val="21"/>
                <w:szCs w:val="21"/>
              </w:rPr>
              <w:t>19.017778</w:t>
            </w:r>
          </w:p>
        </w:tc>
        <w:tc>
          <w:tcPr>
            <w:tcW w:w="2229" w:type="pct"/>
            <w:noWrap/>
            <w:vAlign w:val="center"/>
          </w:tcPr>
          <w:p w14:paraId="0F8BBC20">
            <w:pPr>
              <w:ind w:firstLine="0" w:firstLineChars="0"/>
              <w:rPr>
                <w:color w:val="000000"/>
                <w:sz w:val="21"/>
                <w:szCs w:val="21"/>
              </w:rPr>
            </w:pPr>
            <w:r>
              <w:rPr>
                <w:rFonts w:hint="eastAsia"/>
                <w:color w:val="000000"/>
                <w:sz w:val="21"/>
                <w:szCs w:val="21"/>
              </w:rPr>
              <w:t>普通人行灯6台人行灯正常工作，满足国标要求，可利旧接入</w:t>
            </w:r>
          </w:p>
        </w:tc>
      </w:tr>
      <w:tr w14:paraId="450B4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0" w:hRule="atLeast"/>
        </w:trPr>
        <w:tc>
          <w:tcPr>
            <w:tcW w:w="286" w:type="pct"/>
            <w:noWrap/>
            <w:vAlign w:val="center"/>
          </w:tcPr>
          <w:p w14:paraId="2AC5C1C2">
            <w:pPr>
              <w:ind w:firstLine="0" w:firstLineChars="0"/>
              <w:jc w:val="center"/>
              <w:rPr>
                <w:color w:val="000000"/>
                <w:sz w:val="21"/>
                <w:szCs w:val="21"/>
              </w:rPr>
            </w:pPr>
            <w:r>
              <w:rPr>
                <w:rFonts w:hint="eastAsia"/>
                <w:color w:val="000000"/>
                <w:sz w:val="21"/>
                <w:szCs w:val="21"/>
              </w:rPr>
              <w:t>3</w:t>
            </w:r>
          </w:p>
        </w:tc>
        <w:tc>
          <w:tcPr>
            <w:tcW w:w="1396" w:type="pct"/>
            <w:noWrap/>
            <w:vAlign w:val="center"/>
          </w:tcPr>
          <w:p w14:paraId="7FA6FC20">
            <w:pPr>
              <w:ind w:firstLine="0" w:firstLineChars="0"/>
              <w:jc w:val="center"/>
              <w:rPr>
                <w:color w:val="000000"/>
                <w:sz w:val="21"/>
                <w:szCs w:val="21"/>
              </w:rPr>
            </w:pPr>
            <w:r>
              <w:rPr>
                <w:rFonts w:hint="eastAsia"/>
                <w:color w:val="000000"/>
                <w:sz w:val="21"/>
                <w:szCs w:val="21"/>
              </w:rPr>
              <w:t>玉锦大道-海榆中线（G224）</w:t>
            </w:r>
          </w:p>
        </w:tc>
        <w:tc>
          <w:tcPr>
            <w:tcW w:w="544" w:type="pct"/>
            <w:noWrap/>
            <w:vAlign w:val="center"/>
          </w:tcPr>
          <w:p w14:paraId="442350DC">
            <w:pPr>
              <w:ind w:firstLine="0" w:firstLineChars="0"/>
              <w:jc w:val="center"/>
              <w:rPr>
                <w:color w:val="000000"/>
                <w:sz w:val="21"/>
                <w:szCs w:val="21"/>
              </w:rPr>
            </w:pPr>
            <w:r>
              <w:rPr>
                <w:rFonts w:hint="eastAsia"/>
                <w:color w:val="000000"/>
                <w:sz w:val="21"/>
                <w:szCs w:val="21"/>
              </w:rPr>
              <w:t>109.8491591</w:t>
            </w:r>
          </w:p>
        </w:tc>
        <w:tc>
          <w:tcPr>
            <w:tcW w:w="544" w:type="pct"/>
            <w:noWrap/>
            <w:vAlign w:val="center"/>
          </w:tcPr>
          <w:p w14:paraId="19E1DDDE">
            <w:pPr>
              <w:ind w:firstLine="0" w:firstLineChars="0"/>
              <w:jc w:val="center"/>
              <w:rPr>
                <w:color w:val="000000"/>
                <w:sz w:val="21"/>
                <w:szCs w:val="21"/>
              </w:rPr>
            </w:pPr>
            <w:r>
              <w:rPr>
                <w:rFonts w:hint="eastAsia"/>
                <w:color w:val="000000"/>
                <w:sz w:val="21"/>
                <w:szCs w:val="21"/>
              </w:rPr>
              <w:t>19.0580163</w:t>
            </w:r>
          </w:p>
        </w:tc>
        <w:tc>
          <w:tcPr>
            <w:tcW w:w="2229" w:type="pct"/>
            <w:vAlign w:val="center"/>
          </w:tcPr>
          <w:p w14:paraId="09094E3E">
            <w:pPr>
              <w:ind w:firstLine="0" w:firstLineChars="0"/>
              <w:rPr>
                <w:color w:val="000000"/>
                <w:sz w:val="21"/>
                <w:szCs w:val="21"/>
              </w:rPr>
            </w:pPr>
            <w:r>
              <w:rPr>
                <w:rFonts w:hint="eastAsia"/>
                <w:color w:val="000000"/>
                <w:sz w:val="21"/>
                <w:szCs w:val="21"/>
              </w:rPr>
              <w:t>已经有人行一体化灯、信号灯、信号灯控制机等设备，具有智能交通信号控制机可满足后期接入交通控制平台</w:t>
            </w:r>
          </w:p>
        </w:tc>
      </w:tr>
    </w:tbl>
    <w:p w14:paraId="5C2FB1DD">
      <w:pPr>
        <w:ind w:firstLine="480"/>
      </w:pPr>
    </w:p>
    <w:p w14:paraId="2CC754B6">
      <w:pPr>
        <w:pStyle w:val="5"/>
        <w:rPr>
          <w:rFonts w:hint="eastAsia" w:ascii="宋体" w:hAnsi="宋体"/>
        </w:rPr>
      </w:pPr>
      <w:bookmarkStart w:id="39" w:name="_Toc154422411"/>
      <w:r>
        <w:rPr>
          <w:rFonts w:hint="eastAsia" w:ascii="宋体" w:hAnsi="宋体"/>
        </w:rPr>
        <w:t>点位信息</w:t>
      </w:r>
    </w:p>
    <w:p w14:paraId="76099365">
      <w:pPr>
        <w:ind w:firstLine="480"/>
        <w:rPr>
          <w:rFonts w:ascii="Times New Roman" w:hAnsi="Times New Roman"/>
        </w:rPr>
      </w:pPr>
      <w:r>
        <w:rPr>
          <w:rFonts w:hint="eastAsia" w:ascii="Times New Roman" w:hAnsi="Times New Roman"/>
        </w:rPr>
        <w:t>本项目涉及到对信号控制系统的点位信息如下：</w:t>
      </w:r>
    </w:p>
    <w:p w14:paraId="68687C41">
      <w:pPr>
        <w:pStyle w:val="14"/>
      </w:pP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118"/>
        <w:gridCol w:w="851"/>
        <w:gridCol w:w="1701"/>
        <w:gridCol w:w="1417"/>
        <w:gridCol w:w="902"/>
      </w:tblGrid>
      <w:tr w14:paraId="6DCD4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shd w:val="clear" w:color="000000" w:fill="808080"/>
            <w:noWrap/>
            <w:vAlign w:val="center"/>
          </w:tcPr>
          <w:p w14:paraId="0B73BF7B">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序号</w:t>
            </w:r>
          </w:p>
        </w:tc>
        <w:tc>
          <w:tcPr>
            <w:tcW w:w="1829" w:type="pct"/>
            <w:shd w:val="clear" w:color="000000" w:fill="808080"/>
            <w:noWrap/>
            <w:vAlign w:val="center"/>
          </w:tcPr>
          <w:p w14:paraId="72857A71">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卡口</w:t>
            </w:r>
          </w:p>
        </w:tc>
        <w:tc>
          <w:tcPr>
            <w:tcW w:w="499" w:type="pct"/>
            <w:shd w:val="clear" w:color="000000" w:fill="808080"/>
            <w:noWrap/>
            <w:vAlign w:val="center"/>
          </w:tcPr>
          <w:p w14:paraId="05B73A10">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路口类型</w:t>
            </w:r>
          </w:p>
        </w:tc>
        <w:tc>
          <w:tcPr>
            <w:tcW w:w="998" w:type="pct"/>
            <w:shd w:val="clear" w:color="000000" w:fill="808080"/>
            <w:noWrap/>
            <w:vAlign w:val="center"/>
          </w:tcPr>
          <w:p w14:paraId="613B38C6">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经度</w:t>
            </w:r>
          </w:p>
        </w:tc>
        <w:tc>
          <w:tcPr>
            <w:tcW w:w="831" w:type="pct"/>
            <w:shd w:val="clear" w:color="000000" w:fill="808080"/>
            <w:noWrap/>
            <w:vAlign w:val="center"/>
          </w:tcPr>
          <w:p w14:paraId="37FDF047">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纬度</w:t>
            </w:r>
          </w:p>
        </w:tc>
        <w:tc>
          <w:tcPr>
            <w:tcW w:w="529" w:type="pct"/>
            <w:shd w:val="clear" w:color="000000" w:fill="808080"/>
            <w:vAlign w:val="center"/>
          </w:tcPr>
          <w:p w14:paraId="23F7A04C">
            <w:pPr>
              <w:ind w:firstLine="0" w:firstLineChars="0"/>
              <w:jc w:val="center"/>
              <w:rPr>
                <w:rFonts w:ascii="Times New Roman" w:hAnsi="Times New Roman"/>
                <w:b/>
                <w:bCs/>
                <w:color w:val="000000"/>
                <w:sz w:val="21"/>
                <w:szCs w:val="21"/>
              </w:rPr>
            </w:pPr>
            <w:r>
              <w:rPr>
                <w:rFonts w:ascii="Times New Roman" w:hAnsi="Times New Roman"/>
                <w:b/>
                <w:bCs/>
                <w:color w:val="000000"/>
                <w:sz w:val="21"/>
                <w:szCs w:val="21"/>
              </w:rPr>
              <w:t>备注</w:t>
            </w:r>
          </w:p>
        </w:tc>
      </w:tr>
      <w:tr w14:paraId="69E3F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7764DA87">
            <w:pPr>
              <w:ind w:firstLine="0" w:firstLineChars="0"/>
              <w:jc w:val="center"/>
              <w:rPr>
                <w:rFonts w:ascii="Times New Roman" w:hAnsi="Times New Roman"/>
                <w:color w:val="000000"/>
                <w:sz w:val="21"/>
                <w:szCs w:val="21"/>
              </w:rPr>
            </w:pPr>
            <w:r>
              <w:rPr>
                <w:rFonts w:ascii="Times New Roman" w:hAnsi="Times New Roman"/>
                <w:color w:val="000000"/>
                <w:sz w:val="21"/>
                <w:szCs w:val="21"/>
              </w:rPr>
              <w:t>1</w:t>
            </w:r>
          </w:p>
        </w:tc>
        <w:tc>
          <w:tcPr>
            <w:tcW w:w="1829" w:type="pct"/>
            <w:noWrap/>
            <w:vAlign w:val="center"/>
          </w:tcPr>
          <w:p w14:paraId="73206BBE">
            <w:pPr>
              <w:ind w:firstLine="0" w:firstLineChars="0"/>
              <w:jc w:val="center"/>
              <w:rPr>
                <w:rFonts w:ascii="Times New Roman" w:hAnsi="Times New Roman"/>
                <w:color w:val="000000"/>
                <w:sz w:val="21"/>
                <w:szCs w:val="21"/>
              </w:rPr>
            </w:pPr>
            <w:r>
              <w:rPr>
                <w:rFonts w:ascii="Times New Roman" w:hAnsi="Times New Roman"/>
                <w:color w:val="000000"/>
                <w:sz w:val="21"/>
                <w:szCs w:val="21"/>
              </w:rPr>
              <w:t>山兰大厦路口</w:t>
            </w:r>
          </w:p>
          <w:p w14:paraId="3DD25E38">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【国兴大道-营根路】</w:t>
            </w:r>
          </w:p>
        </w:tc>
        <w:tc>
          <w:tcPr>
            <w:tcW w:w="499" w:type="pct"/>
            <w:noWrap/>
            <w:vAlign w:val="center"/>
          </w:tcPr>
          <w:p w14:paraId="4A757078">
            <w:pPr>
              <w:ind w:firstLine="0" w:firstLineChars="0"/>
              <w:jc w:val="center"/>
              <w:rPr>
                <w:rFonts w:ascii="Times New Roman" w:hAnsi="Times New Roman"/>
                <w:color w:val="000000"/>
                <w:sz w:val="21"/>
                <w:szCs w:val="21"/>
              </w:rPr>
            </w:pPr>
            <w:r>
              <w:rPr>
                <w:rFonts w:ascii="Times New Roman" w:hAnsi="Times New Roman"/>
                <w:sz w:val="21"/>
                <w:szCs w:val="21"/>
              </w:rPr>
              <w:t>Y</w:t>
            </w:r>
          </w:p>
        </w:tc>
        <w:tc>
          <w:tcPr>
            <w:tcW w:w="998" w:type="pct"/>
            <w:noWrap/>
            <w:vAlign w:val="center"/>
          </w:tcPr>
          <w:p w14:paraId="16689B8A">
            <w:pPr>
              <w:ind w:firstLine="0" w:firstLineChars="0"/>
              <w:jc w:val="center"/>
              <w:rPr>
                <w:rFonts w:ascii="Times New Roman" w:hAnsi="Times New Roman"/>
                <w:color w:val="000000"/>
                <w:sz w:val="21"/>
                <w:szCs w:val="21"/>
              </w:rPr>
            </w:pPr>
            <w:r>
              <w:rPr>
                <w:rFonts w:ascii="Times New Roman" w:hAnsi="Times New Roman"/>
                <w:sz w:val="21"/>
                <w:szCs w:val="21"/>
              </w:rPr>
              <w:t>109.838227</w:t>
            </w:r>
          </w:p>
        </w:tc>
        <w:tc>
          <w:tcPr>
            <w:tcW w:w="831" w:type="pct"/>
            <w:noWrap/>
            <w:vAlign w:val="center"/>
          </w:tcPr>
          <w:p w14:paraId="4623BED8">
            <w:pPr>
              <w:ind w:firstLine="0" w:firstLineChars="0"/>
              <w:jc w:val="center"/>
              <w:rPr>
                <w:rFonts w:ascii="Times New Roman" w:hAnsi="Times New Roman"/>
                <w:color w:val="000000"/>
                <w:sz w:val="21"/>
                <w:szCs w:val="21"/>
              </w:rPr>
            </w:pPr>
            <w:r>
              <w:rPr>
                <w:rFonts w:ascii="Times New Roman" w:hAnsi="Times New Roman"/>
                <w:sz w:val="21"/>
                <w:szCs w:val="21"/>
              </w:rPr>
              <w:t>19.03656248</w:t>
            </w:r>
          </w:p>
        </w:tc>
        <w:tc>
          <w:tcPr>
            <w:tcW w:w="529" w:type="pct"/>
            <w:vAlign w:val="center"/>
          </w:tcPr>
          <w:p w14:paraId="645D49C5">
            <w:pPr>
              <w:ind w:firstLine="0" w:firstLineChars="0"/>
              <w:jc w:val="center"/>
              <w:rPr>
                <w:rFonts w:ascii="Times New Roman" w:hAnsi="Times New Roman"/>
                <w:sz w:val="21"/>
                <w:szCs w:val="21"/>
              </w:rPr>
            </w:pPr>
          </w:p>
        </w:tc>
      </w:tr>
      <w:tr w14:paraId="5733B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6A11152C">
            <w:pPr>
              <w:ind w:firstLine="0" w:firstLineChars="0"/>
              <w:jc w:val="center"/>
              <w:rPr>
                <w:rFonts w:ascii="Times New Roman" w:hAnsi="Times New Roman"/>
                <w:color w:val="000000"/>
                <w:sz w:val="21"/>
                <w:szCs w:val="21"/>
              </w:rPr>
            </w:pPr>
            <w:r>
              <w:rPr>
                <w:rFonts w:ascii="Times New Roman" w:hAnsi="Times New Roman"/>
                <w:color w:val="000000"/>
                <w:sz w:val="21"/>
                <w:szCs w:val="21"/>
              </w:rPr>
              <w:t>2</w:t>
            </w:r>
          </w:p>
        </w:tc>
        <w:tc>
          <w:tcPr>
            <w:tcW w:w="1829" w:type="pct"/>
            <w:noWrap/>
            <w:vAlign w:val="center"/>
          </w:tcPr>
          <w:p w14:paraId="2C661A2B">
            <w:pPr>
              <w:ind w:firstLine="0" w:firstLineChars="0"/>
              <w:jc w:val="center"/>
              <w:rPr>
                <w:rFonts w:ascii="Times New Roman" w:hAnsi="Times New Roman"/>
                <w:color w:val="000000"/>
                <w:sz w:val="21"/>
                <w:szCs w:val="21"/>
              </w:rPr>
            </w:pPr>
            <w:r>
              <w:rPr>
                <w:rFonts w:ascii="Times New Roman" w:hAnsi="Times New Roman"/>
                <w:color w:val="000000"/>
                <w:sz w:val="21"/>
                <w:szCs w:val="21"/>
              </w:rPr>
              <w:t>零公里路口</w:t>
            </w:r>
          </w:p>
          <w:p w14:paraId="6406ADA6">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【国兴大道-营乘路】</w:t>
            </w:r>
          </w:p>
        </w:tc>
        <w:tc>
          <w:tcPr>
            <w:tcW w:w="499" w:type="pct"/>
            <w:noWrap/>
            <w:vAlign w:val="center"/>
          </w:tcPr>
          <w:p w14:paraId="6F40A4D3">
            <w:pPr>
              <w:ind w:firstLine="0" w:firstLineChars="0"/>
              <w:jc w:val="center"/>
              <w:rPr>
                <w:rFonts w:ascii="Times New Roman" w:hAnsi="Times New Roman"/>
                <w:color w:val="000000"/>
                <w:sz w:val="21"/>
                <w:szCs w:val="21"/>
              </w:rPr>
            </w:pPr>
            <w:r>
              <w:rPr>
                <w:rFonts w:ascii="Times New Roman" w:hAnsi="Times New Roman"/>
                <w:sz w:val="21"/>
                <w:szCs w:val="21"/>
              </w:rPr>
              <w:t>T</w:t>
            </w:r>
          </w:p>
        </w:tc>
        <w:tc>
          <w:tcPr>
            <w:tcW w:w="998" w:type="pct"/>
            <w:noWrap/>
            <w:vAlign w:val="center"/>
          </w:tcPr>
          <w:p w14:paraId="1E002598">
            <w:pPr>
              <w:ind w:firstLine="0" w:firstLineChars="0"/>
              <w:jc w:val="center"/>
              <w:rPr>
                <w:rFonts w:ascii="Times New Roman" w:hAnsi="Times New Roman"/>
                <w:color w:val="000000"/>
                <w:sz w:val="21"/>
                <w:szCs w:val="21"/>
              </w:rPr>
            </w:pPr>
            <w:r>
              <w:rPr>
                <w:rFonts w:ascii="Times New Roman" w:hAnsi="Times New Roman"/>
                <w:sz w:val="21"/>
                <w:szCs w:val="21"/>
              </w:rPr>
              <w:t>109.8435905</w:t>
            </w:r>
          </w:p>
        </w:tc>
        <w:tc>
          <w:tcPr>
            <w:tcW w:w="831" w:type="pct"/>
            <w:noWrap/>
            <w:vAlign w:val="center"/>
          </w:tcPr>
          <w:p w14:paraId="06AF0446">
            <w:pPr>
              <w:ind w:firstLine="0" w:firstLineChars="0"/>
              <w:jc w:val="center"/>
              <w:rPr>
                <w:rFonts w:ascii="Times New Roman" w:hAnsi="Times New Roman"/>
                <w:color w:val="000000"/>
                <w:sz w:val="21"/>
                <w:szCs w:val="21"/>
              </w:rPr>
            </w:pPr>
            <w:r>
              <w:rPr>
                <w:rFonts w:ascii="Times New Roman" w:hAnsi="Times New Roman"/>
                <w:sz w:val="21"/>
                <w:szCs w:val="21"/>
              </w:rPr>
              <w:t>19.03754058</w:t>
            </w:r>
          </w:p>
        </w:tc>
        <w:tc>
          <w:tcPr>
            <w:tcW w:w="529" w:type="pct"/>
            <w:vAlign w:val="center"/>
          </w:tcPr>
          <w:p w14:paraId="0343B2EC">
            <w:pPr>
              <w:ind w:firstLine="0" w:firstLineChars="0"/>
              <w:jc w:val="center"/>
              <w:rPr>
                <w:rFonts w:ascii="Times New Roman" w:hAnsi="Times New Roman"/>
                <w:sz w:val="21"/>
                <w:szCs w:val="21"/>
              </w:rPr>
            </w:pPr>
          </w:p>
        </w:tc>
      </w:tr>
      <w:tr w14:paraId="2A6D5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7537A895">
            <w:pPr>
              <w:ind w:firstLine="0" w:firstLineChars="0"/>
              <w:jc w:val="center"/>
              <w:rPr>
                <w:rFonts w:ascii="Times New Roman" w:hAnsi="Times New Roman"/>
                <w:color w:val="000000"/>
                <w:sz w:val="21"/>
                <w:szCs w:val="21"/>
              </w:rPr>
            </w:pPr>
            <w:r>
              <w:rPr>
                <w:rFonts w:ascii="Times New Roman" w:hAnsi="Times New Roman"/>
                <w:color w:val="000000"/>
                <w:sz w:val="21"/>
                <w:szCs w:val="21"/>
              </w:rPr>
              <w:t>3</w:t>
            </w:r>
          </w:p>
        </w:tc>
        <w:tc>
          <w:tcPr>
            <w:tcW w:w="1829" w:type="pct"/>
            <w:noWrap/>
            <w:vAlign w:val="center"/>
          </w:tcPr>
          <w:p w14:paraId="734B610D">
            <w:pPr>
              <w:ind w:firstLine="0" w:firstLineChars="0"/>
              <w:jc w:val="center"/>
              <w:rPr>
                <w:rFonts w:ascii="Times New Roman" w:hAnsi="Times New Roman"/>
                <w:color w:val="000000"/>
                <w:sz w:val="21"/>
                <w:szCs w:val="21"/>
              </w:rPr>
            </w:pPr>
            <w:r>
              <w:rPr>
                <w:rFonts w:hint="eastAsia" w:ascii="Times New Roman" w:hAnsi="Times New Roman"/>
                <w:color w:val="000000"/>
                <w:sz w:val="21"/>
                <w:szCs w:val="21"/>
              </w:rPr>
              <w:t>国兴大道-</w:t>
            </w:r>
            <w:r>
              <w:rPr>
                <w:rFonts w:ascii="Times New Roman" w:hAnsi="Times New Roman"/>
                <w:color w:val="000000"/>
                <w:sz w:val="21"/>
                <w:szCs w:val="21"/>
              </w:rPr>
              <w:t>兴教路</w:t>
            </w:r>
          </w:p>
        </w:tc>
        <w:tc>
          <w:tcPr>
            <w:tcW w:w="499" w:type="pct"/>
            <w:noWrap/>
            <w:vAlign w:val="center"/>
          </w:tcPr>
          <w:p w14:paraId="2DD7128E">
            <w:pPr>
              <w:ind w:firstLine="0" w:firstLineChars="0"/>
              <w:jc w:val="center"/>
              <w:rPr>
                <w:rFonts w:ascii="Times New Roman" w:hAnsi="Times New Roman"/>
                <w:color w:val="000000"/>
                <w:sz w:val="21"/>
                <w:szCs w:val="21"/>
              </w:rPr>
            </w:pPr>
            <w:r>
              <w:rPr>
                <w:rFonts w:ascii="Times New Roman" w:hAnsi="Times New Roman"/>
                <w:sz w:val="21"/>
                <w:szCs w:val="21"/>
              </w:rPr>
              <w:t>十</w:t>
            </w:r>
          </w:p>
        </w:tc>
        <w:tc>
          <w:tcPr>
            <w:tcW w:w="998" w:type="pct"/>
            <w:noWrap/>
            <w:vAlign w:val="center"/>
          </w:tcPr>
          <w:p w14:paraId="2EEF9B8B">
            <w:pPr>
              <w:ind w:firstLine="0" w:firstLineChars="0"/>
              <w:jc w:val="center"/>
              <w:rPr>
                <w:rFonts w:ascii="Times New Roman" w:hAnsi="Times New Roman"/>
                <w:color w:val="000000"/>
                <w:sz w:val="21"/>
                <w:szCs w:val="21"/>
              </w:rPr>
            </w:pPr>
            <w:r>
              <w:rPr>
                <w:rFonts w:ascii="Times New Roman" w:hAnsi="Times New Roman"/>
                <w:sz w:val="21"/>
                <w:szCs w:val="21"/>
              </w:rPr>
              <w:t>109.8469597</w:t>
            </w:r>
          </w:p>
        </w:tc>
        <w:tc>
          <w:tcPr>
            <w:tcW w:w="831" w:type="pct"/>
            <w:noWrap/>
            <w:vAlign w:val="center"/>
          </w:tcPr>
          <w:p w14:paraId="392EE1B0">
            <w:pPr>
              <w:ind w:firstLine="0" w:firstLineChars="0"/>
              <w:jc w:val="center"/>
              <w:rPr>
                <w:rFonts w:ascii="Times New Roman" w:hAnsi="Times New Roman"/>
                <w:color w:val="000000"/>
                <w:sz w:val="21"/>
                <w:szCs w:val="21"/>
              </w:rPr>
            </w:pPr>
            <w:r>
              <w:rPr>
                <w:rFonts w:ascii="Times New Roman" w:hAnsi="Times New Roman"/>
                <w:sz w:val="21"/>
                <w:szCs w:val="21"/>
              </w:rPr>
              <w:t>19.04126798</w:t>
            </w:r>
          </w:p>
        </w:tc>
        <w:tc>
          <w:tcPr>
            <w:tcW w:w="529" w:type="pct"/>
            <w:vAlign w:val="center"/>
          </w:tcPr>
          <w:p w14:paraId="5694EDA2">
            <w:pPr>
              <w:ind w:firstLine="0" w:firstLineChars="0"/>
              <w:jc w:val="center"/>
              <w:rPr>
                <w:rFonts w:ascii="Times New Roman" w:hAnsi="Times New Roman"/>
                <w:sz w:val="21"/>
                <w:szCs w:val="21"/>
              </w:rPr>
            </w:pPr>
          </w:p>
        </w:tc>
      </w:tr>
      <w:tr w14:paraId="59DB5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4" w:type="pct"/>
            <w:noWrap/>
            <w:vAlign w:val="center"/>
          </w:tcPr>
          <w:p w14:paraId="3EE5C376">
            <w:pPr>
              <w:ind w:firstLine="0" w:firstLineChars="0"/>
              <w:jc w:val="center"/>
              <w:rPr>
                <w:rFonts w:ascii="Times New Roman" w:hAnsi="Times New Roman"/>
                <w:color w:val="000000"/>
                <w:sz w:val="21"/>
                <w:szCs w:val="21"/>
              </w:rPr>
            </w:pPr>
            <w:r>
              <w:rPr>
                <w:rFonts w:ascii="Times New Roman" w:hAnsi="Times New Roman"/>
                <w:color w:val="000000"/>
                <w:sz w:val="21"/>
                <w:szCs w:val="21"/>
              </w:rPr>
              <w:t>4</w:t>
            </w:r>
          </w:p>
        </w:tc>
        <w:tc>
          <w:tcPr>
            <w:tcW w:w="1829" w:type="pct"/>
            <w:noWrap/>
            <w:vAlign w:val="center"/>
          </w:tcPr>
          <w:p w14:paraId="0F884CC1">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国兴大道-龙溪路</w:t>
            </w:r>
          </w:p>
        </w:tc>
        <w:tc>
          <w:tcPr>
            <w:tcW w:w="499" w:type="pct"/>
            <w:noWrap/>
            <w:vAlign w:val="center"/>
          </w:tcPr>
          <w:p w14:paraId="7AF53524">
            <w:pPr>
              <w:ind w:firstLine="0" w:firstLineChars="0"/>
              <w:jc w:val="center"/>
              <w:rPr>
                <w:rFonts w:ascii="Times New Roman" w:hAnsi="Times New Roman"/>
                <w:color w:val="000000"/>
                <w:sz w:val="21"/>
                <w:szCs w:val="21"/>
              </w:rPr>
            </w:pPr>
            <w:r>
              <w:rPr>
                <w:rFonts w:hint="eastAsia" w:ascii="Times New Roman" w:hAnsi="Times New Roman"/>
                <w:sz w:val="21"/>
                <w:szCs w:val="21"/>
              </w:rPr>
              <w:t>T</w:t>
            </w:r>
          </w:p>
        </w:tc>
        <w:tc>
          <w:tcPr>
            <w:tcW w:w="998" w:type="pct"/>
            <w:noWrap/>
            <w:vAlign w:val="center"/>
          </w:tcPr>
          <w:p w14:paraId="2C04ACA7">
            <w:pPr>
              <w:ind w:firstLine="0" w:firstLineChars="0"/>
              <w:jc w:val="center"/>
              <w:rPr>
                <w:rFonts w:ascii="Times New Roman" w:hAnsi="Times New Roman"/>
                <w:color w:val="000000"/>
                <w:sz w:val="21"/>
                <w:szCs w:val="21"/>
              </w:rPr>
            </w:pPr>
            <w:r>
              <w:rPr>
                <w:rFonts w:ascii="Times New Roman" w:hAnsi="Times New Roman"/>
                <w:sz w:val="21"/>
                <w:szCs w:val="21"/>
              </w:rPr>
              <w:t>109.8474483</w:t>
            </w:r>
          </w:p>
        </w:tc>
        <w:tc>
          <w:tcPr>
            <w:tcW w:w="831" w:type="pct"/>
            <w:noWrap/>
            <w:vAlign w:val="center"/>
          </w:tcPr>
          <w:p w14:paraId="4A603ED6">
            <w:pPr>
              <w:ind w:firstLine="0" w:firstLineChars="0"/>
              <w:jc w:val="center"/>
              <w:rPr>
                <w:rFonts w:ascii="Times New Roman" w:hAnsi="Times New Roman"/>
                <w:color w:val="000000"/>
                <w:sz w:val="21"/>
                <w:szCs w:val="21"/>
              </w:rPr>
            </w:pPr>
            <w:r>
              <w:rPr>
                <w:rFonts w:ascii="Times New Roman" w:hAnsi="Times New Roman"/>
                <w:sz w:val="21"/>
                <w:szCs w:val="21"/>
              </w:rPr>
              <w:t>19.04546653</w:t>
            </w:r>
          </w:p>
        </w:tc>
        <w:tc>
          <w:tcPr>
            <w:tcW w:w="529" w:type="pct"/>
            <w:vAlign w:val="center"/>
          </w:tcPr>
          <w:p w14:paraId="69576C1C">
            <w:pPr>
              <w:ind w:firstLine="0" w:firstLineChars="0"/>
              <w:jc w:val="center"/>
              <w:rPr>
                <w:rFonts w:ascii="Times New Roman" w:hAnsi="Times New Roman"/>
                <w:sz w:val="21"/>
                <w:szCs w:val="21"/>
              </w:rPr>
            </w:pPr>
          </w:p>
        </w:tc>
      </w:tr>
      <w:tr w14:paraId="0B2E6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4" w:type="pct"/>
            <w:noWrap/>
            <w:vAlign w:val="center"/>
          </w:tcPr>
          <w:p w14:paraId="4F6E89D8">
            <w:pPr>
              <w:ind w:firstLine="0" w:firstLineChars="0"/>
              <w:jc w:val="center"/>
              <w:rPr>
                <w:rFonts w:ascii="Times New Roman" w:hAnsi="Times New Roman"/>
                <w:color w:val="000000"/>
                <w:sz w:val="21"/>
                <w:szCs w:val="21"/>
              </w:rPr>
            </w:pPr>
            <w:r>
              <w:rPr>
                <w:rFonts w:ascii="Times New Roman" w:hAnsi="Times New Roman"/>
                <w:color w:val="000000"/>
                <w:sz w:val="21"/>
                <w:szCs w:val="21"/>
              </w:rPr>
              <w:t>5</w:t>
            </w:r>
          </w:p>
        </w:tc>
        <w:tc>
          <w:tcPr>
            <w:tcW w:w="1829" w:type="pct"/>
            <w:noWrap/>
            <w:vAlign w:val="center"/>
          </w:tcPr>
          <w:p w14:paraId="5EAAFCB5">
            <w:pPr>
              <w:ind w:firstLine="0" w:firstLineChars="0"/>
              <w:jc w:val="center"/>
              <w:rPr>
                <w:rFonts w:ascii="Times New Roman" w:hAnsi="Times New Roman"/>
                <w:color w:val="000000"/>
                <w:sz w:val="21"/>
                <w:szCs w:val="21"/>
              </w:rPr>
            </w:pPr>
            <w:r>
              <w:rPr>
                <w:rFonts w:ascii="Times New Roman" w:hAnsi="Times New Roman"/>
                <w:color w:val="000000"/>
                <w:sz w:val="21"/>
                <w:szCs w:val="21"/>
              </w:rPr>
              <w:t>国兴大道-三月三大道</w:t>
            </w:r>
          </w:p>
        </w:tc>
        <w:tc>
          <w:tcPr>
            <w:tcW w:w="499" w:type="pct"/>
            <w:noWrap/>
            <w:vAlign w:val="center"/>
          </w:tcPr>
          <w:p w14:paraId="60AD9267">
            <w:pPr>
              <w:ind w:firstLine="0" w:firstLineChars="0"/>
              <w:jc w:val="center"/>
              <w:rPr>
                <w:rFonts w:ascii="Times New Roman" w:hAnsi="Times New Roman"/>
                <w:color w:val="000000"/>
                <w:sz w:val="21"/>
                <w:szCs w:val="21"/>
              </w:rPr>
            </w:pPr>
            <w:r>
              <w:rPr>
                <w:rFonts w:ascii="Times New Roman" w:hAnsi="Times New Roman"/>
                <w:sz w:val="21"/>
                <w:szCs w:val="21"/>
              </w:rPr>
              <w:t>T</w:t>
            </w:r>
          </w:p>
        </w:tc>
        <w:tc>
          <w:tcPr>
            <w:tcW w:w="998" w:type="pct"/>
            <w:noWrap/>
            <w:vAlign w:val="center"/>
          </w:tcPr>
          <w:p w14:paraId="7DD673C6">
            <w:pPr>
              <w:ind w:firstLine="0" w:firstLineChars="0"/>
              <w:jc w:val="center"/>
              <w:rPr>
                <w:rFonts w:ascii="Times New Roman" w:hAnsi="Times New Roman"/>
                <w:color w:val="000000"/>
                <w:sz w:val="21"/>
                <w:szCs w:val="21"/>
              </w:rPr>
            </w:pPr>
            <w:r>
              <w:rPr>
                <w:rFonts w:ascii="Times New Roman" w:hAnsi="Times New Roman"/>
                <w:sz w:val="21"/>
                <w:szCs w:val="21"/>
              </w:rPr>
              <w:t>109.849728</w:t>
            </w:r>
          </w:p>
        </w:tc>
        <w:tc>
          <w:tcPr>
            <w:tcW w:w="831" w:type="pct"/>
            <w:noWrap/>
            <w:vAlign w:val="center"/>
          </w:tcPr>
          <w:p w14:paraId="27246486">
            <w:pPr>
              <w:ind w:firstLine="0" w:firstLineChars="0"/>
              <w:jc w:val="center"/>
              <w:rPr>
                <w:rFonts w:ascii="Times New Roman" w:hAnsi="Times New Roman"/>
                <w:color w:val="000000"/>
                <w:sz w:val="21"/>
                <w:szCs w:val="21"/>
              </w:rPr>
            </w:pPr>
            <w:r>
              <w:rPr>
                <w:rFonts w:ascii="Times New Roman" w:hAnsi="Times New Roman"/>
                <w:sz w:val="21"/>
                <w:szCs w:val="21"/>
              </w:rPr>
              <w:t>19.0525883</w:t>
            </w:r>
          </w:p>
        </w:tc>
        <w:tc>
          <w:tcPr>
            <w:tcW w:w="529" w:type="pct"/>
            <w:vAlign w:val="center"/>
          </w:tcPr>
          <w:p w14:paraId="3A312A3E">
            <w:pPr>
              <w:ind w:firstLine="0" w:firstLineChars="0"/>
              <w:jc w:val="center"/>
              <w:rPr>
                <w:rFonts w:ascii="Times New Roman" w:hAnsi="Times New Roman"/>
                <w:sz w:val="21"/>
                <w:szCs w:val="21"/>
              </w:rPr>
            </w:pPr>
          </w:p>
        </w:tc>
      </w:tr>
      <w:tr w14:paraId="7CCFF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0DBAF3BA">
            <w:pPr>
              <w:ind w:firstLine="0" w:firstLineChars="0"/>
              <w:jc w:val="center"/>
              <w:rPr>
                <w:rFonts w:ascii="Times New Roman" w:hAnsi="Times New Roman"/>
                <w:color w:val="000000"/>
                <w:sz w:val="21"/>
                <w:szCs w:val="21"/>
              </w:rPr>
            </w:pPr>
            <w:r>
              <w:rPr>
                <w:rFonts w:ascii="Times New Roman" w:hAnsi="Times New Roman"/>
                <w:color w:val="000000"/>
                <w:sz w:val="21"/>
                <w:szCs w:val="21"/>
              </w:rPr>
              <w:t>6</w:t>
            </w:r>
          </w:p>
        </w:tc>
        <w:tc>
          <w:tcPr>
            <w:tcW w:w="1829" w:type="pct"/>
            <w:noWrap/>
            <w:vAlign w:val="center"/>
          </w:tcPr>
          <w:p w14:paraId="5824EE80">
            <w:pPr>
              <w:ind w:firstLine="0" w:firstLineChars="0"/>
              <w:jc w:val="center"/>
              <w:rPr>
                <w:rFonts w:ascii="Times New Roman" w:hAnsi="Times New Roman"/>
                <w:color w:val="000000"/>
                <w:sz w:val="21"/>
                <w:szCs w:val="21"/>
              </w:rPr>
            </w:pPr>
            <w:r>
              <w:rPr>
                <w:rFonts w:ascii="Times New Roman" w:hAnsi="Times New Roman"/>
                <w:color w:val="000000"/>
                <w:sz w:val="21"/>
                <w:szCs w:val="21"/>
              </w:rPr>
              <w:t>三月三大道-玉锦大道</w:t>
            </w:r>
          </w:p>
        </w:tc>
        <w:tc>
          <w:tcPr>
            <w:tcW w:w="499" w:type="pct"/>
            <w:noWrap/>
            <w:vAlign w:val="center"/>
          </w:tcPr>
          <w:p w14:paraId="1BDE8CBA">
            <w:pPr>
              <w:ind w:firstLine="0" w:firstLineChars="0"/>
              <w:jc w:val="center"/>
              <w:rPr>
                <w:rFonts w:ascii="Times New Roman" w:hAnsi="Times New Roman"/>
                <w:color w:val="000000"/>
                <w:sz w:val="21"/>
                <w:szCs w:val="21"/>
              </w:rPr>
            </w:pPr>
            <w:r>
              <w:rPr>
                <w:rFonts w:ascii="Times New Roman" w:hAnsi="Times New Roman"/>
                <w:sz w:val="21"/>
                <w:szCs w:val="21"/>
              </w:rPr>
              <w:t>十</w:t>
            </w:r>
          </w:p>
        </w:tc>
        <w:tc>
          <w:tcPr>
            <w:tcW w:w="998" w:type="pct"/>
            <w:noWrap/>
            <w:vAlign w:val="center"/>
          </w:tcPr>
          <w:p w14:paraId="43C98872">
            <w:pPr>
              <w:ind w:firstLine="0" w:firstLineChars="0"/>
              <w:jc w:val="center"/>
              <w:rPr>
                <w:rFonts w:ascii="Times New Roman" w:hAnsi="Times New Roman"/>
                <w:color w:val="000000"/>
                <w:sz w:val="21"/>
                <w:szCs w:val="21"/>
              </w:rPr>
            </w:pPr>
            <w:r>
              <w:rPr>
                <w:rFonts w:ascii="Times New Roman" w:hAnsi="Times New Roman"/>
                <w:sz w:val="21"/>
                <w:szCs w:val="21"/>
              </w:rPr>
              <w:t>109.8534134</w:t>
            </w:r>
          </w:p>
        </w:tc>
        <w:tc>
          <w:tcPr>
            <w:tcW w:w="831" w:type="pct"/>
            <w:noWrap/>
            <w:vAlign w:val="center"/>
          </w:tcPr>
          <w:p w14:paraId="25846531">
            <w:pPr>
              <w:ind w:firstLine="0" w:firstLineChars="0"/>
              <w:jc w:val="center"/>
              <w:rPr>
                <w:rFonts w:ascii="Times New Roman" w:hAnsi="Times New Roman"/>
                <w:color w:val="000000"/>
                <w:sz w:val="21"/>
                <w:szCs w:val="21"/>
              </w:rPr>
            </w:pPr>
            <w:r>
              <w:rPr>
                <w:rFonts w:ascii="Times New Roman" w:hAnsi="Times New Roman"/>
                <w:sz w:val="21"/>
                <w:szCs w:val="21"/>
              </w:rPr>
              <w:t>19.0518024</w:t>
            </w:r>
          </w:p>
        </w:tc>
        <w:tc>
          <w:tcPr>
            <w:tcW w:w="529" w:type="pct"/>
            <w:vAlign w:val="center"/>
          </w:tcPr>
          <w:p w14:paraId="632AD23B">
            <w:pPr>
              <w:ind w:firstLine="0" w:firstLineChars="0"/>
              <w:jc w:val="center"/>
              <w:rPr>
                <w:rFonts w:ascii="Times New Roman" w:hAnsi="Times New Roman"/>
                <w:sz w:val="21"/>
                <w:szCs w:val="21"/>
              </w:rPr>
            </w:pPr>
          </w:p>
        </w:tc>
      </w:tr>
      <w:tr w14:paraId="622E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51F2FD95">
            <w:pPr>
              <w:ind w:firstLine="0" w:firstLineChars="0"/>
              <w:jc w:val="center"/>
              <w:rPr>
                <w:rFonts w:ascii="Times New Roman" w:hAnsi="Times New Roman"/>
                <w:color w:val="000000"/>
                <w:sz w:val="21"/>
                <w:szCs w:val="21"/>
              </w:rPr>
            </w:pPr>
            <w:r>
              <w:rPr>
                <w:rFonts w:ascii="Times New Roman" w:hAnsi="Times New Roman"/>
                <w:color w:val="000000"/>
                <w:sz w:val="21"/>
                <w:szCs w:val="21"/>
              </w:rPr>
              <w:t>7</w:t>
            </w:r>
          </w:p>
        </w:tc>
        <w:tc>
          <w:tcPr>
            <w:tcW w:w="1829" w:type="pct"/>
            <w:noWrap/>
            <w:vAlign w:val="center"/>
          </w:tcPr>
          <w:p w14:paraId="71F72C8B">
            <w:pPr>
              <w:ind w:firstLine="0" w:firstLineChars="0"/>
              <w:jc w:val="center"/>
              <w:rPr>
                <w:rFonts w:ascii="Times New Roman" w:hAnsi="Times New Roman"/>
                <w:color w:val="000000"/>
                <w:sz w:val="21"/>
                <w:szCs w:val="21"/>
              </w:rPr>
            </w:pPr>
            <w:r>
              <w:rPr>
                <w:rFonts w:ascii="Times New Roman" w:hAnsi="Times New Roman"/>
                <w:color w:val="000000"/>
                <w:sz w:val="21"/>
                <w:szCs w:val="21"/>
              </w:rPr>
              <w:t>龙溪路-玉锦大道</w:t>
            </w:r>
          </w:p>
        </w:tc>
        <w:tc>
          <w:tcPr>
            <w:tcW w:w="499" w:type="pct"/>
            <w:noWrap/>
            <w:vAlign w:val="center"/>
          </w:tcPr>
          <w:p w14:paraId="3274D485">
            <w:pPr>
              <w:ind w:firstLine="0" w:firstLineChars="0"/>
              <w:jc w:val="center"/>
              <w:rPr>
                <w:rFonts w:ascii="Times New Roman" w:hAnsi="Times New Roman"/>
                <w:color w:val="000000"/>
                <w:sz w:val="21"/>
                <w:szCs w:val="21"/>
              </w:rPr>
            </w:pPr>
            <w:r>
              <w:rPr>
                <w:rFonts w:ascii="Times New Roman" w:hAnsi="Times New Roman"/>
                <w:sz w:val="21"/>
                <w:szCs w:val="21"/>
              </w:rPr>
              <w:t>十</w:t>
            </w:r>
          </w:p>
        </w:tc>
        <w:tc>
          <w:tcPr>
            <w:tcW w:w="998" w:type="pct"/>
            <w:noWrap/>
            <w:vAlign w:val="center"/>
          </w:tcPr>
          <w:p w14:paraId="4709CE41">
            <w:pPr>
              <w:ind w:firstLine="0" w:firstLineChars="0"/>
              <w:jc w:val="center"/>
              <w:rPr>
                <w:rFonts w:ascii="Times New Roman" w:hAnsi="Times New Roman"/>
                <w:color w:val="000000"/>
                <w:sz w:val="21"/>
                <w:szCs w:val="21"/>
              </w:rPr>
            </w:pPr>
            <w:r>
              <w:rPr>
                <w:rFonts w:ascii="Times New Roman" w:hAnsi="Times New Roman"/>
                <w:sz w:val="21"/>
                <w:szCs w:val="21"/>
              </w:rPr>
              <w:t>109.8535685</w:t>
            </w:r>
          </w:p>
        </w:tc>
        <w:tc>
          <w:tcPr>
            <w:tcW w:w="831" w:type="pct"/>
            <w:noWrap/>
            <w:vAlign w:val="center"/>
          </w:tcPr>
          <w:p w14:paraId="5E3A6895">
            <w:pPr>
              <w:ind w:firstLine="0" w:firstLineChars="0"/>
              <w:jc w:val="center"/>
              <w:rPr>
                <w:rFonts w:ascii="Times New Roman" w:hAnsi="Times New Roman"/>
                <w:color w:val="000000"/>
                <w:sz w:val="21"/>
                <w:szCs w:val="21"/>
              </w:rPr>
            </w:pPr>
            <w:r>
              <w:rPr>
                <w:rFonts w:ascii="Times New Roman" w:hAnsi="Times New Roman"/>
                <w:sz w:val="21"/>
                <w:szCs w:val="21"/>
              </w:rPr>
              <w:t>19.04510985</w:t>
            </w:r>
          </w:p>
        </w:tc>
        <w:tc>
          <w:tcPr>
            <w:tcW w:w="529" w:type="pct"/>
            <w:vAlign w:val="center"/>
          </w:tcPr>
          <w:p w14:paraId="01CAF539">
            <w:pPr>
              <w:ind w:firstLine="0" w:firstLineChars="0"/>
              <w:jc w:val="center"/>
              <w:rPr>
                <w:rFonts w:ascii="Times New Roman" w:hAnsi="Times New Roman"/>
                <w:sz w:val="21"/>
                <w:szCs w:val="21"/>
              </w:rPr>
            </w:pPr>
          </w:p>
        </w:tc>
      </w:tr>
      <w:tr w14:paraId="26B86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230FA1B1">
            <w:pPr>
              <w:ind w:firstLine="0" w:firstLineChars="0"/>
              <w:jc w:val="center"/>
              <w:rPr>
                <w:rFonts w:ascii="Times New Roman" w:hAnsi="Times New Roman"/>
                <w:color w:val="000000"/>
                <w:sz w:val="21"/>
                <w:szCs w:val="21"/>
              </w:rPr>
            </w:pPr>
            <w:r>
              <w:rPr>
                <w:rFonts w:ascii="Times New Roman" w:hAnsi="Times New Roman"/>
                <w:color w:val="000000"/>
                <w:sz w:val="21"/>
                <w:szCs w:val="21"/>
              </w:rPr>
              <w:t>8</w:t>
            </w:r>
          </w:p>
        </w:tc>
        <w:tc>
          <w:tcPr>
            <w:tcW w:w="1829" w:type="pct"/>
            <w:noWrap/>
            <w:vAlign w:val="center"/>
          </w:tcPr>
          <w:p w14:paraId="29BABE6C">
            <w:pPr>
              <w:ind w:firstLine="0" w:firstLineChars="0"/>
              <w:jc w:val="center"/>
              <w:rPr>
                <w:rFonts w:ascii="Times New Roman" w:hAnsi="Times New Roman"/>
                <w:color w:val="000000"/>
                <w:sz w:val="21"/>
                <w:szCs w:val="21"/>
              </w:rPr>
            </w:pPr>
            <w:r>
              <w:rPr>
                <w:rFonts w:ascii="Times New Roman" w:hAnsi="Times New Roman"/>
                <w:color w:val="000000"/>
                <w:sz w:val="21"/>
                <w:szCs w:val="21"/>
              </w:rPr>
              <w:t>兴教路-玉锦大道-万泉河路</w:t>
            </w:r>
          </w:p>
        </w:tc>
        <w:tc>
          <w:tcPr>
            <w:tcW w:w="499" w:type="pct"/>
            <w:noWrap/>
            <w:vAlign w:val="center"/>
          </w:tcPr>
          <w:p w14:paraId="7C27F4C5">
            <w:pPr>
              <w:ind w:firstLine="0" w:firstLineChars="0"/>
              <w:jc w:val="center"/>
              <w:rPr>
                <w:rFonts w:ascii="Times New Roman" w:hAnsi="Times New Roman"/>
                <w:color w:val="000000"/>
                <w:sz w:val="21"/>
                <w:szCs w:val="21"/>
              </w:rPr>
            </w:pPr>
            <w:r>
              <w:rPr>
                <w:rFonts w:ascii="Times New Roman" w:hAnsi="Times New Roman"/>
                <w:sz w:val="21"/>
                <w:szCs w:val="21"/>
              </w:rPr>
              <w:t>大</w:t>
            </w:r>
          </w:p>
        </w:tc>
        <w:tc>
          <w:tcPr>
            <w:tcW w:w="998" w:type="pct"/>
            <w:noWrap/>
            <w:vAlign w:val="center"/>
          </w:tcPr>
          <w:p w14:paraId="23E62AF8">
            <w:pPr>
              <w:ind w:firstLine="0" w:firstLineChars="0"/>
              <w:jc w:val="center"/>
              <w:rPr>
                <w:rFonts w:ascii="Times New Roman" w:hAnsi="Times New Roman"/>
                <w:color w:val="000000"/>
                <w:sz w:val="21"/>
                <w:szCs w:val="21"/>
              </w:rPr>
            </w:pPr>
            <w:r>
              <w:rPr>
                <w:rFonts w:ascii="Times New Roman" w:hAnsi="Times New Roman"/>
                <w:sz w:val="21"/>
                <w:szCs w:val="21"/>
              </w:rPr>
              <w:t>109.8529625</w:t>
            </w:r>
          </w:p>
        </w:tc>
        <w:tc>
          <w:tcPr>
            <w:tcW w:w="831" w:type="pct"/>
            <w:noWrap/>
            <w:vAlign w:val="center"/>
          </w:tcPr>
          <w:p w14:paraId="500B3A3E">
            <w:pPr>
              <w:ind w:firstLine="0" w:firstLineChars="0"/>
              <w:jc w:val="center"/>
              <w:rPr>
                <w:rFonts w:ascii="Times New Roman" w:hAnsi="Times New Roman"/>
                <w:color w:val="000000"/>
                <w:sz w:val="21"/>
                <w:szCs w:val="21"/>
              </w:rPr>
            </w:pPr>
            <w:r>
              <w:rPr>
                <w:rFonts w:ascii="Times New Roman" w:hAnsi="Times New Roman"/>
                <w:sz w:val="21"/>
                <w:szCs w:val="21"/>
              </w:rPr>
              <w:t>19.03779349</w:t>
            </w:r>
          </w:p>
        </w:tc>
        <w:tc>
          <w:tcPr>
            <w:tcW w:w="529" w:type="pct"/>
            <w:vAlign w:val="center"/>
          </w:tcPr>
          <w:p w14:paraId="59C647AB">
            <w:pPr>
              <w:ind w:firstLine="0" w:firstLineChars="0"/>
              <w:jc w:val="center"/>
              <w:rPr>
                <w:rFonts w:ascii="Times New Roman" w:hAnsi="Times New Roman"/>
                <w:sz w:val="21"/>
                <w:szCs w:val="21"/>
              </w:rPr>
            </w:pPr>
          </w:p>
        </w:tc>
      </w:tr>
      <w:tr w14:paraId="46B9C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0A8471A4">
            <w:pPr>
              <w:ind w:firstLine="0" w:firstLineChars="0"/>
              <w:jc w:val="center"/>
              <w:rPr>
                <w:rFonts w:ascii="Times New Roman" w:hAnsi="Times New Roman"/>
                <w:color w:val="000000"/>
                <w:sz w:val="21"/>
                <w:szCs w:val="21"/>
              </w:rPr>
            </w:pPr>
            <w:r>
              <w:rPr>
                <w:rFonts w:ascii="Times New Roman" w:hAnsi="Times New Roman"/>
                <w:color w:val="000000"/>
                <w:sz w:val="21"/>
                <w:szCs w:val="21"/>
              </w:rPr>
              <w:t>9</w:t>
            </w:r>
          </w:p>
        </w:tc>
        <w:tc>
          <w:tcPr>
            <w:tcW w:w="1829" w:type="pct"/>
            <w:noWrap/>
            <w:vAlign w:val="center"/>
          </w:tcPr>
          <w:p w14:paraId="16085242">
            <w:pPr>
              <w:ind w:firstLine="0" w:firstLineChars="0"/>
              <w:jc w:val="center"/>
              <w:rPr>
                <w:rFonts w:ascii="Times New Roman" w:hAnsi="Times New Roman"/>
                <w:color w:val="000000"/>
                <w:sz w:val="21"/>
                <w:szCs w:val="21"/>
              </w:rPr>
            </w:pPr>
            <w:r>
              <w:rPr>
                <w:rFonts w:ascii="Times New Roman" w:hAnsi="Times New Roman"/>
                <w:color w:val="000000"/>
                <w:sz w:val="21"/>
                <w:szCs w:val="21"/>
              </w:rPr>
              <w:t>牛营线（营乘路）-黎母大道（S304）</w:t>
            </w:r>
          </w:p>
        </w:tc>
        <w:tc>
          <w:tcPr>
            <w:tcW w:w="499" w:type="pct"/>
            <w:noWrap/>
            <w:vAlign w:val="center"/>
          </w:tcPr>
          <w:p w14:paraId="584871DC">
            <w:pPr>
              <w:ind w:firstLine="0" w:firstLineChars="0"/>
              <w:jc w:val="center"/>
              <w:rPr>
                <w:rFonts w:ascii="Times New Roman" w:hAnsi="Times New Roman"/>
                <w:color w:val="000000"/>
                <w:sz w:val="21"/>
                <w:szCs w:val="21"/>
              </w:rPr>
            </w:pPr>
            <w:r>
              <w:rPr>
                <w:rFonts w:ascii="Times New Roman" w:hAnsi="Times New Roman"/>
                <w:sz w:val="21"/>
                <w:szCs w:val="21"/>
              </w:rPr>
              <w:t>T</w:t>
            </w:r>
          </w:p>
        </w:tc>
        <w:tc>
          <w:tcPr>
            <w:tcW w:w="998" w:type="pct"/>
            <w:noWrap/>
            <w:vAlign w:val="center"/>
          </w:tcPr>
          <w:p w14:paraId="6E44F47D">
            <w:pPr>
              <w:ind w:firstLine="0" w:firstLineChars="0"/>
              <w:jc w:val="center"/>
              <w:rPr>
                <w:rFonts w:ascii="Times New Roman" w:hAnsi="Times New Roman"/>
                <w:color w:val="000000"/>
                <w:sz w:val="21"/>
                <w:szCs w:val="21"/>
              </w:rPr>
            </w:pPr>
            <w:r>
              <w:rPr>
                <w:rFonts w:ascii="Times New Roman" w:hAnsi="Times New Roman"/>
                <w:sz w:val="21"/>
                <w:szCs w:val="21"/>
              </w:rPr>
              <w:t>109.858333</w:t>
            </w:r>
          </w:p>
        </w:tc>
        <w:tc>
          <w:tcPr>
            <w:tcW w:w="831" w:type="pct"/>
            <w:noWrap/>
            <w:vAlign w:val="center"/>
          </w:tcPr>
          <w:p w14:paraId="66644B01">
            <w:pPr>
              <w:ind w:firstLine="0" w:firstLineChars="0"/>
              <w:jc w:val="center"/>
              <w:rPr>
                <w:rFonts w:ascii="Times New Roman" w:hAnsi="Times New Roman"/>
                <w:color w:val="000000"/>
                <w:sz w:val="21"/>
                <w:szCs w:val="21"/>
              </w:rPr>
            </w:pPr>
            <w:r>
              <w:rPr>
                <w:rFonts w:ascii="Times New Roman" w:hAnsi="Times New Roman"/>
                <w:sz w:val="21"/>
                <w:szCs w:val="21"/>
              </w:rPr>
              <w:t>19.017778</w:t>
            </w:r>
          </w:p>
        </w:tc>
        <w:tc>
          <w:tcPr>
            <w:tcW w:w="529" w:type="pct"/>
            <w:vAlign w:val="center"/>
          </w:tcPr>
          <w:p w14:paraId="309E5F46">
            <w:pPr>
              <w:ind w:firstLine="0" w:firstLineChars="0"/>
              <w:jc w:val="center"/>
              <w:rPr>
                <w:rFonts w:ascii="Times New Roman" w:hAnsi="Times New Roman"/>
                <w:sz w:val="21"/>
                <w:szCs w:val="21"/>
              </w:rPr>
            </w:pPr>
          </w:p>
        </w:tc>
      </w:tr>
      <w:tr w14:paraId="78DB4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604299E7">
            <w:pPr>
              <w:ind w:firstLine="0" w:firstLineChars="0"/>
              <w:jc w:val="center"/>
              <w:rPr>
                <w:rFonts w:ascii="Times New Roman" w:hAnsi="Times New Roman"/>
                <w:color w:val="000000"/>
                <w:sz w:val="21"/>
                <w:szCs w:val="21"/>
              </w:rPr>
            </w:pPr>
            <w:r>
              <w:rPr>
                <w:rFonts w:ascii="Times New Roman" w:hAnsi="Times New Roman"/>
                <w:color w:val="000000"/>
                <w:sz w:val="21"/>
                <w:szCs w:val="21"/>
              </w:rPr>
              <w:t>10</w:t>
            </w:r>
          </w:p>
        </w:tc>
        <w:tc>
          <w:tcPr>
            <w:tcW w:w="1829" w:type="pct"/>
            <w:noWrap/>
            <w:vAlign w:val="center"/>
          </w:tcPr>
          <w:p w14:paraId="76172E66">
            <w:pPr>
              <w:ind w:firstLine="0" w:firstLineChars="0"/>
              <w:jc w:val="center"/>
              <w:rPr>
                <w:rFonts w:ascii="Times New Roman" w:hAnsi="Times New Roman"/>
                <w:color w:val="000000"/>
                <w:sz w:val="21"/>
                <w:szCs w:val="21"/>
              </w:rPr>
            </w:pPr>
            <w:r>
              <w:rPr>
                <w:rFonts w:ascii="Times New Roman" w:hAnsi="Times New Roman"/>
                <w:color w:val="000000"/>
                <w:sz w:val="21"/>
                <w:szCs w:val="21"/>
              </w:rPr>
              <w:t>营</w:t>
            </w:r>
            <w:r>
              <w:rPr>
                <w:rFonts w:hint="eastAsia" w:ascii="Times New Roman" w:hAnsi="Times New Roman"/>
                <w:color w:val="000000"/>
                <w:sz w:val="21"/>
                <w:szCs w:val="21"/>
              </w:rPr>
              <w:t>红路-黎母大道（S304）</w:t>
            </w:r>
          </w:p>
        </w:tc>
        <w:tc>
          <w:tcPr>
            <w:tcW w:w="499" w:type="pct"/>
            <w:noWrap/>
            <w:vAlign w:val="center"/>
          </w:tcPr>
          <w:p w14:paraId="725BE614">
            <w:pPr>
              <w:ind w:firstLine="0" w:firstLineChars="0"/>
              <w:jc w:val="center"/>
              <w:rPr>
                <w:rFonts w:ascii="Times New Roman" w:hAnsi="Times New Roman"/>
                <w:color w:val="000000"/>
                <w:sz w:val="21"/>
                <w:szCs w:val="21"/>
              </w:rPr>
            </w:pPr>
            <w:r>
              <w:rPr>
                <w:rFonts w:ascii="Times New Roman" w:hAnsi="Times New Roman"/>
                <w:sz w:val="21"/>
                <w:szCs w:val="21"/>
              </w:rPr>
              <w:t>十</w:t>
            </w:r>
          </w:p>
        </w:tc>
        <w:tc>
          <w:tcPr>
            <w:tcW w:w="998" w:type="pct"/>
            <w:noWrap/>
          </w:tcPr>
          <w:p w14:paraId="4A96842D">
            <w:pPr>
              <w:ind w:firstLine="0" w:firstLineChars="0"/>
              <w:jc w:val="center"/>
              <w:rPr>
                <w:rFonts w:ascii="Times New Roman" w:hAnsi="Times New Roman"/>
                <w:sz w:val="21"/>
                <w:szCs w:val="21"/>
              </w:rPr>
            </w:pPr>
            <w:r>
              <w:rPr>
                <w:rFonts w:ascii="Times New Roman" w:hAnsi="Times New Roman"/>
                <w:sz w:val="21"/>
                <w:szCs w:val="21"/>
              </w:rPr>
              <w:t>109.8657076</w:t>
            </w:r>
          </w:p>
        </w:tc>
        <w:tc>
          <w:tcPr>
            <w:tcW w:w="831" w:type="pct"/>
            <w:noWrap/>
          </w:tcPr>
          <w:p w14:paraId="0B599661">
            <w:pPr>
              <w:ind w:firstLine="0" w:firstLineChars="0"/>
              <w:jc w:val="center"/>
              <w:rPr>
                <w:rFonts w:ascii="Times New Roman" w:hAnsi="Times New Roman"/>
                <w:sz w:val="21"/>
                <w:szCs w:val="21"/>
              </w:rPr>
            </w:pPr>
            <w:r>
              <w:rPr>
                <w:rFonts w:ascii="Times New Roman" w:hAnsi="Times New Roman"/>
                <w:sz w:val="21"/>
                <w:szCs w:val="21"/>
              </w:rPr>
              <w:t>19.03763193</w:t>
            </w:r>
          </w:p>
        </w:tc>
        <w:tc>
          <w:tcPr>
            <w:tcW w:w="529" w:type="pct"/>
            <w:vAlign w:val="center"/>
          </w:tcPr>
          <w:p w14:paraId="06EACD86">
            <w:pPr>
              <w:ind w:firstLine="0" w:firstLineChars="0"/>
              <w:jc w:val="center"/>
              <w:rPr>
                <w:rFonts w:ascii="Times New Roman" w:hAnsi="Times New Roman"/>
                <w:color w:val="000000"/>
                <w:sz w:val="21"/>
                <w:szCs w:val="21"/>
              </w:rPr>
            </w:pPr>
          </w:p>
        </w:tc>
      </w:tr>
      <w:tr w14:paraId="4AE8F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108D141E">
            <w:pPr>
              <w:ind w:firstLine="0" w:firstLineChars="0"/>
              <w:jc w:val="center"/>
              <w:rPr>
                <w:rFonts w:ascii="Times New Roman" w:hAnsi="Times New Roman"/>
                <w:color w:val="000000"/>
                <w:sz w:val="21"/>
                <w:szCs w:val="21"/>
              </w:rPr>
            </w:pPr>
            <w:r>
              <w:rPr>
                <w:rFonts w:ascii="Times New Roman" w:hAnsi="Times New Roman"/>
                <w:color w:val="000000"/>
                <w:sz w:val="21"/>
                <w:szCs w:val="21"/>
              </w:rPr>
              <w:t>11</w:t>
            </w:r>
          </w:p>
        </w:tc>
        <w:tc>
          <w:tcPr>
            <w:tcW w:w="1829" w:type="pct"/>
            <w:noWrap/>
            <w:vAlign w:val="center"/>
          </w:tcPr>
          <w:p w14:paraId="0F497C12">
            <w:pPr>
              <w:ind w:firstLine="0" w:firstLineChars="0"/>
              <w:jc w:val="center"/>
              <w:rPr>
                <w:rFonts w:ascii="Times New Roman" w:hAnsi="Times New Roman"/>
                <w:color w:val="000000"/>
                <w:sz w:val="21"/>
                <w:szCs w:val="21"/>
              </w:rPr>
            </w:pPr>
            <w:r>
              <w:rPr>
                <w:rFonts w:ascii="Times New Roman" w:hAnsi="Times New Roman"/>
                <w:color w:val="000000"/>
                <w:sz w:val="21"/>
                <w:szCs w:val="21"/>
              </w:rPr>
              <w:t>黎母大道（S304）-三月三大道</w:t>
            </w:r>
          </w:p>
        </w:tc>
        <w:tc>
          <w:tcPr>
            <w:tcW w:w="499" w:type="pct"/>
            <w:noWrap/>
            <w:vAlign w:val="center"/>
          </w:tcPr>
          <w:p w14:paraId="112988B9">
            <w:pPr>
              <w:ind w:firstLine="0" w:firstLineChars="0"/>
              <w:jc w:val="center"/>
              <w:rPr>
                <w:rFonts w:ascii="Times New Roman" w:hAnsi="Times New Roman"/>
                <w:color w:val="000000"/>
                <w:sz w:val="21"/>
                <w:szCs w:val="21"/>
              </w:rPr>
            </w:pPr>
            <w:r>
              <w:rPr>
                <w:rFonts w:ascii="Times New Roman" w:hAnsi="Times New Roman"/>
                <w:sz w:val="21"/>
                <w:szCs w:val="21"/>
              </w:rPr>
              <w:t>T（十）</w:t>
            </w:r>
          </w:p>
        </w:tc>
        <w:tc>
          <w:tcPr>
            <w:tcW w:w="998" w:type="pct"/>
            <w:noWrap/>
            <w:vAlign w:val="center"/>
          </w:tcPr>
          <w:p w14:paraId="016ECDF2">
            <w:pPr>
              <w:ind w:firstLine="0" w:firstLineChars="0"/>
              <w:jc w:val="center"/>
              <w:rPr>
                <w:rFonts w:ascii="Times New Roman" w:hAnsi="Times New Roman"/>
                <w:color w:val="000000"/>
                <w:sz w:val="21"/>
                <w:szCs w:val="21"/>
              </w:rPr>
            </w:pPr>
            <w:r>
              <w:rPr>
                <w:rFonts w:ascii="Times New Roman" w:hAnsi="Times New Roman"/>
                <w:sz w:val="21"/>
                <w:szCs w:val="21"/>
              </w:rPr>
              <w:t>109.8670605</w:t>
            </w:r>
          </w:p>
        </w:tc>
        <w:tc>
          <w:tcPr>
            <w:tcW w:w="831" w:type="pct"/>
            <w:noWrap/>
            <w:vAlign w:val="center"/>
          </w:tcPr>
          <w:p w14:paraId="12DF5AE3">
            <w:pPr>
              <w:ind w:firstLine="0" w:firstLineChars="0"/>
              <w:jc w:val="center"/>
              <w:rPr>
                <w:rFonts w:ascii="Times New Roman" w:hAnsi="Times New Roman"/>
                <w:color w:val="000000"/>
                <w:sz w:val="21"/>
                <w:szCs w:val="21"/>
              </w:rPr>
            </w:pPr>
            <w:r>
              <w:rPr>
                <w:rFonts w:ascii="Times New Roman" w:hAnsi="Times New Roman"/>
                <w:sz w:val="21"/>
                <w:szCs w:val="21"/>
              </w:rPr>
              <w:t>19.04639912</w:t>
            </w:r>
          </w:p>
        </w:tc>
        <w:tc>
          <w:tcPr>
            <w:tcW w:w="529" w:type="pct"/>
            <w:vAlign w:val="center"/>
          </w:tcPr>
          <w:p w14:paraId="1DAE831F">
            <w:pPr>
              <w:ind w:firstLine="0" w:firstLineChars="0"/>
              <w:jc w:val="center"/>
              <w:rPr>
                <w:rFonts w:ascii="Times New Roman" w:hAnsi="Times New Roman"/>
                <w:sz w:val="21"/>
                <w:szCs w:val="21"/>
              </w:rPr>
            </w:pPr>
            <w:r>
              <w:rPr>
                <w:rFonts w:ascii="Times New Roman" w:hAnsi="Times New Roman"/>
                <w:sz w:val="21"/>
                <w:szCs w:val="21"/>
              </w:rPr>
              <w:t>按照十字路口规划</w:t>
            </w:r>
          </w:p>
        </w:tc>
      </w:tr>
      <w:tr w14:paraId="25EEA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65EFDF81">
            <w:pPr>
              <w:ind w:firstLine="0" w:firstLineChars="0"/>
              <w:jc w:val="center"/>
              <w:rPr>
                <w:rFonts w:ascii="Times New Roman" w:hAnsi="Times New Roman"/>
                <w:color w:val="000000"/>
                <w:sz w:val="21"/>
                <w:szCs w:val="21"/>
              </w:rPr>
            </w:pPr>
            <w:r>
              <w:rPr>
                <w:rFonts w:ascii="Times New Roman" w:hAnsi="Times New Roman"/>
                <w:color w:val="000000"/>
                <w:sz w:val="21"/>
                <w:szCs w:val="21"/>
              </w:rPr>
              <w:t>12</w:t>
            </w:r>
          </w:p>
        </w:tc>
        <w:tc>
          <w:tcPr>
            <w:tcW w:w="1829" w:type="pct"/>
            <w:noWrap/>
            <w:vAlign w:val="center"/>
          </w:tcPr>
          <w:p w14:paraId="3E5E57B1">
            <w:pPr>
              <w:ind w:firstLine="0" w:firstLineChars="0"/>
              <w:jc w:val="center"/>
              <w:rPr>
                <w:rFonts w:ascii="Times New Roman" w:hAnsi="Times New Roman"/>
                <w:color w:val="000000"/>
                <w:sz w:val="21"/>
                <w:szCs w:val="21"/>
              </w:rPr>
            </w:pPr>
            <w:r>
              <w:rPr>
                <w:rFonts w:ascii="Times New Roman" w:hAnsi="Times New Roman"/>
                <w:color w:val="000000"/>
                <w:sz w:val="21"/>
                <w:szCs w:val="21"/>
              </w:rPr>
              <w:t>海榆中线（G224）-黎母大道（S304）</w:t>
            </w:r>
          </w:p>
        </w:tc>
        <w:tc>
          <w:tcPr>
            <w:tcW w:w="499" w:type="pct"/>
            <w:noWrap/>
            <w:vAlign w:val="center"/>
          </w:tcPr>
          <w:p w14:paraId="4456F67F">
            <w:pPr>
              <w:ind w:firstLine="0" w:firstLineChars="0"/>
              <w:jc w:val="center"/>
              <w:rPr>
                <w:rFonts w:ascii="Times New Roman" w:hAnsi="Times New Roman"/>
                <w:color w:val="000000"/>
                <w:sz w:val="21"/>
                <w:szCs w:val="21"/>
              </w:rPr>
            </w:pPr>
            <w:r>
              <w:rPr>
                <w:rFonts w:ascii="Times New Roman" w:hAnsi="Times New Roman"/>
                <w:sz w:val="21"/>
                <w:szCs w:val="21"/>
              </w:rPr>
              <w:t>T</w:t>
            </w:r>
          </w:p>
        </w:tc>
        <w:tc>
          <w:tcPr>
            <w:tcW w:w="998" w:type="pct"/>
            <w:noWrap/>
            <w:vAlign w:val="center"/>
          </w:tcPr>
          <w:p w14:paraId="573B2DC4">
            <w:pPr>
              <w:ind w:firstLine="0" w:firstLineChars="0"/>
              <w:jc w:val="center"/>
              <w:rPr>
                <w:rFonts w:ascii="Times New Roman" w:hAnsi="Times New Roman"/>
                <w:color w:val="000000"/>
                <w:sz w:val="21"/>
                <w:szCs w:val="21"/>
              </w:rPr>
            </w:pPr>
            <w:r>
              <w:rPr>
                <w:rFonts w:ascii="Times New Roman" w:hAnsi="Times New Roman"/>
                <w:sz w:val="21"/>
                <w:szCs w:val="21"/>
              </w:rPr>
              <w:t>109.864062</w:t>
            </w:r>
          </w:p>
        </w:tc>
        <w:tc>
          <w:tcPr>
            <w:tcW w:w="831" w:type="pct"/>
            <w:noWrap/>
            <w:vAlign w:val="center"/>
          </w:tcPr>
          <w:p w14:paraId="1457AAEC">
            <w:pPr>
              <w:ind w:firstLine="0" w:firstLineChars="0"/>
              <w:jc w:val="center"/>
              <w:rPr>
                <w:rFonts w:ascii="Times New Roman" w:hAnsi="Times New Roman"/>
                <w:color w:val="000000"/>
                <w:sz w:val="21"/>
                <w:szCs w:val="21"/>
              </w:rPr>
            </w:pPr>
            <w:r>
              <w:rPr>
                <w:rFonts w:ascii="Times New Roman" w:hAnsi="Times New Roman"/>
                <w:sz w:val="21"/>
                <w:szCs w:val="21"/>
              </w:rPr>
              <w:t>19.08195383</w:t>
            </w:r>
          </w:p>
        </w:tc>
        <w:tc>
          <w:tcPr>
            <w:tcW w:w="529" w:type="pct"/>
            <w:vAlign w:val="center"/>
          </w:tcPr>
          <w:p w14:paraId="0244D6BC">
            <w:pPr>
              <w:ind w:firstLine="0" w:firstLineChars="0"/>
              <w:jc w:val="center"/>
              <w:rPr>
                <w:rFonts w:ascii="Times New Roman" w:hAnsi="Times New Roman"/>
                <w:sz w:val="21"/>
                <w:szCs w:val="21"/>
              </w:rPr>
            </w:pPr>
          </w:p>
        </w:tc>
      </w:tr>
      <w:tr w14:paraId="30FF9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 w:type="pct"/>
            <w:noWrap/>
            <w:vAlign w:val="center"/>
          </w:tcPr>
          <w:p w14:paraId="5004B123">
            <w:pPr>
              <w:ind w:firstLine="0" w:firstLineChars="0"/>
              <w:jc w:val="center"/>
              <w:rPr>
                <w:rFonts w:ascii="Times New Roman" w:hAnsi="Times New Roman"/>
                <w:color w:val="000000"/>
                <w:sz w:val="21"/>
                <w:szCs w:val="21"/>
              </w:rPr>
            </w:pPr>
            <w:r>
              <w:rPr>
                <w:rFonts w:ascii="Times New Roman" w:hAnsi="Times New Roman"/>
                <w:color w:val="000000"/>
                <w:sz w:val="21"/>
                <w:szCs w:val="21"/>
              </w:rPr>
              <w:t>13</w:t>
            </w:r>
          </w:p>
        </w:tc>
        <w:tc>
          <w:tcPr>
            <w:tcW w:w="1829" w:type="pct"/>
            <w:noWrap/>
            <w:vAlign w:val="center"/>
          </w:tcPr>
          <w:p w14:paraId="5F0C5C30">
            <w:pPr>
              <w:ind w:firstLine="0" w:firstLineChars="0"/>
              <w:jc w:val="center"/>
              <w:rPr>
                <w:rFonts w:ascii="Times New Roman" w:hAnsi="Times New Roman"/>
                <w:color w:val="000000"/>
                <w:sz w:val="21"/>
                <w:szCs w:val="21"/>
              </w:rPr>
            </w:pPr>
            <w:r>
              <w:rPr>
                <w:rFonts w:ascii="Times New Roman" w:hAnsi="Times New Roman"/>
                <w:color w:val="000000"/>
                <w:sz w:val="21"/>
                <w:szCs w:val="21"/>
              </w:rPr>
              <w:t>玉锦大道-海榆中线（G224）</w:t>
            </w:r>
          </w:p>
        </w:tc>
        <w:tc>
          <w:tcPr>
            <w:tcW w:w="499" w:type="pct"/>
            <w:noWrap/>
            <w:vAlign w:val="center"/>
          </w:tcPr>
          <w:p w14:paraId="78397A6C">
            <w:pPr>
              <w:ind w:firstLine="0" w:firstLineChars="0"/>
              <w:jc w:val="center"/>
              <w:rPr>
                <w:rFonts w:ascii="Times New Roman" w:hAnsi="Times New Roman"/>
                <w:color w:val="000000"/>
                <w:sz w:val="21"/>
                <w:szCs w:val="21"/>
              </w:rPr>
            </w:pPr>
            <w:r>
              <w:rPr>
                <w:rFonts w:ascii="Times New Roman" w:hAnsi="Times New Roman"/>
                <w:sz w:val="21"/>
                <w:szCs w:val="21"/>
              </w:rPr>
              <w:t>十</w:t>
            </w:r>
          </w:p>
        </w:tc>
        <w:tc>
          <w:tcPr>
            <w:tcW w:w="998" w:type="pct"/>
            <w:noWrap/>
            <w:vAlign w:val="center"/>
          </w:tcPr>
          <w:p w14:paraId="501A6B08">
            <w:pPr>
              <w:ind w:firstLine="0" w:firstLineChars="0"/>
              <w:jc w:val="center"/>
              <w:rPr>
                <w:rFonts w:ascii="Times New Roman" w:hAnsi="Times New Roman"/>
                <w:color w:val="000000"/>
                <w:sz w:val="21"/>
                <w:szCs w:val="21"/>
              </w:rPr>
            </w:pPr>
            <w:r>
              <w:rPr>
                <w:rFonts w:ascii="Times New Roman" w:hAnsi="Times New Roman"/>
                <w:sz w:val="21"/>
                <w:szCs w:val="21"/>
              </w:rPr>
              <w:t>109.8491591</w:t>
            </w:r>
          </w:p>
        </w:tc>
        <w:tc>
          <w:tcPr>
            <w:tcW w:w="831" w:type="pct"/>
            <w:noWrap/>
            <w:vAlign w:val="center"/>
          </w:tcPr>
          <w:p w14:paraId="2088FE08">
            <w:pPr>
              <w:ind w:firstLine="0" w:firstLineChars="0"/>
              <w:jc w:val="center"/>
              <w:rPr>
                <w:rFonts w:ascii="Times New Roman" w:hAnsi="Times New Roman"/>
                <w:color w:val="000000"/>
                <w:sz w:val="21"/>
                <w:szCs w:val="21"/>
              </w:rPr>
            </w:pPr>
            <w:r>
              <w:rPr>
                <w:rFonts w:ascii="Times New Roman" w:hAnsi="Times New Roman"/>
                <w:sz w:val="21"/>
                <w:szCs w:val="21"/>
              </w:rPr>
              <w:t>19.0580163</w:t>
            </w:r>
          </w:p>
        </w:tc>
        <w:tc>
          <w:tcPr>
            <w:tcW w:w="529" w:type="pct"/>
            <w:vAlign w:val="center"/>
          </w:tcPr>
          <w:p w14:paraId="42863081">
            <w:pPr>
              <w:ind w:firstLine="0" w:firstLineChars="0"/>
              <w:jc w:val="center"/>
              <w:rPr>
                <w:rFonts w:ascii="Times New Roman" w:hAnsi="Times New Roman"/>
                <w:sz w:val="21"/>
                <w:szCs w:val="21"/>
              </w:rPr>
            </w:pPr>
            <w:r>
              <w:rPr>
                <w:rFonts w:hint="eastAsia" w:ascii="Times New Roman" w:hAnsi="Times New Roman"/>
                <w:sz w:val="21"/>
                <w:szCs w:val="21"/>
              </w:rPr>
              <w:t>按照十字路口规划</w:t>
            </w:r>
          </w:p>
        </w:tc>
      </w:tr>
    </w:tbl>
    <w:p w14:paraId="58307FCE">
      <w:pPr>
        <w:pStyle w:val="6"/>
        <w:spacing w:line="360" w:lineRule="auto"/>
        <w:rPr>
          <w:rFonts w:hint="eastAsia" w:ascii="宋体" w:hAnsi="宋体"/>
        </w:rPr>
      </w:pPr>
      <w:r>
        <w:rPr>
          <w:rFonts w:hint="eastAsia" w:ascii="宋体" w:hAnsi="宋体"/>
        </w:rPr>
        <w:t>前端点位</w:t>
      </w:r>
    </w:p>
    <w:p w14:paraId="57A3E4AA">
      <w:pPr>
        <w:ind w:firstLine="480"/>
        <w:rPr>
          <w:rFonts w:hint="eastAsia" w:ascii="Times New Roman" w:hAnsi="Times New Roman"/>
        </w:rPr>
      </w:pPr>
      <w:r>
        <w:rPr>
          <w:rFonts w:hint="eastAsia" w:ascii="Times New Roman" w:hAnsi="Times New Roman"/>
        </w:rPr>
        <w:t>山兰大厦路口：</w:t>
      </w:r>
    </w:p>
    <w:p w14:paraId="45883E00">
      <w:pPr>
        <w:keepNext/>
        <w:ind w:firstLine="360"/>
        <w:jc w:val="center"/>
      </w:pPr>
      <w:r>
        <w:rPr>
          <w:color w:val="000000"/>
          <w:sz w:val="18"/>
          <w:szCs w:val="18"/>
        </w:rPr>
        <w:drawing>
          <wp:inline distT="0" distB="0" distL="0" distR="0">
            <wp:extent cx="4255770" cy="3017520"/>
            <wp:effectExtent l="0" t="0" r="0" b="0"/>
            <wp:docPr id="1542931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31804" name="图片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255770" cy="3017520"/>
                    </a:xfrm>
                    <a:prstGeom prst="rect">
                      <a:avLst/>
                    </a:prstGeom>
                    <a:noFill/>
                    <a:ln>
                      <a:noFill/>
                    </a:ln>
                  </pic:spPr>
                </pic:pic>
              </a:graphicData>
            </a:graphic>
          </wp:inline>
        </w:drawing>
      </w:r>
    </w:p>
    <w:p w14:paraId="16BF6397">
      <w:pPr>
        <w:ind w:firstLine="480"/>
        <w:rPr>
          <w:rFonts w:hint="eastAsia" w:ascii="Times New Roman" w:hAnsi="Times New Roman"/>
        </w:rPr>
      </w:pPr>
      <w:r>
        <w:rPr>
          <w:rFonts w:hint="eastAsia" w:ascii="Times New Roman" w:hAnsi="Times New Roman"/>
        </w:rPr>
        <w:t>零公里路口：</w:t>
      </w:r>
    </w:p>
    <w:p w14:paraId="475C4650">
      <w:pPr>
        <w:keepNext/>
        <w:ind w:firstLine="360"/>
      </w:pPr>
      <w:r>
        <w:rPr>
          <w:color w:val="000000"/>
          <w:sz w:val="18"/>
          <w:szCs w:val="18"/>
        </w:rPr>
        <w:drawing>
          <wp:inline distT="0" distB="0" distL="0" distR="0">
            <wp:extent cx="5274310" cy="3595370"/>
            <wp:effectExtent l="0" t="0" r="2540" b="5080"/>
            <wp:docPr id="21048268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26861" name="图片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74310" cy="3595370"/>
                    </a:xfrm>
                    <a:prstGeom prst="rect">
                      <a:avLst/>
                    </a:prstGeom>
                    <a:noFill/>
                    <a:ln>
                      <a:noFill/>
                    </a:ln>
                  </pic:spPr>
                </pic:pic>
              </a:graphicData>
            </a:graphic>
          </wp:inline>
        </w:drawing>
      </w:r>
    </w:p>
    <w:p w14:paraId="3A023637">
      <w:pPr>
        <w:ind w:firstLine="480"/>
        <w:rPr>
          <w:rFonts w:hint="eastAsia" w:ascii="Times New Roman" w:hAnsi="Times New Roman"/>
        </w:rPr>
      </w:pPr>
      <w:r>
        <w:rPr>
          <w:rFonts w:hint="eastAsia" w:ascii="Times New Roman" w:hAnsi="Times New Roman"/>
        </w:rPr>
        <w:t>国兴大道与兴教路交汇处：</w:t>
      </w:r>
    </w:p>
    <w:p w14:paraId="01E6BCF1">
      <w:pPr>
        <w:keepNext/>
        <w:ind w:firstLine="360"/>
      </w:pPr>
      <w:r>
        <w:rPr>
          <w:color w:val="000000"/>
          <w:sz w:val="18"/>
          <w:szCs w:val="18"/>
        </w:rPr>
        <w:drawing>
          <wp:inline distT="0" distB="0" distL="0" distR="0">
            <wp:extent cx="4663440" cy="3996690"/>
            <wp:effectExtent l="0" t="0" r="3810" b="3810"/>
            <wp:docPr id="8446408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40853" name="图片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669136" cy="4001714"/>
                    </a:xfrm>
                    <a:prstGeom prst="rect">
                      <a:avLst/>
                    </a:prstGeom>
                    <a:noFill/>
                    <a:ln>
                      <a:noFill/>
                    </a:ln>
                  </pic:spPr>
                </pic:pic>
              </a:graphicData>
            </a:graphic>
          </wp:inline>
        </w:drawing>
      </w:r>
    </w:p>
    <w:p w14:paraId="0BEB1EAE">
      <w:pPr>
        <w:ind w:firstLine="480"/>
        <w:rPr>
          <w:rFonts w:hint="eastAsia" w:ascii="Times New Roman" w:hAnsi="Times New Roman"/>
        </w:rPr>
      </w:pPr>
      <w:r>
        <w:rPr>
          <w:rFonts w:hint="eastAsia" w:ascii="Times New Roman" w:hAnsi="Times New Roman"/>
        </w:rPr>
        <w:t>国兴大道与龙溪路交汇：</w:t>
      </w:r>
    </w:p>
    <w:p w14:paraId="5604A45F">
      <w:pPr>
        <w:keepNext/>
        <w:ind w:firstLine="360"/>
        <w:jc w:val="center"/>
      </w:pPr>
      <w:r>
        <w:rPr>
          <w:color w:val="000000"/>
          <w:sz w:val="18"/>
          <w:szCs w:val="18"/>
        </w:rPr>
        <w:drawing>
          <wp:inline distT="0" distB="0" distL="0" distR="0">
            <wp:extent cx="5120640" cy="3812540"/>
            <wp:effectExtent l="0" t="0" r="3810" b="0"/>
            <wp:docPr id="16666591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659106" name="图片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120640" cy="3812540"/>
                    </a:xfrm>
                    <a:prstGeom prst="rect">
                      <a:avLst/>
                    </a:prstGeom>
                    <a:noFill/>
                    <a:ln>
                      <a:noFill/>
                    </a:ln>
                  </pic:spPr>
                </pic:pic>
              </a:graphicData>
            </a:graphic>
          </wp:inline>
        </w:drawing>
      </w:r>
    </w:p>
    <w:p w14:paraId="0B22B2F6">
      <w:pPr>
        <w:ind w:firstLine="480"/>
        <w:rPr>
          <w:rFonts w:hint="eastAsia" w:ascii="Times New Roman" w:hAnsi="Times New Roman"/>
        </w:rPr>
      </w:pPr>
      <w:r>
        <w:rPr>
          <w:rFonts w:hint="eastAsia" w:ascii="Times New Roman" w:hAnsi="Times New Roman"/>
        </w:rPr>
        <w:t>国兴大道与三月三大道交汇处：</w:t>
      </w:r>
    </w:p>
    <w:p w14:paraId="4D38457B">
      <w:pPr>
        <w:keepNext/>
        <w:ind w:firstLine="482"/>
        <w:jc w:val="center"/>
      </w:pPr>
      <w:r>
        <w:rPr>
          <w:b/>
          <w:color w:val="000000"/>
          <w:szCs w:val="21"/>
        </w:rPr>
        <w:drawing>
          <wp:inline distT="0" distB="0" distL="0" distR="0">
            <wp:extent cx="4438650" cy="3594100"/>
            <wp:effectExtent l="0" t="0" r="0" b="6350"/>
            <wp:docPr id="13646210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621048" name="图片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438650" cy="3594100"/>
                    </a:xfrm>
                    <a:prstGeom prst="rect">
                      <a:avLst/>
                    </a:prstGeom>
                    <a:noFill/>
                    <a:ln>
                      <a:noFill/>
                    </a:ln>
                  </pic:spPr>
                </pic:pic>
              </a:graphicData>
            </a:graphic>
          </wp:inline>
        </w:drawing>
      </w:r>
    </w:p>
    <w:p w14:paraId="02CE6FC8">
      <w:pPr>
        <w:ind w:firstLine="480"/>
        <w:rPr>
          <w:rFonts w:hint="eastAsia" w:ascii="Times New Roman" w:hAnsi="Times New Roman"/>
        </w:rPr>
      </w:pPr>
      <w:r>
        <w:rPr>
          <w:rFonts w:hint="eastAsia" w:ascii="Times New Roman" w:hAnsi="Times New Roman"/>
        </w:rPr>
        <w:t>三月三大道与玉锦大道交汇处：</w:t>
      </w:r>
    </w:p>
    <w:p w14:paraId="44A2F4F1">
      <w:pPr>
        <w:keepNext/>
        <w:ind w:firstLine="360"/>
        <w:jc w:val="center"/>
      </w:pPr>
      <w:r>
        <w:rPr>
          <w:color w:val="000000"/>
          <w:sz w:val="18"/>
          <w:szCs w:val="18"/>
        </w:rPr>
        <w:drawing>
          <wp:inline distT="0" distB="0" distL="0" distR="0">
            <wp:extent cx="4613910" cy="3896995"/>
            <wp:effectExtent l="0" t="0" r="0" b="8255"/>
            <wp:docPr id="12775202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520246" name="图片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613910" cy="3896995"/>
                    </a:xfrm>
                    <a:prstGeom prst="rect">
                      <a:avLst/>
                    </a:prstGeom>
                    <a:noFill/>
                    <a:ln>
                      <a:noFill/>
                    </a:ln>
                  </pic:spPr>
                </pic:pic>
              </a:graphicData>
            </a:graphic>
          </wp:inline>
        </w:drawing>
      </w:r>
    </w:p>
    <w:p w14:paraId="3A9B9E9D">
      <w:pPr>
        <w:ind w:firstLine="480"/>
        <w:rPr>
          <w:rFonts w:hint="eastAsia" w:ascii="Times New Roman" w:hAnsi="Times New Roman"/>
        </w:rPr>
      </w:pPr>
      <w:r>
        <w:rPr>
          <w:rFonts w:hint="eastAsia" w:ascii="Times New Roman" w:hAnsi="Times New Roman"/>
        </w:rPr>
        <w:t>龙溪路与玉锦大道交汇处：</w:t>
      </w:r>
    </w:p>
    <w:p w14:paraId="7F20CE70">
      <w:pPr>
        <w:keepNext/>
        <w:ind w:firstLine="360"/>
      </w:pPr>
      <w:r>
        <w:rPr>
          <w:color w:val="000000"/>
          <w:sz w:val="18"/>
          <w:szCs w:val="18"/>
        </w:rPr>
        <w:drawing>
          <wp:inline distT="0" distB="0" distL="0" distR="0">
            <wp:extent cx="5268595" cy="3917950"/>
            <wp:effectExtent l="0" t="0" r="8255" b="6350"/>
            <wp:docPr id="3599383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938305" name="图片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68595" cy="3917950"/>
                    </a:xfrm>
                    <a:prstGeom prst="rect">
                      <a:avLst/>
                    </a:prstGeom>
                    <a:noFill/>
                    <a:ln>
                      <a:noFill/>
                    </a:ln>
                  </pic:spPr>
                </pic:pic>
              </a:graphicData>
            </a:graphic>
          </wp:inline>
        </w:drawing>
      </w:r>
    </w:p>
    <w:p w14:paraId="289CA3FD">
      <w:pPr>
        <w:ind w:firstLine="480"/>
        <w:rPr>
          <w:rFonts w:hint="eastAsia" w:ascii="Times New Roman" w:hAnsi="Times New Roman"/>
        </w:rPr>
      </w:pPr>
      <w:r>
        <w:rPr>
          <w:rFonts w:hint="eastAsia" w:ascii="Times New Roman" w:hAnsi="Times New Roman"/>
        </w:rPr>
        <w:t>兴教路与玉锦大道及万泉河路交汇处：</w:t>
      </w:r>
    </w:p>
    <w:p w14:paraId="1C4BD9C9">
      <w:pPr>
        <w:keepNext/>
        <w:ind w:firstLine="480"/>
      </w:pPr>
      <w:r>
        <w:drawing>
          <wp:inline distT="0" distB="0" distL="0" distR="0">
            <wp:extent cx="5274310" cy="2686050"/>
            <wp:effectExtent l="0" t="0" r="2540" b="0"/>
            <wp:docPr id="13271364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136431" name="图片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4310" cy="2686050"/>
                    </a:xfrm>
                    <a:prstGeom prst="rect">
                      <a:avLst/>
                    </a:prstGeom>
                    <a:noFill/>
                    <a:ln>
                      <a:noFill/>
                    </a:ln>
                  </pic:spPr>
                </pic:pic>
              </a:graphicData>
            </a:graphic>
          </wp:inline>
        </w:drawing>
      </w:r>
    </w:p>
    <w:p w14:paraId="24EEA254">
      <w:pPr>
        <w:ind w:firstLine="480"/>
        <w:rPr>
          <w:rFonts w:hint="eastAsia" w:ascii="Times New Roman" w:hAnsi="Times New Roman"/>
        </w:rPr>
      </w:pPr>
      <w:r>
        <w:rPr>
          <w:rFonts w:hint="eastAsia" w:ascii="Times New Roman" w:hAnsi="Times New Roman"/>
        </w:rPr>
        <w:t>营乘路与S304交汇处：</w:t>
      </w:r>
    </w:p>
    <w:p w14:paraId="71D62DBB">
      <w:pPr>
        <w:keepNext/>
        <w:ind w:firstLine="360"/>
      </w:pPr>
      <w:r>
        <w:rPr>
          <w:color w:val="000000"/>
          <w:sz w:val="18"/>
          <w:szCs w:val="18"/>
        </w:rPr>
        <w:drawing>
          <wp:inline distT="0" distB="0" distL="0" distR="0">
            <wp:extent cx="5274310" cy="3222625"/>
            <wp:effectExtent l="0" t="0" r="2540" b="0"/>
            <wp:docPr id="571626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26283" name="图片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74310" cy="3222625"/>
                    </a:xfrm>
                    <a:prstGeom prst="rect">
                      <a:avLst/>
                    </a:prstGeom>
                    <a:noFill/>
                    <a:ln>
                      <a:noFill/>
                    </a:ln>
                  </pic:spPr>
                </pic:pic>
              </a:graphicData>
            </a:graphic>
          </wp:inline>
        </w:drawing>
      </w:r>
    </w:p>
    <w:p w14:paraId="40A54822">
      <w:pPr>
        <w:ind w:firstLine="480"/>
        <w:rPr>
          <w:rFonts w:hint="eastAsia" w:ascii="Times New Roman" w:hAnsi="Times New Roman"/>
        </w:rPr>
      </w:pPr>
      <w:r>
        <w:rPr>
          <w:rFonts w:hint="eastAsia" w:ascii="Times New Roman" w:hAnsi="Times New Roman"/>
        </w:rPr>
        <w:t>营红路与S304交汇处：</w:t>
      </w:r>
    </w:p>
    <w:p w14:paraId="1FCD1B18">
      <w:pPr>
        <w:keepNext/>
        <w:ind w:firstLine="360"/>
      </w:pPr>
      <w:r>
        <w:rPr>
          <w:color w:val="000000"/>
          <w:sz w:val="18"/>
          <w:szCs w:val="18"/>
        </w:rPr>
        <w:drawing>
          <wp:inline distT="0" distB="0" distL="0" distR="0">
            <wp:extent cx="5268595" cy="4044315"/>
            <wp:effectExtent l="0" t="0" r="8255" b="0"/>
            <wp:docPr id="18895361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536125" name="图片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68595" cy="4044315"/>
                    </a:xfrm>
                    <a:prstGeom prst="rect">
                      <a:avLst/>
                    </a:prstGeom>
                    <a:noFill/>
                    <a:ln>
                      <a:noFill/>
                    </a:ln>
                  </pic:spPr>
                </pic:pic>
              </a:graphicData>
            </a:graphic>
          </wp:inline>
        </w:drawing>
      </w:r>
    </w:p>
    <w:p w14:paraId="1A9519EC">
      <w:pPr>
        <w:ind w:firstLine="480"/>
        <w:rPr>
          <w:rFonts w:hint="eastAsia" w:ascii="Times New Roman" w:hAnsi="Times New Roman"/>
        </w:rPr>
      </w:pPr>
      <w:r>
        <w:rPr>
          <w:rFonts w:hint="eastAsia" w:ascii="Times New Roman" w:hAnsi="Times New Roman"/>
        </w:rPr>
        <w:t>S304与三月三大道交汇处：</w:t>
      </w:r>
    </w:p>
    <w:p w14:paraId="65104108">
      <w:pPr>
        <w:keepNext/>
        <w:ind w:firstLine="360"/>
      </w:pPr>
      <w:r>
        <w:rPr>
          <w:color w:val="000000"/>
          <w:sz w:val="18"/>
          <w:szCs w:val="18"/>
        </w:rPr>
        <w:drawing>
          <wp:inline distT="0" distB="0" distL="0" distR="0">
            <wp:extent cx="5268595" cy="3812540"/>
            <wp:effectExtent l="0" t="0" r="8255" b="0"/>
            <wp:docPr id="1449663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66366" name="图片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268595" cy="3812540"/>
                    </a:xfrm>
                    <a:prstGeom prst="rect">
                      <a:avLst/>
                    </a:prstGeom>
                    <a:noFill/>
                    <a:ln>
                      <a:noFill/>
                    </a:ln>
                  </pic:spPr>
                </pic:pic>
              </a:graphicData>
            </a:graphic>
          </wp:inline>
        </w:drawing>
      </w:r>
    </w:p>
    <w:p w14:paraId="3B9BC8FE">
      <w:pPr>
        <w:ind w:firstLine="480"/>
        <w:rPr>
          <w:rFonts w:hint="eastAsia" w:ascii="Times New Roman" w:hAnsi="Times New Roman"/>
        </w:rPr>
      </w:pPr>
      <w:r>
        <w:rPr>
          <w:rFonts w:hint="eastAsia" w:ascii="Times New Roman" w:hAnsi="Times New Roman"/>
        </w:rPr>
        <w:t>G224与S304交汇处：</w:t>
      </w:r>
    </w:p>
    <w:p w14:paraId="627A8021">
      <w:pPr>
        <w:keepNext/>
        <w:ind w:firstLine="482"/>
        <w:jc w:val="center"/>
      </w:pPr>
      <w:r>
        <w:rPr>
          <w:b/>
          <w:color w:val="000000"/>
          <w:szCs w:val="21"/>
        </w:rPr>
        <w:drawing>
          <wp:inline distT="0" distB="0" distL="0" distR="0">
            <wp:extent cx="4417060" cy="3214370"/>
            <wp:effectExtent l="0" t="0" r="2540" b="5080"/>
            <wp:docPr id="4127320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32028"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417060" cy="3214370"/>
                    </a:xfrm>
                    <a:prstGeom prst="rect">
                      <a:avLst/>
                    </a:prstGeom>
                    <a:noFill/>
                    <a:ln>
                      <a:noFill/>
                    </a:ln>
                  </pic:spPr>
                </pic:pic>
              </a:graphicData>
            </a:graphic>
          </wp:inline>
        </w:drawing>
      </w:r>
    </w:p>
    <w:p w14:paraId="10925340">
      <w:pPr>
        <w:ind w:firstLine="480"/>
        <w:rPr>
          <w:rFonts w:hint="eastAsia" w:ascii="Times New Roman" w:hAnsi="Times New Roman"/>
        </w:rPr>
      </w:pPr>
      <w:r>
        <w:rPr>
          <w:rFonts w:hint="eastAsia" w:ascii="Times New Roman" w:hAnsi="Times New Roman"/>
        </w:rPr>
        <w:t>玉锦大道</w:t>
      </w:r>
      <w:r>
        <w:rPr>
          <w:rFonts w:ascii="Times New Roman" w:hAnsi="Times New Roman"/>
        </w:rPr>
        <w:t>-</w:t>
      </w:r>
      <w:r>
        <w:rPr>
          <w:rFonts w:hint="eastAsia" w:ascii="Times New Roman" w:hAnsi="Times New Roman"/>
        </w:rPr>
        <w:t>海榆中线（</w:t>
      </w:r>
      <w:r>
        <w:rPr>
          <w:rFonts w:ascii="Times New Roman" w:hAnsi="Times New Roman"/>
        </w:rPr>
        <w:t>G224</w:t>
      </w:r>
      <w:r>
        <w:rPr>
          <w:rFonts w:hint="eastAsia" w:ascii="Times New Roman" w:hAnsi="Times New Roman"/>
        </w:rPr>
        <w:t>）：</w:t>
      </w:r>
    </w:p>
    <w:p w14:paraId="589068E2">
      <w:pPr>
        <w:keepNext/>
        <w:ind w:firstLine="480"/>
      </w:pPr>
      <w:r>
        <w:drawing>
          <wp:inline distT="0" distB="0" distL="0" distR="0">
            <wp:extent cx="4635500" cy="3783965"/>
            <wp:effectExtent l="0" t="0" r="0" b="6985"/>
            <wp:docPr id="1836308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0884"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635500" cy="3783965"/>
                    </a:xfrm>
                    <a:prstGeom prst="rect">
                      <a:avLst/>
                    </a:prstGeom>
                    <a:noFill/>
                    <a:ln>
                      <a:noFill/>
                    </a:ln>
                  </pic:spPr>
                </pic:pic>
              </a:graphicData>
            </a:graphic>
          </wp:inline>
        </w:drawing>
      </w:r>
    </w:p>
    <w:p w14:paraId="37148D81">
      <w:pPr>
        <w:pStyle w:val="5"/>
        <w:rPr>
          <w:rFonts w:hint="eastAsia" w:ascii="宋体" w:hAnsi="宋体"/>
        </w:rPr>
      </w:pPr>
      <w:r>
        <w:rPr>
          <w:rFonts w:hint="eastAsia" w:ascii="宋体" w:hAnsi="宋体"/>
        </w:rPr>
        <w:t>设备架设</w:t>
      </w:r>
      <w:bookmarkEnd w:id="39"/>
    </w:p>
    <w:p w14:paraId="2A855AD1">
      <w:pPr>
        <w:pStyle w:val="6"/>
      </w:pPr>
      <w:r>
        <w:rPr>
          <w:rFonts w:hint="eastAsia"/>
        </w:rPr>
        <w:t>单点定时控制</w:t>
      </w:r>
    </w:p>
    <w:p w14:paraId="58F9CC4E">
      <w:pPr>
        <w:ind w:firstLine="480"/>
      </w:pPr>
      <w:r>
        <w:rPr>
          <w:rFonts w:hint="eastAsia"/>
        </w:rPr>
        <w:t>单点定时控制只要依赖信号机和信号灯就可实现，信号灯及信号机的安装需满足《道路交通信号灯设置与安装规范》（</w:t>
      </w:r>
      <w:r>
        <w:t>GB14886 2016</w:t>
      </w:r>
      <w:r>
        <w:rPr>
          <w:rFonts w:hint="eastAsia"/>
        </w:rPr>
        <w:t>）等标准要求。</w:t>
      </w:r>
    </w:p>
    <w:p w14:paraId="021FB803">
      <w:pPr>
        <w:pStyle w:val="6"/>
      </w:pPr>
      <w:r>
        <w:rPr>
          <w:rFonts w:hint="eastAsia"/>
        </w:rPr>
        <w:t>单点感应控制</w:t>
      </w:r>
    </w:p>
    <w:p w14:paraId="15E2FF3E">
      <w:pPr>
        <w:ind w:firstLine="480"/>
      </w:pPr>
      <w:r>
        <w:rPr>
          <w:rFonts w:hint="eastAsia"/>
        </w:rPr>
        <w:t>实现单点感应控制需要架设雷视等感知设备，雷视等感知设备采用信号灯杆式架设，具体架设方案如下。</w:t>
      </w:r>
    </w:p>
    <w:p w14:paraId="4066B130">
      <w:pPr>
        <w:pStyle w:val="49"/>
        <w:widowControl/>
        <w:numPr>
          <w:ilvl w:val="0"/>
          <w:numId w:val="2"/>
        </w:numPr>
        <w:ind w:firstLineChars="0"/>
        <w:jc w:val="left"/>
      </w:pPr>
      <w:r>
        <w:rPr>
          <w:rFonts w:hint="eastAsia"/>
        </w:rPr>
        <w:t>标准十字路口架设方案</w:t>
      </w:r>
    </w:p>
    <w:p w14:paraId="3EA849BE">
      <w:pPr>
        <w:ind w:firstLine="480"/>
      </w:pPr>
      <w:r>
        <w:rPr>
          <w:rFonts w:hint="eastAsia"/>
        </w:rPr>
        <w:t>场景特征：十字路口每个方向的信号灯杆距离对向进口道停止线均小于80米。</w:t>
      </w:r>
    </w:p>
    <w:p w14:paraId="02230B46">
      <w:pPr>
        <w:ind w:firstLine="480"/>
      </w:pPr>
      <w:r>
        <w:rPr>
          <w:rFonts w:hint="eastAsia"/>
        </w:rPr>
        <w:t>雷视等感知设备安装于L形悬臂式信号灯杆上，信号灯杆必须正对对向进口道。设备尽量正对进口道中央位置安装，安装高度建议6-8米左右。路口每个方向的每个受信号控制的车道均需覆盖雷视等感知设备。</w:t>
      </w:r>
    </w:p>
    <w:p w14:paraId="5921C68E">
      <w:pPr>
        <w:ind w:firstLine="480"/>
      </w:pPr>
      <w:r>
        <w:rPr>
          <w:rFonts w:hint="eastAsia"/>
        </w:rPr>
        <w:t>标准路口设备架设图：</w:t>
      </w:r>
    </w:p>
    <w:p w14:paraId="7FCB08D4">
      <w:pPr>
        <w:keepNext/>
        <w:ind w:firstLine="480"/>
        <w:jc w:val="center"/>
      </w:pPr>
      <w:r>
        <w:object>
          <v:shape id="_x0000_i1041" o:spt="75" type="#_x0000_t75" style="height:340.6pt;width:337.85pt;" o:ole="t" filled="f" o:preferrelative="t" stroked="f" coordsize="21600,21600">
            <v:path/>
            <v:fill on="f" focussize="0,0"/>
            <v:stroke on="f" joinstyle="miter"/>
            <v:imagedata r:id="rId59" o:title=""/>
            <o:lock v:ext="edit" aspectratio="t"/>
            <w10:wrap type="none"/>
            <w10:anchorlock/>
          </v:shape>
          <o:OLEObject Type="Embed" ProgID="Visio.Drawing.15" ShapeID="_x0000_i1041" DrawAspect="Content" ObjectID="_1468075741" r:id="rId58">
            <o:LockedField>false</o:LockedField>
          </o:OLEObject>
        </w:object>
      </w:r>
    </w:p>
    <w:p w14:paraId="51C5BC3A">
      <w:pPr>
        <w:pStyle w:val="49"/>
        <w:widowControl/>
        <w:numPr>
          <w:ilvl w:val="0"/>
          <w:numId w:val="2"/>
        </w:numPr>
        <w:ind w:firstLineChars="0"/>
        <w:jc w:val="left"/>
      </w:pPr>
      <w:r>
        <w:rPr>
          <w:rFonts w:hint="eastAsia"/>
        </w:rPr>
        <w:t>超大十字路口架设方案</w:t>
      </w:r>
    </w:p>
    <w:p w14:paraId="29D2DEA1">
      <w:pPr>
        <w:ind w:firstLine="480"/>
      </w:pPr>
      <w:r>
        <w:rPr>
          <w:rFonts w:hint="eastAsia"/>
        </w:rPr>
        <w:t>场景特征：十字路口存在某个方向的信号灯杆距离对向进口道停止线大于80米。</w:t>
      </w:r>
    </w:p>
    <w:p w14:paraId="19B38D00">
      <w:pPr>
        <w:ind w:firstLine="480"/>
      </w:pPr>
      <w:r>
        <w:rPr>
          <w:rFonts w:hint="eastAsia"/>
        </w:rPr>
        <w:t>针对信号灯杆距离对向进口道停止线大于80米的方向，选择覆盖3</w:t>
      </w:r>
      <w:r>
        <w:t>50米以上的</w:t>
      </w:r>
      <w:r>
        <w:rPr>
          <w:rFonts w:hint="eastAsia"/>
        </w:rPr>
        <w:t>雷视等感知设备。安装在L形悬臂式信号灯杆上，信号灯杆必须正对对向进口道。雷视等感知设备尽量正对进口道中央位置安装，安装高度建议6-8米左右。路口每个方向的每个受信号控制的车道均需覆盖雷视。</w:t>
      </w:r>
    </w:p>
    <w:p w14:paraId="1834E98E">
      <w:pPr>
        <w:ind w:firstLine="480"/>
      </w:pPr>
      <w:r>
        <w:rPr>
          <w:rFonts w:hint="eastAsia"/>
        </w:rPr>
        <w:t>超大十字路口设备架设图：</w:t>
      </w:r>
    </w:p>
    <w:p w14:paraId="40F0BB09">
      <w:pPr>
        <w:keepNext/>
        <w:ind w:firstLine="480"/>
        <w:jc w:val="center"/>
      </w:pPr>
      <w:r>
        <w:object>
          <v:shape id="_x0000_i1042" o:spt="75" type="#_x0000_t75" style="height:365pt;width:383.8pt;" o:ole="t" filled="f" o:preferrelative="t" stroked="f" coordsize="21600,21600">
            <v:path/>
            <v:fill on="f" focussize="0,0"/>
            <v:stroke on="f" joinstyle="miter"/>
            <v:imagedata r:id="rId61" o:title=""/>
            <o:lock v:ext="edit" aspectratio="t"/>
            <w10:wrap type="none"/>
            <w10:anchorlock/>
          </v:shape>
          <o:OLEObject Type="Embed" ProgID="Visio.Drawing.15" ShapeID="_x0000_i1042" DrawAspect="Content" ObjectID="_1468075742" r:id="rId60">
            <o:LockedField>false</o:LockedField>
          </o:OLEObject>
        </w:object>
      </w:r>
    </w:p>
    <w:p w14:paraId="47E2F213">
      <w:pPr>
        <w:pStyle w:val="49"/>
        <w:widowControl/>
        <w:numPr>
          <w:ilvl w:val="0"/>
          <w:numId w:val="2"/>
        </w:numPr>
        <w:ind w:firstLineChars="0"/>
        <w:jc w:val="left"/>
      </w:pPr>
      <w:r>
        <w:rPr>
          <w:rFonts w:hint="eastAsia"/>
        </w:rPr>
        <w:t>其他路口架设方案</w:t>
      </w:r>
    </w:p>
    <w:p w14:paraId="686DA4FB">
      <w:pPr>
        <w:ind w:firstLine="480"/>
      </w:pPr>
      <w:r>
        <w:rPr>
          <w:rFonts w:hint="eastAsia"/>
        </w:rPr>
        <w:t>对于丁字路口、环岛路口、多路交叉路口、畸形路口，雷视等感知设备架设的原则就是“保证雷视能覆盖每个进口道受信号灯控的车道，能准确采集车道流量、排队长度等交通流参数”，根据实际杆件情况和“80米原则”，确定雷视等感知设备的架设位置。</w:t>
      </w:r>
    </w:p>
    <w:p w14:paraId="515F2878">
      <w:pPr>
        <w:pStyle w:val="6"/>
      </w:pPr>
      <w:r>
        <w:rPr>
          <w:rFonts w:hint="eastAsia"/>
        </w:rPr>
        <w:t>单点自适应控制</w:t>
      </w:r>
    </w:p>
    <w:p w14:paraId="4AA06407">
      <w:pPr>
        <w:ind w:firstLine="480"/>
      </w:pPr>
      <w:r>
        <w:rPr>
          <w:rFonts w:hint="eastAsia"/>
        </w:rPr>
        <w:t>实现单点自适应控制需要架设雷视等感知设备，雷视等感知设备采用信号灯杆式架设，具体架设方案同单点感应控制。</w:t>
      </w:r>
    </w:p>
    <w:p w14:paraId="062A319F">
      <w:pPr>
        <w:pStyle w:val="6"/>
      </w:pPr>
      <w:r>
        <w:rPr>
          <w:rFonts w:hint="eastAsia"/>
        </w:rPr>
        <w:t>单点实时优化控制</w:t>
      </w:r>
    </w:p>
    <w:p w14:paraId="1BBE4268">
      <w:pPr>
        <w:ind w:firstLine="480"/>
      </w:pPr>
      <w:r>
        <w:rPr>
          <w:rFonts w:hint="eastAsia"/>
        </w:rPr>
        <w:t>实现单点实时优化控制需要架设雷视等感知设备，雷视等感知设备采用信号灯杆式架设，具体架设方案同单点感应控制。</w:t>
      </w:r>
    </w:p>
    <w:p w14:paraId="751ADB24">
      <w:pPr>
        <w:ind w:firstLine="0" w:firstLineChars="0"/>
        <w:rPr>
          <w:rFonts w:hint="eastAsia"/>
        </w:rPr>
      </w:pPr>
    </w:p>
    <w:p w14:paraId="5EE4F760">
      <w:pPr>
        <w:pStyle w:val="5"/>
      </w:pPr>
      <w:r>
        <w:rPr>
          <w:rFonts w:hint="eastAsia"/>
        </w:rPr>
        <w:t>实现功能</w:t>
      </w:r>
    </w:p>
    <w:p w14:paraId="10F2FF49">
      <w:pPr>
        <w:pStyle w:val="6"/>
      </w:pPr>
      <w:bookmarkStart w:id="40" w:name="_Toc154422378"/>
      <w:r>
        <w:rPr>
          <w:rFonts w:hint="eastAsia"/>
        </w:rPr>
        <w:t>信号机基础功能</w:t>
      </w:r>
      <w:bookmarkEnd w:id="40"/>
    </w:p>
    <w:p w14:paraId="55384C17">
      <w:pPr>
        <w:ind w:firstLine="480"/>
      </w:pPr>
      <w:r>
        <w:rPr>
          <w:rFonts w:hint="eastAsia"/>
        </w:rPr>
        <w:t>信号机是交通信号控制的核心单元，是城市交通系统中非常重要的组成部分。信号机应具备基础功能，包括但不限于具备联网、车检数据接入、交通参数接入、校时、升级等功能，以满足常规的信号控制需求。信号机的基础功能主要包括以下几点。</w:t>
      </w:r>
    </w:p>
    <w:p w14:paraId="6BCBED83">
      <w:pPr>
        <w:pStyle w:val="6"/>
      </w:pPr>
      <w:r>
        <w:rPr>
          <w:rFonts w:hint="eastAsia"/>
        </w:rPr>
        <w:t>联网功能</w:t>
      </w:r>
    </w:p>
    <w:p w14:paraId="0963AEA8">
      <w:pPr>
        <w:ind w:firstLine="480"/>
      </w:pPr>
      <w:r>
        <w:rPr>
          <w:rFonts w:hint="eastAsia"/>
        </w:rPr>
        <w:t>信号机均</w:t>
      </w:r>
      <w:bookmarkStart w:id="41" w:name="_Hlk183595289"/>
      <w:r>
        <w:rPr>
          <w:rFonts w:hint="eastAsia"/>
        </w:rPr>
        <w:t>具备联网功能，通过网络接口与后台中心端实现远程控制和管理。</w:t>
      </w:r>
    </w:p>
    <w:bookmarkEnd w:id="41"/>
    <w:p w14:paraId="50302471">
      <w:pPr>
        <w:pStyle w:val="9"/>
        <w:rPr>
          <w:rFonts w:hint="eastAsia" w:ascii="宋体" w:hAnsi="宋体"/>
        </w:rPr>
      </w:pPr>
      <w:r>
        <w:rPr>
          <w:rFonts w:hint="eastAsia" w:ascii="宋体" w:hAnsi="宋体"/>
        </w:rPr>
        <w:t>车检数据接入功能</w:t>
      </w:r>
    </w:p>
    <w:p w14:paraId="61F2F2D8">
      <w:pPr>
        <w:ind w:firstLine="480"/>
      </w:pPr>
      <w:r>
        <w:rPr>
          <w:rFonts w:hint="eastAsia"/>
        </w:rPr>
        <w:t>信号机</w:t>
      </w:r>
      <w:r>
        <w:t>通过自带网络接口接受</w:t>
      </w:r>
      <w:r>
        <w:rPr>
          <w:rFonts w:hint="eastAsia"/>
        </w:rPr>
        <w:t>前端设备</w:t>
      </w:r>
      <w:r>
        <w:t>车辆检测器的相关数据</w:t>
      </w:r>
      <w:r>
        <w:rPr>
          <w:rFonts w:hint="eastAsia"/>
        </w:rPr>
        <w:t>。</w:t>
      </w:r>
    </w:p>
    <w:p w14:paraId="405B229C">
      <w:pPr>
        <w:ind w:firstLine="480"/>
      </w:pPr>
      <w:r>
        <w:rPr>
          <w:rFonts w:hint="eastAsia"/>
        </w:rPr>
        <w:t>信号机运行时接入的大量现场交通数据，可实时上传到控制中心，控制中心通过对交通数据的存储和处理，可以直接用于交通控制，还可以为交通指挥调度和城市交通规划提供准确科学的量化依据。</w:t>
      </w:r>
    </w:p>
    <w:p w14:paraId="034B81DC">
      <w:pPr>
        <w:pStyle w:val="9"/>
        <w:rPr>
          <w:rFonts w:hint="eastAsia" w:ascii="宋体" w:hAnsi="宋体"/>
        </w:rPr>
      </w:pPr>
      <w:r>
        <w:rPr>
          <w:rFonts w:hint="eastAsia" w:ascii="宋体" w:hAnsi="宋体"/>
        </w:rPr>
        <w:t>车路协同信息交互功能</w:t>
      </w:r>
    </w:p>
    <w:p w14:paraId="02C17778">
      <w:pPr>
        <w:ind w:firstLine="480"/>
      </w:pPr>
      <w:r>
        <w:rPr>
          <w:rFonts w:hint="eastAsia"/>
        </w:rPr>
        <w:t>信号机支持与路侧车联网边缘计算终端等进行信息交互，信号机发送的消息类型包括信号机运行状态、信号控制方式、信号灯灯色状态、车道/匝道控制状态、当前信号方案灯色信息、下一个周期信号方案灯色信息、交通流信息、交通运行状态信息、车辆运行状态信息、交通事件信息等。</w:t>
      </w:r>
    </w:p>
    <w:p w14:paraId="5310DFF5">
      <w:pPr>
        <w:pStyle w:val="9"/>
        <w:rPr>
          <w:rFonts w:hint="eastAsia" w:ascii="宋体" w:hAnsi="宋体"/>
        </w:rPr>
      </w:pPr>
      <w:r>
        <w:rPr>
          <w:rFonts w:hint="eastAsia" w:ascii="宋体" w:hAnsi="宋体"/>
        </w:rPr>
        <w:t>校时功能</w:t>
      </w:r>
    </w:p>
    <w:p w14:paraId="496C8EAB">
      <w:pPr>
        <w:ind w:firstLine="480"/>
      </w:pPr>
      <w:r>
        <w:rPr>
          <w:rFonts w:hint="eastAsia"/>
        </w:rPr>
        <w:t>信号机支持接收来自控制平台的校时、N</w:t>
      </w:r>
      <w:r>
        <w:t>TP</w:t>
      </w:r>
      <w:r>
        <w:rPr>
          <w:rFonts w:hint="eastAsia"/>
        </w:rPr>
        <w:t>的校时和主动获取GPS信息来对系统进行校时。</w:t>
      </w:r>
    </w:p>
    <w:p w14:paraId="64AA120E">
      <w:pPr>
        <w:pStyle w:val="9"/>
        <w:rPr>
          <w:rFonts w:hint="eastAsia" w:ascii="宋体" w:hAnsi="宋体"/>
        </w:rPr>
      </w:pPr>
      <w:r>
        <w:rPr>
          <w:rFonts w:hint="eastAsia" w:ascii="宋体" w:hAnsi="宋体"/>
        </w:rPr>
        <w:t>无缝升级功能</w:t>
      </w:r>
    </w:p>
    <w:p w14:paraId="6B839E6A">
      <w:pPr>
        <w:ind w:firstLine="480"/>
      </w:pPr>
      <w:r>
        <w:rPr>
          <w:rFonts w:hint="eastAsia"/>
        </w:rPr>
        <w:t>信号机升级时能够保证信号机</w:t>
      </w:r>
      <w:r>
        <w:t>程序</w:t>
      </w:r>
      <w:r>
        <w:rPr>
          <w:rFonts w:hint="eastAsia"/>
        </w:rPr>
        <w:t>升级之后状态无缝衔接，即信号机升级之后的第一个周期不再是启动黄闪和全红，而是无缝衔接升级之前的状态，包括控制类型、控制模式以及控制方案，若是定周期控制还能保证倒计时的无缝衔接。</w:t>
      </w:r>
    </w:p>
    <w:p w14:paraId="336147F6">
      <w:pPr>
        <w:pStyle w:val="9"/>
        <w:rPr>
          <w:rFonts w:hint="eastAsia" w:ascii="宋体" w:hAnsi="宋体"/>
        </w:rPr>
      </w:pPr>
      <w:bookmarkStart w:id="42" w:name="_Toc154422408"/>
      <w:bookmarkStart w:id="43" w:name="_Toc154422406"/>
      <w:r>
        <w:rPr>
          <w:rFonts w:hint="eastAsia" w:ascii="宋体" w:hAnsi="宋体"/>
        </w:rPr>
        <w:t>信号机保障功能</w:t>
      </w:r>
      <w:bookmarkEnd w:id="42"/>
    </w:p>
    <w:p w14:paraId="36128128">
      <w:pPr>
        <w:pStyle w:val="48"/>
        <w:numPr>
          <w:ilvl w:val="0"/>
          <w:numId w:val="3"/>
        </w:numPr>
        <w:spacing w:line="360" w:lineRule="auto"/>
        <w:ind w:firstLineChars="0"/>
        <w:rPr>
          <w:rFonts w:hint="eastAsia"/>
          <w:sz w:val="24"/>
        </w:rPr>
      </w:pPr>
      <w:r>
        <w:rPr>
          <w:rFonts w:hint="eastAsia"/>
          <w:sz w:val="24"/>
        </w:rPr>
        <w:t>设备故障自检和处理功能</w:t>
      </w:r>
    </w:p>
    <w:p w14:paraId="7EF1BEBC">
      <w:pPr>
        <w:ind w:firstLine="480"/>
      </w:pPr>
      <w:r>
        <w:rPr>
          <w:rFonts w:hint="eastAsia"/>
        </w:rPr>
        <w:t>信号机配备独立的故障检测模块，可以对内、外设备进行故障监测、自诊断和记录功能，当发现故障后进行故障降级来确保交通安全，并发出故障警示信号。信号机故障类型分为严重故障和一般故障，其中严重故障包括：绿冲突故障、同一灯组红绿冲突故障、连接在某一输出的所有信号灯组的红灯同时发生故障以及电压超出正常使用范围等故障。一般故障包括：通信故障、检测器故障等。</w:t>
      </w:r>
    </w:p>
    <w:p w14:paraId="1B2F1F05">
      <w:pPr>
        <w:pStyle w:val="48"/>
        <w:numPr>
          <w:ilvl w:val="0"/>
          <w:numId w:val="4"/>
        </w:numPr>
        <w:spacing w:line="360" w:lineRule="auto"/>
        <w:ind w:left="0" w:firstLine="480"/>
        <w:rPr>
          <w:rFonts w:hint="eastAsia"/>
          <w:sz w:val="24"/>
        </w:rPr>
      </w:pPr>
      <w:r>
        <w:rPr>
          <w:rFonts w:hint="eastAsia"/>
          <w:sz w:val="24"/>
        </w:rPr>
        <w:t>当出现绿冲突、某信号组所有红灯均熄灭或信号灯组红灯、绿灯同时点亮时，信号机能立即自动切断信号输出通道，转入黄闪状态。当出现黄灯、绿灯故障、通信故障或检测器故障时，信号机能够在功能降级的情况下继续运行。信号机能对所有运行期间发生的故障信息以代码或文本形式进行存储记录。所存储的信息能在信号机或者信号机相连的外部设备上显示、查阅。</w:t>
      </w:r>
    </w:p>
    <w:p w14:paraId="79C5CBDE">
      <w:pPr>
        <w:pStyle w:val="48"/>
        <w:numPr>
          <w:ilvl w:val="0"/>
          <w:numId w:val="4"/>
        </w:numPr>
        <w:spacing w:line="360" w:lineRule="auto"/>
        <w:ind w:left="0" w:firstLine="480"/>
        <w:rPr>
          <w:rFonts w:hint="eastAsia"/>
          <w:sz w:val="24"/>
        </w:rPr>
      </w:pPr>
      <w:r>
        <w:rPr>
          <w:rFonts w:hint="eastAsia"/>
          <w:sz w:val="24"/>
        </w:rPr>
        <w:t>当信号机无法正常工作时，能通过独立的黄闪控制装置将信号输出切换为黄闪状态。</w:t>
      </w:r>
    </w:p>
    <w:p w14:paraId="342B07AC">
      <w:pPr>
        <w:pStyle w:val="48"/>
        <w:numPr>
          <w:ilvl w:val="0"/>
          <w:numId w:val="4"/>
        </w:numPr>
        <w:spacing w:line="360" w:lineRule="auto"/>
        <w:ind w:left="0" w:firstLine="480"/>
        <w:rPr>
          <w:rFonts w:hint="eastAsia"/>
          <w:sz w:val="24"/>
        </w:rPr>
      </w:pPr>
      <w:r>
        <w:rPr>
          <w:rFonts w:hint="eastAsia"/>
          <w:sz w:val="24"/>
        </w:rPr>
        <w:t>主控单元</w:t>
      </w:r>
      <w:r>
        <w:rPr>
          <w:sz w:val="24"/>
        </w:rPr>
        <w:t>失效处置功能:</w:t>
      </w:r>
      <w:r>
        <w:rPr>
          <w:rFonts w:hint="eastAsia"/>
          <w:sz w:val="24"/>
        </w:rPr>
        <w:t>信号机</w:t>
      </w:r>
      <w:r>
        <w:rPr>
          <w:sz w:val="24"/>
        </w:rPr>
        <w:t>执行定周期工作方式,当主控单元发生故障时,当前路口放行状态不受影响</w:t>
      </w:r>
      <w:r>
        <w:rPr>
          <w:rFonts w:hint="eastAsia"/>
          <w:sz w:val="24"/>
        </w:rPr>
        <w:t>,</w:t>
      </w:r>
      <w:r>
        <w:rPr>
          <w:sz w:val="24"/>
        </w:rPr>
        <w:t>能继续执行定周期工作方式,无灭灯现象;当主控单元故障解除时,能自动回复主动控制</w:t>
      </w:r>
      <w:r>
        <w:rPr>
          <w:rFonts w:hint="eastAsia"/>
          <w:sz w:val="24"/>
        </w:rPr>
        <w:t>。</w:t>
      </w:r>
    </w:p>
    <w:p w14:paraId="71D22D6B">
      <w:pPr>
        <w:pStyle w:val="48"/>
        <w:numPr>
          <w:ilvl w:val="0"/>
          <w:numId w:val="3"/>
        </w:numPr>
        <w:spacing w:line="360" w:lineRule="auto"/>
        <w:ind w:left="0" w:firstLine="480"/>
        <w:rPr>
          <w:rFonts w:hint="eastAsia"/>
          <w:sz w:val="24"/>
        </w:rPr>
      </w:pPr>
      <w:r>
        <w:rPr>
          <w:rFonts w:hint="eastAsia"/>
          <w:sz w:val="24"/>
        </w:rPr>
        <w:t>降级功能</w:t>
      </w:r>
    </w:p>
    <w:p w14:paraId="27255D34">
      <w:pPr>
        <w:ind w:firstLine="480"/>
      </w:pPr>
      <w:r>
        <w:rPr>
          <w:rFonts w:hint="eastAsia"/>
        </w:rPr>
        <w:t>信号机发生异常时会自动进行降级运行。包括以下情况：</w:t>
      </w:r>
    </w:p>
    <w:p w14:paraId="5F756D21">
      <w:pPr>
        <w:pStyle w:val="48"/>
        <w:numPr>
          <w:ilvl w:val="0"/>
          <w:numId w:val="5"/>
        </w:numPr>
        <w:spacing w:line="360" w:lineRule="auto"/>
        <w:ind w:left="0" w:firstLine="480"/>
        <w:rPr>
          <w:rFonts w:hint="eastAsia"/>
          <w:sz w:val="24"/>
        </w:rPr>
      </w:pPr>
      <w:r>
        <w:rPr>
          <w:sz w:val="24"/>
        </w:rPr>
        <w:t>与中心计算机联网发生脱机，自动转换为多时段定时运行；</w:t>
      </w:r>
    </w:p>
    <w:p w14:paraId="36E871A4">
      <w:pPr>
        <w:pStyle w:val="48"/>
        <w:numPr>
          <w:ilvl w:val="0"/>
          <w:numId w:val="5"/>
        </w:numPr>
        <w:spacing w:line="360" w:lineRule="auto"/>
        <w:ind w:left="0" w:firstLine="480"/>
        <w:rPr>
          <w:rFonts w:hint="eastAsia"/>
          <w:sz w:val="24"/>
        </w:rPr>
      </w:pPr>
      <w:r>
        <w:rPr>
          <w:sz w:val="24"/>
        </w:rPr>
        <w:t>车辆检测器异常产生时，停止感应控制，自动转换为中心控制或多时段定时运行；</w:t>
      </w:r>
    </w:p>
    <w:p w14:paraId="0E5C7493">
      <w:pPr>
        <w:pStyle w:val="48"/>
        <w:numPr>
          <w:ilvl w:val="0"/>
          <w:numId w:val="5"/>
        </w:numPr>
        <w:spacing w:line="360" w:lineRule="auto"/>
        <w:ind w:left="0" w:firstLine="480"/>
        <w:rPr>
          <w:rFonts w:hint="eastAsia"/>
          <w:sz w:val="24"/>
        </w:rPr>
      </w:pPr>
      <w:r>
        <w:rPr>
          <w:sz w:val="24"/>
        </w:rPr>
        <w:t>信号机运行中若检测出配时异常，自动转换为固定配时方案运行；</w:t>
      </w:r>
    </w:p>
    <w:p w14:paraId="0BF0F6A2">
      <w:pPr>
        <w:pStyle w:val="48"/>
        <w:numPr>
          <w:ilvl w:val="0"/>
          <w:numId w:val="5"/>
        </w:numPr>
        <w:spacing w:line="360" w:lineRule="auto"/>
        <w:ind w:left="0" w:firstLine="480"/>
        <w:rPr>
          <w:rFonts w:hint="eastAsia"/>
          <w:sz w:val="24"/>
        </w:rPr>
      </w:pPr>
      <w:r>
        <w:rPr>
          <w:sz w:val="24"/>
        </w:rPr>
        <w:t>信号机运行中若产生绿-绿冲突或某一信号灯组红灯熄灭，立即自动转换为执行黄闪或熄灯运行；</w:t>
      </w:r>
    </w:p>
    <w:p w14:paraId="3632666A">
      <w:pPr>
        <w:pStyle w:val="48"/>
        <w:numPr>
          <w:ilvl w:val="0"/>
          <w:numId w:val="5"/>
        </w:numPr>
        <w:spacing w:line="360" w:lineRule="auto"/>
        <w:ind w:left="0" w:firstLine="480"/>
        <w:rPr>
          <w:rFonts w:hint="eastAsia"/>
          <w:sz w:val="24"/>
        </w:rPr>
      </w:pPr>
      <w:r>
        <w:rPr>
          <w:sz w:val="24"/>
        </w:rPr>
        <w:t>信号机运行中检测出AC220V电源电压超出高、低压限范围时，立即自动转换为执行黄闪或熄灯运行；</w:t>
      </w:r>
    </w:p>
    <w:p w14:paraId="468FC7E0">
      <w:pPr>
        <w:pStyle w:val="48"/>
        <w:numPr>
          <w:ilvl w:val="0"/>
          <w:numId w:val="5"/>
        </w:numPr>
        <w:spacing w:line="360" w:lineRule="auto"/>
        <w:ind w:left="0" w:firstLine="480"/>
        <w:rPr>
          <w:rFonts w:hint="eastAsia"/>
          <w:sz w:val="24"/>
        </w:rPr>
      </w:pPr>
      <w:r>
        <w:rPr>
          <w:sz w:val="24"/>
        </w:rPr>
        <w:t>信号机运行中若检测出微处理器异常时，立即执行固定配时运行；</w:t>
      </w:r>
    </w:p>
    <w:p w14:paraId="14F3AE46">
      <w:pPr>
        <w:pStyle w:val="48"/>
        <w:numPr>
          <w:ilvl w:val="0"/>
          <w:numId w:val="5"/>
        </w:numPr>
        <w:spacing w:line="360" w:lineRule="auto"/>
        <w:ind w:left="0" w:firstLine="480"/>
        <w:rPr>
          <w:rFonts w:hint="eastAsia"/>
          <w:sz w:val="24"/>
        </w:rPr>
      </w:pPr>
      <w:r>
        <w:rPr>
          <w:sz w:val="24"/>
        </w:rPr>
        <w:t>信号机运行中若检测出某一个灯组的红灯与绿灯同时点亮时，立即执行黄闪运行；</w:t>
      </w:r>
    </w:p>
    <w:p w14:paraId="63717B5C">
      <w:pPr>
        <w:pStyle w:val="48"/>
        <w:numPr>
          <w:ilvl w:val="0"/>
          <w:numId w:val="5"/>
        </w:numPr>
        <w:spacing w:line="360" w:lineRule="auto"/>
        <w:ind w:left="0" w:firstLine="480"/>
        <w:rPr>
          <w:rFonts w:hint="eastAsia"/>
          <w:sz w:val="24"/>
        </w:rPr>
      </w:pPr>
      <w:r>
        <w:rPr>
          <w:sz w:val="24"/>
        </w:rPr>
        <w:t>信号机运行中若检测出输出管理模块与微处理器模块通信异常时，执行开机时的信号配时；</w:t>
      </w:r>
    </w:p>
    <w:p w14:paraId="139660A6">
      <w:pPr>
        <w:pStyle w:val="48"/>
        <w:numPr>
          <w:ilvl w:val="0"/>
          <w:numId w:val="5"/>
        </w:numPr>
        <w:spacing w:line="360" w:lineRule="auto"/>
        <w:ind w:left="0" w:firstLine="480"/>
        <w:rPr>
          <w:rFonts w:hint="eastAsia"/>
          <w:sz w:val="24"/>
        </w:rPr>
      </w:pPr>
      <w:r>
        <w:rPr>
          <w:sz w:val="24"/>
        </w:rPr>
        <w:t>信号机运行中若检测出输出管理模块异常时，立即执行黄闪运行。</w:t>
      </w:r>
    </w:p>
    <w:p w14:paraId="0B068D2F">
      <w:pPr>
        <w:pStyle w:val="48"/>
        <w:numPr>
          <w:ilvl w:val="0"/>
          <w:numId w:val="3"/>
        </w:numPr>
        <w:spacing w:line="360" w:lineRule="auto"/>
        <w:ind w:left="0" w:firstLine="480"/>
        <w:rPr>
          <w:rFonts w:hint="eastAsia"/>
          <w:sz w:val="24"/>
        </w:rPr>
      </w:pPr>
      <w:r>
        <w:rPr>
          <w:rFonts w:hint="eastAsia"/>
          <w:sz w:val="24"/>
        </w:rPr>
        <w:t>“广播</w:t>
      </w:r>
      <w:r>
        <w:rPr>
          <w:sz w:val="24"/>
        </w:rPr>
        <w:t>风暴</w:t>
      </w:r>
      <w:r>
        <w:rPr>
          <w:rFonts w:hint="eastAsia"/>
          <w:sz w:val="24"/>
        </w:rPr>
        <w:t>”防护功能</w:t>
      </w:r>
    </w:p>
    <w:p w14:paraId="1563057D">
      <w:pPr>
        <w:ind w:firstLine="480"/>
      </w:pPr>
      <w:r>
        <w:rPr>
          <w:rFonts w:hint="eastAsia"/>
        </w:rPr>
        <w:t>信号机</w:t>
      </w:r>
      <w:r>
        <w:t>具备广播</w:t>
      </w:r>
      <w:r>
        <w:rPr>
          <w:rFonts w:hint="eastAsia"/>
        </w:rPr>
        <w:t>/网络</w:t>
      </w:r>
      <w:r>
        <w:t>风暴防护功能，在广播风暴</w:t>
      </w:r>
      <w:r>
        <w:rPr>
          <w:rFonts w:hint="eastAsia"/>
        </w:rPr>
        <w:t>发生期间，信号机能正常工作，不应发生任何异常现象。</w:t>
      </w:r>
      <w:bookmarkEnd w:id="43"/>
    </w:p>
    <w:p w14:paraId="00AA2B22">
      <w:pPr>
        <w:pStyle w:val="5"/>
      </w:pPr>
      <w:r>
        <w:rPr>
          <w:rFonts w:hint="eastAsia"/>
        </w:rPr>
        <w:t>硬件设备要求</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1"/>
        <w:gridCol w:w="1264"/>
        <w:gridCol w:w="5341"/>
        <w:gridCol w:w="407"/>
        <w:gridCol w:w="502"/>
        <w:gridCol w:w="407"/>
      </w:tblGrid>
      <w:tr w14:paraId="157ED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000000" w:fill="F2F2F2"/>
            <w:vAlign w:val="center"/>
          </w:tcPr>
          <w:p w14:paraId="48F65CA9">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序号</w:t>
            </w:r>
          </w:p>
        </w:tc>
        <w:tc>
          <w:tcPr>
            <w:tcW w:w="829" w:type="dxa"/>
            <w:shd w:val="clear" w:color="000000" w:fill="F2F2F2"/>
            <w:vAlign w:val="center"/>
          </w:tcPr>
          <w:p w14:paraId="2E4D8BBF">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名  称</w:t>
            </w:r>
          </w:p>
        </w:tc>
        <w:tc>
          <w:tcPr>
            <w:tcW w:w="5596" w:type="dxa"/>
            <w:shd w:val="clear" w:color="000000" w:fill="F2F2F2"/>
            <w:vAlign w:val="center"/>
          </w:tcPr>
          <w:p w14:paraId="6FF6FBBF">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技术参数与参考品牌</w:t>
            </w:r>
          </w:p>
        </w:tc>
        <w:tc>
          <w:tcPr>
            <w:tcW w:w="0" w:type="auto"/>
            <w:shd w:val="clear" w:color="000000" w:fill="F2F2F2"/>
            <w:vAlign w:val="center"/>
          </w:tcPr>
          <w:p w14:paraId="7124B4A9">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单位</w:t>
            </w:r>
          </w:p>
        </w:tc>
        <w:tc>
          <w:tcPr>
            <w:tcW w:w="0" w:type="auto"/>
            <w:shd w:val="clear" w:color="000000" w:fill="F2F2F2"/>
            <w:vAlign w:val="center"/>
          </w:tcPr>
          <w:p w14:paraId="2833B55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数量</w:t>
            </w:r>
          </w:p>
        </w:tc>
        <w:tc>
          <w:tcPr>
            <w:tcW w:w="0" w:type="auto"/>
            <w:shd w:val="clear" w:color="000000" w:fill="F2F2F2"/>
            <w:vAlign w:val="center"/>
          </w:tcPr>
          <w:p w14:paraId="110F5D66">
            <w:pPr>
              <w:widowControl/>
              <w:spacing w:line="240" w:lineRule="auto"/>
              <w:ind w:firstLine="0" w:firstLineChars="0"/>
              <w:jc w:val="center"/>
              <w:rPr>
                <w:rFonts w:hint="eastAsia" w:ascii="宋体" w:hAnsi="宋体" w:eastAsia="宋体" w:cs="宋体"/>
                <w:b/>
                <w:bCs/>
                <w:kern w:val="0"/>
                <w:sz w:val="20"/>
                <w:szCs w:val="20"/>
              </w:rPr>
            </w:pPr>
            <w:r>
              <w:rPr>
                <w:rFonts w:hint="eastAsia" w:ascii="宋体" w:hAnsi="宋体" w:eastAsia="宋体" w:cs="宋体"/>
                <w:b/>
                <w:bCs/>
                <w:kern w:val="0"/>
                <w:sz w:val="20"/>
                <w:szCs w:val="20"/>
              </w:rPr>
              <w:t>备注</w:t>
            </w:r>
          </w:p>
        </w:tc>
      </w:tr>
      <w:tr w14:paraId="049C1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DB978F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1.1</w:t>
            </w:r>
          </w:p>
        </w:tc>
        <w:tc>
          <w:tcPr>
            <w:tcW w:w="829" w:type="dxa"/>
            <w:shd w:val="clear" w:color="auto" w:fill="auto"/>
            <w:noWrap/>
            <w:vAlign w:val="center"/>
          </w:tcPr>
          <w:p w14:paraId="5F61F7EA">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山兰大厦路口</w:t>
            </w:r>
          </w:p>
        </w:tc>
        <w:tc>
          <w:tcPr>
            <w:tcW w:w="5596" w:type="dxa"/>
            <w:shd w:val="clear" w:color="auto" w:fill="auto"/>
            <w:vAlign w:val="center"/>
          </w:tcPr>
          <w:p w14:paraId="4C70AC97">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1999FBD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4360336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21E2607B">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5852C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35E8A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0CEBF3B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52F10A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042C76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38C1D7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210BAF5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46AA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ABA19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5068DA3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5596" w:type="dxa"/>
            <w:shd w:val="clear" w:color="auto" w:fill="auto"/>
            <w:vAlign w:val="center"/>
          </w:tcPr>
          <w:p w14:paraId="618747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中心光强：4000cd ~ 10000cd；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LED数量：红156，绿156；倒计时器：红256，绿256；黄228；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倒计时：点阵式显示倒计时，黄灯显示圆盘，数字显示范围199~1；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1DC20D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3888AE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7A8C537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74AD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ACCB1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59B3C36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5596" w:type="dxa"/>
            <w:shd w:val="clear" w:color="auto" w:fill="auto"/>
            <w:vAlign w:val="center"/>
          </w:tcPr>
          <w:p w14:paraId="605C621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倒计时：点阵式显示倒计时，黄灯显示右转箭头，数字显示范围199~1；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532D03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00FE30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0052106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A07D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C82BE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7EC98A9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14D5DD6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FF0000"/>
                <w:kern w:val="0"/>
                <w:sz w:val="20"/>
                <w:szCs w:val="20"/>
              </w:rPr>
              <w:t>；</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6B9B94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AA2BB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C17042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3220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FDA4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5597AE3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370489A5">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442141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AE829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B04D31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1F41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C5184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6E557B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6069C3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546D7D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76725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2D5FDED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8D3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C87C1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1F24A0E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5B3DE6E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70CF36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86DBA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0CCA52B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9AA5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21CA4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4FDF12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3BE2D4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080282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3615D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725A14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ECEE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6F70F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1F2B5A8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5D3BEB6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5EC338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25E04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0646A25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87BF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2AA26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1493D12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05CC42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081487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16A7C55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4F04DC1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20C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1309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2D50885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058BCC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5F21A8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93829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1A1343E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16FD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5CB38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5047140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51D857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73A415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8D199E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c>
          <w:tcPr>
            <w:tcW w:w="0" w:type="auto"/>
            <w:shd w:val="clear" w:color="auto" w:fill="auto"/>
            <w:vAlign w:val="center"/>
          </w:tcPr>
          <w:p w14:paraId="1B19A23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60EB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9F886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4E443B8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w:t>
            </w:r>
          </w:p>
        </w:tc>
        <w:tc>
          <w:tcPr>
            <w:tcW w:w="5596" w:type="dxa"/>
            <w:shd w:val="clear" w:color="auto" w:fill="auto"/>
            <w:vAlign w:val="center"/>
          </w:tcPr>
          <w:p w14:paraId="2AAC1C2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7C1F9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7977A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2CAE4EB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B9A4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D0ADF5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1.2</w:t>
            </w:r>
          </w:p>
        </w:tc>
        <w:tc>
          <w:tcPr>
            <w:tcW w:w="829" w:type="dxa"/>
            <w:shd w:val="clear" w:color="auto" w:fill="auto"/>
            <w:noWrap/>
            <w:vAlign w:val="center"/>
          </w:tcPr>
          <w:p w14:paraId="55280D5C">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零公里路口</w:t>
            </w:r>
          </w:p>
        </w:tc>
        <w:tc>
          <w:tcPr>
            <w:tcW w:w="5596" w:type="dxa"/>
            <w:shd w:val="clear" w:color="auto" w:fill="auto"/>
            <w:vAlign w:val="center"/>
          </w:tcPr>
          <w:p w14:paraId="7C957821">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0D2E97E8">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4F8653F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571F6CB5">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3C6DA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03A3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5E910F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7E1D5B5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474589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51CBC5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17B2AB9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F241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54640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033760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7E6EC8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7B1CDD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1D672A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4BDAACC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3E5A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5E9BD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33126D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5596" w:type="dxa"/>
            <w:shd w:val="clear" w:color="auto" w:fill="auto"/>
            <w:vAlign w:val="center"/>
          </w:tcPr>
          <w:p w14:paraId="64FDDEB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中心光强：4000cd ~ 10000cd；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LED数量：红156，绿156；倒计时器：红256，绿256；黄228；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倒计时：点阵式显示倒计时，黄灯显示圆盘，数字显示范围199~1；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7A5622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5564DA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7490D91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2534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C92C2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353772F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5596" w:type="dxa"/>
            <w:shd w:val="clear" w:color="auto" w:fill="auto"/>
            <w:vAlign w:val="center"/>
          </w:tcPr>
          <w:p w14:paraId="2B42D11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倒计时：点阵式显示倒计时，黄灯显示右转箭头，数字显示范围199~1；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3D5B30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6E5C8D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4287E46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1C7F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06556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4AAF4DE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424C9D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1042B5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A3327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5E65E9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E3EF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1FAC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6D18F4F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717AC467">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0DCD9C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3F6E8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5467694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E154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01266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0D0091F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69ED53D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50B5B9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69429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0" w:type="auto"/>
            <w:shd w:val="clear" w:color="auto" w:fill="auto"/>
            <w:vAlign w:val="center"/>
          </w:tcPr>
          <w:p w14:paraId="054974D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0869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292F0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1A2E2F5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78DBD2A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242D69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D21E3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31D842C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D39F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65012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58E8E2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793680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3AEC50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6D6E3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774355A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B3B6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2D458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0753ED0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39B83CA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6BFB54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3E160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c>
          <w:tcPr>
            <w:tcW w:w="0" w:type="auto"/>
            <w:shd w:val="clear" w:color="auto" w:fill="auto"/>
            <w:vAlign w:val="center"/>
          </w:tcPr>
          <w:p w14:paraId="7623ECA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B6BF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1097A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339B9A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737BD03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6FF0CA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3A55E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07EC9DB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6232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7C7AE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628B4B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14CC9B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086913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215DB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003355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BCF6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CB6E7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4FCDB1E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212DFD3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7C5850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316C05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28CD6CB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CB95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E3CE3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829" w:type="dxa"/>
            <w:shd w:val="clear" w:color="auto" w:fill="auto"/>
            <w:noWrap/>
            <w:vAlign w:val="center"/>
          </w:tcPr>
          <w:p w14:paraId="50F4E91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5E9FA04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2CD58E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17CC81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3F26C0A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6671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E81FD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829" w:type="dxa"/>
            <w:shd w:val="clear" w:color="auto" w:fill="auto"/>
            <w:noWrap/>
            <w:vAlign w:val="center"/>
          </w:tcPr>
          <w:p w14:paraId="5BF2726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7F1B6D1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5A3635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CB6DC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4B3B20D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00F7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C9C26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829" w:type="dxa"/>
            <w:shd w:val="clear" w:color="auto" w:fill="auto"/>
            <w:noWrap/>
            <w:vAlign w:val="center"/>
          </w:tcPr>
          <w:p w14:paraId="7D6B2D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13B24E9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3A7D55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53AE3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c>
          <w:tcPr>
            <w:tcW w:w="0" w:type="auto"/>
            <w:shd w:val="clear" w:color="auto" w:fill="auto"/>
            <w:vAlign w:val="center"/>
          </w:tcPr>
          <w:p w14:paraId="73DBBDD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E630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24C5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29AD304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小计2</w:t>
            </w:r>
          </w:p>
        </w:tc>
        <w:tc>
          <w:tcPr>
            <w:tcW w:w="5596" w:type="dxa"/>
            <w:shd w:val="clear" w:color="auto" w:fill="auto"/>
            <w:vAlign w:val="center"/>
          </w:tcPr>
          <w:p w14:paraId="7422FBF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7D295E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72B20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4781ECB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CBD8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68297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1.3</w:t>
            </w:r>
          </w:p>
        </w:tc>
        <w:tc>
          <w:tcPr>
            <w:tcW w:w="829" w:type="dxa"/>
            <w:shd w:val="clear" w:color="auto" w:fill="auto"/>
            <w:noWrap/>
            <w:vAlign w:val="center"/>
          </w:tcPr>
          <w:p w14:paraId="6F0A6116">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国兴大道-兴教路路口</w:t>
            </w:r>
          </w:p>
        </w:tc>
        <w:tc>
          <w:tcPr>
            <w:tcW w:w="5596" w:type="dxa"/>
            <w:shd w:val="clear" w:color="auto" w:fill="auto"/>
            <w:vAlign w:val="center"/>
          </w:tcPr>
          <w:p w14:paraId="7C3B7A0E">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10C66F0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279E812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74730CC3">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0BAC0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E456D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187A36B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2392868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474037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059CE0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39A8615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96B3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0EEA0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3D95F44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3CC9C1F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232380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240FBD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0D365BC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D797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1DA75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54CC92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5596" w:type="dxa"/>
            <w:shd w:val="clear" w:color="auto" w:fill="auto"/>
            <w:vAlign w:val="center"/>
          </w:tcPr>
          <w:p w14:paraId="47233A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中心光强：4000cd ~ 10000cd；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LED数量：红156，绿156；倒计时器：红256，绿256；黄228；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倒计时：点阵式显示倒计时，黄灯显示圆盘，数字显示范围199~1；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2D7AE5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5EC058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3E258E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CEE8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74291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0FCE235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5596" w:type="dxa"/>
            <w:shd w:val="clear" w:color="auto" w:fill="auto"/>
            <w:vAlign w:val="center"/>
          </w:tcPr>
          <w:p w14:paraId="722EF3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倒计时：点阵式显示倒计时，黄灯显示右转箭头，数字显示范围199~1；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0E3BDF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29FCF6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CDD32B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88D3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686D5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5DAE0C0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79101DB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7A51DA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138C1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9024E9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63A6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DDA88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63A7AD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32C61755">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7479F1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523F2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42A9C6B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22BC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954D0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15D7E7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16E95B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115791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7781A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58AFFA8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1124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566B0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1F8D5E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0D727CA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7C24FC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1F92D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6155BBC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A3E0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67A61F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400E3F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7DAB4AE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2F65ED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46419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12949C5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E1E4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94EBD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0CD057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2FC5B3F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4E959F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D0E7E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c>
          <w:tcPr>
            <w:tcW w:w="0" w:type="auto"/>
            <w:shd w:val="clear" w:color="auto" w:fill="auto"/>
            <w:vAlign w:val="center"/>
          </w:tcPr>
          <w:p w14:paraId="36614EF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464F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B216B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4C30D66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089F470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617598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76F5F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EBC99C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40CC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F80D7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3CD301D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05FAAD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CDC5F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D514B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596C4E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159D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A6A26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0553A0E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7451157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65B226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E6E02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0" w:type="auto"/>
            <w:shd w:val="clear" w:color="auto" w:fill="auto"/>
            <w:vAlign w:val="center"/>
          </w:tcPr>
          <w:p w14:paraId="3197385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FBD2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DBF53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829" w:type="dxa"/>
            <w:shd w:val="clear" w:color="auto" w:fill="auto"/>
            <w:noWrap/>
            <w:vAlign w:val="center"/>
          </w:tcPr>
          <w:p w14:paraId="6FF0A8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7E850A5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50EB46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D066A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7308B2B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C57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8022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829" w:type="dxa"/>
            <w:shd w:val="clear" w:color="auto" w:fill="auto"/>
            <w:noWrap/>
            <w:vAlign w:val="center"/>
          </w:tcPr>
          <w:p w14:paraId="59AF5A2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37216C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183E9E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5483E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1B97745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1D48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11081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829" w:type="dxa"/>
            <w:shd w:val="clear" w:color="auto" w:fill="auto"/>
            <w:noWrap/>
            <w:vAlign w:val="center"/>
          </w:tcPr>
          <w:p w14:paraId="5155EE7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68AA24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625A15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4F188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c>
          <w:tcPr>
            <w:tcW w:w="0" w:type="auto"/>
            <w:shd w:val="clear" w:color="auto" w:fill="auto"/>
            <w:vAlign w:val="center"/>
          </w:tcPr>
          <w:p w14:paraId="31EF3BC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D1BF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14618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49385EF2">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小计3</w:t>
            </w:r>
          </w:p>
        </w:tc>
        <w:tc>
          <w:tcPr>
            <w:tcW w:w="5596" w:type="dxa"/>
            <w:shd w:val="clear" w:color="auto" w:fill="auto"/>
            <w:vAlign w:val="center"/>
          </w:tcPr>
          <w:p w14:paraId="129F51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05193C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427D3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5AA312F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F32B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4520C8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1.4</w:t>
            </w:r>
          </w:p>
        </w:tc>
        <w:tc>
          <w:tcPr>
            <w:tcW w:w="829" w:type="dxa"/>
            <w:shd w:val="clear" w:color="auto" w:fill="auto"/>
            <w:noWrap/>
            <w:vAlign w:val="center"/>
          </w:tcPr>
          <w:p w14:paraId="0AB71699">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国兴大道-龙溪路路口</w:t>
            </w:r>
          </w:p>
        </w:tc>
        <w:tc>
          <w:tcPr>
            <w:tcW w:w="5596" w:type="dxa"/>
            <w:shd w:val="clear" w:color="auto" w:fill="auto"/>
            <w:vAlign w:val="center"/>
          </w:tcPr>
          <w:p w14:paraId="2CEA9BC3">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3F6659D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54904F76">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38FEBA02">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2F48F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81322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110CF5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393CC2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6AF158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47E06D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7F4904C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997D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E0767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1D28537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2F16CF5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191C8D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777AB0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590395D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111A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0F520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66E17A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5596" w:type="dxa"/>
            <w:shd w:val="clear" w:color="auto" w:fill="auto"/>
            <w:vAlign w:val="center"/>
          </w:tcPr>
          <w:p w14:paraId="732C2E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中心光强：4000cd ~ 10000cd；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LED数量：红156，绿156；倒计时器：红256，绿256；黄228；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倒计时：点阵式显示倒计时，黄灯显示圆盘，数字显示范围199~1；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010063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07083D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2833AA1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109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C9A3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5E900D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5596" w:type="dxa"/>
            <w:shd w:val="clear" w:color="auto" w:fill="auto"/>
            <w:vAlign w:val="center"/>
          </w:tcPr>
          <w:p w14:paraId="576987C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倒计时：点阵式显示倒计时，黄灯显示右转箭头，数字显示范围199~1；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068AC6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14F36A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0" w:type="auto"/>
            <w:shd w:val="clear" w:color="auto" w:fill="auto"/>
            <w:vAlign w:val="center"/>
          </w:tcPr>
          <w:p w14:paraId="4890A4D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F436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69BEA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6681844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11BC70F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054646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412A6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ECAA5B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7F99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35B9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60208E5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5C027D4B">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668D9B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1968E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6B77B1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534F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DE3E3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1A8B5F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6FEE521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24CF11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6EE4F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330</w:t>
            </w:r>
          </w:p>
        </w:tc>
        <w:tc>
          <w:tcPr>
            <w:tcW w:w="0" w:type="auto"/>
            <w:shd w:val="clear" w:color="auto" w:fill="auto"/>
            <w:vAlign w:val="center"/>
          </w:tcPr>
          <w:p w14:paraId="07063BE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3BBA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D3FC7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02CA48E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255B50B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3B340F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746EA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0" w:type="auto"/>
            <w:shd w:val="clear" w:color="auto" w:fill="auto"/>
            <w:vAlign w:val="center"/>
          </w:tcPr>
          <w:p w14:paraId="2B73C79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3091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0CF80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53802BE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7721DCA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691A6C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5C50E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0" w:type="auto"/>
            <w:shd w:val="clear" w:color="auto" w:fill="auto"/>
            <w:vAlign w:val="center"/>
          </w:tcPr>
          <w:p w14:paraId="17D50AB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CBE6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DCA1E2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7DF334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7637C1F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5418C5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558A0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100</w:t>
            </w:r>
          </w:p>
        </w:tc>
        <w:tc>
          <w:tcPr>
            <w:tcW w:w="0" w:type="auto"/>
            <w:shd w:val="clear" w:color="auto" w:fill="auto"/>
            <w:vAlign w:val="center"/>
          </w:tcPr>
          <w:p w14:paraId="42009E1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536C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08D75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6DEAF22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6957E2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6BA12A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0E358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084409C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95A9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5A2F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28E2F9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267F0A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2B227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37A75C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4897BA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4E17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401D1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14DB1F4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354BFDA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3F4DAF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24919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1B3900D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5AE1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70D0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829" w:type="dxa"/>
            <w:shd w:val="clear" w:color="auto" w:fill="auto"/>
            <w:noWrap/>
            <w:vAlign w:val="center"/>
          </w:tcPr>
          <w:p w14:paraId="6AEC49E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05DB7E8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5090EA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27601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69AAB9F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A1D7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FAF8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829" w:type="dxa"/>
            <w:shd w:val="clear" w:color="auto" w:fill="auto"/>
            <w:noWrap/>
            <w:vAlign w:val="center"/>
          </w:tcPr>
          <w:p w14:paraId="410BA4D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76BF2E2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1F59B5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F901A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13B2B6D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7CCB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85BA3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829" w:type="dxa"/>
            <w:shd w:val="clear" w:color="auto" w:fill="auto"/>
            <w:noWrap/>
            <w:vAlign w:val="center"/>
          </w:tcPr>
          <w:p w14:paraId="1E8DBB0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3E4D8C9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401706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E50C7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5A7A7AF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0C6D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3CD79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2CB866C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小计4</w:t>
            </w:r>
          </w:p>
        </w:tc>
        <w:tc>
          <w:tcPr>
            <w:tcW w:w="5596" w:type="dxa"/>
            <w:shd w:val="clear" w:color="auto" w:fill="auto"/>
            <w:vAlign w:val="center"/>
          </w:tcPr>
          <w:p w14:paraId="394A9BE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7E4BEA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15EB5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429C49C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7C69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752512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1.5</w:t>
            </w:r>
          </w:p>
        </w:tc>
        <w:tc>
          <w:tcPr>
            <w:tcW w:w="829" w:type="dxa"/>
            <w:shd w:val="clear" w:color="auto" w:fill="auto"/>
            <w:noWrap/>
            <w:vAlign w:val="center"/>
          </w:tcPr>
          <w:p w14:paraId="5C012CE6">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国兴大道与三月三大道路口</w:t>
            </w:r>
          </w:p>
        </w:tc>
        <w:tc>
          <w:tcPr>
            <w:tcW w:w="5596" w:type="dxa"/>
            <w:shd w:val="clear" w:color="auto" w:fill="auto"/>
            <w:vAlign w:val="center"/>
          </w:tcPr>
          <w:p w14:paraId="34245B08">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71C515D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30E32A4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726DC25E">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1A69A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1279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17BB4B2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073E15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73CD46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250AB7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42F70AE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33E2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32014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60CAD0D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5FBAB62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18EBAF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4BF0C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C682AC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0257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C185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682E0AF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496809F6">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375306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73A7C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4E4FF5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4B47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E72F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280E6D9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4C8F4B2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304285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30D84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0" w:type="auto"/>
            <w:shd w:val="clear" w:color="auto" w:fill="auto"/>
            <w:vAlign w:val="center"/>
          </w:tcPr>
          <w:p w14:paraId="2CDD669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416D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B8190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1492C80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5E0FF8A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25C3D9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58240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35BD8EA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7AE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BE47D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479F7F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4CFE2CA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4E040C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C6A65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0D116C7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B411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51A94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57BC649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716D17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0138FC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2305A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c>
          <w:tcPr>
            <w:tcW w:w="0" w:type="auto"/>
            <w:shd w:val="clear" w:color="auto" w:fill="auto"/>
            <w:vAlign w:val="center"/>
          </w:tcPr>
          <w:p w14:paraId="20C89D2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D804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BC6D0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3545055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33E9BAC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28AF7A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EE828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0EA5E64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2873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CD974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0D6979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2270C04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5A8D0B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FF0D8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33BA72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86B5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98615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07E6CAE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3C02767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458804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E21AF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0E7DBA9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5D5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A3CE5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2D3205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7302867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42EE14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28C71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6DF8799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F402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828F8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66DACAD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72A3863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066016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F5CC8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120</w:t>
            </w:r>
          </w:p>
        </w:tc>
        <w:tc>
          <w:tcPr>
            <w:tcW w:w="0" w:type="auto"/>
            <w:shd w:val="clear" w:color="auto" w:fill="auto"/>
            <w:vAlign w:val="center"/>
          </w:tcPr>
          <w:p w14:paraId="2D0E0E1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B0A0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B5154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6A16634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77EAEE4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0AC444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68114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232B9BF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0FEA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BDADC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064912F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小计5</w:t>
            </w:r>
          </w:p>
        </w:tc>
        <w:tc>
          <w:tcPr>
            <w:tcW w:w="5596" w:type="dxa"/>
            <w:shd w:val="clear" w:color="auto" w:fill="auto"/>
            <w:vAlign w:val="center"/>
          </w:tcPr>
          <w:p w14:paraId="3C6904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3D669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738997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0F6A40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2CE6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570B3A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1.6</w:t>
            </w:r>
          </w:p>
        </w:tc>
        <w:tc>
          <w:tcPr>
            <w:tcW w:w="829" w:type="dxa"/>
            <w:shd w:val="clear" w:color="auto" w:fill="auto"/>
            <w:noWrap/>
            <w:vAlign w:val="center"/>
          </w:tcPr>
          <w:p w14:paraId="4FA81F86">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三月三大道与玉锦大道路口</w:t>
            </w:r>
          </w:p>
        </w:tc>
        <w:tc>
          <w:tcPr>
            <w:tcW w:w="5596" w:type="dxa"/>
            <w:shd w:val="clear" w:color="auto" w:fill="auto"/>
            <w:vAlign w:val="center"/>
          </w:tcPr>
          <w:p w14:paraId="7FCE3111">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243D4DC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5EDD23F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569DE7B2">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1C6BE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4443A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088FBE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0D83C6C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136D3B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60961F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74CDF63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D67D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37C9C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0E9998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356D200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367336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D0B9E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EC2ACB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E3B7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2FF73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0D01335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021BEDF3">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048426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CB738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441900A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3C3F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A9785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41FBB8A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70E81A5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13483C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5329A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536E912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F4B8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DA9B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2091D22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1537C10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16F570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0DD5C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583E0B7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ADF2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01BDD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77FD7E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52F5F78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4124ED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0C768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0D2DA35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3223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D5E23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2F83B8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6B57E34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25B80C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0B87A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c>
          <w:tcPr>
            <w:tcW w:w="0" w:type="auto"/>
            <w:shd w:val="clear" w:color="auto" w:fill="auto"/>
            <w:vAlign w:val="center"/>
          </w:tcPr>
          <w:p w14:paraId="3D1AAB1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4D2E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1D792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160EF51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56DDC7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1548D5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62532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6CD2FA2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7D82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B26B3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76CBB3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7FBAEFF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41959B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3888C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92126B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F4EC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9940E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6FF97A1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50CD4A5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6EAA26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095D0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100</w:t>
            </w:r>
          </w:p>
        </w:tc>
        <w:tc>
          <w:tcPr>
            <w:tcW w:w="0" w:type="auto"/>
            <w:shd w:val="clear" w:color="auto" w:fill="auto"/>
            <w:vAlign w:val="center"/>
          </w:tcPr>
          <w:p w14:paraId="496E80C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5718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D5C67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5CF37FE9">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小计6</w:t>
            </w:r>
          </w:p>
        </w:tc>
        <w:tc>
          <w:tcPr>
            <w:tcW w:w="5596" w:type="dxa"/>
            <w:shd w:val="clear" w:color="auto" w:fill="auto"/>
            <w:vAlign w:val="center"/>
          </w:tcPr>
          <w:p w14:paraId="047EFB9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685AF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199B3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562D5DB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1596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03175F9">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1.7</w:t>
            </w:r>
          </w:p>
        </w:tc>
        <w:tc>
          <w:tcPr>
            <w:tcW w:w="829" w:type="dxa"/>
            <w:shd w:val="clear" w:color="auto" w:fill="auto"/>
            <w:noWrap/>
            <w:vAlign w:val="center"/>
          </w:tcPr>
          <w:p w14:paraId="54878B3A">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龙溪路-玉锦大道路口</w:t>
            </w:r>
          </w:p>
        </w:tc>
        <w:tc>
          <w:tcPr>
            <w:tcW w:w="5596" w:type="dxa"/>
            <w:shd w:val="clear" w:color="auto" w:fill="auto"/>
            <w:vAlign w:val="center"/>
          </w:tcPr>
          <w:p w14:paraId="6EF50BA1">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49CC1E5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36B4DD6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735790C2">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778A6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E67B0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4AF3DD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087F04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0BE287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0C7EF8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B1B0B3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744D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49532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3ABDAB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1969A7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0558C8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3A100D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75CD7D1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8062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737B3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0EF4616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5596" w:type="dxa"/>
            <w:shd w:val="clear" w:color="auto" w:fill="auto"/>
            <w:vAlign w:val="center"/>
          </w:tcPr>
          <w:p w14:paraId="504A057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中心光强：4000cd ~ 10000cd；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LED数量：红156，绿156；倒计时器：红256，绿256；黄228；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倒计时：点阵式显示倒计时，黄灯显示圆盘，数字显示范围199~1；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42C148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0BF60B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9297F5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14FC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A5F02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3BFA68E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5596" w:type="dxa"/>
            <w:shd w:val="clear" w:color="auto" w:fill="auto"/>
            <w:vAlign w:val="center"/>
          </w:tcPr>
          <w:p w14:paraId="1098096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倒计时：点阵式显示倒计时，黄灯显示右转箭头，数字显示范围199~1；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33AD0B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1090ED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F01C0D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299A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BCBFE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3BEB1F6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462009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562232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908D9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F84BED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A574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AD1FD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04EAA4D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38C3228D">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31114F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02462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835FDD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AF72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23053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130EC8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3938BB8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507E2C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37C9A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1F83B65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D06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5C20D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50833B0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557C28C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17360F3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FF2D3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7519776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278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90D83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0674CD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49EFAA4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0A6581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32C8F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2F6927C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9870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82947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229A72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1A29D34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519B4A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D7C2B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150</w:t>
            </w:r>
          </w:p>
        </w:tc>
        <w:tc>
          <w:tcPr>
            <w:tcW w:w="0" w:type="auto"/>
            <w:shd w:val="clear" w:color="auto" w:fill="auto"/>
            <w:vAlign w:val="center"/>
          </w:tcPr>
          <w:p w14:paraId="4060B83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F1E6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C9809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5FB544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48021C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14185E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5EBA0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5BEEB18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4B78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8DA8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6177FA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52DCFA8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028359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40752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7C5A77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2991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7D31F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20F1CA8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76F3B76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7ECF7E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931E2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0" w:type="auto"/>
            <w:shd w:val="clear" w:color="auto" w:fill="auto"/>
            <w:vAlign w:val="center"/>
          </w:tcPr>
          <w:p w14:paraId="692F9CA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A44A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6A4AD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829" w:type="dxa"/>
            <w:shd w:val="clear" w:color="auto" w:fill="auto"/>
            <w:noWrap/>
            <w:vAlign w:val="center"/>
          </w:tcPr>
          <w:p w14:paraId="1695F2E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1194F6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1ABB40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1CADC5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F81311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820F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6B38A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829" w:type="dxa"/>
            <w:shd w:val="clear" w:color="auto" w:fill="auto"/>
            <w:noWrap/>
            <w:vAlign w:val="center"/>
          </w:tcPr>
          <w:p w14:paraId="60E1F88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580823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4B3EBC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0CBB2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0E5E063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E029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39F23C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829" w:type="dxa"/>
            <w:shd w:val="clear" w:color="auto" w:fill="auto"/>
            <w:noWrap/>
            <w:vAlign w:val="center"/>
          </w:tcPr>
          <w:p w14:paraId="7B2CC86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001232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551BB8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3910D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55461E3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77F9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48C08F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4B3FB9ED">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小计7</w:t>
            </w:r>
          </w:p>
        </w:tc>
        <w:tc>
          <w:tcPr>
            <w:tcW w:w="5596" w:type="dxa"/>
            <w:shd w:val="clear" w:color="auto" w:fill="auto"/>
            <w:vAlign w:val="center"/>
          </w:tcPr>
          <w:p w14:paraId="66CC91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0FCF5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35213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44FDCBC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6E85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605CF66">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1.8</w:t>
            </w:r>
          </w:p>
        </w:tc>
        <w:tc>
          <w:tcPr>
            <w:tcW w:w="829" w:type="dxa"/>
            <w:shd w:val="clear" w:color="auto" w:fill="auto"/>
            <w:noWrap/>
            <w:vAlign w:val="center"/>
          </w:tcPr>
          <w:p w14:paraId="37F26ACD">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兴教路-玉锦大道-万泉河路</w:t>
            </w:r>
          </w:p>
        </w:tc>
        <w:tc>
          <w:tcPr>
            <w:tcW w:w="5596" w:type="dxa"/>
            <w:shd w:val="clear" w:color="auto" w:fill="auto"/>
            <w:noWrap/>
            <w:vAlign w:val="center"/>
          </w:tcPr>
          <w:p w14:paraId="69F7FFC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6A1C762B">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60EE39A5">
            <w:pPr>
              <w:widowControl/>
              <w:spacing w:line="240" w:lineRule="auto"/>
              <w:ind w:firstLine="0" w:firstLineChars="0"/>
              <w:jc w:val="righ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47DDE6B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23DF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AC773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109516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427EE57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19364B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530D29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0" w:type="auto"/>
            <w:shd w:val="clear" w:color="auto" w:fill="auto"/>
            <w:vAlign w:val="center"/>
          </w:tcPr>
          <w:p w14:paraId="6672EEB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2513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E3A48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1CF4380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6016CCE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65BF51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779E9D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582A858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A6D8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18AD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1ABE86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满屏车行信号灯</w:t>
            </w:r>
          </w:p>
        </w:tc>
        <w:tc>
          <w:tcPr>
            <w:tcW w:w="5596" w:type="dxa"/>
            <w:shd w:val="clear" w:color="auto" w:fill="auto"/>
            <w:vAlign w:val="center"/>
          </w:tcPr>
          <w:p w14:paraId="1A2F10B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中心光强：4000cd ~ 10000cd；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LED数量：红156，绿156；倒计时器：红256，绿256；黄228；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倒计时：点阵式显示倒计时，黄灯显示圆盘，数字显示范围199~1；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1AA133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354327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6A1A9FB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E005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677462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58CACA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右转车行信号灯</w:t>
            </w:r>
          </w:p>
        </w:tc>
        <w:tc>
          <w:tcPr>
            <w:tcW w:w="5596" w:type="dxa"/>
            <w:shd w:val="clear" w:color="auto" w:fill="auto"/>
            <w:vAlign w:val="center"/>
          </w:tcPr>
          <w:p w14:paraId="76C5122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倒计时：点阵式显示倒计时，黄灯显示右转箭头，数字显示范围199~1；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0156A9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74A50D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5644871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FC48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E52CE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19CCC3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5F77281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79496D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0E825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05AA04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0A6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6EA3F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3994E30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1FD6EC33">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133013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6739C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275E846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871F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B0C8B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0B5F19D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5A703F6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1F3D1F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6EF07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3084F9D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33ED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74460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253457F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641F902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29EAC1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E204D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461A1FB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DD4F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03E6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06A18AA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7E505D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6C2343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FE315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7CEC3C5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BE11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E9CDE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231A11F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3A2FFC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5DFBAC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B1FB3D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80</w:t>
            </w:r>
          </w:p>
        </w:tc>
        <w:tc>
          <w:tcPr>
            <w:tcW w:w="0" w:type="auto"/>
            <w:shd w:val="clear" w:color="auto" w:fill="auto"/>
            <w:vAlign w:val="center"/>
          </w:tcPr>
          <w:p w14:paraId="2A88599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F741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4C075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366FA3D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车行信号灯杆件主体</w:t>
            </w:r>
          </w:p>
        </w:tc>
        <w:tc>
          <w:tcPr>
            <w:tcW w:w="5596" w:type="dxa"/>
            <w:shd w:val="clear" w:color="auto" w:fill="auto"/>
            <w:vAlign w:val="center"/>
          </w:tcPr>
          <w:p w14:paraId="73ED9D8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7DC18B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05147B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34A600A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F82C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49F63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71B8E9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车行信号灯杆件基础</w:t>
            </w:r>
          </w:p>
        </w:tc>
        <w:tc>
          <w:tcPr>
            <w:tcW w:w="5596" w:type="dxa"/>
            <w:shd w:val="clear" w:color="auto" w:fill="auto"/>
            <w:vAlign w:val="center"/>
          </w:tcPr>
          <w:p w14:paraId="5DEF836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48908C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C7025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1CEDF2A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A636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4F32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0451F22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5596" w:type="dxa"/>
            <w:shd w:val="clear" w:color="auto" w:fill="auto"/>
            <w:vAlign w:val="center"/>
          </w:tcPr>
          <w:p w14:paraId="56C3BA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2DCB36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67EE36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5B5C2E2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B194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1CDCF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829" w:type="dxa"/>
            <w:shd w:val="clear" w:color="auto" w:fill="auto"/>
            <w:noWrap/>
            <w:vAlign w:val="center"/>
          </w:tcPr>
          <w:p w14:paraId="5FA1524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4ADE75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533FB5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E1078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0" w:type="auto"/>
            <w:shd w:val="clear" w:color="auto" w:fill="auto"/>
            <w:vAlign w:val="center"/>
          </w:tcPr>
          <w:p w14:paraId="6653E23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AD8C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7210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829" w:type="dxa"/>
            <w:shd w:val="clear" w:color="auto" w:fill="auto"/>
            <w:noWrap/>
            <w:vAlign w:val="center"/>
          </w:tcPr>
          <w:p w14:paraId="59DD60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1CCF535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58BD7D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871A3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FC9C6B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C8AB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987FA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829" w:type="dxa"/>
            <w:shd w:val="clear" w:color="auto" w:fill="auto"/>
            <w:noWrap/>
            <w:vAlign w:val="center"/>
          </w:tcPr>
          <w:p w14:paraId="508F94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2F4BF6B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104431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33595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0" w:type="auto"/>
            <w:shd w:val="clear" w:color="auto" w:fill="auto"/>
            <w:vAlign w:val="center"/>
          </w:tcPr>
          <w:p w14:paraId="5315207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CC30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B408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829" w:type="dxa"/>
            <w:shd w:val="clear" w:color="auto" w:fill="auto"/>
            <w:noWrap/>
            <w:vAlign w:val="center"/>
          </w:tcPr>
          <w:p w14:paraId="58A726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1F84CB1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4470FD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3DC5EC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9F2A57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D746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DCE7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829" w:type="dxa"/>
            <w:shd w:val="clear" w:color="auto" w:fill="auto"/>
            <w:noWrap/>
            <w:vAlign w:val="center"/>
          </w:tcPr>
          <w:p w14:paraId="02B9C5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过路顶管施工</w:t>
            </w:r>
          </w:p>
        </w:tc>
        <w:tc>
          <w:tcPr>
            <w:tcW w:w="5596" w:type="dxa"/>
            <w:shd w:val="clear" w:color="auto" w:fill="auto"/>
            <w:vAlign w:val="center"/>
          </w:tcPr>
          <w:p w14:paraId="2BE693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顶管施工，Φ110mm PE 管，含恢复、穿线</w:t>
            </w:r>
          </w:p>
        </w:tc>
        <w:tc>
          <w:tcPr>
            <w:tcW w:w="0" w:type="auto"/>
            <w:shd w:val="clear" w:color="auto" w:fill="auto"/>
            <w:noWrap/>
            <w:vAlign w:val="center"/>
          </w:tcPr>
          <w:p w14:paraId="47A924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EEFFC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04A1C7A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D551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5C47D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829" w:type="dxa"/>
            <w:shd w:val="clear" w:color="auto" w:fill="auto"/>
            <w:noWrap/>
            <w:vAlign w:val="center"/>
          </w:tcPr>
          <w:p w14:paraId="5E0D19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3790F3E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4EEA60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08E92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7C83F4D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1311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3AD17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525D152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小计8</w:t>
            </w:r>
          </w:p>
        </w:tc>
        <w:tc>
          <w:tcPr>
            <w:tcW w:w="5596" w:type="dxa"/>
            <w:shd w:val="clear" w:color="auto" w:fill="auto"/>
            <w:vAlign w:val="center"/>
          </w:tcPr>
          <w:p w14:paraId="5801034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9E7CF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0CFD17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53E1316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5CB7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482E46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1.9</w:t>
            </w:r>
          </w:p>
        </w:tc>
        <w:tc>
          <w:tcPr>
            <w:tcW w:w="829" w:type="dxa"/>
            <w:shd w:val="clear" w:color="auto" w:fill="auto"/>
            <w:noWrap/>
            <w:vAlign w:val="center"/>
          </w:tcPr>
          <w:p w14:paraId="3C808FCB">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牛营线（营乘路）-黎母大道（S304）路口</w:t>
            </w:r>
          </w:p>
        </w:tc>
        <w:tc>
          <w:tcPr>
            <w:tcW w:w="5596" w:type="dxa"/>
            <w:shd w:val="clear" w:color="auto" w:fill="auto"/>
            <w:vAlign w:val="center"/>
          </w:tcPr>
          <w:p w14:paraId="2B193E48">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02771A5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2E3A285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5705D50F">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0FDA8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9A3A0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554269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6FDCF65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0AE2BE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37A946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345083B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4B63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CC327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75DB459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780A2C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3959A7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F8A2E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8EF0597">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33D5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BCE8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763B6A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606C8205">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3DC4EC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6C439F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88A0DB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4DC4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4419B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73F7BC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020707B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62BEC3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B61DA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78028CB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A1A6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14F33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367A08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0295EA2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4C4379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3A5C0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68218C9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8412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1DA1A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7748EB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437293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1D7E8B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AADC9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0" w:type="auto"/>
            <w:shd w:val="clear" w:color="auto" w:fill="auto"/>
            <w:vAlign w:val="center"/>
          </w:tcPr>
          <w:p w14:paraId="5E204D4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1668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5F1A6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728BEB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7CE06B1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4878FD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49BBE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65AB22E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33D3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685C4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54D081D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5E132F4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210902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1BA1D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7D9E0BF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4990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F3673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7705639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24C9F20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725667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7D845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0BC5213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9220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DED29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2E4FE7F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4A83278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248F56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A03E4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1B13FEC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711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8B438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14EC746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小计9</w:t>
            </w:r>
          </w:p>
        </w:tc>
        <w:tc>
          <w:tcPr>
            <w:tcW w:w="5596" w:type="dxa"/>
            <w:shd w:val="clear" w:color="auto" w:fill="auto"/>
            <w:vAlign w:val="center"/>
          </w:tcPr>
          <w:p w14:paraId="4E39F14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FE904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9657E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297108F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C699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D1B9616">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xml:space="preserve">1.10 </w:t>
            </w:r>
          </w:p>
        </w:tc>
        <w:tc>
          <w:tcPr>
            <w:tcW w:w="829" w:type="dxa"/>
            <w:shd w:val="clear" w:color="auto" w:fill="auto"/>
            <w:noWrap/>
            <w:vAlign w:val="center"/>
          </w:tcPr>
          <w:p w14:paraId="66598F99">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营红路-黎母大道（S304）路口</w:t>
            </w:r>
          </w:p>
        </w:tc>
        <w:tc>
          <w:tcPr>
            <w:tcW w:w="5596" w:type="dxa"/>
            <w:shd w:val="clear" w:color="auto" w:fill="auto"/>
            <w:vAlign w:val="center"/>
          </w:tcPr>
          <w:p w14:paraId="14E6D6F9">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76D1C1A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67FE400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6604421F">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1128C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9FAD6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770BA92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15644C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43E516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4698FA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0F176FC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248A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4C4AF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689AC95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152BAAB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4741BFB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065C6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C108EF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43CD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F6F2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54BCBDE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67CDA114">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56A960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AE8A9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746D680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5F8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C9DB6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596C56C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2C4AE33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4FFABE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15D68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7AA36B7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0271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DCA2C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00205BA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74693D6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046699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F17D0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176D1E1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10F7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61C09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7C9310C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30F7AE2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28E21F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5E74C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6436455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BA90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87D2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2DB5D3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338694A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4D0187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EB2B3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6B4A84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D6D7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FA7BC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310506F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28E9BAD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29B123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BA0EA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0" w:type="auto"/>
            <w:shd w:val="clear" w:color="auto" w:fill="auto"/>
            <w:vAlign w:val="center"/>
          </w:tcPr>
          <w:p w14:paraId="4F2C315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D487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AD921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16E7D47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56CDC6D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2F5142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5B833E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AF6E8A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623A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16A1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4C384A3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26830D7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0CA996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10D21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13D8258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249D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0BB02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214EE32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小计10</w:t>
            </w:r>
          </w:p>
        </w:tc>
        <w:tc>
          <w:tcPr>
            <w:tcW w:w="5596" w:type="dxa"/>
            <w:shd w:val="clear" w:color="auto" w:fill="auto"/>
            <w:vAlign w:val="center"/>
          </w:tcPr>
          <w:p w14:paraId="6A6CCCC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AF88E1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C7046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63CCC90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6D55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591AC22">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1.11</w:t>
            </w:r>
          </w:p>
        </w:tc>
        <w:tc>
          <w:tcPr>
            <w:tcW w:w="829" w:type="dxa"/>
            <w:shd w:val="clear" w:color="auto" w:fill="auto"/>
            <w:noWrap/>
            <w:vAlign w:val="center"/>
          </w:tcPr>
          <w:p w14:paraId="60855324">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黎母大道（S304）-三月三大道路口</w:t>
            </w:r>
          </w:p>
        </w:tc>
        <w:tc>
          <w:tcPr>
            <w:tcW w:w="5596" w:type="dxa"/>
            <w:shd w:val="clear" w:color="auto" w:fill="auto"/>
            <w:vAlign w:val="center"/>
          </w:tcPr>
          <w:p w14:paraId="75D36E28">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4B35EBD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6EA4915B">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3D9A6303">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076C6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095BC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2B68658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5F0AA2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361996F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0EC09F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3B17498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5D24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43442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43E956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左转车行信号灯</w:t>
            </w:r>
          </w:p>
        </w:tc>
        <w:tc>
          <w:tcPr>
            <w:tcW w:w="5596" w:type="dxa"/>
            <w:shd w:val="clear" w:color="auto" w:fill="auto"/>
            <w:vAlign w:val="center"/>
          </w:tcPr>
          <w:p w14:paraId="69ABAA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面罩规格：Φ400mm 面罩材质 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外壳材质：PC工程塑料；</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工作电压：AC176～264V，功率≤20W；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绝缘电阻：≥500MΩ，介电强度≥1270V；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中心光强：5000 ~15000 cd/m2；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LED数量：红120，绿120；倒计时器：红256，绿256；黄228；</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LED 直径：Φ5mm 单管电流 &lt; 18mA；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LED寿命：≥50000小时；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LED波长：红：625 nm黄：590 nm绿：505 nm；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可视距离：&gt;450m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倒计时：点阵式显示倒计时，黄灯显示左转箭头，数字显示范围199~1；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计时方式：学习/触发/RS485通信；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显示尺寸：327mm×327mm  间距21.8mm；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显示字体：16×16点阵数字；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工作温度：-40 ~ +85 ℃ 相对湿度 ≤93%；</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防护等级：IP53；</w:t>
            </w:r>
          </w:p>
        </w:tc>
        <w:tc>
          <w:tcPr>
            <w:tcW w:w="0" w:type="auto"/>
            <w:shd w:val="clear" w:color="auto" w:fill="auto"/>
            <w:noWrap/>
            <w:vAlign w:val="center"/>
          </w:tcPr>
          <w:p w14:paraId="79A5EF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6DE8E8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7F2B9E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B5AA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FF204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32A9464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22F9A9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5EEA29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84A55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18F8E81">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7F9D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F25B9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654AEB9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063E178B">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1719EE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8E887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2B0CDFF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B8F7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721C4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2583FFF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车行灯信号线</w:t>
            </w:r>
          </w:p>
        </w:tc>
        <w:tc>
          <w:tcPr>
            <w:tcW w:w="5596" w:type="dxa"/>
            <w:shd w:val="clear" w:color="auto" w:fill="auto"/>
            <w:vAlign w:val="center"/>
          </w:tcPr>
          <w:p w14:paraId="53FF60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KVV22-16*1.5mm²</w:t>
            </w:r>
          </w:p>
        </w:tc>
        <w:tc>
          <w:tcPr>
            <w:tcW w:w="0" w:type="auto"/>
            <w:shd w:val="clear" w:color="auto" w:fill="auto"/>
            <w:noWrap/>
            <w:vAlign w:val="center"/>
          </w:tcPr>
          <w:p w14:paraId="072BA9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11E14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3E61DE0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EF5A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97D062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2C616A5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303A89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50B780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ABA4D4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2B2B15F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146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19307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2083E34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7EB2360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15CF05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213F0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0B2B256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EB16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02256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204F30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市电电源线</w:t>
            </w:r>
          </w:p>
        </w:tc>
        <w:tc>
          <w:tcPr>
            <w:tcW w:w="5596" w:type="dxa"/>
            <w:shd w:val="clear" w:color="auto" w:fill="auto"/>
            <w:vAlign w:val="center"/>
          </w:tcPr>
          <w:p w14:paraId="1915582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62E4B3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ABD96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c>
          <w:tcPr>
            <w:tcW w:w="0" w:type="auto"/>
            <w:shd w:val="clear" w:color="auto" w:fill="auto"/>
            <w:vAlign w:val="center"/>
          </w:tcPr>
          <w:p w14:paraId="0EFDEE7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6857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777B5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829" w:type="dxa"/>
            <w:shd w:val="clear" w:color="auto" w:fill="auto"/>
            <w:noWrap/>
            <w:vAlign w:val="center"/>
          </w:tcPr>
          <w:p w14:paraId="0677C8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3C5C4EE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3C4BCA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2AE62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A1EB15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3EB1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8F3BA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829" w:type="dxa"/>
            <w:shd w:val="clear" w:color="auto" w:fill="auto"/>
            <w:noWrap/>
            <w:vAlign w:val="center"/>
          </w:tcPr>
          <w:p w14:paraId="6933E76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交通信号控制机机柜基础</w:t>
            </w:r>
          </w:p>
        </w:tc>
        <w:tc>
          <w:tcPr>
            <w:tcW w:w="5596" w:type="dxa"/>
            <w:shd w:val="clear" w:color="auto" w:fill="auto"/>
            <w:vAlign w:val="center"/>
          </w:tcPr>
          <w:p w14:paraId="0740F38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61CB09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533ED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4D3FF0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D761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DC8A1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829" w:type="dxa"/>
            <w:shd w:val="clear" w:color="auto" w:fill="auto"/>
            <w:noWrap/>
            <w:vAlign w:val="center"/>
          </w:tcPr>
          <w:p w14:paraId="74DB10C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1320C58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6B463D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0B554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0" w:type="auto"/>
            <w:shd w:val="clear" w:color="auto" w:fill="auto"/>
            <w:vAlign w:val="center"/>
          </w:tcPr>
          <w:p w14:paraId="50F977CF">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057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6D13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829" w:type="dxa"/>
            <w:shd w:val="clear" w:color="auto" w:fill="auto"/>
            <w:noWrap/>
            <w:vAlign w:val="center"/>
          </w:tcPr>
          <w:p w14:paraId="7E8B2F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5596" w:type="dxa"/>
            <w:shd w:val="clear" w:color="auto" w:fill="auto"/>
            <w:vAlign w:val="center"/>
          </w:tcPr>
          <w:p w14:paraId="3C9B75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32EB33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414AB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7CC9448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88BA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93E13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829" w:type="dxa"/>
            <w:shd w:val="clear" w:color="auto" w:fill="auto"/>
            <w:noWrap/>
            <w:vAlign w:val="center"/>
          </w:tcPr>
          <w:p w14:paraId="3D780F8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41F76BC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4BEDA5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6E695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4718AC0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AD2F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010A4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829" w:type="dxa"/>
            <w:shd w:val="clear" w:color="auto" w:fill="auto"/>
            <w:noWrap/>
            <w:vAlign w:val="center"/>
          </w:tcPr>
          <w:p w14:paraId="5985083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小计11</w:t>
            </w:r>
          </w:p>
        </w:tc>
        <w:tc>
          <w:tcPr>
            <w:tcW w:w="5596" w:type="dxa"/>
            <w:shd w:val="clear" w:color="auto" w:fill="auto"/>
            <w:vAlign w:val="center"/>
          </w:tcPr>
          <w:p w14:paraId="5F98134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82825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72999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1783EAC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2AED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B1F796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1.12</w:t>
            </w:r>
          </w:p>
        </w:tc>
        <w:tc>
          <w:tcPr>
            <w:tcW w:w="829" w:type="dxa"/>
            <w:shd w:val="clear" w:color="auto" w:fill="auto"/>
            <w:noWrap/>
            <w:vAlign w:val="center"/>
          </w:tcPr>
          <w:p w14:paraId="1180F7C1">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海榆中线（G224）-黎母大道（S304）</w:t>
            </w:r>
          </w:p>
        </w:tc>
        <w:tc>
          <w:tcPr>
            <w:tcW w:w="5596" w:type="dxa"/>
            <w:shd w:val="clear" w:color="auto" w:fill="auto"/>
            <w:vAlign w:val="center"/>
          </w:tcPr>
          <w:p w14:paraId="1BAD5559">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63AFED9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6F3A341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69112B16">
            <w:pPr>
              <w:widowControl/>
              <w:spacing w:line="240" w:lineRule="auto"/>
              <w:ind w:firstLine="0" w:firstLineChars="0"/>
              <w:jc w:val="left"/>
              <w:rPr>
                <w:rFonts w:hint="eastAsia" w:ascii="宋体" w:hAnsi="宋体" w:eastAsia="宋体" w:cs="宋体"/>
                <w:b/>
                <w:bCs/>
                <w:color w:val="FF0000"/>
                <w:kern w:val="0"/>
                <w:sz w:val="22"/>
                <w:szCs w:val="22"/>
              </w:rPr>
            </w:pPr>
            <w:r>
              <w:rPr>
                <w:rFonts w:hint="eastAsia" w:ascii="宋体" w:hAnsi="宋体" w:eastAsia="宋体" w:cs="宋体"/>
                <w:b/>
                <w:bCs/>
                <w:color w:val="FF0000"/>
                <w:kern w:val="0"/>
                <w:sz w:val="22"/>
                <w:szCs w:val="22"/>
              </w:rPr>
              <w:t>　</w:t>
            </w:r>
          </w:p>
        </w:tc>
      </w:tr>
      <w:tr w14:paraId="0A572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F24C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829" w:type="dxa"/>
            <w:shd w:val="clear" w:color="auto" w:fill="auto"/>
            <w:noWrap/>
            <w:vAlign w:val="center"/>
          </w:tcPr>
          <w:p w14:paraId="2266D21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w:t>
            </w:r>
          </w:p>
        </w:tc>
        <w:tc>
          <w:tcPr>
            <w:tcW w:w="5596" w:type="dxa"/>
            <w:shd w:val="clear" w:color="auto" w:fill="auto"/>
            <w:vAlign w:val="center"/>
          </w:tcPr>
          <w:p w14:paraId="5D9575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一体化人行信号灯；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面罩规格：信号灯400mm；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面罩材质：耐力板、玻璃；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电压：AC200±20% V，功率 &lt;200W；</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倒计时组合方式：红灯时，上静态红人，下18红倒计时；绿灯时上18绿倒计时，下静态绿人；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可视距离：&gt;400米 可视角度 &gt;30°；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倒计时：红绿18倒计时，显示范围19~1；</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计时方式：跟随/触发两用，触发脉冲宽度150ms~300ms；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LED屏：P10间距，尺寸不小于1500mm×320mm，具备10/100M以太网；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LED屏颜色：红绿双色，自动跟随信号灯颜色；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LED显示屏支持白天、夜间亮度自动调节，减少夜间光污染，节能环保；</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亮度：&gt;3000cd/㎡；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最佳视距：&gt;10m；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可视距离：&gt;400m；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具备文字语音同步播报模式，具备盲人钟模式；</w:t>
            </w:r>
          </w:p>
        </w:tc>
        <w:tc>
          <w:tcPr>
            <w:tcW w:w="0" w:type="auto"/>
            <w:shd w:val="clear" w:color="auto" w:fill="auto"/>
            <w:noWrap/>
            <w:vAlign w:val="center"/>
          </w:tcPr>
          <w:p w14:paraId="49C3A0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组</w:t>
            </w:r>
          </w:p>
        </w:tc>
        <w:tc>
          <w:tcPr>
            <w:tcW w:w="0" w:type="auto"/>
            <w:shd w:val="clear" w:color="auto" w:fill="auto"/>
            <w:noWrap/>
            <w:vAlign w:val="center"/>
          </w:tcPr>
          <w:p w14:paraId="70ECD3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242714D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2683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CE343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829" w:type="dxa"/>
            <w:shd w:val="clear" w:color="auto" w:fill="auto"/>
            <w:noWrap/>
            <w:vAlign w:val="center"/>
          </w:tcPr>
          <w:p w14:paraId="4593D29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交通信号控制机</w:t>
            </w:r>
          </w:p>
        </w:tc>
        <w:tc>
          <w:tcPr>
            <w:tcW w:w="5596" w:type="dxa"/>
            <w:shd w:val="clear" w:color="auto" w:fill="auto"/>
            <w:vAlign w:val="center"/>
          </w:tcPr>
          <w:p w14:paraId="530381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包含：控制主机、配电单元、机柜、GPS；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支持≥54路灯控输出；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具备≥1个GPS接口，可接收GPS卫星信号进行实时校时；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4. 支持接入视频车检器并接收数据，可按固定间隔或信控周期获取每个车道的流量、平均车速、平均车头时距、时间占有率、排队长度数据；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支持单点自适应控制功能，可配置车道属性、最大周期时长、静态权重、最大周期波动时间、周期调整因子、关联方案、相位参数，根据电子警察、车检器数据实时调整周期内参数；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支持无缆线绿波协调控制功能，可利用信号机自身的时钟、通过设定相位差实现不同路口之间的离线协调，且支持自动按照时间段切换协调方案；</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信号机支持同一时段表中环模式方案和相位阶段模式方案的切换，该功能下控制模式支持定周期控制、协调控制和感应控制；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信号机可以对当前周期中正在放行和未放行的阶段执行延长时间、缩减时间、插入阶段等操作；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信号机应满足NTCIP通讯协议的体系结构，对NTCIP协议通讯方式的主要协议提供支持；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信号机应符合《道路交通信号控制机》GB25280-2016要求，产品类别为C类，耐温等级为A级；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信号机通信协议应符合GB 25280-2016《道路交通信号控制机》中附录A的要求；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信号机软件应符合国家标准GB/T 20999-2017《交通信号控制机与上位机间的数据通信协议》的体系结构，支持标准所定义的通讯方式及相关对象；</w:t>
            </w:r>
          </w:p>
        </w:tc>
        <w:tc>
          <w:tcPr>
            <w:tcW w:w="0" w:type="auto"/>
            <w:shd w:val="clear" w:color="auto" w:fill="auto"/>
            <w:noWrap/>
            <w:vAlign w:val="center"/>
          </w:tcPr>
          <w:p w14:paraId="4883CC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35585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7CA994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D520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36EE5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829" w:type="dxa"/>
            <w:shd w:val="clear" w:color="auto" w:fill="auto"/>
            <w:noWrap/>
            <w:vAlign w:val="center"/>
          </w:tcPr>
          <w:p w14:paraId="3073E5C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雷视一体机</w:t>
            </w:r>
          </w:p>
        </w:tc>
        <w:tc>
          <w:tcPr>
            <w:tcW w:w="5596" w:type="dxa"/>
            <w:shd w:val="clear" w:color="auto" w:fill="auto"/>
            <w:vAlign w:val="center"/>
          </w:tcPr>
          <w:p w14:paraId="69441056">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≥80GHz高频段毫米波雷达 &amp; ≥400万像素低照度摄像机；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≥4车道多目标检测，支持检测距离≥350米，同时跟踪≥256个目标；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支持目标二维坐标（以雷达为中心）、实时速度、车型、排队长度等实时数据输出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支持流量数据：支持排队长度、车流量、平均车速、平均车长、车头时距、车道占有率和实时通道车数统计 支持大、中、小车辆类型分类</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支持蓝、黄、黑、白、绿、黄绿双色、渐变绿色等多种车牌识别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支持变道、超速、低速、排队溢出、拥堵、逆行、停车等事件检测上报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7.图片分辨率≥2880*1620；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8. 支持安全功能，支持RTSP鉴权、HTTP鉴权、ARP防攻击、友好密码、Mac地址校验、非法登录锁定功能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支持IP地址过滤功能，在允许模式下，只有在允许列表内的IP地址才允许访问设备；在禁止模式下，只有在禁止列表内的IP地址不允许访问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通信接口不少于1个10M/100M 自适应以太网电口、1路RS 485、2路开关量输出、2路开关量输入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视频压缩标准：H.264、H.265、MJPEG；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13.防护等级≥IP67；电源：DC 24V ±25%。</w:t>
            </w:r>
          </w:p>
        </w:tc>
        <w:tc>
          <w:tcPr>
            <w:tcW w:w="0" w:type="auto"/>
            <w:shd w:val="clear" w:color="auto" w:fill="auto"/>
            <w:noWrap/>
            <w:vAlign w:val="center"/>
          </w:tcPr>
          <w:p w14:paraId="7333A0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EAC2E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DD19BC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0060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F581F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829" w:type="dxa"/>
            <w:shd w:val="clear" w:color="auto" w:fill="auto"/>
            <w:noWrap/>
            <w:vAlign w:val="center"/>
          </w:tcPr>
          <w:p w14:paraId="02B524E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一体化人行信号灯线</w:t>
            </w:r>
          </w:p>
        </w:tc>
        <w:tc>
          <w:tcPr>
            <w:tcW w:w="5596" w:type="dxa"/>
            <w:shd w:val="clear" w:color="auto" w:fill="auto"/>
            <w:vAlign w:val="center"/>
          </w:tcPr>
          <w:p w14:paraId="7A54EB7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KVV22-6*1.5mm²</w:t>
            </w:r>
          </w:p>
        </w:tc>
        <w:tc>
          <w:tcPr>
            <w:tcW w:w="0" w:type="auto"/>
            <w:shd w:val="clear" w:color="auto" w:fill="auto"/>
            <w:noWrap/>
            <w:vAlign w:val="center"/>
          </w:tcPr>
          <w:p w14:paraId="26DAD7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494D5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371FF4F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CDC9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2BDE4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829" w:type="dxa"/>
            <w:shd w:val="clear" w:color="auto" w:fill="auto"/>
            <w:noWrap/>
            <w:vAlign w:val="center"/>
          </w:tcPr>
          <w:p w14:paraId="29E3B74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一体化人行LED屏电源线</w:t>
            </w:r>
          </w:p>
        </w:tc>
        <w:tc>
          <w:tcPr>
            <w:tcW w:w="5596" w:type="dxa"/>
            <w:shd w:val="clear" w:color="auto" w:fill="auto"/>
            <w:vAlign w:val="center"/>
          </w:tcPr>
          <w:p w14:paraId="1FFBA4E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YJV22-2*6mm²</w:t>
            </w:r>
          </w:p>
        </w:tc>
        <w:tc>
          <w:tcPr>
            <w:tcW w:w="0" w:type="auto"/>
            <w:shd w:val="clear" w:color="auto" w:fill="auto"/>
            <w:noWrap/>
            <w:vAlign w:val="center"/>
          </w:tcPr>
          <w:p w14:paraId="13F1A7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8A850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15C1F4E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5BDC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5067E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829" w:type="dxa"/>
            <w:shd w:val="clear" w:color="auto" w:fill="auto"/>
            <w:noWrap/>
            <w:vAlign w:val="center"/>
          </w:tcPr>
          <w:p w14:paraId="253F83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一体化人行灯基础</w:t>
            </w:r>
          </w:p>
        </w:tc>
        <w:tc>
          <w:tcPr>
            <w:tcW w:w="5596" w:type="dxa"/>
            <w:shd w:val="clear" w:color="auto" w:fill="auto"/>
            <w:vAlign w:val="center"/>
          </w:tcPr>
          <w:p w14:paraId="10A534C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C25混凝土基础800cm×800cm×1.5m</w:t>
            </w:r>
          </w:p>
        </w:tc>
        <w:tc>
          <w:tcPr>
            <w:tcW w:w="0" w:type="auto"/>
            <w:shd w:val="clear" w:color="auto" w:fill="auto"/>
            <w:noWrap/>
            <w:vAlign w:val="center"/>
          </w:tcPr>
          <w:p w14:paraId="2CE55C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616AD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7B743FB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8C0A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DCEA1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829" w:type="dxa"/>
            <w:shd w:val="clear" w:color="auto" w:fill="auto"/>
            <w:noWrap/>
            <w:vAlign w:val="center"/>
          </w:tcPr>
          <w:p w14:paraId="0B1DD99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5596" w:type="dxa"/>
            <w:shd w:val="clear" w:color="auto" w:fill="auto"/>
            <w:vAlign w:val="center"/>
          </w:tcPr>
          <w:p w14:paraId="133265D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0F7951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3C2FF3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004F998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16CD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2DF07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829" w:type="dxa"/>
            <w:shd w:val="clear" w:color="auto" w:fill="auto"/>
            <w:noWrap/>
            <w:vAlign w:val="center"/>
          </w:tcPr>
          <w:p w14:paraId="213233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管道开挖</w:t>
            </w:r>
          </w:p>
        </w:tc>
        <w:tc>
          <w:tcPr>
            <w:tcW w:w="5596" w:type="dxa"/>
            <w:shd w:val="clear" w:color="auto" w:fill="auto"/>
            <w:vAlign w:val="center"/>
          </w:tcPr>
          <w:p w14:paraId="1DE65E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开挖施工，土石方开挖、回填及清运、绿化带破除和恢复</w:t>
            </w:r>
          </w:p>
        </w:tc>
        <w:tc>
          <w:tcPr>
            <w:tcW w:w="0" w:type="auto"/>
            <w:shd w:val="clear" w:color="auto" w:fill="auto"/>
            <w:noWrap/>
            <w:vAlign w:val="center"/>
          </w:tcPr>
          <w:p w14:paraId="29C311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B81BC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300</w:t>
            </w:r>
          </w:p>
        </w:tc>
        <w:tc>
          <w:tcPr>
            <w:tcW w:w="0" w:type="auto"/>
            <w:shd w:val="clear" w:color="auto" w:fill="auto"/>
            <w:vAlign w:val="center"/>
          </w:tcPr>
          <w:p w14:paraId="55C493F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bl>
    <w:p w14:paraId="2101EE97">
      <w:pPr>
        <w:pStyle w:val="7"/>
        <w:rPr>
          <w:rFonts w:hint="eastAsia"/>
        </w:rPr>
      </w:pPr>
    </w:p>
    <w:p w14:paraId="477D92F4">
      <w:pPr>
        <w:pStyle w:val="4"/>
      </w:pPr>
      <w:r>
        <w:rPr>
          <w:rFonts w:hint="eastAsia"/>
        </w:rPr>
        <w:t>电子警察系统改造</w:t>
      </w:r>
    </w:p>
    <w:p w14:paraId="0D3A1884">
      <w:pPr>
        <w:pStyle w:val="5"/>
        <w:bidi w:val="0"/>
        <w:ind w:left="0" w:leftChars="0" w:firstLine="0" w:firstLineChars="0"/>
      </w:pPr>
      <w:bookmarkStart w:id="44" w:name="_Hlk187135829"/>
      <w:r>
        <w:rPr>
          <w:rFonts w:hint="eastAsia"/>
        </w:rPr>
        <w:t>业务逻辑描述</w:t>
      </w:r>
    </w:p>
    <w:p w14:paraId="79466E1B">
      <w:pPr>
        <w:spacing w:line="360" w:lineRule="auto"/>
        <w:ind w:firstLine="480" w:firstLineChars="200"/>
        <w:rPr>
          <w:rFonts w:hint="eastAsia" w:ascii="Times New Roman" w:hAnsi="Times New Roman"/>
        </w:rPr>
      </w:pPr>
      <w:r>
        <w:rPr>
          <w:rFonts w:hint="eastAsia" w:ascii="Times New Roman" w:hAnsi="Times New Roman"/>
        </w:rPr>
        <w:t>伴随着车流量增长将加快，加剧了道路交通拥堵、交通事故增多、交通污染严重和能源的浪费等。尤其是路口及部分车流量较大的路口缺少车辆违法监控手段，车辆违章驾驶导致道路事故多发，无法对驾驶人员闯红灯、压线行驶、不按车道行驶、车辆违章停车等违法行为进行监控处罚的情况下，部分驾驶人员不能有效的规范自己的驾驶行为，闯红灯、不按车道行驶等违法行为增多极易造成交通事故和交通混乱，因此电子警察系统为道路交通管理提供科技手段，规范驾驶行为，减少道路不安全因素，为机动车、行人提供安全保障，同时改善治安并提升交通秩序水平，为交通肇事逃逸和涉车案件等违法行为提供侦查线索和处罚证据。</w:t>
      </w:r>
    </w:p>
    <w:p w14:paraId="3B6AD13B">
      <w:pPr>
        <w:spacing w:line="360" w:lineRule="auto"/>
        <w:ind w:firstLine="480" w:firstLineChars="200"/>
        <w:rPr>
          <w:rFonts w:hint="eastAsia" w:ascii="Times New Roman" w:hAnsi="Times New Roman"/>
        </w:rPr>
      </w:pPr>
      <w:r>
        <w:rPr>
          <w:rFonts w:hint="eastAsia" w:ascii="Times New Roman" w:hAnsi="Times New Roman"/>
        </w:rPr>
        <w:t>根据海南省公安厅交通警察总队建设规范要求，路口电子警察系统设备布置原则为：灯控路口各进口道按每3个车道配置1台≥900万像素集成式高清摄像机（正向电警），不足3个车道的按3车道计算。</w:t>
      </w:r>
    </w:p>
    <w:p w14:paraId="668A8644">
      <w:pPr>
        <w:spacing w:line="360" w:lineRule="auto"/>
        <w:ind w:firstLine="480" w:firstLineChars="200"/>
        <w:rPr>
          <w:rFonts w:ascii="Times New Roman" w:hAnsi="Times New Roman"/>
        </w:rPr>
      </w:pPr>
      <w:r>
        <w:rPr>
          <w:rFonts w:hint="eastAsia" w:ascii="Times New Roman" w:hAnsi="Times New Roman"/>
        </w:rPr>
        <w:t>城市主干道的路口进口道应增设车辆前部特征记录设备，作为认定机动车闯红灯违法驾驶人的参考资料。车辆前部特征记录设备为满足主干路进口道驾驶人面部特征记录图片像素要求，按每3个车道配1台≥900万（反向卡口）像素高清摄像机进行车辆前部特征抓拍。结合公安部交通管理局印发《规范道路交通监控设备补光装置设置专项整治工作方案》的通知，贯彻落实公共安全行业标准《交通技术监控成像补光装置通用技术条件》（GA/T 1202-2022），进一步规范道路交通监控设备补光装置设置，切实消除补光装置安装使用不规范带来的交通安全隐患，反向卡口抓拍机需采用环保型设备，并达到一级补光要求。</w:t>
      </w:r>
    </w:p>
    <w:p w14:paraId="734FC851">
      <w:pPr>
        <w:spacing w:line="360" w:lineRule="auto"/>
        <w:ind w:firstLine="480" w:firstLineChars="200"/>
      </w:pPr>
      <w:r>
        <w:rPr>
          <w:rFonts w:hint="eastAsia" w:ascii="Times New Roman" w:hAnsi="Times New Roman"/>
        </w:rPr>
        <w:t>电子警察抓拍单元，主要针对路口闯红灯、逆行、压线、不按车道行驶等驾驶行为进行自动“检测”和“抓拍”，将违法车辆的图片、号牌、地点、时间等信息记录，并通过标准的GA-T 1400.4-2017协议将抓拍后的图片传回后台进行存储，供上层应用调用，电子警察抓拍单元要求联网，联网标准遵循《安全防范视频监控联网系统信息传输、交换、控制技术要求GB/T28181》。</w:t>
      </w:r>
    </w:p>
    <w:p w14:paraId="0F3D74C3">
      <w:pPr>
        <w:pStyle w:val="5"/>
      </w:pPr>
      <w:r>
        <w:rPr>
          <w:rFonts w:hint="eastAsia"/>
        </w:rPr>
        <w:t>系统</w:t>
      </w:r>
      <w:r>
        <w:t>架构</w:t>
      </w:r>
    </w:p>
    <w:bookmarkEnd w:id="44"/>
    <w:p w14:paraId="43B5211A">
      <w:pPr>
        <w:keepNext/>
        <w:ind w:firstLine="0" w:firstLineChars="0"/>
      </w:pPr>
      <w:r>
        <w:drawing>
          <wp:inline distT="0" distB="0" distL="0" distR="0">
            <wp:extent cx="5274310" cy="2875915"/>
            <wp:effectExtent l="0" t="0" r="2540" b="635"/>
            <wp:docPr id="4594131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13175" name="图片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74310" cy="2875915"/>
                    </a:xfrm>
                    <a:prstGeom prst="rect">
                      <a:avLst/>
                    </a:prstGeom>
                    <a:noFill/>
                    <a:ln>
                      <a:noFill/>
                    </a:ln>
                  </pic:spPr>
                </pic:pic>
              </a:graphicData>
            </a:graphic>
          </wp:inline>
        </w:drawing>
      </w:r>
    </w:p>
    <w:p w14:paraId="16C3A822">
      <w:pPr>
        <w:ind w:firstLine="480"/>
        <w:rPr>
          <w:rFonts w:ascii="Times New Roman" w:hAnsi="Times New Roman"/>
        </w:rPr>
      </w:pPr>
      <w:r>
        <w:rPr>
          <w:rFonts w:hint="eastAsia" w:ascii="Times New Roman" w:hAnsi="Times New Roman"/>
        </w:rPr>
        <w:t>电子警察系统由前端子系统、网络传输子系统以及后端管理子系统三大部分组成，实现对路口机动车闯红灯、逆行、压线、不按所需行进方向驶入导向车道、不按规定车道行驶等交通违法行为的自动抓拍、记录、传输和处理，同时系统还兼具卡口功能，能够实时记录通行车辆信息。</w:t>
      </w:r>
    </w:p>
    <w:p w14:paraId="6B15D0FA">
      <w:pPr>
        <w:ind w:firstLine="480"/>
        <w:rPr>
          <w:rFonts w:ascii="Times New Roman" w:hAnsi="Times New Roman"/>
        </w:rPr>
      </w:pPr>
      <w:r>
        <w:rPr>
          <w:rFonts w:hint="eastAsia" w:ascii="Times New Roman" w:hAnsi="Times New Roman"/>
        </w:rPr>
        <w:t>1）前端子系统</w:t>
      </w:r>
    </w:p>
    <w:p w14:paraId="3EFF029A">
      <w:pPr>
        <w:ind w:firstLine="480"/>
        <w:rPr>
          <w:rFonts w:ascii="Times New Roman" w:hAnsi="Times New Roman"/>
        </w:rPr>
      </w:pPr>
      <w:r>
        <w:rPr>
          <w:rFonts w:hint="eastAsia" w:ascii="Times New Roman" w:hAnsi="Times New Roman"/>
        </w:rPr>
        <w:t>负责完成前端数据的采集、分析、处理、存储与上传，主要由电子电警抓拍机、LED补光灯、环保反向卡口抓拍机、多合一环保补光灯、信号灯检测单元、终端服务器、路口智能监控球机等相关组件构成。路口交通违法信息与卡口信息全部采用IP方式传输。</w:t>
      </w:r>
    </w:p>
    <w:p w14:paraId="5813AA7B">
      <w:pPr>
        <w:ind w:firstLine="480"/>
        <w:rPr>
          <w:rFonts w:ascii="Times New Roman" w:hAnsi="Times New Roman"/>
        </w:rPr>
      </w:pPr>
      <w:bookmarkStart w:id="45" w:name="_Hlk187135927"/>
      <w:r>
        <w:rPr>
          <w:rFonts w:hint="eastAsia" w:ascii="Times New Roman" w:hAnsi="Times New Roman"/>
        </w:rPr>
        <w:t>通过治安监控二期项目，于2015年建设了5 套电子警察，分别为：山兰大厦路口【国兴大道-营根路】、零公里路口【国兴大道-营乘路】、国兴大道-兴教路、国兴大道-龙溪路、龙溪路-玉锦大道。鉴于目前的电子警察设备因使用年限较久、技术落后等原因，导致当前路口的监控设备存在无法全面的反馈路口情况，且夜间效果不理想。市区电警的补光设备配置不合理，而且未建设反向卡口抓拍设备，对于违法行为的处罚也缺乏人脸比对依据，在应用过程会出现漏拍、图像质量较差的问题，对深入开展交通管理工作带来一定的影响，本项目对电子警察抓拍机、补光灯等设备全部进行更换。另外7个路口为新建电子警察系统。</w:t>
      </w:r>
    </w:p>
    <w:p w14:paraId="0580170A">
      <w:pPr>
        <w:ind w:firstLine="480"/>
        <w:rPr>
          <w:rFonts w:ascii="Times New Roman" w:hAnsi="Times New Roman"/>
        </w:rPr>
      </w:pPr>
      <w:r>
        <w:rPr>
          <w:rFonts w:hint="eastAsia" w:ascii="Times New Roman" w:hAnsi="Times New Roman"/>
        </w:rPr>
        <w:t>通过升级电子警察设备使之性能得到进一步提升，进一步保障道路交通安全，打造平安琼中，使之具备：</w:t>
      </w:r>
    </w:p>
    <w:p w14:paraId="1E0092C2">
      <w:pPr>
        <w:widowControl/>
        <w:numPr>
          <w:ilvl w:val="0"/>
          <w:numId w:val="6"/>
        </w:numPr>
        <w:ind w:left="0" w:firstLine="480"/>
        <w:jc w:val="left"/>
        <w:rPr>
          <w:rFonts w:ascii="Times New Roman" w:hAnsi="Times New Roman"/>
        </w:rPr>
      </w:pPr>
      <w:r>
        <w:rPr>
          <w:rFonts w:hint="eastAsia" w:ascii="Times New Roman" w:hAnsi="Times New Roman"/>
        </w:rPr>
        <w:t>通行车辆捕获率：白天98.5%，晚上95.8%</w:t>
      </w:r>
    </w:p>
    <w:p w14:paraId="170AD1D4">
      <w:pPr>
        <w:widowControl/>
        <w:numPr>
          <w:ilvl w:val="0"/>
          <w:numId w:val="6"/>
        </w:numPr>
        <w:ind w:left="0" w:firstLine="480"/>
        <w:jc w:val="left"/>
        <w:rPr>
          <w:rFonts w:ascii="Times New Roman" w:hAnsi="Times New Roman"/>
        </w:rPr>
      </w:pPr>
      <w:r>
        <w:rPr>
          <w:rFonts w:hint="eastAsia" w:ascii="Times New Roman" w:hAnsi="Times New Roman"/>
        </w:rPr>
        <w:t>闯红灯车辆捕获率：白天98.5%，晚上95.8%；</w:t>
      </w:r>
    </w:p>
    <w:p w14:paraId="15207215">
      <w:pPr>
        <w:widowControl/>
        <w:numPr>
          <w:ilvl w:val="0"/>
          <w:numId w:val="6"/>
        </w:numPr>
        <w:ind w:left="0" w:firstLine="480"/>
        <w:jc w:val="left"/>
        <w:rPr>
          <w:rFonts w:ascii="Times New Roman" w:hAnsi="Times New Roman"/>
        </w:rPr>
      </w:pPr>
      <w:r>
        <w:rPr>
          <w:rFonts w:hint="eastAsia" w:ascii="Times New Roman" w:hAnsi="Times New Roman"/>
        </w:rPr>
        <w:t>闯红灯检测系统附带的违法检测功能</w:t>
      </w:r>
      <w:r>
        <w:rPr>
          <w:rFonts w:hint="eastAsia" w:ascii="Times New Roman" w:hAnsi="Times New Roman"/>
        </w:rPr>
        <w:tab/>
      </w:r>
      <w:r>
        <w:rPr>
          <w:rFonts w:hint="eastAsia" w:ascii="Times New Roman" w:hAnsi="Times New Roman"/>
        </w:rPr>
        <w:t>具有不按规定车道行驶、逆行、压线/变道、不按所需行进方向驶入导向车道检测功能；</w:t>
      </w:r>
    </w:p>
    <w:p w14:paraId="18C54EB9">
      <w:pPr>
        <w:widowControl/>
        <w:numPr>
          <w:ilvl w:val="0"/>
          <w:numId w:val="6"/>
        </w:numPr>
        <w:ind w:left="0" w:firstLine="480"/>
        <w:jc w:val="left"/>
        <w:rPr>
          <w:rFonts w:ascii="Times New Roman" w:hAnsi="Times New Roman"/>
        </w:rPr>
      </w:pPr>
      <w:r>
        <w:rPr>
          <w:rFonts w:hint="eastAsia" w:ascii="Times New Roman" w:hAnsi="Times New Roman"/>
        </w:rPr>
        <w:t>其它违法检测功能捕获有效率：不按规定车道行驶≥90%；逆行≥90%；压线≥90%；不按所需行进方向驶入导向车道≥90%；</w:t>
      </w:r>
    </w:p>
    <w:p w14:paraId="6469C06F">
      <w:pPr>
        <w:widowControl/>
        <w:numPr>
          <w:ilvl w:val="0"/>
          <w:numId w:val="6"/>
        </w:numPr>
        <w:ind w:left="0" w:firstLine="480"/>
        <w:jc w:val="left"/>
        <w:rPr>
          <w:rFonts w:ascii="Times New Roman" w:hAnsi="Times New Roman"/>
        </w:rPr>
      </w:pPr>
      <w:r>
        <w:rPr>
          <w:rFonts w:hint="eastAsia" w:ascii="Times New Roman" w:hAnsi="Times New Roman"/>
        </w:rPr>
        <w:t>最小抓拍间隔</w:t>
      </w:r>
      <w:r>
        <w:rPr>
          <w:rFonts w:hint="eastAsia" w:ascii="Times New Roman" w:hAnsi="Times New Roman"/>
        </w:rPr>
        <w:tab/>
      </w:r>
      <w:r>
        <w:rPr>
          <w:rFonts w:hint="eastAsia" w:ascii="Times New Roman" w:hAnsi="Times New Roman"/>
        </w:rPr>
        <w:t>&lt;40ms；</w:t>
      </w:r>
    </w:p>
    <w:p w14:paraId="48084920">
      <w:pPr>
        <w:widowControl/>
        <w:numPr>
          <w:ilvl w:val="0"/>
          <w:numId w:val="6"/>
        </w:numPr>
        <w:ind w:left="0" w:firstLine="480"/>
        <w:jc w:val="left"/>
        <w:rPr>
          <w:rFonts w:ascii="Times New Roman" w:hAnsi="Times New Roman"/>
        </w:rPr>
      </w:pPr>
      <w:r>
        <w:rPr>
          <w:rFonts w:hint="eastAsia" w:ascii="Times New Roman" w:hAnsi="Times New Roman"/>
        </w:rPr>
        <w:t>车牌识别准确率</w:t>
      </w:r>
      <w:r>
        <w:rPr>
          <w:rFonts w:hint="eastAsia" w:ascii="Times New Roman" w:hAnsi="Times New Roman"/>
        </w:rPr>
        <w:tab/>
      </w:r>
      <w:r>
        <w:rPr>
          <w:rFonts w:hint="eastAsia" w:ascii="Times New Roman" w:hAnsi="Times New Roman"/>
        </w:rPr>
        <w:t>白天98%，晚上95%</w:t>
      </w:r>
    </w:p>
    <w:p w14:paraId="00EA328F">
      <w:pPr>
        <w:widowControl/>
        <w:numPr>
          <w:ilvl w:val="0"/>
          <w:numId w:val="6"/>
        </w:numPr>
        <w:ind w:left="0" w:firstLine="480"/>
        <w:jc w:val="left"/>
        <w:rPr>
          <w:rFonts w:ascii="Times New Roman" w:hAnsi="Times New Roman"/>
        </w:rPr>
      </w:pPr>
      <w:r>
        <w:rPr>
          <w:rFonts w:hint="eastAsia" w:ascii="Times New Roman" w:hAnsi="Times New Roman"/>
        </w:rPr>
        <w:t>车型识别</w:t>
      </w:r>
      <w:r>
        <w:rPr>
          <w:rFonts w:hint="eastAsia" w:ascii="Times New Roman" w:hAnsi="Times New Roman"/>
        </w:rPr>
        <w:tab/>
      </w:r>
      <w:r>
        <w:rPr>
          <w:rFonts w:hint="eastAsia" w:ascii="Times New Roman" w:hAnsi="Times New Roman"/>
        </w:rPr>
        <w:t>背向电警可对12种车型进行识别（SUV、MVP、轿车(包括A级及以上车型)、小型轿车、微型轿车、面包车、皮卡车、小型货车(包括微卡、轻卡及中卡)、大型货车、小型客车、大型客车、油罐车），识别准确率白天≥90%、晚上≥88%。</w:t>
      </w:r>
    </w:p>
    <w:bookmarkEnd w:id="45"/>
    <w:p w14:paraId="33A25AF0">
      <w:pPr>
        <w:ind w:firstLine="480"/>
        <w:rPr>
          <w:rFonts w:ascii="Times New Roman" w:hAnsi="Times New Roman"/>
        </w:rPr>
      </w:pPr>
      <w:r>
        <w:rPr>
          <w:rFonts w:hint="eastAsia" w:ascii="Times New Roman" w:hAnsi="Times New Roman"/>
        </w:rPr>
        <w:t>2）网络传输子系统</w:t>
      </w:r>
    </w:p>
    <w:p w14:paraId="76876B7F">
      <w:pPr>
        <w:ind w:firstLine="480"/>
        <w:rPr>
          <w:rFonts w:ascii="Times New Roman" w:hAnsi="Times New Roman"/>
        </w:rPr>
      </w:pPr>
      <w:r>
        <w:rPr>
          <w:rFonts w:hint="eastAsia" w:ascii="Times New Roman" w:hAnsi="Times New Roman"/>
        </w:rPr>
        <w:t>负责完成数据、图片、视频的传输与交换。租用运营商视频专网，其中路口局域网主要由点到点裸光纤、光纤收发器组成。</w:t>
      </w:r>
    </w:p>
    <w:p w14:paraId="4433E953">
      <w:pPr>
        <w:ind w:firstLine="480"/>
        <w:rPr>
          <w:rFonts w:ascii="Times New Roman" w:hAnsi="Times New Roman"/>
        </w:rPr>
      </w:pPr>
      <w:r>
        <w:rPr>
          <w:rFonts w:hint="eastAsia" w:ascii="Times New Roman" w:hAnsi="Times New Roman"/>
        </w:rPr>
        <w:t>3）后端管理子系统</w:t>
      </w:r>
    </w:p>
    <w:p w14:paraId="168AF2E4">
      <w:pPr>
        <w:ind w:firstLine="480"/>
      </w:pPr>
      <w:r>
        <w:rPr>
          <w:rFonts w:hint="eastAsia" w:ascii="Times New Roman" w:hAnsi="Times New Roman"/>
        </w:rPr>
        <w:t>负责实现对辖区内相关数据的汇聚、处理、存储、应用、管理与共享，由中心管理平台、相关服务器、存储系统组成</w:t>
      </w:r>
      <w:r>
        <w:rPr>
          <w:rFonts w:hint="eastAsia"/>
        </w:rPr>
        <w:t>。</w:t>
      </w:r>
    </w:p>
    <w:p w14:paraId="6B94D138">
      <w:pPr>
        <w:pStyle w:val="5"/>
        <w:rPr>
          <w:rFonts w:hint="eastAsia" w:ascii="宋体" w:hAnsi="宋体"/>
        </w:rPr>
      </w:pPr>
      <w:bookmarkStart w:id="46" w:name="_Toc408516962"/>
      <w:bookmarkStart w:id="47" w:name="_Toc435794335"/>
      <w:r>
        <w:rPr>
          <w:rFonts w:hint="eastAsia" w:ascii="宋体" w:hAnsi="宋体"/>
        </w:rPr>
        <w:t>设备架设</w:t>
      </w:r>
    </w:p>
    <w:p w14:paraId="472B3A9E">
      <w:pPr>
        <w:ind w:firstLine="480"/>
        <w:rPr>
          <w:rFonts w:ascii="Calibri" w:hAnsi="Calibri"/>
        </w:rPr>
      </w:pPr>
      <w:r>
        <w:rPr>
          <w:rFonts w:hint="eastAsia"/>
        </w:rPr>
        <w:t>在路口每个方向安装雷视一体机设备，利用路口的雷达+电警/卡口摄像机两种感知手段，在保证正常的非现场执法的功能基础上，利用行业最新的传感器技术、AI算法、边缘计算技术，实现雷达数据、视频分析数据的拟合，形成车辆时空数据、过车身份数据、违法抓拍数据、按车道流量数据、信号灯状态数据等多种元数据，为交通隐患治理、交通信号控制优化等提供丰富的源数据。</w:t>
      </w:r>
    </w:p>
    <w:p w14:paraId="6074A12E">
      <w:pPr>
        <w:pStyle w:val="6"/>
      </w:pPr>
      <w:bookmarkStart w:id="48" w:name="_Toc438629113"/>
      <w:bookmarkStart w:id="49" w:name="_Toc60924026"/>
      <w:bookmarkStart w:id="50" w:name="_Toc493169735"/>
      <w:bookmarkStart w:id="51" w:name="_Toc532317532"/>
      <w:r>
        <w:rPr>
          <w:rFonts w:hint="eastAsia"/>
        </w:rPr>
        <w:t>前端子系统结构</w:t>
      </w:r>
      <w:bookmarkEnd w:id="46"/>
      <w:bookmarkEnd w:id="47"/>
      <w:bookmarkEnd w:id="48"/>
      <w:bookmarkEnd w:id="49"/>
      <w:bookmarkEnd w:id="50"/>
      <w:bookmarkEnd w:id="51"/>
    </w:p>
    <w:p w14:paraId="75583D1F">
      <w:pPr>
        <w:keepNext/>
        <w:ind w:firstLine="0" w:firstLineChars="0"/>
        <w:jc w:val="center"/>
      </w:pPr>
      <w:r>
        <w:object>
          <v:shape id="_x0000_i1043" o:spt="75" type="#_x0000_t75" style="height:143.45pt;width:415.4pt;" o:ole="t" filled="f" o:preferrelative="t" stroked="f" coordsize="21600,21600">
            <v:path/>
            <v:fill on="f" focussize="0,0"/>
            <v:stroke on="f" joinstyle="miter"/>
            <v:imagedata r:id="rId64" o:title=""/>
            <o:lock v:ext="edit" aspectratio="t"/>
            <w10:wrap type="none"/>
            <w10:anchorlock/>
          </v:shape>
          <o:OLEObject Type="Embed" ProgID="Visio.Drawing.15" ShapeID="_x0000_i1043" DrawAspect="Content" ObjectID="_1468075743" r:id="rId63">
            <o:LockedField>false</o:LockedField>
          </o:OLEObject>
        </w:object>
      </w:r>
    </w:p>
    <w:p w14:paraId="552DBF2D">
      <w:pPr>
        <w:ind w:firstLine="480"/>
        <w:rPr>
          <w:rFonts w:ascii="Times New Roman" w:hAnsi="Times New Roman"/>
        </w:rPr>
      </w:pPr>
      <w:r>
        <w:rPr>
          <w:rFonts w:hint="eastAsia" w:ascii="Times New Roman" w:hAnsi="Times New Roman"/>
        </w:rPr>
        <w:t>前端子系统包括电子电警抓拍机、LED补光灯、环保反向卡口抓拍机、多合一环保补光灯、高清违停抓拍球机、信号灯检测器、终端服务器、等相关组件。</w:t>
      </w:r>
    </w:p>
    <w:p w14:paraId="570C175C">
      <w:pPr>
        <w:widowControl/>
        <w:numPr>
          <w:ilvl w:val="0"/>
          <w:numId w:val="7"/>
        </w:numPr>
        <w:tabs>
          <w:tab w:val="left" w:pos="851"/>
        </w:tabs>
        <w:ind w:left="0" w:firstLine="482"/>
        <w:jc w:val="left"/>
        <w:rPr>
          <w:szCs w:val="28"/>
        </w:rPr>
      </w:pPr>
      <w:r>
        <w:rPr>
          <w:rFonts w:hint="eastAsia"/>
          <w:b/>
          <w:szCs w:val="28"/>
        </w:rPr>
        <w:t>电子警察抓拍机：</w:t>
      </w:r>
      <w:r>
        <w:rPr>
          <w:rFonts w:hint="eastAsia"/>
          <w:szCs w:val="28"/>
        </w:rPr>
        <w:t>采用900万像素摄像机，在外置环境补光灯的配合下，可实现图像采集、成像控制、车辆检测、车牌识别、违章检测，可支持SD卡前端存储。</w:t>
      </w:r>
    </w:p>
    <w:p w14:paraId="05E9017D">
      <w:pPr>
        <w:widowControl/>
        <w:numPr>
          <w:ilvl w:val="0"/>
          <w:numId w:val="7"/>
        </w:numPr>
        <w:tabs>
          <w:tab w:val="left" w:pos="851"/>
        </w:tabs>
        <w:ind w:left="0" w:firstLine="482"/>
        <w:jc w:val="left"/>
        <w:rPr>
          <w:b/>
          <w:szCs w:val="28"/>
        </w:rPr>
      </w:pPr>
      <w:r>
        <w:rPr>
          <w:rFonts w:hint="eastAsia"/>
          <w:b/>
          <w:szCs w:val="28"/>
        </w:rPr>
        <w:t>环境补光灯：</w:t>
      </w:r>
      <w:r>
        <w:rPr>
          <w:szCs w:val="28"/>
        </w:rPr>
        <w:t>选用LED</w:t>
      </w:r>
      <w:r>
        <w:rPr>
          <w:rFonts w:hint="eastAsia"/>
          <w:szCs w:val="28"/>
        </w:rPr>
        <w:t>灯</w:t>
      </w:r>
      <w:r>
        <w:rPr>
          <w:szCs w:val="28"/>
        </w:rPr>
        <w:t>作为光源</w:t>
      </w:r>
      <w:r>
        <w:rPr>
          <w:rFonts w:hint="eastAsia"/>
          <w:szCs w:val="28"/>
        </w:rPr>
        <w:t>，主要用以环境补光，有效提高夜间图像显示效果和标识标线的显示效果，灯光亮度符合国家环保标准，对人眼无刺激。具有良好的防水、防尘功能，能长时间适应室外工作环境。</w:t>
      </w:r>
    </w:p>
    <w:p w14:paraId="56EABC73">
      <w:pPr>
        <w:widowControl/>
        <w:numPr>
          <w:ilvl w:val="0"/>
          <w:numId w:val="7"/>
        </w:numPr>
        <w:tabs>
          <w:tab w:val="left" w:pos="851"/>
        </w:tabs>
        <w:ind w:left="0" w:firstLine="482"/>
        <w:jc w:val="left"/>
        <w:rPr>
          <w:b/>
          <w:szCs w:val="28"/>
        </w:rPr>
      </w:pPr>
      <w:r>
        <w:rPr>
          <w:rFonts w:hint="eastAsia"/>
          <w:b/>
          <w:szCs w:val="28"/>
        </w:rPr>
        <w:t>环保反向卡口抓拍机：</w:t>
      </w:r>
      <w:r>
        <w:rPr>
          <w:rFonts w:hint="eastAsia"/>
          <w:szCs w:val="28"/>
        </w:rPr>
        <w:t>采用900万像素环保摄像机，基于双光谱融合技术，通过专用的红外爆闪补光设备，在夜间场景会自动切换到红外补光，实现和白光爆闪相同的全彩效果，并且红外补光对人眼无感知，摒除白光爆闪光污染问题。</w:t>
      </w:r>
    </w:p>
    <w:p w14:paraId="064C6FC8">
      <w:pPr>
        <w:widowControl/>
        <w:numPr>
          <w:ilvl w:val="0"/>
          <w:numId w:val="7"/>
        </w:numPr>
        <w:tabs>
          <w:tab w:val="left" w:pos="851"/>
        </w:tabs>
        <w:ind w:left="0" w:firstLine="482"/>
        <w:jc w:val="left"/>
        <w:rPr>
          <w:b/>
          <w:szCs w:val="28"/>
        </w:rPr>
      </w:pPr>
      <w:r>
        <w:rPr>
          <w:b/>
          <w:szCs w:val="28"/>
        </w:rPr>
        <w:t>多合一环保补光灯：</w:t>
      </w:r>
      <w:r>
        <w:rPr>
          <w:rFonts w:hint="eastAsia"/>
          <w:szCs w:val="28"/>
        </w:rPr>
        <w:t>选用LED灯频闪、白光气体爆闪，红外气体爆闪多合一设备作为光源，主要用于车辆补光，有效提高夜间图像显示效果，灯光亮度符合国家环保标准，对人眼无刺激。</w:t>
      </w:r>
    </w:p>
    <w:p w14:paraId="3D6903A1">
      <w:pPr>
        <w:widowControl/>
        <w:numPr>
          <w:ilvl w:val="0"/>
          <w:numId w:val="7"/>
        </w:numPr>
        <w:tabs>
          <w:tab w:val="left" w:pos="851"/>
        </w:tabs>
        <w:ind w:left="0" w:firstLine="482"/>
        <w:jc w:val="left"/>
        <w:rPr>
          <w:b/>
          <w:szCs w:val="28"/>
        </w:rPr>
      </w:pPr>
      <w:r>
        <w:rPr>
          <w:rFonts w:hint="eastAsia"/>
          <w:b/>
          <w:szCs w:val="28"/>
        </w:rPr>
        <w:t>高清违停抓拍球机：</w:t>
      </w:r>
      <w:r>
        <w:rPr>
          <w:rFonts w:hint="eastAsia"/>
          <w:szCs w:val="28"/>
        </w:rPr>
        <w:t>系统采用4</w:t>
      </w:r>
      <w:r>
        <w:rPr>
          <w:szCs w:val="28"/>
        </w:rPr>
        <w:t>00万智能监控球机，实现路口云台监控和录像，并可以实现违停、压线、变道等违法行为检测</w:t>
      </w:r>
      <w:r>
        <w:rPr>
          <w:rFonts w:hint="eastAsia"/>
          <w:szCs w:val="28"/>
        </w:rPr>
        <w:t>。</w:t>
      </w:r>
    </w:p>
    <w:p w14:paraId="00BD0545">
      <w:pPr>
        <w:widowControl/>
        <w:numPr>
          <w:ilvl w:val="0"/>
          <w:numId w:val="7"/>
        </w:numPr>
        <w:tabs>
          <w:tab w:val="left" w:pos="851"/>
        </w:tabs>
        <w:ind w:left="0" w:firstLine="482"/>
        <w:jc w:val="left"/>
        <w:rPr>
          <w:b/>
          <w:szCs w:val="28"/>
        </w:rPr>
      </w:pPr>
      <w:r>
        <w:rPr>
          <w:rFonts w:hint="eastAsia"/>
          <w:b/>
          <w:szCs w:val="28"/>
        </w:rPr>
        <w:t>终端服务器：</w:t>
      </w:r>
      <w:r>
        <w:rPr>
          <w:rFonts w:hint="eastAsia"/>
          <w:szCs w:val="28"/>
        </w:rPr>
        <w:t>具备交换机和光纤收发器功能，同时完成路口数据的汇聚，支持前端数据暂存和数据上传。</w:t>
      </w:r>
    </w:p>
    <w:p w14:paraId="6E7FCA02">
      <w:pPr>
        <w:pStyle w:val="6"/>
      </w:pPr>
      <w:bookmarkStart w:id="52" w:name="_Toc493169736"/>
      <w:bookmarkStart w:id="53" w:name="_Toc438629114"/>
      <w:bookmarkStart w:id="54" w:name="_Toc532317533"/>
      <w:bookmarkStart w:id="55" w:name="_Toc60924027"/>
      <w:bookmarkStart w:id="56" w:name="_Toc408516963"/>
      <w:bookmarkStart w:id="57" w:name="_Toc435794336"/>
      <w:r>
        <w:rPr>
          <w:rFonts w:hint="eastAsia"/>
        </w:rPr>
        <w:t>前端子系统工程布局</w:t>
      </w:r>
      <w:bookmarkEnd w:id="52"/>
      <w:bookmarkEnd w:id="53"/>
      <w:bookmarkEnd w:id="54"/>
      <w:bookmarkEnd w:id="55"/>
      <w:bookmarkEnd w:id="56"/>
      <w:bookmarkEnd w:id="57"/>
    </w:p>
    <w:p w14:paraId="37C2C860">
      <w:pPr>
        <w:ind w:firstLine="480"/>
        <w:rPr>
          <w:szCs w:val="28"/>
        </w:rPr>
      </w:pPr>
      <w:r>
        <w:rPr>
          <w:rFonts w:hint="eastAsia"/>
          <w:szCs w:val="28"/>
        </w:rPr>
        <w:t>电子警察系统用于交叉路口或路段对闯红灯行为进行记录，因此通常情况下是十字路口或丁字路口，少有情况为直行路段。</w:t>
      </w:r>
    </w:p>
    <w:p w14:paraId="3775936F">
      <w:pPr>
        <w:ind w:firstLine="480"/>
        <w:rPr>
          <w:szCs w:val="28"/>
        </w:rPr>
      </w:pPr>
      <w:r>
        <w:rPr>
          <w:rFonts w:hint="eastAsia"/>
          <w:szCs w:val="28"/>
        </w:rPr>
        <w:t>十字路口布局示意图如下所示：</w:t>
      </w:r>
    </w:p>
    <w:p w14:paraId="34A5CD23">
      <w:pPr>
        <w:keepNext/>
        <w:ind w:firstLine="0" w:firstLineChars="0"/>
        <w:jc w:val="center"/>
      </w:pPr>
      <w:r>
        <w:object>
          <v:shape id="_x0000_i1044" o:spt="75" type="#_x0000_t75" style="height:274.7pt;width:320.7pt;" o:ole="t" filled="f" o:preferrelative="t" stroked="f" coordsize="21600,21600">
            <v:path/>
            <v:fill on="f" focussize="0,0"/>
            <v:stroke on="f" joinstyle="miter"/>
            <v:imagedata r:id="rId66" o:title=""/>
            <o:lock v:ext="edit" aspectratio="t"/>
            <w10:wrap type="none"/>
            <w10:anchorlock/>
          </v:shape>
          <o:OLEObject Type="Embed" ProgID="Visio.Drawing.15" ShapeID="_x0000_i1044" DrawAspect="Content" ObjectID="_1468075744" r:id="rId65">
            <o:LockedField>false</o:LockedField>
          </o:OLEObject>
        </w:object>
      </w:r>
    </w:p>
    <w:p w14:paraId="4E424EFF">
      <w:pPr>
        <w:ind w:firstLine="480"/>
        <w:rPr>
          <w:szCs w:val="28"/>
        </w:rPr>
      </w:pPr>
      <w:r>
        <w:rPr>
          <w:rFonts w:hint="eastAsia"/>
          <w:szCs w:val="28"/>
        </w:rPr>
        <w:t>丁字路口布局示意图如下所示：</w:t>
      </w:r>
    </w:p>
    <w:p w14:paraId="60DD5FCE">
      <w:pPr>
        <w:keepNext/>
        <w:ind w:firstLine="0" w:firstLineChars="0"/>
        <w:jc w:val="center"/>
      </w:pPr>
      <w:r>
        <w:object>
          <v:shape id="_x0000_i1045" o:spt="75" type="#_x0000_t75" style="height:244.8pt;width:346.15pt;" o:ole="t" filled="f" o:preferrelative="t" stroked="f" coordsize="21600,21600">
            <v:path/>
            <v:fill on="f" focussize="0,0"/>
            <v:stroke on="f" joinstyle="miter"/>
            <v:imagedata r:id="rId68" o:title=""/>
            <o:lock v:ext="edit" aspectratio="t"/>
            <w10:wrap type="none"/>
            <w10:anchorlock/>
          </v:shape>
          <o:OLEObject Type="Embed" ProgID="Visio.Drawing.15" ShapeID="_x0000_i1045" DrawAspect="Content" ObjectID="_1468075745" r:id="rId67">
            <o:LockedField>false</o:LockedField>
          </o:OLEObject>
        </w:object>
      </w:r>
    </w:p>
    <w:p w14:paraId="27B15381">
      <w:pPr>
        <w:pStyle w:val="7"/>
        <w:rPr>
          <w:rFonts w:hint="eastAsia"/>
        </w:rPr>
      </w:pPr>
    </w:p>
    <w:p w14:paraId="58DD4465">
      <w:pPr>
        <w:pStyle w:val="6"/>
      </w:pPr>
      <w:bookmarkStart w:id="58" w:name="_Toc60924028"/>
      <w:bookmarkStart w:id="59" w:name="_Toc438629115"/>
      <w:bookmarkStart w:id="60" w:name="_Toc408516964"/>
      <w:bookmarkStart w:id="61" w:name="_Toc435794337"/>
      <w:bookmarkStart w:id="62" w:name="_Toc532317534"/>
      <w:bookmarkStart w:id="63" w:name="_Toc493169737"/>
      <w:r>
        <w:rPr>
          <w:rFonts w:hint="eastAsia"/>
        </w:rPr>
        <w:t>前端子系统工程实施要点</w:t>
      </w:r>
      <w:bookmarkEnd w:id="58"/>
      <w:bookmarkEnd w:id="59"/>
      <w:bookmarkEnd w:id="60"/>
      <w:bookmarkEnd w:id="61"/>
      <w:bookmarkEnd w:id="62"/>
      <w:bookmarkEnd w:id="63"/>
    </w:p>
    <w:p w14:paraId="3B95A9F0">
      <w:pPr>
        <w:pStyle w:val="9"/>
      </w:pPr>
      <w:bookmarkStart w:id="64" w:name="_Toc438629116"/>
      <w:bookmarkStart w:id="65" w:name="_Toc435794338"/>
      <w:bookmarkStart w:id="66" w:name="_Toc493169738"/>
      <w:bookmarkStart w:id="67" w:name="_Toc532317535"/>
      <w:bookmarkStart w:id="68" w:name="_Toc408516965"/>
      <w:r>
        <w:rPr>
          <w:rFonts w:hint="eastAsia"/>
        </w:rPr>
        <w:t>工程实施细则</w:t>
      </w:r>
      <w:bookmarkEnd w:id="64"/>
      <w:bookmarkEnd w:id="65"/>
      <w:bookmarkEnd w:id="66"/>
      <w:bookmarkEnd w:id="67"/>
      <w:bookmarkEnd w:id="68"/>
    </w:p>
    <w:p w14:paraId="77A52E75">
      <w:pPr>
        <w:keepNext/>
        <w:ind w:firstLine="480"/>
        <w:jc w:val="center"/>
      </w:pPr>
      <w:r>
        <w:drawing>
          <wp:inline distT="0" distB="0" distL="0" distR="0">
            <wp:extent cx="5274310" cy="4530090"/>
            <wp:effectExtent l="0" t="0" r="2540" b="3810"/>
            <wp:docPr id="512712855" name="图片 16" descr="人脸取证电警单向三车道L杆安装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12855" name="图片 16" descr="人脸取证电警单向三车道L杆安装示意图"/>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274310" cy="4530090"/>
                    </a:xfrm>
                    <a:prstGeom prst="rect">
                      <a:avLst/>
                    </a:prstGeom>
                    <a:noFill/>
                    <a:ln>
                      <a:noFill/>
                    </a:ln>
                  </pic:spPr>
                </pic:pic>
              </a:graphicData>
            </a:graphic>
          </wp:inline>
        </w:drawing>
      </w:r>
    </w:p>
    <w:p w14:paraId="16F42948">
      <w:pPr>
        <w:ind w:firstLine="480"/>
        <w:rPr>
          <w:rFonts w:ascii="Times New Roman" w:hAnsi="Times New Roman"/>
        </w:rPr>
      </w:pPr>
      <w:r>
        <w:rPr>
          <w:rFonts w:hint="eastAsia" w:ascii="Times New Roman" w:hAnsi="Times New Roman"/>
        </w:rPr>
        <w:t>1）电警抓拍单元、LED补光灯安装于立杆挑臂上，环境补光灯安装在距离摄像机4米处。</w:t>
      </w:r>
    </w:p>
    <w:p w14:paraId="2FE05C7D">
      <w:pPr>
        <w:ind w:firstLine="480"/>
        <w:rPr>
          <w:rFonts w:ascii="Times New Roman" w:hAnsi="Times New Roman"/>
        </w:rPr>
      </w:pPr>
      <w:r>
        <w:rPr>
          <w:rFonts w:hint="eastAsia" w:ascii="Times New Roman" w:hAnsi="Times New Roman"/>
        </w:rPr>
        <w:t>2）环保</w:t>
      </w:r>
      <w:r>
        <w:rPr>
          <w:rFonts w:ascii="Times New Roman" w:hAnsi="Times New Roman"/>
        </w:rPr>
        <w:t>反向</w:t>
      </w:r>
      <w:r>
        <w:rPr>
          <w:rFonts w:hint="eastAsia" w:ascii="Times New Roman" w:hAnsi="Times New Roman"/>
        </w:rPr>
        <w:t>卡口抓拍单元、多合一环保补光灯反挑安装在电警挑臂上，多合一补光灯安装在距离摄像机5米处。</w:t>
      </w:r>
    </w:p>
    <w:p w14:paraId="4D48FD21">
      <w:pPr>
        <w:ind w:firstLine="480"/>
        <w:rPr>
          <w:rFonts w:ascii="Times New Roman" w:hAnsi="Times New Roman"/>
        </w:rPr>
      </w:pPr>
      <w:r>
        <w:rPr>
          <w:rFonts w:hint="eastAsia" w:ascii="Times New Roman" w:hAnsi="Times New Roman"/>
        </w:rPr>
        <w:t>3）信号灯检测器、终端服务器、交换机安装于落地机柜，落地机柜选址靠近信号灯控制箱。</w:t>
      </w:r>
    </w:p>
    <w:p w14:paraId="0423AD0A">
      <w:pPr>
        <w:ind w:firstLine="480"/>
        <w:rPr>
          <w:rFonts w:ascii="Times New Roman" w:hAnsi="Times New Roman"/>
        </w:rPr>
      </w:pPr>
      <w:r>
        <w:rPr>
          <w:rFonts w:hint="eastAsia" w:ascii="Times New Roman" w:hAnsi="Times New Roman"/>
        </w:rPr>
        <w:t>4）立杆安装位置通常在停车线后2</w:t>
      </w:r>
      <w:r>
        <w:rPr>
          <w:rFonts w:ascii="Times New Roman" w:hAnsi="Times New Roman"/>
        </w:rPr>
        <w:t>3</w:t>
      </w:r>
      <w:r>
        <w:rPr>
          <w:rFonts w:hint="eastAsia" w:ascii="Times New Roman" w:hAnsi="Times New Roman"/>
        </w:rPr>
        <w:t>米左右，立杆高度一般</w:t>
      </w:r>
      <w:r>
        <w:rPr>
          <w:rFonts w:ascii="Times New Roman" w:hAnsi="Times New Roman"/>
        </w:rPr>
        <w:t>不低于</w:t>
      </w:r>
      <w:r>
        <w:rPr>
          <w:rFonts w:hint="eastAsia" w:ascii="Times New Roman" w:hAnsi="Times New Roman"/>
        </w:rPr>
        <w:t>6米。</w:t>
      </w:r>
    </w:p>
    <w:p w14:paraId="67B20823">
      <w:pPr>
        <w:pStyle w:val="9"/>
        <w:rPr>
          <w:rFonts w:hint="eastAsia" w:ascii="宋体" w:hAnsi="宋体"/>
        </w:rPr>
      </w:pPr>
      <w:bookmarkStart w:id="69" w:name="_Toc418498452"/>
      <w:bookmarkEnd w:id="69"/>
      <w:bookmarkStart w:id="70" w:name="_Toc417641668"/>
      <w:bookmarkEnd w:id="70"/>
      <w:bookmarkStart w:id="71" w:name="_Toc416879492"/>
      <w:bookmarkEnd w:id="71"/>
      <w:bookmarkStart w:id="72" w:name="_Toc418498455"/>
      <w:bookmarkEnd w:id="72"/>
      <w:bookmarkStart w:id="73" w:name="_Toc416879502"/>
      <w:bookmarkEnd w:id="73"/>
      <w:bookmarkStart w:id="74" w:name="_Toc416887705"/>
      <w:bookmarkEnd w:id="74"/>
      <w:bookmarkStart w:id="75" w:name="_Toc416879497"/>
      <w:bookmarkEnd w:id="75"/>
      <w:bookmarkStart w:id="76" w:name="_Toc417641670"/>
      <w:bookmarkEnd w:id="76"/>
      <w:bookmarkStart w:id="77" w:name="_Toc417641665"/>
      <w:bookmarkEnd w:id="77"/>
      <w:bookmarkStart w:id="78" w:name="_Toc416879499"/>
      <w:bookmarkEnd w:id="78"/>
      <w:bookmarkStart w:id="79" w:name="_Toc416887697"/>
      <w:bookmarkEnd w:id="79"/>
      <w:bookmarkStart w:id="80" w:name="_Toc417641659"/>
      <w:bookmarkEnd w:id="80"/>
      <w:bookmarkStart w:id="81" w:name="_Toc416887703"/>
      <w:bookmarkEnd w:id="81"/>
      <w:bookmarkStart w:id="82" w:name="_Toc418498446"/>
      <w:bookmarkEnd w:id="82"/>
      <w:bookmarkStart w:id="83" w:name="_Toc416879500"/>
      <w:bookmarkEnd w:id="83"/>
      <w:bookmarkStart w:id="84" w:name="_Toc418498451"/>
      <w:bookmarkEnd w:id="84"/>
      <w:bookmarkStart w:id="85" w:name="_Toc416879493"/>
      <w:bookmarkEnd w:id="85"/>
      <w:bookmarkStart w:id="86" w:name="_Toc416887701"/>
      <w:bookmarkEnd w:id="86"/>
      <w:bookmarkStart w:id="87" w:name="_Toc418498445"/>
      <w:bookmarkEnd w:id="87"/>
      <w:bookmarkStart w:id="88" w:name="_Toc416887696"/>
      <w:bookmarkEnd w:id="88"/>
      <w:bookmarkStart w:id="89" w:name="_Toc417641662"/>
      <w:bookmarkEnd w:id="89"/>
      <w:bookmarkStart w:id="90" w:name="_Toc416887700"/>
      <w:bookmarkEnd w:id="90"/>
      <w:bookmarkStart w:id="91" w:name="_Toc418498450"/>
      <w:bookmarkEnd w:id="91"/>
      <w:bookmarkStart w:id="92" w:name="_Toc417641667"/>
      <w:bookmarkEnd w:id="92"/>
      <w:bookmarkStart w:id="93" w:name="_Toc416879494"/>
      <w:bookmarkEnd w:id="93"/>
      <w:bookmarkStart w:id="94" w:name="_Toc417641666"/>
      <w:bookmarkEnd w:id="94"/>
      <w:bookmarkStart w:id="95" w:name="_Toc418498447"/>
      <w:bookmarkEnd w:id="95"/>
      <w:bookmarkStart w:id="96" w:name="_Toc416887695"/>
      <w:bookmarkEnd w:id="96"/>
      <w:bookmarkStart w:id="97" w:name="_Toc416887702"/>
      <w:bookmarkEnd w:id="97"/>
      <w:bookmarkStart w:id="98" w:name="_Toc418498444"/>
      <w:bookmarkEnd w:id="98"/>
      <w:bookmarkStart w:id="99" w:name="_Toc416887694"/>
      <w:bookmarkEnd w:id="99"/>
      <w:bookmarkStart w:id="100" w:name="_Toc416879491"/>
      <w:bookmarkEnd w:id="100"/>
      <w:bookmarkStart w:id="101" w:name="_Toc418498453"/>
      <w:bookmarkEnd w:id="101"/>
      <w:bookmarkStart w:id="102" w:name="_Toc417641660"/>
      <w:bookmarkEnd w:id="102"/>
      <w:bookmarkStart w:id="103" w:name="_Toc416879498"/>
      <w:bookmarkEnd w:id="103"/>
      <w:bookmarkStart w:id="104" w:name="_Toc417641661"/>
      <w:bookmarkEnd w:id="104"/>
      <w:bookmarkStart w:id="105" w:name="_Toc435794339"/>
      <w:bookmarkStart w:id="106" w:name="_Toc493169739"/>
      <w:bookmarkStart w:id="107" w:name="_Toc408516969"/>
      <w:bookmarkStart w:id="108" w:name="_Toc438629117"/>
      <w:bookmarkStart w:id="109" w:name="_Toc532317536"/>
      <w:r>
        <w:rPr>
          <w:rFonts w:hint="eastAsia" w:ascii="宋体" w:hAnsi="宋体"/>
        </w:rPr>
        <w:t>立杆安装位置与停止线距离计算依据</w:t>
      </w:r>
      <w:bookmarkEnd w:id="105"/>
      <w:bookmarkEnd w:id="106"/>
      <w:bookmarkEnd w:id="107"/>
      <w:bookmarkEnd w:id="108"/>
      <w:bookmarkEnd w:id="109"/>
      <w:r>
        <w:rPr>
          <w:rFonts w:ascii="宋体" w:hAnsi="宋体"/>
        </w:rPr>
        <w:t xml:space="preserve"> </w:t>
      </w:r>
    </w:p>
    <w:p w14:paraId="33EF06B3">
      <w:pPr>
        <w:ind w:firstLine="480"/>
        <w:rPr>
          <w:rFonts w:ascii="Times New Roman" w:hAnsi="Times New Roman"/>
        </w:rPr>
      </w:pPr>
      <w:r>
        <w:rPr>
          <w:rFonts w:hint="eastAsia" w:ascii="Times New Roman" w:hAnsi="Times New Roman"/>
        </w:rPr>
        <w:t>立杆安装位置与停止线距离需要考虑的因素：</w:t>
      </w:r>
    </w:p>
    <w:p w14:paraId="73E0CEA6">
      <w:pPr>
        <w:ind w:firstLine="480"/>
        <w:rPr>
          <w:rFonts w:ascii="Times New Roman" w:hAnsi="Times New Roman"/>
        </w:rPr>
      </w:pPr>
      <w:r>
        <w:rPr>
          <w:rFonts w:hint="eastAsia" w:ascii="Times New Roman" w:hAnsi="Times New Roman"/>
        </w:rPr>
        <w:t>1）主视场覆盖范围要求：停止线前的视频检测区域长度不低于7米，能够覆盖车道宽度并且看到信号灯；</w:t>
      </w:r>
    </w:p>
    <w:p w14:paraId="1264BD67">
      <w:pPr>
        <w:ind w:firstLine="480"/>
        <w:rPr>
          <w:rFonts w:ascii="Times New Roman" w:hAnsi="Times New Roman"/>
        </w:rPr>
      </w:pPr>
      <w:r>
        <w:rPr>
          <w:rFonts w:hint="eastAsia" w:ascii="Times New Roman" w:hAnsi="Times New Roman"/>
        </w:rPr>
        <w:t>2）车牌识别要求：在触发线1位置抓拍的车辆，其车牌像素点建议不低于90；</w:t>
      </w:r>
    </w:p>
    <w:p w14:paraId="3DC2DF13">
      <w:pPr>
        <w:ind w:firstLine="480"/>
        <w:rPr>
          <w:rFonts w:ascii="Times New Roman" w:hAnsi="Times New Roman"/>
        </w:rPr>
      </w:pPr>
      <w:r>
        <w:rPr>
          <w:rFonts w:hint="eastAsia" w:ascii="Times New Roman" w:hAnsi="Times New Roman"/>
        </w:rPr>
        <w:t>3）补光要求：补光灯的光斑能够覆盖整个视场；</w:t>
      </w:r>
    </w:p>
    <w:p w14:paraId="77F4C0C1">
      <w:pPr>
        <w:ind w:firstLine="480"/>
        <w:rPr>
          <w:rFonts w:ascii="Times New Roman" w:hAnsi="Times New Roman"/>
        </w:rPr>
      </w:pPr>
      <w:r>
        <w:rPr>
          <w:rFonts w:ascii="Times New Roman" w:hAnsi="Times New Roman"/>
        </w:rPr>
        <w:t>4</w:t>
      </w:r>
      <w:r>
        <w:rPr>
          <w:rFonts w:hint="eastAsia" w:ascii="Times New Roman" w:hAnsi="Times New Roman"/>
        </w:rPr>
        <w:t>）车辆遮挡行为：由于视频电警抓拍车辆尾部，这就可能存在后一辆车的车头遮挡前一辆车尾车牌的现象。见下图：</w:t>
      </w:r>
    </w:p>
    <w:p w14:paraId="039398B0">
      <w:pPr>
        <w:keepNext/>
        <w:ind w:firstLine="480"/>
        <w:jc w:val="center"/>
      </w:pPr>
      <w:r>
        <w:drawing>
          <wp:inline distT="0" distB="0" distL="0" distR="0">
            <wp:extent cx="5008245" cy="2046605"/>
            <wp:effectExtent l="0" t="0" r="1905" b="0"/>
            <wp:docPr id="1972734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73405" name="图片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008245" cy="2046605"/>
                    </a:xfrm>
                    <a:prstGeom prst="rect">
                      <a:avLst/>
                    </a:prstGeom>
                    <a:noFill/>
                    <a:ln>
                      <a:noFill/>
                    </a:ln>
                  </pic:spPr>
                </pic:pic>
              </a:graphicData>
            </a:graphic>
          </wp:inline>
        </w:drawing>
      </w:r>
    </w:p>
    <w:p w14:paraId="5A272E3A">
      <w:pPr>
        <w:ind w:firstLine="480"/>
        <w:rPr>
          <w:rFonts w:hint="eastAsia" w:ascii="Times New Roman" w:hAnsi="Times New Roman"/>
        </w:rPr>
      </w:pPr>
      <w:r>
        <w:rPr>
          <w:rFonts w:hint="eastAsia" w:ascii="Times New Roman" w:hAnsi="Times New Roman"/>
        </w:rPr>
        <w:t>A为车辆尾牌的下边界（一般车辆距离地面为70CM，部分小型车50CM，大型车辆80CM），B是车辆前部的高度，一般为80CM，C为车辆最高点一般为140CM，D为摄像机安装处，一般高度为630CM，BC距离一般车辆为2米，摄像机到A点的水平距离为安装距离减去4.5米（遮挡一般发生在红灯时前一辆车停在停止线内）。因此当∠DAZ≥∠CAZ且∠DAZ≥∠BAZ时就不存在遮挡</w:t>
      </w:r>
      <w:r>
        <w:rPr>
          <w:rFonts w:ascii="Times New Roman" w:hAnsi="Times New Roman"/>
        </w:rPr>
        <w:t>。</w:t>
      </w:r>
    </w:p>
    <w:p w14:paraId="7E418515">
      <w:pPr>
        <w:pStyle w:val="5"/>
      </w:pPr>
      <w:r>
        <w:rPr>
          <w:rFonts w:hint="eastAsia"/>
        </w:rPr>
        <w:t>实现功能</w:t>
      </w:r>
    </w:p>
    <w:p w14:paraId="329B8119">
      <w:pPr>
        <w:pStyle w:val="6"/>
      </w:pPr>
      <w:bookmarkStart w:id="110" w:name="_Toc135934788"/>
      <w:r>
        <w:rPr>
          <w:rFonts w:hint="eastAsia"/>
        </w:rPr>
        <w:t>正向电警功能</w:t>
      </w:r>
      <w:bookmarkEnd w:id="110"/>
    </w:p>
    <w:p w14:paraId="12B46956">
      <w:pPr>
        <w:pStyle w:val="9"/>
      </w:pPr>
      <w:r>
        <w:rPr>
          <w:rFonts w:hint="eastAsia"/>
        </w:rPr>
        <w:t>违法行为检测抓拍</w:t>
      </w:r>
    </w:p>
    <w:p w14:paraId="2E39C622">
      <w:pPr>
        <w:ind w:firstLine="480"/>
        <w:rPr>
          <w:color w:val="000000"/>
          <w:szCs w:val="28"/>
        </w:rPr>
      </w:pPr>
      <w:r>
        <w:rPr>
          <w:rFonts w:hint="eastAsia"/>
          <w:color w:val="000000"/>
          <w:szCs w:val="28"/>
        </w:rPr>
        <w:t>系统记录的机动车交通安全违法信息不仅包含视频和照片，还包括文本信息，如交通安全违法日期、时间（精确到0.1秒）、地点、方向、车道号、交通违法代码、图像取证设备编号、号牌号码、号牌颜色、车型、防伪等信息。</w:t>
      </w:r>
    </w:p>
    <w:p w14:paraId="7972E189">
      <w:pPr>
        <w:ind w:firstLine="480"/>
        <w:rPr>
          <w:color w:val="000000"/>
          <w:szCs w:val="28"/>
        </w:rPr>
      </w:pPr>
      <w:r>
        <w:rPr>
          <w:rFonts w:hint="eastAsia"/>
          <w:color w:val="000000"/>
          <w:szCs w:val="28"/>
        </w:rPr>
        <w:t>机动车交通安全违法信息写入关联数据库并能够将交通安全违法日期、时间（精确到0.1秒）、地点、方向、车道号、图像取证设备编号、防伪等相关文本信息叠加到图片上。</w:t>
      </w:r>
    </w:p>
    <w:p w14:paraId="47434725">
      <w:pPr>
        <w:ind w:firstLine="480"/>
        <w:rPr>
          <w:color w:val="000000"/>
          <w:szCs w:val="28"/>
        </w:rPr>
      </w:pPr>
      <w:r>
        <w:rPr>
          <w:rFonts w:hint="eastAsia"/>
          <w:color w:val="000000"/>
          <w:szCs w:val="28"/>
        </w:rPr>
        <w:t>在天气环境正常状态下（无雾、雨、雪等），系统记录的图片能清晰看清车辆前部或后部所有特征，还能看清车辆类型、颜色和所载货物等。系统除应对违法信息进行图片文本记录外，还支持对违法过程进行5～10秒钟录像，涵盖整个违法过程。</w:t>
      </w:r>
    </w:p>
    <w:p w14:paraId="7B0D3260">
      <w:pPr>
        <w:ind w:firstLine="480"/>
        <w:rPr>
          <w:color w:val="000000"/>
          <w:szCs w:val="28"/>
        </w:rPr>
      </w:pPr>
      <w:r>
        <w:rPr>
          <w:rFonts w:hint="eastAsia"/>
          <w:color w:val="000000"/>
          <w:szCs w:val="28"/>
        </w:rPr>
        <w:t>系统至少包括但不限于以下几种抓拍功能：</w:t>
      </w:r>
    </w:p>
    <w:p w14:paraId="44528835">
      <w:pPr>
        <w:ind w:firstLine="482"/>
        <w:rPr>
          <w:b/>
          <w:color w:val="000000"/>
          <w:szCs w:val="28"/>
        </w:rPr>
      </w:pPr>
      <w:r>
        <w:rPr>
          <w:rFonts w:hint="eastAsia"/>
          <w:b/>
          <w:color w:val="000000"/>
          <w:szCs w:val="28"/>
        </w:rPr>
        <w:t>闯红灯违法行为检测抓拍</w:t>
      </w:r>
    </w:p>
    <w:p w14:paraId="2D40327F">
      <w:pPr>
        <w:ind w:firstLine="480"/>
        <w:rPr>
          <w:color w:val="000000"/>
          <w:szCs w:val="28"/>
        </w:rPr>
      </w:pPr>
      <w:r>
        <w:rPr>
          <w:rFonts w:hint="eastAsia"/>
          <w:color w:val="000000"/>
          <w:szCs w:val="28"/>
        </w:rPr>
        <w:t>系统能对闯红灯车辆自动检测与记录，所记录的图像能清晰记机动车交通安全违法行为过程，并能清晰辨别机动车车型、车身颜色、号牌号码、机动车行驶特征、机动车通过停止线时的交通信号灯指示状态、机动车尾部全景特征等信息。闯红灯证据满足违法行为取证证据标准。</w:t>
      </w:r>
    </w:p>
    <w:p w14:paraId="12DDF26E">
      <w:pPr>
        <w:ind w:firstLine="482"/>
        <w:rPr>
          <w:b/>
          <w:color w:val="000000"/>
          <w:szCs w:val="28"/>
        </w:rPr>
      </w:pPr>
      <w:r>
        <w:rPr>
          <w:rFonts w:hint="eastAsia"/>
          <w:b/>
          <w:color w:val="000000"/>
          <w:szCs w:val="28"/>
        </w:rPr>
        <w:t>不按所需方向驶入导向车道抓拍</w:t>
      </w:r>
    </w:p>
    <w:p w14:paraId="67AA1397">
      <w:pPr>
        <w:ind w:firstLine="480"/>
        <w:rPr>
          <w:color w:val="000000"/>
          <w:szCs w:val="28"/>
        </w:rPr>
      </w:pPr>
      <w:r>
        <w:rPr>
          <w:rFonts w:hint="eastAsia"/>
          <w:color w:val="000000"/>
          <w:szCs w:val="28"/>
        </w:rPr>
        <w:t>系统根据路口的实际情况具有不按所需方向驶入导向车道（禁左、禁前、禁右）检测抓拍的功能：系统可以判断车辆行驶方向，对在直行车道行驶却左转或右转的车辆和在转向车道行驶却直行的车辆进行检测，自动记录至少三张不同位置的图片用以反映机动车不按导向车道行驶的过程。证据满足违法行为取证证据标准。</w:t>
      </w:r>
    </w:p>
    <w:p w14:paraId="02BE7973">
      <w:pPr>
        <w:ind w:firstLine="482"/>
        <w:rPr>
          <w:b/>
          <w:color w:val="000000"/>
          <w:szCs w:val="28"/>
        </w:rPr>
      </w:pPr>
      <w:r>
        <w:rPr>
          <w:rFonts w:hint="eastAsia"/>
          <w:b/>
          <w:color w:val="000000"/>
          <w:szCs w:val="28"/>
        </w:rPr>
        <w:t>违法逆行检测抓拍</w:t>
      </w:r>
    </w:p>
    <w:p w14:paraId="6045F257">
      <w:pPr>
        <w:ind w:firstLine="480"/>
        <w:rPr>
          <w:color w:val="000000"/>
          <w:szCs w:val="28"/>
        </w:rPr>
      </w:pPr>
      <w:r>
        <w:rPr>
          <w:rFonts w:hint="eastAsia"/>
          <w:color w:val="000000"/>
          <w:szCs w:val="28"/>
        </w:rPr>
        <w:t>系统能够记录机动车逆向行驶行为。系统能够对应该按监测方向（监测方向指监测设备镜头指向的方向）行驶的车辆驶入对向车道的和应该在对向车道行驶的车辆驶入监测方向车道的逆向行驶行为进行记录。能记录机动车逆向行驶过程中至少两个位置的信息以反映机动车违法过程。</w:t>
      </w:r>
    </w:p>
    <w:p w14:paraId="766ECAF9">
      <w:pPr>
        <w:ind w:firstLine="480"/>
        <w:rPr>
          <w:color w:val="000000"/>
          <w:szCs w:val="28"/>
        </w:rPr>
      </w:pPr>
      <w:r>
        <w:rPr>
          <w:rFonts w:hint="eastAsia"/>
          <w:color w:val="000000"/>
          <w:szCs w:val="28"/>
        </w:rPr>
        <w:t>连续两幅反映机动车逆向行驶违法过程的特征图片的间隔时间为机动车在两幅图片上的对应行驶位移＞1.0m所需的时间，并且能够清晰的记录机动车辆号牌、行驶方向、渠化标线、通行时间等关键的违法举证信息。各个位置间能够保持适宜的距离以反映机动车违法过程，不会出现因间距太大影响对违法机动车进行认定的情形。</w:t>
      </w:r>
    </w:p>
    <w:p w14:paraId="136D9B5C">
      <w:pPr>
        <w:ind w:firstLine="482"/>
        <w:rPr>
          <w:b/>
          <w:color w:val="000000"/>
          <w:szCs w:val="28"/>
        </w:rPr>
      </w:pPr>
      <w:r>
        <w:rPr>
          <w:rFonts w:hint="eastAsia"/>
          <w:b/>
          <w:color w:val="000000"/>
          <w:szCs w:val="28"/>
        </w:rPr>
        <w:t>违法变道检测抓拍</w:t>
      </w:r>
    </w:p>
    <w:p w14:paraId="6EEDD749">
      <w:pPr>
        <w:ind w:firstLine="480"/>
        <w:rPr>
          <w:color w:val="000000"/>
          <w:szCs w:val="28"/>
        </w:rPr>
      </w:pPr>
      <w:r>
        <w:rPr>
          <w:rFonts w:hint="eastAsia"/>
          <w:color w:val="000000"/>
          <w:szCs w:val="28"/>
        </w:rPr>
        <w:t>系统能够记录机动车跨越实线违法变道行驶交通违法行为。记录机动车跨越实线行驶交通违法行为过程中至少三个位置的信息以反映机动车违法过程。</w:t>
      </w:r>
    </w:p>
    <w:p w14:paraId="3568F492">
      <w:pPr>
        <w:ind w:firstLine="480"/>
        <w:rPr>
          <w:color w:val="000000"/>
          <w:szCs w:val="28"/>
        </w:rPr>
      </w:pPr>
      <w:r>
        <w:rPr>
          <w:rFonts w:hint="eastAsia"/>
          <w:color w:val="000000"/>
          <w:szCs w:val="28"/>
        </w:rPr>
        <w:t>第一个位置信息能够反映机动车未跨越实线行驶交通违法行为的机动车尾部全景特征图片。第二个位置信息为机动车跨越实线行驶时交通违法行为的机动车尾部全景特征图片。第三个位置信息为机动车跨越实线后违法变换成另一个车道行驶的交通违法行为的机动车尾部全景特征图片。</w:t>
      </w:r>
    </w:p>
    <w:p w14:paraId="167B51FE">
      <w:pPr>
        <w:ind w:firstLine="480"/>
        <w:rPr>
          <w:color w:val="000000"/>
          <w:szCs w:val="28"/>
        </w:rPr>
      </w:pPr>
      <w:r>
        <w:rPr>
          <w:rFonts w:hint="eastAsia"/>
          <w:color w:val="000000"/>
          <w:szCs w:val="28"/>
        </w:rPr>
        <w:t>并且至少有一个位置的信息能够清晰辨别号牌号码。连续两幅反映跨越实线行驶交通违法过程的特征图片的间隔时间为机动车在两幅图片上的对应行驶位移＞1.0m所需的时间，各个位置间能够保持适宜的距离以反映机动车违法过程，不会出现因间距太大影响对违法机动车进行认定的情形。</w:t>
      </w:r>
    </w:p>
    <w:p w14:paraId="140545A8">
      <w:pPr>
        <w:pStyle w:val="9"/>
      </w:pPr>
      <w:r>
        <w:rPr>
          <w:rFonts w:hint="eastAsia"/>
        </w:rPr>
        <w:t>车辆检测范围</w:t>
      </w:r>
    </w:p>
    <w:p w14:paraId="294E0357">
      <w:pPr>
        <w:ind w:firstLine="480"/>
        <w:rPr>
          <w:color w:val="000000"/>
          <w:szCs w:val="28"/>
        </w:rPr>
      </w:pPr>
      <w:r>
        <w:rPr>
          <w:rFonts w:hint="eastAsia"/>
          <w:color w:val="000000"/>
          <w:szCs w:val="28"/>
        </w:rPr>
        <w:t>系统全视频检测方式检测通过交叉口驶入段监测区域的机动车。在5Km/h～120Km/速度范围内对监控区域内行驶的车辆进行捕获，排除后车遮挡前车情况，车牌图像（包含完整的号牌信息）单车道捕获率（全天）符合GA/T496标准要求。</w:t>
      </w:r>
    </w:p>
    <w:p w14:paraId="30E2FB1F">
      <w:pPr>
        <w:ind w:firstLine="480"/>
        <w:rPr>
          <w:color w:val="000000"/>
          <w:szCs w:val="28"/>
        </w:rPr>
      </w:pPr>
      <w:r>
        <w:rPr>
          <w:rFonts w:hint="eastAsia"/>
          <w:color w:val="000000"/>
          <w:szCs w:val="28"/>
        </w:rPr>
        <w:t>车辆横向监测范围：当监控区域为同向相邻的4个（含4个）以下车道时，车辆图像捕获能满足通行车辆骑、压进口车道分隔实线行驶的情况。</w:t>
      </w:r>
    </w:p>
    <w:p w14:paraId="0EC897ED">
      <w:pPr>
        <w:ind w:firstLine="480"/>
        <w:rPr>
          <w:color w:val="000000"/>
          <w:szCs w:val="28"/>
        </w:rPr>
      </w:pPr>
      <w:r>
        <w:rPr>
          <w:rFonts w:hint="eastAsia"/>
          <w:color w:val="000000"/>
          <w:szCs w:val="28"/>
        </w:rPr>
        <w:t>车辆纵向监测范围：车辆监测距离满足≥100米。</w:t>
      </w:r>
    </w:p>
    <w:p w14:paraId="40791366">
      <w:pPr>
        <w:pStyle w:val="9"/>
      </w:pPr>
      <w:r>
        <w:rPr>
          <w:rFonts w:hint="eastAsia"/>
        </w:rPr>
        <w:t>车辆通行信息检测抓拍</w:t>
      </w:r>
    </w:p>
    <w:p w14:paraId="7FEA01A6">
      <w:pPr>
        <w:ind w:firstLine="480"/>
        <w:rPr>
          <w:color w:val="000000"/>
          <w:szCs w:val="28"/>
        </w:rPr>
      </w:pPr>
      <w:r>
        <w:rPr>
          <w:rFonts w:hint="eastAsia"/>
          <w:color w:val="000000"/>
          <w:szCs w:val="28"/>
        </w:rPr>
        <w:t>系统能对行驶通过监测区域的车辆记录至少一张号牌清晰可辨的车辆尾部全景图像。系统记录的车辆信息除包含图像信息外，还包括文本信息，如日期、时间（精确到0.1秒）、地点、方向、图像记录设备编号、号牌号码、号牌颜色、车型等。车辆信息写入关联数据库，并将相关文本信息（日期、时间、地点、方向、车道号、号牌号码、记录设备编号等）按照需求叠加到图片上。</w:t>
      </w:r>
    </w:p>
    <w:p w14:paraId="4F4E3617">
      <w:pPr>
        <w:ind w:firstLine="480"/>
        <w:rPr>
          <w:color w:val="000000"/>
          <w:szCs w:val="28"/>
        </w:rPr>
      </w:pPr>
      <w:r>
        <w:rPr>
          <w:rFonts w:hint="eastAsia"/>
          <w:color w:val="000000"/>
          <w:szCs w:val="28"/>
        </w:rPr>
        <w:t>在天气环境正常状态下（无雾、雨、雪等），监控区域内规范行驶的车辆被记录的图片能清晰看清车辆尾部所有特征情况，还能看清车辆类型、颜色等。</w:t>
      </w:r>
    </w:p>
    <w:p w14:paraId="067DE2B5">
      <w:pPr>
        <w:pStyle w:val="9"/>
      </w:pPr>
      <w:r>
        <w:rPr>
          <w:rFonts w:hint="eastAsia"/>
        </w:rPr>
        <w:t>号牌自动识别</w:t>
      </w:r>
    </w:p>
    <w:p w14:paraId="266EDEC5">
      <w:pPr>
        <w:ind w:firstLine="480"/>
        <w:rPr>
          <w:color w:val="000000"/>
          <w:szCs w:val="28"/>
        </w:rPr>
      </w:pPr>
      <w:r>
        <w:rPr>
          <w:rFonts w:hint="eastAsia"/>
          <w:color w:val="000000"/>
          <w:szCs w:val="28"/>
        </w:rPr>
        <w:t>系统具备对民用、警用、军用、武警等汽车号牌自动识别能力，在车牌无污损无遮挡时，车辆号牌识别准确率符合GA/T833标准的要求。号牌识别信息包含号牌结构、号牌字符、号牌颜色等信息。支持新能源车牌识别。</w:t>
      </w:r>
    </w:p>
    <w:p w14:paraId="0664FB12">
      <w:pPr>
        <w:pStyle w:val="9"/>
      </w:pPr>
      <w:r>
        <w:rPr>
          <w:rFonts w:hint="eastAsia"/>
        </w:rPr>
        <w:t>交通参数检测</w:t>
      </w:r>
    </w:p>
    <w:p w14:paraId="6B008A4C">
      <w:pPr>
        <w:ind w:firstLine="480"/>
        <w:rPr>
          <w:color w:val="000000"/>
          <w:szCs w:val="28"/>
        </w:rPr>
      </w:pPr>
      <w:r>
        <w:rPr>
          <w:rFonts w:hint="eastAsia"/>
          <w:color w:val="000000"/>
          <w:szCs w:val="28"/>
        </w:rPr>
        <w:t>系统采用视频检测方式采集交通流信息，可分车道采集交通流</w:t>
      </w:r>
    </w:p>
    <w:p w14:paraId="0EC67E9F">
      <w:pPr>
        <w:ind w:firstLine="480"/>
        <w:rPr>
          <w:color w:val="000000"/>
          <w:szCs w:val="28"/>
        </w:rPr>
      </w:pPr>
      <w:r>
        <w:rPr>
          <w:rFonts w:hint="eastAsia"/>
          <w:color w:val="000000"/>
          <w:szCs w:val="28"/>
        </w:rPr>
        <w:t>量、平均车速、占有率、车型、车头时距等交通流信息的功能。系统能够区分小型车、大型车等不同车辆类型。</w:t>
      </w:r>
    </w:p>
    <w:p w14:paraId="6FF45AB9">
      <w:pPr>
        <w:ind w:firstLine="480"/>
        <w:rPr>
          <w:color w:val="000000"/>
          <w:szCs w:val="28"/>
        </w:rPr>
      </w:pPr>
      <w:r>
        <w:rPr>
          <w:rFonts w:hint="eastAsia"/>
          <w:color w:val="000000"/>
          <w:szCs w:val="28"/>
        </w:rPr>
        <w:t>能准确记录车流量，信息符合GA/T920的要求，检测精度满足交通信号控制系统参数精度要求。</w:t>
      </w:r>
    </w:p>
    <w:p w14:paraId="0C49578F">
      <w:pPr>
        <w:pStyle w:val="9"/>
      </w:pPr>
      <w:r>
        <w:rPr>
          <w:rFonts w:hint="eastAsia"/>
        </w:rPr>
        <w:t>交通事件检测</w:t>
      </w:r>
    </w:p>
    <w:p w14:paraId="74B0AF3C">
      <w:pPr>
        <w:ind w:firstLine="480"/>
        <w:rPr>
          <w:color w:val="000000"/>
          <w:szCs w:val="28"/>
        </w:rPr>
      </w:pPr>
      <w:r>
        <w:rPr>
          <w:rFonts w:hint="eastAsia"/>
          <w:color w:val="000000"/>
          <w:szCs w:val="28"/>
        </w:rPr>
        <w:t>支持异常情况检测等功能，异常交通事件以及检测报警时间可根据现场环境灵活配置。当交通异常事件发生时，能实时上传事件发生的记录和图片。后台系统能根据用户需要调用相应的实时视频和历史视频。</w:t>
      </w:r>
    </w:p>
    <w:p w14:paraId="393F8A08">
      <w:pPr>
        <w:ind w:firstLine="480"/>
        <w:rPr>
          <w:color w:val="000000"/>
          <w:szCs w:val="28"/>
        </w:rPr>
      </w:pPr>
      <w:r>
        <w:rPr>
          <w:rFonts w:hint="eastAsia"/>
          <w:color w:val="000000"/>
          <w:szCs w:val="28"/>
        </w:rPr>
        <w:t>需检测的异常交通事件类型包括：</w:t>
      </w:r>
    </w:p>
    <w:p w14:paraId="559F2AD9">
      <w:pPr>
        <w:ind w:firstLine="480"/>
        <w:rPr>
          <w:color w:val="000000"/>
          <w:szCs w:val="28"/>
        </w:rPr>
      </w:pPr>
      <w:r>
        <w:rPr>
          <w:rFonts w:hint="eastAsia"/>
          <w:color w:val="000000"/>
          <w:szCs w:val="28"/>
        </w:rPr>
        <w:t>（1）异常停车</w:t>
      </w:r>
    </w:p>
    <w:p w14:paraId="563BADC8">
      <w:pPr>
        <w:ind w:firstLine="480"/>
        <w:rPr>
          <w:color w:val="000000"/>
          <w:szCs w:val="28"/>
        </w:rPr>
      </w:pPr>
      <w:r>
        <w:rPr>
          <w:rFonts w:hint="eastAsia"/>
          <w:color w:val="000000"/>
          <w:szCs w:val="28"/>
        </w:rPr>
        <w:t>（2）机动车逆行</w:t>
      </w:r>
    </w:p>
    <w:p w14:paraId="4A86C186">
      <w:pPr>
        <w:ind w:firstLine="480"/>
        <w:rPr>
          <w:color w:val="000000"/>
          <w:szCs w:val="28"/>
        </w:rPr>
      </w:pPr>
      <w:r>
        <w:rPr>
          <w:rFonts w:hint="eastAsia"/>
          <w:color w:val="000000"/>
          <w:szCs w:val="28"/>
        </w:rPr>
        <w:t>（3）交通拥堵</w:t>
      </w:r>
    </w:p>
    <w:p w14:paraId="2EBB12CA">
      <w:pPr>
        <w:ind w:firstLine="480"/>
        <w:rPr>
          <w:color w:val="000000"/>
          <w:szCs w:val="28"/>
        </w:rPr>
      </w:pPr>
      <w:r>
        <w:rPr>
          <w:rFonts w:hint="eastAsia"/>
          <w:color w:val="000000"/>
          <w:szCs w:val="28"/>
        </w:rPr>
        <w:t>信号灯状态检测</w:t>
      </w:r>
    </w:p>
    <w:p w14:paraId="59CC9271">
      <w:pPr>
        <w:ind w:firstLine="480"/>
        <w:rPr>
          <w:color w:val="000000"/>
          <w:szCs w:val="28"/>
        </w:rPr>
      </w:pPr>
      <w:r>
        <w:rPr>
          <w:rFonts w:hint="eastAsia"/>
          <w:color w:val="000000"/>
          <w:szCs w:val="28"/>
        </w:rPr>
        <w:t>系统对红灯检测有三种模式，分别是视频检测模式、红灯检测器检测模式、红灯检测器和视频组合模式。考虑到红灯检测的效果和准确率，本次项目采用红灯检测器和视频组合模式，系统首选红灯检测器，当红灯检测器失效后，自动切换至视频检测模式。</w:t>
      </w:r>
    </w:p>
    <w:p w14:paraId="181AE8B2">
      <w:pPr>
        <w:pStyle w:val="9"/>
      </w:pPr>
      <w:r>
        <w:rPr>
          <w:rFonts w:hint="eastAsia"/>
        </w:rPr>
        <w:t>视频监视功能</w:t>
      </w:r>
    </w:p>
    <w:p w14:paraId="5B5DC0DD">
      <w:pPr>
        <w:ind w:firstLine="480"/>
        <w:rPr>
          <w:color w:val="000000"/>
          <w:szCs w:val="28"/>
        </w:rPr>
      </w:pPr>
      <w:r>
        <w:rPr>
          <w:rFonts w:hint="eastAsia"/>
          <w:color w:val="000000"/>
          <w:szCs w:val="28"/>
        </w:rPr>
        <w:t>系统能够从采集点获得相应的交通视频信息，且视频图像采用H.264、H.265、MPEG4或MJPEG编码标准，视频质量不低于1080P及25fps。录像支持OSD信息叠加，叠加的信息至少包括日期、时间（精确到秒）、监控点名称、设备编号等信息。</w:t>
      </w:r>
    </w:p>
    <w:p w14:paraId="36BCD413">
      <w:pPr>
        <w:pStyle w:val="9"/>
      </w:pPr>
      <w:r>
        <w:rPr>
          <w:rFonts w:hint="eastAsia"/>
        </w:rPr>
        <w:t>内置数据存储功能</w:t>
      </w:r>
    </w:p>
    <w:p w14:paraId="0520A510">
      <w:pPr>
        <w:ind w:firstLine="480"/>
        <w:rPr>
          <w:color w:val="000000"/>
          <w:szCs w:val="28"/>
        </w:rPr>
      </w:pPr>
      <w:r>
        <w:rPr>
          <w:rFonts w:hint="eastAsia"/>
          <w:color w:val="000000"/>
          <w:szCs w:val="28"/>
        </w:rPr>
        <w:t>系统支持对违法抓拍数据（图片、文本、违法录像）、过车数据（图片、文本）、车流量（文本）与交通事件数据（图片、文本）、高清实时录像等数据进行本地缓存数据功能。</w:t>
      </w:r>
    </w:p>
    <w:p w14:paraId="50690737">
      <w:pPr>
        <w:ind w:firstLine="480"/>
        <w:rPr>
          <w:color w:val="000000"/>
          <w:szCs w:val="28"/>
        </w:rPr>
      </w:pPr>
      <w:r>
        <w:rPr>
          <w:rFonts w:hint="eastAsia"/>
          <w:color w:val="000000"/>
          <w:szCs w:val="28"/>
        </w:rPr>
        <w:t>为满足违法行为监测记录系统的数据存储需求；违法行为监测记录处理器应带有每路视频不低于1T的硬盘存储，确保前端存储连续录像时间不小于7日。</w:t>
      </w:r>
    </w:p>
    <w:p w14:paraId="6846AFDB">
      <w:pPr>
        <w:ind w:firstLine="480"/>
        <w:rPr>
          <w:color w:val="000000"/>
          <w:szCs w:val="28"/>
        </w:rPr>
      </w:pPr>
      <w:r>
        <w:rPr>
          <w:rFonts w:hint="eastAsia"/>
          <w:color w:val="000000"/>
          <w:szCs w:val="28"/>
        </w:rPr>
        <w:t>各类数据存储具体要求如下：</w:t>
      </w:r>
    </w:p>
    <w:p w14:paraId="7AD54D74">
      <w:pPr>
        <w:ind w:firstLine="480"/>
        <w:rPr>
          <w:color w:val="000000"/>
          <w:szCs w:val="28"/>
        </w:rPr>
      </w:pPr>
      <w:r>
        <w:rPr>
          <w:rFonts w:hint="eastAsia"/>
          <w:color w:val="000000"/>
          <w:szCs w:val="28"/>
        </w:rPr>
        <w:t>（1）交通安全违法信息</w:t>
      </w:r>
    </w:p>
    <w:p w14:paraId="640966BB">
      <w:pPr>
        <w:ind w:firstLine="480"/>
        <w:rPr>
          <w:color w:val="000000"/>
          <w:szCs w:val="28"/>
        </w:rPr>
      </w:pPr>
      <w:r>
        <w:rPr>
          <w:rFonts w:hint="eastAsia"/>
          <w:color w:val="000000"/>
          <w:szCs w:val="28"/>
        </w:rPr>
        <w:t>违法行为监测记录处理器应对具有采集的车辆违法信息（图片、文本、违法录像）进行本地存储能力，存储周期不少于7天，并支持网络恢复后自动上传的功能。</w:t>
      </w:r>
    </w:p>
    <w:p w14:paraId="57B6FD0F">
      <w:pPr>
        <w:ind w:firstLine="480"/>
        <w:rPr>
          <w:color w:val="000000"/>
          <w:szCs w:val="28"/>
        </w:rPr>
      </w:pPr>
      <w:r>
        <w:rPr>
          <w:rFonts w:hint="eastAsia"/>
          <w:color w:val="000000"/>
          <w:szCs w:val="28"/>
        </w:rPr>
        <w:t>图片采用JPEG文件格式存贮，压缩因子低于70。当超出缓存时间时，设备能够自动对车辆信息和图片进行循环覆盖。</w:t>
      </w:r>
    </w:p>
    <w:p w14:paraId="2216FC39">
      <w:pPr>
        <w:ind w:firstLine="480"/>
        <w:rPr>
          <w:color w:val="000000"/>
          <w:szCs w:val="28"/>
        </w:rPr>
      </w:pPr>
      <w:r>
        <w:rPr>
          <w:rFonts w:hint="eastAsia"/>
          <w:color w:val="000000"/>
          <w:szCs w:val="28"/>
        </w:rPr>
        <w:t>（2）车辆通行信息</w:t>
      </w:r>
    </w:p>
    <w:p w14:paraId="66D6CD07">
      <w:pPr>
        <w:ind w:firstLine="480"/>
        <w:rPr>
          <w:color w:val="000000"/>
          <w:szCs w:val="28"/>
        </w:rPr>
      </w:pPr>
      <w:r>
        <w:rPr>
          <w:rFonts w:hint="eastAsia"/>
          <w:color w:val="000000"/>
          <w:szCs w:val="28"/>
        </w:rPr>
        <w:t>违法行为监测记录处理器具有采集的车辆通行信息数据的进行本地存储能力。单个方向系统前端设备能够存储不少于7天的图像，并支持网络恢复后自动上传的功能。</w:t>
      </w:r>
    </w:p>
    <w:p w14:paraId="598479D5">
      <w:pPr>
        <w:ind w:firstLine="480"/>
        <w:rPr>
          <w:color w:val="000000"/>
          <w:szCs w:val="28"/>
        </w:rPr>
      </w:pPr>
      <w:r>
        <w:rPr>
          <w:rFonts w:hint="eastAsia"/>
          <w:color w:val="000000"/>
          <w:szCs w:val="28"/>
        </w:rPr>
        <w:t>图片采用JPEG或JPG文件格式存贮，压缩因子低于70。设备能够自动对车辆信息和图片进行循环覆盖。</w:t>
      </w:r>
    </w:p>
    <w:p w14:paraId="4A42B69F">
      <w:pPr>
        <w:ind w:firstLine="480"/>
        <w:rPr>
          <w:color w:val="000000"/>
          <w:szCs w:val="28"/>
        </w:rPr>
      </w:pPr>
      <w:r>
        <w:rPr>
          <w:rFonts w:hint="eastAsia"/>
          <w:color w:val="000000"/>
          <w:szCs w:val="28"/>
        </w:rPr>
        <w:t>（3）交通流信息存贮功能</w:t>
      </w:r>
    </w:p>
    <w:p w14:paraId="7C64CE38">
      <w:pPr>
        <w:ind w:firstLine="480"/>
        <w:rPr>
          <w:color w:val="000000"/>
          <w:szCs w:val="28"/>
        </w:rPr>
      </w:pPr>
      <w:r>
        <w:rPr>
          <w:rFonts w:hint="eastAsia"/>
          <w:color w:val="000000"/>
          <w:szCs w:val="28"/>
        </w:rPr>
        <w:t>违法行为监测记录处理器具有对采集的交通流信息数据进行本地存储能力，本地存储时间至少7天，并支持网络恢复后自动上传的功能。</w:t>
      </w:r>
    </w:p>
    <w:p w14:paraId="42484017">
      <w:pPr>
        <w:ind w:firstLine="480"/>
        <w:rPr>
          <w:color w:val="000000"/>
          <w:szCs w:val="28"/>
        </w:rPr>
      </w:pPr>
      <w:r>
        <w:rPr>
          <w:rFonts w:hint="eastAsia"/>
          <w:color w:val="000000"/>
          <w:szCs w:val="28"/>
        </w:rPr>
        <w:t>（4）其它信息存贮功能</w:t>
      </w:r>
    </w:p>
    <w:p w14:paraId="68CF9509">
      <w:pPr>
        <w:ind w:firstLine="480"/>
        <w:rPr>
          <w:color w:val="000000"/>
          <w:szCs w:val="28"/>
        </w:rPr>
      </w:pPr>
      <w:r>
        <w:rPr>
          <w:rFonts w:hint="eastAsia"/>
          <w:color w:val="000000"/>
          <w:szCs w:val="28"/>
        </w:rPr>
        <w:t>系统前端设备记录的其它信息数据（事件检测数据、状态监控、报警、故障日志等）存储时间至少7天，并支持网络恢复后自动上传的功能。</w:t>
      </w:r>
    </w:p>
    <w:p w14:paraId="7E955C92">
      <w:pPr>
        <w:ind w:firstLine="480"/>
        <w:rPr>
          <w:color w:val="000000"/>
          <w:szCs w:val="28"/>
        </w:rPr>
      </w:pPr>
      <w:r>
        <w:rPr>
          <w:rFonts w:hint="eastAsia"/>
          <w:color w:val="000000"/>
          <w:szCs w:val="28"/>
        </w:rPr>
        <w:t>（5）交通视频监视录像</w:t>
      </w:r>
    </w:p>
    <w:p w14:paraId="430D593B">
      <w:pPr>
        <w:ind w:firstLine="480"/>
        <w:rPr>
          <w:color w:val="000000"/>
          <w:szCs w:val="28"/>
        </w:rPr>
      </w:pPr>
      <w:r>
        <w:rPr>
          <w:rFonts w:hint="eastAsia"/>
          <w:color w:val="000000"/>
          <w:szCs w:val="28"/>
        </w:rPr>
        <w:t>存储设备具有对交叉口的每路视频图像连续存储的功能，存储周期不少于7天，超过存储时限的视频采用循环覆盖的方式进行存储，并支持网络恢复后自动上传的功能。</w:t>
      </w:r>
    </w:p>
    <w:p w14:paraId="72250093">
      <w:pPr>
        <w:pStyle w:val="9"/>
      </w:pPr>
      <w:r>
        <w:rPr>
          <w:rFonts w:hint="eastAsia"/>
        </w:rPr>
        <w:t>断点续传功能</w:t>
      </w:r>
    </w:p>
    <w:p w14:paraId="109406EF">
      <w:pPr>
        <w:ind w:firstLine="480"/>
        <w:rPr>
          <w:color w:val="000000"/>
          <w:szCs w:val="28"/>
        </w:rPr>
      </w:pPr>
      <w:r>
        <w:rPr>
          <w:rFonts w:hint="eastAsia"/>
          <w:color w:val="000000"/>
          <w:szCs w:val="28"/>
        </w:rPr>
        <w:t>本项目的违法行为监测记录处理器具有实时把违法信息及图片、车辆通行信息及图片、视频监视录像、日志等数据通过MQ和FTP方式自动传至控制中心。当遇到网络故障导致传输失败，具备断点续传功能，即网络故障时，应保证所有数据不丢失，可用手动下载方式提取照片，待网络恢复后继续传至中心。</w:t>
      </w:r>
    </w:p>
    <w:p w14:paraId="19DAB84C">
      <w:pPr>
        <w:pStyle w:val="9"/>
      </w:pPr>
      <w:r>
        <w:rPr>
          <w:rFonts w:hint="eastAsia"/>
        </w:rPr>
        <w:t>图像防篡改功能</w:t>
      </w:r>
    </w:p>
    <w:p w14:paraId="76DCFB4C">
      <w:pPr>
        <w:ind w:firstLine="480"/>
        <w:rPr>
          <w:color w:val="000000"/>
          <w:szCs w:val="28"/>
        </w:rPr>
      </w:pPr>
      <w:r>
        <w:rPr>
          <w:rFonts w:hint="eastAsia"/>
          <w:color w:val="000000"/>
          <w:szCs w:val="28"/>
        </w:rPr>
        <w:t>各类路口违法和交通事件进行抓拍后，为了保证记录的准确性和真实性，按照国家标准GA/T832的最新要求，系统具有防篡改功能。当中心获取到违法记录图片后，首先通过算法验证防篡改标识是否被修改。对图像的任何变更都会引起防篡改标识的错误信息，只有通过认证的图片才能进入下一步的处理，保证数据的有效性。</w:t>
      </w:r>
    </w:p>
    <w:p w14:paraId="16A17B96">
      <w:pPr>
        <w:pStyle w:val="9"/>
      </w:pPr>
      <w:r>
        <w:rPr>
          <w:rFonts w:hint="eastAsia"/>
        </w:rPr>
        <w:t>信息叠加功能</w:t>
      </w:r>
    </w:p>
    <w:p w14:paraId="4C0EEF66">
      <w:pPr>
        <w:ind w:firstLine="480"/>
        <w:rPr>
          <w:color w:val="000000"/>
          <w:szCs w:val="28"/>
        </w:rPr>
      </w:pPr>
      <w:r>
        <w:rPr>
          <w:rFonts w:hint="eastAsia"/>
          <w:color w:val="000000"/>
          <w:szCs w:val="28"/>
        </w:rPr>
        <w:t>系统能够将抓拍信息、事件检测信息、车牌识别结果等信息叠</w:t>
      </w:r>
    </w:p>
    <w:p w14:paraId="740307F3">
      <w:pPr>
        <w:ind w:firstLine="480"/>
        <w:rPr>
          <w:color w:val="000000"/>
          <w:szCs w:val="28"/>
        </w:rPr>
      </w:pPr>
      <w:r>
        <w:rPr>
          <w:rFonts w:hint="eastAsia"/>
          <w:color w:val="000000"/>
          <w:szCs w:val="28"/>
        </w:rPr>
        <w:t>加到对应的抓拍图片中，且叠加内容可根据需求进行灵活配置，至少包括时间、地点、方向、事件、识别结果等信息。具体叠加要求，由招标人在设备安装测试期间提出。</w:t>
      </w:r>
    </w:p>
    <w:p w14:paraId="3354E4B2">
      <w:pPr>
        <w:pStyle w:val="9"/>
      </w:pPr>
      <w:r>
        <w:rPr>
          <w:rFonts w:hint="eastAsia"/>
        </w:rPr>
        <w:t>光线自适应功能</w:t>
      </w:r>
    </w:p>
    <w:p w14:paraId="5AD65E66">
      <w:pPr>
        <w:ind w:firstLine="480"/>
        <w:rPr>
          <w:color w:val="000000"/>
          <w:szCs w:val="28"/>
        </w:rPr>
      </w:pPr>
      <w:r>
        <w:rPr>
          <w:rFonts w:hint="eastAsia"/>
          <w:color w:val="000000"/>
          <w:szCs w:val="28"/>
        </w:rPr>
        <w:t>系统能根据光线的变化，自动改变摄像设备工作参数、自动打开或关闭辅助照明设备，确保记录的图片清晰，并且不对驾驶人造成直接强光刺激，影响驾驶安全性。</w:t>
      </w:r>
    </w:p>
    <w:p w14:paraId="6CF051CF">
      <w:pPr>
        <w:pStyle w:val="9"/>
      </w:pPr>
      <w:r>
        <w:rPr>
          <w:rFonts w:hint="eastAsia"/>
        </w:rPr>
        <w:t>自动校时功能</w:t>
      </w:r>
    </w:p>
    <w:p w14:paraId="5A7F5B79">
      <w:pPr>
        <w:ind w:firstLine="480"/>
        <w:rPr>
          <w:color w:val="000000"/>
          <w:szCs w:val="28"/>
        </w:rPr>
      </w:pPr>
      <w:r>
        <w:rPr>
          <w:rFonts w:hint="eastAsia"/>
          <w:color w:val="000000"/>
          <w:szCs w:val="28"/>
        </w:rPr>
        <w:t>系统支持手动校时和利用NTP时钟服务器校时，24小时内计时误差不超过1.0秒，每小时时钟校对一次，完全符合《GA/T832道路交通安全违法行为图像取证技术规范》中条计时误差要求。</w:t>
      </w:r>
    </w:p>
    <w:p w14:paraId="62E512BD">
      <w:pPr>
        <w:pStyle w:val="9"/>
      </w:pPr>
      <w:r>
        <w:rPr>
          <w:rFonts w:hint="eastAsia"/>
        </w:rPr>
        <w:t>设备自检功能</w:t>
      </w:r>
    </w:p>
    <w:p w14:paraId="090CB814">
      <w:pPr>
        <w:ind w:firstLine="480"/>
        <w:rPr>
          <w:color w:val="000000"/>
          <w:szCs w:val="28"/>
        </w:rPr>
      </w:pPr>
      <w:r>
        <w:rPr>
          <w:rFonts w:hint="eastAsia"/>
          <w:color w:val="000000"/>
          <w:szCs w:val="28"/>
        </w:rPr>
        <w:t>系统能够通过软硬件自动检测设备故障并恢复正常工作，具有断电自动重启动功能，应能自动检错报错，应能自动监测主要设备和运行软件的工作状态。系统故障报警信息应能向中心上报。违法行为监测记录处理器应具有自动进行异常修复功能，对异常状态能够自动断电、上电，确保设备正常运行。</w:t>
      </w:r>
    </w:p>
    <w:p w14:paraId="47FE7B75">
      <w:pPr>
        <w:ind w:firstLine="480"/>
        <w:rPr>
          <w:color w:val="000000"/>
          <w:szCs w:val="28"/>
        </w:rPr>
      </w:pPr>
      <w:r>
        <w:rPr>
          <w:rFonts w:hint="eastAsia"/>
          <w:color w:val="000000"/>
          <w:szCs w:val="28"/>
        </w:rPr>
        <w:t>为交通信号控制机提供交通量检测数据功能</w:t>
      </w:r>
    </w:p>
    <w:p w14:paraId="08D30715">
      <w:pPr>
        <w:ind w:firstLine="480"/>
        <w:rPr>
          <w:color w:val="000000"/>
          <w:szCs w:val="28"/>
        </w:rPr>
      </w:pPr>
      <w:r>
        <w:rPr>
          <w:rFonts w:hint="eastAsia"/>
          <w:color w:val="000000"/>
          <w:szCs w:val="28"/>
        </w:rPr>
        <w:t>系统能够为信号机提供交通量检测数据，可以通过网络或串口为信号机提供流量、占有率和交通事件数据的数据，并可以模拟线圈的在线工作方式将数据发给信号机。具体连接方案和信号机的选择有关。</w:t>
      </w:r>
    </w:p>
    <w:p w14:paraId="22C3605C">
      <w:pPr>
        <w:pStyle w:val="9"/>
      </w:pPr>
      <w:r>
        <w:rPr>
          <w:rFonts w:hint="eastAsia"/>
        </w:rPr>
        <w:t>联网数据传输</w:t>
      </w:r>
    </w:p>
    <w:p w14:paraId="3C5477F3">
      <w:pPr>
        <w:ind w:firstLine="480"/>
        <w:rPr>
          <w:color w:val="000000"/>
          <w:szCs w:val="28"/>
        </w:rPr>
      </w:pPr>
      <w:r>
        <w:rPr>
          <w:rFonts w:hint="eastAsia"/>
          <w:color w:val="000000"/>
          <w:szCs w:val="28"/>
        </w:rPr>
        <w:t>通过网络将机动车闯红灯信息自动传输到交通数据中心，信息传输具有防丢失、防篡改等功能。视频数据传输应符合GB/T28181的要求。图片数据传输符合公安部交管局相关标准要求。</w:t>
      </w:r>
    </w:p>
    <w:p w14:paraId="0F8A668B">
      <w:pPr>
        <w:pStyle w:val="6"/>
      </w:pPr>
      <w:bookmarkStart w:id="111" w:name="_Toc135934789"/>
      <w:r>
        <w:rPr>
          <w:rFonts w:hint="eastAsia"/>
        </w:rPr>
        <w:t>反向卡口功能</w:t>
      </w:r>
      <w:bookmarkEnd w:id="111"/>
    </w:p>
    <w:p w14:paraId="4B8C9DFD">
      <w:pPr>
        <w:ind w:firstLine="480"/>
        <w:rPr>
          <w:rFonts w:ascii="Times New Roman" w:hAnsi="Times New Roman"/>
        </w:rPr>
      </w:pPr>
      <w:r>
        <w:rPr>
          <w:rFonts w:hint="eastAsia" w:ascii="Times New Roman" w:hAnsi="Times New Roman"/>
        </w:rPr>
        <w:t>系统能够准确捕获、记录车辆通行信息（车辆前部的图片），对通过车辆的捕获率不小于99%。记录的车辆信息除包含图像信息外，还包括文本信息，如日期、时间（精确到秒）、地点、方向、号牌号码等。车辆信息写入关联数据库，并将相关文本信息叠加到图片上。</w:t>
      </w:r>
    </w:p>
    <w:p w14:paraId="6C95D54A">
      <w:pPr>
        <w:ind w:firstLine="480"/>
        <w:rPr>
          <w:rFonts w:ascii="Times New Roman" w:hAnsi="Times New Roman"/>
        </w:rPr>
      </w:pPr>
      <w:r>
        <w:rPr>
          <w:rFonts w:hint="eastAsia" w:ascii="Times New Roman" w:hAnsi="Times New Roman"/>
        </w:rPr>
        <w:t>同时针对车辆前部的捕获图片，系统还支持11种车身颜色识别、13种车型识别和250种车标识别的功能，可为公安交警的缉查布控和肇事找车提供更多的可检索信息，加快车辆查找的速度。</w:t>
      </w:r>
    </w:p>
    <w:p w14:paraId="4B2464AE">
      <w:pPr>
        <w:pStyle w:val="9"/>
      </w:pPr>
      <w:r>
        <w:rPr>
          <w:rFonts w:hint="eastAsia"/>
        </w:rPr>
        <w:t>驾驶人面部特征记录功能</w:t>
      </w:r>
    </w:p>
    <w:p w14:paraId="4E373729">
      <w:pPr>
        <w:ind w:firstLine="480"/>
        <w:rPr>
          <w:rFonts w:ascii="Times New Roman" w:hAnsi="Times New Roman"/>
        </w:rPr>
      </w:pPr>
      <w:r>
        <w:rPr>
          <w:rFonts w:hint="eastAsia" w:ascii="Times New Roman" w:hAnsi="Times New Roman"/>
        </w:rPr>
        <w:t>在电子警察杆件上反向增加车辆正面采集的摄像机，实现驾驶人面部特征记录功能。可将违法行为与对应车辆的正向图片匹配起来，从而将违法行为固定到驾驶人，有效遏制驾驶分非法买卖现象。</w:t>
      </w:r>
    </w:p>
    <w:p w14:paraId="374BF277">
      <w:pPr>
        <w:pStyle w:val="9"/>
      </w:pPr>
      <w:r>
        <w:rPr>
          <w:rFonts w:hint="eastAsia"/>
        </w:rPr>
        <w:t>其他卡口功能</w:t>
      </w:r>
    </w:p>
    <w:p w14:paraId="77A19F83">
      <w:pPr>
        <w:pStyle w:val="10"/>
      </w:pPr>
      <w:r>
        <w:rPr>
          <w:rFonts w:hint="eastAsia"/>
        </w:rPr>
        <w:t>车辆检测</w:t>
      </w:r>
    </w:p>
    <w:p w14:paraId="0E714E18">
      <w:pPr>
        <w:ind w:firstLine="480"/>
      </w:pPr>
      <w:r>
        <w:rPr>
          <w:rFonts w:hint="eastAsia"/>
        </w:rPr>
        <w:t>系统支持视频检测、线圈+视频检测、雷达+视频检测等模式。</w:t>
      </w:r>
    </w:p>
    <w:p w14:paraId="2BCD989B">
      <w:pPr>
        <w:ind w:firstLine="480"/>
      </w:pPr>
      <w:r>
        <w:rPr>
          <w:rFonts w:hint="eastAsia"/>
        </w:rPr>
        <w:t>系统采用视频检测模式时，视频检测与图像采集共用同一台高清摄像机，并采用多目标连续跟踪识别图像处理技术。当其车辆检测技术出现故障时，能上报车辆检测技术故障信息。</w:t>
      </w:r>
    </w:p>
    <w:p w14:paraId="09643A65">
      <w:pPr>
        <w:pStyle w:val="10"/>
      </w:pPr>
      <w:r>
        <w:rPr>
          <w:rFonts w:hint="eastAsia"/>
        </w:rPr>
        <w:t>车辆图像记录</w:t>
      </w:r>
      <w:r>
        <w:rPr>
          <w:rFonts w:hint="eastAsia"/>
        </w:rPr>
        <w:tab/>
      </w:r>
    </w:p>
    <w:p w14:paraId="6520DE20">
      <w:pPr>
        <w:ind w:firstLine="480"/>
      </w:pPr>
      <w:r>
        <w:rPr>
          <w:rFonts w:hint="eastAsia"/>
        </w:rPr>
        <w:t>系统能记录通行车辆经过监测点时的全景图像和特征图像。全景图像中应标明车辆经过监测点的时间、地点、行驶方向等通行数据。通过监测点的车辆图像捕获、车辆通行数据符合GA/T497的格式要求。</w:t>
      </w:r>
    </w:p>
    <w:p w14:paraId="38F65CA0">
      <w:pPr>
        <w:ind w:firstLine="480"/>
      </w:pPr>
      <w:r>
        <w:rPr>
          <w:rFonts w:hint="eastAsia"/>
        </w:rPr>
        <w:t>当监测点为同向相临的2个及以上车道时，车辆图像捕获应能记录通行车辆骑、压车道线行驶的情况。</w:t>
      </w:r>
    </w:p>
    <w:p w14:paraId="5E4C2849">
      <w:pPr>
        <w:ind w:firstLine="480"/>
      </w:pPr>
      <w:r>
        <w:rPr>
          <w:rFonts w:hint="eastAsia"/>
        </w:rPr>
        <w:t>车辆图像捕获时不受雨、雪、雾等天气、环境光和相临车道通行车辆的影响，系统自动过滤空拍和重拍的图像。</w:t>
      </w:r>
    </w:p>
    <w:p w14:paraId="2AB26145">
      <w:pPr>
        <w:ind w:firstLine="480"/>
      </w:pPr>
      <w:r>
        <w:rPr>
          <w:rFonts w:hint="eastAsia"/>
        </w:rPr>
        <w:t>当车辆图像为前部特征图像时，记录的驾驶人面部图像不小于50×50个像素点。当车辆图像用于道路交通安全违法行为证据时，符合GA/T832的要求。</w:t>
      </w:r>
    </w:p>
    <w:p w14:paraId="184A6B5C">
      <w:pPr>
        <w:ind w:firstLine="480"/>
      </w:pPr>
      <w:r>
        <w:rPr>
          <w:rFonts w:hint="eastAsia"/>
        </w:rPr>
        <w:t>夜间采用低亮度补光获取高清全彩过车图片功能</w:t>
      </w:r>
    </w:p>
    <w:p w14:paraId="7A057359">
      <w:pPr>
        <w:ind w:firstLine="480"/>
      </w:pPr>
      <w:r>
        <w:rPr>
          <w:rFonts w:hint="eastAsia"/>
        </w:rPr>
        <w:t>卡口摄像机夜间不使用白光爆闪补光，能够有效减少光污染，采用符合《交通技术监控成像补光装置通用技术规范》（GAT1202-2022）一级亮度标准的低亮度补光，人眼可见部分十分微弱，对驾驶员完全无影响，获取夜间高清全彩过车图片。</w:t>
      </w:r>
      <w:r>
        <w:t xml:space="preserve"> </w:t>
      </w:r>
    </w:p>
    <w:p w14:paraId="3E270FBF">
      <w:pPr>
        <w:pStyle w:val="10"/>
      </w:pPr>
      <w:r>
        <w:rPr>
          <w:rFonts w:hint="eastAsia"/>
        </w:rPr>
        <w:t>车辆号牌识别</w:t>
      </w:r>
    </w:p>
    <w:p w14:paraId="7B93FA4F">
      <w:pPr>
        <w:ind w:firstLine="480"/>
      </w:pPr>
      <w:r>
        <w:rPr>
          <w:rFonts w:hint="eastAsia"/>
        </w:rPr>
        <w:t>系统在实时记录通行车辆图像的同时，具备车辆号牌自动识别功能，其用于号牌识别的字符库应齐全，即应能识别在我国道路上行驶的机动车号牌，包括GA36规定的号牌（除临时号牌外）、武警汽车号牌和军队汽车号牌等。车辆号牌识别要求符合GA/T833最新标准。</w:t>
      </w:r>
    </w:p>
    <w:p w14:paraId="76F6A66D">
      <w:pPr>
        <w:ind w:firstLine="480"/>
      </w:pPr>
      <w:r>
        <w:rPr>
          <w:rFonts w:hint="eastAsia"/>
        </w:rPr>
        <w:t>支持新能源号牌识别。</w:t>
      </w:r>
    </w:p>
    <w:p w14:paraId="6F5B9C01">
      <w:pPr>
        <w:pStyle w:val="10"/>
      </w:pPr>
      <w:r>
        <w:rPr>
          <w:rFonts w:hint="eastAsia"/>
        </w:rPr>
        <w:t>车身颜色识别</w:t>
      </w:r>
    </w:p>
    <w:p w14:paraId="287CCEAC">
      <w:pPr>
        <w:ind w:firstLine="480"/>
      </w:pPr>
      <w:r>
        <w:rPr>
          <w:rFonts w:hint="eastAsia"/>
        </w:rPr>
        <w:t>系统具有车身颜色识别功能，能识别9种以上车身颜色；</w:t>
      </w:r>
    </w:p>
    <w:p w14:paraId="57115D25">
      <w:pPr>
        <w:pStyle w:val="10"/>
      </w:pPr>
      <w:r>
        <w:rPr>
          <w:rFonts w:hint="eastAsia"/>
        </w:rPr>
        <w:t>车辆类型识别</w:t>
      </w:r>
    </w:p>
    <w:p w14:paraId="502F4B47">
      <w:pPr>
        <w:ind w:firstLine="480"/>
      </w:pPr>
      <w:r>
        <w:rPr>
          <w:rFonts w:hint="eastAsia"/>
        </w:rPr>
        <w:t>系统具有车辆类型识别功能，至少能区分以下5种车型：小型客车、中型客车、中型货车、大型客车、大型货车，车辆类型识别准确率符合GA/T833的规定。</w:t>
      </w:r>
    </w:p>
    <w:p w14:paraId="4167BFC7">
      <w:pPr>
        <w:pStyle w:val="10"/>
      </w:pPr>
      <w:r>
        <w:rPr>
          <w:rFonts w:hint="eastAsia"/>
        </w:rPr>
        <w:t>车标识别</w:t>
      </w:r>
    </w:p>
    <w:p w14:paraId="44351F17">
      <w:pPr>
        <w:ind w:firstLine="480"/>
      </w:pPr>
      <w:r>
        <w:rPr>
          <w:rFonts w:hint="eastAsia"/>
        </w:rPr>
        <w:t>系统具有车标识别功能，能识别车辆子品牌。</w:t>
      </w:r>
    </w:p>
    <w:p w14:paraId="44F6A17A">
      <w:pPr>
        <w:pStyle w:val="10"/>
      </w:pPr>
      <w:r>
        <w:rPr>
          <w:rFonts w:hint="eastAsia"/>
        </w:rPr>
        <w:t>速度测定</w:t>
      </w:r>
    </w:p>
    <w:p w14:paraId="449DA348">
      <w:pPr>
        <w:ind w:firstLine="480"/>
      </w:pPr>
      <w:r>
        <w:rPr>
          <w:rFonts w:hint="eastAsia"/>
        </w:rPr>
        <w:t>配合测速雷达，可具备车辆速度测定功能，其测速范围和道路实测误差符合GB/T21255的相关要求。</w:t>
      </w:r>
    </w:p>
    <w:p w14:paraId="6E8DD273">
      <w:pPr>
        <w:pStyle w:val="10"/>
      </w:pPr>
      <w:r>
        <w:rPr>
          <w:rFonts w:hint="eastAsia"/>
        </w:rPr>
        <w:t>超速记录</w:t>
      </w:r>
    </w:p>
    <w:p w14:paraId="51CF890D">
      <w:pPr>
        <w:ind w:firstLine="480"/>
      </w:pPr>
      <w:r>
        <w:rPr>
          <w:rFonts w:hint="eastAsia"/>
        </w:rPr>
        <w:t>配合测速雷达，能清晰记录超速车辆的图片，图片符合GA/T832的要求。</w:t>
      </w:r>
    </w:p>
    <w:p w14:paraId="21C99A8E">
      <w:pPr>
        <w:pStyle w:val="10"/>
      </w:pPr>
      <w:r>
        <w:rPr>
          <w:rFonts w:hint="eastAsia"/>
        </w:rPr>
        <w:t>逆行记录</w:t>
      </w:r>
    </w:p>
    <w:p w14:paraId="4E3B0377">
      <w:pPr>
        <w:ind w:firstLine="480"/>
      </w:pPr>
      <w:r>
        <w:rPr>
          <w:rFonts w:hint="eastAsia"/>
        </w:rPr>
        <w:t>能清晰记录逆行车辆的图片，图片符合GA/T832的要求。</w:t>
      </w:r>
    </w:p>
    <w:p w14:paraId="4900C9D1">
      <w:pPr>
        <w:pStyle w:val="10"/>
      </w:pPr>
      <w:r>
        <w:rPr>
          <w:rFonts w:hint="eastAsia"/>
        </w:rPr>
        <w:t>视频录像</w:t>
      </w:r>
    </w:p>
    <w:p w14:paraId="3E4B2BBF">
      <w:pPr>
        <w:ind w:firstLine="480"/>
      </w:pPr>
      <w:r>
        <w:rPr>
          <w:rFonts w:hint="eastAsia"/>
        </w:rPr>
        <w:t>系统具备视频录像功能，采用H.264或H.265编码标准，视频质量不低于1080P；录像支持OSD信息叠加，叠加的信息包括日期、时间（精确到毫秒）、监控点名称、方向、车道、设备编号等信息。</w:t>
      </w:r>
    </w:p>
    <w:p w14:paraId="64DA098A">
      <w:pPr>
        <w:pStyle w:val="10"/>
      </w:pPr>
      <w:r>
        <w:rPr>
          <w:rFonts w:hint="eastAsia"/>
        </w:rPr>
        <w:t>流量统计</w:t>
      </w:r>
    </w:p>
    <w:p w14:paraId="1BACD418">
      <w:pPr>
        <w:ind w:firstLine="480"/>
      </w:pPr>
      <w:r>
        <w:rPr>
          <w:rFonts w:hint="eastAsia"/>
        </w:rPr>
        <w:t>系统能够按车道和时段进行车辆流量、平均速度、车辆类型、占有率、平均车头时距、平均排队长度、饱和度等数据的统计。所有统计数据支持以报表形式输出。</w:t>
      </w:r>
    </w:p>
    <w:p w14:paraId="505151D8">
      <w:pPr>
        <w:pStyle w:val="10"/>
      </w:pPr>
      <w:r>
        <w:rPr>
          <w:rFonts w:hint="eastAsia"/>
        </w:rPr>
        <w:t>自动报警</w:t>
      </w:r>
    </w:p>
    <w:p w14:paraId="5ABD9CFD">
      <w:pPr>
        <w:ind w:firstLine="480"/>
      </w:pPr>
      <w:r>
        <w:rPr>
          <w:rFonts w:hint="eastAsia"/>
        </w:rPr>
        <w:t>具备布控缉查车辆自动报警功能，当系统识别出来的车辆号牌结果属于布控车辆时，应能生成报警信息，并支持现场报警和远程报警。</w:t>
      </w:r>
    </w:p>
    <w:p w14:paraId="373C87BA">
      <w:pPr>
        <w:pStyle w:val="10"/>
      </w:pPr>
      <w:r>
        <w:rPr>
          <w:rFonts w:hint="eastAsia"/>
        </w:rPr>
        <w:t>数据检索</w:t>
      </w:r>
    </w:p>
    <w:p w14:paraId="282FC10A">
      <w:pPr>
        <w:ind w:firstLine="480"/>
      </w:pPr>
      <w:r>
        <w:rPr>
          <w:rFonts w:hint="eastAsia"/>
        </w:rPr>
        <w:t>系统具备按车辆信息检索的功能，按不同权限对数据库进行操作，并提供模糊查询、数据备份和数据打印输出功能。</w:t>
      </w:r>
    </w:p>
    <w:p w14:paraId="4B0D67A3">
      <w:pPr>
        <w:pStyle w:val="10"/>
      </w:pPr>
      <w:r>
        <w:rPr>
          <w:rFonts w:hint="eastAsia"/>
        </w:rPr>
        <w:t>图像视频存储</w:t>
      </w:r>
    </w:p>
    <w:p w14:paraId="5C4DAB3C">
      <w:pPr>
        <w:ind w:firstLine="480"/>
      </w:pPr>
      <w:r>
        <w:rPr>
          <w:rFonts w:hint="eastAsia"/>
        </w:rPr>
        <w:t>车辆号牌在图像中的水平分辨率不小于100个像素点，并包含车牌的完整信息。应能满足人工对车辆类型、颜色和轮廓及装载情况认定的要求。存贮的车辆图像编码应符合ISO/IEC15444:1994的要求。应对车辆图像文件进行防篡改保护。</w:t>
      </w:r>
    </w:p>
    <w:p w14:paraId="2AAF0087">
      <w:pPr>
        <w:ind w:firstLine="480"/>
      </w:pPr>
      <w:r>
        <w:rPr>
          <w:rFonts w:hint="eastAsia"/>
        </w:rPr>
        <w:t>图像文件应采用JPG格式。应存贮通行车辆的全景图像、特征图像、号牌图像各1张。当全景图像满足特征图像要求时，可存贮全景图像和号牌图像各1张。</w:t>
      </w:r>
    </w:p>
    <w:p w14:paraId="16B40BD2">
      <w:pPr>
        <w:pStyle w:val="10"/>
      </w:pPr>
      <w:r>
        <w:rPr>
          <w:rFonts w:hint="eastAsia"/>
        </w:rPr>
        <w:t>数据传输及远程维护</w:t>
      </w:r>
    </w:p>
    <w:p w14:paraId="1436236D">
      <w:pPr>
        <w:ind w:firstLine="480"/>
      </w:pPr>
      <w:r>
        <w:rPr>
          <w:rFonts w:hint="eastAsia"/>
        </w:rPr>
        <w:t>能通过网络实现数据传输、远程访问和远程系统维护。通过网络将车辆信息上传到公安相关管理系统，。当网络或传输故障恢复时，系统能自动上传未上传或上传错误的信息，且优先上传最新采集的信息。</w:t>
      </w:r>
    </w:p>
    <w:p w14:paraId="7BF9BF8C">
      <w:pPr>
        <w:ind w:firstLine="480"/>
      </w:pPr>
      <w:r>
        <w:rPr>
          <w:rFonts w:hint="eastAsia"/>
        </w:rPr>
        <w:t>系统具备故障自动检测功能，能通过软硬件自动检测系统故障并恢复正常工作。具有断电自动重启动、自动侦错报错、自动监测主要设备（摄像机、终端管理设备、车辆检测器、服务器等）和主要运行软件的工作状态（采集识别软件、传输软件等）等功能。系统具备权限管理功能，能够对不同对象分配不同类型的使用权限。</w:t>
      </w:r>
    </w:p>
    <w:p w14:paraId="37364B7B">
      <w:pPr>
        <w:ind w:firstLine="480"/>
      </w:pPr>
      <w:r>
        <w:rPr>
          <w:rFonts w:hint="eastAsia"/>
        </w:rPr>
        <w:t>系统具备日志记录功能。可记录主要设备、网络状态和主要运行软件的工作日志，还能记录设备或者网络状态改变（重启、或者重新连接）、主要软件发生重启或故障等事件日志。系统具备远程维护及参数的设置等功能。</w:t>
      </w:r>
    </w:p>
    <w:p w14:paraId="38FA7DA2">
      <w:pPr>
        <w:ind w:firstLine="480"/>
      </w:pPr>
      <w:r>
        <w:rPr>
          <w:rFonts w:hint="eastAsia"/>
        </w:rPr>
        <w:t>支持WEB浏览功能，用户可以通过WEB浏览，查看并下载相机存储的图片、录像等信息，同时，可以查看相机的实时状态。</w:t>
      </w:r>
    </w:p>
    <w:p w14:paraId="7CB2826B">
      <w:pPr>
        <w:pStyle w:val="10"/>
      </w:pPr>
      <w:r>
        <w:rPr>
          <w:rFonts w:hint="eastAsia"/>
        </w:rPr>
        <w:t>本地存储，断点续传</w:t>
      </w:r>
    </w:p>
    <w:p w14:paraId="67424984">
      <w:pPr>
        <w:ind w:firstLine="480"/>
      </w:pPr>
      <w:r>
        <w:rPr>
          <w:rFonts w:hint="eastAsia"/>
        </w:rPr>
        <w:t>系统采集的车辆通行记录及违法抓拍数据采用中心存储方式。为了保证数据的安全性，系统为每个卡口点前端配置一个前端主机（终端服务器），当前端和中心服务器的传输链路故障时，前端获取的数据自动保存在前端主机，当链路恢复正常时，前端主机的存储数据自动上传到中心服务器。当链路长时间故障时，工作人员亦可到卡口点，直接从前端主机导出数据。</w:t>
      </w:r>
    </w:p>
    <w:p w14:paraId="750B3686">
      <w:pPr>
        <w:pStyle w:val="6"/>
      </w:pPr>
      <w:bookmarkStart w:id="112" w:name="_Toc130326864"/>
      <w:bookmarkStart w:id="113" w:name="_Toc60343682"/>
      <w:bookmarkStart w:id="114" w:name="_Toc515266717"/>
      <w:bookmarkStart w:id="115" w:name="_Toc14106985"/>
      <w:bookmarkStart w:id="116" w:name="_Toc135934790"/>
      <w:r>
        <w:rPr>
          <w:rFonts w:hint="eastAsia"/>
        </w:rPr>
        <w:t>路口智能监控功能</w:t>
      </w:r>
      <w:bookmarkEnd w:id="112"/>
      <w:bookmarkEnd w:id="113"/>
      <w:bookmarkEnd w:id="114"/>
      <w:bookmarkEnd w:id="115"/>
      <w:bookmarkEnd w:id="116"/>
    </w:p>
    <w:p w14:paraId="4A37B042">
      <w:pPr>
        <w:pStyle w:val="9"/>
      </w:pPr>
      <w:r>
        <w:rPr>
          <w:rFonts w:hint="eastAsia"/>
        </w:rPr>
        <w:t>违法停车自动检测与记录</w:t>
      </w:r>
    </w:p>
    <w:p w14:paraId="5571BE4C">
      <w:pPr>
        <w:ind w:firstLine="480"/>
        <w:rPr>
          <w:rFonts w:ascii="Times New Roman" w:hAnsi="Times New Roman"/>
        </w:rPr>
      </w:pPr>
      <w:r>
        <w:rPr>
          <w:rFonts w:hint="eastAsia" w:ascii="Times New Roman" w:hAnsi="Times New Roman"/>
        </w:rPr>
        <w:t>系统能够根据设置的检测区域和违停时间准确检测出违停车辆。当符合抓拍条件时，自动启动抓拍功能，数据格式：3张图片+1段违停时段的视频。违法数据格式符合《道路交通安全违法行为图像取证技术规范》（GA/T832）要求。系统能够对检测区域内的车辆违停行为进行自动检测，可延时触发，触发结果输出为事件信息，监控场景用户可自行设置。系统可支持配置不少于12个场景，按计划巡航检测停车超时事件并取证，支持全天抓拍及按天分时段抓拍，支持在非违法取证时段时自动切换到道路全景监控状态。</w:t>
      </w:r>
    </w:p>
    <w:p w14:paraId="079E6026">
      <w:pPr>
        <w:pStyle w:val="9"/>
      </w:pPr>
      <w:r>
        <w:rPr>
          <w:rFonts w:hint="eastAsia"/>
        </w:rPr>
        <w:t>号牌识别功能</w:t>
      </w:r>
    </w:p>
    <w:p w14:paraId="61DB52EA">
      <w:pPr>
        <w:ind w:firstLine="480"/>
        <w:rPr>
          <w:rFonts w:ascii="Times New Roman" w:hAnsi="Times New Roman"/>
        </w:rPr>
      </w:pPr>
      <w:r>
        <w:rPr>
          <w:rFonts w:hint="eastAsia" w:ascii="Times New Roman" w:hAnsi="Times New Roman"/>
        </w:rPr>
        <w:t>系统具备对民用、警用、军用、武警等汽车号牌自动识别能力，在车牌无污损无遮挡时，白天车辆号牌识别准确率应不小于90%（除摩托车号牌、低速车号牌、临时号牌、拖拉机号牌外）；夜间车辆号牌识别准确率应不小于80%（除摩托车号牌、低速车号牌、临时号牌、拖拉机号牌外）。号牌识别信息应包含号牌结构、号牌字符、号牌颜色等信息。</w:t>
      </w:r>
    </w:p>
    <w:p w14:paraId="3608D54B">
      <w:pPr>
        <w:ind w:firstLine="480"/>
        <w:rPr>
          <w:rFonts w:ascii="Times New Roman" w:hAnsi="Times New Roman"/>
        </w:rPr>
      </w:pPr>
      <w:r>
        <w:rPr>
          <w:rFonts w:hint="eastAsia" w:ascii="Times New Roman" w:hAnsi="Times New Roman"/>
        </w:rPr>
        <w:t>支持新能源车牌识别。</w:t>
      </w:r>
    </w:p>
    <w:p w14:paraId="0BEB6282">
      <w:pPr>
        <w:pStyle w:val="9"/>
      </w:pPr>
      <w:r>
        <w:rPr>
          <w:rFonts w:hint="eastAsia"/>
        </w:rPr>
        <w:t>视频监视功能</w:t>
      </w:r>
    </w:p>
    <w:p w14:paraId="602EDAE9">
      <w:pPr>
        <w:ind w:firstLine="480"/>
        <w:rPr>
          <w:rFonts w:ascii="Times New Roman" w:hAnsi="Times New Roman"/>
        </w:rPr>
      </w:pPr>
      <w:r>
        <w:rPr>
          <w:rFonts w:hint="eastAsia" w:ascii="Times New Roman" w:hAnsi="Times New Roman"/>
        </w:rPr>
        <w:t>在非抓拍违停事件时段时自动切换到道路全景监控状态，具备交</w:t>
      </w:r>
    </w:p>
    <w:p w14:paraId="0090F3A4">
      <w:pPr>
        <w:ind w:firstLine="480"/>
        <w:rPr>
          <w:rFonts w:ascii="Times New Roman" w:hAnsi="Times New Roman"/>
        </w:rPr>
      </w:pPr>
      <w:r>
        <w:rPr>
          <w:rFonts w:hint="eastAsia" w:ascii="Times New Roman" w:hAnsi="Times New Roman"/>
        </w:rPr>
        <w:t>通现场视频监视功能，支持多码流视频录像，应符合GB/T28181相关要求。</w:t>
      </w:r>
    </w:p>
    <w:p w14:paraId="53DF89A2">
      <w:pPr>
        <w:pStyle w:val="9"/>
      </w:pPr>
      <w:r>
        <w:rPr>
          <w:rFonts w:hint="eastAsia"/>
        </w:rPr>
        <w:t>交通事件检测功能</w:t>
      </w:r>
    </w:p>
    <w:p w14:paraId="41AFE864">
      <w:pPr>
        <w:ind w:firstLine="480"/>
        <w:rPr>
          <w:rFonts w:ascii="Times New Roman" w:hAnsi="Times New Roman"/>
        </w:rPr>
      </w:pPr>
      <w:r>
        <w:rPr>
          <w:rFonts w:hint="eastAsia" w:ascii="Times New Roman" w:hAnsi="Times New Roman"/>
        </w:rPr>
        <w:t>支持异常情况检测等功能，异常交通事件以及检测报警时间可根据现场环境灵活配置。当交通异常事件发生时，能实时上传事件发生的记录和图片。后台系统能根据用户需要调用相应的实时视频和历史视频。</w:t>
      </w:r>
    </w:p>
    <w:p w14:paraId="14730FC9">
      <w:pPr>
        <w:ind w:firstLine="480"/>
        <w:rPr>
          <w:rFonts w:ascii="Times New Roman" w:hAnsi="Times New Roman"/>
        </w:rPr>
      </w:pPr>
      <w:r>
        <w:rPr>
          <w:rFonts w:hint="eastAsia" w:ascii="Times New Roman" w:hAnsi="Times New Roman"/>
        </w:rPr>
        <w:t>支持检测的异常交通事件类型包括：交通拥堵。</w:t>
      </w:r>
    </w:p>
    <w:p w14:paraId="1D314220">
      <w:pPr>
        <w:pStyle w:val="9"/>
      </w:pPr>
      <w:r>
        <w:rPr>
          <w:rFonts w:hint="eastAsia"/>
        </w:rPr>
        <w:t>前端设备本地存储及断点续传功能</w:t>
      </w:r>
    </w:p>
    <w:p w14:paraId="05C290A2">
      <w:pPr>
        <w:ind w:firstLine="480"/>
        <w:rPr>
          <w:rFonts w:ascii="Times New Roman" w:hAnsi="Times New Roman"/>
        </w:rPr>
      </w:pPr>
      <w:r>
        <w:rPr>
          <w:rFonts w:hint="eastAsia" w:ascii="Times New Roman" w:hAnsi="Times New Roman"/>
        </w:rPr>
        <w:t>前端主机具备存储模块，实现对高清摄像机抓拍图片、车辆通行记录信息及视频图像的前端本地暂存。当侦测到卡口前后端网络连接异常的情况下，系统将上述信息保存在前端主机的存储模块中，并在前后端网络连接正常后自动回传暂存数据。前端主机存储模块最低容量不低于10万张图片存储量以及7天的连续视频图像信息，当存储容量饱和时，将自动覆盖前期的通行记录。</w:t>
      </w:r>
    </w:p>
    <w:p w14:paraId="14334383">
      <w:pPr>
        <w:pStyle w:val="9"/>
      </w:pPr>
      <w:r>
        <w:rPr>
          <w:rFonts w:hint="eastAsia"/>
        </w:rPr>
        <w:t>自动校时功能</w:t>
      </w:r>
    </w:p>
    <w:p w14:paraId="0DB1B5F6">
      <w:pPr>
        <w:ind w:firstLine="480"/>
        <w:rPr>
          <w:rFonts w:ascii="Times New Roman" w:hAnsi="Times New Roman"/>
        </w:rPr>
      </w:pPr>
      <w:r>
        <w:rPr>
          <w:rFonts w:hint="eastAsia" w:ascii="Times New Roman" w:hAnsi="Times New Roman"/>
        </w:rPr>
        <w:t>系统支持手动校时和利用NTP时钟服务器校时，24小时内计时误差不超过1.0秒，每小时时钟校对一次，完全符合《GA/T832道路交通安全违法行为图像取证技术规范》计时误差要求。</w:t>
      </w:r>
    </w:p>
    <w:p w14:paraId="759E48C6">
      <w:pPr>
        <w:pStyle w:val="9"/>
      </w:pPr>
      <w:r>
        <w:rPr>
          <w:rFonts w:hint="eastAsia"/>
        </w:rPr>
        <w:t>前端设备故障自检测功能</w:t>
      </w:r>
    </w:p>
    <w:p w14:paraId="545ACCCA">
      <w:pPr>
        <w:ind w:firstLine="480"/>
        <w:rPr>
          <w:rFonts w:ascii="Times New Roman" w:hAnsi="Times New Roman"/>
        </w:rPr>
      </w:pPr>
      <w:r>
        <w:rPr>
          <w:rFonts w:hint="eastAsia" w:ascii="Times New Roman" w:hAnsi="Times New Roman"/>
        </w:rPr>
        <w:t>前端设备具有自检测功能，前端设备运行状态能实时反映在前端主控器的设备状态管理上。在前端设备异常的情况下，系统能自动启动相应的设备，如高清摄像机、前端主控器异常的情况下，系统可以实现自动重启。</w:t>
      </w:r>
    </w:p>
    <w:p w14:paraId="3A6F3AC6">
      <w:pPr>
        <w:ind w:firstLine="480"/>
        <w:rPr>
          <w:rFonts w:ascii="Times New Roman" w:hAnsi="Times New Roman"/>
        </w:rPr>
      </w:pPr>
      <w:r>
        <w:rPr>
          <w:rFonts w:hint="eastAsia" w:ascii="Times New Roman" w:hAnsi="Times New Roman"/>
        </w:rPr>
        <w:t>前端在断电的情况下，在前端系统重新上电的时候，系统能自动重启，无需维护人员到前端监测路口进行维护、或手动启动系统。</w:t>
      </w:r>
    </w:p>
    <w:p w14:paraId="582E8C27">
      <w:pPr>
        <w:pStyle w:val="9"/>
      </w:pPr>
      <w:r>
        <w:rPr>
          <w:rFonts w:hint="eastAsia"/>
        </w:rPr>
        <w:t>联网数据传输</w:t>
      </w:r>
    </w:p>
    <w:p w14:paraId="0CC3A64A">
      <w:pPr>
        <w:ind w:firstLine="480"/>
        <w:rPr>
          <w:rFonts w:ascii="Times New Roman" w:hAnsi="Times New Roman"/>
        </w:rPr>
      </w:pPr>
      <w:r>
        <w:rPr>
          <w:rFonts w:hint="eastAsia" w:ascii="Times New Roman" w:hAnsi="Times New Roman"/>
        </w:rPr>
        <w:t>通过网络将机动车违法信息自动传输到交通数据中心，信息传输</w:t>
      </w:r>
    </w:p>
    <w:p w14:paraId="48CF0A7F">
      <w:pPr>
        <w:ind w:firstLine="480"/>
        <w:rPr>
          <w:rFonts w:ascii="Times New Roman" w:hAnsi="Times New Roman"/>
        </w:rPr>
      </w:pPr>
      <w:r>
        <w:rPr>
          <w:rFonts w:hint="eastAsia" w:ascii="Times New Roman" w:hAnsi="Times New Roman"/>
        </w:rPr>
        <w:t>应具有防丢失、防篡改等功能。视频数据传输应符合GB/T28181的要求。图片数据传输应符合公安部交管局相关标准要求。图片数据传输应符合公安部交管局相关标准要求。</w:t>
      </w:r>
    </w:p>
    <w:p w14:paraId="49D28B05">
      <w:pPr>
        <w:pStyle w:val="6"/>
      </w:pPr>
      <w:bookmarkStart w:id="117" w:name="_Toc479841622"/>
      <w:bookmarkStart w:id="118" w:name="_Toc153975169"/>
      <w:bookmarkStart w:id="119" w:name="_Toc60924029"/>
      <w:r>
        <w:rPr>
          <w:rFonts w:hint="eastAsia"/>
        </w:rPr>
        <w:t>系统性能</w:t>
      </w:r>
      <w:bookmarkEnd w:id="117"/>
      <w:bookmarkEnd w:id="118"/>
      <w:bookmarkEnd w:id="119"/>
    </w:p>
    <w:p w14:paraId="2D2C1356">
      <w:pPr>
        <w:pStyle w:val="14"/>
      </w:pPr>
      <w:r>
        <w:rPr>
          <w:rFonts w:hint="eastAsia"/>
        </w:rPr>
        <w:t xml:space="preserve">表 </w:t>
      </w:r>
      <w:r>
        <w:fldChar w:fldCharType="begin"/>
      </w:r>
      <w:r>
        <w:instrText xml:space="preserve"> </w:instrText>
      </w:r>
      <w:r>
        <w:rPr>
          <w:rFonts w:hint="eastAsia"/>
        </w:rPr>
        <w:instrText xml:space="preserve">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表 \* ARABIC \s 1</w:instrText>
      </w:r>
      <w:r>
        <w:instrText xml:space="preserve"> </w:instrText>
      </w:r>
      <w:r>
        <w:fldChar w:fldCharType="separate"/>
      </w:r>
      <w:r>
        <w:t>4</w:t>
      </w:r>
      <w:r>
        <w:fldChar w:fldCharType="end"/>
      </w:r>
      <w:r>
        <w:rPr>
          <w:rFonts w:hint="eastAsia"/>
        </w:rPr>
        <w:t>系统性能</w:t>
      </w:r>
    </w:p>
    <w:tbl>
      <w:tblPr>
        <w:tblStyle w:val="23"/>
        <w:tblW w:w="493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8"/>
        <w:gridCol w:w="6086"/>
      </w:tblGrid>
      <w:tr w14:paraId="739AB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tcPr>
          <w:p w14:paraId="0EEE9FE3">
            <w:pPr>
              <w:ind w:firstLine="422"/>
              <w:jc w:val="center"/>
              <w:rPr>
                <w:color w:val="000000"/>
                <w:sz w:val="21"/>
                <w:szCs w:val="21"/>
              </w:rPr>
            </w:pPr>
            <w:r>
              <w:rPr>
                <w:b/>
                <w:bCs/>
                <w:color w:val="000000"/>
                <w:sz w:val="21"/>
                <w:szCs w:val="21"/>
              </w:rPr>
              <w:t>项目</w:t>
            </w:r>
          </w:p>
        </w:tc>
        <w:tc>
          <w:tcPr>
            <w:tcW w:w="3621" w:type="pct"/>
          </w:tcPr>
          <w:p w14:paraId="7378928A">
            <w:pPr>
              <w:ind w:firstLine="422"/>
              <w:jc w:val="center"/>
              <w:rPr>
                <w:color w:val="000000"/>
                <w:sz w:val="21"/>
                <w:szCs w:val="21"/>
              </w:rPr>
            </w:pPr>
            <w:r>
              <w:rPr>
                <w:b/>
                <w:bCs/>
                <w:color w:val="000000"/>
                <w:sz w:val="21"/>
                <w:szCs w:val="21"/>
              </w:rPr>
              <w:t>指标</w:t>
            </w:r>
          </w:p>
        </w:tc>
      </w:tr>
      <w:tr w14:paraId="63F9E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11A44CBC">
            <w:pPr>
              <w:ind w:firstLine="420"/>
              <w:rPr>
                <w:color w:val="000000"/>
                <w:sz w:val="21"/>
                <w:szCs w:val="21"/>
              </w:rPr>
            </w:pPr>
            <w:r>
              <w:rPr>
                <w:color w:val="000000"/>
                <w:sz w:val="21"/>
                <w:szCs w:val="21"/>
              </w:rPr>
              <w:t>违法记录组成</w:t>
            </w:r>
          </w:p>
        </w:tc>
        <w:tc>
          <w:tcPr>
            <w:tcW w:w="3621" w:type="pct"/>
            <w:vAlign w:val="center"/>
          </w:tcPr>
          <w:p w14:paraId="67207A1F">
            <w:pPr>
              <w:ind w:firstLine="420"/>
              <w:rPr>
                <w:color w:val="000000"/>
                <w:sz w:val="21"/>
                <w:szCs w:val="21"/>
              </w:rPr>
            </w:pPr>
            <w:r>
              <w:rPr>
                <w:color w:val="000000"/>
                <w:sz w:val="21"/>
                <w:szCs w:val="21"/>
              </w:rPr>
              <w:t>闯红灯为3</w:t>
            </w:r>
            <w:r>
              <w:rPr>
                <w:rFonts w:hint="eastAsia"/>
                <w:color w:val="000000"/>
                <w:sz w:val="21"/>
                <w:szCs w:val="21"/>
              </w:rPr>
              <w:t>张图片；其他违法一般为</w:t>
            </w:r>
            <w:r>
              <w:rPr>
                <w:color w:val="000000"/>
                <w:sz w:val="21"/>
                <w:szCs w:val="21"/>
              </w:rPr>
              <w:t>2</w:t>
            </w:r>
            <w:r>
              <w:rPr>
                <w:rFonts w:hint="eastAsia"/>
                <w:color w:val="000000"/>
                <w:sz w:val="21"/>
                <w:szCs w:val="21"/>
              </w:rPr>
              <w:t>或</w:t>
            </w:r>
            <w:r>
              <w:rPr>
                <w:color w:val="000000"/>
                <w:sz w:val="21"/>
                <w:szCs w:val="21"/>
              </w:rPr>
              <w:t>3</w:t>
            </w:r>
            <w:r>
              <w:rPr>
                <w:rFonts w:hint="eastAsia"/>
                <w:color w:val="000000"/>
                <w:sz w:val="21"/>
                <w:szCs w:val="21"/>
              </w:rPr>
              <w:t>张；</w:t>
            </w:r>
          </w:p>
        </w:tc>
      </w:tr>
      <w:tr w14:paraId="3D938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0663CFBE">
            <w:pPr>
              <w:ind w:firstLine="420"/>
              <w:rPr>
                <w:color w:val="000000"/>
                <w:sz w:val="21"/>
                <w:szCs w:val="21"/>
              </w:rPr>
            </w:pPr>
            <w:r>
              <w:rPr>
                <w:rFonts w:hint="eastAsia"/>
                <w:color w:val="000000"/>
                <w:sz w:val="21"/>
                <w:szCs w:val="21"/>
              </w:rPr>
              <w:t>通行车辆抓拍</w:t>
            </w:r>
          </w:p>
        </w:tc>
        <w:tc>
          <w:tcPr>
            <w:tcW w:w="3621" w:type="pct"/>
          </w:tcPr>
          <w:p w14:paraId="3E257202">
            <w:pPr>
              <w:ind w:firstLine="420"/>
              <w:rPr>
                <w:color w:val="000000"/>
                <w:sz w:val="21"/>
                <w:szCs w:val="21"/>
              </w:rPr>
            </w:pPr>
            <w:r>
              <w:rPr>
                <w:color w:val="000000"/>
                <w:sz w:val="21"/>
                <w:szCs w:val="21"/>
              </w:rPr>
              <w:t>1</w:t>
            </w:r>
            <w:r>
              <w:rPr>
                <w:rFonts w:hint="eastAsia"/>
                <w:color w:val="000000"/>
                <w:sz w:val="21"/>
                <w:szCs w:val="21"/>
              </w:rPr>
              <w:t>张；</w:t>
            </w:r>
          </w:p>
        </w:tc>
      </w:tr>
      <w:tr w14:paraId="7B739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5F1E335E">
            <w:pPr>
              <w:ind w:firstLine="420"/>
              <w:rPr>
                <w:color w:val="000000"/>
                <w:sz w:val="21"/>
                <w:szCs w:val="21"/>
              </w:rPr>
            </w:pPr>
            <w:r>
              <w:rPr>
                <w:rFonts w:hint="eastAsia"/>
                <w:color w:val="000000"/>
                <w:sz w:val="21"/>
                <w:szCs w:val="21"/>
              </w:rPr>
              <w:t>通行车辆捕获率</w:t>
            </w:r>
          </w:p>
        </w:tc>
        <w:tc>
          <w:tcPr>
            <w:tcW w:w="3621" w:type="pct"/>
          </w:tcPr>
          <w:p w14:paraId="24A57B2F">
            <w:pPr>
              <w:ind w:firstLine="420"/>
              <w:rPr>
                <w:color w:val="000000"/>
                <w:sz w:val="21"/>
                <w:szCs w:val="21"/>
              </w:rPr>
            </w:pPr>
            <w:r>
              <w:rPr>
                <w:rFonts w:hint="eastAsia"/>
                <w:color w:val="000000"/>
                <w:sz w:val="21"/>
                <w:szCs w:val="21"/>
              </w:rPr>
              <w:t>白天98.5%，晚上95.8%</w:t>
            </w:r>
          </w:p>
        </w:tc>
      </w:tr>
      <w:tr w14:paraId="279C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1BC1EC66">
            <w:pPr>
              <w:ind w:firstLine="420"/>
              <w:rPr>
                <w:color w:val="000000"/>
                <w:sz w:val="21"/>
                <w:szCs w:val="21"/>
              </w:rPr>
            </w:pPr>
            <w:r>
              <w:rPr>
                <w:color w:val="000000"/>
                <w:sz w:val="21"/>
                <w:szCs w:val="21"/>
              </w:rPr>
              <w:t>闯红灯车辆捕获率</w:t>
            </w:r>
          </w:p>
        </w:tc>
        <w:tc>
          <w:tcPr>
            <w:tcW w:w="3621" w:type="pct"/>
          </w:tcPr>
          <w:p w14:paraId="7996C1F8">
            <w:pPr>
              <w:ind w:firstLine="420"/>
              <w:rPr>
                <w:color w:val="000000"/>
                <w:sz w:val="21"/>
                <w:szCs w:val="21"/>
              </w:rPr>
            </w:pPr>
            <w:r>
              <w:rPr>
                <w:rFonts w:hint="eastAsia"/>
                <w:color w:val="000000"/>
                <w:sz w:val="21"/>
                <w:szCs w:val="21"/>
              </w:rPr>
              <w:t>白天98.5%，晚上95.8%；</w:t>
            </w:r>
          </w:p>
        </w:tc>
      </w:tr>
      <w:tr w14:paraId="60C9A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2F87F5E1">
            <w:pPr>
              <w:ind w:firstLine="420"/>
              <w:rPr>
                <w:color w:val="000000"/>
                <w:sz w:val="21"/>
                <w:szCs w:val="21"/>
              </w:rPr>
            </w:pPr>
            <w:r>
              <w:rPr>
                <w:rFonts w:hint="eastAsia"/>
                <w:color w:val="000000"/>
                <w:sz w:val="21"/>
                <w:szCs w:val="21"/>
              </w:rPr>
              <w:t>闯红灯检测系统附带的违法检测功能</w:t>
            </w:r>
          </w:p>
        </w:tc>
        <w:tc>
          <w:tcPr>
            <w:tcW w:w="3621" w:type="pct"/>
            <w:vAlign w:val="center"/>
          </w:tcPr>
          <w:p w14:paraId="0DF08FCF">
            <w:pPr>
              <w:ind w:firstLine="420"/>
              <w:rPr>
                <w:color w:val="000000"/>
                <w:sz w:val="21"/>
                <w:szCs w:val="21"/>
              </w:rPr>
            </w:pPr>
            <w:r>
              <w:rPr>
                <w:rFonts w:hint="eastAsia"/>
                <w:color w:val="000000"/>
                <w:sz w:val="21"/>
                <w:szCs w:val="21"/>
              </w:rPr>
              <w:t>具有不按规定车道行驶、逆行、压线/变道、不按所需行进方向驶入导向车道检测功能；</w:t>
            </w:r>
          </w:p>
        </w:tc>
      </w:tr>
      <w:tr w14:paraId="53F66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342D9920">
            <w:pPr>
              <w:ind w:firstLine="420"/>
              <w:rPr>
                <w:color w:val="000000"/>
                <w:sz w:val="21"/>
                <w:szCs w:val="21"/>
              </w:rPr>
            </w:pPr>
            <w:r>
              <w:rPr>
                <w:rFonts w:hint="eastAsia"/>
                <w:color w:val="000000"/>
                <w:sz w:val="21"/>
                <w:szCs w:val="21"/>
              </w:rPr>
              <w:t>其它违法检测功能捕获有效率</w:t>
            </w:r>
          </w:p>
        </w:tc>
        <w:tc>
          <w:tcPr>
            <w:tcW w:w="3621" w:type="pct"/>
            <w:vAlign w:val="center"/>
          </w:tcPr>
          <w:p w14:paraId="545820FD">
            <w:pPr>
              <w:ind w:firstLine="420"/>
              <w:rPr>
                <w:color w:val="000000"/>
                <w:sz w:val="21"/>
                <w:szCs w:val="21"/>
              </w:rPr>
            </w:pPr>
            <w:r>
              <w:rPr>
                <w:rFonts w:hint="eastAsia"/>
                <w:color w:val="000000"/>
                <w:sz w:val="21"/>
                <w:szCs w:val="21"/>
              </w:rPr>
              <w:t>不按规定车道行驶≥90</w:t>
            </w:r>
            <w:r>
              <w:rPr>
                <w:color w:val="000000"/>
                <w:sz w:val="21"/>
                <w:szCs w:val="21"/>
              </w:rPr>
              <w:t>%</w:t>
            </w:r>
            <w:r>
              <w:rPr>
                <w:rFonts w:hint="eastAsia"/>
                <w:color w:val="000000"/>
                <w:sz w:val="21"/>
                <w:szCs w:val="21"/>
              </w:rPr>
              <w:t>；逆行≥90</w:t>
            </w:r>
            <w:r>
              <w:rPr>
                <w:color w:val="000000"/>
                <w:sz w:val="21"/>
                <w:szCs w:val="21"/>
              </w:rPr>
              <w:t>%</w:t>
            </w:r>
            <w:r>
              <w:rPr>
                <w:rFonts w:hint="eastAsia"/>
                <w:color w:val="000000"/>
                <w:sz w:val="21"/>
                <w:szCs w:val="21"/>
              </w:rPr>
              <w:t>；压线≥90</w:t>
            </w:r>
            <w:r>
              <w:rPr>
                <w:color w:val="000000"/>
                <w:sz w:val="21"/>
                <w:szCs w:val="21"/>
              </w:rPr>
              <w:t>%</w:t>
            </w:r>
            <w:r>
              <w:rPr>
                <w:rFonts w:hint="eastAsia"/>
                <w:color w:val="000000"/>
                <w:sz w:val="21"/>
                <w:szCs w:val="21"/>
              </w:rPr>
              <w:t>；不按所需行进方向驶入导向车道≥90</w:t>
            </w:r>
            <w:r>
              <w:rPr>
                <w:color w:val="000000"/>
                <w:sz w:val="21"/>
                <w:szCs w:val="21"/>
              </w:rPr>
              <w:t>%</w:t>
            </w:r>
            <w:r>
              <w:rPr>
                <w:rFonts w:hint="eastAsia"/>
                <w:color w:val="000000"/>
                <w:sz w:val="21"/>
                <w:szCs w:val="21"/>
              </w:rPr>
              <w:t>；</w:t>
            </w:r>
          </w:p>
        </w:tc>
      </w:tr>
      <w:tr w14:paraId="60A3E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2E88AC7C">
            <w:pPr>
              <w:ind w:firstLine="420"/>
              <w:rPr>
                <w:color w:val="000000"/>
                <w:sz w:val="21"/>
                <w:szCs w:val="21"/>
              </w:rPr>
            </w:pPr>
            <w:r>
              <w:rPr>
                <w:color w:val="000000"/>
                <w:sz w:val="21"/>
                <w:szCs w:val="21"/>
              </w:rPr>
              <w:t>最小抓拍间隔</w:t>
            </w:r>
          </w:p>
        </w:tc>
        <w:tc>
          <w:tcPr>
            <w:tcW w:w="3621" w:type="pct"/>
          </w:tcPr>
          <w:p w14:paraId="4C4DD2FC">
            <w:pPr>
              <w:ind w:firstLine="420"/>
              <w:rPr>
                <w:color w:val="000000"/>
                <w:sz w:val="21"/>
                <w:szCs w:val="21"/>
              </w:rPr>
            </w:pPr>
            <w:r>
              <w:rPr>
                <w:color w:val="000000"/>
                <w:sz w:val="21"/>
                <w:szCs w:val="21"/>
              </w:rPr>
              <w:t>&lt;</w:t>
            </w:r>
            <w:r>
              <w:rPr>
                <w:rFonts w:hint="eastAsia"/>
                <w:color w:val="000000"/>
                <w:sz w:val="21"/>
                <w:szCs w:val="21"/>
              </w:rPr>
              <w:t>40</w:t>
            </w:r>
            <w:r>
              <w:rPr>
                <w:color w:val="000000"/>
                <w:sz w:val="21"/>
                <w:szCs w:val="21"/>
              </w:rPr>
              <w:t>ms</w:t>
            </w:r>
            <w:r>
              <w:rPr>
                <w:rFonts w:hint="eastAsia"/>
                <w:color w:val="000000"/>
                <w:sz w:val="21"/>
                <w:szCs w:val="21"/>
              </w:rPr>
              <w:t>；</w:t>
            </w:r>
          </w:p>
        </w:tc>
      </w:tr>
      <w:tr w14:paraId="4BD9B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0A0A9CFD">
            <w:pPr>
              <w:ind w:firstLine="420"/>
              <w:rPr>
                <w:color w:val="000000"/>
                <w:sz w:val="21"/>
                <w:szCs w:val="21"/>
              </w:rPr>
            </w:pPr>
            <w:r>
              <w:rPr>
                <w:color w:val="000000"/>
                <w:sz w:val="21"/>
                <w:szCs w:val="21"/>
              </w:rPr>
              <w:t>图片压缩方式及分辨率</w:t>
            </w:r>
          </w:p>
        </w:tc>
        <w:tc>
          <w:tcPr>
            <w:tcW w:w="3621" w:type="pct"/>
          </w:tcPr>
          <w:p w14:paraId="5435395A">
            <w:pPr>
              <w:ind w:firstLine="420"/>
              <w:rPr>
                <w:color w:val="000000"/>
                <w:sz w:val="21"/>
                <w:szCs w:val="21"/>
              </w:rPr>
            </w:pPr>
            <w:r>
              <w:rPr>
                <w:color w:val="000000"/>
                <w:sz w:val="21"/>
                <w:szCs w:val="21"/>
              </w:rPr>
              <w:t>JPEG</w:t>
            </w:r>
            <w:r>
              <w:rPr>
                <w:rFonts w:hint="eastAsia"/>
                <w:color w:val="000000"/>
                <w:sz w:val="21"/>
                <w:szCs w:val="21"/>
              </w:rPr>
              <w:t>格式；</w:t>
            </w:r>
          </w:p>
          <w:p w14:paraId="18E60851">
            <w:pPr>
              <w:ind w:firstLine="420"/>
              <w:rPr>
                <w:color w:val="000000"/>
                <w:sz w:val="21"/>
                <w:szCs w:val="21"/>
              </w:rPr>
            </w:pPr>
            <w:r>
              <w:rPr>
                <w:rFonts w:hint="eastAsia"/>
                <w:color w:val="000000"/>
                <w:sz w:val="21"/>
                <w:szCs w:val="21"/>
              </w:rPr>
              <w:t>分辨率</w:t>
            </w:r>
            <w:r>
              <w:rPr>
                <w:color w:val="000000"/>
                <w:sz w:val="21"/>
                <w:szCs w:val="21"/>
              </w:rPr>
              <w:t>9</w:t>
            </w:r>
            <w:r>
              <w:rPr>
                <w:rFonts w:hint="eastAsia"/>
                <w:color w:val="000000"/>
                <w:sz w:val="21"/>
                <w:szCs w:val="21"/>
              </w:rPr>
              <w:t>00万：</w:t>
            </w:r>
            <w:r>
              <w:rPr>
                <w:color w:val="000000"/>
                <w:sz w:val="21"/>
                <w:szCs w:val="21"/>
              </w:rPr>
              <w:t>4096×2160</w:t>
            </w:r>
            <w:r>
              <w:rPr>
                <w:rFonts w:hint="eastAsia"/>
                <w:color w:val="000000"/>
                <w:sz w:val="21"/>
                <w:szCs w:val="21"/>
              </w:rPr>
              <w:t xml:space="preserve">； </w:t>
            </w:r>
          </w:p>
        </w:tc>
      </w:tr>
      <w:tr w14:paraId="7363A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7B5AF723">
            <w:pPr>
              <w:ind w:firstLine="420"/>
              <w:rPr>
                <w:color w:val="000000"/>
                <w:sz w:val="21"/>
                <w:szCs w:val="21"/>
              </w:rPr>
            </w:pPr>
            <w:r>
              <w:rPr>
                <w:color w:val="000000"/>
                <w:sz w:val="21"/>
                <w:szCs w:val="21"/>
              </w:rPr>
              <w:t>图片</w:t>
            </w:r>
            <w:r>
              <w:rPr>
                <w:rFonts w:hint="eastAsia"/>
                <w:color w:val="000000"/>
                <w:sz w:val="21"/>
                <w:szCs w:val="21"/>
              </w:rPr>
              <w:t>大小</w:t>
            </w:r>
          </w:p>
        </w:tc>
        <w:tc>
          <w:tcPr>
            <w:tcW w:w="3621" w:type="pct"/>
          </w:tcPr>
          <w:p w14:paraId="6BC8048E">
            <w:pPr>
              <w:ind w:firstLine="420"/>
              <w:rPr>
                <w:color w:val="000000"/>
                <w:sz w:val="21"/>
                <w:szCs w:val="21"/>
              </w:rPr>
            </w:pPr>
            <w:r>
              <w:rPr>
                <w:color w:val="000000"/>
                <w:sz w:val="21"/>
                <w:szCs w:val="21"/>
              </w:rPr>
              <w:t>9</w:t>
            </w:r>
            <w:r>
              <w:rPr>
                <w:rFonts w:hint="eastAsia"/>
                <w:color w:val="000000"/>
                <w:sz w:val="21"/>
                <w:szCs w:val="21"/>
              </w:rPr>
              <w:t>00万：单张约</w:t>
            </w:r>
            <w:r>
              <w:rPr>
                <w:color w:val="000000"/>
                <w:sz w:val="21"/>
                <w:szCs w:val="21"/>
              </w:rPr>
              <w:t>9</w:t>
            </w:r>
            <w:r>
              <w:rPr>
                <w:rFonts w:hint="eastAsia"/>
                <w:color w:val="000000"/>
                <w:sz w:val="21"/>
                <w:szCs w:val="21"/>
              </w:rPr>
              <w:t>00KB；合成图片2张约1.</w:t>
            </w:r>
            <w:r>
              <w:rPr>
                <w:color w:val="000000"/>
                <w:sz w:val="21"/>
                <w:szCs w:val="21"/>
              </w:rPr>
              <w:t>8</w:t>
            </w:r>
            <w:r>
              <w:rPr>
                <w:rFonts w:hint="eastAsia"/>
                <w:color w:val="000000"/>
                <w:sz w:val="21"/>
                <w:szCs w:val="21"/>
              </w:rPr>
              <w:t>MB；</w:t>
            </w:r>
          </w:p>
        </w:tc>
      </w:tr>
      <w:tr w14:paraId="2AAD9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51C0E1CE">
            <w:pPr>
              <w:ind w:firstLine="420"/>
              <w:rPr>
                <w:color w:val="000000"/>
                <w:sz w:val="21"/>
                <w:szCs w:val="21"/>
              </w:rPr>
            </w:pPr>
            <w:r>
              <w:rPr>
                <w:rFonts w:hint="eastAsia"/>
                <w:color w:val="000000"/>
                <w:sz w:val="21"/>
                <w:szCs w:val="21"/>
              </w:rPr>
              <w:t>录像功能</w:t>
            </w:r>
          </w:p>
        </w:tc>
        <w:tc>
          <w:tcPr>
            <w:tcW w:w="3621" w:type="pct"/>
          </w:tcPr>
          <w:p w14:paraId="6FA37BD1">
            <w:pPr>
              <w:ind w:firstLine="420"/>
              <w:rPr>
                <w:color w:val="000000"/>
                <w:sz w:val="21"/>
                <w:szCs w:val="21"/>
              </w:rPr>
            </w:pPr>
            <w:r>
              <w:rPr>
                <w:rFonts w:hint="eastAsia"/>
                <w:color w:val="000000"/>
                <w:sz w:val="21"/>
                <w:szCs w:val="21"/>
              </w:rPr>
              <w:t>支持全天录像和违法片段录像；</w:t>
            </w:r>
          </w:p>
          <w:p w14:paraId="6DD1F4EA">
            <w:pPr>
              <w:ind w:firstLine="420"/>
              <w:rPr>
                <w:color w:val="000000"/>
                <w:sz w:val="21"/>
                <w:szCs w:val="21"/>
              </w:rPr>
            </w:pPr>
            <w:r>
              <w:rPr>
                <w:rFonts w:hint="eastAsia"/>
                <w:color w:val="000000"/>
                <w:sz w:val="21"/>
                <w:szCs w:val="21"/>
              </w:rPr>
              <w:t>采用</w:t>
            </w:r>
            <w:r>
              <w:rPr>
                <w:color w:val="000000"/>
                <w:sz w:val="21"/>
                <w:szCs w:val="21"/>
              </w:rPr>
              <w:t>H.264</w:t>
            </w:r>
            <w:r>
              <w:rPr>
                <w:rFonts w:hint="eastAsia"/>
                <w:color w:val="000000"/>
                <w:sz w:val="21"/>
                <w:szCs w:val="21"/>
              </w:rPr>
              <w:t>或MJPEG编码， 25</w:t>
            </w:r>
            <w:r>
              <w:rPr>
                <w:color w:val="000000"/>
                <w:sz w:val="21"/>
                <w:szCs w:val="21"/>
              </w:rPr>
              <w:t>fps@900</w:t>
            </w:r>
            <w:r>
              <w:rPr>
                <w:rFonts w:hint="eastAsia"/>
                <w:color w:val="000000"/>
                <w:sz w:val="21"/>
                <w:szCs w:val="21"/>
              </w:rPr>
              <w:t>万像素；录像支持OSD信息叠加，叠加的信息至少包括日期、时间（精确到秒）、监控点名称、设备编号等信息；</w:t>
            </w:r>
          </w:p>
        </w:tc>
      </w:tr>
      <w:tr w14:paraId="49B8C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605660AE">
            <w:pPr>
              <w:ind w:firstLine="420"/>
              <w:rPr>
                <w:color w:val="000000"/>
                <w:sz w:val="21"/>
                <w:szCs w:val="21"/>
              </w:rPr>
            </w:pPr>
            <w:r>
              <w:rPr>
                <w:color w:val="000000"/>
                <w:sz w:val="21"/>
                <w:szCs w:val="21"/>
              </w:rPr>
              <w:t>车牌识别准确率</w:t>
            </w:r>
          </w:p>
        </w:tc>
        <w:tc>
          <w:tcPr>
            <w:tcW w:w="3621" w:type="pct"/>
          </w:tcPr>
          <w:p w14:paraId="6CC7D810">
            <w:pPr>
              <w:ind w:firstLine="420"/>
              <w:rPr>
                <w:color w:val="000000"/>
                <w:sz w:val="21"/>
                <w:szCs w:val="21"/>
              </w:rPr>
            </w:pPr>
            <w:r>
              <w:rPr>
                <w:rFonts w:hint="eastAsia"/>
                <w:color w:val="000000"/>
                <w:sz w:val="21"/>
                <w:szCs w:val="21"/>
              </w:rPr>
              <w:t>白天98%，晚上95%</w:t>
            </w:r>
          </w:p>
        </w:tc>
      </w:tr>
      <w:tr w14:paraId="6FB50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5138F315">
            <w:pPr>
              <w:ind w:firstLine="420"/>
              <w:rPr>
                <w:color w:val="000000"/>
                <w:sz w:val="21"/>
                <w:szCs w:val="21"/>
              </w:rPr>
            </w:pPr>
            <w:r>
              <w:rPr>
                <w:color w:val="000000"/>
                <w:sz w:val="21"/>
                <w:szCs w:val="21"/>
              </w:rPr>
              <w:t>识别牌照种类</w:t>
            </w:r>
          </w:p>
        </w:tc>
        <w:tc>
          <w:tcPr>
            <w:tcW w:w="3621" w:type="pct"/>
          </w:tcPr>
          <w:p w14:paraId="10D25289">
            <w:pPr>
              <w:ind w:firstLine="420"/>
              <w:rPr>
                <w:color w:val="000000"/>
                <w:sz w:val="21"/>
                <w:szCs w:val="21"/>
              </w:rPr>
            </w:pPr>
            <w:r>
              <w:rPr>
                <w:color w:val="000000"/>
                <w:sz w:val="21"/>
                <w:szCs w:val="21"/>
              </w:rPr>
              <w:t>车牌类别：民用车牌（除5</w:t>
            </w:r>
            <w:r>
              <w:rPr>
                <w:rFonts w:hint="eastAsia"/>
                <w:color w:val="000000"/>
                <w:sz w:val="21"/>
                <w:szCs w:val="21"/>
              </w:rPr>
              <w:t>小车辆），警用车牌，军用车牌，武警车牌、</w:t>
            </w:r>
            <w:r>
              <w:rPr>
                <w:color w:val="000000"/>
                <w:sz w:val="21"/>
                <w:szCs w:val="21"/>
              </w:rPr>
              <w:t>新</w:t>
            </w:r>
            <w:r>
              <w:rPr>
                <w:rFonts w:hint="eastAsia"/>
                <w:color w:val="000000"/>
                <w:sz w:val="21"/>
                <w:szCs w:val="21"/>
              </w:rPr>
              <w:t>能源</w:t>
            </w:r>
            <w:r>
              <w:rPr>
                <w:color w:val="000000"/>
                <w:sz w:val="21"/>
                <w:szCs w:val="21"/>
              </w:rPr>
              <w:t>车牌</w:t>
            </w:r>
            <w:r>
              <w:rPr>
                <w:rFonts w:hint="eastAsia"/>
                <w:color w:val="000000"/>
                <w:sz w:val="21"/>
                <w:szCs w:val="21"/>
              </w:rPr>
              <w:t>。车牌颜色：黑、白、蓝、黄、绿；</w:t>
            </w:r>
          </w:p>
        </w:tc>
      </w:tr>
      <w:tr w14:paraId="6C875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0EC5117E">
            <w:pPr>
              <w:ind w:firstLine="420"/>
              <w:rPr>
                <w:color w:val="000000"/>
                <w:sz w:val="21"/>
                <w:szCs w:val="21"/>
              </w:rPr>
            </w:pPr>
            <w:r>
              <w:rPr>
                <w:rFonts w:hint="eastAsia"/>
                <w:color w:val="000000"/>
                <w:sz w:val="21"/>
                <w:szCs w:val="21"/>
              </w:rPr>
              <w:t>车身颜色识别</w:t>
            </w:r>
          </w:p>
        </w:tc>
        <w:tc>
          <w:tcPr>
            <w:tcW w:w="3621" w:type="pct"/>
            <w:vAlign w:val="center"/>
          </w:tcPr>
          <w:p w14:paraId="393CCCBD">
            <w:pPr>
              <w:ind w:firstLine="420"/>
              <w:rPr>
                <w:color w:val="000000"/>
                <w:sz w:val="21"/>
                <w:szCs w:val="21"/>
              </w:rPr>
            </w:pPr>
            <w:r>
              <w:rPr>
                <w:rFonts w:hint="eastAsia"/>
                <w:color w:val="000000"/>
                <w:sz w:val="21"/>
                <w:szCs w:val="21"/>
              </w:rPr>
              <w:t>正向卡口可自动区分出车辆为深色车辆还是浅色车辆；并识别出11种常见车身颜色，11种颜色包括：</w:t>
            </w:r>
            <w:r>
              <w:rPr>
                <w:color w:val="000000"/>
                <w:sz w:val="21"/>
                <w:szCs w:val="21"/>
              </w:rPr>
              <w:t>白，</w:t>
            </w:r>
            <w:r>
              <w:rPr>
                <w:rFonts w:hint="eastAsia"/>
                <w:color w:val="000000"/>
                <w:sz w:val="21"/>
                <w:szCs w:val="21"/>
              </w:rPr>
              <w:t>银（灰）</w:t>
            </w:r>
            <w:r>
              <w:rPr>
                <w:color w:val="000000"/>
                <w:sz w:val="21"/>
                <w:szCs w:val="21"/>
              </w:rPr>
              <w:t>，</w:t>
            </w:r>
            <w:r>
              <w:rPr>
                <w:rFonts w:hint="eastAsia"/>
                <w:color w:val="000000"/>
                <w:sz w:val="21"/>
                <w:szCs w:val="21"/>
              </w:rPr>
              <w:t>青、</w:t>
            </w:r>
            <w:r>
              <w:rPr>
                <w:color w:val="000000"/>
                <w:sz w:val="21"/>
                <w:szCs w:val="21"/>
              </w:rPr>
              <w:t>黄、粉、红、绿、蓝、棕、黑</w:t>
            </w:r>
            <w:r>
              <w:rPr>
                <w:rFonts w:hint="eastAsia"/>
                <w:color w:val="000000"/>
                <w:sz w:val="21"/>
                <w:szCs w:val="21"/>
              </w:rPr>
              <w:t>、紫；</w:t>
            </w:r>
          </w:p>
        </w:tc>
      </w:tr>
      <w:tr w14:paraId="550F4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1E3439D2">
            <w:pPr>
              <w:ind w:firstLine="420"/>
              <w:rPr>
                <w:color w:val="000000"/>
                <w:sz w:val="21"/>
                <w:szCs w:val="21"/>
              </w:rPr>
            </w:pPr>
            <w:r>
              <w:rPr>
                <w:rFonts w:hint="eastAsia"/>
                <w:color w:val="000000"/>
                <w:sz w:val="21"/>
                <w:szCs w:val="21"/>
              </w:rPr>
              <w:t>车型识别</w:t>
            </w:r>
          </w:p>
        </w:tc>
        <w:tc>
          <w:tcPr>
            <w:tcW w:w="3621" w:type="pct"/>
            <w:vAlign w:val="center"/>
          </w:tcPr>
          <w:p w14:paraId="549AE350">
            <w:pPr>
              <w:ind w:firstLine="420"/>
              <w:rPr>
                <w:color w:val="000000"/>
                <w:sz w:val="21"/>
                <w:szCs w:val="21"/>
              </w:rPr>
            </w:pPr>
            <w:r>
              <w:rPr>
                <w:rFonts w:hint="eastAsia"/>
                <w:color w:val="000000"/>
                <w:sz w:val="21"/>
                <w:szCs w:val="21"/>
              </w:rPr>
              <w:t>背向电警可对1</w:t>
            </w:r>
            <w:r>
              <w:rPr>
                <w:color w:val="000000"/>
                <w:sz w:val="21"/>
                <w:szCs w:val="21"/>
              </w:rPr>
              <w:t>2</w:t>
            </w:r>
            <w:r>
              <w:rPr>
                <w:rFonts w:hint="eastAsia"/>
                <w:color w:val="000000"/>
                <w:sz w:val="21"/>
                <w:szCs w:val="21"/>
              </w:rPr>
              <w:t>种车型进行识别（SUV、MVP、轿车(包括A级及以上车型)、</w:t>
            </w:r>
            <w:r>
              <w:rPr>
                <w:color w:val="000000"/>
                <w:sz w:val="21"/>
                <w:szCs w:val="21"/>
              </w:rPr>
              <w:t>小型</w:t>
            </w:r>
            <w:r>
              <w:rPr>
                <w:rFonts w:hint="eastAsia"/>
                <w:color w:val="000000"/>
                <w:sz w:val="21"/>
                <w:szCs w:val="21"/>
              </w:rPr>
              <w:t>轿车、微型轿车、</w:t>
            </w:r>
            <w:r>
              <w:rPr>
                <w:color w:val="000000"/>
                <w:sz w:val="21"/>
                <w:szCs w:val="21"/>
              </w:rPr>
              <w:t>面包车、皮卡车、</w:t>
            </w:r>
            <w:r>
              <w:rPr>
                <w:rFonts w:hint="eastAsia"/>
                <w:color w:val="000000"/>
                <w:sz w:val="21"/>
                <w:szCs w:val="21"/>
              </w:rPr>
              <w:t>小型货车(包括微卡、轻卡及中卡)、</w:t>
            </w:r>
            <w:r>
              <w:rPr>
                <w:color w:val="000000"/>
                <w:sz w:val="21"/>
                <w:szCs w:val="21"/>
              </w:rPr>
              <w:t>大型货车、小型客车、大型客车、</w:t>
            </w:r>
            <w:r>
              <w:rPr>
                <w:rFonts w:hint="eastAsia"/>
                <w:color w:val="000000"/>
                <w:sz w:val="21"/>
                <w:szCs w:val="21"/>
              </w:rPr>
              <w:t>油罐车），识别准确率白</w:t>
            </w:r>
            <w:r>
              <w:rPr>
                <w:color w:val="000000"/>
                <w:sz w:val="21"/>
                <w:szCs w:val="21"/>
              </w:rPr>
              <w:t>天</w:t>
            </w:r>
            <w:r>
              <w:rPr>
                <w:rFonts w:hint="eastAsia"/>
                <w:color w:val="000000"/>
                <w:sz w:val="21"/>
                <w:szCs w:val="21"/>
              </w:rPr>
              <w:t>≥9</w:t>
            </w:r>
            <w:r>
              <w:rPr>
                <w:color w:val="000000"/>
                <w:sz w:val="21"/>
                <w:szCs w:val="21"/>
              </w:rPr>
              <w:t>0%</w:t>
            </w:r>
            <w:r>
              <w:rPr>
                <w:rFonts w:hint="eastAsia"/>
                <w:color w:val="000000"/>
                <w:sz w:val="21"/>
                <w:szCs w:val="21"/>
              </w:rPr>
              <w:t>、晚上≥</w:t>
            </w:r>
            <w:r>
              <w:rPr>
                <w:color w:val="000000"/>
                <w:sz w:val="21"/>
                <w:szCs w:val="21"/>
              </w:rPr>
              <w:t>88%；</w:t>
            </w:r>
          </w:p>
        </w:tc>
      </w:tr>
      <w:tr w14:paraId="3F114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46F5CB0C">
            <w:pPr>
              <w:ind w:firstLine="420"/>
              <w:rPr>
                <w:color w:val="000000"/>
                <w:sz w:val="21"/>
                <w:szCs w:val="21"/>
              </w:rPr>
            </w:pPr>
            <w:r>
              <w:rPr>
                <w:color w:val="000000"/>
                <w:sz w:val="21"/>
                <w:szCs w:val="21"/>
              </w:rPr>
              <w:t>摄像机覆盖车道数</w:t>
            </w:r>
          </w:p>
        </w:tc>
        <w:tc>
          <w:tcPr>
            <w:tcW w:w="3621" w:type="pct"/>
          </w:tcPr>
          <w:p w14:paraId="5E7B6652">
            <w:pPr>
              <w:ind w:firstLine="420"/>
              <w:rPr>
                <w:color w:val="000000"/>
                <w:sz w:val="21"/>
                <w:szCs w:val="21"/>
              </w:rPr>
            </w:pPr>
            <w:r>
              <w:rPr>
                <w:color w:val="000000"/>
                <w:sz w:val="21"/>
                <w:szCs w:val="21"/>
              </w:rPr>
              <w:t>1</w:t>
            </w:r>
            <w:r>
              <w:rPr>
                <w:rFonts w:hint="eastAsia"/>
                <w:color w:val="000000"/>
                <w:sz w:val="21"/>
                <w:szCs w:val="21"/>
              </w:rPr>
              <w:t>台</w:t>
            </w:r>
            <w:r>
              <w:rPr>
                <w:color w:val="000000"/>
                <w:sz w:val="21"/>
                <w:szCs w:val="21"/>
              </w:rPr>
              <w:t>9</w:t>
            </w:r>
            <w:r>
              <w:rPr>
                <w:rFonts w:hint="eastAsia"/>
                <w:color w:val="000000"/>
                <w:sz w:val="21"/>
                <w:szCs w:val="21"/>
              </w:rPr>
              <w:t>00万摄像机覆盖3车道；</w:t>
            </w:r>
          </w:p>
        </w:tc>
      </w:tr>
      <w:tr w14:paraId="54161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149ADD48">
            <w:pPr>
              <w:ind w:firstLine="420"/>
              <w:rPr>
                <w:color w:val="000000"/>
                <w:sz w:val="21"/>
                <w:szCs w:val="21"/>
              </w:rPr>
            </w:pPr>
            <w:r>
              <w:rPr>
                <w:color w:val="000000"/>
                <w:sz w:val="21"/>
                <w:szCs w:val="21"/>
              </w:rPr>
              <w:t>车辆信息存储容量</w:t>
            </w:r>
          </w:p>
        </w:tc>
        <w:tc>
          <w:tcPr>
            <w:tcW w:w="3621" w:type="pct"/>
          </w:tcPr>
          <w:p w14:paraId="1427C0A4">
            <w:pPr>
              <w:ind w:firstLine="420"/>
              <w:rPr>
                <w:color w:val="000000"/>
                <w:sz w:val="21"/>
                <w:szCs w:val="21"/>
              </w:rPr>
            </w:pPr>
            <w:r>
              <w:rPr>
                <w:rFonts w:hint="eastAsia"/>
                <w:color w:val="000000"/>
                <w:sz w:val="21"/>
                <w:szCs w:val="21"/>
              </w:rPr>
              <w:t>图片存储时间≥30万张；录像</w:t>
            </w:r>
            <w:r>
              <w:rPr>
                <w:color w:val="000000"/>
                <w:sz w:val="21"/>
                <w:szCs w:val="21"/>
              </w:rPr>
              <w:t>存储时间</w:t>
            </w:r>
            <w:r>
              <w:rPr>
                <w:rFonts w:hint="eastAsia"/>
                <w:color w:val="000000"/>
                <w:sz w:val="21"/>
                <w:szCs w:val="21"/>
              </w:rPr>
              <w:t>≥7天；</w:t>
            </w:r>
          </w:p>
        </w:tc>
      </w:tr>
      <w:tr w14:paraId="58B55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6D9204D0">
            <w:pPr>
              <w:ind w:firstLine="420"/>
              <w:rPr>
                <w:color w:val="000000"/>
                <w:sz w:val="21"/>
                <w:szCs w:val="21"/>
              </w:rPr>
            </w:pPr>
            <w:r>
              <w:rPr>
                <w:color w:val="000000"/>
                <w:sz w:val="21"/>
                <w:szCs w:val="21"/>
              </w:rPr>
              <w:t>补光灯寿命</w:t>
            </w:r>
          </w:p>
        </w:tc>
        <w:tc>
          <w:tcPr>
            <w:tcW w:w="3621" w:type="pct"/>
          </w:tcPr>
          <w:p w14:paraId="15CF9C8C">
            <w:pPr>
              <w:ind w:firstLine="420"/>
              <w:rPr>
                <w:color w:val="000000"/>
                <w:sz w:val="21"/>
                <w:szCs w:val="21"/>
              </w:rPr>
            </w:pPr>
            <w:r>
              <w:rPr>
                <w:rFonts w:hint="eastAsia"/>
                <w:color w:val="000000"/>
                <w:sz w:val="21"/>
                <w:szCs w:val="21"/>
              </w:rPr>
              <w:t>≥</w:t>
            </w:r>
            <w:r>
              <w:rPr>
                <w:color w:val="000000"/>
                <w:sz w:val="21"/>
                <w:szCs w:val="21"/>
              </w:rPr>
              <w:t>50000h</w:t>
            </w:r>
            <w:r>
              <w:rPr>
                <w:rFonts w:hint="eastAsia"/>
                <w:color w:val="000000"/>
                <w:sz w:val="21"/>
                <w:szCs w:val="21"/>
              </w:rPr>
              <w:t>；</w:t>
            </w:r>
          </w:p>
        </w:tc>
      </w:tr>
      <w:tr w14:paraId="15996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4034E877">
            <w:pPr>
              <w:ind w:firstLine="420"/>
              <w:rPr>
                <w:color w:val="000000"/>
                <w:sz w:val="21"/>
                <w:szCs w:val="21"/>
              </w:rPr>
            </w:pPr>
            <w:r>
              <w:rPr>
                <w:color w:val="000000"/>
                <w:sz w:val="21"/>
                <w:szCs w:val="21"/>
              </w:rPr>
              <w:t>接口</w:t>
            </w:r>
          </w:p>
        </w:tc>
        <w:tc>
          <w:tcPr>
            <w:tcW w:w="3621" w:type="pct"/>
          </w:tcPr>
          <w:p w14:paraId="48C701B6">
            <w:pPr>
              <w:ind w:firstLine="420"/>
              <w:rPr>
                <w:color w:val="000000"/>
                <w:sz w:val="21"/>
                <w:szCs w:val="21"/>
              </w:rPr>
            </w:pPr>
            <w:r>
              <w:rPr>
                <w:color w:val="000000"/>
                <w:sz w:val="21"/>
                <w:szCs w:val="21"/>
              </w:rPr>
              <w:t>RJ45</w:t>
            </w:r>
            <w:r>
              <w:rPr>
                <w:rFonts w:hint="eastAsia"/>
                <w:color w:val="000000"/>
                <w:sz w:val="21"/>
                <w:szCs w:val="21"/>
              </w:rPr>
              <w:t>，</w:t>
            </w:r>
            <w:r>
              <w:rPr>
                <w:color w:val="000000"/>
                <w:sz w:val="21"/>
                <w:szCs w:val="21"/>
              </w:rPr>
              <w:t>100Mbps</w:t>
            </w:r>
            <w:r>
              <w:rPr>
                <w:rFonts w:hint="eastAsia"/>
                <w:color w:val="000000"/>
                <w:sz w:val="21"/>
                <w:szCs w:val="21"/>
              </w:rPr>
              <w:t>以太网，</w:t>
            </w:r>
            <w:r>
              <w:rPr>
                <w:color w:val="000000"/>
                <w:sz w:val="21"/>
                <w:szCs w:val="21"/>
              </w:rPr>
              <w:t>TCP/IP</w:t>
            </w:r>
            <w:r>
              <w:rPr>
                <w:rFonts w:hint="eastAsia"/>
                <w:color w:val="000000"/>
                <w:sz w:val="21"/>
                <w:szCs w:val="21"/>
              </w:rPr>
              <w:t>协议；</w:t>
            </w:r>
          </w:p>
        </w:tc>
      </w:tr>
      <w:tr w14:paraId="60A3B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39F1907B">
            <w:pPr>
              <w:ind w:firstLine="420"/>
              <w:rPr>
                <w:color w:val="000000"/>
                <w:sz w:val="21"/>
                <w:szCs w:val="21"/>
              </w:rPr>
            </w:pPr>
            <w:r>
              <w:rPr>
                <w:color w:val="000000"/>
                <w:sz w:val="21"/>
                <w:szCs w:val="21"/>
              </w:rPr>
              <w:t>接入方式</w:t>
            </w:r>
          </w:p>
        </w:tc>
        <w:tc>
          <w:tcPr>
            <w:tcW w:w="3621" w:type="pct"/>
          </w:tcPr>
          <w:p w14:paraId="03409BC0">
            <w:pPr>
              <w:ind w:firstLine="420"/>
              <w:rPr>
                <w:color w:val="000000"/>
                <w:sz w:val="21"/>
                <w:szCs w:val="21"/>
              </w:rPr>
            </w:pPr>
            <w:r>
              <w:rPr>
                <w:rFonts w:hint="eastAsia"/>
                <w:color w:val="000000"/>
                <w:sz w:val="21"/>
                <w:szCs w:val="21"/>
              </w:rPr>
              <w:t>采用终端服务器按照既定协议接入后端平台；</w:t>
            </w:r>
          </w:p>
        </w:tc>
      </w:tr>
      <w:tr w14:paraId="49A56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03F50564">
            <w:pPr>
              <w:ind w:firstLine="420"/>
              <w:rPr>
                <w:color w:val="000000"/>
                <w:sz w:val="21"/>
                <w:szCs w:val="21"/>
              </w:rPr>
            </w:pPr>
            <w:r>
              <w:rPr>
                <w:color w:val="000000"/>
                <w:sz w:val="21"/>
                <w:szCs w:val="21"/>
              </w:rPr>
              <w:t>平均无故障连续运行时间MTBF</w:t>
            </w:r>
          </w:p>
        </w:tc>
        <w:tc>
          <w:tcPr>
            <w:tcW w:w="3621" w:type="pct"/>
            <w:vAlign w:val="center"/>
          </w:tcPr>
          <w:p w14:paraId="69DC75F0">
            <w:pPr>
              <w:ind w:firstLine="420"/>
              <w:rPr>
                <w:color w:val="000000"/>
                <w:sz w:val="21"/>
                <w:szCs w:val="21"/>
              </w:rPr>
            </w:pPr>
            <w:r>
              <w:rPr>
                <w:color w:val="000000"/>
                <w:sz w:val="21"/>
                <w:szCs w:val="21"/>
              </w:rPr>
              <w:t>≥5000h</w:t>
            </w:r>
            <w:r>
              <w:rPr>
                <w:rFonts w:hint="eastAsia"/>
                <w:color w:val="000000"/>
                <w:sz w:val="21"/>
                <w:szCs w:val="21"/>
              </w:rPr>
              <w:t>；</w:t>
            </w:r>
          </w:p>
        </w:tc>
      </w:tr>
      <w:tr w14:paraId="54D25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68DDCA78">
            <w:pPr>
              <w:ind w:firstLine="420"/>
              <w:rPr>
                <w:color w:val="000000"/>
                <w:sz w:val="21"/>
                <w:szCs w:val="21"/>
              </w:rPr>
            </w:pPr>
            <w:r>
              <w:rPr>
                <w:color w:val="000000"/>
                <w:sz w:val="21"/>
                <w:szCs w:val="21"/>
              </w:rPr>
              <w:t>供电电源</w:t>
            </w:r>
          </w:p>
        </w:tc>
        <w:tc>
          <w:tcPr>
            <w:tcW w:w="3621" w:type="pct"/>
          </w:tcPr>
          <w:p w14:paraId="1FAD423A">
            <w:pPr>
              <w:ind w:firstLine="420"/>
              <w:rPr>
                <w:color w:val="000000"/>
                <w:sz w:val="21"/>
                <w:szCs w:val="21"/>
              </w:rPr>
            </w:pPr>
            <w:r>
              <w:rPr>
                <w:color w:val="000000"/>
                <w:sz w:val="21"/>
                <w:szCs w:val="21"/>
              </w:rPr>
              <w:t>100VAC</w:t>
            </w:r>
            <w:r>
              <w:rPr>
                <w:rFonts w:hint="eastAsia"/>
                <w:color w:val="000000"/>
                <w:sz w:val="21"/>
                <w:szCs w:val="21"/>
              </w:rPr>
              <w:t>～</w:t>
            </w:r>
            <w:r>
              <w:rPr>
                <w:color w:val="000000"/>
                <w:sz w:val="21"/>
                <w:szCs w:val="21"/>
              </w:rPr>
              <w:t>240VAC</w:t>
            </w:r>
            <w:r>
              <w:rPr>
                <w:rFonts w:hint="eastAsia"/>
                <w:color w:val="000000"/>
                <w:sz w:val="21"/>
                <w:szCs w:val="21"/>
              </w:rPr>
              <w:t>，</w:t>
            </w:r>
            <w:r>
              <w:rPr>
                <w:color w:val="000000"/>
                <w:sz w:val="21"/>
                <w:szCs w:val="21"/>
              </w:rPr>
              <w:t>48Hz</w:t>
            </w:r>
            <w:r>
              <w:rPr>
                <w:rFonts w:hint="eastAsia"/>
                <w:color w:val="000000"/>
                <w:sz w:val="21"/>
                <w:szCs w:val="21"/>
              </w:rPr>
              <w:t>～</w:t>
            </w:r>
            <w:r>
              <w:rPr>
                <w:color w:val="000000"/>
                <w:sz w:val="21"/>
                <w:szCs w:val="21"/>
              </w:rPr>
              <w:t>52Hz</w:t>
            </w:r>
            <w:r>
              <w:rPr>
                <w:rFonts w:hint="eastAsia"/>
                <w:color w:val="000000"/>
                <w:sz w:val="21"/>
                <w:szCs w:val="21"/>
              </w:rPr>
              <w:t>；</w:t>
            </w:r>
          </w:p>
        </w:tc>
      </w:tr>
      <w:tr w14:paraId="75E55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252E9649">
            <w:pPr>
              <w:ind w:firstLine="420"/>
              <w:rPr>
                <w:color w:val="000000"/>
                <w:sz w:val="21"/>
                <w:szCs w:val="21"/>
              </w:rPr>
            </w:pPr>
            <w:r>
              <w:rPr>
                <w:color w:val="000000"/>
                <w:sz w:val="21"/>
                <w:szCs w:val="21"/>
              </w:rPr>
              <w:t>工作环境温度</w:t>
            </w:r>
          </w:p>
        </w:tc>
        <w:tc>
          <w:tcPr>
            <w:tcW w:w="3621" w:type="pct"/>
          </w:tcPr>
          <w:p w14:paraId="074825F8">
            <w:pPr>
              <w:ind w:firstLine="420"/>
              <w:rPr>
                <w:color w:val="000000"/>
                <w:sz w:val="21"/>
                <w:szCs w:val="21"/>
              </w:rPr>
            </w:pPr>
            <w:r>
              <w:rPr>
                <w:rFonts w:hint="eastAsia"/>
                <w:color w:val="000000"/>
                <w:sz w:val="21"/>
                <w:szCs w:val="21"/>
              </w:rPr>
              <w:t>标配：-10℃～+70℃；低温型：-30℃～+70℃；</w:t>
            </w:r>
          </w:p>
        </w:tc>
      </w:tr>
      <w:tr w14:paraId="1E97F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79" w:type="pct"/>
            <w:vAlign w:val="center"/>
          </w:tcPr>
          <w:p w14:paraId="7B656D4A">
            <w:pPr>
              <w:ind w:firstLine="420"/>
              <w:rPr>
                <w:color w:val="000000"/>
                <w:sz w:val="21"/>
                <w:szCs w:val="21"/>
              </w:rPr>
            </w:pPr>
            <w:r>
              <w:rPr>
                <w:color w:val="000000"/>
                <w:sz w:val="21"/>
                <w:szCs w:val="21"/>
              </w:rPr>
              <w:t>工作环境湿度</w:t>
            </w:r>
          </w:p>
        </w:tc>
        <w:tc>
          <w:tcPr>
            <w:tcW w:w="3621" w:type="pct"/>
          </w:tcPr>
          <w:p w14:paraId="7D1EB879">
            <w:pPr>
              <w:ind w:firstLine="420"/>
              <w:rPr>
                <w:color w:val="000000"/>
                <w:sz w:val="21"/>
                <w:szCs w:val="21"/>
              </w:rPr>
            </w:pPr>
            <w:r>
              <w:rPr>
                <w:color w:val="000000"/>
                <w:sz w:val="21"/>
                <w:szCs w:val="21"/>
              </w:rPr>
              <w:t>＜95</w:t>
            </w:r>
            <w:r>
              <w:rPr>
                <w:rFonts w:hint="eastAsia"/>
                <w:color w:val="000000"/>
                <w:sz w:val="21"/>
                <w:szCs w:val="21"/>
              </w:rPr>
              <w:t>％</w:t>
            </w:r>
            <w:r>
              <w:rPr>
                <w:color w:val="000000"/>
                <w:sz w:val="21"/>
                <w:szCs w:val="21"/>
              </w:rPr>
              <w:t>@+40</w:t>
            </w:r>
            <w:r>
              <w:rPr>
                <w:rFonts w:hint="eastAsia"/>
                <w:color w:val="000000"/>
                <w:sz w:val="21"/>
                <w:szCs w:val="21"/>
              </w:rPr>
              <w:t>℃</w:t>
            </w:r>
            <w:r>
              <w:rPr>
                <w:color w:val="000000"/>
                <w:sz w:val="21"/>
                <w:szCs w:val="21"/>
              </w:rPr>
              <w:t>，无凝结。</w:t>
            </w:r>
          </w:p>
        </w:tc>
      </w:tr>
    </w:tbl>
    <w:p w14:paraId="32AF3AB6">
      <w:pPr>
        <w:pStyle w:val="5"/>
      </w:pPr>
      <w:r>
        <w:rPr>
          <w:rFonts w:hint="eastAsia"/>
        </w:rPr>
        <w:t>硬件设备要求</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
        <w:gridCol w:w="1316"/>
        <w:gridCol w:w="4933"/>
        <w:gridCol w:w="618"/>
        <w:gridCol w:w="618"/>
        <w:gridCol w:w="417"/>
      </w:tblGrid>
      <w:tr w14:paraId="73A93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31754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序号</w:t>
            </w:r>
          </w:p>
        </w:tc>
        <w:tc>
          <w:tcPr>
            <w:tcW w:w="1316" w:type="dxa"/>
            <w:shd w:val="clear" w:color="auto" w:fill="auto"/>
            <w:noWrap/>
            <w:vAlign w:val="center"/>
          </w:tcPr>
          <w:p w14:paraId="5A6C0DBC">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名  称</w:t>
            </w:r>
          </w:p>
        </w:tc>
        <w:tc>
          <w:tcPr>
            <w:tcW w:w="4933" w:type="dxa"/>
            <w:shd w:val="clear" w:color="auto" w:fill="auto"/>
            <w:vAlign w:val="center"/>
          </w:tcPr>
          <w:p w14:paraId="7E57DE4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b/>
                <w:bCs/>
                <w:color w:val="000000"/>
                <w:kern w:val="0"/>
                <w:sz w:val="20"/>
                <w:szCs w:val="20"/>
              </w:rPr>
              <w:t>技术参数与参考品牌</w:t>
            </w:r>
          </w:p>
        </w:tc>
        <w:tc>
          <w:tcPr>
            <w:tcW w:w="0" w:type="auto"/>
            <w:shd w:val="clear" w:color="auto" w:fill="auto"/>
            <w:noWrap/>
            <w:vAlign w:val="center"/>
          </w:tcPr>
          <w:p w14:paraId="0BF83D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b/>
                <w:bCs/>
                <w:color w:val="000000"/>
                <w:kern w:val="0"/>
                <w:sz w:val="20"/>
                <w:szCs w:val="20"/>
              </w:rPr>
              <w:t>单位</w:t>
            </w:r>
          </w:p>
        </w:tc>
        <w:tc>
          <w:tcPr>
            <w:tcW w:w="0" w:type="auto"/>
            <w:shd w:val="clear" w:color="auto" w:fill="auto"/>
            <w:noWrap/>
            <w:vAlign w:val="center"/>
          </w:tcPr>
          <w:p w14:paraId="4D5F89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b/>
                <w:bCs/>
                <w:color w:val="000000"/>
                <w:kern w:val="0"/>
                <w:sz w:val="20"/>
                <w:szCs w:val="20"/>
              </w:rPr>
              <w:t>数量</w:t>
            </w:r>
          </w:p>
        </w:tc>
        <w:tc>
          <w:tcPr>
            <w:tcW w:w="0" w:type="auto"/>
            <w:shd w:val="clear" w:color="auto" w:fill="auto"/>
            <w:vAlign w:val="center"/>
          </w:tcPr>
          <w:p w14:paraId="6518636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b/>
                <w:bCs/>
                <w:kern w:val="0"/>
                <w:sz w:val="20"/>
                <w:szCs w:val="20"/>
              </w:rPr>
              <w:t>备注</w:t>
            </w:r>
          </w:p>
        </w:tc>
      </w:tr>
      <w:tr w14:paraId="3175D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661F50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2.1</w:t>
            </w:r>
          </w:p>
        </w:tc>
        <w:tc>
          <w:tcPr>
            <w:tcW w:w="1316" w:type="dxa"/>
            <w:shd w:val="clear" w:color="auto" w:fill="auto"/>
            <w:noWrap/>
            <w:vAlign w:val="center"/>
          </w:tcPr>
          <w:p w14:paraId="570317AA">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山兰大厦路口</w:t>
            </w:r>
          </w:p>
        </w:tc>
        <w:tc>
          <w:tcPr>
            <w:tcW w:w="4933" w:type="dxa"/>
            <w:shd w:val="clear" w:color="auto" w:fill="auto"/>
            <w:vAlign w:val="center"/>
          </w:tcPr>
          <w:p w14:paraId="2CAFBF1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D4258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55597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6B5EDDF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F9E4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0D7095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248EB2D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116FA0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包含高清一体化嵌入式摄像机、高清镜头、室外防护罩、相机内置全接口防雷、电源适配器等；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内置1.1＂ 900万像素图像传感器，分辨率可达4096 × 2160，视频帧率：最大50帧；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视频格式：H.264/H.265/MJPEG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支持闯红灯、不按车道行驶、变道、压线、逆行等多种车辆违法检测</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车辆检测方式：雷达、线圈、视频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输出图片格式JPEG；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7.照片OSD：支持多种内容叠加，可设置叠加位置和顺序、字体大小、字体颜色等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8.支持识别车辆车标，种类≥430种，识别准确率≥99%</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支持车辆子品牌识别并显示相应的年款，车头≥7200种，车尾≥3900种</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10.设备护罩支持侧开方式；支持辅助对焦功能调试</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具备≥4个RS-485接口, ≥1个RS-232接口, ≥2个RJ45 10M/100M/1000M自适应以太网口；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支持正确识别污损车牌，支持正确识别污损车牌车辆违法，当有车辆违法行为产生时，相机可正确判罚其违法行为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13.前端存储：32GB； 防护等级≥IP66；电源：AC200V±25%</w:t>
            </w:r>
          </w:p>
        </w:tc>
        <w:tc>
          <w:tcPr>
            <w:tcW w:w="0" w:type="auto"/>
            <w:shd w:val="clear" w:color="auto" w:fill="auto"/>
            <w:noWrap/>
            <w:vAlign w:val="center"/>
          </w:tcPr>
          <w:p w14:paraId="026274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619BC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FF470F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0466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5F686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0DA44CC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73225E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光源类型：原装大功率暖光LED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LED灯珠数量≥16颗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发光角度≥10°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最佳补光距离≥16米-25米</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触发方式：支持电平量触发和开关量触发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响应时间：≤370μs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触发信号电平：4V-6V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防护等级：IP67</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功率：平均功率≤30W</w:t>
            </w:r>
          </w:p>
        </w:tc>
        <w:tc>
          <w:tcPr>
            <w:tcW w:w="0" w:type="auto"/>
            <w:shd w:val="clear" w:color="auto" w:fill="auto"/>
            <w:noWrap/>
            <w:vAlign w:val="center"/>
          </w:tcPr>
          <w:p w14:paraId="08832C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B3BE5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6F9E8AF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204B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7032D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6FFB9A3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2258FAF1">
            <w:pPr>
              <w:widowControl/>
              <w:spacing w:line="240" w:lineRule="auto"/>
              <w:ind w:firstLine="0" w:firstLineChars="0"/>
              <w:jc w:val="left"/>
            </w:pPr>
            <w:r>
              <w:rPr>
                <w:rFonts w:hint="eastAsia" w:ascii="宋体" w:hAnsi="宋体" w:eastAsia="宋体" w:cs="宋体"/>
                <w:color w:val="000000"/>
                <w:kern w:val="0"/>
                <w:sz w:val="20"/>
                <w:szCs w:val="20"/>
              </w:rPr>
              <w:t>1. 包含高清一体化嵌入式摄像机、高清镜头、室外防护罩、相机内置全接口防雷、电源适配器等；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内置1.1＂ 900万像素图像传感器，分辨率可达4096 × 2160，视频帧率：最大50帧；镜头：50mm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视频格式：H.264/H.265/MJPEG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支持压线、超速、逆行、专用车道、不系安全带、开车打电话等多种车辆违法检测</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车辆检测方式：雷达、线圈、视频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输出图片格式JPEG；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7.支持车牌、车身颜色、车型、车标、车款、危险品车、遮阳板、挂饰、年检标签等车辆特征识别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8.支持识别车辆车标，种类≥430种，识别准确率≥99%</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支持车辆子品牌识别并显示相应的年款，车头≥7200种，车尾≥3900种</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具备≥4个RS-485接口, ≥1个RS-232接口, ≥2个RJ45 10M/100M/1000M自适应以太网口；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支持正确识别污损车牌，支持正确识别污损车牌车辆违法，当有车辆违法行为产生时，相机可正确判罚其违法行为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前端存储：32GB；防护等级≥IP66；电源：AC200V±25%</w:t>
            </w:r>
          </w:p>
        </w:tc>
        <w:tc>
          <w:tcPr>
            <w:tcW w:w="0" w:type="auto"/>
            <w:shd w:val="clear" w:color="auto" w:fill="auto"/>
            <w:noWrap/>
            <w:vAlign w:val="center"/>
          </w:tcPr>
          <w:p w14:paraId="4A9FAE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B0440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AE8049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2379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A9D8C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392827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546FB4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光源类型：LED暖光频闪；LED暖光爆闪；气体白光爆闪；</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采用≥24颗大功率暖光LED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频闪灯发光角度10°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频闪和爆闪亮度可调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5.寿命高达1000万次以上</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6. 亮度不随供电电压的波动而变化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7.满足频闪一级补光，脉冲二级补光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补光距离：LED灯16~29米；气体灯18~32米</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电源：200VAC±10%；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防护等级：IP66</w:t>
            </w:r>
          </w:p>
        </w:tc>
        <w:tc>
          <w:tcPr>
            <w:tcW w:w="0" w:type="auto"/>
            <w:shd w:val="clear" w:color="auto" w:fill="auto"/>
            <w:noWrap/>
            <w:vAlign w:val="center"/>
          </w:tcPr>
          <w:p w14:paraId="5C735A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06640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2A008D4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99BC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A4340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60FBEFF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3C326D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16路信号灯交流信号输入接口；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1个RS485输出接口；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1路100M网口输出；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16路交通灯状态指示；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支持故障自检，异常信息上报等故障管理措施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工作温度：温度-30℃~70℃；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电源：DC12V ±10%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稳定可靠，7*24小时不间断工作</w:t>
            </w:r>
          </w:p>
        </w:tc>
        <w:tc>
          <w:tcPr>
            <w:tcW w:w="0" w:type="auto"/>
            <w:shd w:val="clear" w:color="auto" w:fill="auto"/>
            <w:noWrap/>
            <w:vAlign w:val="center"/>
          </w:tcPr>
          <w:p w14:paraId="7592BD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971184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C404B7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7A67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8E475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4F7A511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22857516">
            <w:pPr>
              <w:widowControl/>
              <w:spacing w:line="240" w:lineRule="auto"/>
              <w:ind w:firstLine="0" w:firstLineChars="0"/>
              <w:jc w:val="left"/>
            </w:pPr>
            <w:r>
              <w:rPr>
                <w:rFonts w:hint="eastAsia" w:ascii="宋体" w:hAnsi="宋体" w:eastAsia="宋体" w:cs="宋体"/>
                <w:color w:val="000000"/>
                <w:kern w:val="0"/>
                <w:sz w:val="20"/>
                <w:szCs w:val="20"/>
              </w:rPr>
              <w:t>1. 支持≥12路H.265、H.264编码混合自适应接入；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具有完善的视频处理功能，支持解码H.265、H.264等主流图像压缩格式</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支持在图片上叠加车牌、车道、时间、地点等字符信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支持对多张图片进行合成</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支持iSCSI块直存录像，支持秒级检索，秒级回放</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支持图片的存储、检索、查看、导出、上传等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支持通过串口获取数据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支持硬盘S.M.A.R.T.属性检测</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具有双网卡，支持物理双网络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支持≥20个千兆以太网电接口，≥2个千兆光口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具备≥4个SATA接口，标配8T存储硬盘；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12.支持IP地址过滤功能，可手动配置黑白名单；支持802.1x认证、ARP防攻击 、视频水印等安全防护功能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运行功耗：&lt;110W(硬盘满配，启动加热模块)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工作温度-30～70℃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74E99A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0D4E0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6098E5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348C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65E0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6A5E92E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49378130">
            <w:pPr>
              <w:widowControl/>
              <w:spacing w:line="240" w:lineRule="auto"/>
              <w:ind w:firstLine="0" w:firstLineChars="0"/>
              <w:jc w:val="left"/>
            </w:pPr>
            <w:r>
              <w:rPr>
                <w:rFonts w:hint="eastAsia" w:ascii="宋体" w:hAnsi="宋体" w:eastAsia="宋体" w:cs="宋体"/>
                <w:color w:val="000000"/>
                <w:kern w:val="0"/>
                <w:sz w:val="20"/>
                <w:szCs w:val="20"/>
              </w:rPr>
              <w:t>1. 支持违法检测：违法停车、压线、逆行、越线、倒车、掉头、异地车牌、占用专用车道</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≥400万像素，最高分辨率≥2688*1520，内置镜头，支持不小于40倍光学变倍，镜头最大焦距不小于228mm，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3.具备不小于1/1.8靶面尺寸，支持红外补光 ≥250m；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支持机动车属性识别：号牌识别、号牌颜色识别、车身颜色识别、车型识别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5.支持轻电警信息发布，支持文字、语音发布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6.支持多场景巡航检测、多种证据链形式、重复号牌过滤、违法手动抓拍等实用功能，满足不同需求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支持陀螺仪防抖，有效降低画面抖动，使图像稳定清晰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8.支持重复号牌过滤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视频编码格式：H.265;H.264;MJPEG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10.在WEB客户端下，具有开启、关闭除热浪设置选项</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支持光学宽动态120dB、强光抑制、光学透雾</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13.支持SFP光口+千兆电口，支持光电串接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支持≥1路音频输入和≥1路音频输出；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内置≥7路报警输入和≥2路报警输出，支持报警联动功能；</w:t>
            </w:r>
            <w:r>
              <w:rPr>
                <w:rFonts w:hint="eastAsia" w:ascii="宋体" w:hAnsi="宋体" w:eastAsia="宋体" w:cs="宋体"/>
                <w:color w:val="000000"/>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7163E8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0D2BD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646557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E92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97315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0F1CAA0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59B441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733D41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FFAC0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AEAE89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1B05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B5047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61DA060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0425CF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399CDB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51AB9A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1E3228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8E5D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533AC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5A7F217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5A3308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72E29A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A4037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F43036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F44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5B774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19ED66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438BD0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65BF4F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7646C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55B0C5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09F7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659B6B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6AC49D9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13DEB2C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617C44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75100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18E715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8D1D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FF096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1BDC60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7069B96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22FBB5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D6F22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2214F39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D20F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44541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2FE399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49865D0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42ABFF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B77C9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2393188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2F0D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BBEE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6BA992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63593C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717BCC4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55924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30D5537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3195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B8371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2CAA87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2514874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1F96C2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5BDFC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2EA6766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3C71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D47D8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0848E8B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7013610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327E59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43B9A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1BB7586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7F65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800B9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7ECB15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4933" w:type="dxa"/>
            <w:shd w:val="clear" w:color="auto" w:fill="auto"/>
            <w:vAlign w:val="center"/>
          </w:tcPr>
          <w:p w14:paraId="4FFC53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1E17A3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BEA46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24381E7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4EBA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045D8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7292C0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4933" w:type="dxa"/>
            <w:shd w:val="clear" w:color="auto" w:fill="auto"/>
            <w:vAlign w:val="center"/>
          </w:tcPr>
          <w:p w14:paraId="02FAFE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720109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CD462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2892DB1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6DD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EF2DE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4655102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48596D5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29C3FC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EAAF0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4CEA6A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5801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8012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224943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6FB6D5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54317C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994AF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00D339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0A63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E396D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2C361D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33183DA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440125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AF73C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76C4BD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6873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46B68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27A3D8BC">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w:t>
            </w:r>
          </w:p>
        </w:tc>
        <w:tc>
          <w:tcPr>
            <w:tcW w:w="4933" w:type="dxa"/>
            <w:shd w:val="clear" w:color="auto" w:fill="auto"/>
            <w:vAlign w:val="center"/>
          </w:tcPr>
          <w:p w14:paraId="53BE647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A2124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7488D1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63EA172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F35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CD8C90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2.2</w:t>
            </w:r>
          </w:p>
        </w:tc>
        <w:tc>
          <w:tcPr>
            <w:tcW w:w="1316" w:type="dxa"/>
            <w:shd w:val="clear" w:color="auto" w:fill="auto"/>
            <w:noWrap/>
            <w:vAlign w:val="center"/>
          </w:tcPr>
          <w:p w14:paraId="13A4E730">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零公里路口</w:t>
            </w:r>
          </w:p>
        </w:tc>
        <w:tc>
          <w:tcPr>
            <w:tcW w:w="4933" w:type="dxa"/>
            <w:shd w:val="clear" w:color="auto" w:fill="auto"/>
            <w:vAlign w:val="center"/>
          </w:tcPr>
          <w:p w14:paraId="3845E7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CCF8C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715ED9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0B907C0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71A8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16988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58A9904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7C10A6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包含高清一体化嵌入式摄像机、高清镜头、室外防护罩、相机内置全接口防雷、电源适配器等；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内置1.1＂ 900万像素图像传感器，分辨率可达4096 × 2160，视频帧率：最大50帧；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视频格式：H.264/H.265/MJPEG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支持闯红灯、不按车道行驶、变道、压线、逆行等多种车辆违法检测</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车辆检测方式：雷达、线圈、视频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输出图片格式JPEG；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7.照片OSD：支持多种内容叠加，可设置叠加位置和顺序、字体大小、字体颜色等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8.支持识别车辆车标，种类≥430种，识别准确率≥99%</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支持车辆子品牌识别并显示相应的年款，车头≥7200种，车尾≥3900种</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10.设备护罩支持侧开方式；支持辅助对焦功能调试</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具备≥4个RS-485接口, ≥1个RS-232接口, ≥2个RJ45 10M/100M/1000M自适应以太网口；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支持正确识别污损车牌，支持正确识别污损车牌车辆违法，当有车辆违法行为产生时，相机可正确判罚其违法行为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13.前端存储：32GB； 防护等级≥IP66；电源：AC200V±25%</w:t>
            </w:r>
          </w:p>
        </w:tc>
        <w:tc>
          <w:tcPr>
            <w:tcW w:w="0" w:type="auto"/>
            <w:shd w:val="clear" w:color="auto" w:fill="auto"/>
            <w:noWrap/>
            <w:vAlign w:val="center"/>
          </w:tcPr>
          <w:p w14:paraId="25D3F4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F671A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13771E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5AC9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F455F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2373DAC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2E9D76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光源类型：原装大功率暖光LED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LED灯珠数量≥16颗</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发光角度≥10°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最佳补光距离≥16米-25米</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触发方式：支持电平量触发和开关量触发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响应时间：≤370</w:t>
            </w:r>
            <w:r>
              <w:rPr>
                <w:rFonts w:ascii="Calibri" w:hAnsi="Calibri" w:eastAsia="宋体" w:cs="Calibri"/>
                <w:color w:val="000000"/>
                <w:kern w:val="0"/>
                <w:sz w:val="20"/>
                <w:szCs w:val="20"/>
              </w:rPr>
              <w:t>μ</w:t>
            </w:r>
            <w:r>
              <w:rPr>
                <w:rFonts w:hint="eastAsia" w:ascii="宋体" w:hAnsi="宋体" w:eastAsia="宋体" w:cs="宋体"/>
                <w:color w:val="000000"/>
                <w:kern w:val="0"/>
                <w:sz w:val="20"/>
                <w:szCs w:val="20"/>
              </w:rPr>
              <w:t>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触发信号电平：4V-6V</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防护等级：IP67</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功率：平均功率≤30W</w:t>
            </w:r>
          </w:p>
        </w:tc>
        <w:tc>
          <w:tcPr>
            <w:tcW w:w="0" w:type="auto"/>
            <w:shd w:val="clear" w:color="auto" w:fill="auto"/>
            <w:noWrap/>
            <w:vAlign w:val="center"/>
          </w:tcPr>
          <w:p w14:paraId="69C809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A2AE9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0" w:type="auto"/>
            <w:shd w:val="clear" w:color="auto" w:fill="auto"/>
            <w:vAlign w:val="center"/>
          </w:tcPr>
          <w:p w14:paraId="5EEC98B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1DF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888C4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71DD95C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5CC8CF69">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包含高清一体化嵌入式摄像机、高清镜头、室外防护罩、相机内置全接口防雷、电源适配器等；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内置1.1＂ 900万像素图像传感器，分辨率可达4096 × 2160，视频帧率：最大50帧；镜头：50mm</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视频格式：H.264/H.265/MJPEG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支持压线、超速、逆行、专用车道、不系安全带、开车打电话等多种车辆违法检测</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车辆检测方式：雷达、线圈、视频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输出图片格式JPEG；</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7.支持车牌、车身颜色、车型、车标、车款、危险品车、遮阳板、挂饰、年检标签等车辆特征识别</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8.支持识别车辆车标，种类≥430种，识别准确率≥99%</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支持车辆子品牌识别并显示相应的年款，车头≥7200种，车尾≥3900种</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具备≥4个RS-485接口, ≥1个RS-232接口, ≥2个RJ45 10M/100M/1000M自适应以太网口；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支持正确识别污损车牌，支持正确识别污损车牌车辆违法，当有车辆违法行为产生时，相机可正确判罚其违法行为</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前端存储：32GB；防护等级≥IP66；电源：AC200V±25%</w:t>
            </w:r>
          </w:p>
        </w:tc>
        <w:tc>
          <w:tcPr>
            <w:tcW w:w="0" w:type="auto"/>
            <w:shd w:val="clear" w:color="auto" w:fill="auto"/>
            <w:noWrap/>
            <w:vAlign w:val="center"/>
          </w:tcPr>
          <w:p w14:paraId="1EC9C5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DA643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24666B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F386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7DF416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5ADC4B8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504A6E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光源类型：LED暖光频闪；LED暖光爆闪；气体白光爆闪；</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采用≥24颗大功率暖光LED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频闪灯发光角度10°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频闪和爆闪亮度可调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5.寿命高达1000万次以上</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6. 亮度不随供电电压的波动而变化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7.满足频闪一级补光，脉冲二级补光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补光距离：LED灯16~29米；气体灯18~32米</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电源：200VAC±10%；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防护等级：IP66</w:t>
            </w:r>
          </w:p>
        </w:tc>
        <w:tc>
          <w:tcPr>
            <w:tcW w:w="0" w:type="auto"/>
            <w:shd w:val="clear" w:color="auto" w:fill="auto"/>
            <w:noWrap/>
            <w:vAlign w:val="center"/>
          </w:tcPr>
          <w:p w14:paraId="5285E8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63458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0" w:type="auto"/>
            <w:shd w:val="clear" w:color="auto" w:fill="auto"/>
            <w:vAlign w:val="center"/>
          </w:tcPr>
          <w:p w14:paraId="6C68E57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3E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175FF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26DCF39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0578FC57">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0D753B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577C3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F924A6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AEAE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6B4D7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12AF21E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63B464DF">
            <w:pPr>
              <w:widowControl/>
              <w:spacing w:line="240" w:lineRule="auto"/>
              <w:ind w:firstLine="0" w:firstLineChars="0"/>
              <w:jc w:val="left"/>
              <w:rPr>
                <w:rFonts w:hint="eastAsia"/>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1A8EA3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D25C2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A571C7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FD6D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1CA6B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4D8F954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185F329F">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1725B6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CC81A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5D603B7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AAC4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F78B1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5434726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7B160CB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17F2E2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BDDE7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5E76F7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AD82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D6F0F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08BCB5A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4A90E3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3365B2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5F7E49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21FD91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BC46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12505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344A9BC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2D4795C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2E4A0E1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A0B92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416DA5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BCA9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9A476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2565036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2F40236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4A9B7E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A56FB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D25521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A2E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539B3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0197CDC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37BCFD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684919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771FD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5984E41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7568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63E8DA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18CBF10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62EA01A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464DCC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1AE98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1D6002C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5493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CD381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790F63F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5E7A61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1808DC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707F6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1AD7D66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70CE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5DD82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5DD557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5C94F4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5965C4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02931B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544E332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5C25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64A12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02B098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4BE3418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685582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38EA4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6551FF7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9793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C79DB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49DB14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74BEF3C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5C9A38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37B93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4CB2266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CE48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936AB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716ED7E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445D77D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50CBFC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3CA5827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A37773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0D55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5EB95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39E37F0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678C6E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1180D1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15E686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7F22DD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9BFC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304FF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41BD9C5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22238FC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494FC9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4F0C3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9973B0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5F95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DA1BF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21307B2B">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小计2</w:t>
            </w:r>
          </w:p>
        </w:tc>
        <w:tc>
          <w:tcPr>
            <w:tcW w:w="4933" w:type="dxa"/>
            <w:shd w:val="clear" w:color="auto" w:fill="auto"/>
            <w:vAlign w:val="center"/>
          </w:tcPr>
          <w:p w14:paraId="5BF1D53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78DB2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211BD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53FB97B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C2A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8A56C4D">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2.3</w:t>
            </w:r>
          </w:p>
        </w:tc>
        <w:tc>
          <w:tcPr>
            <w:tcW w:w="1316" w:type="dxa"/>
            <w:shd w:val="clear" w:color="auto" w:fill="auto"/>
            <w:noWrap/>
            <w:vAlign w:val="center"/>
          </w:tcPr>
          <w:p w14:paraId="7D38B730">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国兴大道-兴教路路口</w:t>
            </w:r>
          </w:p>
        </w:tc>
        <w:tc>
          <w:tcPr>
            <w:tcW w:w="4933" w:type="dxa"/>
            <w:shd w:val="clear" w:color="auto" w:fill="auto"/>
            <w:vAlign w:val="center"/>
          </w:tcPr>
          <w:p w14:paraId="03D897F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74A85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70DDE3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F97CDE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0CB4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7794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19895B9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458C0002">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26E9172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72934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063D41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B086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28FFC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18D9F0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7BDE736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1FFE77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032F3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0" w:type="auto"/>
            <w:shd w:val="clear" w:color="auto" w:fill="auto"/>
            <w:vAlign w:val="center"/>
          </w:tcPr>
          <w:p w14:paraId="710795B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1CA2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D3243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2C6631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677A3C87">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577100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52A39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1B9038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8263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31A9F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6F5FBE9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471EE272">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06E20F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97B49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0" w:type="auto"/>
            <w:shd w:val="clear" w:color="auto" w:fill="auto"/>
            <w:vAlign w:val="center"/>
          </w:tcPr>
          <w:p w14:paraId="3DFDAEC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2995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FECC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55FABC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0F15D553">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53A589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092FE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1075D7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BFE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EC95F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4E6005D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54CDBA83">
            <w:pPr>
              <w:widowControl/>
              <w:spacing w:line="240" w:lineRule="auto"/>
              <w:ind w:firstLine="0" w:firstLineChars="0"/>
              <w:jc w:val="left"/>
              <w:rPr>
                <w:rFonts w:hint="eastAsia"/>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73791B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8216E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9FA84A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EFE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03383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3352BCC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082148E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7FF6B6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6C85F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301ACB8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15EF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DA08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1D8B6E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092575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7D29D0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4829E8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FF83D9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09C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29226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7BE77BE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7A887F2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618273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499A7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B9EA7E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3EAB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20259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5F2E34E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0AAFFDF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1CAE15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D6AF3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1C028D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CFD1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F5828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241108A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3C8576D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672CC1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B1618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2B692D5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A09C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40B77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17031EB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6DBD8D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1BF1C9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5C238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E583C2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D202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4FC62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416842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57BE6B3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3F232A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31949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690698C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96AA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6B19D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36E42A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6A419A6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71CDFF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6C9B2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05794C2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9C7A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B80B9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045C95B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6EE79E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46AD61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48503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c>
          <w:tcPr>
            <w:tcW w:w="0" w:type="auto"/>
            <w:shd w:val="clear" w:color="auto" w:fill="auto"/>
            <w:vAlign w:val="center"/>
          </w:tcPr>
          <w:p w14:paraId="3892FB8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5FB3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9CE7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2A5F76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2B46BCE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53C8AD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4AB3B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01B91F8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2077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114C8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154C6E2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302A7B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68C53F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217D1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0D4B04E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2E65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3EC46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5A6AA3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481813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5EAD21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32E7FF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2FCAF8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7BA5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A2FC0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34E9C20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4933" w:type="dxa"/>
            <w:shd w:val="clear" w:color="auto" w:fill="auto"/>
            <w:vAlign w:val="center"/>
          </w:tcPr>
          <w:p w14:paraId="06C611F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77ABEE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19F3E4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A77F9E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4E43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19F0E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6DFEC1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615E53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AB286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DE1FF1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7A7368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2D04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2E74C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0E770BE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4933" w:type="dxa"/>
            <w:shd w:val="clear" w:color="auto" w:fill="auto"/>
            <w:vAlign w:val="center"/>
          </w:tcPr>
          <w:p w14:paraId="08108DB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7E185A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75797B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E2EC1D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C7AB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A4D53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137C157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4933" w:type="dxa"/>
            <w:shd w:val="clear" w:color="auto" w:fill="auto"/>
            <w:vAlign w:val="center"/>
          </w:tcPr>
          <w:p w14:paraId="1A50AB0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23BE37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5358DC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7B0961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B14B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A92558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316" w:type="dxa"/>
            <w:shd w:val="clear" w:color="auto" w:fill="auto"/>
            <w:noWrap/>
            <w:vAlign w:val="center"/>
          </w:tcPr>
          <w:p w14:paraId="4AE80E4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4933" w:type="dxa"/>
            <w:shd w:val="clear" w:color="auto" w:fill="auto"/>
            <w:vAlign w:val="center"/>
          </w:tcPr>
          <w:p w14:paraId="4379C6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接地电阻一般要求≤10欧姆</w:t>
            </w:r>
          </w:p>
        </w:tc>
        <w:tc>
          <w:tcPr>
            <w:tcW w:w="0" w:type="auto"/>
            <w:shd w:val="clear" w:color="auto" w:fill="auto"/>
            <w:noWrap/>
            <w:vAlign w:val="center"/>
          </w:tcPr>
          <w:p w14:paraId="31C54D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7941BB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71B3D8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DB2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48E09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316" w:type="dxa"/>
            <w:shd w:val="clear" w:color="auto" w:fill="auto"/>
            <w:noWrap/>
            <w:vAlign w:val="center"/>
          </w:tcPr>
          <w:p w14:paraId="781CCE6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0426457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4B42D0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D4961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02A9C1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EEE8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BCA7C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4211A6A5">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小计3</w:t>
            </w:r>
          </w:p>
        </w:tc>
        <w:tc>
          <w:tcPr>
            <w:tcW w:w="4933" w:type="dxa"/>
            <w:shd w:val="clear" w:color="auto" w:fill="auto"/>
            <w:vAlign w:val="center"/>
          </w:tcPr>
          <w:p w14:paraId="3A32DDE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C770E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0E62F8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2570440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8DA9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09A4AD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2.4</w:t>
            </w:r>
          </w:p>
        </w:tc>
        <w:tc>
          <w:tcPr>
            <w:tcW w:w="1316" w:type="dxa"/>
            <w:shd w:val="clear" w:color="auto" w:fill="auto"/>
            <w:noWrap/>
            <w:vAlign w:val="center"/>
          </w:tcPr>
          <w:p w14:paraId="3A34D5B8">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国兴大道-龙溪路路口</w:t>
            </w:r>
          </w:p>
        </w:tc>
        <w:tc>
          <w:tcPr>
            <w:tcW w:w="4933" w:type="dxa"/>
            <w:shd w:val="clear" w:color="auto" w:fill="auto"/>
            <w:vAlign w:val="center"/>
          </w:tcPr>
          <w:p w14:paraId="17F7CA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824B5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34114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2283E45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1EB7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593AB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7D344F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5AD870F3">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3C71FE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C3BA2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80BA5F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4102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163E4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303F586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092F75B6">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7CC378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1E40F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4CC136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9D91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BBDE3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2ECFF3D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7ACA417D">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3C3F56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4D595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8C2879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781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97E67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5146FE4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2B94F654">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0CBAD1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61264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6644EE5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1449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3D726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6FDEC32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4FF2E44D">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342D2C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4028C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2B051F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7B4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00443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7E97FB5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2792B172">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41AE1E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FDDCE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6E62F6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E651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2A0FD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05330A0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1214D4F6">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443AA5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8DCB8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B614A1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FDF3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749F2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2AF69F9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52552A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283E69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7D5272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051741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F016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0492E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52815DE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47FBD69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2363FB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DB080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9460A2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FA61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D933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319136E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2AF455B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7A8A56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82D1AD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0942D9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DFEA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98880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00A6FDB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215F028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54F1F5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166F4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FDC358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F28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D46859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6580E7A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1D44933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6ACF93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850A6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00A29C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3E42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2BDD3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377632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4C71026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267714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15555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1B57019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8D1A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32F09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0E797BC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658D4F6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792C67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77C49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04EB7AC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C56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DF786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1BFBE3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294275E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75B266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802DF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2FE84C5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17C4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8B928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1242BB5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251AB88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0D26C3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33738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2B081E3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0AA0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90B05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46E2FB5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0CD08E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37EBF5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23021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16E9568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D79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700F5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2ADE0C5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238B862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3AA629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13A29B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26A15E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8A9B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C9818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2200F9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1A639B9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A5500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9F445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CFD9E2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310F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206C2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485366E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429F74C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7A4EB2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822E7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700C1A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294A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A85D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6218552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小计4</w:t>
            </w:r>
          </w:p>
        </w:tc>
        <w:tc>
          <w:tcPr>
            <w:tcW w:w="4933" w:type="dxa"/>
            <w:shd w:val="clear" w:color="auto" w:fill="auto"/>
            <w:vAlign w:val="center"/>
          </w:tcPr>
          <w:p w14:paraId="5A8704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08D57A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00CD32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4D10AB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CC6F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C696DC9">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2.5</w:t>
            </w:r>
          </w:p>
        </w:tc>
        <w:tc>
          <w:tcPr>
            <w:tcW w:w="1316" w:type="dxa"/>
            <w:shd w:val="clear" w:color="auto" w:fill="auto"/>
            <w:noWrap/>
            <w:vAlign w:val="center"/>
          </w:tcPr>
          <w:p w14:paraId="23A5A6C4">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国兴大道与三月三大道路口</w:t>
            </w:r>
          </w:p>
        </w:tc>
        <w:tc>
          <w:tcPr>
            <w:tcW w:w="4933" w:type="dxa"/>
            <w:shd w:val="clear" w:color="auto" w:fill="auto"/>
            <w:vAlign w:val="center"/>
          </w:tcPr>
          <w:p w14:paraId="24FB72A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D6AA5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F6931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936F7A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4DA1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916EB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4F4DB1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7293F5A0">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3142DD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D46EA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9560A6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8777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EBFFC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76586F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39BCCD5E">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1B1F51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B962B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44D3B29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7E00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9ABA96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798DD0D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5091C9CE">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03F7CD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4A14B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6BC7BA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B04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9843F8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018506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6769EA8E">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655830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35672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4ABC9BC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581E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67866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13F6793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71950B05">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7DD4A9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266BA8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DC7CFF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EC72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3142F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78753C8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44A135CE">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779A03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A81E2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A4B1DE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29AF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238E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5713DB9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2FDC73F2">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3758CB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4951C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29A402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86EE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DCEBB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0F0DEA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23F15A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7D323D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B703B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D5F348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F4BD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2C4F9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59A4254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0937BC3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3A3D42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5B3300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B91468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FA0C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BFDB3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4ECD0C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2B76566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75DCEF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7E966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F5D76B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6FBC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574BC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4A7FC12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22211F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6BC900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912A74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794EAA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A727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EFFD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38EB68A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3A1B505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44E633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E4760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4EEDBC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F83E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44931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7709295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3582F51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7C009C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E6FFA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79FB79F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F851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34973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73E9A0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64AFF7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4DA7DC2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BB52B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7E6D3B3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BAC9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05293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2AE1E9F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37D9987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31BA46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240A3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337D5ED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B141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6F42E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70B92F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0B5500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570BF4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0B5E8D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388BED1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6260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C0856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66E596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10DC19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66C66D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56F9AA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4319217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31E9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B0E2D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19E2A89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4933" w:type="dxa"/>
            <w:shd w:val="clear" w:color="auto" w:fill="auto"/>
            <w:vAlign w:val="center"/>
          </w:tcPr>
          <w:p w14:paraId="276A2EC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2F9149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3B14F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0" w:type="auto"/>
            <w:shd w:val="clear" w:color="auto" w:fill="auto"/>
            <w:vAlign w:val="center"/>
          </w:tcPr>
          <w:p w14:paraId="5A88F4A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DCDA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8B3B4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010E19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4933" w:type="dxa"/>
            <w:shd w:val="clear" w:color="auto" w:fill="auto"/>
            <w:vAlign w:val="center"/>
          </w:tcPr>
          <w:p w14:paraId="14E2188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40D2B7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6EE4D5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3A8C921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795A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65A391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1E4DD26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2A8D43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086D45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631E07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39A756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B19D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306F0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5C41A96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5E0DF77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58DC73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1C439C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D26230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712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CEE6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047E4F9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7CC03B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75C51E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63F05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2E31A3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F5FB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8679FB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3A685C4C">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小计5</w:t>
            </w:r>
          </w:p>
        </w:tc>
        <w:tc>
          <w:tcPr>
            <w:tcW w:w="4933" w:type="dxa"/>
            <w:shd w:val="clear" w:color="auto" w:fill="auto"/>
            <w:vAlign w:val="center"/>
          </w:tcPr>
          <w:p w14:paraId="50A9977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52491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6EE396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22298F0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49A6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39DD3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2.6</w:t>
            </w:r>
          </w:p>
        </w:tc>
        <w:tc>
          <w:tcPr>
            <w:tcW w:w="1316" w:type="dxa"/>
            <w:shd w:val="clear" w:color="auto" w:fill="auto"/>
            <w:noWrap/>
            <w:vAlign w:val="center"/>
          </w:tcPr>
          <w:p w14:paraId="51E73E79">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三月三大道与玉锦大道路口</w:t>
            </w:r>
          </w:p>
        </w:tc>
        <w:tc>
          <w:tcPr>
            <w:tcW w:w="4933" w:type="dxa"/>
            <w:shd w:val="clear" w:color="auto" w:fill="auto"/>
            <w:vAlign w:val="center"/>
          </w:tcPr>
          <w:p w14:paraId="2F547F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79CC5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44F2D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1430863C">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1BE8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B875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669034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454E142C">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5F68A7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CE68A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0BF56F6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3EB9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5AD9B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504229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1544015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6CF470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88BB4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57EF570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078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02649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67DB86F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6BD52CDC">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6C26D5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8CD16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FBE13B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9FA5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D8E3C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14BDDE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52FAAC0C">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75A720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795B3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6A3CCFB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84A8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53442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50F7DC2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4FC5B981">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6F6A74E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214E4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94E9F8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2C39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F61A8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7084437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1D1DCE21">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1B7998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2EEE2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51A733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06AB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5C383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68A12AD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09F67EC3">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5069B8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2E4B3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8A6C1E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23A5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99A8C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28FABF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3695A0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252A37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FAE00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3529DE1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4991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4667D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5AEAE0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7FC42DC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241E10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30766D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DDF8FB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C153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6D93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19B4A8D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42BD815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7B16D2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584029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13151A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450F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4CF07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456EC3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454CAB9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295F2B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30DF1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7A00307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864F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21E07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35069B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597DAA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451342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EE750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5CDEF6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9B72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59D6D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338794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7361455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75AED7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F90234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1727B77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1B12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C2F8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1FCC8DE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056C8F5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30C3CD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2BC13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787D805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942A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41747B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0C26247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2E52184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1E794C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E6C80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c>
          <w:tcPr>
            <w:tcW w:w="0" w:type="auto"/>
            <w:shd w:val="clear" w:color="auto" w:fill="auto"/>
            <w:vAlign w:val="center"/>
          </w:tcPr>
          <w:p w14:paraId="2816AEF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2FA5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D2194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6C3F3E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5140E91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4239E4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2112B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277A898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998E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8580D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64FE2BC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05E310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730254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B61FC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1D63D2C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4298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9B93D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72872A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468169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6DBD8AF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1B892B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431C39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80C5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CCA8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2E5B5D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02292F9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0113E3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72F9C4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200140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D989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C30B3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3352CC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0A869E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6988B9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D38DF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C1E330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5330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306C5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75D400F6">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小计6</w:t>
            </w:r>
          </w:p>
        </w:tc>
        <w:tc>
          <w:tcPr>
            <w:tcW w:w="4933" w:type="dxa"/>
            <w:shd w:val="clear" w:color="auto" w:fill="auto"/>
            <w:vAlign w:val="center"/>
          </w:tcPr>
          <w:p w14:paraId="6135DD6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A7C3C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B185A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0C019EB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34AB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2B0CEB2">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2.7</w:t>
            </w:r>
          </w:p>
        </w:tc>
        <w:tc>
          <w:tcPr>
            <w:tcW w:w="1316" w:type="dxa"/>
            <w:shd w:val="clear" w:color="auto" w:fill="auto"/>
            <w:noWrap/>
            <w:vAlign w:val="center"/>
          </w:tcPr>
          <w:p w14:paraId="53F62E92">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龙溪路-玉锦大道路口</w:t>
            </w:r>
          </w:p>
        </w:tc>
        <w:tc>
          <w:tcPr>
            <w:tcW w:w="4933" w:type="dxa"/>
            <w:shd w:val="clear" w:color="auto" w:fill="auto"/>
            <w:vAlign w:val="center"/>
          </w:tcPr>
          <w:p w14:paraId="266581D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F31F3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A4B3E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1F42087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4FCC7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550F6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2E1CD7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238921EB">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5EE6F37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D16CD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45224C0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7941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20D546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046ADC4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1291CEA3">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7EB10F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9A0AB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6E686FC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977C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7A239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3586ED6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144F5D92">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43C55D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5AFC1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0B9F84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F800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102A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2E4AF5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0CC6716F">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33FA5C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6BBAF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18D8C81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90D9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D42112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6A99379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12F5C89D">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7A1DEA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8A9E0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E7852C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DF21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A83E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395FAB4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263B2A8C">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46DC0F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34E8E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95506C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653C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A7F5D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333249A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2B40127D">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54120D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390EB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847D21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2470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6F99A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109C036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4C3AED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0BC05B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6D79D1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781312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DE8D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939B83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065CB30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2D4DE5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20776D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20ADE6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31E567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A429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89289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28A62C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0A03A67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4916250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19688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C404FC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CD26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7BE11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61BB34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65DF14C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3A2DD02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A97D75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37579E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A05F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E53D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3868AE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2302200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2394809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3151F7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27EF7FC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6CFD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2FB0B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33F6DFB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20F0370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3A7B19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F9E56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57E63D7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E168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F2F8FA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3EA6C7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1F32A93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759357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0A33B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6A67E05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A6A8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21BBFD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6D9C60A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233562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521954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0DB32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c>
          <w:tcPr>
            <w:tcW w:w="0" w:type="auto"/>
            <w:shd w:val="clear" w:color="auto" w:fill="auto"/>
            <w:vAlign w:val="center"/>
          </w:tcPr>
          <w:p w14:paraId="55C179C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F783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33D80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497AEE8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0C1EA54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0EB7CA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BDA70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77DE8A9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9FB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30413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3E5C52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76CF7A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10AC57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E9C1B1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173F189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3E8F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B3A4F9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570C056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03375CE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7DF44E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072A2F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9B9B1D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18EE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A6BF6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0AE7944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71311D8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044759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4052B43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50D129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8722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34459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103A141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1F21850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63F953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EF60C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5CD1A2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0A47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A663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4D54757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小计7</w:t>
            </w:r>
          </w:p>
        </w:tc>
        <w:tc>
          <w:tcPr>
            <w:tcW w:w="4933" w:type="dxa"/>
            <w:shd w:val="clear" w:color="auto" w:fill="auto"/>
            <w:vAlign w:val="center"/>
          </w:tcPr>
          <w:p w14:paraId="3C2AD4B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22FF1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45E5C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47F016B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D6D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01EBBEB">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2.8</w:t>
            </w:r>
          </w:p>
        </w:tc>
        <w:tc>
          <w:tcPr>
            <w:tcW w:w="1316" w:type="dxa"/>
            <w:shd w:val="clear" w:color="auto" w:fill="auto"/>
            <w:noWrap/>
            <w:vAlign w:val="center"/>
          </w:tcPr>
          <w:p w14:paraId="561BF0A0">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兴教路-玉锦大道-万泉河路路口</w:t>
            </w:r>
          </w:p>
        </w:tc>
        <w:tc>
          <w:tcPr>
            <w:tcW w:w="4933" w:type="dxa"/>
            <w:shd w:val="clear" w:color="auto" w:fill="auto"/>
            <w:vAlign w:val="center"/>
          </w:tcPr>
          <w:p w14:paraId="08EB043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B0C8C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B6442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7EFAD4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F700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C93F7E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23997E6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5293256F">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721002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B37B1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1418332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CF0E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8C2E4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37C9DB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55F7276D">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05B05D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A0306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0" w:type="auto"/>
            <w:shd w:val="clear" w:color="auto" w:fill="auto"/>
            <w:vAlign w:val="center"/>
          </w:tcPr>
          <w:p w14:paraId="561489A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8D2C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11E63A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35E287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4E72B851">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2215D3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A5007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273D618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02F8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83657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67C4113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67D53C0D">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7A6DAD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C963A8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0" w:type="auto"/>
            <w:shd w:val="clear" w:color="auto" w:fill="auto"/>
            <w:vAlign w:val="center"/>
          </w:tcPr>
          <w:p w14:paraId="1E564F5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F7EC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B8198A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65C936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73320B8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61F177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76F8B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A371DC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32FA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DF92B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4B08966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237E4FD3">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支持≥24路H.265、H.264编码混合自适应接入；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3FC90E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F4963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82E4C3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34584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6392C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4A68EB3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3613A21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2A3E77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96C92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243C320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6C062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A74E9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323AAC5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0FF2BF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6EB223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43182CE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362CB41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0D50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236DC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4DBCFB3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65FE5E6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6A792F3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46157D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05610F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2BA2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6F091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260740D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7F4E32F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760631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6B554A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2CDF84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6BEB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AD754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01C3C2D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4E16A32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557EAC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7AC68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67D94F2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C938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CE348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267083B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457A97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0B1383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698BE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0" w:type="auto"/>
            <w:shd w:val="clear" w:color="auto" w:fill="auto"/>
            <w:vAlign w:val="center"/>
          </w:tcPr>
          <w:p w14:paraId="3619886D">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891F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6535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4FB0CC9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4CA5EF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14D2E3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9775F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w:t>
            </w:r>
          </w:p>
        </w:tc>
        <w:tc>
          <w:tcPr>
            <w:tcW w:w="0" w:type="auto"/>
            <w:shd w:val="clear" w:color="auto" w:fill="auto"/>
            <w:vAlign w:val="center"/>
          </w:tcPr>
          <w:p w14:paraId="43AB957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8A29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28DF32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1AB6440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5D5BF1F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2B5DAD0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3C2BBE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4EF99A55">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CAFB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16909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65A701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5301EDE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0C1002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D4CC8F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49FFFD92">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CAED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B67E6C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5C0E3BE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291C3F3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3BB2135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99C11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633FABC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0D40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A9A99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17F670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64463A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753D8C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5459B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5385D89E">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1FD35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0E22E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300F51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400mmx400mm小管井</w:t>
            </w:r>
          </w:p>
        </w:tc>
        <w:tc>
          <w:tcPr>
            <w:tcW w:w="4933" w:type="dxa"/>
            <w:shd w:val="clear" w:color="auto" w:fill="auto"/>
            <w:vAlign w:val="center"/>
          </w:tcPr>
          <w:p w14:paraId="56BDE09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4D5F0E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52ADBD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0" w:type="auto"/>
            <w:shd w:val="clear" w:color="auto" w:fill="auto"/>
            <w:vAlign w:val="center"/>
          </w:tcPr>
          <w:p w14:paraId="280D4316">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46F6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A0227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0FA8DBB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500mmx500mm大管井</w:t>
            </w:r>
          </w:p>
        </w:tc>
        <w:tc>
          <w:tcPr>
            <w:tcW w:w="4933" w:type="dxa"/>
            <w:shd w:val="clear" w:color="auto" w:fill="auto"/>
            <w:vAlign w:val="center"/>
          </w:tcPr>
          <w:p w14:paraId="5C01623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定制</w:t>
            </w:r>
          </w:p>
        </w:tc>
        <w:tc>
          <w:tcPr>
            <w:tcW w:w="0" w:type="auto"/>
            <w:shd w:val="clear" w:color="auto" w:fill="auto"/>
            <w:noWrap/>
            <w:vAlign w:val="center"/>
          </w:tcPr>
          <w:p w14:paraId="3C2243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9753C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0" w:type="auto"/>
            <w:shd w:val="clear" w:color="auto" w:fill="auto"/>
            <w:vAlign w:val="center"/>
          </w:tcPr>
          <w:p w14:paraId="4DE139B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276F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223DB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449AA3B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7B882AD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31E0D8F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19EF77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D4D1DA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EBCF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956B2D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4E18391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4933" w:type="dxa"/>
            <w:shd w:val="clear" w:color="auto" w:fill="auto"/>
            <w:vAlign w:val="center"/>
          </w:tcPr>
          <w:p w14:paraId="12526C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7F1D8D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2BC229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77D589A">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3F1B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F2E8B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4ED731A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3099178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C288E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3AFF0D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7B7DEF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4412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AA935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316" w:type="dxa"/>
            <w:shd w:val="clear" w:color="auto" w:fill="auto"/>
            <w:noWrap/>
            <w:vAlign w:val="center"/>
          </w:tcPr>
          <w:p w14:paraId="786828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4933" w:type="dxa"/>
            <w:shd w:val="clear" w:color="auto" w:fill="auto"/>
            <w:vAlign w:val="center"/>
          </w:tcPr>
          <w:p w14:paraId="4EF9C2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5E96AA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512A7B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64871C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3D44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29CBA0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316" w:type="dxa"/>
            <w:shd w:val="clear" w:color="auto" w:fill="auto"/>
            <w:noWrap/>
            <w:vAlign w:val="center"/>
          </w:tcPr>
          <w:p w14:paraId="619A24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4933" w:type="dxa"/>
            <w:shd w:val="clear" w:color="auto" w:fill="auto"/>
            <w:vAlign w:val="center"/>
          </w:tcPr>
          <w:p w14:paraId="71824FB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2F3832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19EC08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8A52DA0">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25FB8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0FE2C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25</w:t>
            </w:r>
          </w:p>
        </w:tc>
        <w:tc>
          <w:tcPr>
            <w:tcW w:w="1316" w:type="dxa"/>
            <w:shd w:val="clear" w:color="auto" w:fill="auto"/>
            <w:noWrap/>
            <w:vAlign w:val="center"/>
          </w:tcPr>
          <w:p w14:paraId="0204AEC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4933" w:type="dxa"/>
            <w:shd w:val="clear" w:color="auto" w:fill="auto"/>
            <w:vAlign w:val="center"/>
          </w:tcPr>
          <w:p w14:paraId="08B10E0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接地电阻一般要求≤10欧姆</w:t>
            </w:r>
          </w:p>
        </w:tc>
        <w:tc>
          <w:tcPr>
            <w:tcW w:w="0" w:type="auto"/>
            <w:shd w:val="clear" w:color="auto" w:fill="auto"/>
            <w:noWrap/>
            <w:vAlign w:val="center"/>
          </w:tcPr>
          <w:p w14:paraId="0B7352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62234A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627462B4">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34CD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C82C0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w:t>
            </w:r>
          </w:p>
        </w:tc>
        <w:tc>
          <w:tcPr>
            <w:tcW w:w="1316" w:type="dxa"/>
            <w:shd w:val="clear" w:color="auto" w:fill="auto"/>
            <w:noWrap/>
            <w:vAlign w:val="center"/>
          </w:tcPr>
          <w:p w14:paraId="7F2400E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23429A4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4D251D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3E9F94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4074938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06F0E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581E5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2358FFF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小计8</w:t>
            </w:r>
          </w:p>
        </w:tc>
        <w:tc>
          <w:tcPr>
            <w:tcW w:w="4933" w:type="dxa"/>
            <w:shd w:val="clear" w:color="auto" w:fill="auto"/>
            <w:vAlign w:val="center"/>
          </w:tcPr>
          <w:p w14:paraId="2860D6E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6209DB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C4FCB8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5E87486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715B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311EECC">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2.9</w:t>
            </w:r>
          </w:p>
        </w:tc>
        <w:tc>
          <w:tcPr>
            <w:tcW w:w="1316" w:type="dxa"/>
            <w:shd w:val="clear" w:color="auto" w:fill="auto"/>
            <w:noWrap/>
            <w:vAlign w:val="center"/>
          </w:tcPr>
          <w:p w14:paraId="4202E758">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牛营线（营乘路）-黎母大道（S304）</w:t>
            </w:r>
          </w:p>
        </w:tc>
        <w:tc>
          <w:tcPr>
            <w:tcW w:w="4933" w:type="dxa"/>
            <w:shd w:val="clear" w:color="auto" w:fill="auto"/>
            <w:vAlign w:val="center"/>
          </w:tcPr>
          <w:p w14:paraId="0471EFA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20323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D810B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1AC873F8">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36A9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867D7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02D249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586AEBDA">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18E6F3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F173B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22B550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F59B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C46D9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050DD83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7F2DAE57">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16864E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97B40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64175D0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8EF2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EED57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523E82D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432EB1C6">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7166C4D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E99F94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65729E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3C5B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965F0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36CFE8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611C4E04">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15E9CE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5912B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0CA3D24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CA96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8D543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6FE3B3E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0D7A093A">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1DC0BB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5DB93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29C991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8521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A427B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2383B3D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0E963DA2">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34C728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75B16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2D4C9E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B263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CDC5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041DFA1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0D11231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657C338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8D173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25AA98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DA9F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3CA1B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2B978DE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702BF28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6104A2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9DEBB3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032887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6F0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BD49DC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56B6CF5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3E3C04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1F747E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532C9A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510613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B206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DEB003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3B7532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1A25DCE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399883C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B0343E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D6808A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F88C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428E8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405EA87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0A727D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653649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EAAD1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3174A4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CBF4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DEB1B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2F8E548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024ED09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24A4CD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17729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0344AD7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B1B5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117BC5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16A124C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3F0DCC7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0F693A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305BC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10D4B47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ABFC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28C53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0C78C3D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0FFD97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0EB269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D90BB6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57F7067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76BD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946BE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5A0B67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0298EF8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4028A9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2F9006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3055D22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A5D0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B9239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6C9610C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540E3E0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416E01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437F5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6D24DDC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A77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ED5616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7B0678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425C9A8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75A17A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ED6D6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421DC0B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10A3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C38C1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48725F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66CD5D9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6F8D54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1BE45E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9AE5BF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29CB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6F0DC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526FA55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4933" w:type="dxa"/>
            <w:shd w:val="clear" w:color="auto" w:fill="auto"/>
            <w:vAlign w:val="center"/>
          </w:tcPr>
          <w:p w14:paraId="2025E61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68F9267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3945BE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5E20FD2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624D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1E714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5905253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3571FC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0DFAB0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4FB22F9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D52376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75CD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B968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39DBB4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4933" w:type="dxa"/>
            <w:shd w:val="clear" w:color="auto" w:fill="auto"/>
            <w:vAlign w:val="center"/>
          </w:tcPr>
          <w:p w14:paraId="3CB29EB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2B7EBD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3845131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B4F2C2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86CE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EE650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54B26FC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4933" w:type="dxa"/>
            <w:shd w:val="clear" w:color="auto" w:fill="auto"/>
            <w:vAlign w:val="center"/>
          </w:tcPr>
          <w:p w14:paraId="5C76876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4A351B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7273FB4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7AF3AB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7A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62DCE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316" w:type="dxa"/>
            <w:shd w:val="clear" w:color="auto" w:fill="auto"/>
            <w:noWrap/>
            <w:vAlign w:val="center"/>
          </w:tcPr>
          <w:p w14:paraId="465A067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4933" w:type="dxa"/>
            <w:shd w:val="clear" w:color="auto" w:fill="auto"/>
            <w:vAlign w:val="center"/>
          </w:tcPr>
          <w:p w14:paraId="06B7A84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接地电阻一般要求≤10欧姆</w:t>
            </w:r>
          </w:p>
        </w:tc>
        <w:tc>
          <w:tcPr>
            <w:tcW w:w="0" w:type="auto"/>
            <w:shd w:val="clear" w:color="auto" w:fill="auto"/>
            <w:noWrap/>
            <w:vAlign w:val="center"/>
          </w:tcPr>
          <w:p w14:paraId="4EBF6E7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0FE31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E90A0F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174A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E38C5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316" w:type="dxa"/>
            <w:shd w:val="clear" w:color="auto" w:fill="auto"/>
            <w:noWrap/>
            <w:vAlign w:val="center"/>
          </w:tcPr>
          <w:p w14:paraId="12F7687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386F1FD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1A25D5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885DB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742319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74F9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3FF59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7620155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小计9</w:t>
            </w:r>
          </w:p>
        </w:tc>
        <w:tc>
          <w:tcPr>
            <w:tcW w:w="4933" w:type="dxa"/>
            <w:shd w:val="clear" w:color="auto" w:fill="auto"/>
            <w:vAlign w:val="center"/>
          </w:tcPr>
          <w:p w14:paraId="47DEAB9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46A11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342B84A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16A1C6A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7388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4052174">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xml:space="preserve">2.10 </w:t>
            </w:r>
          </w:p>
        </w:tc>
        <w:tc>
          <w:tcPr>
            <w:tcW w:w="1316" w:type="dxa"/>
            <w:shd w:val="clear" w:color="auto" w:fill="auto"/>
            <w:noWrap/>
            <w:vAlign w:val="center"/>
          </w:tcPr>
          <w:p w14:paraId="73E12220">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营红路-黎母大道（S304）路口</w:t>
            </w:r>
          </w:p>
        </w:tc>
        <w:tc>
          <w:tcPr>
            <w:tcW w:w="4933" w:type="dxa"/>
            <w:shd w:val="clear" w:color="auto" w:fill="auto"/>
            <w:vAlign w:val="center"/>
          </w:tcPr>
          <w:p w14:paraId="1EE70E4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11C705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B0FC28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C6C7103">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130A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F6D5A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21263F2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5351C5DC">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03206B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DB8B6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A913F2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C087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38014F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73B1B19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02F67727">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4445B45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12519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0" w:type="auto"/>
            <w:shd w:val="clear" w:color="auto" w:fill="auto"/>
            <w:vAlign w:val="center"/>
          </w:tcPr>
          <w:p w14:paraId="7C7B94C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40FE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ADD9F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032AAED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1782BCD6">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0D9316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EE010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49F62C5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611B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0FBBE9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04CAF7A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798B8B05">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796138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1BBA0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0" w:type="auto"/>
            <w:shd w:val="clear" w:color="auto" w:fill="auto"/>
            <w:vAlign w:val="center"/>
          </w:tcPr>
          <w:p w14:paraId="5B27EF3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CF0D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055CF2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46F988E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6E04D48F">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4A5B74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18A701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082973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F09D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F1DA2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7EF12A5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04F37F18">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0C5F63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279370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537F6F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E7F2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D26C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2E875A8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19A7DA6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5772B5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6BA1F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395378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AC41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FE86AA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224F8E9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611ED4A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76D01C2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8D4BA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7205922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67B0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0ADDBE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18DACD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1D11DAC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510348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610B7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59A2B4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D6DF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C1F5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36FA739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41324DB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41DC2CB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6AD1E8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A0D5B2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FD94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F47B0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4C5C283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067F29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5759D9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D05DFF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4DF269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69D3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EBC216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725B97B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3ED8DD2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20A974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FE2FB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4A59EB1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9026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9F25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7F74AA1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39AD610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4B7070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33A0B2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5AC1D48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9BD7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C199C1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0D85D4F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6248649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0E48ED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ECCE54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29721C8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4FA3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58A26E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7002CDA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369824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05BB7D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04CBD3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6E4E17F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D221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C925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15BCA2F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00C572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31B8ABB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49F6C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3364627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162B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0C5950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06F1D21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0615222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73CB36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5E9AB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0EDDE33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D1E4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25D82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086F601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33C7258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79F89D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1BCBE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FEFC9D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94AB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E3E12F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1E6A61F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4933" w:type="dxa"/>
            <w:shd w:val="clear" w:color="auto" w:fill="auto"/>
            <w:vAlign w:val="center"/>
          </w:tcPr>
          <w:p w14:paraId="723C876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1723A2B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4D25D26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36BC1A5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B5F3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3B04A3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4D1C2F9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4D5BA22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4F699A1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14A88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D3C3F9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EA22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F0A414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7776635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4933" w:type="dxa"/>
            <w:shd w:val="clear" w:color="auto" w:fill="auto"/>
            <w:vAlign w:val="center"/>
          </w:tcPr>
          <w:p w14:paraId="13CE86E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751B2F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EF84A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905628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BC1C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D48DBC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1F23CF8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4933" w:type="dxa"/>
            <w:shd w:val="clear" w:color="auto" w:fill="auto"/>
            <w:vAlign w:val="center"/>
          </w:tcPr>
          <w:p w14:paraId="3BDD92D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3E55F9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034F79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5712EAA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2BBD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2F2487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316" w:type="dxa"/>
            <w:shd w:val="clear" w:color="auto" w:fill="auto"/>
            <w:noWrap/>
            <w:vAlign w:val="center"/>
          </w:tcPr>
          <w:p w14:paraId="43D37DA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4933" w:type="dxa"/>
            <w:shd w:val="clear" w:color="auto" w:fill="auto"/>
            <w:vAlign w:val="center"/>
          </w:tcPr>
          <w:p w14:paraId="23879FB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接地电阻一般要求≤10欧姆</w:t>
            </w:r>
          </w:p>
        </w:tc>
        <w:tc>
          <w:tcPr>
            <w:tcW w:w="0" w:type="auto"/>
            <w:shd w:val="clear" w:color="auto" w:fill="auto"/>
            <w:noWrap/>
            <w:vAlign w:val="center"/>
          </w:tcPr>
          <w:p w14:paraId="250736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0D3F1B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77B3406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6DA9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B55F9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316" w:type="dxa"/>
            <w:shd w:val="clear" w:color="auto" w:fill="auto"/>
            <w:noWrap/>
            <w:vAlign w:val="center"/>
          </w:tcPr>
          <w:p w14:paraId="5C44374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40090D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365169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C518A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3ECD58F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934F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A41C6C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7874E3D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小计10</w:t>
            </w:r>
          </w:p>
        </w:tc>
        <w:tc>
          <w:tcPr>
            <w:tcW w:w="4933" w:type="dxa"/>
            <w:shd w:val="clear" w:color="auto" w:fill="auto"/>
            <w:vAlign w:val="center"/>
          </w:tcPr>
          <w:p w14:paraId="3754A2F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44FDAAA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2880A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09EB0BE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159F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748A91">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2.11</w:t>
            </w:r>
          </w:p>
        </w:tc>
        <w:tc>
          <w:tcPr>
            <w:tcW w:w="1316" w:type="dxa"/>
            <w:shd w:val="clear" w:color="auto" w:fill="auto"/>
            <w:noWrap/>
            <w:vAlign w:val="center"/>
          </w:tcPr>
          <w:p w14:paraId="54F48CEE">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黎母大道（S304）-三月三大道路口</w:t>
            </w:r>
          </w:p>
        </w:tc>
        <w:tc>
          <w:tcPr>
            <w:tcW w:w="4933" w:type="dxa"/>
            <w:shd w:val="clear" w:color="auto" w:fill="auto"/>
            <w:vAlign w:val="center"/>
          </w:tcPr>
          <w:p w14:paraId="44CF5F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628BBD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5E60BA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789B8569">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7D90A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46EBB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5724672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2A95F200">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5571B1A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5B860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BB4438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84E4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10E72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125652A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14AE7F88">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055F3F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2095E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795F4E5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E5F8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DE2AC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0BFEB36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453591BF">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3325149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094CF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2A4265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C263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1987F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0264793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638BCC7C">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05309B2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34BCD31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0" w:type="auto"/>
            <w:shd w:val="clear" w:color="auto" w:fill="auto"/>
            <w:vAlign w:val="center"/>
          </w:tcPr>
          <w:p w14:paraId="0D91C45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E904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19126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4873A2C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1737CEB6">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5301D49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846633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A6D4F8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0E17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017D8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5DCD328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241757F4">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2E96045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C31F3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676A69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C6CC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39D3E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028473A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2E5587D0">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22480E9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1652B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5993212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CA54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4638AD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29D3881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3319D18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0087C75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73F811C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E69671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9F05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AA6DDF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7E9EF4B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331E3C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2A1488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70D0CA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5160CA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9940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378B4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28AEAE1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505A535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343B40E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03524F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EB5A55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E0CF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FE861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70FD8BC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49E75C7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4BD3ADC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2BE95F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500E2E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74A1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27EFB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3C808B5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2A6D92E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48A927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C563D3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ED4DDB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737C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0C259C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2AFA622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6293997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5372CE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66C02F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43EDDCA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2356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2F0AC0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760400D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12A083A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32E798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79C5CF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450</w:t>
            </w:r>
          </w:p>
        </w:tc>
        <w:tc>
          <w:tcPr>
            <w:tcW w:w="0" w:type="auto"/>
            <w:shd w:val="clear" w:color="auto" w:fill="auto"/>
            <w:vAlign w:val="center"/>
          </w:tcPr>
          <w:p w14:paraId="7B93DA9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10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6B4E7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652452D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3D8B89B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2D2E98A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FA420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260</w:t>
            </w:r>
          </w:p>
        </w:tc>
        <w:tc>
          <w:tcPr>
            <w:tcW w:w="0" w:type="auto"/>
            <w:shd w:val="clear" w:color="auto" w:fill="auto"/>
            <w:vAlign w:val="center"/>
          </w:tcPr>
          <w:p w14:paraId="17463FF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52BD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18566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25C8981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1B7F4F7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7E179E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6B370F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588B5AE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B7DA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0311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23B840A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6E94053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3F9875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6EF186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1098A84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5675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E1AFA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5C07788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25A7AFF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2D1606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410319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889B16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9A38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78DCBC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75CFFC4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4933" w:type="dxa"/>
            <w:shd w:val="clear" w:color="auto" w:fill="auto"/>
            <w:vAlign w:val="center"/>
          </w:tcPr>
          <w:p w14:paraId="470DAE8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72ECFA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08609BE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FF9B50D">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88B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07DD5E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1682CC4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32E40B8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719AE8F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EE780E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7A73D3A9">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D8C9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9B8585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702182A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4933" w:type="dxa"/>
            <w:shd w:val="clear" w:color="auto" w:fill="auto"/>
            <w:vAlign w:val="center"/>
          </w:tcPr>
          <w:p w14:paraId="509E2F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5F8ADB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6D01346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473E569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8D79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57D510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439B304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4933" w:type="dxa"/>
            <w:shd w:val="clear" w:color="auto" w:fill="auto"/>
            <w:vAlign w:val="center"/>
          </w:tcPr>
          <w:p w14:paraId="3397AB0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5C88C4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05E7024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E83942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729C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14C290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316" w:type="dxa"/>
            <w:shd w:val="clear" w:color="auto" w:fill="auto"/>
            <w:noWrap/>
            <w:vAlign w:val="center"/>
          </w:tcPr>
          <w:p w14:paraId="31CFE50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4933" w:type="dxa"/>
            <w:shd w:val="clear" w:color="auto" w:fill="auto"/>
            <w:vAlign w:val="center"/>
          </w:tcPr>
          <w:p w14:paraId="0F927A2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接地电阻一般要求≤10欧姆</w:t>
            </w:r>
          </w:p>
        </w:tc>
        <w:tc>
          <w:tcPr>
            <w:tcW w:w="0" w:type="auto"/>
            <w:shd w:val="clear" w:color="auto" w:fill="auto"/>
            <w:noWrap/>
            <w:vAlign w:val="center"/>
          </w:tcPr>
          <w:p w14:paraId="016471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56F6E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1799179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D1FD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937BD5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316" w:type="dxa"/>
            <w:shd w:val="clear" w:color="auto" w:fill="auto"/>
            <w:noWrap/>
            <w:vAlign w:val="center"/>
          </w:tcPr>
          <w:p w14:paraId="7A68093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0435CBC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1ED6B06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2D3A8B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0" w:type="auto"/>
            <w:shd w:val="clear" w:color="auto" w:fill="auto"/>
            <w:vAlign w:val="center"/>
          </w:tcPr>
          <w:p w14:paraId="19DCF7E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05F3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8939DA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321428D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小计11</w:t>
            </w:r>
          </w:p>
        </w:tc>
        <w:tc>
          <w:tcPr>
            <w:tcW w:w="4933" w:type="dxa"/>
            <w:shd w:val="clear" w:color="auto" w:fill="auto"/>
            <w:vAlign w:val="center"/>
          </w:tcPr>
          <w:p w14:paraId="4A6EE49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1B45638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500916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6986B87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A6C9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06AD25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2.12</w:t>
            </w:r>
          </w:p>
        </w:tc>
        <w:tc>
          <w:tcPr>
            <w:tcW w:w="1316" w:type="dxa"/>
            <w:shd w:val="clear" w:color="auto" w:fill="auto"/>
            <w:noWrap/>
            <w:vAlign w:val="center"/>
          </w:tcPr>
          <w:p w14:paraId="6D1476DF">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海榆中线（G224）-黎母大道（S304）路口</w:t>
            </w:r>
          </w:p>
        </w:tc>
        <w:tc>
          <w:tcPr>
            <w:tcW w:w="4933" w:type="dxa"/>
            <w:shd w:val="clear" w:color="auto" w:fill="auto"/>
            <w:vAlign w:val="center"/>
          </w:tcPr>
          <w:p w14:paraId="4521415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7D4C26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831F54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64A35E7B">
            <w:pPr>
              <w:widowControl/>
              <w:spacing w:line="240" w:lineRule="auto"/>
              <w:ind w:firstLine="0" w:firstLineChars="0"/>
              <w:jc w:val="left"/>
              <w:rPr>
                <w:rFonts w:hint="eastAsia" w:ascii="宋体" w:hAnsi="宋体" w:eastAsia="宋体" w:cs="宋体"/>
                <w:color w:val="FF0000"/>
                <w:kern w:val="0"/>
                <w:sz w:val="22"/>
                <w:szCs w:val="22"/>
              </w:rPr>
            </w:pPr>
            <w:r>
              <w:rPr>
                <w:rFonts w:hint="eastAsia" w:ascii="宋体" w:hAnsi="宋体" w:eastAsia="宋体" w:cs="宋体"/>
                <w:color w:val="FF0000"/>
                <w:kern w:val="0"/>
                <w:sz w:val="22"/>
                <w:szCs w:val="22"/>
              </w:rPr>
              <w:t>　</w:t>
            </w:r>
          </w:p>
        </w:tc>
      </w:tr>
      <w:tr w14:paraId="5F9F2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27EBB4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316" w:type="dxa"/>
            <w:shd w:val="clear" w:color="auto" w:fill="auto"/>
            <w:noWrap/>
            <w:vAlign w:val="center"/>
          </w:tcPr>
          <w:p w14:paraId="32E451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900万电子警察抓拍机</w:t>
            </w:r>
          </w:p>
        </w:tc>
        <w:tc>
          <w:tcPr>
            <w:tcW w:w="4933" w:type="dxa"/>
            <w:shd w:val="clear" w:color="auto" w:fill="auto"/>
            <w:vAlign w:val="center"/>
          </w:tcPr>
          <w:p w14:paraId="7C07AA35">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支持闯红灯、不按车道行驶、变道、压线、逆行等多种车辆违法检测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7.照片OSD：支持多种内容叠加，可设置叠加位置和顺序、字体大小、字体颜色等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10.设备护罩支持侧开方式；支持辅助对焦功能调试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13.前端存储：32GB； 防护等级≥IP66；电源：AC200V±25%</w:t>
            </w:r>
          </w:p>
        </w:tc>
        <w:tc>
          <w:tcPr>
            <w:tcW w:w="0" w:type="auto"/>
            <w:shd w:val="clear" w:color="auto" w:fill="auto"/>
            <w:noWrap/>
            <w:vAlign w:val="center"/>
          </w:tcPr>
          <w:p w14:paraId="4D199E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AEA252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5393B2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479E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6DEDA1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316" w:type="dxa"/>
            <w:shd w:val="clear" w:color="auto" w:fill="auto"/>
            <w:noWrap/>
            <w:vAlign w:val="center"/>
          </w:tcPr>
          <w:p w14:paraId="5E62145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LED补光灯</w:t>
            </w:r>
          </w:p>
        </w:tc>
        <w:tc>
          <w:tcPr>
            <w:tcW w:w="4933" w:type="dxa"/>
            <w:shd w:val="clear" w:color="auto" w:fill="auto"/>
            <w:vAlign w:val="center"/>
          </w:tcPr>
          <w:p w14:paraId="73B392BD">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光源类型：原装大功率暖光LED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LED灯珠数量≥16颗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最佳补光距离≥16米-25米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触发方式：支持电平量触发和开关量触发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响应时间：≤370μs</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触发信号电平：4V-6V</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防护等级：IP67</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功率：平均功率≤30W</w:t>
            </w:r>
          </w:p>
        </w:tc>
        <w:tc>
          <w:tcPr>
            <w:tcW w:w="0" w:type="auto"/>
            <w:shd w:val="clear" w:color="auto" w:fill="auto"/>
            <w:noWrap/>
            <w:vAlign w:val="center"/>
          </w:tcPr>
          <w:p w14:paraId="4B1158E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38C02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0" w:type="auto"/>
            <w:shd w:val="clear" w:color="auto" w:fill="auto"/>
            <w:vAlign w:val="center"/>
          </w:tcPr>
          <w:p w14:paraId="4F4FD3B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248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2E8C7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316" w:type="dxa"/>
            <w:shd w:val="clear" w:color="auto" w:fill="auto"/>
            <w:noWrap/>
            <w:vAlign w:val="center"/>
          </w:tcPr>
          <w:p w14:paraId="073E347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900W环保反向卡口抓拍机</w:t>
            </w:r>
          </w:p>
        </w:tc>
        <w:tc>
          <w:tcPr>
            <w:tcW w:w="4933" w:type="dxa"/>
            <w:shd w:val="clear" w:color="auto" w:fill="auto"/>
            <w:vAlign w:val="center"/>
          </w:tcPr>
          <w:p w14:paraId="786E9030">
            <w:pPr>
              <w:widowControl/>
              <w:spacing w:line="240" w:lineRule="auto"/>
              <w:ind w:firstLine="0" w:firstLineChars="0"/>
              <w:jc w:val="left"/>
              <w:rPr>
                <w:rFonts w:hint="eastAsia"/>
              </w:rPr>
            </w:pPr>
            <w:r>
              <w:rPr>
                <w:rFonts w:hint="eastAsia" w:ascii="宋体" w:hAnsi="宋体" w:eastAsia="宋体" w:cs="宋体"/>
                <w:kern w:val="0"/>
                <w:sz w:val="20"/>
                <w:szCs w:val="20"/>
              </w:rPr>
              <w:t>1. 包含高清一体化嵌入式摄像机、高清镜头、室外防护罩、相机内置全接口防雷、电源适配器等；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内置1.1＂ 900万像素图像传感器，分辨率可达4096 × 2160，视频帧率：最大50帧；镜头：50mm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视频格式：H.264/H.265/MJPEG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支持压线、超速、逆行、专用车道、不系安全带、开车打电话等多种车辆违法检测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车辆检测方式：雷达、线圈、视频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输出图片格式JPEG；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7.支持车牌、车身颜色、车型、车标、车款、危险品车、遮阳板、挂饰、年检标签等车辆特征识别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8.支持识别车辆车标，种类≥430种，识别准确率≥99%</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支持车辆子品牌识别并显示相应的年款，车头≥7200种，车尾≥3900种</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10.支持联动“GA/T 1202-2022”一级频闪补光装置，夜间抓拍图片可认清道路场景、标志、标线、车辆、号牌、驾驶员等特征信息； 支持联动“GA/T 1202-2022”二级频闪补光装置，夜间抓拍图片可认清道路场景、标志、标线、车辆、号牌、驾驶员等特征信息； 支持联动“GA/T 1202-2022”一级脉冲补光装置，夜间抓拍图片可认清道路场景、标志、标线、车辆、号牌、驾驶员等特征信息； 支持多种补光方式协同，白天可用氙气灯光源进行补光，夜间可用LED爆闪或氙气灯或LED爆闪+氙气灯混合补光进行补光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具备≥4个RS-485接口, ≥1个RS-232接口, ≥2个RJ45 10M/100M/1000M自适应以太网口；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 支持正确识别污损车牌，支持正确识别污损车牌车辆违法，当有车辆违法行为产生时，相机可正确判罚其违法行为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前端存储：32GB；防护等级≥IP66；电源：AC200V±25%</w:t>
            </w:r>
          </w:p>
        </w:tc>
        <w:tc>
          <w:tcPr>
            <w:tcW w:w="0" w:type="auto"/>
            <w:shd w:val="clear" w:color="auto" w:fill="auto"/>
            <w:noWrap/>
            <w:vAlign w:val="center"/>
          </w:tcPr>
          <w:p w14:paraId="449E8A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112233D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3C0FAB1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0E22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45145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316" w:type="dxa"/>
            <w:shd w:val="clear" w:color="auto" w:fill="auto"/>
            <w:noWrap/>
            <w:vAlign w:val="center"/>
          </w:tcPr>
          <w:p w14:paraId="4CE2D36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多合一环保补光灯</w:t>
            </w:r>
          </w:p>
        </w:tc>
        <w:tc>
          <w:tcPr>
            <w:tcW w:w="4933" w:type="dxa"/>
            <w:shd w:val="clear" w:color="auto" w:fill="auto"/>
            <w:vAlign w:val="center"/>
          </w:tcPr>
          <w:p w14:paraId="34D4E2D9">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光源类型：LED暖光频闪；LED暖光爆闪；气体白光爆闪；</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采用≥24颗大功率暖光LED</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频闪灯发光角度10°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频闪和爆闪亮度可调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5.寿命高达1000万次以上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6. 亮度不随供电电压的波动而变化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7.满足频闪一级补光，脉冲二级补光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补光距离：LED灯16~29米；气体灯18~32米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电源：200VAC±10%；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防护等级：IP66</w:t>
            </w:r>
          </w:p>
        </w:tc>
        <w:tc>
          <w:tcPr>
            <w:tcW w:w="0" w:type="auto"/>
            <w:shd w:val="clear" w:color="auto" w:fill="auto"/>
            <w:noWrap/>
            <w:vAlign w:val="center"/>
          </w:tcPr>
          <w:p w14:paraId="660F5C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667E04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0" w:type="auto"/>
            <w:shd w:val="clear" w:color="auto" w:fill="auto"/>
            <w:vAlign w:val="center"/>
          </w:tcPr>
          <w:p w14:paraId="164CF1B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CC0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FE2A7C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316" w:type="dxa"/>
            <w:shd w:val="clear" w:color="auto" w:fill="auto"/>
            <w:noWrap/>
            <w:vAlign w:val="center"/>
          </w:tcPr>
          <w:p w14:paraId="554BB77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信号灯检测器</w:t>
            </w:r>
          </w:p>
        </w:tc>
        <w:tc>
          <w:tcPr>
            <w:tcW w:w="4933" w:type="dxa"/>
            <w:shd w:val="clear" w:color="auto" w:fill="auto"/>
            <w:vAlign w:val="center"/>
          </w:tcPr>
          <w:p w14:paraId="54CB1EB6">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16路信号灯交流信号输入接口；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1个RS485输出接口；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1路100M网口输出；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16路交通灯状态指示；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支持故障自检，异常信息上报等故障管理措施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工作温度：温度-30℃~70℃；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电源：DC12V ±10%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稳定可靠，7*24小时不间断工作</w:t>
            </w:r>
          </w:p>
        </w:tc>
        <w:tc>
          <w:tcPr>
            <w:tcW w:w="0" w:type="auto"/>
            <w:shd w:val="clear" w:color="auto" w:fill="auto"/>
            <w:noWrap/>
            <w:vAlign w:val="center"/>
          </w:tcPr>
          <w:p w14:paraId="0F65FFF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71964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5DE17132">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4D8A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F6DA0D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316" w:type="dxa"/>
            <w:shd w:val="clear" w:color="auto" w:fill="auto"/>
            <w:noWrap/>
            <w:vAlign w:val="center"/>
          </w:tcPr>
          <w:p w14:paraId="5BBF3BA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终端服务器</w:t>
            </w:r>
          </w:p>
        </w:tc>
        <w:tc>
          <w:tcPr>
            <w:tcW w:w="4933" w:type="dxa"/>
            <w:shd w:val="clear" w:color="auto" w:fill="auto"/>
            <w:vAlign w:val="center"/>
          </w:tcPr>
          <w:p w14:paraId="52606BAE">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支持≥12路H.265、H.264编码混合自适应接入；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具有完善的视频处理功能，支持解码H.265、H.264等主流图像压缩格式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 支持在图片上叠加车牌、车道、时间、地点等字符信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支持对多张图片进行合成</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 支持iSCSI块直存录像，支持秒级检索，秒级回放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 支持图片的存储、检索、查看、导出、上传等</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支持通过串口获取数据</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 支持硬盘S.M.A.R.T.属性检测</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具有双网卡，支持物理双网络</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 支持≥20个千兆以太网电接口，≥2个千兆光口</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具备≥4个SATA接口，标配8T存储硬盘；</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12.支持IP地址过滤功能，可手动配置黑白名单；支持802.1x认证、ARP防攻击 、视频水印等安全防护功能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 运行功耗：&lt;110W(硬盘满配，启动加热模块)</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工作温度-30～70℃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15.当数据库文件由于断电等原因损坏后，可以通过网页手动控制数据库修复，恢复过车数据査询功能 </w:t>
            </w:r>
          </w:p>
        </w:tc>
        <w:tc>
          <w:tcPr>
            <w:tcW w:w="0" w:type="auto"/>
            <w:shd w:val="clear" w:color="auto" w:fill="auto"/>
            <w:noWrap/>
            <w:vAlign w:val="center"/>
          </w:tcPr>
          <w:p w14:paraId="580FCF4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718F7A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D774D2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7443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665CC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316" w:type="dxa"/>
            <w:shd w:val="clear" w:color="auto" w:fill="auto"/>
            <w:noWrap/>
            <w:vAlign w:val="center"/>
          </w:tcPr>
          <w:p w14:paraId="2A55F9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高清违停抓拍球机</w:t>
            </w:r>
          </w:p>
        </w:tc>
        <w:tc>
          <w:tcPr>
            <w:tcW w:w="4933" w:type="dxa"/>
            <w:shd w:val="clear" w:color="auto" w:fill="auto"/>
            <w:vAlign w:val="center"/>
          </w:tcPr>
          <w:p w14:paraId="3F44A9E8">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 支持违法检测：违法停车、压线、逆行、越线、倒车、掉头、异地车牌、占用专用车道</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 ≥400万像素，最高分辨率≥2688*1520，内置镜头，支持不小于40倍光学变倍，镜头最大焦距不小于228mm，</w:t>
            </w:r>
            <w:r>
              <w:rPr>
                <w:rFonts w:hint="eastAsia" w:ascii="宋体" w:hAnsi="宋体" w:eastAsia="宋体" w:cs="宋体"/>
                <w:kern w:val="0"/>
                <w:sz w:val="20"/>
                <w:szCs w:val="20"/>
              </w:rPr>
              <w:br w:type="textWrapping"/>
            </w:r>
            <w:r>
              <w:rPr>
                <w:rFonts w:hint="eastAsia" w:ascii="宋体" w:hAnsi="宋体" w:eastAsia="宋体" w:cs="宋体"/>
                <w:kern w:val="0"/>
                <w:sz w:val="20"/>
                <w:szCs w:val="20"/>
              </w:rPr>
              <w:t xml:space="preserve">3.具备不小于1/1.8靶面尺寸，支持红外补光 ≥250m；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 支持机动车属性识别：号牌识别、号牌颜色识别、车身颜色识别、车型识别</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5.支持轻电警信息发布，支持文字、语音发布</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6.支持多场景巡航检测、多种证据链形式、重复号牌过滤、违法手动抓拍等实用功能，满足不同需求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 支持陀螺仪防抖，有效降低画面抖动，使图像稳定清晰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8.支持重复号牌过滤 ；</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 视频编码格式：H.265;H.264;MJPEG</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10.在WEB客户端下，具有开启、关闭除热浪设置选项</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11. 支持光学宽动态120dB、强光抑制、光学透雾</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12.支持违法停车预警功能，可通过WEB客户端对检测区域进行设置，并可对在检测区域内停车时间超过设定阈值的机动车目标进行抓拍，最多可生成4张违法停车预警照片，并支持预警信息和预警照片上传至平台，摄像机可通过外接语音柱播放预警功能的语音</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13.支持SFP光口+千兆电口，支持光电串接</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14. 支持≥1路音频输入和≥1路音频输出；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15. 内置≥7路报警输入和≥2路报警输出，支持报警联动功能；</w:t>
            </w:r>
            <w:r>
              <w:rPr>
                <w:rFonts w:hint="eastAsia" w:ascii="宋体" w:hAnsi="宋体" w:eastAsia="宋体" w:cs="宋体"/>
                <w:kern w:val="0"/>
                <w:sz w:val="20"/>
                <w:szCs w:val="20"/>
              </w:rPr>
              <w:br w:type="textWrapping"/>
            </w:r>
            <w:r>
              <w:rPr>
                <w:rFonts w:hint="eastAsia" w:ascii="宋体" w:hAnsi="宋体" w:eastAsia="宋体" w:cs="宋体"/>
                <w:color w:val="000000" w:themeColor="text1"/>
                <w:kern w:val="0"/>
                <w:sz w:val="20"/>
                <w:szCs w:val="20"/>
                <w14:textFill>
                  <w14:solidFill>
                    <w14:schemeClr w14:val="tx1"/>
                  </w14:solidFill>
                </w14:textFill>
              </w:rPr>
              <w:t>16.电源：DC24V±25%;AC24V±25%；防水防尘≥IP66</w:t>
            </w:r>
          </w:p>
        </w:tc>
        <w:tc>
          <w:tcPr>
            <w:tcW w:w="0" w:type="auto"/>
            <w:shd w:val="clear" w:color="auto" w:fill="auto"/>
            <w:noWrap/>
            <w:vAlign w:val="center"/>
          </w:tcPr>
          <w:p w14:paraId="483707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0226467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1350366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29C3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FFB0B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1316" w:type="dxa"/>
            <w:shd w:val="clear" w:color="auto" w:fill="auto"/>
            <w:noWrap/>
            <w:vAlign w:val="center"/>
          </w:tcPr>
          <w:p w14:paraId="3CFB5BB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设备防雨箱</w:t>
            </w:r>
          </w:p>
        </w:tc>
        <w:tc>
          <w:tcPr>
            <w:tcW w:w="4933" w:type="dxa"/>
            <w:shd w:val="clear" w:color="auto" w:fill="auto"/>
            <w:vAlign w:val="center"/>
          </w:tcPr>
          <w:p w14:paraId="11FB397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含双路200V防雷、空开、户外柜锁；</w:t>
            </w:r>
          </w:p>
        </w:tc>
        <w:tc>
          <w:tcPr>
            <w:tcW w:w="0" w:type="auto"/>
            <w:shd w:val="clear" w:color="auto" w:fill="auto"/>
            <w:noWrap/>
            <w:vAlign w:val="center"/>
          </w:tcPr>
          <w:p w14:paraId="6DD8D2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321699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2D67CFD0">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AA51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D8300B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316" w:type="dxa"/>
            <w:shd w:val="clear" w:color="auto" w:fill="auto"/>
            <w:noWrap/>
            <w:vAlign w:val="center"/>
          </w:tcPr>
          <w:p w14:paraId="65BF793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落地机柜</w:t>
            </w:r>
          </w:p>
        </w:tc>
        <w:tc>
          <w:tcPr>
            <w:tcW w:w="4933" w:type="dxa"/>
            <w:shd w:val="clear" w:color="auto" w:fill="auto"/>
            <w:vAlign w:val="center"/>
          </w:tcPr>
          <w:p w14:paraId="7D9968A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含强电模块，防护等级IP55</w:t>
            </w:r>
          </w:p>
        </w:tc>
        <w:tc>
          <w:tcPr>
            <w:tcW w:w="0" w:type="auto"/>
            <w:shd w:val="clear" w:color="auto" w:fill="auto"/>
            <w:noWrap/>
            <w:vAlign w:val="center"/>
          </w:tcPr>
          <w:p w14:paraId="0150A15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0" w:type="auto"/>
            <w:shd w:val="clear" w:color="auto" w:fill="auto"/>
            <w:noWrap/>
            <w:vAlign w:val="center"/>
          </w:tcPr>
          <w:p w14:paraId="0D49616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30EEF7C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2816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B2A9D1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316" w:type="dxa"/>
            <w:shd w:val="clear" w:color="auto" w:fill="auto"/>
            <w:noWrap/>
            <w:vAlign w:val="center"/>
          </w:tcPr>
          <w:p w14:paraId="7CD950D8">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接入交换机</w:t>
            </w:r>
          </w:p>
        </w:tc>
        <w:tc>
          <w:tcPr>
            <w:tcW w:w="4933" w:type="dxa"/>
            <w:shd w:val="clear" w:color="auto" w:fill="auto"/>
            <w:vAlign w:val="center"/>
          </w:tcPr>
          <w:p w14:paraId="37FF785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工业级，24个千兆电口，4个千兆SFP光口，支持环网拓扑</w:t>
            </w:r>
          </w:p>
        </w:tc>
        <w:tc>
          <w:tcPr>
            <w:tcW w:w="0" w:type="auto"/>
            <w:shd w:val="clear" w:color="auto" w:fill="auto"/>
            <w:noWrap/>
            <w:vAlign w:val="center"/>
          </w:tcPr>
          <w:p w14:paraId="5EB85D7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1E6C9D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2A8B712C">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870E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9F1789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w:t>
            </w:r>
          </w:p>
        </w:tc>
        <w:tc>
          <w:tcPr>
            <w:tcW w:w="1316" w:type="dxa"/>
            <w:shd w:val="clear" w:color="auto" w:fill="auto"/>
            <w:noWrap/>
            <w:vAlign w:val="center"/>
          </w:tcPr>
          <w:p w14:paraId="3FAC4A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光纤收发器（发送端）</w:t>
            </w:r>
          </w:p>
        </w:tc>
        <w:tc>
          <w:tcPr>
            <w:tcW w:w="4933" w:type="dxa"/>
            <w:shd w:val="clear" w:color="auto" w:fill="auto"/>
            <w:vAlign w:val="center"/>
          </w:tcPr>
          <w:p w14:paraId="4FB387F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4口百兆光纤收发器，单模单纤，20公里</w:t>
            </w:r>
          </w:p>
        </w:tc>
        <w:tc>
          <w:tcPr>
            <w:tcW w:w="0" w:type="auto"/>
            <w:shd w:val="clear" w:color="auto" w:fill="auto"/>
            <w:noWrap/>
            <w:vAlign w:val="center"/>
          </w:tcPr>
          <w:p w14:paraId="3574CD2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5CF0102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0AEAEB3">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0120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EFB42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w:t>
            </w:r>
          </w:p>
        </w:tc>
        <w:tc>
          <w:tcPr>
            <w:tcW w:w="1316" w:type="dxa"/>
            <w:shd w:val="clear" w:color="auto" w:fill="auto"/>
            <w:noWrap/>
            <w:vAlign w:val="center"/>
          </w:tcPr>
          <w:p w14:paraId="28243CD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w:t>
            </w:r>
          </w:p>
        </w:tc>
        <w:tc>
          <w:tcPr>
            <w:tcW w:w="4933" w:type="dxa"/>
            <w:shd w:val="clear" w:color="auto" w:fill="auto"/>
            <w:vAlign w:val="center"/>
          </w:tcPr>
          <w:p w14:paraId="113F941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光纤收发器接收端，单模单纤，20公里</w:t>
            </w:r>
          </w:p>
        </w:tc>
        <w:tc>
          <w:tcPr>
            <w:tcW w:w="0" w:type="auto"/>
            <w:shd w:val="clear" w:color="auto" w:fill="auto"/>
            <w:noWrap/>
            <w:vAlign w:val="center"/>
          </w:tcPr>
          <w:p w14:paraId="4F2144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4A42061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4F1E7F9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1DA2B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F71285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w:t>
            </w:r>
          </w:p>
        </w:tc>
        <w:tc>
          <w:tcPr>
            <w:tcW w:w="1316" w:type="dxa"/>
            <w:shd w:val="clear" w:color="auto" w:fill="auto"/>
            <w:noWrap/>
            <w:vAlign w:val="center"/>
          </w:tcPr>
          <w:p w14:paraId="2324B82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网线</w:t>
            </w:r>
          </w:p>
        </w:tc>
        <w:tc>
          <w:tcPr>
            <w:tcW w:w="4933" w:type="dxa"/>
            <w:shd w:val="clear" w:color="auto" w:fill="auto"/>
            <w:vAlign w:val="center"/>
          </w:tcPr>
          <w:p w14:paraId="52B91B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室外超五类</w:t>
            </w:r>
          </w:p>
        </w:tc>
        <w:tc>
          <w:tcPr>
            <w:tcW w:w="0" w:type="auto"/>
            <w:shd w:val="clear" w:color="auto" w:fill="auto"/>
            <w:noWrap/>
            <w:vAlign w:val="center"/>
          </w:tcPr>
          <w:p w14:paraId="22633F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5475AF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2708F4C4">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DBD1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77D74E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14</w:t>
            </w:r>
          </w:p>
        </w:tc>
        <w:tc>
          <w:tcPr>
            <w:tcW w:w="1316" w:type="dxa"/>
            <w:shd w:val="clear" w:color="auto" w:fill="auto"/>
            <w:noWrap/>
            <w:vAlign w:val="center"/>
          </w:tcPr>
          <w:p w14:paraId="72FB1DA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屏蔽双绞线</w:t>
            </w:r>
          </w:p>
        </w:tc>
        <w:tc>
          <w:tcPr>
            <w:tcW w:w="4933" w:type="dxa"/>
            <w:shd w:val="clear" w:color="auto" w:fill="auto"/>
            <w:vAlign w:val="center"/>
          </w:tcPr>
          <w:p w14:paraId="26AE92E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RVSP2*1.0mm2</w:t>
            </w:r>
          </w:p>
        </w:tc>
        <w:tc>
          <w:tcPr>
            <w:tcW w:w="0" w:type="auto"/>
            <w:shd w:val="clear" w:color="auto" w:fill="auto"/>
            <w:noWrap/>
            <w:vAlign w:val="center"/>
          </w:tcPr>
          <w:p w14:paraId="1246509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2E8F15F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350</w:t>
            </w:r>
          </w:p>
        </w:tc>
        <w:tc>
          <w:tcPr>
            <w:tcW w:w="0" w:type="auto"/>
            <w:shd w:val="clear" w:color="auto" w:fill="auto"/>
            <w:vAlign w:val="center"/>
          </w:tcPr>
          <w:p w14:paraId="37316A05">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A6E1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AC0EED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15</w:t>
            </w:r>
          </w:p>
        </w:tc>
        <w:tc>
          <w:tcPr>
            <w:tcW w:w="1316" w:type="dxa"/>
            <w:shd w:val="clear" w:color="auto" w:fill="auto"/>
            <w:noWrap/>
            <w:vAlign w:val="center"/>
          </w:tcPr>
          <w:p w14:paraId="369892D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补光灯控制线</w:t>
            </w:r>
          </w:p>
        </w:tc>
        <w:tc>
          <w:tcPr>
            <w:tcW w:w="4933" w:type="dxa"/>
            <w:shd w:val="clear" w:color="auto" w:fill="auto"/>
            <w:vAlign w:val="center"/>
          </w:tcPr>
          <w:p w14:paraId="164613E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RVVP2*1.0mm2</w:t>
            </w:r>
          </w:p>
        </w:tc>
        <w:tc>
          <w:tcPr>
            <w:tcW w:w="0" w:type="auto"/>
            <w:shd w:val="clear" w:color="auto" w:fill="auto"/>
            <w:noWrap/>
            <w:vAlign w:val="center"/>
          </w:tcPr>
          <w:p w14:paraId="197752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1A1E59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w:t>
            </w:r>
          </w:p>
        </w:tc>
        <w:tc>
          <w:tcPr>
            <w:tcW w:w="0" w:type="auto"/>
            <w:shd w:val="clear" w:color="auto" w:fill="auto"/>
            <w:vAlign w:val="center"/>
          </w:tcPr>
          <w:p w14:paraId="2687950E">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7B004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BC2DF7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16</w:t>
            </w:r>
          </w:p>
        </w:tc>
        <w:tc>
          <w:tcPr>
            <w:tcW w:w="1316" w:type="dxa"/>
            <w:shd w:val="clear" w:color="auto" w:fill="auto"/>
            <w:noWrap/>
            <w:vAlign w:val="center"/>
          </w:tcPr>
          <w:p w14:paraId="6E047B4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电源线</w:t>
            </w:r>
          </w:p>
        </w:tc>
        <w:tc>
          <w:tcPr>
            <w:tcW w:w="4933" w:type="dxa"/>
            <w:shd w:val="clear" w:color="auto" w:fill="auto"/>
            <w:vAlign w:val="center"/>
          </w:tcPr>
          <w:p w14:paraId="3CF932F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YJV22-3*2.5mm²</w:t>
            </w:r>
          </w:p>
        </w:tc>
        <w:tc>
          <w:tcPr>
            <w:tcW w:w="0" w:type="auto"/>
            <w:shd w:val="clear" w:color="auto" w:fill="auto"/>
            <w:noWrap/>
            <w:vAlign w:val="center"/>
          </w:tcPr>
          <w:p w14:paraId="3F25438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139BD64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357C421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3C5A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449E11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17</w:t>
            </w:r>
          </w:p>
        </w:tc>
        <w:tc>
          <w:tcPr>
            <w:tcW w:w="1316" w:type="dxa"/>
            <w:shd w:val="clear" w:color="auto" w:fill="auto"/>
            <w:noWrap/>
            <w:vAlign w:val="center"/>
          </w:tcPr>
          <w:p w14:paraId="314C3CF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光缆</w:t>
            </w:r>
          </w:p>
        </w:tc>
        <w:tc>
          <w:tcPr>
            <w:tcW w:w="4933" w:type="dxa"/>
            <w:shd w:val="clear" w:color="auto" w:fill="auto"/>
            <w:vAlign w:val="center"/>
          </w:tcPr>
          <w:p w14:paraId="54CAB561">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8芯</w:t>
            </w:r>
          </w:p>
        </w:tc>
        <w:tc>
          <w:tcPr>
            <w:tcW w:w="0" w:type="auto"/>
            <w:shd w:val="clear" w:color="auto" w:fill="auto"/>
            <w:noWrap/>
            <w:vAlign w:val="center"/>
          </w:tcPr>
          <w:p w14:paraId="7F9D1D2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米</w:t>
            </w:r>
          </w:p>
        </w:tc>
        <w:tc>
          <w:tcPr>
            <w:tcW w:w="0" w:type="auto"/>
            <w:shd w:val="clear" w:color="auto" w:fill="auto"/>
            <w:noWrap/>
            <w:vAlign w:val="center"/>
          </w:tcPr>
          <w:p w14:paraId="497570D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w:t>
            </w:r>
          </w:p>
        </w:tc>
        <w:tc>
          <w:tcPr>
            <w:tcW w:w="0" w:type="auto"/>
            <w:shd w:val="clear" w:color="auto" w:fill="auto"/>
            <w:vAlign w:val="center"/>
          </w:tcPr>
          <w:p w14:paraId="70623CD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EADB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FAC6EB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18</w:t>
            </w:r>
          </w:p>
        </w:tc>
        <w:tc>
          <w:tcPr>
            <w:tcW w:w="1316" w:type="dxa"/>
            <w:shd w:val="clear" w:color="auto" w:fill="auto"/>
            <w:noWrap/>
            <w:vAlign w:val="center"/>
          </w:tcPr>
          <w:p w14:paraId="2520AF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其他辅材</w:t>
            </w:r>
          </w:p>
        </w:tc>
        <w:tc>
          <w:tcPr>
            <w:tcW w:w="4933" w:type="dxa"/>
            <w:shd w:val="clear" w:color="auto" w:fill="auto"/>
            <w:vAlign w:val="center"/>
          </w:tcPr>
          <w:p w14:paraId="720A3FE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水晶头、扎带、标签、胶带、接头、尾纤、标识、接线板、光纤跳线、熔接、抱箍等其他安装辅材</w:t>
            </w:r>
          </w:p>
        </w:tc>
        <w:tc>
          <w:tcPr>
            <w:tcW w:w="0" w:type="auto"/>
            <w:shd w:val="clear" w:color="auto" w:fill="auto"/>
            <w:noWrap/>
            <w:vAlign w:val="center"/>
          </w:tcPr>
          <w:p w14:paraId="0E42B08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F7BE2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05A7BA96">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E0C8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8A4F60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19</w:t>
            </w:r>
          </w:p>
        </w:tc>
        <w:tc>
          <w:tcPr>
            <w:tcW w:w="1316" w:type="dxa"/>
            <w:shd w:val="clear" w:color="auto" w:fill="auto"/>
            <w:noWrap/>
            <w:vAlign w:val="center"/>
          </w:tcPr>
          <w:p w14:paraId="2B7FEA4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电警杆件主体</w:t>
            </w:r>
          </w:p>
        </w:tc>
        <w:tc>
          <w:tcPr>
            <w:tcW w:w="4933" w:type="dxa"/>
            <w:shd w:val="clear" w:color="auto" w:fill="auto"/>
            <w:vAlign w:val="center"/>
          </w:tcPr>
          <w:p w14:paraId="654B56F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横杆8-10米，直杆净高7米，L型八角卡口杆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整杆热镀锌喷塑处理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地笼：圆钢M32*1000*8支</w:t>
            </w:r>
          </w:p>
        </w:tc>
        <w:tc>
          <w:tcPr>
            <w:tcW w:w="0" w:type="auto"/>
            <w:shd w:val="clear" w:color="auto" w:fill="auto"/>
            <w:noWrap/>
            <w:vAlign w:val="center"/>
          </w:tcPr>
          <w:p w14:paraId="165361C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17D9C27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7302BC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40DC5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244DA7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316" w:type="dxa"/>
            <w:shd w:val="clear" w:color="auto" w:fill="auto"/>
            <w:noWrap/>
            <w:vAlign w:val="center"/>
          </w:tcPr>
          <w:p w14:paraId="267D4D1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机柜基础</w:t>
            </w:r>
          </w:p>
        </w:tc>
        <w:tc>
          <w:tcPr>
            <w:tcW w:w="4933" w:type="dxa"/>
            <w:shd w:val="clear" w:color="auto" w:fill="auto"/>
            <w:vAlign w:val="center"/>
          </w:tcPr>
          <w:p w14:paraId="300320A2">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500*500*1000mm 含开挖、混凝土浇筑及恢复</w:t>
            </w:r>
          </w:p>
        </w:tc>
        <w:tc>
          <w:tcPr>
            <w:tcW w:w="0" w:type="auto"/>
            <w:shd w:val="clear" w:color="auto" w:fill="auto"/>
            <w:noWrap/>
            <w:vAlign w:val="center"/>
          </w:tcPr>
          <w:p w14:paraId="0307B6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5A0268C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0" w:type="auto"/>
            <w:shd w:val="clear" w:color="auto" w:fill="auto"/>
            <w:vAlign w:val="center"/>
          </w:tcPr>
          <w:p w14:paraId="6494F087">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5428B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01443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w:t>
            </w:r>
          </w:p>
        </w:tc>
        <w:tc>
          <w:tcPr>
            <w:tcW w:w="1316" w:type="dxa"/>
            <w:shd w:val="clear" w:color="auto" w:fill="auto"/>
            <w:noWrap/>
            <w:vAlign w:val="center"/>
          </w:tcPr>
          <w:p w14:paraId="047611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立杆基础</w:t>
            </w:r>
          </w:p>
        </w:tc>
        <w:tc>
          <w:tcPr>
            <w:tcW w:w="4933" w:type="dxa"/>
            <w:shd w:val="clear" w:color="auto" w:fill="auto"/>
            <w:vAlign w:val="center"/>
          </w:tcPr>
          <w:p w14:paraId="407ED64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C25混凝土基础1.8m×1.8m×2m</w:t>
            </w:r>
          </w:p>
        </w:tc>
        <w:tc>
          <w:tcPr>
            <w:tcW w:w="0" w:type="auto"/>
            <w:shd w:val="clear" w:color="auto" w:fill="auto"/>
            <w:noWrap/>
            <w:vAlign w:val="center"/>
          </w:tcPr>
          <w:p w14:paraId="5CF01CB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028A83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7D417B6B">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0F5D7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8C3074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p>
        </w:tc>
        <w:tc>
          <w:tcPr>
            <w:tcW w:w="1316" w:type="dxa"/>
            <w:shd w:val="clear" w:color="auto" w:fill="auto"/>
            <w:noWrap/>
            <w:vAlign w:val="center"/>
          </w:tcPr>
          <w:p w14:paraId="2CFC169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立杆吊装</w:t>
            </w:r>
          </w:p>
        </w:tc>
        <w:tc>
          <w:tcPr>
            <w:tcW w:w="4933" w:type="dxa"/>
            <w:shd w:val="clear" w:color="auto" w:fill="auto"/>
            <w:vAlign w:val="center"/>
          </w:tcPr>
          <w:p w14:paraId="5DFBCE9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吊车的费用</w:t>
            </w:r>
          </w:p>
        </w:tc>
        <w:tc>
          <w:tcPr>
            <w:tcW w:w="0" w:type="auto"/>
            <w:shd w:val="clear" w:color="auto" w:fill="auto"/>
            <w:noWrap/>
            <w:vAlign w:val="center"/>
          </w:tcPr>
          <w:p w14:paraId="2030422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根</w:t>
            </w:r>
          </w:p>
        </w:tc>
        <w:tc>
          <w:tcPr>
            <w:tcW w:w="0" w:type="auto"/>
            <w:shd w:val="clear" w:color="auto" w:fill="auto"/>
            <w:noWrap/>
            <w:vAlign w:val="center"/>
          </w:tcPr>
          <w:p w14:paraId="7665C15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6096AC51">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90E9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F94BC4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w:t>
            </w:r>
          </w:p>
        </w:tc>
        <w:tc>
          <w:tcPr>
            <w:tcW w:w="1316" w:type="dxa"/>
            <w:shd w:val="clear" w:color="auto" w:fill="auto"/>
            <w:noWrap/>
            <w:vAlign w:val="center"/>
          </w:tcPr>
          <w:p w14:paraId="58083F6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防雷接地体制作</w:t>
            </w:r>
          </w:p>
        </w:tc>
        <w:tc>
          <w:tcPr>
            <w:tcW w:w="4933" w:type="dxa"/>
            <w:shd w:val="clear" w:color="auto" w:fill="auto"/>
            <w:vAlign w:val="center"/>
          </w:tcPr>
          <w:p w14:paraId="4F75D2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接地电阻一般要求≤10欧姆</w:t>
            </w:r>
          </w:p>
        </w:tc>
        <w:tc>
          <w:tcPr>
            <w:tcW w:w="0" w:type="auto"/>
            <w:shd w:val="clear" w:color="auto" w:fill="auto"/>
            <w:noWrap/>
            <w:vAlign w:val="center"/>
          </w:tcPr>
          <w:p w14:paraId="760EB3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0" w:type="auto"/>
            <w:shd w:val="clear" w:color="auto" w:fill="auto"/>
            <w:noWrap/>
            <w:vAlign w:val="center"/>
          </w:tcPr>
          <w:p w14:paraId="2CFD3A8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3CFF4BDF">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62920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2ED65D7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24</w:t>
            </w:r>
          </w:p>
        </w:tc>
        <w:tc>
          <w:tcPr>
            <w:tcW w:w="1316" w:type="dxa"/>
            <w:shd w:val="clear" w:color="auto" w:fill="auto"/>
            <w:noWrap/>
            <w:vAlign w:val="center"/>
          </w:tcPr>
          <w:p w14:paraId="70CD941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二合一防雷器</w:t>
            </w:r>
          </w:p>
        </w:tc>
        <w:tc>
          <w:tcPr>
            <w:tcW w:w="4933" w:type="dxa"/>
            <w:shd w:val="clear" w:color="auto" w:fill="auto"/>
            <w:vAlign w:val="center"/>
          </w:tcPr>
          <w:p w14:paraId="19B851F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200V电源+网络信号</w:t>
            </w:r>
          </w:p>
        </w:tc>
        <w:tc>
          <w:tcPr>
            <w:tcW w:w="0" w:type="auto"/>
            <w:shd w:val="clear" w:color="auto" w:fill="auto"/>
            <w:noWrap/>
            <w:vAlign w:val="center"/>
          </w:tcPr>
          <w:p w14:paraId="4F2C349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0" w:type="auto"/>
            <w:shd w:val="clear" w:color="auto" w:fill="auto"/>
            <w:noWrap/>
            <w:vAlign w:val="center"/>
          </w:tcPr>
          <w:p w14:paraId="6DEA348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0" w:type="auto"/>
            <w:shd w:val="clear" w:color="auto" w:fill="auto"/>
            <w:vAlign w:val="center"/>
          </w:tcPr>
          <w:p w14:paraId="39A0A2CA">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25948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64383A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316" w:type="dxa"/>
            <w:shd w:val="clear" w:color="auto" w:fill="auto"/>
            <w:noWrap/>
            <w:vAlign w:val="center"/>
          </w:tcPr>
          <w:p w14:paraId="371F280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小计12</w:t>
            </w:r>
          </w:p>
        </w:tc>
        <w:tc>
          <w:tcPr>
            <w:tcW w:w="4933" w:type="dxa"/>
            <w:shd w:val="clear" w:color="auto" w:fill="auto"/>
            <w:vAlign w:val="center"/>
          </w:tcPr>
          <w:p w14:paraId="414FD7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EFFE25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noWrap/>
            <w:vAlign w:val="center"/>
          </w:tcPr>
          <w:p w14:paraId="299B3ED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0" w:type="auto"/>
            <w:shd w:val="clear" w:color="auto" w:fill="auto"/>
            <w:vAlign w:val="center"/>
          </w:tcPr>
          <w:p w14:paraId="3868BFD8">
            <w:pPr>
              <w:widowControl/>
              <w:spacing w:line="240" w:lineRule="auto"/>
              <w:ind w:firstLine="0" w:firstLineChars="0"/>
              <w:jc w:val="left"/>
              <w:rPr>
                <w:rFonts w:hint="eastAsia" w:ascii="宋体" w:hAnsi="宋体" w:eastAsia="宋体" w:cs="宋体"/>
                <w:color w:val="FF0000"/>
                <w:kern w:val="0"/>
                <w:sz w:val="20"/>
                <w:szCs w:val="20"/>
              </w:rPr>
            </w:pPr>
            <w:r>
              <w:rPr>
                <w:rFonts w:hint="eastAsia" w:ascii="宋体" w:hAnsi="宋体" w:eastAsia="宋体" w:cs="宋体"/>
                <w:color w:val="FF0000"/>
                <w:kern w:val="0"/>
                <w:sz w:val="20"/>
                <w:szCs w:val="20"/>
              </w:rPr>
              <w:t>　</w:t>
            </w:r>
          </w:p>
        </w:tc>
      </w:tr>
      <w:tr w14:paraId="3B2A3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E2E78D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1316" w:type="dxa"/>
            <w:shd w:val="clear" w:color="auto" w:fill="auto"/>
            <w:noWrap/>
            <w:vAlign w:val="center"/>
          </w:tcPr>
          <w:p w14:paraId="67DFAF38">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合计二</w:t>
            </w:r>
          </w:p>
        </w:tc>
        <w:tc>
          <w:tcPr>
            <w:tcW w:w="4933" w:type="dxa"/>
            <w:shd w:val="clear" w:color="auto" w:fill="auto"/>
            <w:vAlign w:val="center"/>
          </w:tcPr>
          <w:p w14:paraId="0B51D7A1">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5DC9FE9F">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noWrap/>
            <w:vAlign w:val="center"/>
          </w:tcPr>
          <w:p w14:paraId="293A1060">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　</w:t>
            </w:r>
          </w:p>
        </w:tc>
        <w:tc>
          <w:tcPr>
            <w:tcW w:w="0" w:type="auto"/>
            <w:shd w:val="clear" w:color="auto" w:fill="auto"/>
            <w:vAlign w:val="center"/>
          </w:tcPr>
          <w:p w14:paraId="5D059B78">
            <w:pPr>
              <w:widowControl/>
              <w:spacing w:line="240" w:lineRule="auto"/>
              <w:ind w:firstLine="0" w:firstLineChars="0"/>
              <w:jc w:val="left"/>
              <w:rPr>
                <w:rFonts w:hint="eastAsia" w:ascii="宋体" w:hAnsi="宋体" w:eastAsia="宋体" w:cs="宋体"/>
                <w:b/>
                <w:bCs/>
                <w:color w:val="FF0000"/>
                <w:kern w:val="0"/>
                <w:sz w:val="20"/>
                <w:szCs w:val="20"/>
              </w:rPr>
            </w:pPr>
            <w:r>
              <w:rPr>
                <w:rFonts w:hint="eastAsia" w:ascii="宋体" w:hAnsi="宋体" w:eastAsia="宋体" w:cs="宋体"/>
                <w:b/>
                <w:bCs/>
                <w:color w:val="FF0000"/>
                <w:kern w:val="0"/>
                <w:sz w:val="20"/>
                <w:szCs w:val="20"/>
              </w:rPr>
              <w:t>　</w:t>
            </w:r>
          </w:p>
        </w:tc>
      </w:tr>
    </w:tbl>
    <w:p w14:paraId="6EF580A8">
      <w:pPr>
        <w:ind w:firstLine="480"/>
      </w:pPr>
    </w:p>
    <w:p w14:paraId="16C9F592">
      <w:pPr>
        <w:pStyle w:val="4"/>
      </w:pPr>
      <w:r>
        <w:rPr>
          <w:rFonts w:hint="eastAsia"/>
        </w:rPr>
        <w:t>交通综合管控平台</w:t>
      </w:r>
    </w:p>
    <w:p w14:paraId="62FFE371">
      <w:pPr>
        <w:pStyle w:val="5"/>
      </w:pPr>
      <w:r>
        <w:rPr>
          <w:rFonts w:hint="eastAsia"/>
        </w:rPr>
        <w:t>软件功能要求</w:t>
      </w:r>
    </w:p>
    <w:p w14:paraId="0B72DC1B">
      <w:pPr>
        <w:pStyle w:val="6"/>
        <w:tabs>
          <w:tab w:val="clear" w:pos="425"/>
        </w:tabs>
        <w:rPr>
          <w:rFonts w:ascii="宋体" w:hAnsi="宋体"/>
        </w:rPr>
      </w:pPr>
      <w:r>
        <w:rPr>
          <w:rFonts w:hint="eastAsia" w:ascii="宋体" w:hAnsi="宋体"/>
        </w:rPr>
        <w:t>基础应用</w:t>
      </w:r>
    </w:p>
    <w:p w14:paraId="5072A118">
      <w:pPr>
        <w:pStyle w:val="9"/>
        <w:tabs>
          <w:tab w:val="clear" w:pos="425"/>
        </w:tabs>
      </w:pPr>
      <w:r>
        <w:rPr>
          <w:rFonts w:hint="eastAsia"/>
        </w:rPr>
        <w:t>门户</w:t>
      </w:r>
    </w:p>
    <w:p w14:paraId="589AF2C7">
      <w:pPr>
        <w:ind w:firstLine="480"/>
        <w:rPr>
          <w:rFonts w:hint="eastAsia"/>
        </w:rPr>
      </w:pPr>
      <w:r>
        <w:rPr>
          <w:rFonts w:hint="eastAsia"/>
        </w:rPr>
        <w:t>支持应用以标签页方式嵌入显示在门户中，最多支持打开20个标签页；支持刷新、关闭当前标签页，同时支持快速关闭当前标签页左侧或右侧所有应用、关闭除了当前应用外所有应用、以及关闭所有已打开的应用；</w:t>
      </w:r>
    </w:p>
    <w:p w14:paraId="4B60AD0F">
      <w:pPr>
        <w:ind w:firstLine="480"/>
        <w:rPr>
          <w:rFonts w:hint="eastAsia"/>
        </w:rPr>
      </w:pPr>
      <w:r>
        <w:rPr>
          <w:rFonts w:hint="eastAsia"/>
        </w:rPr>
        <w:t>支持记忆标签设置，开启设置后，再次登录系统后，自动打开上次退出登录时打开的标签页面；</w:t>
      </w:r>
    </w:p>
    <w:p w14:paraId="56DC0073">
      <w:pPr>
        <w:ind w:firstLine="480"/>
        <w:rPr>
          <w:rFonts w:hint="eastAsia"/>
        </w:rPr>
      </w:pPr>
      <w:r>
        <w:rPr>
          <w:rFonts w:hint="eastAsia"/>
        </w:rPr>
        <w:t>支持用户将个人常用的应用菜单加入到快捷入口栏中，方便用户快速打开相关常用应用；</w:t>
      </w:r>
    </w:p>
    <w:p w14:paraId="510A1A1D">
      <w:pPr>
        <w:ind w:firstLine="480"/>
        <w:rPr>
          <w:rFonts w:hint="eastAsia"/>
        </w:rPr>
      </w:pPr>
      <w:r>
        <w:rPr>
          <w:rFonts w:hint="eastAsia"/>
        </w:rPr>
        <w:t>支持拖动调节应用显示的前后顺序，支持一键清空所有常用应用；</w:t>
      </w:r>
    </w:p>
    <w:p w14:paraId="0B989850">
      <w:pPr>
        <w:ind w:firstLine="480"/>
        <w:rPr>
          <w:rFonts w:hint="eastAsia"/>
        </w:rPr>
      </w:pPr>
      <w:r>
        <w:rPr>
          <w:rFonts w:hint="eastAsia"/>
        </w:rPr>
        <w:t>支持鼠标悬停分类展示系统菜单，并支持快速打开对应应用；</w:t>
      </w:r>
    </w:p>
    <w:p w14:paraId="7817FD5D">
      <w:pPr>
        <w:ind w:firstLine="480"/>
        <w:rPr>
          <w:rFonts w:hint="eastAsia"/>
        </w:rPr>
      </w:pPr>
      <w:r>
        <w:rPr>
          <w:rFonts w:hint="eastAsia"/>
        </w:rPr>
        <w:t>支持点击右侧菜单分类，可直接定位到该分类所在位置；</w:t>
      </w:r>
    </w:p>
    <w:p w14:paraId="4B5FE3DA">
      <w:pPr>
        <w:ind w:firstLine="480"/>
        <w:rPr>
          <w:rFonts w:hint="eastAsia"/>
        </w:rPr>
      </w:pPr>
      <w:r>
        <w:rPr>
          <w:rFonts w:hint="eastAsia"/>
        </w:rPr>
        <w:t>支持下载系统默认初始化上传好的客户端、批量配置工具、插件助手、web视频插件工具安装包；移动客户端支持扫描二维码下载；</w:t>
      </w:r>
    </w:p>
    <w:p w14:paraId="38B500D5">
      <w:pPr>
        <w:ind w:firstLine="480"/>
        <w:rPr>
          <w:rFonts w:hint="eastAsia"/>
        </w:rPr>
      </w:pPr>
      <w:r>
        <w:rPr>
          <w:rFonts w:hint="eastAsia"/>
        </w:rPr>
        <w:t>如当前主题无法满足用户需求，系统还支持自定义配置主题，可选取已有部件（或上传业务中心做的部件），自定义摆放位置和大小，并支持首页名称、画布尺寸、主题背景、全景背景的设置，形成自定义首页；</w:t>
      </w:r>
    </w:p>
    <w:p w14:paraId="12EDAEAB">
      <w:pPr>
        <w:ind w:firstLine="480"/>
        <w:rPr>
          <w:rFonts w:hint="eastAsia"/>
        </w:rPr>
      </w:pPr>
      <w:r>
        <w:rPr>
          <w:rFonts w:hint="eastAsia"/>
        </w:rPr>
        <w:t>支持门户主题关联角色，使不同的用户登录有不同的门户首页；</w:t>
      </w:r>
    </w:p>
    <w:p w14:paraId="43528DF1">
      <w:pPr>
        <w:ind w:firstLine="480"/>
        <w:rPr>
          <w:rFonts w:hint="eastAsia"/>
        </w:rPr>
      </w:pPr>
      <w:r>
        <w:rPr>
          <w:rFonts w:hint="eastAsia"/>
        </w:rPr>
        <w:t>支持用户退出、修改登录密码，支持显示系统名称、型号、版本信息。</w:t>
      </w:r>
    </w:p>
    <w:p w14:paraId="511C3CC1">
      <w:pPr>
        <w:pStyle w:val="9"/>
        <w:tabs>
          <w:tab w:val="clear" w:pos="425"/>
        </w:tabs>
      </w:pPr>
      <w:r>
        <w:rPr>
          <w:rFonts w:hint="eastAsia"/>
        </w:rPr>
        <w:t>用户身份认证</w:t>
      </w:r>
    </w:p>
    <w:p w14:paraId="435388A9">
      <w:pPr>
        <w:ind w:firstLine="480"/>
        <w:rPr>
          <w:rFonts w:hint="eastAsia"/>
        </w:rPr>
      </w:pPr>
      <w:r>
        <w:rPr>
          <w:rFonts w:hint="eastAsia"/>
        </w:rPr>
        <w:t>系统支持用户名密码登录方式，用户首次登陆或重置密码后登陆需强制修改密码，支持密码输入自动不显示明文功能；</w:t>
      </w:r>
    </w:p>
    <w:p w14:paraId="76AE9F59">
      <w:pPr>
        <w:ind w:firstLine="480"/>
        <w:rPr>
          <w:rFonts w:hint="eastAsia"/>
        </w:rPr>
      </w:pPr>
      <w:r>
        <w:rPr>
          <w:rFonts w:hint="eastAsia"/>
        </w:rPr>
        <w:t>支持记住用户名，下次打开登录页面时自动填入记住的用户名；</w:t>
      </w:r>
    </w:p>
    <w:p w14:paraId="2423FF03">
      <w:pPr>
        <w:ind w:firstLine="480"/>
        <w:rPr>
          <w:rFonts w:hint="eastAsia"/>
        </w:rPr>
      </w:pPr>
      <w:r>
        <w:rPr>
          <w:rFonts w:hint="eastAsia"/>
        </w:rPr>
        <w:t>支持限制同一账号允许同时在线的数量，数量可以设置；</w:t>
      </w:r>
    </w:p>
    <w:p w14:paraId="13FADC4D">
      <w:pPr>
        <w:ind w:firstLine="480"/>
        <w:rPr>
          <w:rFonts w:hint="eastAsia"/>
        </w:rPr>
      </w:pPr>
      <w:r>
        <w:rPr>
          <w:rFonts w:hint="eastAsia"/>
        </w:rPr>
        <w:t>支持自动锁定用户ip，当用户连续登录失败次数超过3次时，需要输入验证码；当用户连续登录失败次数超过5次时，用户将被暂时锁定。</w:t>
      </w:r>
    </w:p>
    <w:p w14:paraId="19E23105">
      <w:pPr>
        <w:pStyle w:val="9"/>
        <w:tabs>
          <w:tab w:val="clear" w:pos="425"/>
        </w:tabs>
      </w:pPr>
      <w:r>
        <w:rPr>
          <w:rFonts w:hint="eastAsia"/>
        </w:rPr>
        <w:t>登录页配置</w:t>
      </w:r>
    </w:p>
    <w:p w14:paraId="157F4564">
      <w:pPr>
        <w:ind w:firstLine="480"/>
        <w:rPr>
          <w:rFonts w:hint="eastAsia"/>
        </w:rPr>
      </w:pPr>
      <w:r>
        <w:rPr>
          <w:rFonts w:hint="eastAsia"/>
        </w:rPr>
        <w:t>支持登录页的新建；</w:t>
      </w:r>
    </w:p>
    <w:p w14:paraId="4E95C620">
      <w:pPr>
        <w:ind w:firstLine="480"/>
        <w:rPr>
          <w:rFonts w:hint="eastAsia"/>
        </w:rPr>
      </w:pPr>
      <w:r>
        <w:rPr>
          <w:rFonts w:hint="eastAsia"/>
        </w:rPr>
        <w:t>支持导入现有的登录页主题；</w:t>
      </w:r>
    </w:p>
    <w:p w14:paraId="62DE8753">
      <w:pPr>
        <w:ind w:firstLine="480"/>
        <w:rPr>
          <w:rFonts w:hint="eastAsia"/>
        </w:rPr>
      </w:pPr>
      <w:r>
        <w:rPr>
          <w:rFonts w:hint="eastAsia"/>
        </w:rPr>
        <w:t>支持对跳转地址、LOGO、背景样式、页面背景、前景插图、链接样式进行效果和风格调整。</w:t>
      </w:r>
    </w:p>
    <w:p w14:paraId="0DFA62DB">
      <w:pPr>
        <w:pStyle w:val="9"/>
        <w:tabs>
          <w:tab w:val="clear" w:pos="425"/>
        </w:tabs>
      </w:pPr>
      <w:r>
        <w:rPr>
          <w:rFonts w:hint="eastAsia"/>
        </w:rPr>
        <w:t>首页配置</w:t>
      </w:r>
    </w:p>
    <w:p w14:paraId="59AF2E05">
      <w:pPr>
        <w:ind w:firstLine="480"/>
        <w:rPr>
          <w:rFonts w:hint="eastAsia"/>
        </w:rPr>
      </w:pPr>
      <w:r>
        <w:rPr>
          <w:rFonts w:hint="eastAsia"/>
        </w:rPr>
        <w:t>支持修改网站标题；</w:t>
      </w:r>
    </w:p>
    <w:p w14:paraId="30855414">
      <w:pPr>
        <w:ind w:firstLine="480"/>
        <w:rPr>
          <w:rFonts w:hint="eastAsia"/>
        </w:rPr>
      </w:pPr>
      <w:r>
        <w:rPr>
          <w:rFonts w:hint="eastAsia"/>
        </w:rPr>
        <w:t>支持上传页面logo图标和网站logo图标；</w:t>
      </w:r>
    </w:p>
    <w:p w14:paraId="05F74A14">
      <w:pPr>
        <w:ind w:firstLine="480"/>
        <w:rPr>
          <w:rFonts w:hint="eastAsia"/>
        </w:rPr>
      </w:pPr>
      <w:r>
        <w:rPr>
          <w:rFonts w:hint="eastAsia"/>
        </w:rPr>
        <w:t>支持展示自带的门户部件和自定义部件，拖拽至主题中，并编辑部件的摆放位置，大小；</w:t>
      </w:r>
    </w:p>
    <w:p w14:paraId="7AE18753">
      <w:pPr>
        <w:ind w:firstLine="480"/>
        <w:rPr>
          <w:rFonts w:hint="eastAsia"/>
        </w:rPr>
      </w:pPr>
      <w:r>
        <w:rPr>
          <w:rFonts w:hint="eastAsia"/>
        </w:rPr>
        <w:t>支持对首页名称、画布尺寸、显示模式、主题背景、全景背景进行设置；</w:t>
      </w:r>
    </w:p>
    <w:p w14:paraId="391185D8">
      <w:pPr>
        <w:ind w:firstLine="480"/>
        <w:rPr>
          <w:rFonts w:hint="eastAsia"/>
        </w:rPr>
      </w:pPr>
      <w:r>
        <w:rPr>
          <w:rFonts w:hint="eastAsia"/>
        </w:rPr>
        <w:t>支持主题url的复制、编辑、预览，复制、导出和删除，支持主题的发布，只有发布后才能在首页展示；</w:t>
      </w:r>
    </w:p>
    <w:p w14:paraId="704891B2">
      <w:pPr>
        <w:ind w:firstLine="480"/>
        <w:rPr>
          <w:rFonts w:hint="eastAsia"/>
        </w:rPr>
      </w:pPr>
      <w:r>
        <w:rPr>
          <w:rFonts w:hint="eastAsia"/>
        </w:rPr>
        <w:t>支持为某个主题配置关联角色，配置后，该角色的用户默认登录就展示该主题。</w:t>
      </w:r>
    </w:p>
    <w:p w14:paraId="2B0A5EE3">
      <w:pPr>
        <w:pStyle w:val="9"/>
        <w:tabs>
          <w:tab w:val="clear" w:pos="425"/>
        </w:tabs>
      </w:pPr>
      <w:r>
        <w:rPr>
          <w:rFonts w:hint="eastAsia"/>
        </w:rPr>
        <w:t>插件管理</w:t>
      </w:r>
    </w:p>
    <w:p w14:paraId="47E702CE">
      <w:pPr>
        <w:ind w:firstLine="480"/>
        <w:rPr>
          <w:rFonts w:hint="eastAsia"/>
        </w:rPr>
      </w:pPr>
      <w:r>
        <w:rPr>
          <w:rFonts w:hint="eastAsia"/>
        </w:rPr>
        <w:t>支持列表展示系统插件工具，包括图标、名称、描述信息；</w:t>
      </w:r>
    </w:p>
    <w:p w14:paraId="04637899">
      <w:pPr>
        <w:ind w:firstLine="480"/>
        <w:rPr>
          <w:rFonts w:hint="eastAsia"/>
        </w:rPr>
      </w:pPr>
      <w:r>
        <w:rPr>
          <w:rFonts w:hint="eastAsia"/>
        </w:rPr>
        <w:t>支持更改插件工具在插件助手中的排列顺序；</w:t>
      </w:r>
    </w:p>
    <w:p w14:paraId="77163E4D">
      <w:pPr>
        <w:ind w:firstLine="480"/>
        <w:rPr>
          <w:rFonts w:hint="eastAsia"/>
        </w:rPr>
      </w:pPr>
      <w:r>
        <w:rPr>
          <w:rFonts w:hint="eastAsia"/>
        </w:rPr>
        <w:t>支持批量或单个删除插件；</w:t>
      </w:r>
    </w:p>
    <w:p w14:paraId="2B60FD12">
      <w:pPr>
        <w:ind w:firstLine="480"/>
        <w:rPr>
          <w:rFonts w:hint="eastAsia"/>
        </w:rPr>
      </w:pPr>
      <w:r>
        <w:rPr>
          <w:rFonts w:hint="eastAsia"/>
        </w:rPr>
        <w:t>支持恢复默认页面设置；</w:t>
      </w:r>
    </w:p>
    <w:p w14:paraId="42D960FF">
      <w:pPr>
        <w:ind w:firstLine="480"/>
        <w:rPr>
          <w:rFonts w:hint="eastAsia"/>
        </w:rPr>
      </w:pPr>
      <w:r>
        <w:rPr>
          <w:rFonts w:hint="eastAsia"/>
        </w:rPr>
        <w:t>支持通过上传添加新的插件工具。</w:t>
      </w:r>
    </w:p>
    <w:p w14:paraId="286AFF17">
      <w:pPr>
        <w:pStyle w:val="9"/>
        <w:tabs>
          <w:tab w:val="clear" w:pos="425"/>
        </w:tabs>
      </w:pPr>
      <w:r>
        <w:rPr>
          <w:rFonts w:hint="eastAsia"/>
        </w:rPr>
        <w:t>菜单配置</w:t>
      </w:r>
    </w:p>
    <w:p w14:paraId="2BC8D0C6">
      <w:pPr>
        <w:ind w:firstLine="480"/>
        <w:rPr>
          <w:rFonts w:hint="eastAsia"/>
        </w:rPr>
      </w:pPr>
      <w:r>
        <w:rPr>
          <w:rFonts w:hint="eastAsia"/>
        </w:rPr>
        <w:t>支持编辑应用下的菜单项；</w:t>
      </w:r>
    </w:p>
    <w:p w14:paraId="51FE1757">
      <w:pPr>
        <w:ind w:firstLine="480"/>
        <w:rPr>
          <w:rFonts w:hint="eastAsia"/>
        </w:rPr>
      </w:pPr>
      <w:r>
        <w:rPr>
          <w:rFonts w:hint="eastAsia"/>
        </w:rPr>
        <w:t>支持调整菜单顺序；</w:t>
      </w:r>
    </w:p>
    <w:p w14:paraId="1BD25586">
      <w:pPr>
        <w:ind w:firstLine="480"/>
        <w:rPr>
          <w:rFonts w:hint="eastAsia"/>
        </w:rPr>
      </w:pPr>
      <w:r>
        <w:rPr>
          <w:rFonts w:hint="eastAsia"/>
        </w:rPr>
        <w:t>支持新增菜单项及页面，最多三级菜单；</w:t>
      </w:r>
    </w:p>
    <w:p w14:paraId="6F27C540">
      <w:pPr>
        <w:ind w:firstLine="480"/>
        <w:rPr>
          <w:rFonts w:hint="eastAsia"/>
        </w:rPr>
      </w:pPr>
      <w:r>
        <w:rPr>
          <w:rFonts w:hint="eastAsia"/>
        </w:rPr>
        <w:t>支持查看菜单名称、上级菜单、URL链接、来源及图标信息；</w:t>
      </w:r>
    </w:p>
    <w:p w14:paraId="63C724B4">
      <w:pPr>
        <w:ind w:firstLine="480"/>
        <w:rPr>
          <w:rFonts w:hint="eastAsia"/>
        </w:rPr>
      </w:pPr>
      <w:r>
        <w:rPr>
          <w:rFonts w:hint="eastAsia"/>
        </w:rPr>
        <w:t>支持新增菜单分组，最多二级分组；</w:t>
      </w:r>
    </w:p>
    <w:p w14:paraId="69D8025A">
      <w:pPr>
        <w:ind w:firstLine="480"/>
        <w:rPr>
          <w:rFonts w:hint="eastAsia"/>
        </w:rPr>
      </w:pPr>
      <w:r>
        <w:rPr>
          <w:rFonts w:hint="eastAsia"/>
        </w:rPr>
        <w:t>支持删除自定义菜单；</w:t>
      </w:r>
    </w:p>
    <w:p w14:paraId="1EDF254B">
      <w:pPr>
        <w:ind w:firstLine="480"/>
        <w:rPr>
          <w:rFonts w:hint="eastAsia"/>
        </w:rPr>
      </w:pPr>
      <w:r>
        <w:rPr>
          <w:rFonts w:hint="eastAsia"/>
        </w:rPr>
        <w:t>支持菜单同步，支持同步，同步之后重新拉取项目中的默认菜单，自定义菜单保留，顺序置于最下方；</w:t>
      </w:r>
    </w:p>
    <w:p w14:paraId="71A6659E">
      <w:pPr>
        <w:ind w:firstLine="480"/>
        <w:rPr>
          <w:rFonts w:hint="eastAsia"/>
        </w:rPr>
      </w:pPr>
      <w:r>
        <w:rPr>
          <w:rFonts w:hint="eastAsia"/>
        </w:rPr>
        <w:t>支持设置菜单是否显示。</w:t>
      </w:r>
    </w:p>
    <w:p w14:paraId="17954128">
      <w:pPr>
        <w:pStyle w:val="9"/>
        <w:tabs>
          <w:tab w:val="clear" w:pos="425"/>
        </w:tabs>
      </w:pPr>
      <w:r>
        <w:rPr>
          <w:rFonts w:hint="eastAsia"/>
        </w:rPr>
        <w:t>用户管理</w:t>
      </w:r>
    </w:p>
    <w:p w14:paraId="53F15E97">
      <w:pPr>
        <w:ind w:firstLine="480"/>
        <w:rPr>
          <w:rFonts w:hint="eastAsia"/>
        </w:rPr>
      </w:pPr>
      <w:r>
        <w:rPr>
          <w:rFonts w:hint="eastAsia"/>
        </w:rPr>
        <w:t>在用户首页展示用户列表，列表信息包括 用户名、真实姓名、所属用户组、启用状态、在线状态、锁定状态，在用户列表左侧展示用户分组点击左侧的部门树可对应展示该部门下的用户，勾选包含下级后，可展示该部门以及其子部门下所有部门的用户；</w:t>
      </w:r>
    </w:p>
    <w:p w14:paraId="6DC6B67F">
      <w:pPr>
        <w:ind w:firstLine="480"/>
        <w:rPr>
          <w:rFonts w:hint="eastAsia"/>
        </w:rPr>
      </w:pPr>
      <w:r>
        <w:rPr>
          <w:rFonts w:hint="eastAsia"/>
        </w:rPr>
        <w:t>支持用户的添加，包括用户的账户信息、人员信息和权限信息；</w:t>
      </w:r>
    </w:p>
    <w:p w14:paraId="7B5418B3">
      <w:pPr>
        <w:ind w:firstLine="480"/>
        <w:rPr>
          <w:rFonts w:hint="eastAsia"/>
        </w:rPr>
      </w:pPr>
      <w:r>
        <w:rPr>
          <w:rFonts w:hint="eastAsia"/>
        </w:rPr>
        <w:t>支持设置用户权重，用于云台控制锁定，权重越大权限越高；</w:t>
      </w:r>
    </w:p>
    <w:p w14:paraId="644480E3">
      <w:pPr>
        <w:ind w:firstLine="480"/>
        <w:rPr>
          <w:rFonts w:hint="eastAsia"/>
        </w:rPr>
      </w:pPr>
      <w:r>
        <w:rPr>
          <w:rFonts w:hint="eastAsia"/>
        </w:rPr>
        <w:t>支持设置用户登录认证信息，包括登录认证密码、认证方式、登录地址绑定；</w:t>
      </w:r>
    </w:p>
    <w:p w14:paraId="33117A07">
      <w:pPr>
        <w:ind w:firstLine="480"/>
        <w:rPr>
          <w:rFonts w:hint="eastAsia"/>
        </w:rPr>
      </w:pPr>
      <w:r>
        <w:rPr>
          <w:rFonts w:hint="eastAsia"/>
        </w:rPr>
        <w:t>支持设置所属用户组权限及用户权限；</w:t>
      </w:r>
    </w:p>
    <w:p w14:paraId="40833828">
      <w:pPr>
        <w:ind w:firstLine="480"/>
        <w:rPr>
          <w:rFonts w:hint="eastAsia"/>
        </w:rPr>
      </w:pPr>
      <w:r>
        <w:rPr>
          <w:rFonts w:hint="eastAsia"/>
        </w:rPr>
        <w:t>支持单个或批量删除用户；</w:t>
      </w:r>
    </w:p>
    <w:p w14:paraId="050E39AA">
      <w:pPr>
        <w:ind w:firstLine="480"/>
        <w:rPr>
          <w:rFonts w:hint="eastAsia"/>
        </w:rPr>
      </w:pPr>
      <w:r>
        <w:rPr>
          <w:rFonts w:hint="eastAsia"/>
        </w:rPr>
        <w:t>支持单个或批量置顶用户，置顶用户后该用户在列表中排在最前列；</w:t>
      </w:r>
    </w:p>
    <w:p w14:paraId="0DC6EE27">
      <w:pPr>
        <w:ind w:firstLine="480"/>
        <w:rPr>
          <w:rFonts w:hint="eastAsia"/>
        </w:rPr>
      </w:pPr>
      <w:r>
        <w:rPr>
          <w:rFonts w:hint="eastAsia"/>
        </w:rPr>
        <w:t>支持单个或批量启用或禁用用户；</w:t>
      </w:r>
    </w:p>
    <w:p w14:paraId="23AAF4E8">
      <w:pPr>
        <w:ind w:firstLine="480"/>
        <w:rPr>
          <w:rFonts w:hint="eastAsia"/>
        </w:rPr>
      </w:pPr>
      <w:r>
        <w:rPr>
          <w:rFonts w:hint="eastAsia"/>
        </w:rPr>
        <w:t>支持将单个或多个用户变更到其他用户组；</w:t>
      </w:r>
    </w:p>
    <w:p w14:paraId="70823E99">
      <w:pPr>
        <w:ind w:firstLine="480"/>
        <w:rPr>
          <w:rFonts w:hint="eastAsia"/>
        </w:rPr>
      </w:pPr>
      <w:r>
        <w:rPr>
          <w:rFonts w:hint="eastAsia"/>
        </w:rPr>
        <w:t>支持管理员将单个或多个用户密码重置为默认密码；用户重置密码后初次登录强制要求修改密码；</w:t>
      </w:r>
    </w:p>
    <w:p w14:paraId="4FA85703">
      <w:pPr>
        <w:ind w:firstLine="480"/>
        <w:rPr>
          <w:rFonts w:hint="eastAsia"/>
        </w:rPr>
      </w:pPr>
      <w:r>
        <w:rPr>
          <w:rFonts w:hint="eastAsia"/>
        </w:rPr>
        <w:t>支持根据用户名、用户状态、真实姓名、手机号码进行过滤，展示符合条件的用户信息；</w:t>
      </w:r>
    </w:p>
    <w:p w14:paraId="081EE96E">
      <w:pPr>
        <w:ind w:firstLine="480"/>
        <w:rPr>
          <w:rFonts w:hint="eastAsia"/>
        </w:rPr>
      </w:pPr>
      <w:r>
        <w:rPr>
          <w:rFonts w:hint="eastAsia"/>
        </w:rPr>
        <w:t>支持根据条件导出用户信息；</w:t>
      </w:r>
    </w:p>
    <w:p w14:paraId="24EDE48C">
      <w:pPr>
        <w:ind w:firstLine="480"/>
        <w:rPr>
          <w:rFonts w:hint="eastAsia"/>
        </w:rPr>
      </w:pPr>
      <w:r>
        <w:rPr>
          <w:rFonts w:hint="eastAsia"/>
        </w:rPr>
        <w:t>支持导入正确填写的用户文件；若因数据内容错误导致导入失败时，支持用户下载导入失败报告，查看错误信息；</w:t>
      </w:r>
    </w:p>
    <w:p w14:paraId="5565A28E">
      <w:pPr>
        <w:ind w:firstLine="480"/>
        <w:rPr>
          <w:rFonts w:hint="eastAsia"/>
        </w:rPr>
      </w:pPr>
      <w:r>
        <w:rPr>
          <w:rFonts w:hint="eastAsia"/>
        </w:rPr>
        <w:t>支持查看用户的信息，包括用户的账户信息、人员信息和权限信息；</w:t>
      </w:r>
    </w:p>
    <w:p w14:paraId="3719F74E">
      <w:pPr>
        <w:ind w:firstLine="480"/>
        <w:rPr>
          <w:rFonts w:hint="eastAsia"/>
        </w:rPr>
      </w:pPr>
      <w:r>
        <w:rPr>
          <w:rFonts w:hint="eastAsia"/>
        </w:rPr>
        <w:t>除管理员用户外，支持编辑用户身份信息，用户名创建后不允许修改；</w:t>
      </w:r>
    </w:p>
    <w:p w14:paraId="7A313D61">
      <w:pPr>
        <w:ind w:firstLine="480"/>
        <w:rPr>
          <w:rFonts w:hint="eastAsia"/>
        </w:rPr>
      </w:pPr>
      <w:r>
        <w:rPr>
          <w:rFonts w:hint="eastAsia"/>
        </w:rPr>
        <w:t>除管理员用户外，支持修改用户关联的角色以及是否继承部门权限；</w:t>
      </w:r>
    </w:p>
    <w:p w14:paraId="4E0CAE78">
      <w:pPr>
        <w:ind w:firstLine="480"/>
        <w:rPr>
          <w:rFonts w:hint="eastAsia"/>
        </w:rPr>
      </w:pPr>
      <w:r>
        <w:rPr>
          <w:rFonts w:hint="eastAsia"/>
        </w:rPr>
        <w:t>除管理员用户外，支持设置用户登录认证密码、认证方式、登录地址绑定。</w:t>
      </w:r>
    </w:p>
    <w:p w14:paraId="578E11BA">
      <w:pPr>
        <w:pStyle w:val="9"/>
        <w:tabs>
          <w:tab w:val="clear" w:pos="425"/>
        </w:tabs>
      </w:pPr>
      <w:r>
        <w:rPr>
          <w:rFonts w:hint="eastAsia"/>
        </w:rPr>
        <w:t>角色管理</w:t>
      </w:r>
    </w:p>
    <w:p w14:paraId="004AE823">
      <w:pPr>
        <w:ind w:firstLine="480"/>
        <w:rPr>
          <w:rFonts w:hint="eastAsia"/>
        </w:rPr>
      </w:pPr>
      <w:r>
        <w:rPr>
          <w:rFonts w:hint="eastAsia"/>
        </w:rPr>
        <w:t>支持列表展示系统当前已创建的应用角色及管理角色，列表信息有：角色名称、可授权状态、启用状态、描述信息、创建时间、创建用户；</w:t>
      </w:r>
    </w:p>
    <w:p w14:paraId="54B838D7">
      <w:pPr>
        <w:ind w:firstLine="480"/>
        <w:rPr>
          <w:rFonts w:hint="eastAsia"/>
        </w:rPr>
      </w:pPr>
      <w:r>
        <w:rPr>
          <w:rFonts w:hint="eastAsia"/>
        </w:rPr>
        <w:t>支持单个或批量删除角色；</w:t>
      </w:r>
    </w:p>
    <w:p w14:paraId="3A697DCD">
      <w:pPr>
        <w:ind w:firstLine="480"/>
        <w:rPr>
          <w:rFonts w:hint="eastAsia"/>
        </w:rPr>
      </w:pPr>
      <w:r>
        <w:rPr>
          <w:rFonts w:hint="eastAsia"/>
        </w:rPr>
        <w:t>支持单个或批量启用/禁用角色；</w:t>
      </w:r>
    </w:p>
    <w:p w14:paraId="7C0C06B3">
      <w:pPr>
        <w:ind w:firstLine="480"/>
        <w:rPr>
          <w:rFonts w:hint="eastAsia"/>
        </w:rPr>
      </w:pPr>
      <w:r>
        <w:rPr>
          <w:rFonts w:hint="eastAsia"/>
        </w:rPr>
        <w:t>支持克隆所选角色的全部权限；</w:t>
      </w:r>
    </w:p>
    <w:p w14:paraId="7469EA13">
      <w:pPr>
        <w:ind w:firstLine="480"/>
        <w:rPr>
          <w:rFonts w:hint="eastAsia"/>
        </w:rPr>
      </w:pPr>
      <w:r>
        <w:rPr>
          <w:rFonts w:hint="eastAsia"/>
        </w:rPr>
        <w:t>支持将所选角色分配给任意部门或用户；</w:t>
      </w:r>
    </w:p>
    <w:p w14:paraId="1E45CE38">
      <w:pPr>
        <w:ind w:firstLine="480"/>
        <w:rPr>
          <w:rFonts w:hint="eastAsia"/>
        </w:rPr>
      </w:pPr>
      <w:r>
        <w:rPr>
          <w:rFonts w:hint="eastAsia"/>
        </w:rPr>
        <w:t>支持添加/编辑应用角色基本信息，其中角色名称必填；</w:t>
      </w:r>
    </w:p>
    <w:p w14:paraId="770502CC">
      <w:pPr>
        <w:ind w:firstLine="480"/>
        <w:rPr>
          <w:rFonts w:hint="eastAsia"/>
        </w:rPr>
      </w:pPr>
      <w:r>
        <w:rPr>
          <w:rFonts w:hint="eastAsia"/>
        </w:rPr>
        <w:t>支持添加/编辑应用角色的权限信息；</w:t>
      </w:r>
    </w:p>
    <w:p w14:paraId="16493EC1">
      <w:pPr>
        <w:ind w:firstLine="480"/>
        <w:rPr>
          <w:rFonts w:hint="eastAsia"/>
        </w:rPr>
      </w:pPr>
      <w:r>
        <w:rPr>
          <w:rFonts w:hint="eastAsia"/>
        </w:rPr>
        <w:t>菜单权限：支持配置应用菜单权限；</w:t>
      </w:r>
    </w:p>
    <w:p w14:paraId="12F9224C">
      <w:pPr>
        <w:ind w:firstLine="480"/>
        <w:rPr>
          <w:rFonts w:hint="eastAsia"/>
        </w:rPr>
      </w:pPr>
      <w:r>
        <w:rPr>
          <w:rFonts w:hint="eastAsia"/>
        </w:rPr>
        <w:t>资源权限：支持配置资源目录的应用权限。</w:t>
      </w:r>
    </w:p>
    <w:p w14:paraId="7AA56937">
      <w:pPr>
        <w:pStyle w:val="9"/>
        <w:tabs>
          <w:tab w:val="clear" w:pos="425"/>
        </w:tabs>
      </w:pPr>
      <w:r>
        <w:rPr>
          <w:rFonts w:hint="eastAsia"/>
        </w:rPr>
        <w:t>基础目录管理</w:t>
      </w:r>
    </w:p>
    <w:p w14:paraId="36C2583E">
      <w:pPr>
        <w:ind w:firstLine="480"/>
        <w:rPr>
          <w:rFonts w:hint="eastAsia"/>
        </w:rPr>
      </w:pPr>
      <w:r>
        <w:rPr>
          <w:rFonts w:hint="eastAsia"/>
        </w:rPr>
        <w:t>支持查看目录的名称信息及区域编号，并支持修改选定目录的名称；</w:t>
      </w:r>
    </w:p>
    <w:p w14:paraId="58C026B4">
      <w:pPr>
        <w:ind w:firstLine="480"/>
        <w:rPr>
          <w:rFonts w:hint="eastAsia"/>
        </w:rPr>
      </w:pPr>
      <w:r>
        <w:rPr>
          <w:rFonts w:hint="eastAsia"/>
        </w:rPr>
        <w:t>除根节点外，支持根据区域业务属性添加区域标签；</w:t>
      </w:r>
    </w:p>
    <w:p w14:paraId="5E999B9C">
      <w:pPr>
        <w:ind w:firstLine="480"/>
        <w:rPr>
          <w:rFonts w:hint="eastAsia"/>
        </w:rPr>
      </w:pPr>
      <w:r>
        <w:rPr>
          <w:rFonts w:hint="eastAsia"/>
        </w:rPr>
        <w:t>支持在选定目录下新建、删除、编辑次级国标区域或自定义区域；新建国标区域时默认创建其上级区域；</w:t>
      </w:r>
    </w:p>
    <w:p w14:paraId="45F38FCE">
      <w:pPr>
        <w:ind w:firstLine="480"/>
        <w:rPr>
          <w:rFonts w:hint="eastAsia"/>
        </w:rPr>
      </w:pPr>
      <w:r>
        <w:rPr>
          <w:rFonts w:hint="eastAsia"/>
        </w:rPr>
        <w:t>支持根据模板批量导入基础目录及基层单位；</w:t>
      </w:r>
    </w:p>
    <w:p w14:paraId="2BE0AD66">
      <w:pPr>
        <w:ind w:firstLine="480"/>
        <w:rPr>
          <w:rFonts w:hint="eastAsia"/>
        </w:rPr>
      </w:pPr>
      <w:r>
        <w:rPr>
          <w:rFonts w:hint="eastAsia"/>
        </w:rPr>
        <w:t>支持基础目录数据导出；</w:t>
      </w:r>
    </w:p>
    <w:p w14:paraId="6568FA8B">
      <w:pPr>
        <w:ind w:firstLine="480"/>
        <w:rPr>
          <w:rFonts w:hint="eastAsia"/>
        </w:rPr>
      </w:pPr>
      <w:r>
        <w:rPr>
          <w:rFonts w:hint="eastAsia"/>
        </w:rPr>
        <w:t>支持修改次级区域排序。</w:t>
      </w:r>
    </w:p>
    <w:p w14:paraId="07609432">
      <w:pPr>
        <w:pStyle w:val="9"/>
        <w:tabs>
          <w:tab w:val="clear" w:pos="425"/>
        </w:tabs>
      </w:pPr>
      <w:r>
        <w:rPr>
          <w:rFonts w:hint="eastAsia"/>
        </w:rPr>
        <w:t>业务目录管理</w:t>
      </w:r>
    </w:p>
    <w:p w14:paraId="1F21F2A5">
      <w:pPr>
        <w:ind w:firstLine="480"/>
        <w:rPr>
          <w:rFonts w:hint="eastAsia"/>
        </w:rPr>
      </w:pPr>
      <w:r>
        <w:rPr>
          <w:rFonts w:hint="eastAsia"/>
        </w:rPr>
        <w:t>支持自定义新建及修改目录的名称、关联资源类型、关联目录标识；</w:t>
      </w:r>
    </w:p>
    <w:p w14:paraId="74666B6C">
      <w:pPr>
        <w:ind w:firstLine="480"/>
        <w:rPr>
          <w:rFonts w:hint="eastAsia"/>
        </w:rPr>
      </w:pPr>
      <w:r>
        <w:rPr>
          <w:rFonts w:hint="eastAsia"/>
        </w:rPr>
        <w:t>除根节点外，支持根据区域业务属性添加区域标签；</w:t>
      </w:r>
    </w:p>
    <w:p w14:paraId="1833F304">
      <w:pPr>
        <w:ind w:firstLine="480"/>
        <w:rPr>
          <w:rFonts w:hint="eastAsia"/>
        </w:rPr>
      </w:pPr>
      <w:r>
        <w:rPr>
          <w:rFonts w:hint="eastAsia"/>
        </w:rPr>
        <w:t>支持将创建的目录关联到特定应用中，使得该目录树可在所选关联应用中使用；</w:t>
      </w:r>
    </w:p>
    <w:p w14:paraId="1BFE9FC5">
      <w:pPr>
        <w:ind w:firstLine="480"/>
        <w:rPr>
          <w:rFonts w:hint="eastAsia"/>
        </w:rPr>
      </w:pPr>
      <w:r>
        <w:rPr>
          <w:rFonts w:hint="eastAsia"/>
        </w:rPr>
        <w:t>支持查看目录的名称、关联资源类型及关联树标识属性信息；</w:t>
      </w:r>
    </w:p>
    <w:p w14:paraId="12440EB4">
      <w:pPr>
        <w:ind w:firstLine="480"/>
        <w:rPr>
          <w:rFonts w:hint="eastAsia"/>
        </w:rPr>
      </w:pPr>
      <w:r>
        <w:rPr>
          <w:rFonts w:hint="eastAsia"/>
        </w:rPr>
        <w:t>支持在选定目录下新建、删除、编辑次级区域；</w:t>
      </w:r>
    </w:p>
    <w:p w14:paraId="57F4C377">
      <w:pPr>
        <w:ind w:firstLine="480"/>
        <w:rPr>
          <w:rFonts w:hint="eastAsia"/>
        </w:rPr>
      </w:pPr>
      <w:r>
        <w:rPr>
          <w:rFonts w:hint="eastAsia"/>
        </w:rPr>
        <w:t>自定义目录中区域编码长度可变；</w:t>
      </w:r>
    </w:p>
    <w:p w14:paraId="63FB8F49">
      <w:pPr>
        <w:ind w:firstLine="480"/>
        <w:rPr>
          <w:rFonts w:hint="eastAsia"/>
        </w:rPr>
      </w:pPr>
      <w:r>
        <w:rPr>
          <w:rFonts w:hint="eastAsia"/>
        </w:rPr>
        <w:t>支持修改次级区域排序；</w:t>
      </w:r>
    </w:p>
    <w:p w14:paraId="44B4C24E">
      <w:pPr>
        <w:ind w:firstLine="480"/>
        <w:rPr>
          <w:rFonts w:hint="eastAsia"/>
        </w:rPr>
      </w:pPr>
      <w:r>
        <w:rPr>
          <w:rFonts w:hint="eastAsia"/>
        </w:rPr>
        <w:t>创建业务目录树时编号修改为可编辑；页面可选三种生成规则:系统默认（默认选中）、自定义、复用目录标识；</w:t>
      </w:r>
    </w:p>
    <w:p w14:paraId="658EFB8E">
      <w:pPr>
        <w:ind w:firstLine="480"/>
        <w:rPr>
          <w:rFonts w:hint="eastAsia"/>
        </w:rPr>
      </w:pPr>
      <w:r>
        <w:rPr>
          <w:rFonts w:hint="eastAsia"/>
        </w:rPr>
        <w:t>支持修改区域名称、区域编号及添加区域标签。</w:t>
      </w:r>
    </w:p>
    <w:p w14:paraId="395572E5">
      <w:pPr>
        <w:pStyle w:val="9"/>
        <w:tabs>
          <w:tab w:val="clear" w:pos="425"/>
        </w:tabs>
      </w:pPr>
      <w:r>
        <w:rPr>
          <w:rFonts w:hint="eastAsia"/>
        </w:rPr>
        <w:t>编码设备配置</w:t>
      </w:r>
    </w:p>
    <w:p w14:paraId="1E257BC8">
      <w:pPr>
        <w:ind w:firstLine="480"/>
        <w:rPr>
          <w:rFonts w:hint="eastAsia"/>
        </w:rPr>
      </w:pPr>
      <w:r>
        <w:rPr>
          <w:rFonts w:hint="eastAsia"/>
        </w:rPr>
        <w:t>支持依据模板批量导入编码设备，及编码设备数据导出；</w:t>
      </w:r>
    </w:p>
    <w:p w14:paraId="1F0A712A">
      <w:pPr>
        <w:ind w:firstLine="480"/>
        <w:rPr>
          <w:rFonts w:hint="eastAsia"/>
        </w:rPr>
      </w:pPr>
      <w:r>
        <w:rPr>
          <w:rFonts w:hint="eastAsia"/>
        </w:rPr>
        <w:t>支持编辑及同步编码设备信息；</w:t>
      </w:r>
    </w:p>
    <w:p w14:paraId="6EA41300">
      <w:pPr>
        <w:ind w:firstLine="480"/>
        <w:rPr>
          <w:rFonts w:hint="eastAsia"/>
        </w:rPr>
      </w:pPr>
      <w:r>
        <w:rPr>
          <w:rFonts w:hint="eastAsia"/>
        </w:rPr>
        <w:t>支持在选定区域下手动添加编码设备，支持单IP添加、IP段添加、单编号添加及编号段添加多种方式；</w:t>
      </w:r>
    </w:p>
    <w:p w14:paraId="2779D06D">
      <w:pPr>
        <w:ind w:firstLine="480"/>
        <w:rPr>
          <w:rFonts w:hint="eastAsia"/>
        </w:rPr>
      </w:pPr>
      <w:r>
        <w:rPr>
          <w:rFonts w:hint="eastAsia"/>
        </w:rPr>
        <w:t>支持针对编码设备添加标签；</w:t>
      </w:r>
    </w:p>
    <w:p w14:paraId="073DAEF5">
      <w:pPr>
        <w:ind w:firstLine="480"/>
        <w:rPr>
          <w:rFonts w:hint="eastAsia"/>
        </w:rPr>
      </w:pPr>
      <w:r>
        <w:rPr>
          <w:rFonts w:hint="eastAsia"/>
        </w:rPr>
        <w:t>支持列表展示选中区域下的编码设备信息，包括所属区域、设备接入协议、设备编号、设备型号、IP地址及端口号、密码强度、视频通道数、报警通道数、能力集状态、数据接入协议、数据接入协议状态；</w:t>
      </w:r>
    </w:p>
    <w:p w14:paraId="646D99CF">
      <w:pPr>
        <w:ind w:firstLine="480"/>
        <w:rPr>
          <w:rFonts w:hint="eastAsia"/>
        </w:rPr>
      </w:pPr>
      <w:r>
        <w:rPr>
          <w:rFonts w:hint="eastAsia"/>
        </w:rPr>
        <w:t>支持设备能力集校准编辑，监控点通道能力集继承设备能力集；</w:t>
      </w:r>
    </w:p>
    <w:p w14:paraId="5BB28BDD">
      <w:pPr>
        <w:ind w:firstLine="480"/>
        <w:rPr>
          <w:rFonts w:hint="eastAsia"/>
        </w:rPr>
      </w:pPr>
      <w:r>
        <w:rPr>
          <w:rFonts w:hint="eastAsia"/>
        </w:rPr>
        <w:t>支持根据名称或ip模糊搜索编码设备，支持批量删除编码设备；</w:t>
      </w:r>
    </w:p>
    <w:p w14:paraId="6BAC8C2D">
      <w:pPr>
        <w:ind w:firstLine="480"/>
        <w:rPr>
          <w:rFonts w:hint="eastAsia"/>
        </w:rPr>
      </w:pPr>
      <w:r>
        <w:rPr>
          <w:rFonts w:hint="eastAsia"/>
        </w:rPr>
        <w:t>提供编码设备的增、删、改接口，支持批量操作；</w:t>
      </w:r>
    </w:p>
    <w:p w14:paraId="558A93F5">
      <w:pPr>
        <w:ind w:firstLine="480"/>
        <w:rPr>
          <w:rFonts w:hint="eastAsia"/>
        </w:rPr>
      </w:pPr>
      <w:r>
        <w:rPr>
          <w:rFonts w:hint="eastAsia"/>
        </w:rPr>
        <w:t>支持数据接入协议配置；</w:t>
      </w:r>
    </w:p>
    <w:p w14:paraId="405AF05A">
      <w:pPr>
        <w:ind w:firstLine="480"/>
        <w:rPr>
          <w:rFonts w:hint="eastAsia"/>
        </w:rPr>
      </w:pPr>
      <w:r>
        <w:rPr>
          <w:rFonts w:hint="eastAsia"/>
        </w:rPr>
        <w:t>支持厂商和设备接入协议联动。</w:t>
      </w:r>
    </w:p>
    <w:p w14:paraId="7BC37812">
      <w:pPr>
        <w:pStyle w:val="9"/>
        <w:tabs>
          <w:tab w:val="clear" w:pos="425"/>
        </w:tabs>
      </w:pPr>
      <w:r>
        <w:rPr>
          <w:rFonts w:hint="eastAsia"/>
        </w:rPr>
        <w:t>监控点配置</w:t>
      </w:r>
    </w:p>
    <w:p w14:paraId="14E24067">
      <w:pPr>
        <w:ind w:firstLine="480"/>
        <w:rPr>
          <w:rFonts w:hint="eastAsia"/>
        </w:rPr>
      </w:pPr>
      <w:r>
        <w:rPr>
          <w:rFonts w:hint="eastAsia"/>
        </w:rPr>
        <w:t>支持批量添加选中区域及其上级区域的编码设备中的监控点；</w:t>
      </w:r>
    </w:p>
    <w:p w14:paraId="46CD7E9E">
      <w:pPr>
        <w:ind w:firstLine="480"/>
        <w:rPr>
          <w:rFonts w:hint="eastAsia"/>
        </w:rPr>
      </w:pPr>
      <w:r>
        <w:rPr>
          <w:rFonts w:hint="eastAsia"/>
        </w:rPr>
        <w:t>支持通过导入导出经纬度功能，批量修改监控点经纬度信息；</w:t>
      </w:r>
    </w:p>
    <w:p w14:paraId="547F4D03">
      <w:pPr>
        <w:ind w:firstLine="480"/>
        <w:rPr>
          <w:rFonts w:hint="eastAsia"/>
        </w:rPr>
      </w:pPr>
      <w:r>
        <w:rPr>
          <w:rFonts w:hint="eastAsia"/>
        </w:rPr>
        <w:t>支持批量更改监控点所属区域及批量删除监控点，支持修改监控点排序，支持根据名称或ip模糊搜索监控点；</w:t>
      </w:r>
    </w:p>
    <w:p w14:paraId="32BA4F39">
      <w:pPr>
        <w:ind w:firstLine="480"/>
        <w:rPr>
          <w:rFonts w:hint="eastAsia"/>
        </w:rPr>
      </w:pPr>
      <w:r>
        <w:rPr>
          <w:rFonts w:hint="eastAsia"/>
        </w:rPr>
        <w:t>支持列表展示选中区域下的监控点信息，包括监控点名称、传输协议、所属设备、IP地址、端口及通道号；</w:t>
      </w:r>
    </w:p>
    <w:p w14:paraId="307DFD19">
      <w:pPr>
        <w:ind w:firstLine="480"/>
        <w:rPr>
          <w:rFonts w:hint="eastAsia"/>
        </w:rPr>
      </w:pPr>
      <w:r>
        <w:rPr>
          <w:rFonts w:hint="eastAsia"/>
        </w:rPr>
        <w:t>支持查看、编辑监控点基本信息、能力集信息、音视频信息及类型信息，支持针对监控点添加标签；</w:t>
      </w:r>
    </w:p>
    <w:p w14:paraId="6C63752E">
      <w:pPr>
        <w:ind w:firstLine="480"/>
        <w:rPr>
          <w:rFonts w:hint="eastAsia"/>
        </w:rPr>
      </w:pPr>
      <w:r>
        <w:rPr>
          <w:rFonts w:hint="eastAsia"/>
        </w:rPr>
        <w:t>支持手动输入经纬度信息或地图定位方式标注监控点位置；</w:t>
      </w:r>
    </w:p>
    <w:p w14:paraId="3E936264">
      <w:pPr>
        <w:ind w:firstLine="480"/>
        <w:rPr>
          <w:rFonts w:hint="eastAsia"/>
        </w:rPr>
      </w:pPr>
      <w:r>
        <w:rPr>
          <w:rFonts w:hint="eastAsia"/>
        </w:rPr>
        <w:t>支持级联点位标签设置；</w:t>
      </w:r>
    </w:p>
    <w:p w14:paraId="373279C2">
      <w:pPr>
        <w:ind w:firstLine="480"/>
        <w:rPr>
          <w:rFonts w:hint="eastAsia"/>
        </w:rPr>
      </w:pPr>
      <w:r>
        <w:rPr>
          <w:rFonts w:hint="eastAsia"/>
        </w:rPr>
        <w:t>支持osd信息叠加配置，支持osd全局配置，包括监控点名称、时间的显示隐藏，以及位置配置。</w:t>
      </w:r>
    </w:p>
    <w:p w14:paraId="2675E2BE">
      <w:pPr>
        <w:pStyle w:val="9"/>
        <w:tabs>
          <w:tab w:val="clear" w:pos="425"/>
        </w:tabs>
      </w:pPr>
      <w:r>
        <w:rPr>
          <w:rFonts w:hint="eastAsia"/>
        </w:rPr>
        <w:t>卡口管理</w:t>
      </w:r>
    </w:p>
    <w:p w14:paraId="13884FA5">
      <w:pPr>
        <w:ind w:firstLine="480"/>
        <w:rPr>
          <w:rFonts w:hint="eastAsia"/>
        </w:rPr>
      </w:pPr>
      <w:r>
        <w:rPr>
          <w:rFonts w:hint="eastAsia"/>
        </w:rPr>
        <w:t>支持列表展示所选区域下的卡口信息，包括所属区域、卡口编号、使用类型、前端类型、出入城类型、级联状态、经纬度、车道数；</w:t>
      </w:r>
    </w:p>
    <w:p w14:paraId="6F641E64">
      <w:pPr>
        <w:ind w:firstLine="480"/>
        <w:rPr>
          <w:rFonts w:hint="eastAsia"/>
        </w:rPr>
      </w:pPr>
      <w:r>
        <w:rPr>
          <w:rFonts w:hint="eastAsia"/>
        </w:rPr>
        <w:t>支持添加卡口，并支持编辑卡口基本信息，支持针对卡口添加标签；</w:t>
      </w:r>
    </w:p>
    <w:p w14:paraId="6EEEDE08">
      <w:pPr>
        <w:ind w:firstLine="480"/>
        <w:rPr>
          <w:rFonts w:hint="eastAsia"/>
        </w:rPr>
      </w:pPr>
      <w:r>
        <w:rPr>
          <w:rFonts w:hint="eastAsia"/>
        </w:rPr>
        <w:t>支持从所选择区域及其上级区域监控点中添加抓拍通道信息；</w:t>
      </w:r>
    </w:p>
    <w:p w14:paraId="5CC8D4E9">
      <w:pPr>
        <w:ind w:firstLine="480"/>
        <w:rPr>
          <w:rFonts w:hint="eastAsia"/>
        </w:rPr>
      </w:pPr>
      <w:r>
        <w:rPr>
          <w:rFonts w:hint="eastAsia"/>
        </w:rPr>
        <w:t>支持手动输入卡口经纬度信息或通过地图定位方式标注卡口位置；</w:t>
      </w:r>
    </w:p>
    <w:p w14:paraId="1F9CE02A">
      <w:pPr>
        <w:ind w:firstLine="480"/>
        <w:rPr>
          <w:rFonts w:hint="eastAsia"/>
        </w:rPr>
      </w:pPr>
      <w:r>
        <w:rPr>
          <w:rFonts w:hint="eastAsia"/>
        </w:rPr>
        <w:t>支持配置卡口车道信息，包括车道方向、名称以及城际卡口出入城方向标识；</w:t>
      </w:r>
    </w:p>
    <w:p w14:paraId="605065DA">
      <w:pPr>
        <w:ind w:firstLine="480"/>
        <w:rPr>
          <w:rFonts w:hint="eastAsia"/>
        </w:rPr>
      </w:pPr>
      <w:r>
        <w:rPr>
          <w:rFonts w:hint="eastAsia"/>
        </w:rPr>
        <w:t>支持卡口数据导入导出及城际卡口信息下发；</w:t>
      </w:r>
    </w:p>
    <w:p w14:paraId="076037B0">
      <w:pPr>
        <w:ind w:firstLine="480"/>
        <w:rPr>
          <w:rFonts w:hint="eastAsia"/>
        </w:rPr>
      </w:pPr>
      <w:r>
        <w:rPr>
          <w:rFonts w:hint="eastAsia"/>
        </w:rPr>
        <w:t>支持批量删除卡口；</w:t>
      </w:r>
    </w:p>
    <w:p w14:paraId="11450619">
      <w:pPr>
        <w:ind w:firstLine="480"/>
        <w:rPr>
          <w:rFonts w:hint="eastAsia"/>
        </w:rPr>
      </w:pPr>
      <w:r>
        <w:rPr>
          <w:rFonts w:hint="eastAsia"/>
        </w:rPr>
        <w:t>城际卡口下发支持出入城下发；</w:t>
      </w:r>
    </w:p>
    <w:p w14:paraId="2007B889">
      <w:pPr>
        <w:ind w:firstLine="480"/>
        <w:rPr>
          <w:rFonts w:hint="eastAsia"/>
        </w:rPr>
      </w:pPr>
      <w:r>
        <w:rPr>
          <w:rFonts w:hint="eastAsia"/>
        </w:rPr>
        <w:t>支持卡口自定义扩展卡口属性、方向属性、车道属性、卡口前端类型、车道关联的资源类型；</w:t>
      </w:r>
    </w:p>
    <w:p w14:paraId="633F363C">
      <w:pPr>
        <w:ind w:firstLine="480"/>
        <w:rPr>
          <w:rFonts w:hint="eastAsia"/>
        </w:rPr>
      </w:pPr>
      <w:r>
        <w:rPr>
          <w:rFonts w:hint="eastAsia"/>
        </w:rPr>
        <w:t>支持卡口模板配置；</w:t>
      </w:r>
    </w:p>
    <w:p w14:paraId="0B108D2B">
      <w:pPr>
        <w:ind w:firstLine="480"/>
        <w:rPr>
          <w:rFonts w:hint="eastAsia"/>
        </w:rPr>
      </w:pPr>
      <w:r>
        <w:rPr>
          <w:rFonts w:hint="eastAsia"/>
        </w:rPr>
        <w:t>支持根据卡口信息进行过滤查询。</w:t>
      </w:r>
    </w:p>
    <w:p w14:paraId="15045748">
      <w:pPr>
        <w:pStyle w:val="9"/>
        <w:tabs>
          <w:tab w:val="clear" w:pos="425"/>
        </w:tabs>
      </w:pPr>
      <w:r>
        <w:rPr>
          <w:rFonts w:hint="eastAsia"/>
        </w:rPr>
        <w:t>监控告警</w:t>
      </w:r>
    </w:p>
    <w:p w14:paraId="62952285">
      <w:pPr>
        <w:ind w:firstLine="480"/>
        <w:rPr>
          <w:rFonts w:hint="eastAsia"/>
        </w:rPr>
      </w:pPr>
      <w:r>
        <w:rPr>
          <w:rFonts w:hint="eastAsia"/>
        </w:rPr>
        <w:t>支持针对所管理的服务器、组件和服务的运行状态进行监控，如果有异常则会产生告警。支持在“状态监控”模块查看各资源的运行状态，包括服务器的在线状态、CPU、内存、磁盘IO；组件、服务实例的运行状态、CPU、内存、句柄数以及线程数；</w:t>
      </w:r>
    </w:p>
    <w:p w14:paraId="0E5A3F75">
      <w:pPr>
        <w:ind w:firstLine="480"/>
        <w:rPr>
          <w:rFonts w:hint="eastAsia"/>
        </w:rPr>
      </w:pPr>
      <w:r>
        <w:rPr>
          <w:rFonts w:hint="eastAsia"/>
        </w:rPr>
        <w:t>支持查看各服务器、组件及服务的监控详情（服务器信息、服务器监控指标、关键进程）、告警详情（支持告警数据导出）以及维护记录（信息包括时间、用户、操作、结果及终端地址）；</w:t>
      </w:r>
    </w:p>
    <w:p w14:paraId="374117A3">
      <w:pPr>
        <w:ind w:firstLine="480"/>
        <w:rPr>
          <w:rFonts w:hint="eastAsia"/>
        </w:rPr>
      </w:pPr>
      <w:r>
        <w:rPr>
          <w:rFonts w:hint="eastAsia"/>
        </w:rPr>
        <w:t>支持查看有未处理告警的资源，支持模糊搜索；</w:t>
      </w:r>
    </w:p>
    <w:p w14:paraId="5734A187">
      <w:pPr>
        <w:ind w:firstLine="480"/>
        <w:rPr>
          <w:rFonts w:hint="eastAsia"/>
        </w:rPr>
      </w:pPr>
      <w:r>
        <w:rPr>
          <w:rFonts w:hint="eastAsia"/>
        </w:rPr>
        <w:t>告警是监管系统及软件本身运行异常情况的一种展现方式，为运维人员快速定位排除故障提供参考与帮助， 提升排查处理效率。运管中心提供了告警展示、查询、处理、策略配置功能，实现了对告警的全生命周期管理。支持在“告警处理”模块，进行异常告警的查看和处理、导出告警以及配置告警策略；</w:t>
      </w:r>
    </w:p>
    <w:p w14:paraId="1925A5AA">
      <w:pPr>
        <w:ind w:firstLine="480"/>
        <w:rPr>
          <w:rFonts w:hint="eastAsia"/>
        </w:rPr>
      </w:pPr>
      <w:r>
        <w:rPr>
          <w:rFonts w:hint="eastAsia"/>
        </w:rPr>
        <w:t>系统当前服务器、组件、服务和驱动发生异常时，支持在告警处理模块查看它们所产生的异常告警及详细信息，支持展示每条告警的告警级、最新告警时间、告警来源、告警策略、告警次数及处理状态；</w:t>
      </w:r>
    </w:p>
    <w:p w14:paraId="54513AA1">
      <w:pPr>
        <w:ind w:firstLine="480"/>
        <w:rPr>
          <w:rFonts w:hint="eastAsia"/>
        </w:rPr>
      </w:pPr>
      <w:r>
        <w:rPr>
          <w:rFonts w:hint="eastAsia"/>
        </w:rPr>
        <w:t>支持针对告警消息进行“解决”。解决告警时，支持查看告警详情的”处理建议“，帮助用户处理告警，同时支持新增”追加处理建议”；解决的告警可在“已解决”告警中查看。支持告警批量解决；</w:t>
      </w:r>
    </w:p>
    <w:p w14:paraId="4B432474">
      <w:pPr>
        <w:ind w:firstLine="480"/>
        <w:rPr>
          <w:rFonts w:hint="eastAsia"/>
        </w:rPr>
      </w:pPr>
      <w:r>
        <w:rPr>
          <w:rFonts w:hint="eastAsia"/>
        </w:rPr>
        <w:t>支持用户忽略告警，支持忽略时设置再次提醒时间，到时系统会再次发出告警。支持告警批量忽略；</w:t>
      </w:r>
    </w:p>
    <w:p w14:paraId="69DA5A8B">
      <w:pPr>
        <w:ind w:firstLine="480"/>
        <w:rPr>
          <w:rFonts w:hint="eastAsia"/>
        </w:rPr>
      </w:pPr>
      <w:r>
        <w:rPr>
          <w:rFonts w:hint="eastAsia"/>
        </w:rPr>
        <w:t>支持导出全部或部分告警记录；</w:t>
      </w:r>
    </w:p>
    <w:p w14:paraId="78D06F9E">
      <w:pPr>
        <w:ind w:firstLine="480"/>
        <w:rPr>
          <w:rFonts w:hint="eastAsia"/>
        </w:rPr>
      </w:pPr>
      <w:r>
        <w:rPr>
          <w:rFonts w:hint="eastAsia"/>
        </w:rPr>
        <w:t>支持用户根据不同场景灵活设置告警监控规则，包括：支持设置屏蔽规则，屏蔽待产生、不关注的告警； 支持告警修改，重定义告警级，告警的触发规则； 支持对组件错误码告警的新增，并定义告警的策略名称、规则、级、描述与建议；支持对新增组件错误告警的删除，且对于已发生但未处理的告警会自动处理。</w:t>
      </w:r>
    </w:p>
    <w:p w14:paraId="6F56FA87">
      <w:pPr>
        <w:pStyle w:val="9"/>
        <w:tabs>
          <w:tab w:val="clear" w:pos="425"/>
        </w:tabs>
      </w:pPr>
      <w:r>
        <w:rPr>
          <w:rFonts w:hint="eastAsia"/>
        </w:rPr>
        <w:t>应用部署</w:t>
      </w:r>
    </w:p>
    <w:p w14:paraId="76D6103D">
      <w:pPr>
        <w:ind w:firstLine="480"/>
        <w:rPr>
          <w:rFonts w:hint="eastAsia"/>
        </w:rPr>
      </w:pPr>
      <w:r>
        <w:rPr>
          <w:rFonts w:hint="eastAsia"/>
        </w:rPr>
        <w:t>支持查看当前产品的所有信息，包括：产品名称、产品版本、功能简介、升级记录、添加到运管的所有服务器信息、服务器下安装的组件、补丁、资源包，并支持导出所有的产品信息；</w:t>
      </w:r>
    </w:p>
    <w:p w14:paraId="0D39F677">
      <w:pPr>
        <w:ind w:firstLine="480"/>
        <w:rPr>
          <w:rFonts w:hint="eastAsia"/>
        </w:rPr>
      </w:pPr>
      <w:r>
        <w:rPr>
          <w:rFonts w:hint="eastAsia"/>
        </w:rPr>
        <w:t>支持查看服务器的信息，包括服务器名称、IP地址、在线/离线状态、本机代理版本、组件数量和服务器所属群组；同时支持针对服务器进行管理，包括添加和删除服务器、创建和编辑服务器分组、编辑服务器展示名称；</w:t>
      </w:r>
    </w:p>
    <w:p w14:paraId="03B0E1EA">
      <w:pPr>
        <w:ind w:firstLine="480"/>
        <w:rPr>
          <w:rFonts w:hint="eastAsia"/>
        </w:rPr>
      </w:pPr>
      <w:r>
        <w:rPr>
          <w:rFonts w:hint="eastAsia"/>
        </w:rPr>
        <w:t>支持进行平台安装部署操作，包括软件安装包、资源包、补丁包的安装与管理；</w:t>
      </w:r>
    </w:p>
    <w:p w14:paraId="33D787B4">
      <w:pPr>
        <w:ind w:firstLine="480"/>
        <w:rPr>
          <w:rFonts w:hint="eastAsia"/>
        </w:rPr>
      </w:pPr>
      <w:r>
        <w:rPr>
          <w:rFonts w:hint="eastAsia"/>
        </w:rPr>
        <w:t>支持添加外部服务，包括组件信息、服务类型、实例名称、IP地址/域名；支持通过组件/服务、服务器、关键字信息查询外部服务；</w:t>
      </w:r>
    </w:p>
    <w:p w14:paraId="6E7DD8FB">
      <w:pPr>
        <w:ind w:firstLine="480"/>
        <w:rPr>
          <w:rFonts w:hint="eastAsia"/>
        </w:rPr>
      </w:pPr>
      <w:r>
        <w:rPr>
          <w:rFonts w:hint="eastAsia"/>
        </w:rPr>
        <w:t>支持多级域资源包分发；支持中心域向下级域完成资源包下发、取消下发，以及上传和下发软件包信息列表查看；支持下级域自动和手动方式获取上级域分发包并进行组件安装、升级以及补丁安装；支持软件包上传添加用途和附件。</w:t>
      </w:r>
    </w:p>
    <w:p w14:paraId="6CFA1828">
      <w:pPr>
        <w:pStyle w:val="9"/>
        <w:tabs>
          <w:tab w:val="clear" w:pos="425"/>
        </w:tabs>
      </w:pPr>
      <w:r>
        <w:rPr>
          <w:rFonts w:hint="eastAsia"/>
        </w:rPr>
        <w:t>日志管理</w:t>
      </w:r>
    </w:p>
    <w:p w14:paraId="517DA3DA">
      <w:pPr>
        <w:ind w:firstLine="480"/>
        <w:rPr>
          <w:rFonts w:hint="eastAsia"/>
        </w:rPr>
      </w:pPr>
      <w:r>
        <w:rPr>
          <w:rFonts w:hint="eastAsia"/>
        </w:rPr>
        <w:t>支持按照时间范围以及关键字搜索各组件的日志文件；</w:t>
      </w:r>
    </w:p>
    <w:p w14:paraId="5C03BCA2">
      <w:pPr>
        <w:ind w:firstLine="480"/>
        <w:rPr>
          <w:rFonts w:hint="eastAsia"/>
        </w:rPr>
      </w:pPr>
      <w:r>
        <w:rPr>
          <w:rFonts w:hint="eastAsia"/>
        </w:rPr>
        <w:t>支持各组件的日志文件下载；</w:t>
      </w:r>
    </w:p>
    <w:p w14:paraId="166875E9">
      <w:pPr>
        <w:ind w:firstLine="480"/>
        <w:rPr>
          <w:rFonts w:hint="eastAsia"/>
        </w:rPr>
      </w:pPr>
      <w:r>
        <w:rPr>
          <w:rFonts w:hint="eastAsia"/>
        </w:rPr>
        <w:t>支持根据条件查询操作日志；支持列表查看日志记录，包括日志时间，操作用户名，登录IP 地址，操作动作，操作对象类型，操作对象，操作结果，操作内容详情以及操作（查看详情和调用链）信息，支持导出操作日志；</w:t>
      </w:r>
    </w:p>
    <w:p w14:paraId="40802411">
      <w:pPr>
        <w:ind w:firstLine="480"/>
        <w:rPr>
          <w:rFonts w:hint="eastAsia"/>
        </w:rPr>
      </w:pPr>
      <w:r>
        <w:rPr>
          <w:rFonts w:hint="eastAsia"/>
        </w:rPr>
        <w:t>支持查看日志的详细信息，如日志时间、用户所属组织、操作用户名、用户姓名、登录 IP 地址、调用链 ID 信息；</w:t>
      </w:r>
    </w:p>
    <w:p w14:paraId="0EF47167">
      <w:pPr>
        <w:ind w:firstLine="480"/>
        <w:rPr>
          <w:rFonts w:hint="eastAsia"/>
        </w:rPr>
      </w:pPr>
      <w:r>
        <w:rPr>
          <w:rFonts w:hint="eastAsia"/>
        </w:rPr>
        <w:t>支持查看对应服务器、组件和服务的系统日志信息，支持查看日志中的错误码（一串由数字和英文字母组成的蓝色字符）详细了解系统错误内容及解决建议；</w:t>
      </w:r>
    </w:p>
    <w:p w14:paraId="52AF2BFF">
      <w:pPr>
        <w:ind w:firstLine="480"/>
        <w:rPr>
          <w:rFonts w:hint="eastAsia"/>
        </w:rPr>
      </w:pPr>
      <w:r>
        <w:rPr>
          <w:rFonts w:hint="eastAsia"/>
        </w:rPr>
        <w:t>支持查看操作日志及系统日志中的调用链，以了解一次业务操中涉及到的所有组件之间的调用关系，以及这些组件的异常状况及其相关日志，快速定位异常问题的原因；</w:t>
      </w:r>
    </w:p>
    <w:p w14:paraId="2537BC97">
      <w:pPr>
        <w:ind w:firstLine="480"/>
        <w:rPr>
          <w:rFonts w:hint="eastAsia"/>
        </w:rPr>
      </w:pPr>
      <w:r>
        <w:rPr>
          <w:rFonts w:hint="eastAsia"/>
        </w:rPr>
        <w:t>支持查询错误码，展示错误码的相关信息；支持导入错误码；</w:t>
      </w:r>
    </w:p>
    <w:p w14:paraId="664AB65C">
      <w:pPr>
        <w:ind w:firstLine="480"/>
        <w:rPr>
          <w:rFonts w:hint="eastAsia"/>
        </w:rPr>
      </w:pPr>
      <w:r>
        <w:rPr>
          <w:rFonts w:hint="eastAsia"/>
        </w:rPr>
        <w:t>支持查看系统的SSH访问日志，可以通过操作时间、用户IP、操作命令进行查询，结果展示操作时间、远程用户IP、远程用户名、服务器IP以及操作命令。</w:t>
      </w:r>
    </w:p>
    <w:p w14:paraId="5B42C887">
      <w:pPr>
        <w:pStyle w:val="9"/>
        <w:tabs>
          <w:tab w:val="clear" w:pos="425"/>
        </w:tabs>
      </w:pPr>
      <w:r>
        <w:rPr>
          <w:rFonts w:hint="eastAsia"/>
        </w:rPr>
        <w:t>配置管理</w:t>
      </w:r>
    </w:p>
    <w:p w14:paraId="2C13CC78">
      <w:pPr>
        <w:ind w:firstLine="480"/>
        <w:rPr>
          <w:rFonts w:hint="eastAsia"/>
        </w:rPr>
      </w:pPr>
      <w:r>
        <w:rPr>
          <w:rFonts w:hint="eastAsia"/>
        </w:rPr>
        <w:t>支持针对了服务参数、客户端参数、告警策略、校时、多线路和防火墙策略进行配置，并支持配置下发。</w:t>
      </w:r>
    </w:p>
    <w:p w14:paraId="0E97E0E1">
      <w:pPr>
        <w:pStyle w:val="9"/>
        <w:tabs>
          <w:tab w:val="clear" w:pos="425"/>
        </w:tabs>
      </w:pPr>
      <w:r>
        <w:rPr>
          <w:rFonts w:hint="eastAsia"/>
        </w:rPr>
        <w:t>系统管理</w:t>
      </w:r>
    </w:p>
    <w:p w14:paraId="739ABD93">
      <w:pPr>
        <w:ind w:firstLine="480"/>
        <w:rPr>
          <w:rFonts w:hint="eastAsia"/>
        </w:rPr>
      </w:pPr>
      <w:r>
        <w:rPr>
          <w:rFonts w:hint="eastAsia"/>
        </w:rPr>
        <w:t>支持添加、注销用户，支持设置用户密码安全级，针对密码最低强度及密码有效期进行调整；</w:t>
      </w:r>
    </w:p>
    <w:p w14:paraId="1267A631">
      <w:pPr>
        <w:ind w:firstLine="480"/>
        <w:rPr>
          <w:rFonts w:hint="eastAsia"/>
        </w:rPr>
      </w:pPr>
      <w:r>
        <w:rPr>
          <w:rFonts w:hint="eastAsia"/>
        </w:rPr>
        <w:t>支持启用及禁用用户，并支持用户密码重置；</w:t>
      </w:r>
    </w:p>
    <w:p w14:paraId="2D5F6DF5">
      <w:pPr>
        <w:ind w:firstLine="480"/>
        <w:rPr>
          <w:rFonts w:hint="eastAsia"/>
        </w:rPr>
      </w:pPr>
      <w:r>
        <w:rPr>
          <w:rFonts w:hint="eastAsia"/>
        </w:rPr>
        <w:t>支持添加、编辑、删除指定下载项，以及下载项展示顺序的调整；</w:t>
      </w:r>
    </w:p>
    <w:p w14:paraId="410A26C5">
      <w:pPr>
        <w:ind w:firstLine="480"/>
        <w:rPr>
          <w:rFonts w:hint="eastAsia"/>
        </w:rPr>
      </w:pPr>
      <w:r>
        <w:rPr>
          <w:rFonts w:hint="eastAsia"/>
        </w:rPr>
        <w:t>当组件新增、升级后有菜单更新，或需要调整菜单排列顺序时，支持针对菜单进行添加、编辑、删除、移动操作；</w:t>
      </w:r>
    </w:p>
    <w:p w14:paraId="3D7E3A72">
      <w:pPr>
        <w:ind w:firstLine="480"/>
        <w:rPr>
          <w:rFonts w:hint="eastAsia"/>
        </w:rPr>
      </w:pPr>
      <w:r>
        <w:rPr>
          <w:rFonts w:hint="eastAsia"/>
        </w:rPr>
        <w:t>支持根据输入的16位AK生成SK的能力；</w:t>
      </w:r>
    </w:p>
    <w:p w14:paraId="2E94E9F4">
      <w:pPr>
        <w:ind w:firstLine="480"/>
        <w:rPr>
          <w:rFonts w:hint="eastAsia"/>
        </w:rPr>
      </w:pPr>
      <w:r>
        <w:rPr>
          <w:rFonts w:hint="eastAsia"/>
        </w:rPr>
        <w:t>支持查看所有通过CA SDK接入了CA证书的服务，以及对应服务的重启；支持查看当前服务使用的证书详情；</w:t>
      </w:r>
    </w:p>
    <w:p w14:paraId="21DFF482">
      <w:pPr>
        <w:ind w:firstLine="480"/>
        <w:rPr>
          <w:rFonts w:hint="eastAsia"/>
        </w:rPr>
      </w:pPr>
      <w:r>
        <w:rPr>
          <w:rFonts w:hint="eastAsia"/>
        </w:rPr>
        <w:t>支持用户上传指定证书，并应用到对应服务；支持修改服务使用的证书。</w:t>
      </w:r>
    </w:p>
    <w:p w14:paraId="27B3E1EA">
      <w:pPr>
        <w:pStyle w:val="6"/>
        <w:tabs>
          <w:tab w:val="clear" w:pos="425"/>
        </w:tabs>
        <w:rPr>
          <w:rFonts w:ascii="宋体" w:hAnsi="宋体"/>
        </w:rPr>
      </w:pPr>
      <w:r>
        <w:rPr>
          <w:rFonts w:hint="eastAsia" w:ascii="宋体" w:hAnsi="宋体"/>
        </w:rPr>
        <w:t>视频监控应用</w:t>
      </w:r>
    </w:p>
    <w:p w14:paraId="3AEE9ACF">
      <w:pPr>
        <w:pStyle w:val="9"/>
        <w:tabs>
          <w:tab w:val="clear" w:pos="425"/>
        </w:tabs>
      </w:pPr>
      <w:r>
        <w:rPr>
          <w:rFonts w:hint="eastAsia"/>
        </w:rPr>
        <w:t>视频监控</w:t>
      </w:r>
    </w:p>
    <w:p w14:paraId="6EB5D801">
      <w:pPr>
        <w:ind w:firstLine="480"/>
        <w:rPr>
          <w:rFonts w:hint="eastAsia"/>
        </w:rPr>
      </w:pPr>
      <w:r>
        <w:rPr>
          <w:rFonts w:hint="eastAsia"/>
        </w:rPr>
        <w:t>支持切换查看基础目录及业务目录，资源以资源树形式展示，点击可查看下层资源及点位；</w:t>
      </w:r>
    </w:p>
    <w:p w14:paraId="512C9247">
      <w:pPr>
        <w:ind w:firstLine="480"/>
        <w:rPr>
          <w:rFonts w:hint="eastAsia"/>
        </w:rPr>
      </w:pPr>
      <w:r>
        <w:rPr>
          <w:rFonts w:hint="eastAsia"/>
        </w:rPr>
        <w:t>支持目录刷新的按钮变成常显，方便用户进行手动刷新；</w:t>
      </w:r>
    </w:p>
    <w:p w14:paraId="35F487A2">
      <w:pPr>
        <w:ind w:firstLine="480"/>
        <w:rPr>
          <w:rFonts w:hint="eastAsia"/>
        </w:rPr>
      </w:pPr>
      <w:r>
        <w:rPr>
          <w:rFonts w:hint="eastAsia"/>
        </w:rPr>
        <w:t>支持点位预览、收藏、录像回放，支持查看点位属性详情；</w:t>
      </w:r>
    </w:p>
    <w:p w14:paraId="01042387">
      <w:pPr>
        <w:ind w:firstLine="480"/>
        <w:rPr>
          <w:rFonts w:hint="eastAsia"/>
        </w:rPr>
      </w:pPr>
      <w:r>
        <w:rPr>
          <w:rFonts w:hint="eastAsia"/>
        </w:rPr>
        <w:t>支持针对点位进行周边搜索，点击后支持在弹出的地图页面上进行点位选择；</w:t>
      </w:r>
    </w:p>
    <w:p w14:paraId="16D3A512">
      <w:pPr>
        <w:ind w:firstLine="480"/>
        <w:rPr>
          <w:rFonts w:hint="eastAsia"/>
        </w:rPr>
      </w:pPr>
      <w:r>
        <w:rPr>
          <w:rFonts w:hint="eastAsia"/>
        </w:rPr>
        <w:t>支持根据关键字及拼音字母进行点位模糊搜索，支持对检索点位进行定位到资源树；</w:t>
      </w:r>
    </w:p>
    <w:p w14:paraId="507071C4">
      <w:pPr>
        <w:ind w:firstLine="480"/>
        <w:rPr>
          <w:rFonts w:hint="eastAsia"/>
        </w:rPr>
      </w:pPr>
      <w:r>
        <w:rPr>
          <w:rFonts w:hint="eastAsia"/>
        </w:rPr>
        <w:t>支持收藏夹点位展示，支持查看我的收藏及分享给我的收藏；</w:t>
      </w:r>
    </w:p>
    <w:p w14:paraId="04C94376">
      <w:pPr>
        <w:ind w:firstLine="480"/>
        <w:rPr>
          <w:rFonts w:hint="eastAsia"/>
        </w:rPr>
      </w:pPr>
      <w:r>
        <w:rPr>
          <w:rFonts w:hint="eastAsia"/>
        </w:rPr>
        <w:t>支持创建新的收藏夹分组，并支持编辑、修改排序以及删除个人收藏夹分组，支持收藏夹刷新</w:t>
      </w:r>
    </w:p>
    <w:p w14:paraId="382DBA2B">
      <w:pPr>
        <w:ind w:firstLine="480"/>
        <w:rPr>
          <w:rFonts w:hint="eastAsia"/>
        </w:rPr>
      </w:pPr>
      <w:r>
        <w:rPr>
          <w:rFonts w:hint="eastAsia"/>
        </w:rPr>
        <w:t>支持查看收藏夹内点位，支持针对收藏夹内点位进行查看详情、预览及回放，并支持添加及删除收藏夹内点位</w:t>
      </w:r>
    </w:p>
    <w:p w14:paraId="4D4BD538">
      <w:pPr>
        <w:ind w:firstLine="480"/>
        <w:rPr>
          <w:rFonts w:hint="eastAsia"/>
        </w:rPr>
      </w:pPr>
      <w:r>
        <w:rPr>
          <w:rFonts w:hint="eastAsia"/>
        </w:rPr>
        <w:t>支持针对收藏夹内进行区域广播</w:t>
      </w:r>
    </w:p>
    <w:p w14:paraId="713F97C3">
      <w:pPr>
        <w:ind w:firstLine="480"/>
        <w:rPr>
          <w:rFonts w:hint="eastAsia"/>
        </w:rPr>
      </w:pPr>
      <w:r>
        <w:rPr>
          <w:rFonts w:hint="eastAsia"/>
        </w:rPr>
        <w:t>支持将创建的分组分享给其他用户，支持统计收藏夹被分享的用户数；</w:t>
      </w:r>
    </w:p>
    <w:p w14:paraId="2FAE0C8D">
      <w:pPr>
        <w:ind w:firstLine="480"/>
        <w:rPr>
          <w:rFonts w:hint="eastAsia"/>
        </w:rPr>
      </w:pPr>
      <w:r>
        <w:rPr>
          <w:rFonts w:hint="eastAsia"/>
        </w:rPr>
        <w:t>支持查看其他用户共享的收藏夹分组，并支持查看分享人及分享时间；</w:t>
      </w:r>
    </w:p>
    <w:p w14:paraId="432448AD">
      <w:pPr>
        <w:ind w:firstLine="480"/>
        <w:rPr>
          <w:rFonts w:hint="eastAsia"/>
        </w:rPr>
      </w:pPr>
      <w:r>
        <w:rPr>
          <w:rFonts w:hint="eastAsia"/>
        </w:rPr>
        <w:t>支持分享点位在关联用户配置以及分享到用户同时支持展示用户名和真实姓名，并且支持真实姓名和用户名进行检索；</w:t>
      </w:r>
    </w:p>
    <w:p w14:paraId="6204EB50">
      <w:pPr>
        <w:ind w:firstLine="480"/>
        <w:rPr>
          <w:rFonts w:hint="eastAsia"/>
        </w:rPr>
      </w:pPr>
      <w:r>
        <w:rPr>
          <w:rFonts w:hint="eastAsia"/>
        </w:rPr>
        <w:t>支持根据关键字及拼音字母对收藏内点位进行模糊搜索，支持对检索点位进行定位到资源树；</w:t>
      </w:r>
    </w:p>
    <w:p w14:paraId="71C44D6D">
      <w:pPr>
        <w:ind w:firstLine="480"/>
        <w:rPr>
          <w:rFonts w:hint="eastAsia"/>
        </w:rPr>
      </w:pPr>
      <w:r>
        <w:rPr>
          <w:rFonts w:hint="eastAsia"/>
        </w:rPr>
        <w:t>支持创建公有预案及私有预案，新增预案时需配置预案详细信息，编辑预案名称、预案类型、轮巡间隔、是否自动执行预案及时间；</w:t>
      </w:r>
    </w:p>
    <w:p w14:paraId="12DB47FC">
      <w:pPr>
        <w:ind w:firstLine="480"/>
        <w:rPr>
          <w:rFonts w:hint="eastAsia"/>
        </w:rPr>
      </w:pPr>
      <w:r>
        <w:rPr>
          <w:rFonts w:hint="eastAsia"/>
        </w:rPr>
        <w:t>支持编辑、删除预案，并支持添加或删除预案内点位，支持调整点位顺序、设置预案点位的主子码流及关联预置点信息，支持预案轮巡预览；</w:t>
      </w:r>
    </w:p>
    <w:p w14:paraId="01654BEB">
      <w:pPr>
        <w:ind w:firstLine="480"/>
        <w:rPr>
          <w:rFonts w:hint="eastAsia"/>
        </w:rPr>
      </w:pPr>
      <w:r>
        <w:rPr>
          <w:rFonts w:hint="eastAsia"/>
        </w:rPr>
        <w:t>支持查看预案创建者及创建时间；</w:t>
      </w:r>
    </w:p>
    <w:p w14:paraId="261E20C8">
      <w:pPr>
        <w:ind w:firstLine="480"/>
        <w:rPr>
          <w:rFonts w:hint="eastAsia"/>
        </w:rPr>
      </w:pPr>
      <w:r>
        <w:rPr>
          <w:rFonts w:hint="eastAsia"/>
        </w:rPr>
        <w:t>按时间顺序显示近期查看过的点位，支持对近期查看过的点位视频快速进行播放，支持清空历史列表；</w:t>
      </w:r>
    </w:p>
    <w:p w14:paraId="6CDC6B27">
      <w:pPr>
        <w:ind w:firstLine="480"/>
        <w:rPr>
          <w:rFonts w:hint="eastAsia"/>
        </w:rPr>
      </w:pPr>
      <w:r>
        <w:rPr>
          <w:rFonts w:hint="eastAsia"/>
        </w:rPr>
        <w:t>支持视频实时预览，支持重新取流；</w:t>
      </w:r>
    </w:p>
    <w:p w14:paraId="5F079BFB">
      <w:pPr>
        <w:ind w:firstLine="480"/>
        <w:rPr>
          <w:rFonts w:hint="eastAsia"/>
        </w:rPr>
      </w:pPr>
      <w:r>
        <w:rPr>
          <w:rFonts w:hint="eastAsia"/>
        </w:rPr>
        <w:t>支持预览画面电子放大；</w:t>
      </w:r>
    </w:p>
    <w:p w14:paraId="41F7E87D">
      <w:pPr>
        <w:ind w:firstLine="480"/>
        <w:rPr>
          <w:rFonts w:hint="eastAsia"/>
        </w:rPr>
      </w:pPr>
      <w:r>
        <w:rPr>
          <w:rFonts w:hint="eastAsia"/>
        </w:rPr>
        <w:t>支持在预览界面对单个画面或对全部画面分别抓图并保存至本地，支持对所抓图片利用自带图片 编辑工具标注名称、类型、备注信息；</w:t>
      </w:r>
    </w:p>
    <w:p w14:paraId="5E9EEA5C">
      <w:pPr>
        <w:ind w:firstLine="480"/>
        <w:rPr>
          <w:rFonts w:hint="eastAsia"/>
        </w:rPr>
      </w:pPr>
      <w:r>
        <w:rPr>
          <w:rFonts w:hint="eastAsia"/>
        </w:rPr>
        <w:t>支持控制播放声音；</w:t>
      </w:r>
    </w:p>
    <w:p w14:paraId="1191BB4B">
      <w:pPr>
        <w:ind w:firstLine="480"/>
        <w:rPr>
          <w:rFonts w:hint="eastAsia"/>
        </w:rPr>
      </w:pPr>
      <w:r>
        <w:rPr>
          <w:rFonts w:hint="eastAsia"/>
        </w:rPr>
        <w:t>支持实时预览切换主码流或子码流；</w:t>
      </w:r>
    </w:p>
    <w:p w14:paraId="1ECAE6FE">
      <w:pPr>
        <w:ind w:firstLine="480"/>
        <w:rPr>
          <w:rFonts w:hint="eastAsia"/>
        </w:rPr>
      </w:pPr>
      <w:r>
        <w:rPr>
          <w:rFonts w:hint="eastAsia"/>
        </w:rPr>
        <w:t>支持在多画面显示模式下，支持鼠标拖拽调换播放窗口上的视频源，双击任一监控画面可全屏显示该画面；</w:t>
      </w:r>
    </w:p>
    <w:p w14:paraId="690C6155">
      <w:pPr>
        <w:ind w:firstLine="480"/>
        <w:rPr>
          <w:rFonts w:hint="eastAsia"/>
        </w:rPr>
      </w:pPr>
      <w:r>
        <w:rPr>
          <w:rFonts w:hint="eastAsia"/>
        </w:rPr>
        <w:t>支持将当前预览点位添加支选定收藏夹；</w:t>
      </w:r>
    </w:p>
    <w:p w14:paraId="1AFEE986">
      <w:pPr>
        <w:ind w:firstLine="480"/>
        <w:rPr>
          <w:rFonts w:hint="eastAsia"/>
        </w:rPr>
      </w:pPr>
      <w:r>
        <w:rPr>
          <w:rFonts w:hint="eastAsia"/>
        </w:rPr>
        <w:t>支持轮巡功能；</w:t>
      </w:r>
    </w:p>
    <w:p w14:paraId="405185E2">
      <w:pPr>
        <w:ind w:firstLine="480"/>
        <w:rPr>
          <w:rFonts w:hint="eastAsia"/>
        </w:rPr>
      </w:pPr>
      <w:r>
        <w:rPr>
          <w:rFonts w:hint="eastAsia"/>
        </w:rPr>
        <w:t>支持设置预览画面水印内容，包括用户名、IP地址、MAC地址，同时支持修改水印颜色；</w:t>
      </w:r>
    </w:p>
    <w:p w14:paraId="1289FE87">
      <w:pPr>
        <w:ind w:firstLine="480"/>
        <w:rPr>
          <w:rFonts w:hint="eastAsia"/>
        </w:rPr>
      </w:pPr>
      <w:r>
        <w:rPr>
          <w:rFonts w:hint="eastAsia"/>
        </w:rPr>
        <w:t>支持对预览视频进行录像，可设置录像文件是否分包保存，可设置录像包大小、录像保存路径；</w:t>
      </w:r>
    </w:p>
    <w:p w14:paraId="52F64933">
      <w:pPr>
        <w:ind w:firstLine="480"/>
        <w:rPr>
          <w:rFonts w:hint="eastAsia"/>
        </w:rPr>
      </w:pPr>
      <w:r>
        <w:rPr>
          <w:rFonts w:hint="eastAsia"/>
        </w:rPr>
        <w:t>支持设置预览时开启/关闭自动连续抓图，支持设置自动连续抓图时间间隔和张数、自动连续抓图文件保存格式和路径；</w:t>
      </w:r>
    </w:p>
    <w:p w14:paraId="4D63004B">
      <w:pPr>
        <w:ind w:firstLine="480"/>
        <w:rPr>
          <w:rFonts w:hint="eastAsia"/>
        </w:rPr>
      </w:pPr>
      <w:r>
        <w:rPr>
          <w:rFonts w:hint="eastAsia"/>
        </w:rPr>
        <w:t>支持多画面保存为预案，支持多画面同时抓图、同时录像、全部关闭、批量收藏功能；</w:t>
      </w:r>
    </w:p>
    <w:p w14:paraId="6A0F241F">
      <w:pPr>
        <w:ind w:firstLine="480"/>
        <w:rPr>
          <w:rFonts w:hint="eastAsia"/>
        </w:rPr>
      </w:pPr>
      <w:r>
        <w:rPr>
          <w:rFonts w:hint="eastAsia"/>
        </w:rPr>
        <w:t>支持多屏播放，支持切换画面为1、4、6、8、9、16、25、36、48、64、1+5、1+7、1+8、1+9、1+11、1+15、1+16、3+4、1+1、1+2、1+4屏幕分屏，支持画面以4:3或16:9展示，支持全屏播放；</w:t>
      </w:r>
    </w:p>
    <w:p w14:paraId="61E9A229">
      <w:pPr>
        <w:ind w:firstLine="480"/>
        <w:rPr>
          <w:rFonts w:hint="eastAsia"/>
        </w:rPr>
      </w:pPr>
      <w:r>
        <w:rPr>
          <w:rFonts w:hint="eastAsia"/>
        </w:rPr>
        <w:t>支持分享点位至指定用户，并支持设置点位分享有效时间。接收到点位的用户可在移动设备上进行点位查看；</w:t>
      </w:r>
    </w:p>
    <w:p w14:paraId="5AFEE41F">
      <w:pPr>
        <w:ind w:firstLine="480"/>
        <w:rPr>
          <w:rFonts w:hint="eastAsia"/>
        </w:rPr>
      </w:pPr>
      <w:r>
        <w:rPr>
          <w:rFonts w:hint="eastAsia"/>
        </w:rPr>
        <w:t>针对实时预览画面，支持右键进行抓图、录像、电子放大、云台控制、打开声音、打开对讲、切换主子码流、打开码流信息、上墙展示、打开录像回放、关闭窗口功能；</w:t>
      </w:r>
    </w:p>
    <w:p w14:paraId="7F82624F">
      <w:pPr>
        <w:ind w:firstLine="480"/>
        <w:rPr>
          <w:rFonts w:hint="eastAsia"/>
        </w:rPr>
      </w:pPr>
      <w:r>
        <w:rPr>
          <w:rFonts w:hint="eastAsia"/>
        </w:rPr>
        <w:t>支持实时视频云台控制，可以在视频上直接控制；</w:t>
      </w:r>
    </w:p>
    <w:p w14:paraId="480263DD">
      <w:pPr>
        <w:ind w:firstLine="480"/>
        <w:rPr>
          <w:rFonts w:hint="eastAsia"/>
        </w:rPr>
      </w:pPr>
      <w:r>
        <w:rPr>
          <w:rFonts w:hint="eastAsia"/>
        </w:rPr>
        <w:t>支持设置云台转动速度；</w:t>
      </w:r>
    </w:p>
    <w:p w14:paraId="1EBDF62B">
      <w:pPr>
        <w:ind w:firstLine="480"/>
        <w:rPr>
          <w:rFonts w:hint="eastAsia"/>
        </w:rPr>
      </w:pPr>
      <w:r>
        <w:rPr>
          <w:rFonts w:hint="eastAsia"/>
        </w:rPr>
        <w:t>支持调节镜头焦距、光圈；</w:t>
      </w:r>
    </w:p>
    <w:p w14:paraId="7899A423">
      <w:pPr>
        <w:ind w:firstLine="480"/>
        <w:rPr>
          <w:rFonts w:hint="eastAsia"/>
        </w:rPr>
      </w:pPr>
      <w:r>
        <w:rPr>
          <w:rFonts w:hint="eastAsia"/>
        </w:rPr>
        <w:t>支持3D定位功能；</w:t>
      </w:r>
    </w:p>
    <w:p w14:paraId="393ACEB9">
      <w:pPr>
        <w:ind w:firstLine="480"/>
        <w:rPr>
          <w:rFonts w:hint="eastAsia"/>
        </w:rPr>
      </w:pPr>
      <w:r>
        <w:rPr>
          <w:rFonts w:hint="eastAsia"/>
        </w:rPr>
        <w:t>支持设置、修改及快速选择预置点，自动扫描、自动巡航、模式路径；</w:t>
      </w:r>
    </w:p>
    <w:p w14:paraId="20195A5D">
      <w:pPr>
        <w:ind w:firstLine="480"/>
        <w:rPr>
          <w:rFonts w:hint="eastAsia"/>
        </w:rPr>
      </w:pPr>
      <w:r>
        <w:rPr>
          <w:rFonts w:hint="eastAsia"/>
        </w:rPr>
        <w:t>支持控制灯光开关、雨刷开关；</w:t>
      </w:r>
    </w:p>
    <w:p w14:paraId="07AC5C62">
      <w:pPr>
        <w:ind w:firstLine="480"/>
        <w:rPr>
          <w:rFonts w:hint="eastAsia"/>
        </w:rPr>
      </w:pPr>
      <w:r>
        <w:rPr>
          <w:rFonts w:hint="eastAsia"/>
        </w:rPr>
        <w:t>支持云台锁定与解锁，支持自动解锁，支持设置锁定时间；</w:t>
      </w:r>
    </w:p>
    <w:p w14:paraId="7A60D0B9">
      <w:pPr>
        <w:ind w:firstLine="480"/>
        <w:rPr>
          <w:rFonts w:hint="eastAsia"/>
        </w:rPr>
      </w:pPr>
      <w:r>
        <w:rPr>
          <w:rFonts w:hint="eastAsia"/>
        </w:rPr>
        <w:t>支持提供便捷地检索（日期、通道、记录模式）和回放（正常速度、快进、快退、慢进、慢退、单帧进和/或退、暂停、单路全屏）的方式； 可按 1/16、1/8、1/4、1/2、1、2、4、8、16 倍速回放；</w:t>
      </w:r>
    </w:p>
    <w:p w14:paraId="6F344117">
      <w:pPr>
        <w:ind w:firstLine="480"/>
        <w:rPr>
          <w:rFonts w:hint="eastAsia"/>
        </w:rPr>
      </w:pPr>
      <w:r>
        <w:rPr>
          <w:rFonts w:hint="eastAsia"/>
        </w:rPr>
        <w:t>支持对录像回放视频进行抓图并保存至本地，支持对所抓图片利用自带图片 编辑工具标注名称、类型、备注信息；</w:t>
      </w:r>
    </w:p>
    <w:p w14:paraId="42B2012C">
      <w:pPr>
        <w:ind w:firstLine="480"/>
        <w:rPr>
          <w:rFonts w:hint="eastAsia"/>
        </w:rPr>
      </w:pPr>
      <w:r>
        <w:rPr>
          <w:rFonts w:hint="eastAsia"/>
        </w:rPr>
        <w:t>支持回放画面电子放大；</w:t>
      </w:r>
    </w:p>
    <w:p w14:paraId="41E3CB87">
      <w:pPr>
        <w:ind w:firstLine="480"/>
        <w:rPr>
          <w:rFonts w:hint="eastAsia"/>
        </w:rPr>
      </w:pPr>
      <w:r>
        <w:rPr>
          <w:rFonts w:hint="eastAsia"/>
        </w:rPr>
        <w:t>支持开启/关闭音频播放设置选项；</w:t>
      </w:r>
    </w:p>
    <w:p w14:paraId="5B03CC03">
      <w:pPr>
        <w:ind w:firstLine="480"/>
        <w:rPr>
          <w:rFonts w:hint="eastAsia"/>
        </w:rPr>
      </w:pPr>
      <w:r>
        <w:rPr>
          <w:rFonts w:hint="eastAsia"/>
        </w:rPr>
        <w:t>支持录像时间轴缩放， 在时间轴上以 4种不同的颜色分别显示计划录像、移动录 像、手动录像、报警录像；</w:t>
      </w:r>
    </w:p>
    <w:p w14:paraId="3BB6845A">
      <w:pPr>
        <w:ind w:firstLine="480"/>
        <w:rPr>
          <w:rFonts w:hint="eastAsia"/>
        </w:rPr>
      </w:pPr>
      <w:r>
        <w:rPr>
          <w:rFonts w:hint="eastAsia"/>
        </w:rPr>
        <w:t>支持多画面同步或异步回放；</w:t>
      </w:r>
    </w:p>
    <w:p w14:paraId="640054CC">
      <w:pPr>
        <w:ind w:firstLine="480"/>
        <w:rPr>
          <w:rFonts w:hint="eastAsia"/>
        </w:rPr>
      </w:pPr>
      <w:r>
        <w:rPr>
          <w:rFonts w:hint="eastAsia"/>
        </w:rPr>
        <w:t>支持分段回放，可以将录像文件分成多个片段同时回放；</w:t>
      </w:r>
    </w:p>
    <w:p w14:paraId="7BC209B8">
      <w:pPr>
        <w:ind w:firstLine="480"/>
        <w:rPr>
          <w:rFonts w:hint="eastAsia"/>
        </w:rPr>
      </w:pPr>
      <w:r>
        <w:rPr>
          <w:rFonts w:hint="eastAsia"/>
        </w:rPr>
        <w:t>支持将当前回放点位添加至选定收藏夹；</w:t>
      </w:r>
    </w:p>
    <w:p w14:paraId="5DFBE276">
      <w:pPr>
        <w:ind w:firstLine="480"/>
        <w:rPr>
          <w:rFonts w:hint="eastAsia"/>
        </w:rPr>
      </w:pPr>
      <w:r>
        <w:rPr>
          <w:rFonts w:hint="eastAsia"/>
        </w:rPr>
        <w:t>支持设置回放画面水印内容，包括用户名、IP 地址、MAC 地址，同时支持修改水印颜色；</w:t>
      </w:r>
    </w:p>
    <w:p w14:paraId="232BA435">
      <w:pPr>
        <w:ind w:firstLine="480"/>
        <w:rPr>
          <w:rFonts w:hint="eastAsia"/>
        </w:rPr>
      </w:pPr>
      <w:r>
        <w:rPr>
          <w:rFonts w:hint="eastAsia"/>
        </w:rPr>
        <w:t>支持设置回放时开启/关闭自动连续抓图，支持设置自动连续抓图时间间隔和张数、自动连续抓图文件保存格式和路径；</w:t>
      </w:r>
    </w:p>
    <w:p w14:paraId="5C4748D6">
      <w:pPr>
        <w:ind w:firstLine="480"/>
        <w:rPr>
          <w:rFonts w:hint="eastAsia"/>
        </w:rPr>
      </w:pPr>
      <w:r>
        <w:rPr>
          <w:rFonts w:hint="eastAsia"/>
        </w:rPr>
        <w:t>支持对回放视频进行录像，可设置录像文件是否分包保存，可设置录像包大小、录像保存路径；</w:t>
      </w:r>
    </w:p>
    <w:p w14:paraId="35C233CD">
      <w:pPr>
        <w:ind w:firstLine="480"/>
        <w:rPr>
          <w:rFonts w:hint="eastAsia"/>
        </w:rPr>
      </w:pPr>
      <w:r>
        <w:rPr>
          <w:rFonts w:hint="eastAsia"/>
        </w:rPr>
        <w:t>支持针对一段录像进行标签标注。</w:t>
      </w:r>
    </w:p>
    <w:p w14:paraId="764A1530">
      <w:pPr>
        <w:pStyle w:val="9"/>
        <w:tabs>
          <w:tab w:val="clear" w:pos="425"/>
        </w:tabs>
      </w:pPr>
      <w:r>
        <w:rPr>
          <w:rFonts w:hint="eastAsia"/>
        </w:rPr>
        <w:t>电子地图</w:t>
      </w:r>
    </w:p>
    <w:p w14:paraId="131BCADA">
      <w:pPr>
        <w:ind w:firstLine="480"/>
        <w:rPr>
          <w:rFonts w:hint="eastAsia"/>
        </w:rPr>
      </w:pPr>
      <w:r>
        <w:rPr>
          <w:rFonts w:hint="eastAsia"/>
        </w:rPr>
        <w:t>支持根据地图缩放级别，将包含经纬度信息的视频监控资源点位通过聚合方式展示在电子地图上；</w:t>
      </w:r>
    </w:p>
    <w:p w14:paraId="2C41BCC7">
      <w:pPr>
        <w:ind w:firstLine="480"/>
        <w:rPr>
          <w:rFonts w:hint="eastAsia"/>
        </w:rPr>
      </w:pPr>
      <w:r>
        <w:rPr>
          <w:rFonts w:hint="eastAsia"/>
        </w:rPr>
        <w:t>支持在地图上查看选中点位的详情，如点位名称、类型；支持点位视频预览、回放、周边信息检索；</w:t>
      </w:r>
    </w:p>
    <w:p w14:paraId="70F3DEE1">
      <w:pPr>
        <w:ind w:firstLine="480"/>
        <w:rPr>
          <w:rFonts w:hint="eastAsia"/>
        </w:rPr>
      </w:pPr>
      <w:r>
        <w:rPr>
          <w:rFonts w:hint="eastAsia"/>
        </w:rPr>
        <w:t>支持修改监控点、卡口、录入平台的第三方监控点位的经纬度信息；</w:t>
      </w:r>
    </w:p>
    <w:p w14:paraId="56BA4D9B">
      <w:pPr>
        <w:ind w:firstLine="480"/>
        <w:rPr>
          <w:rFonts w:hint="eastAsia"/>
        </w:rPr>
      </w:pPr>
      <w:r>
        <w:rPr>
          <w:rFonts w:hint="eastAsia"/>
        </w:rPr>
        <w:t>支持列表展示未定位在地图中的点位资源；</w:t>
      </w:r>
    </w:p>
    <w:p w14:paraId="4440147E">
      <w:pPr>
        <w:ind w:firstLine="480"/>
        <w:rPr>
          <w:rFonts w:hint="eastAsia"/>
        </w:rPr>
      </w:pPr>
      <w:r>
        <w:rPr>
          <w:rFonts w:hint="eastAsia"/>
        </w:rPr>
        <w:t>支持通过关键字对视频监控点位进行模糊匹配检索，支持分类型检索；</w:t>
      </w:r>
    </w:p>
    <w:p w14:paraId="695EEFCD">
      <w:pPr>
        <w:ind w:firstLine="480"/>
        <w:rPr>
          <w:rFonts w:hint="eastAsia"/>
        </w:rPr>
      </w:pPr>
      <w:r>
        <w:rPr>
          <w:rFonts w:hint="eastAsia"/>
        </w:rPr>
        <w:t>支持对地图上的点位、卡口、录入平台的第三方监控点位、报警输入资源进行收藏；</w:t>
      </w:r>
    </w:p>
    <w:p w14:paraId="7A2276FE">
      <w:pPr>
        <w:ind w:firstLine="480"/>
        <w:rPr>
          <w:rFonts w:hint="eastAsia"/>
        </w:rPr>
      </w:pPr>
      <w:r>
        <w:rPr>
          <w:rFonts w:hint="eastAsia"/>
        </w:rPr>
        <w:t>支持监控资源在各平台之间同步；</w:t>
      </w:r>
    </w:p>
    <w:p w14:paraId="173BE137">
      <w:pPr>
        <w:ind w:firstLine="480"/>
        <w:rPr>
          <w:rFonts w:hint="eastAsia"/>
        </w:rPr>
      </w:pPr>
      <w:r>
        <w:rPr>
          <w:rFonts w:hint="eastAsia"/>
        </w:rPr>
        <w:t>支持查看基础目录，并支持根据业务需求切换相应的自定义业务目录，资源以资源树形式展示，点击可查看下层资源及点位；</w:t>
      </w:r>
    </w:p>
    <w:p w14:paraId="6F3BC708">
      <w:pPr>
        <w:ind w:firstLine="480"/>
        <w:rPr>
          <w:rFonts w:hint="eastAsia"/>
        </w:rPr>
      </w:pPr>
      <w:r>
        <w:rPr>
          <w:rFonts w:hint="eastAsia"/>
        </w:rPr>
        <w:t>支持通过关键字对视频监控点位进行模糊匹配检索，支持按资源类型、能力集标签检索，能力集标签支持自定义配置；</w:t>
      </w:r>
    </w:p>
    <w:p w14:paraId="634F65C1">
      <w:pPr>
        <w:ind w:firstLine="480"/>
        <w:rPr>
          <w:rFonts w:hint="eastAsia"/>
        </w:rPr>
      </w:pPr>
      <w:r>
        <w:rPr>
          <w:rFonts w:hint="eastAsia"/>
        </w:rPr>
        <w:t>地图支持拖动、滚轮放大缩小、截屏；</w:t>
      </w:r>
    </w:p>
    <w:p w14:paraId="77FF9405">
      <w:pPr>
        <w:ind w:firstLine="480"/>
        <w:rPr>
          <w:rFonts w:hint="eastAsia"/>
        </w:rPr>
      </w:pPr>
      <w:r>
        <w:rPr>
          <w:rFonts w:hint="eastAsia"/>
        </w:rPr>
        <w:t>支持重置恢复至地图初始化时的原始中心位置和地图层级，并可清除初始图层以外的所有操作内容；</w:t>
      </w:r>
    </w:p>
    <w:p w14:paraId="22DE8E23">
      <w:pPr>
        <w:ind w:firstLine="480"/>
        <w:rPr>
          <w:rFonts w:hint="eastAsia"/>
        </w:rPr>
      </w:pPr>
      <w:r>
        <w:rPr>
          <w:rFonts w:hint="eastAsia"/>
        </w:rPr>
        <w:t>支持在地图上测量距离、面积；</w:t>
      </w:r>
    </w:p>
    <w:p w14:paraId="4EFF942E">
      <w:pPr>
        <w:ind w:firstLine="480"/>
        <w:rPr>
          <w:rFonts w:hint="eastAsia"/>
        </w:rPr>
      </w:pPr>
      <w:r>
        <w:rPr>
          <w:rFonts w:hint="eastAsia"/>
        </w:rPr>
        <w:t>支持获取地图上已录入数据库点位的地址信息（该功能需地理资源数据支持）；</w:t>
      </w:r>
    </w:p>
    <w:p w14:paraId="3DE47CC8">
      <w:pPr>
        <w:ind w:firstLine="480"/>
        <w:rPr>
          <w:rFonts w:hint="eastAsia"/>
        </w:rPr>
      </w:pPr>
      <w:r>
        <w:rPr>
          <w:rFonts w:hint="eastAsia"/>
        </w:rPr>
        <w:t>支持矢量地图、影像地图切换；</w:t>
      </w:r>
    </w:p>
    <w:p w14:paraId="0193D6DB">
      <w:pPr>
        <w:ind w:firstLine="480"/>
        <w:rPr>
          <w:rFonts w:hint="eastAsia"/>
        </w:rPr>
      </w:pPr>
      <w:r>
        <w:rPr>
          <w:rFonts w:hint="eastAsia"/>
        </w:rPr>
        <w:t>系统支持矢量地图、影像图两种地图之间的切换；</w:t>
      </w:r>
    </w:p>
    <w:p w14:paraId="1FA64D01">
      <w:pPr>
        <w:ind w:firstLine="480"/>
        <w:rPr>
          <w:rFonts w:hint="eastAsia"/>
        </w:rPr>
      </w:pPr>
      <w:r>
        <w:rPr>
          <w:rFonts w:hint="eastAsia"/>
        </w:rPr>
        <w:t>支持框选、圆选、点选、线选、多边形选多种方式进行地图空间查询，支持针对查询结果进行按类过滤展示，并支持针对不同类型点位进行预览、回放、批量收藏、预览上墙、跳转查询操作。</w:t>
      </w:r>
    </w:p>
    <w:p w14:paraId="49E4D0BE">
      <w:pPr>
        <w:pStyle w:val="9"/>
        <w:tabs>
          <w:tab w:val="clear" w:pos="425"/>
        </w:tabs>
      </w:pPr>
      <w:r>
        <w:rPr>
          <w:rFonts w:hint="eastAsia"/>
        </w:rPr>
        <w:t>电视墙</w:t>
      </w:r>
    </w:p>
    <w:p w14:paraId="6A28E2E6">
      <w:pPr>
        <w:ind w:firstLine="480"/>
        <w:rPr>
          <w:rFonts w:hint="eastAsia"/>
        </w:rPr>
      </w:pPr>
      <w:r>
        <w:rPr>
          <w:rFonts w:hint="eastAsia"/>
        </w:rPr>
        <w:t>支持多机部署，即不同服务器上分别安装一个电视墙服务，在电视墙客户端上支持用户选择要操作的电视墙服务并且支持选择不同解码器添加到不同服务上；</w:t>
      </w:r>
    </w:p>
    <w:p w14:paraId="3D9579DB">
      <w:pPr>
        <w:ind w:firstLine="480"/>
        <w:rPr>
          <w:rFonts w:hint="eastAsia"/>
        </w:rPr>
      </w:pPr>
      <w:r>
        <w:rPr>
          <w:rFonts w:hint="eastAsia"/>
        </w:rPr>
        <w:t>支持电视墙预览轮巡，并支持进行轮巡播放控制（暂停/启用所有轮巡，执行轮巡上/下一页）；</w:t>
      </w:r>
    </w:p>
    <w:p w14:paraId="2A709A68">
      <w:pPr>
        <w:ind w:firstLine="480"/>
        <w:rPr>
          <w:rFonts w:hint="eastAsia"/>
        </w:rPr>
      </w:pPr>
      <w:r>
        <w:rPr>
          <w:rFonts w:hint="eastAsia"/>
        </w:rPr>
        <w:t>支持桌面上墙功能，即客户端所在 PC 机的系统桌面上墙至窗口上显示；</w:t>
      </w:r>
    </w:p>
    <w:p w14:paraId="3CE04513">
      <w:pPr>
        <w:ind w:firstLine="480"/>
        <w:rPr>
          <w:rFonts w:hint="eastAsia"/>
        </w:rPr>
      </w:pPr>
      <w:r>
        <w:rPr>
          <w:rFonts w:hint="eastAsia"/>
        </w:rPr>
        <w:t>支持配置模拟通道监控点实时监控画面上墙；</w:t>
      </w:r>
    </w:p>
    <w:p w14:paraId="02C6B3B6">
      <w:pPr>
        <w:ind w:firstLine="480"/>
        <w:rPr>
          <w:rFonts w:hint="eastAsia"/>
        </w:rPr>
      </w:pPr>
      <w:r>
        <w:rPr>
          <w:rFonts w:hint="eastAsia"/>
        </w:rPr>
        <w:t>支持对正在上墙的窗口设置上墙码流，支持进行主/子码流切换；</w:t>
      </w:r>
    </w:p>
    <w:p w14:paraId="1BE8FD60">
      <w:pPr>
        <w:ind w:firstLine="480"/>
        <w:rPr>
          <w:rFonts w:hint="eastAsia"/>
        </w:rPr>
      </w:pPr>
      <w:r>
        <w:rPr>
          <w:rFonts w:hint="eastAsia"/>
        </w:rPr>
        <w:t>支持打开输出通道的声音输出及关闭声音；</w:t>
      </w:r>
    </w:p>
    <w:p w14:paraId="544CFE74">
      <w:pPr>
        <w:ind w:firstLine="480"/>
        <w:rPr>
          <w:rFonts w:hint="eastAsia"/>
        </w:rPr>
      </w:pPr>
      <w:r>
        <w:rPr>
          <w:rFonts w:hint="eastAsia"/>
        </w:rPr>
        <w:t>支持创建虚拟LED，并支持自定义LED内容；</w:t>
      </w:r>
    </w:p>
    <w:p w14:paraId="28CA89EC">
      <w:pPr>
        <w:ind w:firstLine="480"/>
        <w:rPr>
          <w:rFonts w:hint="eastAsia"/>
        </w:rPr>
      </w:pPr>
      <w:r>
        <w:rPr>
          <w:rFonts w:hint="eastAsia"/>
        </w:rPr>
        <w:t>支持模糊搜索监控点位；</w:t>
      </w:r>
    </w:p>
    <w:p w14:paraId="7D19FE25">
      <w:pPr>
        <w:ind w:firstLine="480"/>
        <w:rPr>
          <w:rFonts w:hint="eastAsia"/>
        </w:rPr>
      </w:pPr>
      <w:r>
        <w:rPr>
          <w:rFonts w:hint="eastAsia"/>
        </w:rPr>
        <w:t>支持设置电视墙窗口通道解码分辨率为D1分辨率、720P、1080P；</w:t>
      </w:r>
    </w:p>
    <w:p w14:paraId="6937C25B">
      <w:pPr>
        <w:ind w:firstLine="480"/>
        <w:rPr>
          <w:rFonts w:hint="eastAsia"/>
        </w:rPr>
      </w:pPr>
      <w:r>
        <w:rPr>
          <w:rFonts w:hint="eastAsia"/>
        </w:rPr>
        <w:t>支持直连前端设备取流上墙配置，针对每个监控点配置其取流来源；</w:t>
      </w:r>
    </w:p>
    <w:p w14:paraId="1B281313">
      <w:pPr>
        <w:ind w:firstLine="480"/>
        <w:rPr>
          <w:rFonts w:hint="eastAsia"/>
        </w:rPr>
      </w:pPr>
      <w:r>
        <w:rPr>
          <w:rFonts w:hint="eastAsia"/>
        </w:rPr>
        <w:t>当拖动点位上墙失败提示窗口资源不存在，可能是电视墙客户端显示的窗口和大屏实际窗口不同步，支持通过“同步设备窗口”进行同步；</w:t>
      </w:r>
    </w:p>
    <w:p w14:paraId="6B707699">
      <w:pPr>
        <w:ind w:firstLine="480"/>
        <w:rPr>
          <w:rFonts w:hint="eastAsia"/>
        </w:rPr>
      </w:pPr>
      <w:r>
        <w:rPr>
          <w:rFonts w:hint="eastAsia"/>
        </w:rPr>
        <w:t>支持画面点位单个下墙及全部下墙控制；当电视墙画面放大至最大时，支持通过快速定位进行窗口切换；</w:t>
      </w:r>
    </w:p>
    <w:p w14:paraId="5482BC59">
      <w:pPr>
        <w:ind w:firstLine="480"/>
        <w:rPr>
          <w:rFonts w:hint="eastAsia"/>
        </w:rPr>
      </w:pPr>
      <w:r>
        <w:rPr>
          <w:rFonts w:hint="eastAsia"/>
        </w:rPr>
        <w:t>支持针对窗口的分割、拼接布局，及窗口上的监控点、预览轮巡、告警窗口、是否自动启停及启停时间进行配置形成电视墙场景；</w:t>
      </w:r>
    </w:p>
    <w:p w14:paraId="36808A69">
      <w:pPr>
        <w:ind w:firstLine="480"/>
        <w:rPr>
          <w:rFonts w:hint="eastAsia"/>
        </w:rPr>
      </w:pPr>
      <w:r>
        <w:rPr>
          <w:rFonts w:hint="eastAsia"/>
        </w:rPr>
        <w:t>支持针对某电视墙的场景进行增加、修改及删除，支持查看电视墙场景详情，支持配置电视墙场景切换计划；</w:t>
      </w:r>
    </w:p>
    <w:p w14:paraId="7C4A9D15">
      <w:pPr>
        <w:ind w:firstLine="480"/>
        <w:rPr>
          <w:rFonts w:hint="eastAsia"/>
        </w:rPr>
      </w:pPr>
      <w:r>
        <w:rPr>
          <w:rFonts w:hint="eastAsia"/>
        </w:rPr>
        <w:t>电视墙场景支持平台及设备两种场景类型。平台场景为电视墙服务场景，由电视墙服务提供数据，切换较慢但较稳定；设备场景使用设备内置场景，设备内部进行场景切换，电视墙服务从设备同步数据，切换较快但需要依赖设备；</w:t>
      </w:r>
    </w:p>
    <w:p w14:paraId="55791EA5">
      <w:pPr>
        <w:ind w:firstLine="480"/>
        <w:rPr>
          <w:rFonts w:hint="eastAsia"/>
        </w:rPr>
      </w:pPr>
      <w:r>
        <w:rPr>
          <w:rFonts w:hint="eastAsia"/>
        </w:rPr>
        <w:t>支持针对某电视墙场景进行增加、修改、删除轮巡计划，支持设置关联的监控点及其轮巡间隔；</w:t>
      </w:r>
    </w:p>
    <w:p w14:paraId="22998F10">
      <w:pPr>
        <w:ind w:firstLine="480"/>
        <w:rPr>
          <w:rFonts w:hint="eastAsia"/>
        </w:rPr>
      </w:pPr>
      <w:r>
        <w:rPr>
          <w:rFonts w:hint="eastAsia"/>
        </w:rPr>
        <w:t>支持针对某电视墙场景进行监控点与窗口的关联，让该监控点保持持续在该窗口上墙；支持从资源树及历史操作点位中选择关联的监控点；</w:t>
      </w:r>
    </w:p>
    <w:p w14:paraId="78121A99">
      <w:pPr>
        <w:ind w:firstLine="480"/>
        <w:rPr>
          <w:rFonts w:hint="eastAsia"/>
        </w:rPr>
      </w:pPr>
      <w:r>
        <w:rPr>
          <w:rFonts w:hint="eastAsia"/>
        </w:rPr>
        <w:t>支持在场景中针对模拟信号源进行配置；</w:t>
      </w:r>
    </w:p>
    <w:p w14:paraId="69934BDA">
      <w:pPr>
        <w:ind w:firstLine="480"/>
        <w:rPr>
          <w:rFonts w:hint="eastAsia"/>
        </w:rPr>
      </w:pPr>
      <w:r>
        <w:rPr>
          <w:rFonts w:hint="eastAsia"/>
        </w:rPr>
        <w:t>支持在场景中按高、中、低设为报警窗口，当有相应级的报警产生时可在该窗口自动上墙；</w:t>
      </w:r>
    </w:p>
    <w:p w14:paraId="52D1D62B">
      <w:pPr>
        <w:ind w:firstLine="480"/>
        <w:rPr>
          <w:rFonts w:hint="eastAsia"/>
        </w:rPr>
      </w:pPr>
      <w:r>
        <w:rPr>
          <w:rFonts w:hint="eastAsia"/>
        </w:rPr>
        <w:t>支持设置窗口编号，支持修改或清除编号，支持设置窗口名称，支持修改和清除窗口名称；</w:t>
      </w:r>
    </w:p>
    <w:p w14:paraId="5711FFA5">
      <w:pPr>
        <w:ind w:firstLine="480"/>
        <w:rPr>
          <w:rFonts w:hint="eastAsia"/>
        </w:rPr>
      </w:pPr>
      <w:r>
        <w:rPr>
          <w:rFonts w:hint="eastAsia"/>
        </w:rPr>
        <w:t>在全彩LED电视墙下，可以实现指定划分成几行几列布局，按网格来开窗，若干相邻网格可以拼接，方便全彩屏布局；支持取消虚拟分屏恢复默认窗口状态；</w:t>
      </w:r>
    </w:p>
    <w:p w14:paraId="6889367B">
      <w:pPr>
        <w:ind w:firstLine="480"/>
        <w:rPr>
          <w:rFonts w:hint="eastAsia"/>
        </w:rPr>
      </w:pPr>
      <w:r>
        <w:rPr>
          <w:rFonts w:hint="eastAsia"/>
        </w:rPr>
        <w:t>电视墙客户端支持增加、修改、删除、刷新解码器；</w:t>
      </w:r>
    </w:p>
    <w:p w14:paraId="72FBE8D8">
      <w:pPr>
        <w:ind w:firstLine="480"/>
        <w:rPr>
          <w:rFonts w:hint="eastAsia"/>
        </w:rPr>
      </w:pPr>
      <w:r>
        <w:rPr>
          <w:rFonts w:hint="eastAsia"/>
        </w:rPr>
        <w:t>支持根据电视墙名称、电视墙类型添加LCD电视墙，支持框选电视墙规格；</w:t>
      </w:r>
    </w:p>
    <w:p w14:paraId="45209058">
      <w:pPr>
        <w:ind w:firstLine="480"/>
        <w:rPr>
          <w:rFonts w:hint="eastAsia"/>
        </w:rPr>
      </w:pPr>
      <w:r>
        <w:rPr>
          <w:rFonts w:hint="eastAsia"/>
        </w:rPr>
        <w:t>支持根据电视墙名称、电视墙类型及屏幕宽高，添加LED电视墙，支持框选电视墙规格；</w:t>
      </w:r>
    </w:p>
    <w:p w14:paraId="0D4E4CC6">
      <w:pPr>
        <w:ind w:firstLine="480"/>
        <w:rPr>
          <w:rFonts w:hint="eastAsia"/>
        </w:rPr>
      </w:pPr>
      <w:r>
        <w:rPr>
          <w:rFonts w:hint="eastAsia"/>
        </w:rPr>
        <w:t>支持修改、删除、刷新电视墙；</w:t>
      </w:r>
    </w:p>
    <w:p w14:paraId="0FE40261">
      <w:pPr>
        <w:ind w:firstLine="480"/>
        <w:rPr>
          <w:rFonts w:hint="eastAsia"/>
        </w:rPr>
      </w:pPr>
      <w:r>
        <w:rPr>
          <w:rFonts w:hint="eastAsia"/>
        </w:rPr>
        <w:t>支持根据启用向导来指引用户添加解码设备、添加电视墙及资源关联；</w:t>
      </w:r>
    </w:p>
    <w:p w14:paraId="393BEA6D">
      <w:pPr>
        <w:ind w:firstLine="480"/>
        <w:rPr>
          <w:rFonts w:hint="eastAsia"/>
        </w:rPr>
      </w:pPr>
      <w:r>
        <w:rPr>
          <w:rFonts w:hint="eastAsia"/>
        </w:rPr>
        <w:t>支持新建、取消电视墙与解码器通道的关联关系，支持全部取消关联；</w:t>
      </w:r>
    </w:p>
    <w:p w14:paraId="4A9D315D">
      <w:pPr>
        <w:ind w:firstLine="480"/>
        <w:rPr>
          <w:rFonts w:hint="eastAsia"/>
        </w:rPr>
      </w:pPr>
      <w:r>
        <w:rPr>
          <w:rFonts w:hint="eastAsia"/>
        </w:rPr>
        <w:t>解码器输出通道与窗口关联后，支持针对该通道设置视频制式；</w:t>
      </w:r>
    </w:p>
    <w:p w14:paraId="0B7B877E">
      <w:pPr>
        <w:ind w:firstLine="480"/>
        <w:rPr>
          <w:rFonts w:hint="eastAsia"/>
        </w:rPr>
      </w:pPr>
      <w:r>
        <w:rPr>
          <w:rFonts w:hint="eastAsia"/>
        </w:rPr>
        <w:t>支持修改电视墙全局分辨率；</w:t>
      </w:r>
    </w:p>
    <w:p w14:paraId="1D09A3EC">
      <w:pPr>
        <w:ind w:firstLine="480"/>
        <w:rPr>
          <w:rFonts w:hint="eastAsia"/>
        </w:rPr>
      </w:pPr>
      <w:r>
        <w:rPr>
          <w:rFonts w:hint="eastAsia"/>
        </w:rPr>
        <w:t>支持新2016新国标解码设备管理，支持查看国标设备信息（设备型号、软件版本及设备通道数），支持查看国标设备状态（在线状态及解码状态），支持国标设备重启，支持国标设备配置（设备名称、注册过期时间、心跳间隔时间和心跳超时次数）；</w:t>
      </w:r>
    </w:p>
    <w:p w14:paraId="15E26296">
      <w:pPr>
        <w:ind w:firstLine="480"/>
        <w:rPr>
          <w:rFonts w:hint="eastAsia"/>
        </w:rPr>
      </w:pPr>
      <w:r>
        <w:rPr>
          <w:rFonts w:hint="eastAsia"/>
        </w:rPr>
        <w:t>支持检测设备上输出口关联关系与电视墙上是否一致；</w:t>
      </w:r>
    </w:p>
    <w:p w14:paraId="28ECE3C5">
      <w:pPr>
        <w:ind w:firstLine="480"/>
        <w:rPr>
          <w:rFonts w:hint="eastAsia"/>
        </w:rPr>
      </w:pPr>
      <w:r>
        <w:rPr>
          <w:rFonts w:hint="eastAsia"/>
        </w:rPr>
        <w:t>支持根据输入的关键字模糊搜索监控点名字、标签名字和报警名字包含该关键字的录像；</w:t>
      </w:r>
    </w:p>
    <w:p w14:paraId="22EAB6CA">
      <w:pPr>
        <w:ind w:firstLine="480"/>
        <w:rPr>
          <w:rFonts w:hint="eastAsia"/>
        </w:rPr>
      </w:pPr>
      <w:r>
        <w:rPr>
          <w:rFonts w:hint="eastAsia"/>
        </w:rPr>
        <w:t>支持从资源树中选择一个监控点，查询该监控点下选定时间段内的录像；</w:t>
      </w:r>
    </w:p>
    <w:p w14:paraId="21731C08">
      <w:pPr>
        <w:ind w:firstLine="480"/>
        <w:rPr>
          <w:rFonts w:hint="eastAsia"/>
        </w:rPr>
      </w:pPr>
      <w:r>
        <w:rPr>
          <w:rFonts w:hint="eastAsia"/>
        </w:rPr>
        <w:t>支持批量下载、锁定或解锁录像，录像被锁定时在存储设备中不会被覆盖；</w:t>
      </w:r>
    </w:p>
    <w:p w14:paraId="58071EAB">
      <w:pPr>
        <w:ind w:firstLine="480"/>
        <w:rPr>
          <w:rFonts w:hint="eastAsia"/>
        </w:rPr>
      </w:pPr>
      <w:r>
        <w:rPr>
          <w:rFonts w:hint="eastAsia"/>
        </w:rPr>
        <w:t>支持以颜色区分录像类型。红色为报警录像，蓝色为计划录像；</w:t>
      </w:r>
    </w:p>
    <w:p w14:paraId="24307611">
      <w:pPr>
        <w:ind w:firstLine="480"/>
        <w:rPr>
          <w:rFonts w:hint="eastAsia"/>
        </w:rPr>
      </w:pPr>
      <w:r>
        <w:rPr>
          <w:rFonts w:hint="eastAsia"/>
        </w:rPr>
        <w:t>支持查看监控点信息及录像片段，并支持录像播放；</w:t>
      </w:r>
    </w:p>
    <w:p w14:paraId="722E2BE3">
      <w:pPr>
        <w:ind w:firstLine="480"/>
        <w:rPr>
          <w:rFonts w:hint="eastAsia"/>
        </w:rPr>
      </w:pPr>
      <w:r>
        <w:rPr>
          <w:rFonts w:hint="eastAsia"/>
        </w:rPr>
        <w:t>针对查询所得的标签录像，支持查看录像的标签内容、点位名称、录像开始时间及结束时间；</w:t>
      </w:r>
    </w:p>
    <w:p w14:paraId="705688C4">
      <w:pPr>
        <w:ind w:firstLine="480"/>
        <w:rPr>
          <w:rFonts w:hint="eastAsia"/>
        </w:rPr>
      </w:pPr>
      <w:r>
        <w:rPr>
          <w:rFonts w:hint="eastAsia"/>
        </w:rPr>
        <w:t>支持播放及下载标签录像；</w:t>
      </w:r>
    </w:p>
    <w:p w14:paraId="42C9B739">
      <w:pPr>
        <w:ind w:firstLine="480"/>
        <w:rPr>
          <w:rFonts w:hint="eastAsia"/>
        </w:rPr>
      </w:pPr>
      <w:r>
        <w:rPr>
          <w:rFonts w:hint="eastAsia"/>
        </w:rPr>
        <w:t>支持用户打开视频实时报警界面后，当有新报警记录产生时，页面将自动调用平台播放器，播放报警产生设备的实时预览画面。该功能可在视频实时报警配置中关闭；</w:t>
      </w:r>
    </w:p>
    <w:p w14:paraId="4F86CE76">
      <w:pPr>
        <w:ind w:firstLine="480"/>
        <w:rPr>
          <w:rFonts w:hint="eastAsia"/>
        </w:rPr>
      </w:pPr>
      <w:r>
        <w:rPr>
          <w:rFonts w:hint="eastAsia"/>
        </w:rPr>
        <w:t>支持查看历史视频报警信息，包括报警名称、优先级、报警源、报警类型及报警时间，其中优先级支持以不同颜色标明其紧急程度；</w:t>
      </w:r>
    </w:p>
    <w:p w14:paraId="01AB6D06">
      <w:pPr>
        <w:ind w:firstLine="480"/>
        <w:rPr>
          <w:rFonts w:hint="eastAsia"/>
        </w:rPr>
      </w:pPr>
      <w:r>
        <w:rPr>
          <w:rFonts w:hint="eastAsia"/>
        </w:rPr>
        <w:t>支持根据报警名称、报警类型、优先级及报警时间进行报警查询。</w:t>
      </w:r>
    </w:p>
    <w:p w14:paraId="28821EBA">
      <w:pPr>
        <w:pStyle w:val="9"/>
        <w:tabs>
          <w:tab w:val="clear" w:pos="425"/>
        </w:tabs>
      </w:pPr>
      <w:r>
        <w:rPr>
          <w:rFonts w:hint="eastAsia"/>
        </w:rPr>
        <w:t>视频搜索</w:t>
      </w:r>
    </w:p>
    <w:p w14:paraId="22E18B1C">
      <w:pPr>
        <w:ind w:firstLine="480"/>
        <w:rPr>
          <w:rFonts w:hint="eastAsia"/>
        </w:rPr>
      </w:pPr>
      <w:r>
        <w:rPr>
          <w:rFonts w:hint="eastAsia"/>
        </w:rPr>
        <w:t>支持按时间（今天、昨天、最近7天）和监控点对录像片段查询；</w:t>
      </w:r>
    </w:p>
    <w:p w14:paraId="41A26ADE">
      <w:pPr>
        <w:ind w:firstLine="480"/>
        <w:rPr>
          <w:rFonts w:hint="eastAsia"/>
        </w:rPr>
      </w:pPr>
      <w:r>
        <w:rPr>
          <w:rFonts w:hint="eastAsia"/>
        </w:rPr>
        <w:t>录像片段点击支持回放；</w:t>
      </w:r>
    </w:p>
    <w:p w14:paraId="0EEA9B3F">
      <w:pPr>
        <w:ind w:firstLine="480"/>
        <w:rPr>
          <w:rFonts w:hint="eastAsia"/>
        </w:rPr>
      </w:pPr>
      <w:r>
        <w:rPr>
          <w:rFonts w:hint="eastAsia"/>
        </w:rPr>
        <w:t>回放支持截图、剪辑、锁定、电子放大、导出、开启声音、标签、码流切换、倒放、单帧、倍数。</w:t>
      </w:r>
    </w:p>
    <w:p w14:paraId="59527622">
      <w:pPr>
        <w:pStyle w:val="9"/>
        <w:tabs>
          <w:tab w:val="clear" w:pos="425"/>
        </w:tabs>
      </w:pPr>
      <w:r>
        <w:rPr>
          <w:rFonts w:hint="eastAsia"/>
        </w:rPr>
        <w:t>视频回放</w:t>
      </w:r>
    </w:p>
    <w:p w14:paraId="4B8AE3AC">
      <w:pPr>
        <w:ind w:firstLine="480"/>
        <w:rPr>
          <w:rFonts w:hint="eastAsia"/>
        </w:rPr>
      </w:pPr>
      <w:r>
        <w:rPr>
          <w:rFonts w:hint="eastAsia"/>
        </w:rPr>
        <w:t>视频预览方式主要分直连预览、非直连预览、级联预览。直连预览为平台直连设备进行预览；非直连预览为平台过设备接入组件进行预览；级联预览为平台通过视频联网网关进行预览；</w:t>
      </w:r>
    </w:p>
    <w:p w14:paraId="2A4D17D9">
      <w:pPr>
        <w:ind w:firstLine="480"/>
        <w:rPr>
          <w:rFonts w:hint="eastAsia"/>
        </w:rPr>
      </w:pPr>
      <w:r>
        <w:rPr>
          <w:rFonts w:hint="eastAsia"/>
        </w:rPr>
        <w:t>支持选择回放时间段，对录像进行查询回放；</w:t>
      </w:r>
    </w:p>
    <w:p w14:paraId="6A98BBEB">
      <w:pPr>
        <w:ind w:firstLine="480"/>
        <w:rPr>
          <w:rFonts w:hint="eastAsia"/>
        </w:rPr>
      </w:pPr>
      <w:r>
        <w:rPr>
          <w:rFonts w:hint="eastAsia"/>
        </w:rPr>
        <w:t>支持抓拍、电子放大、声音、抓拍截图、紧急录像、连续抓拍功能；</w:t>
      </w:r>
    </w:p>
    <w:p w14:paraId="006E0948">
      <w:pPr>
        <w:ind w:firstLine="480"/>
        <w:rPr>
          <w:rFonts w:hint="eastAsia"/>
        </w:rPr>
      </w:pPr>
      <w:r>
        <w:rPr>
          <w:rFonts w:hint="eastAsia"/>
        </w:rPr>
        <w:t>支持进度条缩放，并支持滚轮控制，支持在时间轴上切换画面播放时间；支持针对录像进行下载，支持多路同时下；支持画面暂停、逐帧倒放、逐帧前进，支持调整画面播放倍速，支持1倍、2倍、4倍、8倍、16倍快速播放。</w:t>
      </w:r>
    </w:p>
    <w:p w14:paraId="1866B9A5">
      <w:pPr>
        <w:pStyle w:val="6"/>
        <w:tabs>
          <w:tab w:val="clear" w:pos="425"/>
        </w:tabs>
        <w:rPr>
          <w:rFonts w:ascii="宋体" w:hAnsi="宋体"/>
        </w:rPr>
      </w:pPr>
      <w:r>
        <w:rPr>
          <w:rFonts w:hint="eastAsia" w:ascii="宋体" w:hAnsi="宋体"/>
        </w:rPr>
        <w:t>视频级联网关</w:t>
      </w:r>
    </w:p>
    <w:p w14:paraId="37ECA20B">
      <w:pPr>
        <w:ind w:firstLine="480"/>
        <w:rPr>
          <w:rFonts w:hint="eastAsia"/>
        </w:rPr>
      </w:pPr>
      <w:r>
        <w:rPr>
          <w:rFonts w:hint="eastAsia"/>
        </w:rPr>
        <w:t>应用于为视频监控业务提供级联服务，专注于平台域间视频联网，基于视频通用标准协议（GB/T28181-2011,GB/T28181-2016）与外域平台互联互通，实现上级平台对下级平台视频资源点位的操作控制。</w:t>
      </w:r>
    </w:p>
    <w:p w14:paraId="0C1160B2">
      <w:pPr>
        <w:ind w:firstLine="480"/>
        <w:rPr>
          <w:rFonts w:hint="eastAsia"/>
        </w:rPr>
      </w:pPr>
      <w:r>
        <w:rPr>
          <w:rFonts w:hint="eastAsia"/>
        </w:rPr>
        <w:t>支持上下级域注册管理能力，实现平台级联；</w:t>
      </w:r>
    </w:p>
    <w:p w14:paraId="11B73C9F">
      <w:pPr>
        <w:ind w:firstLine="480"/>
        <w:rPr>
          <w:rFonts w:hint="eastAsia"/>
        </w:rPr>
      </w:pPr>
      <w:r>
        <w:rPr>
          <w:rFonts w:hint="eastAsia"/>
        </w:rPr>
        <w:t>支持资源同步能力；</w:t>
      </w:r>
    </w:p>
    <w:p w14:paraId="3D9D5CD4">
      <w:pPr>
        <w:ind w:firstLine="480"/>
        <w:rPr>
          <w:rFonts w:hint="eastAsia"/>
        </w:rPr>
      </w:pPr>
      <w:r>
        <w:rPr>
          <w:rFonts w:hint="eastAsia"/>
        </w:rPr>
        <w:t>支持级联视频点位实时预览、录像回放、录像下载、语音对讲能力；</w:t>
      </w:r>
    </w:p>
    <w:p w14:paraId="58FF0C47">
      <w:pPr>
        <w:ind w:firstLine="480"/>
        <w:rPr>
          <w:rFonts w:hint="eastAsia"/>
        </w:rPr>
      </w:pPr>
      <w:r>
        <w:rPr>
          <w:rFonts w:hint="eastAsia"/>
        </w:rPr>
        <w:t>支持级联视频点位设备操作控制能力；</w:t>
      </w:r>
    </w:p>
    <w:p w14:paraId="4B86E2C6">
      <w:pPr>
        <w:ind w:firstLine="480"/>
      </w:pPr>
      <w:r>
        <w:rPr>
          <w:rFonts w:hint="eastAsia"/>
        </w:rPr>
        <w:t>支持下级平台推送到本级平台视频点位路数控制能力，通过级联点位授权路数控制。</w:t>
      </w:r>
    </w:p>
    <w:p w14:paraId="10B69DC0">
      <w:pPr>
        <w:pStyle w:val="6"/>
        <w:tabs>
          <w:tab w:val="clear" w:pos="425"/>
        </w:tabs>
        <w:rPr>
          <w:rFonts w:ascii="宋体" w:hAnsi="宋体"/>
        </w:rPr>
      </w:pPr>
      <w:r>
        <w:rPr>
          <w:rFonts w:hint="eastAsia"/>
        </w:rPr>
        <w:t>视频运维应用</w:t>
      </w:r>
    </w:p>
    <w:p w14:paraId="48CE7DBB">
      <w:pPr>
        <w:ind w:firstLine="480"/>
        <w:rPr>
          <w:rFonts w:hint="eastAsia"/>
        </w:rPr>
      </w:pPr>
      <w:r>
        <w:rPr>
          <w:rFonts w:hint="eastAsia"/>
        </w:rPr>
        <w:t>提供基础运维功能，包括设备运行状态采集、视频质量检测、录像质量检测、运维告警查询与处理、运维报表。</w:t>
      </w:r>
    </w:p>
    <w:p w14:paraId="34BA4481">
      <w:pPr>
        <w:ind w:firstLine="480"/>
        <w:rPr>
          <w:rFonts w:hint="eastAsia"/>
        </w:rPr>
      </w:pPr>
      <w:r>
        <w:rPr>
          <w:rFonts w:hint="eastAsia"/>
        </w:rPr>
        <w:t>1、设备运行状态采集：检测前端设备在线情况。</w:t>
      </w:r>
    </w:p>
    <w:p w14:paraId="68E2CCF9">
      <w:pPr>
        <w:ind w:firstLine="480"/>
        <w:rPr>
          <w:rFonts w:hint="eastAsia"/>
        </w:rPr>
      </w:pPr>
      <w:r>
        <w:rPr>
          <w:rFonts w:hint="eastAsia"/>
        </w:rPr>
        <w:t>2、视频质量检测：检测视频的图像质量。</w:t>
      </w:r>
    </w:p>
    <w:p w14:paraId="5FDE4A91">
      <w:pPr>
        <w:ind w:firstLine="480"/>
        <w:rPr>
          <w:rFonts w:hint="eastAsia"/>
        </w:rPr>
      </w:pPr>
      <w:r>
        <w:rPr>
          <w:rFonts w:hint="eastAsia"/>
        </w:rPr>
        <w:t>3、录像质量检测：检测视频录像的完整性。</w:t>
      </w:r>
    </w:p>
    <w:p w14:paraId="6DDF7BE8">
      <w:pPr>
        <w:ind w:firstLine="480"/>
        <w:rPr>
          <w:rFonts w:hint="eastAsia"/>
        </w:rPr>
      </w:pPr>
      <w:r>
        <w:rPr>
          <w:rFonts w:hint="eastAsia"/>
        </w:rPr>
        <w:t>4、运维告警查询与处理：提供运维告警的查询和处理功能。</w:t>
      </w:r>
    </w:p>
    <w:p w14:paraId="31A16E51">
      <w:pPr>
        <w:ind w:firstLine="480"/>
      </w:pPr>
      <w:r>
        <w:rPr>
          <w:rFonts w:hint="eastAsia"/>
        </w:rPr>
        <w:t>5、运维结果报表展示：按月、时间区间统计各区域监控点在线率、图像正常率、录像完整率。</w:t>
      </w:r>
    </w:p>
    <w:p w14:paraId="1911D6CB">
      <w:pPr>
        <w:pStyle w:val="6"/>
        <w:tabs>
          <w:tab w:val="clear" w:pos="425"/>
        </w:tabs>
      </w:pPr>
      <w:r>
        <w:rPr>
          <w:rFonts w:hint="eastAsia"/>
        </w:rPr>
        <w:t>地图应用</w:t>
      </w:r>
    </w:p>
    <w:p w14:paraId="5C69FA84">
      <w:pPr>
        <w:pStyle w:val="9"/>
        <w:tabs>
          <w:tab w:val="clear" w:pos="425"/>
        </w:tabs>
      </w:pPr>
      <w:r>
        <w:rPr>
          <w:rFonts w:hint="eastAsia"/>
        </w:rPr>
        <w:t>地图功能</w:t>
      </w:r>
    </w:p>
    <w:p w14:paraId="68BC92CF">
      <w:pPr>
        <w:ind w:firstLine="480"/>
        <w:rPr>
          <w:rFonts w:hint="eastAsia"/>
        </w:rPr>
      </w:pPr>
      <w:r>
        <w:rPr>
          <w:rFonts w:hint="eastAsia"/>
        </w:rPr>
        <w:t>地图支持拖动至地图初始化时的原始中心位置和地图层级；</w:t>
      </w:r>
    </w:p>
    <w:p w14:paraId="25590EE1">
      <w:pPr>
        <w:ind w:firstLine="480"/>
        <w:rPr>
          <w:rFonts w:hint="eastAsia"/>
        </w:rPr>
      </w:pPr>
      <w:r>
        <w:rPr>
          <w:rFonts w:hint="eastAsia"/>
        </w:rPr>
        <w:t>地图支持滚轮放大缩小至地图初始化时的原始中心位置和地图层级；</w:t>
      </w:r>
    </w:p>
    <w:p w14:paraId="649C94FE">
      <w:pPr>
        <w:ind w:firstLine="480"/>
        <w:rPr>
          <w:rFonts w:hint="eastAsia"/>
        </w:rPr>
      </w:pPr>
      <w:r>
        <w:rPr>
          <w:rFonts w:hint="eastAsia"/>
        </w:rPr>
        <w:t>地图支持重置恢复至地图初始化时的原始中心位置和地图层级；</w:t>
      </w:r>
    </w:p>
    <w:p w14:paraId="660CCA82">
      <w:pPr>
        <w:ind w:firstLine="480"/>
        <w:rPr>
          <w:rFonts w:hint="eastAsia"/>
        </w:rPr>
      </w:pPr>
      <w:r>
        <w:rPr>
          <w:rFonts w:hint="eastAsia"/>
        </w:rPr>
        <w:t>除了支持矢量地图展示外，还支持切换到影像图模式。切换到影像图模式后，仍然支持地图基本操作以及各种功能；</w:t>
      </w:r>
    </w:p>
    <w:p w14:paraId="13C1CF32">
      <w:pPr>
        <w:ind w:firstLine="480"/>
        <w:rPr>
          <w:rFonts w:hint="eastAsia"/>
        </w:rPr>
      </w:pPr>
      <w:r>
        <w:rPr>
          <w:rFonts w:hint="eastAsia"/>
        </w:rPr>
        <w:t>测量分为测距和侧面积两种测量方式。支持用户对地图上某段路段进行测距或计算某个面积的大小，为指挥决策提供数据支撑。支持测距、测面积数据的清除；</w:t>
      </w:r>
    </w:p>
    <w:p w14:paraId="0D366F35">
      <w:pPr>
        <w:ind w:firstLine="480"/>
        <w:rPr>
          <w:rFonts w:hint="eastAsia"/>
        </w:rPr>
      </w:pPr>
      <w:r>
        <w:rPr>
          <w:rFonts w:hint="eastAsia"/>
        </w:rPr>
        <w:t>对当前地图及其上的要素进行截图，支持保存为本地图片；</w:t>
      </w:r>
    </w:p>
    <w:p w14:paraId="7C550703">
      <w:pPr>
        <w:ind w:firstLine="480"/>
        <w:rPr>
          <w:rFonts w:hint="eastAsia"/>
        </w:rPr>
      </w:pPr>
      <w:r>
        <w:rPr>
          <w:rFonts w:hint="eastAsia"/>
        </w:rPr>
        <w:t>支持地图的全屏功能，可在保证地图视野的同时，用户操作也更加便捷；</w:t>
      </w:r>
    </w:p>
    <w:p w14:paraId="64FAF839">
      <w:pPr>
        <w:ind w:firstLine="480"/>
        <w:rPr>
          <w:rFonts w:hint="eastAsia"/>
        </w:rPr>
      </w:pPr>
      <w:r>
        <w:rPr>
          <w:rFonts w:hint="eastAsia"/>
        </w:rPr>
        <w:t>支持通过绘制图形进行空间资源的查询，可在地图上绘制矩形、圆形、多边形、线状缓冲区作为空间查询范围，并可多次绘制取交集、并集、差集，绘制结束后展示设备（监控点、卡口、报警输入/输出）点位或场所点位；</w:t>
      </w:r>
    </w:p>
    <w:p w14:paraId="0B117F8C">
      <w:pPr>
        <w:ind w:firstLine="480"/>
        <w:rPr>
          <w:rFonts w:hint="eastAsia"/>
        </w:rPr>
      </w:pPr>
      <w:r>
        <w:rPr>
          <w:rFonts w:hint="eastAsia"/>
        </w:rPr>
        <w:t>支持通过绘制图形进行空间资源的查询，可在地图上绘制圆形缓冲区作为空间查询范围，并可多次绘制取交集、并集、差集，绘制结束后展示设备（监控点、卡口、报警输入/输出）点位或场所点位；</w:t>
      </w:r>
    </w:p>
    <w:p w14:paraId="3956D35C">
      <w:pPr>
        <w:ind w:firstLine="480"/>
        <w:rPr>
          <w:rFonts w:hint="eastAsia"/>
        </w:rPr>
      </w:pPr>
      <w:r>
        <w:rPr>
          <w:rFonts w:hint="eastAsia"/>
        </w:rPr>
        <w:t>支持通过绘制图形进行空间资源的查询，可在地图上绘制线状缓冲区作为空间查询范围，并可多次绘制取交集、并集、差集，绘制结束后展示设备（监控点、卡口、报警输入/输出）点位或场所点位；</w:t>
      </w:r>
    </w:p>
    <w:p w14:paraId="52F73E6C">
      <w:pPr>
        <w:ind w:firstLine="480"/>
        <w:rPr>
          <w:rFonts w:hint="eastAsia"/>
        </w:rPr>
      </w:pPr>
      <w:r>
        <w:rPr>
          <w:rFonts w:hint="eastAsia"/>
        </w:rPr>
        <w:t>支持通过绘制图形进行空间资源的查询，可在地图上绘制多边形缓冲区作为空间查询范围，并可多次绘制取交集、并集、差集，绘制结束后展示设备（监控点、卡口、报警输入/输出）点位或场所点位；</w:t>
      </w:r>
    </w:p>
    <w:p w14:paraId="72229271">
      <w:pPr>
        <w:ind w:firstLine="480"/>
        <w:rPr>
          <w:rFonts w:hint="eastAsia"/>
        </w:rPr>
      </w:pPr>
      <w:r>
        <w:rPr>
          <w:rFonts w:hint="eastAsia"/>
        </w:rPr>
        <w:t>监控设备与场所都以点位的形式展示在地图上，支持通过关键字查询和常用标签对这些资源进行查询（不支持地名），查询结果以分页列表的形式展示；</w:t>
      </w:r>
    </w:p>
    <w:p w14:paraId="3358F7C1">
      <w:pPr>
        <w:ind w:firstLine="480"/>
        <w:rPr>
          <w:rFonts w:hint="eastAsia"/>
        </w:rPr>
      </w:pPr>
      <w:r>
        <w:rPr>
          <w:rFonts w:hint="eastAsia"/>
        </w:rPr>
        <w:t>其中支持对常用标签进行编辑，并可从标签树中选择标签添加到常用标签中。</w:t>
      </w:r>
    </w:p>
    <w:p w14:paraId="772586F2">
      <w:pPr>
        <w:pStyle w:val="9"/>
        <w:tabs>
          <w:tab w:val="clear" w:pos="425"/>
        </w:tabs>
      </w:pPr>
      <w:r>
        <w:rPr>
          <w:rFonts w:hint="eastAsia"/>
        </w:rPr>
        <w:t>资源查询</w:t>
      </w:r>
    </w:p>
    <w:p w14:paraId="75B6D7F7">
      <w:pPr>
        <w:ind w:firstLine="480"/>
        <w:rPr>
          <w:rFonts w:hint="eastAsia"/>
        </w:rPr>
      </w:pPr>
      <w:r>
        <w:rPr>
          <w:rFonts w:hint="eastAsia"/>
        </w:rPr>
        <w:t>支持查看基础目录及自定义的业务目录树下，监控点、卡口、车载、单兵、无人机类型资源；</w:t>
      </w:r>
    </w:p>
    <w:p w14:paraId="028807DC">
      <w:pPr>
        <w:ind w:firstLine="480"/>
        <w:rPr>
          <w:rFonts w:hint="eastAsia"/>
        </w:rPr>
      </w:pPr>
      <w:r>
        <w:rPr>
          <w:rFonts w:hint="eastAsia"/>
        </w:rPr>
        <w:t>支持在地图上，根据地图聚合级别以不同样式图标展示卡口资源；</w:t>
      </w:r>
    </w:p>
    <w:p w14:paraId="37A23067">
      <w:pPr>
        <w:ind w:firstLine="480"/>
        <w:rPr>
          <w:rFonts w:hint="eastAsia"/>
        </w:rPr>
      </w:pPr>
      <w:r>
        <w:rPr>
          <w:rFonts w:hint="eastAsia"/>
        </w:rPr>
        <w:t>支持在地图上，根据地图聚合级别以不同样式图标展示电警资源；</w:t>
      </w:r>
    </w:p>
    <w:p w14:paraId="6427C313">
      <w:pPr>
        <w:ind w:firstLine="480"/>
        <w:rPr>
          <w:rFonts w:hint="eastAsia"/>
        </w:rPr>
      </w:pPr>
      <w:r>
        <w:rPr>
          <w:rFonts w:hint="eastAsia"/>
        </w:rPr>
        <w:t>支持在地图上，根据地图聚合级别以不同样式图标展示监控点资源；</w:t>
      </w:r>
    </w:p>
    <w:p w14:paraId="647390B5">
      <w:pPr>
        <w:ind w:firstLine="480"/>
        <w:rPr>
          <w:rFonts w:hint="eastAsia"/>
        </w:rPr>
      </w:pPr>
      <w:r>
        <w:rPr>
          <w:rFonts w:hint="eastAsia"/>
        </w:rPr>
        <w:t>支持在地图上，根据地图聚合级别以不同样式图标展示信号机资源；</w:t>
      </w:r>
    </w:p>
    <w:p w14:paraId="408363AB">
      <w:pPr>
        <w:ind w:firstLine="480"/>
        <w:rPr>
          <w:rFonts w:hint="eastAsia"/>
        </w:rPr>
      </w:pPr>
      <w:r>
        <w:rPr>
          <w:rFonts w:hint="eastAsia"/>
        </w:rPr>
        <w:t>支持在地图上，根据地图聚合级别以不同样式图标展示诱导屏资源；</w:t>
      </w:r>
    </w:p>
    <w:p w14:paraId="0B9370E4">
      <w:pPr>
        <w:ind w:firstLine="480"/>
        <w:rPr>
          <w:rFonts w:hint="eastAsia"/>
        </w:rPr>
      </w:pPr>
      <w:r>
        <w:rPr>
          <w:rFonts w:hint="eastAsia"/>
        </w:rPr>
        <w:t>支持在地图上，根据地图聚合级别以不同样式图标展示医院、学校、商场、火车站、景点、停车场、收费站等社会资源；</w:t>
      </w:r>
    </w:p>
    <w:p w14:paraId="325E7F2B">
      <w:pPr>
        <w:ind w:firstLine="480"/>
        <w:rPr>
          <w:rFonts w:hint="eastAsia"/>
        </w:rPr>
      </w:pPr>
      <w:r>
        <w:rPr>
          <w:rFonts w:hint="eastAsia"/>
        </w:rPr>
        <w:t>支持资源定位至地图所在位置，并展示点位详细信息，如点位名称、像素、类型；</w:t>
      </w:r>
    </w:p>
    <w:p w14:paraId="6E417221">
      <w:pPr>
        <w:ind w:firstLine="480"/>
        <w:rPr>
          <w:rFonts w:hint="eastAsia"/>
        </w:rPr>
      </w:pPr>
      <w:r>
        <w:rPr>
          <w:rFonts w:hint="eastAsia"/>
        </w:rPr>
        <w:t>支持点位视频预览、回放、收藏、周边查询、标注经纬度、打标签、可视域；</w:t>
      </w:r>
    </w:p>
    <w:p w14:paraId="5FC45033">
      <w:pPr>
        <w:ind w:firstLine="480"/>
        <w:rPr>
          <w:rFonts w:hint="eastAsia"/>
        </w:rPr>
      </w:pPr>
      <w:r>
        <w:rPr>
          <w:rFonts w:hint="eastAsia"/>
        </w:rPr>
        <w:t>支持点位经纬度修改；</w:t>
      </w:r>
    </w:p>
    <w:p w14:paraId="0945AA3E">
      <w:pPr>
        <w:ind w:firstLine="480"/>
        <w:rPr>
          <w:rFonts w:hint="eastAsia"/>
        </w:rPr>
      </w:pPr>
      <w:r>
        <w:rPr>
          <w:rFonts w:hint="eastAsia"/>
        </w:rPr>
        <w:t>支持仅展示未标注经纬度的点位资源；</w:t>
      </w:r>
    </w:p>
    <w:p w14:paraId="50A0CDB6">
      <w:pPr>
        <w:ind w:firstLine="480"/>
        <w:rPr>
          <w:rFonts w:hint="eastAsia"/>
        </w:rPr>
      </w:pPr>
      <w:r>
        <w:rPr>
          <w:rFonts w:hint="eastAsia"/>
        </w:rPr>
        <w:t>支持分资源类型进行关键字模糊匹配检索，同时支持对资源进行全局搜索。</w:t>
      </w:r>
    </w:p>
    <w:p w14:paraId="44009A01">
      <w:pPr>
        <w:pStyle w:val="9"/>
        <w:tabs>
          <w:tab w:val="clear" w:pos="425"/>
        </w:tabs>
      </w:pPr>
      <w:r>
        <w:rPr>
          <w:rFonts w:hint="eastAsia"/>
        </w:rPr>
        <w:t>收藏夹</w:t>
      </w:r>
    </w:p>
    <w:p w14:paraId="6620FEDD">
      <w:pPr>
        <w:ind w:firstLine="480"/>
        <w:rPr>
          <w:rFonts w:hint="eastAsia"/>
        </w:rPr>
      </w:pPr>
      <w:r>
        <w:rPr>
          <w:rFonts w:hint="eastAsia"/>
        </w:rPr>
        <w:t>支持对感兴趣的点位进行收藏或分享，用户可以根据自己的需求来创建收藏目录，以便下次直接调用，查看；</w:t>
      </w:r>
    </w:p>
    <w:p w14:paraId="1ADE50B6">
      <w:pPr>
        <w:ind w:firstLine="480"/>
        <w:rPr>
          <w:rFonts w:hint="eastAsia"/>
        </w:rPr>
      </w:pPr>
      <w:r>
        <w:rPr>
          <w:rFonts w:hint="eastAsia"/>
        </w:rPr>
        <w:t>支持按关键字对收藏点位进行搜索，支持添加、编辑、查看、分享、删除收藏夹；</w:t>
      </w:r>
    </w:p>
    <w:p w14:paraId="5DCB0339">
      <w:pPr>
        <w:ind w:firstLine="480"/>
        <w:rPr>
          <w:rFonts w:hint="eastAsia"/>
        </w:rPr>
      </w:pPr>
      <w:r>
        <w:rPr>
          <w:rFonts w:hint="eastAsia"/>
        </w:rPr>
        <w:t>支持按关键字对收藏点位进行搜索，点击后在地图上显示点位位置。</w:t>
      </w:r>
    </w:p>
    <w:p w14:paraId="504788E2">
      <w:pPr>
        <w:pStyle w:val="6"/>
        <w:tabs>
          <w:tab w:val="clear" w:pos="425"/>
        </w:tabs>
      </w:pPr>
      <w:r>
        <w:rPr>
          <w:rFonts w:hint="eastAsia"/>
        </w:rPr>
        <w:t>违法查询</w:t>
      </w:r>
    </w:p>
    <w:p w14:paraId="635B2482">
      <w:pPr>
        <w:pStyle w:val="9"/>
        <w:tabs>
          <w:tab w:val="clear" w:pos="425"/>
        </w:tabs>
      </w:pPr>
      <w:r>
        <w:rPr>
          <w:rFonts w:hint="eastAsia"/>
        </w:rPr>
        <w:t>基础查询</w:t>
      </w:r>
    </w:p>
    <w:p w14:paraId="3A948A56">
      <w:pPr>
        <w:ind w:firstLine="480"/>
        <w:rPr>
          <w:rFonts w:hint="eastAsia"/>
        </w:rPr>
      </w:pPr>
      <w:r>
        <w:rPr>
          <w:rFonts w:hint="eastAsia"/>
        </w:rPr>
        <w:t>支持违法数据查询功能。</w:t>
      </w:r>
    </w:p>
    <w:p w14:paraId="6F8BC96D">
      <w:pPr>
        <w:ind w:firstLine="480"/>
        <w:rPr>
          <w:rFonts w:hint="eastAsia"/>
        </w:rPr>
      </w:pPr>
      <w:r>
        <w:rPr>
          <w:rFonts w:hint="eastAsia"/>
        </w:rPr>
        <w:t>查询结果支持进行过车详情查看、机动车信息查看、过车录像回放、违法地点在地图上联动查看。</w:t>
      </w:r>
    </w:p>
    <w:p w14:paraId="60BB3FAD">
      <w:pPr>
        <w:ind w:firstLine="480"/>
        <w:rPr>
          <w:rFonts w:hint="eastAsia"/>
        </w:rPr>
      </w:pPr>
      <w:r>
        <w:rPr>
          <w:rFonts w:hint="eastAsia"/>
        </w:rPr>
        <w:t>支持在地图上标注搜索结果图片的抓拍设备。</w:t>
      </w:r>
    </w:p>
    <w:p w14:paraId="0A86AB0A">
      <w:pPr>
        <w:pStyle w:val="9"/>
        <w:tabs>
          <w:tab w:val="clear" w:pos="425"/>
        </w:tabs>
      </w:pPr>
      <w:r>
        <w:rPr>
          <w:rFonts w:hint="eastAsia"/>
        </w:rPr>
        <w:t>详情展示</w:t>
      </w:r>
    </w:p>
    <w:p w14:paraId="6B5C5447">
      <w:pPr>
        <w:ind w:firstLine="480"/>
        <w:rPr>
          <w:rFonts w:hint="eastAsia"/>
        </w:rPr>
      </w:pPr>
      <w:r>
        <w:rPr>
          <w:rFonts w:hint="eastAsia"/>
        </w:rPr>
        <w:t>查询结果支持以图片或列表形式展示。</w:t>
      </w:r>
    </w:p>
    <w:p w14:paraId="501A2A18">
      <w:pPr>
        <w:ind w:firstLine="480"/>
        <w:rPr>
          <w:rFonts w:hint="eastAsia"/>
        </w:rPr>
      </w:pPr>
      <w:r>
        <w:rPr>
          <w:rFonts w:hint="eastAsia"/>
        </w:rPr>
        <w:t>支持查询结果快捷操作，链接到查看详情，地图定位，视频回放功能。</w:t>
      </w:r>
    </w:p>
    <w:p w14:paraId="16CDAFC4">
      <w:pPr>
        <w:pStyle w:val="9"/>
        <w:tabs>
          <w:tab w:val="clear" w:pos="425"/>
        </w:tabs>
      </w:pPr>
      <w:r>
        <w:rPr>
          <w:rFonts w:hint="eastAsia"/>
        </w:rPr>
        <w:t>详情导出</w:t>
      </w:r>
    </w:p>
    <w:p w14:paraId="6BDCABE5">
      <w:pPr>
        <w:ind w:firstLine="480"/>
        <w:rPr>
          <w:rFonts w:hint="eastAsia"/>
        </w:rPr>
      </w:pPr>
      <w:r>
        <w:rPr>
          <w:rFonts w:hint="eastAsia"/>
        </w:rPr>
        <w:t>支持将检索结果的车辆图像及相关结构化信息全部或部分导出成csv/excel。</w:t>
      </w:r>
    </w:p>
    <w:p w14:paraId="0BBB6B27">
      <w:pPr>
        <w:pStyle w:val="6"/>
        <w:tabs>
          <w:tab w:val="clear" w:pos="425"/>
        </w:tabs>
      </w:pPr>
      <w:r>
        <w:rPr>
          <w:rFonts w:hint="eastAsia"/>
        </w:rPr>
        <w:t>基础车辆应用</w:t>
      </w:r>
    </w:p>
    <w:p w14:paraId="300A6D7E">
      <w:pPr>
        <w:pStyle w:val="9"/>
        <w:tabs>
          <w:tab w:val="clear" w:pos="425"/>
        </w:tabs>
      </w:pPr>
      <w:r>
        <w:rPr>
          <w:rFonts w:hint="eastAsia"/>
        </w:rPr>
        <w:t>基础查询</w:t>
      </w:r>
    </w:p>
    <w:p w14:paraId="1B1748B4">
      <w:pPr>
        <w:ind w:firstLine="480"/>
        <w:rPr>
          <w:rFonts w:hint="eastAsia"/>
        </w:rPr>
      </w:pPr>
      <w:r>
        <w:rPr>
          <w:rFonts w:hint="eastAsia"/>
        </w:rPr>
        <w:t>支持正常过车查询功能。</w:t>
      </w:r>
    </w:p>
    <w:p w14:paraId="674CD145">
      <w:pPr>
        <w:ind w:firstLine="480"/>
        <w:rPr>
          <w:rFonts w:hint="eastAsia"/>
        </w:rPr>
      </w:pPr>
      <w:r>
        <w:rPr>
          <w:rFonts w:hint="eastAsia"/>
        </w:rPr>
        <w:t>支持选择时段、点位范围、方向及车道，根据车牌号码 、结果关联、车辆颜色、车辆品牌、车辆类型、车牌类型、车牌颜色进行过车记录检索。</w:t>
      </w:r>
    </w:p>
    <w:p w14:paraId="09052088">
      <w:pPr>
        <w:ind w:firstLine="480"/>
        <w:rPr>
          <w:rFonts w:hint="eastAsia"/>
        </w:rPr>
      </w:pPr>
      <w:r>
        <w:rPr>
          <w:rFonts w:hint="eastAsia"/>
        </w:rPr>
        <w:t>支持不分组或者按车牌和卡口分组展示查询结果。</w:t>
      </w:r>
    </w:p>
    <w:p w14:paraId="24BDBA6E">
      <w:pPr>
        <w:ind w:firstLine="480"/>
        <w:rPr>
          <w:rFonts w:hint="eastAsia"/>
        </w:rPr>
      </w:pPr>
      <w:r>
        <w:rPr>
          <w:rFonts w:hint="eastAsia"/>
        </w:rPr>
        <w:t>支持按车辆特征信息（包括拍照角度 、车辆特征、前车窗特征、主副驾人员特征、是否渣土车、速度区间）进行过车记录检索。</w:t>
      </w:r>
    </w:p>
    <w:p w14:paraId="1DA5CA35">
      <w:pPr>
        <w:ind w:firstLine="480"/>
        <w:rPr>
          <w:rFonts w:hint="eastAsia"/>
        </w:rPr>
      </w:pPr>
      <w:r>
        <w:rPr>
          <w:rFonts w:hint="eastAsia"/>
        </w:rPr>
        <w:t>查询结果支持显示车辆与人脸的关联关系，当结果图片左上角出现关联人脸标志时表示搜索结果可关联人脸。</w:t>
      </w:r>
    </w:p>
    <w:p w14:paraId="7C4B083A">
      <w:pPr>
        <w:ind w:firstLine="480"/>
        <w:rPr>
          <w:rFonts w:hint="eastAsia"/>
        </w:rPr>
      </w:pPr>
      <w:r>
        <w:rPr>
          <w:rFonts w:hint="eastAsia"/>
        </w:rPr>
        <w:t>支持查看配置中的号牌归属。</w:t>
      </w:r>
    </w:p>
    <w:p w14:paraId="65878304">
      <w:pPr>
        <w:ind w:firstLine="480"/>
        <w:rPr>
          <w:rFonts w:hint="eastAsia"/>
        </w:rPr>
      </w:pPr>
      <w:r>
        <w:rPr>
          <w:rFonts w:hint="eastAsia"/>
        </w:rPr>
        <w:t>支持查看检索结果详情。</w:t>
      </w:r>
    </w:p>
    <w:p w14:paraId="1ABA2AAA">
      <w:pPr>
        <w:ind w:firstLine="480"/>
        <w:rPr>
          <w:rFonts w:hint="eastAsia"/>
        </w:rPr>
      </w:pPr>
      <w:r>
        <w:rPr>
          <w:rFonts w:hint="eastAsia"/>
        </w:rPr>
        <w:t>支持在地图上标注搜索结果图片的抓拍设备。</w:t>
      </w:r>
    </w:p>
    <w:p w14:paraId="7303790C">
      <w:pPr>
        <w:pStyle w:val="9"/>
        <w:tabs>
          <w:tab w:val="clear" w:pos="425"/>
        </w:tabs>
      </w:pPr>
      <w:r>
        <w:rPr>
          <w:rFonts w:hint="eastAsia"/>
        </w:rPr>
        <w:t>详情展示</w:t>
      </w:r>
    </w:p>
    <w:p w14:paraId="6747B186">
      <w:pPr>
        <w:ind w:firstLine="480"/>
        <w:rPr>
          <w:rFonts w:hint="eastAsia"/>
        </w:rPr>
      </w:pPr>
      <w:r>
        <w:rPr>
          <w:rFonts w:hint="eastAsia"/>
        </w:rPr>
        <w:t>支持过车详情显示当前车辆车牌信息、抓拍卡口信息以及抓拍时间。</w:t>
      </w:r>
    </w:p>
    <w:p w14:paraId="44725EBC">
      <w:pPr>
        <w:ind w:firstLine="480"/>
        <w:rPr>
          <w:rFonts w:hint="eastAsia"/>
        </w:rPr>
      </w:pPr>
      <w:r>
        <w:rPr>
          <w:rFonts w:hint="eastAsia"/>
        </w:rPr>
        <w:t>支持查询结果快捷操作，链接到查看详情，地图定位，视频回放，以车搜车功能。</w:t>
      </w:r>
    </w:p>
    <w:p w14:paraId="72A93234">
      <w:pPr>
        <w:pStyle w:val="9"/>
        <w:tabs>
          <w:tab w:val="clear" w:pos="425"/>
        </w:tabs>
      </w:pPr>
      <w:r>
        <w:rPr>
          <w:rFonts w:hint="eastAsia"/>
        </w:rPr>
        <w:t>详情导出</w:t>
      </w:r>
    </w:p>
    <w:p w14:paraId="5FF7E1E9">
      <w:pPr>
        <w:ind w:firstLine="480"/>
        <w:rPr>
          <w:rFonts w:hint="eastAsia"/>
        </w:rPr>
      </w:pPr>
      <w:r>
        <w:rPr>
          <w:rFonts w:hint="eastAsia"/>
        </w:rPr>
        <w:t>支持将检索结果的车辆图像及相关结构化信息全部或部分导出成csv格式文件。</w:t>
      </w:r>
    </w:p>
    <w:p w14:paraId="43A28C93">
      <w:pPr>
        <w:pStyle w:val="6"/>
        <w:tabs>
          <w:tab w:val="clear" w:pos="425"/>
        </w:tabs>
      </w:pPr>
      <w:r>
        <w:rPr>
          <w:rFonts w:hint="eastAsia"/>
        </w:rPr>
        <w:t>红名单车辆</w:t>
      </w:r>
    </w:p>
    <w:p w14:paraId="4DF7B094">
      <w:pPr>
        <w:pStyle w:val="9"/>
        <w:tabs>
          <w:tab w:val="clear" w:pos="425"/>
        </w:tabs>
      </w:pPr>
      <w:r>
        <w:rPr>
          <w:rFonts w:hint="eastAsia"/>
        </w:rPr>
        <w:t>基础查询</w:t>
      </w:r>
    </w:p>
    <w:p w14:paraId="323DFB0D">
      <w:pPr>
        <w:ind w:firstLine="480"/>
        <w:rPr>
          <w:rFonts w:hint="eastAsia"/>
        </w:rPr>
      </w:pPr>
      <w:r>
        <w:rPr>
          <w:rFonts w:hint="eastAsia"/>
        </w:rPr>
        <w:t>支持红名单过车查询功能。</w:t>
      </w:r>
    </w:p>
    <w:p w14:paraId="0ED50109">
      <w:pPr>
        <w:ind w:firstLine="480"/>
        <w:rPr>
          <w:rFonts w:hint="eastAsia"/>
        </w:rPr>
      </w:pPr>
      <w:r>
        <w:rPr>
          <w:rFonts w:hint="eastAsia"/>
        </w:rPr>
        <w:t>支持按时段、点位范围、方向及车道，根据车牌号码 、结果关联、车辆颜色、车辆品牌、车辆类型、车牌类型、车牌颜色进行红名单过车记录检索。</w:t>
      </w:r>
    </w:p>
    <w:p w14:paraId="1C956B8C">
      <w:pPr>
        <w:ind w:firstLine="480"/>
        <w:rPr>
          <w:rFonts w:hint="eastAsia"/>
        </w:rPr>
      </w:pPr>
      <w:r>
        <w:rPr>
          <w:rFonts w:hint="eastAsia"/>
        </w:rPr>
        <w:t>支持按车辆特征信息（包括拍照角度 、车辆特征、前车窗特征、主副驾人员特征、是否渣土车、速度区间）进行红名单过车记录检索。</w:t>
      </w:r>
    </w:p>
    <w:p w14:paraId="2B4B92F5">
      <w:pPr>
        <w:ind w:firstLine="480"/>
        <w:rPr>
          <w:rFonts w:hint="eastAsia"/>
        </w:rPr>
      </w:pPr>
      <w:r>
        <w:rPr>
          <w:rFonts w:hint="eastAsia"/>
        </w:rPr>
        <w:t>查询结果支持按照车牌或卡口分组展示。</w:t>
      </w:r>
    </w:p>
    <w:p w14:paraId="0D518438">
      <w:pPr>
        <w:ind w:firstLine="480"/>
        <w:rPr>
          <w:rFonts w:hint="eastAsia"/>
        </w:rPr>
      </w:pPr>
      <w:r>
        <w:rPr>
          <w:rFonts w:hint="eastAsia"/>
        </w:rPr>
        <w:t>查询结果支持以图片或列表形式展示，列表形式支持表头过滤。</w:t>
      </w:r>
    </w:p>
    <w:p w14:paraId="0B4A0933">
      <w:pPr>
        <w:ind w:firstLine="480"/>
        <w:rPr>
          <w:rFonts w:hint="eastAsia"/>
        </w:rPr>
      </w:pPr>
      <w:r>
        <w:rPr>
          <w:rFonts w:hint="eastAsia"/>
        </w:rPr>
        <w:t>支持查看配置中的号牌归属。</w:t>
      </w:r>
    </w:p>
    <w:p w14:paraId="324FAD7D">
      <w:pPr>
        <w:pStyle w:val="9"/>
        <w:tabs>
          <w:tab w:val="clear" w:pos="425"/>
        </w:tabs>
      </w:pPr>
      <w:r>
        <w:rPr>
          <w:rFonts w:hint="eastAsia"/>
        </w:rPr>
        <w:t>详情展示</w:t>
      </w:r>
    </w:p>
    <w:p w14:paraId="35BF6496">
      <w:pPr>
        <w:ind w:firstLine="480"/>
        <w:rPr>
          <w:rFonts w:hint="eastAsia"/>
        </w:rPr>
      </w:pPr>
      <w:r>
        <w:rPr>
          <w:rFonts w:hint="eastAsia"/>
        </w:rPr>
        <w:t>支持查看检索结果详情。</w:t>
      </w:r>
    </w:p>
    <w:p w14:paraId="0A828F9C">
      <w:pPr>
        <w:ind w:firstLine="480"/>
        <w:rPr>
          <w:rFonts w:hint="eastAsia"/>
        </w:rPr>
      </w:pPr>
      <w:r>
        <w:rPr>
          <w:rFonts w:hint="eastAsia"/>
        </w:rPr>
        <w:t>支持过车详情显示当前车辆车牌信息、抓拍卡口信息以及抓拍时间。</w:t>
      </w:r>
    </w:p>
    <w:p w14:paraId="4DCC013A">
      <w:pPr>
        <w:ind w:firstLine="480"/>
        <w:rPr>
          <w:rFonts w:hint="eastAsia"/>
        </w:rPr>
      </w:pPr>
      <w:r>
        <w:rPr>
          <w:rFonts w:hint="eastAsia"/>
        </w:rPr>
        <w:t>支持查询结果快捷操作，链接到查看详情，地图定位，视频回放，一车一档，以车搜车功能。</w:t>
      </w:r>
    </w:p>
    <w:p w14:paraId="2657F8B2">
      <w:pPr>
        <w:ind w:firstLine="480"/>
        <w:rPr>
          <w:rFonts w:hint="eastAsia"/>
        </w:rPr>
      </w:pPr>
      <w:r>
        <w:rPr>
          <w:rFonts w:hint="eastAsia"/>
        </w:rPr>
        <w:t>支持在地图上标注搜索结果图片的抓拍设备。</w:t>
      </w:r>
    </w:p>
    <w:p w14:paraId="17EC8A5A">
      <w:pPr>
        <w:pStyle w:val="9"/>
        <w:tabs>
          <w:tab w:val="clear" w:pos="425"/>
        </w:tabs>
      </w:pPr>
      <w:r>
        <w:rPr>
          <w:rFonts w:hint="eastAsia"/>
        </w:rPr>
        <w:t>详情导出</w:t>
      </w:r>
    </w:p>
    <w:p w14:paraId="68844F52">
      <w:pPr>
        <w:ind w:firstLine="480"/>
        <w:rPr>
          <w:rFonts w:hint="eastAsia"/>
        </w:rPr>
      </w:pPr>
      <w:r>
        <w:rPr>
          <w:rFonts w:hint="eastAsia"/>
        </w:rPr>
        <w:t>支持将检索结果的车辆图像及相关结构化信息全部或部分导出成csv格式文件。</w:t>
      </w:r>
    </w:p>
    <w:p w14:paraId="36E3F892">
      <w:pPr>
        <w:pStyle w:val="6"/>
        <w:tabs>
          <w:tab w:val="clear" w:pos="425"/>
        </w:tabs>
      </w:pPr>
      <w:r>
        <w:rPr>
          <w:rFonts w:hint="eastAsia"/>
        </w:rPr>
        <w:t>车辆轨迹查询</w:t>
      </w:r>
    </w:p>
    <w:p w14:paraId="62C3D593">
      <w:pPr>
        <w:ind w:firstLine="480"/>
        <w:rPr>
          <w:rFonts w:hint="eastAsia"/>
        </w:rPr>
      </w:pPr>
      <w:r>
        <w:rPr>
          <w:rFonts w:hint="eastAsia"/>
        </w:rPr>
        <w:t>支持按照车牌号码、车牌颜色、过车时间和选择范围查询，结果在地图上展示，并可进行轨迹回放；</w:t>
      </w:r>
    </w:p>
    <w:p w14:paraId="0DE54EC2">
      <w:pPr>
        <w:ind w:firstLine="480"/>
        <w:rPr>
          <w:rFonts w:hint="eastAsia"/>
        </w:rPr>
      </w:pPr>
      <w:r>
        <w:rPr>
          <w:rFonts w:hint="eastAsia"/>
        </w:rPr>
        <w:t>支持对某条过车数据进行视频回放；</w:t>
      </w:r>
    </w:p>
    <w:p w14:paraId="310B2099">
      <w:pPr>
        <w:ind w:firstLine="480"/>
      </w:pPr>
      <w:r>
        <w:rPr>
          <w:rFonts w:hint="eastAsia"/>
        </w:rPr>
        <w:t>支持车辆轨迹信息的顺序、倒序排列。</w:t>
      </w:r>
    </w:p>
    <w:p w14:paraId="12EE694C">
      <w:pPr>
        <w:pStyle w:val="6"/>
        <w:tabs>
          <w:tab w:val="clear" w:pos="425"/>
        </w:tabs>
      </w:pPr>
      <w:r>
        <w:rPr>
          <w:rFonts w:hint="eastAsia"/>
        </w:rPr>
        <w:t>区间测速</w:t>
      </w:r>
    </w:p>
    <w:p w14:paraId="5F4A48AC">
      <w:pPr>
        <w:pStyle w:val="9"/>
        <w:tabs>
          <w:tab w:val="clear" w:pos="425"/>
        </w:tabs>
      </w:pPr>
      <w:r>
        <w:rPr>
          <w:rFonts w:hint="eastAsia"/>
        </w:rPr>
        <w:t>基础查询</w:t>
      </w:r>
    </w:p>
    <w:p w14:paraId="3FD2D3F0">
      <w:pPr>
        <w:ind w:firstLine="480"/>
        <w:rPr>
          <w:rFonts w:hint="eastAsia"/>
        </w:rPr>
      </w:pPr>
      <w:r>
        <w:rPr>
          <w:rFonts w:hint="eastAsia"/>
        </w:rPr>
        <w:t>支持区间测速查询功能。</w:t>
      </w:r>
    </w:p>
    <w:p w14:paraId="161975C8">
      <w:pPr>
        <w:ind w:firstLine="480"/>
        <w:rPr>
          <w:rFonts w:hint="eastAsia"/>
        </w:rPr>
      </w:pPr>
      <w:r>
        <w:rPr>
          <w:rFonts w:hint="eastAsia"/>
        </w:rPr>
        <w:t>支持按车辆区间属性（车牌号码、车牌颜色 、违法时间、区间名称、超速比）搜索区间违法超速数据（包括超速比、平均速度超速信息）。</w:t>
      </w:r>
    </w:p>
    <w:p w14:paraId="69C83A18">
      <w:pPr>
        <w:ind w:firstLine="480"/>
        <w:rPr>
          <w:rFonts w:hint="eastAsia"/>
        </w:rPr>
      </w:pPr>
      <w:r>
        <w:rPr>
          <w:rFonts w:hint="eastAsia"/>
        </w:rPr>
        <w:t>查询结果支持按时间顺序或超速比例排序。</w:t>
      </w:r>
    </w:p>
    <w:p w14:paraId="41698CA6">
      <w:pPr>
        <w:ind w:firstLine="480"/>
        <w:rPr>
          <w:rFonts w:hint="eastAsia"/>
        </w:rPr>
      </w:pPr>
      <w:r>
        <w:rPr>
          <w:rFonts w:hint="eastAsia"/>
        </w:rPr>
        <w:t>支持将检索结果的车辆图像及相关结构化信息全部或部分导出成csv。</w:t>
      </w:r>
    </w:p>
    <w:p w14:paraId="0945A5A8">
      <w:pPr>
        <w:ind w:firstLine="480"/>
        <w:rPr>
          <w:rFonts w:hint="eastAsia"/>
        </w:rPr>
      </w:pPr>
      <w:r>
        <w:rPr>
          <w:rFonts w:hint="eastAsia"/>
        </w:rPr>
        <w:t>支持查看检索结果详情。</w:t>
      </w:r>
    </w:p>
    <w:p w14:paraId="4FF0E058">
      <w:pPr>
        <w:pStyle w:val="9"/>
        <w:tabs>
          <w:tab w:val="clear" w:pos="425"/>
        </w:tabs>
      </w:pPr>
      <w:r>
        <w:rPr>
          <w:rFonts w:hint="eastAsia"/>
        </w:rPr>
        <w:t>详情导出</w:t>
      </w:r>
    </w:p>
    <w:p w14:paraId="66DB604A">
      <w:pPr>
        <w:ind w:firstLine="480"/>
        <w:rPr>
          <w:rFonts w:hint="eastAsia"/>
        </w:rPr>
      </w:pPr>
      <w:r>
        <w:rPr>
          <w:rFonts w:hint="eastAsia"/>
        </w:rPr>
        <w:t>支持将检索结果的车辆图像及相关结构化信息全部或部分导出成csv。</w:t>
      </w:r>
    </w:p>
    <w:p w14:paraId="0909EC4D">
      <w:pPr>
        <w:ind w:firstLine="480"/>
        <w:rPr>
          <w:rFonts w:hint="eastAsia"/>
        </w:rPr>
      </w:pPr>
      <w:r>
        <w:rPr>
          <w:rFonts w:hint="eastAsia"/>
        </w:rPr>
        <w:t>支持查看检索结果详情。</w:t>
      </w:r>
    </w:p>
    <w:p w14:paraId="5CBAEB49">
      <w:pPr>
        <w:pStyle w:val="6"/>
        <w:tabs>
          <w:tab w:val="clear" w:pos="425"/>
        </w:tabs>
      </w:pPr>
      <w:r>
        <w:rPr>
          <w:rFonts w:hint="eastAsia"/>
        </w:rPr>
        <w:t>交通事件参数</w:t>
      </w:r>
    </w:p>
    <w:p w14:paraId="09E13AE5">
      <w:pPr>
        <w:pStyle w:val="9"/>
        <w:tabs>
          <w:tab w:val="clear" w:pos="425"/>
        </w:tabs>
      </w:pPr>
      <w:r>
        <w:rPr>
          <w:rFonts w:hint="eastAsia"/>
        </w:rPr>
        <w:t>交通事件查询</w:t>
      </w:r>
    </w:p>
    <w:p w14:paraId="209D21D5">
      <w:pPr>
        <w:ind w:firstLine="480"/>
        <w:rPr>
          <w:rFonts w:hint="eastAsia"/>
        </w:rPr>
      </w:pPr>
      <w:r>
        <w:rPr>
          <w:rFonts w:hint="eastAsia"/>
        </w:rPr>
        <w:t>交通事件查询支持按卡口、方向、事件类型（拥堵、变道、机占非、烟雾、黑名单数据、超速、交通事故检测、侧方位停车检测、浓雾检测、路障、施工、停车、压线、掉头、逆行、行人、抛撒物）、时间段进行交通事件查询；</w:t>
      </w:r>
    </w:p>
    <w:p w14:paraId="4727BC86">
      <w:pPr>
        <w:ind w:firstLine="480"/>
        <w:rPr>
          <w:rFonts w:hint="eastAsia"/>
        </w:rPr>
      </w:pPr>
      <w:r>
        <w:rPr>
          <w:rFonts w:hint="eastAsia"/>
        </w:rPr>
        <w:t>支持按缩略图的方式展示查询结果，并包含事件图片、事件类型、方向、点位、时间信息；</w:t>
      </w:r>
    </w:p>
    <w:p w14:paraId="5A7839D8">
      <w:pPr>
        <w:ind w:firstLine="480"/>
        <w:rPr>
          <w:rFonts w:hint="eastAsia"/>
        </w:rPr>
      </w:pPr>
      <w:r>
        <w:rPr>
          <w:rFonts w:hint="eastAsia"/>
        </w:rPr>
        <w:t>支持通过视频回放，以纪录片形式还原交通事件历史运行状况；</w:t>
      </w:r>
    </w:p>
    <w:p w14:paraId="514FF327">
      <w:pPr>
        <w:ind w:firstLine="480"/>
        <w:rPr>
          <w:rFonts w:hint="eastAsia"/>
        </w:rPr>
      </w:pPr>
      <w:r>
        <w:rPr>
          <w:rFonts w:hint="eastAsia"/>
        </w:rPr>
        <w:t>支持对事件发生时间前后的录像进行回放。</w:t>
      </w:r>
    </w:p>
    <w:p w14:paraId="032FF74A">
      <w:pPr>
        <w:ind w:firstLine="480"/>
        <w:rPr>
          <w:rFonts w:hint="eastAsia"/>
        </w:rPr>
      </w:pPr>
      <w:r>
        <w:rPr>
          <w:rFonts w:hint="eastAsia"/>
        </w:rPr>
        <w:t>支持全部导出和部分导出。</w:t>
      </w:r>
    </w:p>
    <w:p w14:paraId="622E765F">
      <w:pPr>
        <w:pStyle w:val="9"/>
        <w:tabs>
          <w:tab w:val="clear" w:pos="425"/>
        </w:tabs>
      </w:pPr>
      <w:r>
        <w:rPr>
          <w:rFonts w:hint="eastAsia"/>
        </w:rPr>
        <w:t>交通事件统计</w:t>
      </w:r>
    </w:p>
    <w:p w14:paraId="2B8005F6">
      <w:pPr>
        <w:ind w:firstLine="480"/>
        <w:rPr>
          <w:rFonts w:hint="eastAsia"/>
        </w:rPr>
      </w:pPr>
      <w:r>
        <w:rPr>
          <w:rFonts w:hint="eastAsia"/>
        </w:rPr>
        <w:t>交通事件统计支持按事件类型，包括交通事故检测、侧方位停车检测、停车、压线、变道、抛洒物、拥堵、掉头、施工、机占非、浓雾检测、烟雾、行人、超速、路障、逆行和黑名单数据，统计生成交通事件年报表、月报表、日报表，支持以柱状图或表格展示统计结果，并支持数据导出；</w:t>
      </w:r>
    </w:p>
    <w:p w14:paraId="69718AFA">
      <w:pPr>
        <w:ind w:firstLine="480"/>
        <w:rPr>
          <w:rFonts w:hint="eastAsia"/>
        </w:rPr>
      </w:pPr>
      <w:r>
        <w:rPr>
          <w:rFonts w:hint="eastAsia"/>
        </w:rPr>
        <w:t>支持按卡口分类展示单个或对比多个卡口交通事件发生情况，支持以柱状图或表格展示统计结果，并支持数据导出；</w:t>
      </w:r>
    </w:p>
    <w:p w14:paraId="43ED8624">
      <w:pPr>
        <w:ind w:firstLine="480"/>
        <w:rPr>
          <w:rFonts w:hint="eastAsia"/>
        </w:rPr>
      </w:pPr>
      <w:r>
        <w:rPr>
          <w:rFonts w:hint="eastAsia"/>
        </w:rPr>
        <w:t>支持以低一层级时间单位统计生成交通事件年报表、月报表、日报表，并支持调整时间轴以对比不同时间点交通事件发生情况，支持以柱状图和表格展示统计结果，并支持数据导出。</w:t>
      </w:r>
    </w:p>
    <w:p w14:paraId="0A3FED72">
      <w:pPr>
        <w:pStyle w:val="9"/>
        <w:tabs>
          <w:tab w:val="clear" w:pos="425"/>
        </w:tabs>
      </w:pPr>
      <w:r>
        <w:rPr>
          <w:rFonts w:hint="eastAsia"/>
        </w:rPr>
        <w:t>交通状态查询</w:t>
      </w:r>
    </w:p>
    <w:p w14:paraId="5184E423">
      <w:pPr>
        <w:ind w:firstLine="480"/>
        <w:rPr>
          <w:rFonts w:hint="eastAsia"/>
        </w:rPr>
      </w:pPr>
      <w:r>
        <w:rPr>
          <w:rFonts w:hint="eastAsia"/>
        </w:rPr>
        <w:t>交通状态查询支持按卡口、方向、交通状态（拥挤、堵塞、无状态、畅通）和时间段进行查询；</w:t>
      </w:r>
    </w:p>
    <w:p w14:paraId="7230F59E">
      <w:pPr>
        <w:ind w:firstLine="480"/>
        <w:rPr>
          <w:rFonts w:hint="eastAsia"/>
        </w:rPr>
      </w:pPr>
      <w:r>
        <w:rPr>
          <w:rFonts w:hint="eastAsia"/>
        </w:rPr>
        <w:t>支持全部导出和部分导出。</w:t>
      </w:r>
    </w:p>
    <w:p w14:paraId="5B4BA59C">
      <w:pPr>
        <w:pStyle w:val="9"/>
        <w:tabs>
          <w:tab w:val="clear" w:pos="425"/>
        </w:tabs>
      </w:pPr>
      <w:r>
        <w:rPr>
          <w:rFonts w:hint="eastAsia"/>
        </w:rPr>
        <w:t>交通参数统计</w:t>
      </w:r>
    </w:p>
    <w:p w14:paraId="001D2B37">
      <w:pPr>
        <w:ind w:firstLine="480"/>
        <w:rPr>
          <w:rFonts w:hint="eastAsia"/>
        </w:rPr>
      </w:pPr>
      <w:r>
        <w:rPr>
          <w:rFonts w:hint="eastAsia"/>
        </w:rPr>
        <w:t>交通参数统计支持按卡口、统计类型（车道速度、车头时距、车头间距、空间占有率、时间占有率、小型车数量、中型车数量、大型车数量、重型车数量、车辆总数量）、时间段进行统计并生成年报表、月报表、日报表。</w:t>
      </w:r>
    </w:p>
    <w:p w14:paraId="7A0F92C7">
      <w:pPr>
        <w:ind w:firstLine="480"/>
        <w:rPr>
          <w:rFonts w:hint="eastAsia"/>
        </w:rPr>
      </w:pPr>
      <w:r>
        <w:rPr>
          <w:rFonts w:hint="eastAsia"/>
        </w:rPr>
        <w:t>支持全部导出和部分导出。</w:t>
      </w:r>
    </w:p>
    <w:p w14:paraId="427EC62B">
      <w:pPr>
        <w:pStyle w:val="6"/>
        <w:tabs>
          <w:tab w:val="clear" w:pos="425"/>
        </w:tabs>
      </w:pPr>
      <w:r>
        <w:rPr>
          <w:rFonts w:hint="eastAsia"/>
        </w:rPr>
        <w:t>智慧信控</w:t>
      </w:r>
    </w:p>
    <w:p w14:paraId="14853AD0">
      <w:pPr>
        <w:ind w:firstLine="480"/>
        <w:rPr>
          <w:rFonts w:hint="eastAsia"/>
        </w:rPr>
      </w:pPr>
      <w:r>
        <w:rPr>
          <w:rFonts w:hint="eastAsia"/>
        </w:rPr>
        <w:t>智慧信控是利用可视化的展示方式，将用户关注的内容使用GIS的方式进行展示。用户可在智慧信控页面查看到各级组织的数据概览，可以在地图上直观的看到各个路口是否在线，以及当前执行的控制模式。该模块能够对全局的资源进行统计，第一时间发现问题。</w:t>
      </w:r>
    </w:p>
    <w:p w14:paraId="562DF336">
      <w:pPr>
        <w:ind w:firstLine="480"/>
        <w:rPr>
          <w:rFonts w:hint="eastAsia"/>
        </w:rPr>
      </w:pPr>
      <w:r>
        <w:rPr>
          <w:rFonts w:hint="eastAsia"/>
        </w:rPr>
        <w:t>智慧信控模块主要包含信号控制管理、信号控制状态监控、视频画面接入、信号机远程控制和运行方案查询。</w:t>
      </w:r>
    </w:p>
    <w:p w14:paraId="3BD83A8E">
      <w:pPr>
        <w:pStyle w:val="9"/>
        <w:tabs>
          <w:tab w:val="clear" w:pos="425"/>
        </w:tabs>
      </w:pPr>
      <w:r>
        <w:rPr>
          <w:rFonts w:hint="eastAsia"/>
        </w:rPr>
        <w:t>路口位置配置</w:t>
      </w:r>
    </w:p>
    <w:p w14:paraId="714B2E8D">
      <w:pPr>
        <w:ind w:firstLine="480"/>
        <w:rPr>
          <w:rFonts w:hint="eastAsia"/>
        </w:rPr>
      </w:pPr>
      <w:r>
        <w:rPr>
          <w:rFonts w:hint="eastAsia"/>
        </w:rPr>
        <w:t>支持对路口的经纬度进行配置，能够根据配置的经纬度在地图上展示；</w:t>
      </w:r>
    </w:p>
    <w:p w14:paraId="6C45D6AC">
      <w:pPr>
        <w:pStyle w:val="9"/>
        <w:tabs>
          <w:tab w:val="clear" w:pos="425"/>
        </w:tabs>
      </w:pPr>
      <w:r>
        <w:rPr>
          <w:rFonts w:hint="eastAsia"/>
        </w:rPr>
        <w:t>路口形态配置</w:t>
      </w:r>
    </w:p>
    <w:p w14:paraId="4E4983A3">
      <w:pPr>
        <w:ind w:firstLine="480"/>
        <w:rPr>
          <w:rFonts w:hint="eastAsia"/>
        </w:rPr>
      </w:pPr>
      <w:r>
        <w:rPr>
          <w:rFonts w:hint="eastAsia"/>
        </w:rPr>
        <w:t>支持以地图为底图配置标准十字、Y型、T型、多岔口不同形态的路口；</w:t>
      </w:r>
    </w:p>
    <w:p w14:paraId="754BE77E">
      <w:pPr>
        <w:pStyle w:val="9"/>
        <w:tabs>
          <w:tab w:val="clear" w:pos="425"/>
        </w:tabs>
      </w:pPr>
      <w:r>
        <w:rPr>
          <w:rFonts w:hint="eastAsia"/>
        </w:rPr>
        <w:t>路口渠化配置</w:t>
      </w:r>
    </w:p>
    <w:p w14:paraId="7BFCC076">
      <w:pPr>
        <w:ind w:firstLine="480"/>
      </w:pPr>
      <w:r>
        <w:rPr>
          <w:rFonts w:hint="eastAsia"/>
        </w:rPr>
        <w:t>能够以图形化交互方式配置路口进口车道、出口车道、人行横道、隔离带、待行区渠化信息。</w:t>
      </w:r>
    </w:p>
    <w:p w14:paraId="2A705A17">
      <w:pPr>
        <w:keepNext/>
        <w:ind w:firstLine="0" w:firstLineChars="0"/>
      </w:pPr>
      <w:r>
        <w:rPr>
          <w:lang w:val="en-US" w:eastAsia="zh-CN"/>
        </w:rPr>
        <w:drawing>
          <wp:inline distT="0" distB="0" distL="0" distR="0">
            <wp:extent cx="5268595" cy="2201545"/>
            <wp:effectExtent l="0" t="0" r="8255" b="8255"/>
            <wp:docPr id="7532314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231444" name="图片 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68595" cy="2201545"/>
                    </a:xfrm>
                    <a:prstGeom prst="rect">
                      <a:avLst/>
                    </a:prstGeom>
                    <a:noFill/>
                    <a:ln>
                      <a:noFill/>
                    </a:ln>
                  </pic:spPr>
                </pic:pic>
              </a:graphicData>
            </a:graphic>
          </wp:inline>
        </w:drawing>
      </w:r>
    </w:p>
    <w:p w14:paraId="333CFB80">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w:t>
      </w:r>
      <w:r>
        <w:fldChar w:fldCharType="end"/>
      </w:r>
      <w:r>
        <w:rPr>
          <w:rFonts w:hint="eastAsia"/>
        </w:rPr>
        <w:t>多种路口形态配置</w:t>
      </w:r>
    </w:p>
    <w:p w14:paraId="45891A7E">
      <w:pPr>
        <w:pStyle w:val="9"/>
        <w:tabs>
          <w:tab w:val="clear" w:pos="425"/>
        </w:tabs>
      </w:pPr>
      <w:r>
        <w:rPr>
          <w:rFonts w:hint="eastAsia"/>
        </w:rPr>
        <w:t>路口周边兴趣点配置</w:t>
      </w:r>
    </w:p>
    <w:p w14:paraId="37CA2812">
      <w:pPr>
        <w:ind w:firstLine="480"/>
      </w:pPr>
      <w:r>
        <w:rPr>
          <w:rFonts w:hint="eastAsia"/>
        </w:rPr>
        <w:t>能够配置路口周边兴趣点，包括商场、景区、汽车站、学校、医院信息。</w:t>
      </w:r>
    </w:p>
    <w:p w14:paraId="616FFB47">
      <w:pPr>
        <w:keepNext/>
        <w:ind w:firstLine="0" w:firstLineChars="0"/>
      </w:pPr>
      <w:r>
        <w:rPr>
          <w:lang w:val="en-US" w:eastAsia="zh-CN"/>
        </w:rPr>
        <w:drawing>
          <wp:inline distT="0" distB="0" distL="0" distR="0">
            <wp:extent cx="5268595" cy="2419350"/>
            <wp:effectExtent l="0" t="0" r="8255" b="0"/>
            <wp:docPr id="209915391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53910" name="图片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268595" cy="2419350"/>
                    </a:xfrm>
                    <a:prstGeom prst="rect">
                      <a:avLst/>
                    </a:prstGeom>
                    <a:noFill/>
                    <a:ln>
                      <a:noFill/>
                    </a:ln>
                  </pic:spPr>
                </pic:pic>
              </a:graphicData>
            </a:graphic>
          </wp:inline>
        </w:drawing>
      </w:r>
    </w:p>
    <w:p w14:paraId="2007AA3D">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w:t>
      </w:r>
      <w:r>
        <w:fldChar w:fldCharType="end"/>
      </w:r>
      <w:r>
        <w:rPr>
          <w:rFonts w:hint="eastAsia"/>
        </w:rPr>
        <w:t>配置路口周边兴趣点</w:t>
      </w:r>
    </w:p>
    <w:p w14:paraId="611A98A9">
      <w:pPr>
        <w:pStyle w:val="9"/>
        <w:tabs>
          <w:tab w:val="clear" w:pos="425"/>
        </w:tabs>
      </w:pPr>
      <w:r>
        <w:rPr>
          <w:rFonts w:hint="eastAsia"/>
        </w:rPr>
        <w:t>路段路线配置</w:t>
      </w:r>
    </w:p>
    <w:p w14:paraId="545F7591">
      <w:pPr>
        <w:ind w:firstLine="480"/>
        <w:rPr>
          <w:rFonts w:hint="eastAsia"/>
        </w:rPr>
      </w:pPr>
      <w:r>
        <w:rPr>
          <w:rFonts w:hint="eastAsia"/>
        </w:rPr>
        <w:t>支持在地图上配置路段，能够设置路段的上行方向、下行方向以及关联的上下游路口。</w:t>
      </w:r>
    </w:p>
    <w:p w14:paraId="6D2E2446">
      <w:pPr>
        <w:pStyle w:val="9"/>
        <w:tabs>
          <w:tab w:val="clear" w:pos="425"/>
        </w:tabs>
      </w:pPr>
      <w:r>
        <w:rPr>
          <w:rFonts w:hint="eastAsia"/>
        </w:rPr>
        <w:t>路段属性配置</w:t>
      </w:r>
    </w:p>
    <w:p w14:paraId="1E328126">
      <w:pPr>
        <w:ind w:firstLine="480"/>
        <w:rPr>
          <w:rFonts w:hint="eastAsia"/>
        </w:rPr>
      </w:pPr>
      <w:r>
        <w:rPr>
          <w:rFonts w:hint="eastAsia"/>
        </w:rPr>
        <w:t>支持对路段名称、路段长度、行驶速度、最高限速、最低限速进行配置。</w:t>
      </w:r>
    </w:p>
    <w:p w14:paraId="1291620E">
      <w:pPr>
        <w:pStyle w:val="9"/>
        <w:tabs>
          <w:tab w:val="clear" w:pos="425"/>
        </w:tabs>
      </w:pPr>
      <w:r>
        <w:rPr>
          <w:rFonts w:hint="eastAsia"/>
        </w:rPr>
        <w:t>信号机基础配置</w:t>
      </w:r>
    </w:p>
    <w:p w14:paraId="6E6B5EFE">
      <w:pPr>
        <w:ind w:firstLine="480"/>
      </w:pPr>
      <w:r>
        <w:rPr>
          <w:rFonts w:hint="eastAsia"/>
        </w:rPr>
        <w:t>含12路信号机接入授权。支持对信号机基础信息进行配置，包括信号机名称、经纬度、信号机IP地址、端口、密码、安装时间、维护人员进行配置。</w:t>
      </w:r>
    </w:p>
    <w:p w14:paraId="2828210C">
      <w:pPr>
        <w:keepNext/>
        <w:ind w:firstLine="0" w:firstLineChars="0"/>
      </w:pPr>
      <w:r>
        <w:rPr>
          <w:lang w:val="en-US" w:eastAsia="zh-CN"/>
        </w:rPr>
        <w:drawing>
          <wp:inline distT="0" distB="0" distL="0" distR="0">
            <wp:extent cx="4796790" cy="2265045"/>
            <wp:effectExtent l="0" t="0" r="3810" b="1905"/>
            <wp:docPr id="16611842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184252" name="图片 2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796790" cy="2265045"/>
                    </a:xfrm>
                    <a:prstGeom prst="rect">
                      <a:avLst/>
                    </a:prstGeom>
                    <a:noFill/>
                    <a:ln>
                      <a:noFill/>
                    </a:ln>
                  </pic:spPr>
                </pic:pic>
              </a:graphicData>
            </a:graphic>
          </wp:inline>
        </w:drawing>
      </w:r>
    </w:p>
    <w:p w14:paraId="26889D0E">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3</w:t>
      </w:r>
      <w:r>
        <w:fldChar w:fldCharType="end"/>
      </w:r>
      <w:r>
        <w:rPr>
          <w:rFonts w:hint="eastAsia"/>
        </w:rPr>
        <w:t>信号机配置</w:t>
      </w:r>
    </w:p>
    <w:p w14:paraId="61FDF7CD">
      <w:pPr>
        <w:pStyle w:val="9"/>
        <w:tabs>
          <w:tab w:val="clear" w:pos="425"/>
        </w:tabs>
      </w:pPr>
      <w:r>
        <w:rPr>
          <w:rFonts w:hint="eastAsia"/>
        </w:rPr>
        <w:t>信号机厂商配置</w:t>
      </w:r>
    </w:p>
    <w:p w14:paraId="67186BE1">
      <w:pPr>
        <w:ind w:firstLine="480"/>
        <w:rPr>
          <w:rFonts w:hint="eastAsia"/>
        </w:rPr>
      </w:pPr>
      <w:r>
        <w:rPr>
          <w:rFonts w:hint="eastAsia"/>
        </w:rPr>
        <w:t>支持对信号机的厂商进行添加、删除、修改以及厂商对应的相关参数，包括企业名称、厂商类型、对接协议、用户名、密码。</w:t>
      </w:r>
    </w:p>
    <w:p w14:paraId="2EEF92F9">
      <w:pPr>
        <w:pStyle w:val="9"/>
        <w:tabs>
          <w:tab w:val="clear" w:pos="425"/>
        </w:tabs>
      </w:pPr>
      <w:r>
        <w:rPr>
          <w:rFonts w:hint="eastAsia"/>
        </w:rPr>
        <w:t>信号机遥控器配置</w:t>
      </w:r>
    </w:p>
    <w:p w14:paraId="37E61414">
      <w:pPr>
        <w:ind w:firstLine="480"/>
        <w:rPr>
          <w:rFonts w:hint="eastAsia"/>
        </w:rPr>
      </w:pPr>
      <w:r>
        <w:rPr>
          <w:rFonts w:hint="eastAsia"/>
        </w:rPr>
        <w:t>支持信号机遥控器配置，包括遥控器的编号、名称、责任人。</w:t>
      </w:r>
    </w:p>
    <w:p w14:paraId="109D10E5">
      <w:pPr>
        <w:pStyle w:val="9"/>
        <w:tabs>
          <w:tab w:val="clear" w:pos="425"/>
        </w:tabs>
      </w:pPr>
      <w:r>
        <w:rPr>
          <w:rFonts w:hint="eastAsia"/>
        </w:rPr>
        <w:t>信号机相位配置</w:t>
      </w:r>
    </w:p>
    <w:p w14:paraId="749DDB8F">
      <w:pPr>
        <w:ind w:firstLine="480"/>
        <w:rPr>
          <w:rFonts w:hint="eastAsia"/>
        </w:rPr>
      </w:pPr>
      <w:r>
        <w:rPr>
          <w:rFonts w:hint="eastAsia"/>
        </w:rPr>
        <w:t>提供图形化操作的形式对信号机的相位进行配置，用户在平台上对信号机相位进行增加、删除及修改。</w:t>
      </w:r>
    </w:p>
    <w:p w14:paraId="66FCE9E5">
      <w:pPr>
        <w:pStyle w:val="9"/>
        <w:tabs>
          <w:tab w:val="clear" w:pos="425"/>
        </w:tabs>
      </w:pPr>
      <w:r>
        <w:rPr>
          <w:rFonts w:hint="eastAsia"/>
        </w:rPr>
        <w:t>信号机方案配置</w:t>
      </w:r>
    </w:p>
    <w:p w14:paraId="0FA5D43B">
      <w:pPr>
        <w:ind w:firstLine="480"/>
      </w:pPr>
      <w:r>
        <w:rPr>
          <w:rFonts w:hint="eastAsia"/>
        </w:rPr>
        <w:t>提供图形化操作的形式对信号机的信号控制方案进行配置，用户在平台上对信号机信控方案进行增加、删除及修改。</w:t>
      </w:r>
    </w:p>
    <w:p w14:paraId="67CB8D55">
      <w:pPr>
        <w:pStyle w:val="10"/>
        <w:rPr>
          <w:rFonts w:hint="eastAsia"/>
        </w:rPr>
      </w:pPr>
      <w:r>
        <w:t>加载信号机方案</w:t>
      </w:r>
    </w:p>
    <w:p w14:paraId="06F9F509">
      <w:pPr>
        <w:ind w:firstLine="480"/>
        <w:rPr>
          <w:rFonts w:hint="eastAsia"/>
        </w:rPr>
      </w:pPr>
      <w:r>
        <w:rPr>
          <w:rFonts w:hint="eastAsia"/>
        </w:rPr>
        <w:t>平台支持加载信号机已有方案。</w:t>
      </w:r>
    </w:p>
    <w:p w14:paraId="3E3A171D">
      <w:pPr>
        <w:keepNext/>
        <w:ind w:firstLine="0" w:firstLineChars="0"/>
      </w:pPr>
      <w:r>
        <w:rPr>
          <w:lang w:val="en-US" w:eastAsia="zh-CN"/>
        </w:rPr>
        <w:drawing>
          <wp:inline distT="0" distB="0" distL="0" distR="0">
            <wp:extent cx="5268595" cy="1849755"/>
            <wp:effectExtent l="0" t="0" r="8255" b="0"/>
            <wp:docPr id="214716385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63852" name="图片 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268595" cy="1849755"/>
                    </a:xfrm>
                    <a:prstGeom prst="rect">
                      <a:avLst/>
                    </a:prstGeom>
                    <a:noFill/>
                    <a:ln>
                      <a:noFill/>
                    </a:ln>
                  </pic:spPr>
                </pic:pic>
              </a:graphicData>
            </a:graphic>
          </wp:inline>
        </w:drawing>
      </w:r>
    </w:p>
    <w:p w14:paraId="559579E4">
      <w:pPr>
        <w:pStyle w:val="14"/>
        <w:rPr>
          <w:rFonts w:hint="eastAsia"/>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4</w:t>
      </w:r>
      <w:r>
        <w:fldChar w:fldCharType="end"/>
      </w:r>
      <w:r>
        <w:rPr>
          <w:rFonts w:hint="eastAsia"/>
        </w:rPr>
        <w:t>加载已有信号机方案</w:t>
      </w:r>
    </w:p>
    <w:p w14:paraId="62720F2B">
      <w:pPr>
        <w:ind w:firstLine="0" w:firstLineChars="0"/>
      </w:pPr>
      <w:r>
        <w:drawing>
          <wp:inline distT="0" distB="0" distL="0" distR="0">
            <wp:extent cx="5273675" cy="2468880"/>
            <wp:effectExtent l="0" t="0" r="3175" b="7620"/>
            <wp:docPr id="954266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66382" name="图片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273675" cy="2468880"/>
                    </a:xfrm>
                    <a:prstGeom prst="rect">
                      <a:avLst/>
                    </a:prstGeom>
                    <a:noFill/>
                    <a:ln>
                      <a:noFill/>
                    </a:ln>
                  </pic:spPr>
                </pic:pic>
              </a:graphicData>
            </a:graphic>
          </wp:inline>
        </w:drawing>
      </w:r>
    </w:p>
    <w:p w14:paraId="4CBCE1AD">
      <w:pPr>
        <w:pStyle w:val="14"/>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5</w:t>
      </w:r>
      <w:r>
        <w:fldChar w:fldCharType="end"/>
      </w:r>
      <w:r>
        <w:t>加载信号机配时方案</w:t>
      </w:r>
    </w:p>
    <w:p w14:paraId="052A89C3">
      <w:pPr>
        <w:pStyle w:val="10"/>
      </w:pPr>
      <w:r>
        <w:rPr>
          <w:rFonts w:hint="eastAsia"/>
        </w:rPr>
        <w:t>相位配置</w:t>
      </w:r>
    </w:p>
    <w:p w14:paraId="4BF39E22">
      <w:pPr>
        <w:ind w:firstLine="480"/>
      </w:pPr>
      <w:r>
        <w:rPr>
          <w:rFonts w:hint="eastAsia"/>
        </w:rPr>
        <w:t>支持相位配置，在相位配置界面，可以把信号机已有的配置的相位加载出来，如要增加相位，则点击添加。添加界面里面有自定义和模板两个选项，模板是从已有的模板里面选择想要的相位；自定义则是可以根据需求勾选通道进行配置相位。</w:t>
      </w:r>
    </w:p>
    <w:p w14:paraId="5C066334">
      <w:pPr>
        <w:keepNext/>
        <w:ind w:firstLine="0" w:firstLineChars="0"/>
      </w:pPr>
      <w:r>
        <w:rPr>
          <w:lang w:val="en-US" w:eastAsia="zh-CN"/>
        </w:rPr>
        <w:drawing>
          <wp:inline distT="0" distB="0" distL="0" distR="0">
            <wp:extent cx="5268595" cy="2482850"/>
            <wp:effectExtent l="0" t="0" r="8255" b="0"/>
            <wp:docPr id="6146112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11220" name="图片 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268595" cy="2482850"/>
                    </a:xfrm>
                    <a:prstGeom prst="rect">
                      <a:avLst/>
                    </a:prstGeom>
                    <a:noFill/>
                    <a:ln>
                      <a:noFill/>
                    </a:ln>
                  </pic:spPr>
                </pic:pic>
              </a:graphicData>
            </a:graphic>
          </wp:inline>
        </w:drawing>
      </w:r>
    </w:p>
    <w:p w14:paraId="7C18AE75">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6</w:t>
      </w:r>
      <w:r>
        <w:fldChar w:fldCharType="end"/>
      </w:r>
      <w:r>
        <w:rPr>
          <w:rFonts w:hint="eastAsia"/>
        </w:rPr>
        <w:t>添加相位</w:t>
      </w:r>
    </w:p>
    <w:p w14:paraId="59E9C646">
      <w:pPr>
        <w:keepNext/>
        <w:ind w:firstLine="0" w:firstLineChars="0"/>
      </w:pPr>
      <w:r>
        <w:rPr>
          <w:lang w:val="en-US" w:eastAsia="zh-CN"/>
        </w:rPr>
        <w:drawing>
          <wp:inline distT="0" distB="0" distL="0" distR="0">
            <wp:extent cx="4796790" cy="2595245"/>
            <wp:effectExtent l="0" t="0" r="3810" b="0"/>
            <wp:docPr id="89485301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53010" name="图片 2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796790" cy="2595245"/>
                    </a:xfrm>
                    <a:prstGeom prst="rect">
                      <a:avLst/>
                    </a:prstGeom>
                    <a:noFill/>
                    <a:ln>
                      <a:noFill/>
                    </a:ln>
                  </pic:spPr>
                </pic:pic>
              </a:graphicData>
            </a:graphic>
          </wp:inline>
        </w:drawing>
      </w:r>
    </w:p>
    <w:p w14:paraId="78684A5C">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7</w:t>
      </w:r>
      <w:r>
        <w:fldChar w:fldCharType="end"/>
      </w:r>
      <w:r>
        <w:rPr>
          <w:rFonts w:hint="eastAsia"/>
        </w:rPr>
        <w:t>相位模版选择</w:t>
      </w:r>
    </w:p>
    <w:p w14:paraId="53F9B0F1">
      <w:pPr>
        <w:keepNext/>
        <w:ind w:firstLine="0" w:firstLineChars="0"/>
      </w:pPr>
      <w:r>
        <w:rPr>
          <w:lang w:val="en-US" w:eastAsia="zh-CN"/>
        </w:rPr>
        <w:drawing>
          <wp:inline distT="0" distB="0" distL="0" distR="0">
            <wp:extent cx="5268595" cy="2841625"/>
            <wp:effectExtent l="0" t="0" r="8255" b="0"/>
            <wp:docPr id="177447559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75590" name="图片 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268595" cy="2841625"/>
                    </a:xfrm>
                    <a:prstGeom prst="rect">
                      <a:avLst/>
                    </a:prstGeom>
                    <a:noFill/>
                    <a:ln>
                      <a:noFill/>
                    </a:ln>
                  </pic:spPr>
                </pic:pic>
              </a:graphicData>
            </a:graphic>
          </wp:inline>
        </w:drawing>
      </w:r>
    </w:p>
    <w:p w14:paraId="2D0601C4">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8</w:t>
      </w:r>
      <w:r>
        <w:fldChar w:fldCharType="end"/>
      </w:r>
      <w:r>
        <w:rPr>
          <w:rFonts w:hint="eastAsia"/>
        </w:rPr>
        <w:t>相位自定义</w:t>
      </w:r>
    </w:p>
    <w:p w14:paraId="5A7E8B7A">
      <w:pPr>
        <w:pStyle w:val="10"/>
      </w:pPr>
      <w:r>
        <w:rPr>
          <w:rFonts w:hint="eastAsia"/>
        </w:rPr>
        <w:t>配时方案配置</w:t>
      </w:r>
    </w:p>
    <w:p w14:paraId="43B9A7E7">
      <w:pPr>
        <w:ind w:firstLine="480"/>
        <w:rPr>
          <w:rFonts w:ascii="Times New Roman" w:hAnsi="Times New Roman"/>
        </w:rPr>
      </w:pPr>
      <w:r>
        <w:rPr>
          <w:rFonts w:ascii="Times New Roman" w:hAnsi="Times New Roman"/>
        </w:rPr>
        <w:t>支持配时方案配置，可点击添加方案，添加环，把已添加的相位根据放行顺序拖拽进环内，也可拖拽完之后再调整放行顺序，相位时长=绿灯时间+黄灯时间+红灯时间，通常红灯时间为0，如果路口较大则需要增加红灯时长进行路口放空，避免别的相位在放行的时候路口还有车辆和行人。</w:t>
      </w:r>
    </w:p>
    <w:p w14:paraId="7CA31549">
      <w:pPr>
        <w:keepNext/>
        <w:ind w:firstLine="0" w:firstLineChars="0"/>
      </w:pPr>
      <w:r>
        <w:rPr>
          <w:lang w:val="en-US" w:eastAsia="zh-CN"/>
        </w:rPr>
        <w:drawing>
          <wp:inline distT="0" distB="0" distL="0" distR="0">
            <wp:extent cx="5268595" cy="2827655"/>
            <wp:effectExtent l="0" t="0" r="8255" b="0"/>
            <wp:docPr id="13197859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85925" name="图片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268595" cy="2827655"/>
                    </a:xfrm>
                    <a:prstGeom prst="rect">
                      <a:avLst/>
                    </a:prstGeom>
                    <a:noFill/>
                    <a:ln>
                      <a:noFill/>
                    </a:ln>
                  </pic:spPr>
                </pic:pic>
              </a:graphicData>
            </a:graphic>
          </wp:inline>
        </w:drawing>
      </w:r>
    </w:p>
    <w:p w14:paraId="446B27ED">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9</w:t>
      </w:r>
      <w:r>
        <w:fldChar w:fldCharType="end"/>
      </w:r>
      <w:r>
        <w:rPr>
          <w:rFonts w:hint="eastAsia"/>
        </w:rPr>
        <w:t>添加配时方案</w:t>
      </w:r>
    </w:p>
    <w:p w14:paraId="3E8F3352">
      <w:pPr>
        <w:keepNext/>
        <w:ind w:firstLine="0" w:firstLineChars="0"/>
      </w:pPr>
      <w:r>
        <w:rPr>
          <w:lang w:val="en-US" w:eastAsia="zh-CN"/>
        </w:rPr>
        <w:drawing>
          <wp:inline distT="0" distB="0" distL="0" distR="0">
            <wp:extent cx="5268595" cy="2827655"/>
            <wp:effectExtent l="0" t="0" r="8255" b="0"/>
            <wp:docPr id="16456792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79210" name="图片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268595" cy="2827655"/>
                    </a:xfrm>
                    <a:prstGeom prst="rect">
                      <a:avLst/>
                    </a:prstGeom>
                    <a:noFill/>
                    <a:ln>
                      <a:noFill/>
                    </a:ln>
                  </pic:spPr>
                </pic:pic>
              </a:graphicData>
            </a:graphic>
          </wp:inline>
        </w:drawing>
      </w:r>
    </w:p>
    <w:p w14:paraId="18549BA7">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10</w:t>
      </w:r>
      <w:r>
        <w:fldChar w:fldCharType="end"/>
      </w:r>
      <w:r>
        <w:rPr>
          <w:rFonts w:hint="eastAsia"/>
        </w:rPr>
        <w:t>添加环</w:t>
      </w:r>
    </w:p>
    <w:p w14:paraId="4961C98B">
      <w:pPr>
        <w:ind w:firstLine="480"/>
        <w:rPr>
          <w:rFonts w:ascii="Times New Roman" w:hAnsi="Times New Roman"/>
        </w:rPr>
      </w:pPr>
      <w:r>
        <w:rPr>
          <w:rFonts w:hint="eastAsia" w:ascii="Times New Roman" w:hAnsi="Times New Roman"/>
        </w:rPr>
        <w:t>也可在已有的方案内修改放行时间和放行顺序。</w:t>
      </w:r>
    </w:p>
    <w:p w14:paraId="477DA327">
      <w:pPr>
        <w:keepNext/>
        <w:ind w:firstLine="0" w:firstLineChars="0"/>
      </w:pPr>
      <w:r>
        <w:rPr>
          <w:lang w:val="en-US" w:eastAsia="zh-CN"/>
        </w:rPr>
        <w:drawing>
          <wp:inline distT="0" distB="0" distL="0" distR="0">
            <wp:extent cx="5268595" cy="2827655"/>
            <wp:effectExtent l="0" t="0" r="8255" b="0"/>
            <wp:docPr id="1228176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762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268595" cy="2827655"/>
                    </a:xfrm>
                    <a:prstGeom prst="rect">
                      <a:avLst/>
                    </a:prstGeom>
                    <a:noFill/>
                    <a:ln>
                      <a:noFill/>
                    </a:ln>
                  </pic:spPr>
                </pic:pic>
              </a:graphicData>
            </a:graphic>
          </wp:inline>
        </w:drawing>
      </w:r>
    </w:p>
    <w:p w14:paraId="39E8E350">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11</w:t>
      </w:r>
      <w:r>
        <w:fldChar w:fldCharType="end"/>
      </w:r>
      <w:r>
        <w:rPr>
          <w:rFonts w:hint="eastAsia"/>
        </w:rPr>
        <w:t>配时方案修改</w:t>
      </w:r>
    </w:p>
    <w:p w14:paraId="36654D3A">
      <w:pPr>
        <w:keepNext/>
        <w:ind w:firstLine="0" w:firstLineChars="0"/>
      </w:pPr>
      <w:r>
        <w:rPr>
          <w:lang w:val="en-US" w:eastAsia="zh-CN"/>
        </w:rPr>
        <w:drawing>
          <wp:inline distT="0" distB="0" distL="0" distR="0">
            <wp:extent cx="5268595" cy="2827655"/>
            <wp:effectExtent l="0" t="0" r="8255" b="0"/>
            <wp:docPr id="3588665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66577" name="图片 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268595" cy="2827655"/>
                    </a:xfrm>
                    <a:prstGeom prst="rect">
                      <a:avLst/>
                    </a:prstGeom>
                    <a:noFill/>
                    <a:ln>
                      <a:noFill/>
                    </a:ln>
                  </pic:spPr>
                </pic:pic>
              </a:graphicData>
            </a:graphic>
          </wp:inline>
        </w:drawing>
      </w:r>
    </w:p>
    <w:p w14:paraId="675089C0">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12</w:t>
      </w:r>
      <w:r>
        <w:fldChar w:fldCharType="end"/>
      </w:r>
      <w:r>
        <w:rPr>
          <w:rFonts w:hint="eastAsia"/>
        </w:rPr>
        <w:t>配时方案编辑</w:t>
      </w:r>
    </w:p>
    <w:p w14:paraId="17C1893B">
      <w:pPr>
        <w:pStyle w:val="9"/>
        <w:tabs>
          <w:tab w:val="clear" w:pos="425"/>
        </w:tabs>
      </w:pPr>
      <w:r>
        <w:rPr>
          <w:rFonts w:hint="eastAsia"/>
        </w:rPr>
        <w:t>信号机日计划配置</w:t>
      </w:r>
    </w:p>
    <w:p w14:paraId="76BA6749">
      <w:pPr>
        <w:ind w:firstLine="480"/>
      </w:pPr>
      <w:r>
        <w:rPr>
          <w:rFonts w:hint="eastAsia"/>
        </w:rPr>
        <w:t>提供图形化操作的形式对信号机的日计划进行配置，用户在平台上对信号机控制时段进行增加、删除及修改。</w:t>
      </w:r>
    </w:p>
    <w:p w14:paraId="681946F7">
      <w:pPr>
        <w:pStyle w:val="10"/>
      </w:pPr>
      <w:r>
        <w:t>计划配置</w:t>
      </w:r>
    </w:p>
    <w:p w14:paraId="2CC45DDA">
      <w:pPr>
        <w:ind w:firstLine="480"/>
      </w:pPr>
      <w:r>
        <w:rPr>
          <w:rFonts w:hint="eastAsia"/>
        </w:rPr>
        <w:t>计划配置为一天的时间段内运行哪个放行方案。分别为常规计划、锁定计划和特殊计划。常规计划为日常正常使用的计划，可在计划配置里面用鼠标点击添加一个时段，这一时段内运行哪个方案。</w:t>
      </w:r>
    </w:p>
    <w:p w14:paraId="04515229">
      <w:pPr>
        <w:keepNext/>
        <w:ind w:firstLine="0" w:firstLineChars="0"/>
      </w:pPr>
      <w:r>
        <w:rPr>
          <w:lang w:val="en-US" w:eastAsia="zh-CN"/>
        </w:rPr>
        <w:drawing>
          <wp:inline distT="0" distB="0" distL="0" distR="0">
            <wp:extent cx="5261610" cy="2785110"/>
            <wp:effectExtent l="0" t="0" r="0" b="0"/>
            <wp:docPr id="72131348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313482" name="图片 1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261610" cy="2785110"/>
                    </a:xfrm>
                    <a:prstGeom prst="rect">
                      <a:avLst/>
                    </a:prstGeom>
                    <a:noFill/>
                    <a:ln>
                      <a:noFill/>
                    </a:ln>
                  </pic:spPr>
                </pic:pic>
              </a:graphicData>
            </a:graphic>
          </wp:inline>
        </w:drawing>
      </w:r>
    </w:p>
    <w:p w14:paraId="3EC999D4">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13</w:t>
      </w:r>
      <w:r>
        <w:fldChar w:fldCharType="end"/>
      </w:r>
      <w:r>
        <w:rPr>
          <w:rFonts w:hint="eastAsia"/>
        </w:rPr>
        <w:t>计划选择</w:t>
      </w:r>
    </w:p>
    <w:p w14:paraId="571F36ED">
      <w:pPr>
        <w:keepNext/>
        <w:ind w:firstLine="0" w:firstLineChars="0"/>
      </w:pPr>
      <w:r>
        <w:rPr>
          <w:lang w:val="en-US" w:eastAsia="zh-CN"/>
        </w:rPr>
        <w:drawing>
          <wp:inline distT="0" distB="0" distL="0" distR="0">
            <wp:extent cx="5268595" cy="2827655"/>
            <wp:effectExtent l="0" t="0" r="8255" b="0"/>
            <wp:docPr id="12418297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29739" name="图片 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268595" cy="2827655"/>
                    </a:xfrm>
                    <a:prstGeom prst="rect">
                      <a:avLst/>
                    </a:prstGeom>
                    <a:noFill/>
                    <a:ln>
                      <a:noFill/>
                    </a:ln>
                  </pic:spPr>
                </pic:pic>
              </a:graphicData>
            </a:graphic>
          </wp:inline>
        </w:drawing>
      </w:r>
    </w:p>
    <w:p w14:paraId="638B04ED">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14</w:t>
      </w:r>
      <w:r>
        <w:fldChar w:fldCharType="end"/>
      </w:r>
      <w:r>
        <w:rPr>
          <w:rFonts w:hint="eastAsia"/>
        </w:rPr>
        <w:t>常用计划配置</w:t>
      </w:r>
    </w:p>
    <w:p w14:paraId="6748E857">
      <w:pPr>
        <w:ind w:firstLine="480"/>
      </w:pPr>
      <w:r>
        <w:rPr>
          <w:rFonts w:hint="eastAsia"/>
        </w:rPr>
        <w:t>锁定计划则是锁定时只在有灯色直接由绿变红时配置的过渡绿闪和黄灯时间才能生效。</w:t>
      </w:r>
    </w:p>
    <w:p w14:paraId="73062F30">
      <w:pPr>
        <w:keepNext/>
        <w:ind w:firstLine="0" w:firstLineChars="0"/>
      </w:pPr>
      <w:r>
        <w:rPr>
          <w:lang w:val="en-US" w:eastAsia="zh-CN"/>
        </w:rPr>
        <w:drawing>
          <wp:inline distT="0" distB="0" distL="0" distR="0">
            <wp:extent cx="5268595" cy="2827655"/>
            <wp:effectExtent l="0" t="0" r="8255" b="0"/>
            <wp:docPr id="17004275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427564" name="图片 1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5268595" cy="2827655"/>
                    </a:xfrm>
                    <a:prstGeom prst="rect">
                      <a:avLst/>
                    </a:prstGeom>
                    <a:noFill/>
                    <a:ln>
                      <a:noFill/>
                    </a:ln>
                  </pic:spPr>
                </pic:pic>
              </a:graphicData>
            </a:graphic>
          </wp:inline>
        </w:drawing>
      </w:r>
    </w:p>
    <w:p w14:paraId="4F4D3F9E">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15</w:t>
      </w:r>
      <w:r>
        <w:fldChar w:fldCharType="end"/>
      </w:r>
      <w:r>
        <w:rPr>
          <w:rFonts w:hint="eastAsia"/>
        </w:rPr>
        <w:t>锁定计划配置</w:t>
      </w:r>
    </w:p>
    <w:p w14:paraId="618E81EA">
      <w:pPr>
        <w:ind w:firstLine="480"/>
      </w:pPr>
      <w:r>
        <w:rPr>
          <w:rFonts w:hint="eastAsia"/>
        </w:rPr>
        <w:t>特殊计划则是计划生效需要在日期中配置关联特殊计划的特殊调度。</w:t>
      </w:r>
    </w:p>
    <w:p w14:paraId="331ACEF7">
      <w:pPr>
        <w:keepNext/>
        <w:ind w:firstLine="0" w:firstLineChars="0"/>
      </w:pPr>
      <w:r>
        <w:rPr>
          <w:lang w:val="en-US" w:eastAsia="zh-CN"/>
        </w:rPr>
        <w:drawing>
          <wp:inline distT="0" distB="0" distL="0" distR="0">
            <wp:extent cx="5261610" cy="2869565"/>
            <wp:effectExtent l="0" t="0" r="0" b="6985"/>
            <wp:docPr id="215979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7948" name="图片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261610" cy="2869565"/>
                    </a:xfrm>
                    <a:prstGeom prst="rect">
                      <a:avLst/>
                    </a:prstGeom>
                    <a:noFill/>
                    <a:ln>
                      <a:noFill/>
                    </a:ln>
                  </pic:spPr>
                </pic:pic>
              </a:graphicData>
            </a:graphic>
          </wp:inline>
        </w:drawing>
      </w:r>
    </w:p>
    <w:p w14:paraId="2682B538">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16</w:t>
      </w:r>
      <w:r>
        <w:fldChar w:fldCharType="end"/>
      </w:r>
      <w:r>
        <w:rPr>
          <w:rFonts w:hint="eastAsia"/>
        </w:rPr>
        <w:t>特殊计划配置</w:t>
      </w:r>
    </w:p>
    <w:p w14:paraId="7F6EF6DD">
      <w:pPr>
        <w:pStyle w:val="10"/>
      </w:pPr>
      <w:r>
        <w:rPr>
          <w:rFonts w:hint="eastAsia"/>
        </w:rPr>
        <w:t>日期配置</w:t>
      </w:r>
    </w:p>
    <w:p w14:paraId="5F016E1A">
      <w:pPr>
        <w:ind w:firstLine="480"/>
      </w:pPr>
      <w:r>
        <w:rPr>
          <w:rFonts w:hint="eastAsia"/>
        </w:rPr>
        <w:t>日期配置指的是在星期几或者哪一天运行哪个计划，要注意的是优先级别为：特殊日期＞日期＞星期，如有特殊调度则需要关联特殊计划。</w:t>
      </w:r>
    </w:p>
    <w:p w14:paraId="54E9B1FD">
      <w:pPr>
        <w:keepNext/>
        <w:ind w:firstLine="0" w:firstLineChars="0"/>
      </w:pPr>
      <w:r>
        <w:rPr>
          <w:lang w:val="en-US" w:eastAsia="zh-CN"/>
        </w:rPr>
        <w:drawing>
          <wp:inline distT="0" distB="0" distL="0" distR="0">
            <wp:extent cx="5261610" cy="2616835"/>
            <wp:effectExtent l="0" t="0" r="0" b="0"/>
            <wp:docPr id="4751211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21111" name="图片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261610" cy="2616835"/>
                    </a:xfrm>
                    <a:prstGeom prst="rect">
                      <a:avLst/>
                    </a:prstGeom>
                    <a:noFill/>
                    <a:ln>
                      <a:noFill/>
                    </a:ln>
                  </pic:spPr>
                </pic:pic>
              </a:graphicData>
            </a:graphic>
          </wp:inline>
        </w:drawing>
      </w:r>
    </w:p>
    <w:p w14:paraId="245E08E2">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17</w:t>
      </w:r>
      <w:r>
        <w:fldChar w:fldCharType="end"/>
      </w:r>
      <w:r>
        <w:rPr>
          <w:rFonts w:hint="eastAsia"/>
        </w:rPr>
        <w:t>日期配置</w:t>
      </w:r>
    </w:p>
    <w:p w14:paraId="46879500">
      <w:pPr>
        <w:pStyle w:val="9"/>
        <w:tabs>
          <w:tab w:val="clear" w:pos="425"/>
        </w:tabs>
      </w:pPr>
      <w:r>
        <w:rPr>
          <w:rFonts w:hint="eastAsia"/>
        </w:rPr>
        <w:t>信号机调度配置</w:t>
      </w:r>
    </w:p>
    <w:p w14:paraId="5A6C051A">
      <w:pPr>
        <w:ind w:firstLine="480"/>
        <w:rPr>
          <w:rFonts w:hint="eastAsia"/>
        </w:rPr>
      </w:pPr>
      <w:r>
        <w:rPr>
          <w:rFonts w:hint="eastAsia"/>
        </w:rPr>
        <w:t>提供图形化操作的形式对信号机的调度计划进行配置，用户在平台上对信号机调度计划进行增加、删除及修改。</w:t>
      </w:r>
    </w:p>
    <w:p w14:paraId="7D0CAA0E">
      <w:pPr>
        <w:pStyle w:val="9"/>
        <w:tabs>
          <w:tab w:val="clear" w:pos="425"/>
        </w:tabs>
      </w:pPr>
      <w:r>
        <w:rPr>
          <w:rFonts w:hint="eastAsia"/>
        </w:rPr>
        <w:t>信号机状态地图展示</w:t>
      </w:r>
    </w:p>
    <w:p w14:paraId="69E4E5B3">
      <w:pPr>
        <w:ind w:firstLine="480"/>
      </w:pPr>
      <w:r>
        <w:rPr>
          <w:rFonts w:hint="eastAsia"/>
        </w:rPr>
        <w:t>在地图上展示信号机在线、离线以及是否存在故障，点击信号机能够展示信号机实时渠化图，并支持通过名称搜索对应的信号机。</w:t>
      </w:r>
    </w:p>
    <w:p w14:paraId="0D4D05BB">
      <w:pPr>
        <w:keepNext/>
        <w:ind w:firstLine="0" w:firstLineChars="0"/>
      </w:pPr>
      <w:r>
        <w:rPr>
          <w:lang w:val="en-US" w:eastAsia="zh-CN"/>
        </w:rPr>
        <w:drawing>
          <wp:inline distT="0" distB="0" distL="0" distR="0">
            <wp:extent cx="5268595" cy="2468880"/>
            <wp:effectExtent l="0" t="0" r="8255" b="7620"/>
            <wp:docPr id="5880320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32024" name="图片 1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268595" cy="2468880"/>
                    </a:xfrm>
                    <a:prstGeom prst="rect">
                      <a:avLst/>
                    </a:prstGeom>
                    <a:noFill/>
                    <a:ln>
                      <a:noFill/>
                    </a:ln>
                  </pic:spPr>
                </pic:pic>
              </a:graphicData>
            </a:graphic>
          </wp:inline>
        </w:drawing>
      </w:r>
    </w:p>
    <w:p w14:paraId="5EE19A84">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18</w:t>
      </w:r>
      <w:r>
        <w:fldChar w:fldCharType="end"/>
      </w:r>
      <w:r>
        <w:rPr>
          <w:rFonts w:hint="eastAsia"/>
        </w:rPr>
        <w:t>信号控制信息总览</w:t>
      </w:r>
    </w:p>
    <w:p w14:paraId="0FF1B404">
      <w:pPr>
        <w:pStyle w:val="9"/>
        <w:tabs>
          <w:tab w:val="clear" w:pos="425"/>
        </w:tabs>
      </w:pPr>
      <w:r>
        <w:rPr>
          <w:rFonts w:hint="eastAsia"/>
        </w:rPr>
        <w:t>信号机点位收藏</w:t>
      </w:r>
    </w:p>
    <w:p w14:paraId="4693ACCF">
      <w:pPr>
        <w:ind w:firstLine="480"/>
        <w:rPr>
          <w:rFonts w:hint="eastAsia"/>
        </w:rPr>
      </w:pPr>
      <w:r>
        <w:rPr>
          <w:rFonts w:hint="eastAsia"/>
        </w:rPr>
        <w:t>支持对感兴趣的或者常用的信号机点位进行收藏。</w:t>
      </w:r>
    </w:p>
    <w:p w14:paraId="2A59533F">
      <w:pPr>
        <w:pStyle w:val="9"/>
        <w:tabs>
          <w:tab w:val="clear" w:pos="425"/>
        </w:tabs>
      </w:pPr>
      <w:r>
        <w:rPr>
          <w:rFonts w:hint="eastAsia"/>
        </w:rPr>
        <w:t>信号机点位筛选</w:t>
      </w:r>
    </w:p>
    <w:p w14:paraId="3FDB6DC1">
      <w:pPr>
        <w:ind w:firstLine="480"/>
        <w:rPr>
          <w:rFonts w:hint="eastAsia"/>
        </w:rPr>
      </w:pPr>
      <w:r>
        <w:rPr>
          <w:rFonts w:hint="eastAsia"/>
        </w:rPr>
        <w:t>支持通过标签、状态类型、控制类型、控制方式、厂商类型进行筛选，展示筛选后的信号机点位。</w:t>
      </w:r>
    </w:p>
    <w:p w14:paraId="600E6518">
      <w:pPr>
        <w:pStyle w:val="9"/>
        <w:tabs>
          <w:tab w:val="clear" w:pos="425"/>
        </w:tabs>
      </w:pPr>
      <w:r>
        <w:rPr>
          <w:rFonts w:hint="eastAsia"/>
        </w:rPr>
        <w:t>信控数据概览</w:t>
      </w:r>
    </w:p>
    <w:p w14:paraId="23493DB6">
      <w:pPr>
        <w:ind w:firstLine="480"/>
        <w:rPr>
          <w:rFonts w:hint="eastAsia"/>
        </w:rPr>
      </w:pPr>
      <w:r>
        <w:rPr>
          <w:rFonts w:hint="eastAsia"/>
        </w:rPr>
        <w:t>支持查询信控数据概览，包括信号机总数、单点优化次数、绿波带总数、干线优化次数、特勤路线总数、特勤执行次数。</w:t>
      </w:r>
    </w:p>
    <w:p w14:paraId="4BD1297C">
      <w:pPr>
        <w:pStyle w:val="9"/>
        <w:tabs>
          <w:tab w:val="clear" w:pos="425"/>
        </w:tabs>
      </w:pPr>
      <w:r>
        <w:rPr>
          <w:rFonts w:hint="eastAsia"/>
        </w:rPr>
        <w:t>信号机状态概览</w:t>
      </w:r>
    </w:p>
    <w:p w14:paraId="323166FE">
      <w:pPr>
        <w:ind w:firstLine="480"/>
        <w:rPr>
          <w:rFonts w:hint="eastAsia"/>
        </w:rPr>
      </w:pPr>
      <w:r>
        <w:rPr>
          <w:rFonts w:hint="eastAsia"/>
        </w:rPr>
        <w:t>具备展示信号机的在线、离线占比、故障设备、正常设备占比的功能。</w:t>
      </w:r>
    </w:p>
    <w:p w14:paraId="2C48FC29">
      <w:pPr>
        <w:pStyle w:val="9"/>
        <w:tabs>
          <w:tab w:val="clear" w:pos="425"/>
        </w:tabs>
      </w:pPr>
      <w:r>
        <w:rPr>
          <w:rFonts w:hint="eastAsia"/>
        </w:rPr>
        <w:t>控制方式概览</w:t>
      </w:r>
    </w:p>
    <w:p w14:paraId="06FE7B3A">
      <w:pPr>
        <w:ind w:firstLine="480"/>
      </w:pPr>
      <w:r>
        <w:rPr>
          <w:rFonts w:hint="eastAsia"/>
        </w:rPr>
        <w:t>具备统计并展示信号机控制类型、控制方式分布概览信息的功能。</w:t>
      </w:r>
    </w:p>
    <w:p w14:paraId="6BCA1ABD">
      <w:pPr>
        <w:keepNext/>
        <w:ind w:firstLine="0" w:firstLineChars="0"/>
      </w:pPr>
      <w:r>
        <w:rPr>
          <w:lang w:val="en-US" w:eastAsia="zh-CN"/>
        </w:rPr>
        <w:drawing>
          <wp:inline distT="0" distB="0" distL="0" distR="0">
            <wp:extent cx="5274310" cy="2496185"/>
            <wp:effectExtent l="0" t="0" r="2540" b="0"/>
            <wp:docPr id="12141173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17333" name="图片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274310" cy="2496185"/>
                    </a:xfrm>
                    <a:prstGeom prst="rect">
                      <a:avLst/>
                    </a:prstGeom>
                    <a:noFill/>
                    <a:ln>
                      <a:noFill/>
                    </a:ln>
                  </pic:spPr>
                </pic:pic>
              </a:graphicData>
            </a:graphic>
          </wp:inline>
        </w:drawing>
      </w:r>
    </w:p>
    <w:p w14:paraId="4370A71E">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19</w:t>
      </w:r>
      <w:r>
        <w:fldChar w:fldCharType="end"/>
      </w:r>
      <w:r>
        <w:rPr>
          <w:rFonts w:hint="eastAsia"/>
        </w:rPr>
        <w:t>控制模式监测</w:t>
      </w:r>
    </w:p>
    <w:p w14:paraId="53C7F773">
      <w:pPr>
        <w:pStyle w:val="9"/>
        <w:tabs>
          <w:tab w:val="clear" w:pos="425"/>
        </w:tabs>
      </w:pPr>
      <w:r>
        <w:rPr>
          <w:rFonts w:hint="eastAsia"/>
        </w:rPr>
        <w:t>控制方式地图展示</w:t>
      </w:r>
    </w:p>
    <w:p w14:paraId="396CD08B">
      <w:pPr>
        <w:ind w:firstLine="480"/>
        <w:rPr>
          <w:rFonts w:hint="eastAsia"/>
        </w:rPr>
      </w:pPr>
      <w:r>
        <w:rPr>
          <w:rFonts w:hint="eastAsia"/>
        </w:rPr>
        <w:t>支持在地图上展示各个信号机的控制方式，如定周期控制、感应控制、绿波协调控制。</w:t>
      </w:r>
    </w:p>
    <w:p w14:paraId="1E892F34">
      <w:pPr>
        <w:pStyle w:val="9"/>
        <w:tabs>
          <w:tab w:val="clear" w:pos="425"/>
        </w:tabs>
      </w:pPr>
      <w:r>
        <w:rPr>
          <w:rFonts w:hint="eastAsia"/>
        </w:rPr>
        <w:t>路口信号灯状态实时监测</w:t>
      </w:r>
    </w:p>
    <w:p w14:paraId="0FE4950B">
      <w:pPr>
        <w:ind w:firstLine="480"/>
      </w:pPr>
      <w:r>
        <w:rPr>
          <w:rFonts w:hint="eastAsia"/>
        </w:rPr>
        <w:t>图形化方式展示路口渠化信息（包括进出口车道、人行横道、交通标线），并能够在渠化图上实时展示路口信号灯状态变化，当前方案的相位运行情况，以及当前运行相位的倒计时。</w:t>
      </w:r>
    </w:p>
    <w:p w14:paraId="4F366E7C">
      <w:pPr>
        <w:keepNext/>
        <w:ind w:firstLine="0" w:firstLineChars="0"/>
      </w:pPr>
      <w:r>
        <w:rPr>
          <w:lang w:val="en-US" w:eastAsia="zh-CN"/>
        </w:rPr>
        <w:drawing>
          <wp:inline distT="0" distB="0" distL="0" distR="0">
            <wp:extent cx="5268595" cy="2518410"/>
            <wp:effectExtent l="0" t="0" r="8255" b="0"/>
            <wp:docPr id="460745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74556" name="图片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268595" cy="2518410"/>
                    </a:xfrm>
                    <a:prstGeom prst="rect">
                      <a:avLst/>
                    </a:prstGeom>
                    <a:noFill/>
                    <a:ln>
                      <a:noFill/>
                    </a:ln>
                  </pic:spPr>
                </pic:pic>
              </a:graphicData>
            </a:graphic>
          </wp:inline>
        </w:drawing>
      </w:r>
    </w:p>
    <w:p w14:paraId="76395A51">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20</w:t>
      </w:r>
      <w:r>
        <w:fldChar w:fldCharType="end"/>
      </w:r>
      <w:r>
        <w:rPr>
          <w:rFonts w:hint="eastAsia"/>
        </w:rPr>
        <w:t>信号机运行状态查看</w:t>
      </w:r>
    </w:p>
    <w:p w14:paraId="114ADC60">
      <w:pPr>
        <w:pStyle w:val="9"/>
        <w:tabs>
          <w:tab w:val="clear" w:pos="425"/>
        </w:tabs>
      </w:pPr>
      <w:r>
        <w:rPr>
          <w:rFonts w:hint="eastAsia"/>
        </w:rPr>
        <w:t>路口实时运行阶段状态展示</w:t>
      </w:r>
    </w:p>
    <w:p w14:paraId="7FF50798">
      <w:pPr>
        <w:ind w:firstLine="480"/>
        <w:rPr>
          <w:rFonts w:hint="eastAsia"/>
        </w:rPr>
      </w:pPr>
      <w:r>
        <w:rPr>
          <w:rFonts w:hint="eastAsia"/>
        </w:rPr>
        <w:t>图像化展示信号机当前的阶段信息，包括阶段流向、当前运行阶段、阶段时长。</w:t>
      </w:r>
    </w:p>
    <w:p w14:paraId="76313F50">
      <w:pPr>
        <w:pStyle w:val="9"/>
        <w:tabs>
          <w:tab w:val="clear" w:pos="425"/>
        </w:tabs>
      </w:pPr>
      <w:r>
        <w:rPr>
          <w:rFonts w:hint="eastAsia"/>
        </w:rPr>
        <w:t>路口监控点视频预览</w:t>
      </w:r>
    </w:p>
    <w:p w14:paraId="5A56CBE2">
      <w:pPr>
        <w:ind w:firstLine="480"/>
      </w:pPr>
      <w:r>
        <w:rPr>
          <w:rFonts w:hint="eastAsia"/>
        </w:rPr>
        <w:t>支持在路口渠化中关联监控点，并能够预览监控点实时视频。</w:t>
      </w:r>
    </w:p>
    <w:p w14:paraId="4ED885A0">
      <w:pPr>
        <w:keepNext/>
        <w:ind w:firstLine="0" w:firstLineChars="0"/>
        <w:jc w:val="center"/>
      </w:pPr>
      <w:r>
        <w:rPr>
          <w:lang w:val="en-US" w:eastAsia="zh-CN"/>
        </w:rPr>
        <w:drawing>
          <wp:inline distT="0" distB="0" distL="0" distR="0">
            <wp:extent cx="4206240" cy="3425190"/>
            <wp:effectExtent l="0" t="0" r="3810" b="3810"/>
            <wp:docPr id="72359996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99969" name="图片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206240" cy="3425190"/>
                    </a:xfrm>
                    <a:prstGeom prst="rect">
                      <a:avLst/>
                    </a:prstGeom>
                    <a:noFill/>
                    <a:ln>
                      <a:noFill/>
                    </a:ln>
                  </pic:spPr>
                </pic:pic>
              </a:graphicData>
            </a:graphic>
          </wp:inline>
        </w:drawing>
      </w:r>
    </w:p>
    <w:p w14:paraId="638B33DF">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21</w:t>
      </w:r>
      <w:r>
        <w:fldChar w:fldCharType="end"/>
      </w:r>
      <w:r>
        <w:rPr>
          <w:rFonts w:hint="eastAsia"/>
        </w:rPr>
        <w:t>视频画面预览</w:t>
      </w:r>
    </w:p>
    <w:p w14:paraId="6E51EFAA">
      <w:pPr>
        <w:pStyle w:val="9"/>
        <w:tabs>
          <w:tab w:val="clear" w:pos="425"/>
        </w:tabs>
      </w:pPr>
      <w:r>
        <w:rPr>
          <w:rFonts w:hint="eastAsia"/>
        </w:rPr>
        <w:t>交通流指标监控</w:t>
      </w:r>
    </w:p>
    <w:p w14:paraId="58643E0C">
      <w:pPr>
        <w:ind w:firstLine="480"/>
      </w:pPr>
      <w:r>
        <w:rPr>
          <w:rFonts w:hint="eastAsia"/>
        </w:rPr>
        <w:t>支持通过图形化展示路口各个流向的近五分钟流量数据，同时支持曲线图展示路口、进口道级别的昨天和今天的流量变化趋势。</w:t>
      </w:r>
    </w:p>
    <w:p w14:paraId="18AD44C7">
      <w:pPr>
        <w:keepNext/>
        <w:ind w:firstLine="0" w:firstLineChars="0"/>
      </w:pPr>
      <w:r>
        <w:rPr>
          <w:lang w:val="en-US" w:eastAsia="zh-CN"/>
        </w:rPr>
        <w:drawing>
          <wp:inline distT="0" distB="0" distL="0" distR="0">
            <wp:extent cx="5268595" cy="2468880"/>
            <wp:effectExtent l="0" t="0" r="8255" b="7620"/>
            <wp:docPr id="21042237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223765" name="图片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268595" cy="2468880"/>
                    </a:xfrm>
                    <a:prstGeom prst="rect">
                      <a:avLst/>
                    </a:prstGeom>
                    <a:noFill/>
                    <a:ln>
                      <a:noFill/>
                    </a:ln>
                  </pic:spPr>
                </pic:pic>
              </a:graphicData>
            </a:graphic>
          </wp:inline>
        </w:drawing>
      </w:r>
    </w:p>
    <w:p w14:paraId="4A3447C8">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22</w:t>
      </w:r>
      <w:r>
        <w:fldChar w:fldCharType="end"/>
      </w:r>
      <w:r>
        <w:rPr>
          <w:rFonts w:hint="eastAsia"/>
        </w:rPr>
        <w:t>路口实时交通流统计</w:t>
      </w:r>
    </w:p>
    <w:p w14:paraId="52B2940E">
      <w:pPr>
        <w:pStyle w:val="9"/>
        <w:tabs>
          <w:tab w:val="clear" w:pos="425"/>
        </w:tabs>
      </w:pPr>
      <w:r>
        <w:rPr>
          <w:rFonts w:hint="eastAsia"/>
        </w:rPr>
        <w:t>信号机基础信息展示</w:t>
      </w:r>
    </w:p>
    <w:p w14:paraId="27E6B31B">
      <w:pPr>
        <w:ind w:firstLine="480"/>
        <w:rPr>
          <w:rFonts w:hint="eastAsia"/>
        </w:rPr>
      </w:pPr>
      <w:r>
        <w:rPr>
          <w:rFonts w:hint="eastAsia"/>
        </w:rPr>
        <w:t>支持展示信号机名称、ip、厂商、设备型号、软件版本信息。</w:t>
      </w:r>
    </w:p>
    <w:p w14:paraId="5871DA5D">
      <w:pPr>
        <w:pStyle w:val="9"/>
        <w:tabs>
          <w:tab w:val="clear" w:pos="425"/>
        </w:tabs>
      </w:pPr>
      <w:r>
        <w:rPr>
          <w:rFonts w:hint="eastAsia"/>
        </w:rPr>
        <w:t>信号机周期运行信息展示</w:t>
      </w:r>
    </w:p>
    <w:p w14:paraId="22D30D89">
      <w:pPr>
        <w:ind w:firstLine="480"/>
        <w:rPr>
          <w:rFonts w:hint="eastAsia"/>
        </w:rPr>
      </w:pPr>
      <w:r>
        <w:rPr>
          <w:rFonts w:hint="eastAsia"/>
        </w:rPr>
        <w:t>支持展示信号机当前运行的周期信息，包括信号机控制模式、控制类型、周期时长、当前运行时间、周期开始时间、当前运行方案、以及信号机系统时间。</w:t>
      </w:r>
    </w:p>
    <w:p w14:paraId="15BAFBE4">
      <w:pPr>
        <w:pStyle w:val="9"/>
        <w:tabs>
          <w:tab w:val="clear" w:pos="425"/>
        </w:tabs>
      </w:pPr>
      <w:r>
        <w:rPr>
          <w:rFonts w:hint="eastAsia"/>
        </w:rPr>
        <w:t>信号机远程关灯控制</w:t>
      </w:r>
    </w:p>
    <w:p w14:paraId="415E195E">
      <w:pPr>
        <w:ind w:firstLine="480"/>
        <w:rPr>
          <w:rFonts w:hint="eastAsia"/>
        </w:rPr>
      </w:pPr>
      <w:r>
        <w:rPr>
          <w:rFonts w:hint="eastAsia"/>
        </w:rPr>
        <w:t>提供远程人工关灯控制，选择一直锁定或者锁定特定时长。</w:t>
      </w:r>
    </w:p>
    <w:p w14:paraId="5200062F">
      <w:pPr>
        <w:pStyle w:val="9"/>
        <w:tabs>
          <w:tab w:val="clear" w:pos="425"/>
        </w:tabs>
      </w:pPr>
      <w:r>
        <w:rPr>
          <w:rFonts w:hint="eastAsia"/>
        </w:rPr>
        <w:t>信号机远程全红控制</w:t>
      </w:r>
    </w:p>
    <w:p w14:paraId="65FA2D83">
      <w:pPr>
        <w:ind w:firstLine="480"/>
        <w:rPr>
          <w:rFonts w:hint="eastAsia"/>
        </w:rPr>
      </w:pPr>
      <w:r>
        <w:rPr>
          <w:rFonts w:hint="eastAsia"/>
        </w:rPr>
        <w:t>提供远程人工全红控制，选择一直锁定或者锁定特定时长。</w:t>
      </w:r>
    </w:p>
    <w:p w14:paraId="49B0DEC5">
      <w:pPr>
        <w:pStyle w:val="9"/>
        <w:tabs>
          <w:tab w:val="clear" w:pos="425"/>
        </w:tabs>
      </w:pPr>
      <w:r>
        <w:rPr>
          <w:rFonts w:hint="eastAsia"/>
        </w:rPr>
        <w:t>信号机远程黄闪控制</w:t>
      </w:r>
    </w:p>
    <w:p w14:paraId="215EFFCA">
      <w:pPr>
        <w:ind w:firstLine="480"/>
        <w:rPr>
          <w:rFonts w:hint="eastAsia"/>
        </w:rPr>
      </w:pPr>
      <w:r>
        <w:rPr>
          <w:rFonts w:hint="eastAsia"/>
        </w:rPr>
        <w:t>提供远程人工黄闪控制，选择一直锁定或者锁定特定时长。</w:t>
      </w:r>
    </w:p>
    <w:p w14:paraId="5487A227">
      <w:pPr>
        <w:pStyle w:val="9"/>
        <w:tabs>
          <w:tab w:val="clear" w:pos="425"/>
        </w:tabs>
      </w:pPr>
      <w:r>
        <w:rPr>
          <w:rFonts w:hint="eastAsia"/>
        </w:rPr>
        <w:t>信号机步进阶段控制</w:t>
      </w:r>
    </w:p>
    <w:p w14:paraId="72648DBA">
      <w:pPr>
        <w:ind w:firstLine="480"/>
      </w:pPr>
      <w:r>
        <w:rPr>
          <w:rFonts w:hint="eastAsia"/>
        </w:rPr>
        <w:t>提供远程步进阶段，选择一直锁定或者锁定特定时长。</w:t>
      </w:r>
    </w:p>
    <w:p w14:paraId="169E176D">
      <w:pPr>
        <w:pStyle w:val="9"/>
        <w:tabs>
          <w:tab w:val="clear" w:pos="425"/>
        </w:tabs>
      </w:pPr>
      <w:r>
        <w:rPr>
          <w:rFonts w:hint="eastAsia"/>
        </w:rPr>
        <w:t>信号机锁定阶段控制</w:t>
      </w:r>
    </w:p>
    <w:p w14:paraId="49F57801">
      <w:pPr>
        <w:ind w:firstLine="480"/>
      </w:pPr>
      <w:r>
        <w:rPr>
          <w:rFonts w:hint="eastAsia"/>
        </w:rPr>
        <w:t>提供远程阶段锁定控制，选择一直锁定或者锁定特定时长。</w:t>
      </w:r>
    </w:p>
    <w:p w14:paraId="69099C2C">
      <w:pPr>
        <w:pStyle w:val="9"/>
        <w:tabs>
          <w:tab w:val="clear" w:pos="425"/>
        </w:tabs>
      </w:pPr>
      <w:r>
        <w:rPr>
          <w:rFonts w:hint="eastAsia"/>
        </w:rPr>
        <w:t>信号机方案人工切换</w:t>
      </w:r>
    </w:p>
    <w:p w14:paraId="30B92DB6">
      <w:pPr>
        <w:ind w:firstLine="480"/>
      </w:pPr>
      <w:r>
        <w:rPr>
          <w:rFonts w:hint="eastAsia"/>
        </w:rPr>
        <w:t>提供远程人工切换方案，选择一直锁定或者锁定特定时长；</w:t>
      </w:r>
    </w:p>
    <w:p w14:paraId="4B1B5DE8">
      <w:pPr>
        <w:pStyle w:val="9"/>
        <w:tabs>
          <w:tab w:val="clear" w:pos="425"/>
        </w:tabs>
      </w:pPr>
      <w:r>
        <w:rPr>
          <w:rFonts w:hint="eastAsia"/>
        </w:rPr>
        <w:t>信号机交通锁定控制</w:t>
      </w:r>
    </w:p>
    <w:p w14:paraId="73EE6F5C">
      <w:pPr>
        <w:ind w:firstLine="480"/>
        <w:rPr>
          <w:rFonts w:hint="eastAsia"/>
        </w:rPr>
      </w:pPr>
      <w:r>
        <w:rPr>
          <w:rFonts w:hint="eastAsia"/>
        </w:rPr>
        <w:t>提供远程交通流锁定控制，选择一直锁定或者锁定特定时长。</w:t>
      </w:r>
    </w:p>
    <w:p w14:paraId="1D3313B6">
      <w:pPr>
        <w:pStyle w:val="9"/>
        <w:tabs>
          <w:tab w:val="clear" w:pos="425"/>
        </w:tabs>
      </w:pPr>
      <w:r>
        <w:rPr>
          <w:rFonts w:hint="eastAsia"/>
        </w:rPr>
        <w:t>信号机恢复本地控制</w:t>
      </w:r>
    </w:p>
    <w:p w14:paraId="4B87E730">
      <w:pPr>
        <w:ind w:firstLine="480"/>
        <w:rPr>
          <w:rFonts w:hint="eastAsia"/>
        </w:rPr>
      </w:pPr>
      <w:r>
        <w:rPr>
          <w:rFonts w:hint="eastAsia"/>
        </w:rPr>
        <w:t>提供远程恢复信号机由人工干预到本地控制。</w:t>
      </w:r>
    </w:p>
    <w:p w14:paraId="37BCED83">
      <w:pPr>
        <w:pStyle w:val="6"/>
        <w:tabs>
          <w:tab w:val="clear" w:pos="425"/>
        </w:tabs>
      </w:pPr>
      <w:r>
        <w:rPr>
          <w:rFonts w:hint="eastAsia"/>
        </w:rPr>
        <w:t>信控运维监测</w:t>
      </w:r>
    </w:p>
    <w:p w14:paraId="65F08298">
      <w:pPr>
        <w:pStyle w:val="9"/>
        <w:tabs>
          <w:tab w:val="clear" w:pos="425"/>
        </w:tabs>
      </w:pPr>
      <w:r>
        <w:rPr>
          <w:rFonts w:hint="eastAsia"/>
        </w:rPr>
        <w:t>信控系统运维</w:t>
      </w:r>
    </w:p>
    <w:p w14:paraId="56CEF069">
      <w:pPr>
        <w:ind w:firstLine="480"/>
      </w:pPr>
      <w:r>
        <w:rPr>
          <w:rFonts w:hint="eastAsia"/>
        </w:rPr>
        <w:t>对每个路口的路口进行运行监测，获得目前的路口总数、在线数量和离线数量、故障路口总数，并能对通道故障数、检测器故障数、灯控板故障数和数据诊断进行分类统计。通过对行政区域、在线状态、故障类型、路口名称字段对故障设备进行查询。</w:t>
      </w:r>
    </w:p>
    <w:p w14:paraId="5BE9DB43">
      <w:pPr>
        <w:keepNext/>
        <w:ind w:firstLine="0" w:firstLineChars="0"/>
      </w:pPr>
      <w:r>
        <w:rPr>
          <w:lang w:val="en-US" w:eastAsia="zh-CN"/>
        </w:rPr>
        <w:drawing>
          <wp:inline distT="0" distB="0" distL="0" distR="0">
            <wp:extent cx="5268595" cy="2567305"/>
            <wp:effectExtent l="0" t="0" r="8255" b="4445"/>
            <wp:docPr id="17703470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47080" name="图片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268595" cy="2567305"/>
                    </a:xfrm>
                    <a:prstGeom prst="rect">
                      <a:avLst/>
                    </a:prstGeom>
                    <a:noFill/>
                    <a:ln>
                      <a:noFill/>
                    </a:ln>
                  </pic:spPr>
                </pic:pic>
              </a:graphicData>
            </a:graphic>
          </wp:inline>
        </w:drawing>
      </w:r>
    </w:p>
    <w:p w14:paraId="358D817E">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23</w:t>
      </w:r>
      <w:r>
        <w:fldChar w:fldCharType="end"/>
      </w:r>
      <w:r>
        <w:rPr>
          <w:rFonts w:hint="eastAsia"/>
        </w:rPr>
        <w:t>路口运行监测界面</w:t>
      </w:r>
    </w:p>
    <w:p w14:paraId="10AD84AF">
      <w:pPr>
        <w:pStyle w:val="9"/>
        <w:tabs>
          <w:tab w:val="clear" w:pos="425"/>
        </w:tabs>
      </w:pPr>
      <w:r>
        <w:rPr>
          <w:rFonts w:hint="eastAsia"/>
        </w:rPr>
        <w:t>通道故障诊断</w:t>
      </w:r>
    </w:p>
    <w:p w14:paraId="6BC7F31B">
      <w:pPr>
        <w:ind w:firstLine="480"/>
        <w:rPr>
          <w:rFonts w:hint="eastAsia"/>
        </w:rPr>
      </w:pPr>
      <w:r>
        <w:rPr>
          <w:rFonts w:hint="eastAsia"/>
        </w:rPr>
        <w:t>通过检测通道对应的红灯、黄灯、绿灯电流电压过低或过高情况判断漏电、断电以及非正常黄闪故障。</w:t>
      </w:r>
    </w:p>
    <w:p w14:paraId="70C64239">
      <w:pPr>
        <w:pStyle w:val="9"/>
        <w:tabs>
          <w:tab w:val="clear" w:pos="425"/>
        </w:tabs>
      </w:pPr>
      <w:r>
        <w:rPr>
          <w:rFonts w:hint="eastAsia"/>
        </w:rPr>
        <w:t>检测器故障诊断</w:t>
      </w:r>
    </w:p>
    <w:p w14:paraId="00E788CF">
      <w:pPr>
        <w:ind w:firstLine="480"/>
        <w:rPr>
          <w:rFonts w:hint="eastAsia"/>
        </w:rPr>
      </w:pPr>
      <w:r>
        <w:rPr>
          <w:rFonts w:hint="eastAsia"/>
        </w:rPr>
        <w:t>通过交通流量检测器的数据上传频率、检测的交通参数是否超过上下限判断各类检测设备的离线、检测不准的故障。</w:t>
      </w:r>
    </w:p>
    <w:p w14:paraId="4D7829AA">
      <w:pPr>
        <w:pStyle w:val="9"/>
        <w:tabs>
          <w:tab w:val="clear" w:pos="425"/>
        </w:tabs>
      </w:pPr>
      <w:r>
        <w:rPr>
          <w:rFonts w:hint="eastAsia"/>
        </w:rPr>
        <w:t>灯控板故障诊断</w:t>
      </w:r>
    </w:p>
    <w:p w14:paraId="15E34F01">
      <w:pPr>
        <w:ind w:firstLine="480"/>
        <w:rPr>
          <w:rFonts w:hint="eastAsia"/>
        </w:rPr>
      </w:pPr>
      <w:r>
        <w:rPr>
          <w:rFonts w:hint="eastAsia"/>
        </w:rPr>
        <w:t>通过灯控板与通道的信息交换频率判断灯控板是否出现反馈超时、通道接收超时的故障。</w:t>
      </w:r>
    </w:p>
    <w:p w14:paraId="4C5A9C0D">
      <w:pPr>
        <w:pStyle w:val="9"/>
        <w:tabs>
          <w:tab w:val="clear" w:pos="425"/>
        </w:tabs>
      </w:pPr>
      <w:r>
        <w:rPr>
          <w:rFonts w:hint="eastAsia"/>
        </w:rPr>
        <w:t>网络故障诊断</w:t>
      </w:r>
    </w:p>
    <w:p w14:paraId="4B216B86">
      <w:pPr>
        <w:ind w:firstLine="480"/>
        <w:rPr>
          <w:rFonts w:hint="eastAsia"/>
        </w:rPr>
      </w:pPr>
      <w:r>
        <w:rPr>
          <w:rFonts w:hint="eastAsia"/>
        </w:rPr>
        <w:t>提供检测设备的在线、离线状态以及网络延时故障的功能。</w:t>
      </w:r>
    </w:p>
    <w:p w14:paraId="5C26D47C">
      <w:pPr>
        <w:pStyle w:val="9"/>
        <w:tabs>
          <w:tab w:val="clear" w:pos="425"/>
        </w:tabs>
      </w:pPr>
      <w:r>
        <w:rPr>
          <w:rFonts w:hint="eastAsia"/>
        </w:rPr>
        <w:t>信号机运行故障监测</w:t>
      </w:r>
    </w:p>
    <w:p w14:paraId="58B28CF6">
      <w:pPr>
        <w:ind w:firstLine="480"/>
        <w:rPr>
          <w:rFonts w:hint="eastAsia"/>
        </w:rPr>
      </w:pPr>
      <w:r>
        <w:rPr>
          <w:rFonts w:hint="eastAsia"/>
        </w:rPr>
        <w:t>支持故障信号机进行检测，图形化展示在线、离线、故障信号机的比例，同时对故障类型进行统计，对故障详情进行展示。</w:t>
      </w:r>
    </w:p>
    <w:p w14:paraId="54D69321">
      <w:pPr>
        <w:pStyle w:val="9"/>
        <w:tabs>
          <w:tab w:val="clear" w:pos="425"/>
        </w:tabs>
      </w:pPr>
      <w:r>
        <w:rPr>
          <w:rFonts w:hint="eastAsia"/>
        </w:rPr>
        <w:t>信号机运行信息导出</w:t>
      </w:r>
    </w:p>
    <w:p w14:paraId="46D74A0E">
      <w:pPr>
        <w:ind w:firstLine="480"/>
        <w:rPr>
          <w:rFonts w:hint="eastAsia"/>
        </w:rPr>
      </w:pPr>
      <w:r>
        <w:rPr>
          <w:rFonts w:hint="eastAsia"/>
        </w:rPr>
        <w:t>支持对信号机运行信息进行导出，包括组织名称、路口名称、IP地址、在线状态、时间误差、故障类型。</w:t>
      </w:r>
    </w:p>
    <w:p w14:paraId="4C40D899">
      <w:pPr>
        <w:pStyle w:val="9"/>
        <w:tabs>
          <w:tab w:val="clear" w:pos="425"/>
        </w:tabs>
      </w:pPr>
      <w:r>
        <w:rPr>
          <w:rFonts w:hint="eastAsia"/>
        </w:rPr>
        <w:t>信号机校时</w:t>
      </w:r>
    </w:p>
    <w:p w14:paraId="6EC2336E">
      <w:pPr>
        <w:ind w:firstLine="480"/>
        <w:rPr>
          <w:rFonts w:hint="eastAsia"/>
        </w:rPr>
      </w:pPr>
      <w:r>
        <w:rPr>
          <w:rFonts w:hint="eastAsia"/>
        </w:rPr>
        <w:t>支持对信号机进行批量校时。</w:t>
      </w:r>
    </w:p>
    <w:p w14:paraId="2B3BF89A">
      <w:pPr>
        <w:pStyle w:val="9"/>
        <w:tabs>
          <w:tab w:val="clear" w:pos="425"/>
        </w:tabs>
      </w:pPr>
      <w:r>
        <w:rPr>
          <w:rFonts w:hint="eastAsia"/>
        </w:rPr>
        <w:t>信号机时间巡检</w:t>
      </w:r>
    </w:p>
    <w:p w14:paraId="36BCE651">
      <w:pPr>
        <w:ind w:firstLine="480"/>
        <w:rPr>
          <w:rFonts w:hint="eastAsia"/>
        </w:rPr>
      </w:pPr>
      <w:r>
        <w:rPr>
          <w:rFonts w:hint="eastAsia"/>
        </w:rPr>
        <w:t>支持对信号机系统时间和服务器时间进行巡检比对吗，展示信号机时间与服务器时间的时间误差。</w:t>
      </w:r>
    </w:p>
    <w:p w14:paraId="07DC7803">
      <w:pPr>
        <w:pStyle w:val="9"/>
        <w:tabs>
          <w:tab w:val="clear" w:pos="425"/>
        </w:tabs>
      </w:pPr>
      <w:r>
        <w:rPr>
          <w:rFonts w:hint="eastAsia"/>
        </w:rPr>
        <w:t>信号机版本信息查询</w:t>
      </w:r>
    </w:p>
    <w:p w14:paraId="2FF4C29D">
      <w:pPr>
        <w:ind w:firstLine="480"/>
        <w:rPr>
          <w:rFonts w:hint="eastAsia"/>
        </w:rPr>
      </w:pPr>
      <w:r>
        <w:rPr>
          <w:rFonts w:hint="eastAsia"/>
        </w:rPr>
        <w:t>支持查看信号机的软件程序版本。</w:t>
      </w:r>
    </w:p>
    <w:p w14:paraId="5BDACB5D">
      <w:pPr>
        <w:pStyle w:val="9"/>
        <w:tabs>
          <w:tab w:val="clear" w:pos="425"/>
        </w:tabs>
      </w:pPr>
      <w:r>
        <w:rPr>
          <w:rFonts w:hint="eastAsia"/>
        </w:rPr>
        <w:t>信号机故障查询</w:t>
      </w:r>
    </w:p>
    <w:p w14:paraId="73B88FD1">
      <w:pPr>
        <w:ind w:firstLine="480"/>
        <w:rPr>
          <w:rFonts w:hint="eastAsia"/>
        </w:rPr>
      </w:pPr>
      <w:r>
        <w:rPr>
          <w:rFonts w:hint="eastAsia"/>
        </w:rPr>
        <w:t>支持根据路口名称和时间范围查询该时间段内的信号机故障详情。</w:t>
      </w:r>
    </w:p>
    <w:p w14:paraId="0A722763">
      <w:pPr>
        <w:pStyle w:val="9"/>
        <w:tabs>
          <w:tab w:val="clear" w:pos="425"/>
        </w:tabs>
      </w:pPr>
      <w:r>
        <w:rPr>
          <w:rFonts w:hint="eastAsia"/>
        </w:rPr>
        <w:t>信号机参数备份还原</w:t>
      </w:r>
    </w:p>
    <w:p w14:paraId="585DA827">
      <w:pPr>
        <w:ind w:firstLine="480"/>
        <w:rPr>
          <w:rFonts w:hint="eastAsia"/>
        </w:rPr>
      </w:pPr>
      <w:r>
        <w:rPr>
          <w:rFonts w:hint="eastAsia"/>
        </w:rPr>
        <w:t>支持对信号机配置信息进行备份和导入还原，导入后支持对导入数据进行预览。</w:t>
      </w:r>
    </w:p>
    <w:p w14:paraId="1C08B9EF">
      <w:pPr>
        <w:pStyle w:val="9"/>
        <w:tabs>
          <w:tab w:val="clear" w:pos="425"/>
        </w:tabs>
      </w:pPr>
      <w:r>
        <w:rPr>
          <w:rFonts w:hint="eastAsia"/>
        </w:rPr>
        <w:t>信号机操作日志查询</w:t>
      </w:r>
    </w:p>
    <w:p w14:paraId="15D1D088">
      <w:pPr>
        <w:ind w:firstLine="480"/>
        <w:rPr>
          <w:rFonts w:hint="eastAsia"/>
        </w:rPr>
      </w:pPr>
      <w:r>
        <w:rPr>
          <w:rFonts w:hint="eastAsia"/>
        </w:rPr>
        <w:t>支持根据路口名称、操作类型、时间范围对信号机操作进行查询。</w:t>
      </w:r>
    </w:p>
    <w:p w14:paraId="2D39A88E">
      <w:pPr>
        <w:pStyle w:val="9"/>
        <w:tabs>
          <w:tab w:val="clear" w:pos="425"/>
        </w:tabs>
      </w:pPr>
      <w:r>
        <w:rPr>
          <w:rFonts w:hint="eastAsia"/>
        </w:rPr>
        <w:t>信号机操作日志导出</w:t>
      </w:r>
    </w:p>
    <w:p w14:paraId="18041D70">
      <w:pPr>
        <w:ind w:firstLine="480"/>
        <w:rPr>
          <w:rFonts w:hint="eastAsia"/>
        </w:rPr>
      </w:pPr>
      <w:r>
        <w:rPr>
          <w:rFonts w:hint="eastAsia"/>
        </w:rPr>
        <w:t>支持根据路口名称、操作类型、时间范围对信号机操作数据进行报表导出。</w:t>
      </w:r>
    </w:p>
    <w:p w14:paraId="70EA20F5">
      <w:pPr>
        <w:pStyle w:val="9"/>
        <w:tabs>
          <w:tab w:val="clear" w:pos="425"/>
        </w:tabs>
      </w:pPr>
      <w:r>
        <w:rPr>
          <w:rFonts w:hint="eastAsia"/>
        </w:rPr>
        <w:t>信号机操作日志统计</w:t>
      </w:r>
    </w:p>
    <w:p w14:paraId="60FF5DF3">
      <w:pPr>
        <w:ind w:firstLine="480"/>
        <w:rPr>
          <w:rFonts w:hint="eastAsia"/>
        </w:rPr>
      </w:pPr>
      <w:r>
        <w:rPr>
          <w:rFonts w:hint="eastAsia"/>
        </w:rPr>
        <w:t>支持对某路口一段时间范围内，特定操作类型进行统计，并通过图形化进行展示。</w:t>
      </w:r>
    </w:p>
    <w:p w14:paraId="3FC4125D">
      <w:pPr>
        <w:pStyle w:val="9"/>
        <w:tabs>
          <w:tab w:val="clear" w:pos="425"/>
        </w:tabs>
      </w:pPr>
      <w:r>
        <w:rPr>
          <w:rFonts w:hint="eastAsia"/>
        </w:rPr>
        <w:t>信号机步进记录查询</w:t>
      </w:r>
    </w:p>
    <w:p w14:paraId="60014084">
      <w:pPr>
        <w:ind w:firstLine="480"/>
        <w:rPr>
          <w:rFonts w:hint="eastAsia"/>
        </w:rPr>
      </w:pPr>
      <w:r>
        <w:rPr>
          <w:rFonts w:hint="eastAsia"/>
        </w:rPr>
        <w:t>支持对信号机的步进记录进行查询，包括平台步进、路口遥控器和面板步进。</w:t>
      </w:r>
    </w:p>
    <w:p w14:paraId="2B14F3C7">
      <w:pPr>
        <w:pStyle w:val="9"/>
        <w:tabs>
          <w:tab w:val="clear" w:pos="425"/>
        </w:tabs>
      </w:pPr>
      <w:r>
        <w:rPr>
          <w:rFonts w:hint="eastAsia"/>
        </w:rPr>
        <w:t>信号机历史状态查询</w:t>
      </w:r>
    </w:p>
    <w:p w14:paraId="5DD8DB61">
      <w:pPr>
        <w:ind w:firstLine="480"/>
        <w:rPr>
          <w:rFonts w:hint="eastAsia"/>
        </w:rPr>
      </w:pPr>
      <w:r>
        <w:rPr>
          <w:rFonts w:hint="eastAsia"/>
        </w:rPr>
        <w:t>支持对信号机的历史状态进行查询，包括信号机的上线和下线时间数据。</w:t>
      </w:r>
    </w:p>
    <w:p w14:paraId="6364FA05">
      <w:pPr>
        <w:pStyle w:val="9"/>
        <w:tabs>
          <w:tab w:val="clear" w:pos="425"/>
        </w:tabs>
      </w:pPr>
      <w:r>
        <w:rPr>
          <w:rFonts w:hint="eastAsia"/>
        </w:rPr>
        <w:t>信号机历史状态统计</w:t>
      </w:r>
    </w:p>
    <w:p w14:paraId="33D86D3B">
      <w:pPr>
        <w:ind w:firstLine="480"/>
        <w:rPr>
          <w:rFonts w:hint="eastAsia"/>
        </w:rPr>
      </w:pPr>
      <w:r>
        <w:rPr>
          <w:rFonts w:hint="eastAsia"/>
        </w:rPr>
        <w:t>支持对信号机历史状态进行统计，并支持将数据导出。</w:t>
      </w:r>
    </w:p>
    <w:p w14:paraId="10E33AFE">
      <w:pPr>
        <w:pStyle w:val="9"/>
        <w:tabs>
          <w:tab w:val="clear" w:pos="425"/>
        </w:tabs>
      </w:pPr>
      <w:r>
        <w:rPr>
          <w:rFonts w:hint="eastAsia"/>
        </w:rPr>
        <w:t>方案备份记录查询</w:t>
      </w:r>
    </w:p>
    <w:p w14:paraId="785ACB7B">
      <w:pPr>
        <w:ind w:firstLine="480"/>
      </w:pPr>
      <w:r>
        <w:rPr>
          <w:rFonts w:hint="eastAsia"/>
        </w:rPr>
        <w:t>支持通过路口名称、备份时间范围、操作类型（保存数据库、下发信号机、备份）对保存下发的历史方案记录进行查询。</w:t>
      </w:r>
    </w:p>
    <w:p w14:paraId="4E3D2A24">
      <w:pPr>
        <w:keepNext/>
        <w:ind w:firstLine="0" w:firstLineChars="0"/>
      </w:pPr>
      <w:r>
        <w:rPr>
          <w:lang w:val="en-US" w:eastAsia="zh-CN"/>
        </w:rPr>
        <w:drawing>
          <wp:inline distT="0" distB="0" distL="0" distR="0">
            <wp:extent cx="5268595" cy="2560320"/>
            <wp:effectExtent l="0" t="0" r="8255" b="0"/>
            <wp:docPr id="15118082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808224" name="图片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268595" cy="2560320"/>
                    </a:xfrm>
                    <a:prstGeom prst="rect">
                      <a:avLst/>
                    </a:prstGeom>
                    <a:noFill/>
                    <a:ln>
                      <a:noFill/>
                    </a:ln>
                  </pic:spPr>
                </pic:pic>
              </a:graphicData>
            </a:graphic>
          </wp:inline>
        </w:drawing>
      </w:r>
    </w:p>
    <w:p w14:paraId="1B8675AE">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24</w:t>
      </w:r>
      <w:r>
        <w:fldChar w:fldCharType="end"/>
      </w:r>
      <w:r>
        <w:rPr>
          <w:rFonts w:hint="eastAsia"/>
        </w:rPr>
        <w:t>方案备份记录界面</w:t>
      </w:r>
    </w:p>
    <w:p w14:paraId="105D5C72">
      <w:pPr>
        <w:pStyle w:val="9"/>
        <w:tabs>
          <w:tab w:val="clear" w:pos="425"/>
        </w:tabs>
      </w:pPr>
      <w:r>
        <w:rPr>
          <w:rFonts w:hint="eastAsia"/>
        </w:rPr>
        <w:t>备份方案下发</w:t>
      </w:r>
    </w:p>
    <w:p w14:paraId="68B038C9">
      <w:pPr>
        <w:ind w:firstLine="480"/>
        <w:rPr>
          <w:rFonts w:hint="eastAsia"/>
        </w:rPr>
      </w:pPr>
      <w:r>
        <w:rPr>
          <w:rFonts w:hint="eastAsia"/>
        </w:rPr>
        <w:t>支持查询到备份方案后，将备份方案再次下发到信号机。</w:t>
      </w:r>
    </w:p>
    <w:p w14:paraId="4B7F59C6">
      <w:pPr>
        <w:pStyle w:val="9"/>
        <w:tabs>
          <w:tab w:val="clear" w:pos="425"/>
        </w:tabs>
      </w:pPr>
      <w:r>
        <w:rPr>
          <w:rFonts w:hint="eastAsia"/>
        </w:rPr>
        <w:t>信号机历史运行方案查询</w:t>
      </w:r>
    </w:p>
    <w:p w14:paraId="6FA3EA34">
      <w:pPr>
        <w:ind w:firstLine="480"/>
        <w:rPr>
          <w:rFonts w:hint="eastAsia"/>
        </w:rPr>
      </w:pPr>
      <w:r>
        <w:rPr>
          <w:rFonts w:hint="eastAsia"/>
        </w:rPr>
        <w:t>支持对信号机的历史运行方案进行查询，并能够图形化展示历史某一时刻运行的方案详情。</w:t>
      </w:r>
    </w:p>
    <w:p w14:paraId="7E5CAE98">
      <w:pPr>
        <w:pStyle w:val="6"/>
        <w:tabs>
          <w:tab w:val="clear" w:pos="425"/>
        </w:tabs>
      </w:pPr>
      <w:r>
        <w:rPr>
          <w:rFonts w:hint="eastAsia"/>
        </w:rPr>
        <w:t>多路口监控</w:t>
      </w:r>
    </w:p>
    <w:p w14:paraId="44A2F807">
      <w:pPr>
        <w:pStyle w:val="9"/>
        <w:tabs>
          <w:tab w:val="clear" w:pos="425"/>
        </w:tabs>
      </w:pPr>
      <w:r>
        <w:rPr>
          <w:rFonts w:hint="eastAsia"/>
        </w:rPr>
        <w:t>多路口信号灯状态实时监测</w:t>
      </w:r>
    </w:p>
    <w:p w14:paraId="3B11F34B">
      <w:pPr>
        <w:ind w:firstLine="480"/>
      </w:pPr>
      <w:r>
        <w:rPr>
          <w:rFonts w:hint="eastAsia"/>
        </w:rPr>
        <w:t>能够图形化方式同时展示多个路口渠化信息（包括进出口车道、人行横道、交通标线），并能够在渠化图上实时展示路口信号灯状态变化，当前方案的相位运行情况。</w:t>
      </w:r>
    </w:p>
    <w:p w14:paraId="3AAF5A6A">
      <w:pPr>
        <w:keepNext/>
        <w:ind w:firstLine="0" w:firstLineChars="0"/>
      </w:pPr>
      <w:r>
        <w:rPr>
          <w:lang w:val="en-US" w:eastAsia="zh-CN"/>
        </w:rPr>
        <w:drawing>
          <wp:inline distT="0" distB="0" distL="0" distR="0">
            <wp:extent cx="5268595" cy="2391410"/>
            <wp:effectExtent l="0" t="0" r="8255" b="8890"/>
            <wp:docPr id="11311135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113526" name="图片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68595" cy="2391410"/>
                    </a:xfrm>
                    <a:prstGeom prst="rect">
                      <a:avLst/>
                    </a:prstGeom>
                    <a:noFill/>
                    <a:ln>
                      <a:noFill/>
                    </a:ln>
                  </pic:spPr>
                </pic:pic>
              </a:graphicData>
            </a:graphic>
          </wp:inline>
        </w:drawing>
      </w:r>
    </w:p>
    <w:p w14:paraId="742C6A00">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25</w:t>
      </w:r>
      <w:r>
        <w:fldChar w:fldCharType="end"/>
      </w:r>
      <w:r>
        <w:rPr>
          <w:rFonts w:hint="eastAsia"/>
        </w:rPr>
        <w:t>多路口监控界面</w:t>
      </w:r>
    </w:p>
    <w:p w14:paraId="66EB6581">
      <w:pPr>
        <w:pStyle w:val="9"/>
        <w:tabs>
          <w:tab w:val="clear" w:pos="425"/>
        </w:tabs>
      </w:pPr>
      <w:r>
        <w:rPr>
          <w:rFonts w:hint="eastAsia"/>
        </w:rPr>
        <w:t>多路口控制方式展示</w:t>
      </w:r>
    </w:p>
    <w:p w14:paraId="6FA1E817">
      <w:pPr>
        <w:ind w:firstLine="480"/>
        <w:rPr>
          <w:rFonts w:hint="eastAsia"/>
        </w:rPr>
      </w:pPr>
      <w:r>
        <w:rPr>
          <w:rFonts w:hint="eastAsia"/>
        </w:rPr>
        <w:t>同时展示多个路口当前控制方式、当前运行的方案、周期时长、相位和相序。</w:t>
      </w:r>
    </w:p>
    <w:p w14:paraId="3151BF94">
      <w:pPr>
        <w:pStyle w:val="9"/>
        <w:tabs>
          <w:tab w:val="clear" w:pos="425"/>
        </w:tabs>
      </w:pPr>
      <w:r>
        <w:rPr>
          <w:rFonts w:hint="eastAsia"/>
        </w:rPr>
        <w:t>多路口监控点视频预览</w:t>
      </w:r>
    </w:p>
    <w:p w14:paraId="282F691C">
      <w:pPr>
        <w:ind w:firstLine="480"/>
        <w:rPr>
          <w:rFonts w:hint="eastAsia"/>
        </w:rPr>
      </w:pPr>
      <w:r>
        <w:rPr>
          <w:rFonts w:hint="eastAsia"/>
        </w:rPr>
        <w:t>支持联动多个路口的监控点进行实时视频预览。</w:t>
      </w:r>
    </w:p>
    <w:p w14:paraId="3DE01091">
      <w:pPr>
        <w:pStyle w:val="9"/>
        <w:tabs>
          <w:tab w:val="clear" w:pos="425"/>
        </w:tabs>
      </w:pPr>
      <w:r>
        <w:rPr>
          <w:rFonts w:hint="eastAsia"/>
        </w:rPr>
        <w:t>多路口远程人工控制</w:t>
      </w:r>
    </w:p>
    <w:p w14:paraId="57E869C2">
      <w:pPr>
        <w:ind w:firstLine="480"/>
        <w:rPr>
          <w:rFonts w:hint="eastAsia"/>
        </w:rPr>
      </w:pPr>
      <w:r>
        <w:rPr>
          <w:rFonts w:hint="eastAsia"/>
        </w:rPr>
        <w:t>支持多个路口的手动步进、黄闪、全红、关灯、方案切换、锁定某些交通流向信号灯的多种人工干预控制。</w:t>
      </w:r>
    </w:p>
    <w:p w14:paraId="0A2E2493">
      <w:pPr>
        <w:pStyle w:val="9"/>
        <w:tabs>
          <w:tab w:val="clear" w:pos="425"/>
        </w:tabs>
      </w:pPr>
      <w:r>
        <w:rPr>
          <w:rFonts w:hint="eastAsia"/>
        </w:rPr>
        <w:t>多路口监控配置</w:t>
      </w:r>
    </w:p>
    <w:p w14:paraId="273DE0DD">
      <w:pPr>
        <w:ind w:firstLine="480"/>
        <w:rPr>
          <w:rFonts w:hint="eastAsia"/>
        </w:rPr>
      </w:pPr>
      <w:r>
        <w:rPr>
          <w:rFonts w:hint="eastAsia"/>
        </w:rPr>
        <w:t>具备在界面上添加、删除和修改任意路口的功能。</w:t>
      </w:r>
    </w:p>
    <w:p w14:paraId="0BE84060">
      <w:pPr>
        <w:pStyle w:val="6"/>
        <w:tabs>
          <w:tab w:val="clear" w:pos="425"/>
        </w:tabs>
      </w:pPr>
      <w:r>
        <w:rPr>
          <w:rFonts w:hint="eastAsia"/>
        </w:rPr>
        <w:t>交通运行指标查询</w:t>
      </w:r>
    </w:p>
    <w:p w14:paraId="67FA5E4B">
      <w:pPr>
        <w:ind w:firstLine="480"/>
      </w:pPr>
      <w:r>
        <w:rPr>
          <w:rFonts w:hint="eastAsia"/>
        </w:rPr>
        <w:t>具有交通指标查询功能，在平台可根据路口、维度（路口、进口道、转向、车道）、开始时间和结束时间、时间维度（周期、5分钟、15分钟、日、月、年）查询交通指标，包括流量、排队长度、平均延误、绿灯利用率、服务水平、饱和度等指标，并支持导出目前的查询结果。</w:t>
      </w:r>
    </w:p>
    <w:p w14:paraId="0B003EAA">
      <w:pPr>
        <w:pStyle w:val="9"/>
        <w:tabs>
          <w:tab w:val="clear" w:pos="425"/>
        </w:tabs>
      </w:pPr>
      <w:r>
        <w:rPr>
          <w:rFonts w:hint="eastAsia"/>
        </w:rPr>
        <w:t>交通流量指标查询</w:t>
      </w:r>
    </w:p>
    <w:p w14:paraId="2370A3F3">
      <w:pPr>
        <w:ind w:firstLine="480"/>
        <w:rPr>
          <w:rFonts w:hint="eastAsia"/>
        </w:rPr>
      </w:pPr>
      <w:r>
        <w:rPr>
          <w:rFonts w:hint="eastAsia"/>
        </w:rPr>
        <w:t>支持从路口、进口、转向、车道维度查询分钟、小时颗粒度的交通流量，能够以图表的形式展示所查询的交通流量指标。</w:t>
      </w:r>
    </w:p>
    <w:p w14:paraId="334E70DA">
      <w:pPr>
        <w:pStyle w:val="9"/>
        <w:tabs>
          <w:tab w:val="clear" w:pos="425"/>
        </w:tabs>
      </w:pPr>
      <w:r>
        <w:rPr>
          <w:rFonts w:hint="eastAsia"/>
        </w:rPr>
        <w:t>平均延误指标查询</w:t>
      </w:r>
    </w:p>
    <w:p w14:paraId="634C3149">
      <w:pPr>
        <w:ind w:firstLine="480"/>
        <w:rPr>
          <w:rFonts w:hint="eastAsia"/>
        </w:rPr>
      </w:pPr>
      <w:r>
        <w:rPr>
          <w:rFonts w:hint="eastAsia"/>
        </w:rPr>
        <w:t>支持从路口、进口、转向、车道维度查询分钟、小时颗粒度的车辆平均延误，能够以图表的形式展示所查询的车辆平均延误指标。</w:t>
      </w:r>
    </w:p>
    <w:p w14:paraId="7D0BB267">
      <w:pPr>
        <w:pStyle w:val="9"/>
        <w:tabs>
          <w:tab w:val="clear" w:pos="425"/>
        </w:tabs>
      </w:pPr>
      <w:r>
        <w:rPr>
          <w:rFonts w:hint="eastAsia"/>
        </w:rPr>
        <w:t>排队长度指标查询</w:t>
      </w:r>
    </w:p>
    <w:p w14:paraId="44C82768">
      <w:pPr>
        <w:ind w:firstLine="480"/>
        <w:rPr>
          <w:rFonts w:hint="eastAsia"/>
        </w:rPr>
      </w:pPr>
      <w:r>
        <w:rPr>
          <w:rFonts w:hint="eastAsia"/>
        </w:rPr>
        <w:t>支持从路口、进口、转向、车道维度查询分钟、小时颗粒度的排队长度，能够以图表的形式展示所查询的排队长度指标。</w:t>
      </w:r>
    </w:p>
    <w:p w14:paraId="4D9CA2B6">
      <w:pPr>
        <w:pStyle w:val="9"/>
        <w:tabs>
          <w:tab w:val="clear" w:pos="425"/>
        </w:tabs>
      </w:pPr>
      <w:r>
        <w:rPr>
          <w:rFonts w:hint="eastAsia"/>
        </w:rPr>
        <w:t>绿灯利用率指标查询</w:t>
      </w:r>
    </w:p>
    <w:p w14:paraId="0D1B0978">
      <w:pPr>
        <w:ind w:firstLine="480"/>
        <w:rPr>
          <w:rFonts w:hint="eastAsia"/>
        </w:rPr>
      </w:pPr>
      <w:r>
        <w:rPr>
          <w:rFonts w:hint="eastAsia"/>
        </w:rPr>
        <w:t>支持从路口、进口、转向、车道维度查询分钟、小时颗粒度的绿灯利用率，能够以图表的形式展示所查询的绿灯利用率指标。</w:t>
      </w:r>
    </w:p>
    <w:p w14:paraId="614702E7">
      <w:pPr>
        <w:pStyle w:val="9"/>
        <w:tabs>
          <w:tab w:val="clear" w:pos="425"/>
        </w:tabs>
      </w:pPr>
      <w:r>
        <w:rPr>
          <w:rFonts w:hint="eastAsia"/>
        </w:rPr>
        <w:t>服务水平指标查询</w:t>
      </w:r>
    </w:p>
    <w:p w14:paraId="7C474E9A">
      <w:pPr>
        <w:ind w:firstLine="480"/>
        <w:rPr>
          <w:rFonts w:hint="eastAsia"/>
        </w:rPr>
      </w:pPr>
      <w:r>
        <w:rPr>
          <w:rFonts w:hint="eastAsia"/>
        </w:rPr>
        <w:t>支持从路口维度查询分钟、小时颗粒度的服务水平，能够以图表的形式展示所查询的服务水平指标。</w:t>
      </w:r>
    </w:p>
    <w:p w14:paraId="569F5F5B">
      <w:pPr>
        <w:pStyle w:val="9"/>
        <w:tabs>
          <w:tab w:val="clear" w:pos="425"/>
        </w:tabs>
      </w:pPr>
      <w:r>
        <w:rPr>
          <w:rFonts w:hint="eastAsia"/>
        </w:rPr>
        <w:t>交通运行指标导出</w:t>
      </w:r>
    </w:p>
    <w:p w14:paraId="3B1A182D">
      <w:pPr>
        <w:ind w:firstLine="480"/>
        <w:rPr>
          <w:rFonts w:hint="eastAsia"/>
        </w:rPr>
      </w:pPr>
      <w:r>
        <w:rPr>
          <w:rFonts w:hint="eastAsia"/>
        </w:rPr>
        <w:t>支持对所查询的交通运行指标信息按照excel表格形式导出。</w:t>
      </w:r>
    </w:p>
    <w:p w14:paraId="731E4252">
      <w:pPr>
        <w:pStyle w:val="6"/>
        <w:tabs>
          <w:tab w:val="clear" w:pos="425"/>
        </w:tabs>
      </w:pPr>
      <w:r>
        <w:rPr>
          <w:rFonts w:hint="eastAsia"/>
        </w:rPr>
        <w:t>单点优化控制效果监测</w:t>
      </w:r>
    </w:p>
    <w:p w14:paraId="6AE34B08">
      <w:pPr>
        <w:ind w:firstLine="480"/>
        <w:rPr>
          <w:rFonts w:hint="eastAsia"/>
        </w:rPr>
      </w:pPr>
      <w:r>
        <w:rPr>
          <w:rFonts w:hint="eastAsia"/>
        </w:rPr>
        <w:t>单点自适应控制运行监测界面实时展现了路口执行单点自适应控制的情况，包括路口渠化及各个方向信号灯的状态，方案相位相序的运行状态等。同时能够查看算法最新生成的单点自适应方案详情，包括单点方案的周期、相位相序、相位时长信息等。</w:t>
      </w:r>
    </w:p>
    <w:p w14:paraId="2CC26CDD">
      <w:pPr>
        <w:ind w:firstLine="480"/>
      </w:pPr>
      <w:r>
        <w:rPr>
          <w:rFonts w:hint="eastAsia"/>
        </w:rPr>
        <w:t>同时平台展示了单点自适应路口交通指标变化趋势，包括对路口、转向、进口道、车道级别的五分钟及周期级别的流量和排队长度。用户可以同时查看路口信控方案的实时运行状态和路口各方向交通流变化，帮助用户判断单点自适应方案与路口交通流量特征的匹配情况，更好地展示了单点自适应控制效果。</w:t>
      </w:r>
    </w:p>
    <w:p w14:paraId="39D736F9">
      <w:pPr>
        <w:keepNext/>
        <w:ind w:firstLine="0" w:firstLineChars="0"/>
      </w:pPr>
      <w:r>
        <w:rPr>
          <w:lang w:val="en-US" w:eastAsia="zh-CN"/>
        </w:rPr>
        <w:drawing>
          <wp:inline distT="0" distB="0" distL="0" distR="0">
            <wp:extent cx="5268595" cy="2398395"/>
            <wp:effectExtent l="0" t="0" r="8255" b="1905"/>
            <wp:docPr id="15845397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539705" name="图片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68595" cy="2398395"/>
                    </a:xfrm>
                    <a:prstGeom prst="rect">
                      <a:avLst/>
                    </a:prstGeom>
                    <a:noFill/>
                    <a:ln>
                      <a:noFill/>
                    </a:ln>
                  </pic:spPr>
                </pic:pic>
              </a:graphicData>
            </a:graphic>
          </wp:inline>
        </w:drawing>
      </w:r>
    </w:p>
    <w:p w14:paraId="1064BC63">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26</w:t>
      </w:r>
      <w:r>
        <w:fldChar w:fldCharType="end"/>
      </w:r>
      <w:r>
        <w:rPr>
          <w:rFonts w:hint="eastAsia"/>
        </w:rPr>
        <w:t xml:space="preserve"> 单点优化控制效果监测</w:t>
      </w:r>
    </w:p>
    <w:p w14:paraId="039BD1D9">
      <w:pPr>
        <w:pStyle w:val="9"/>
        <w:tabs>
          <w:tab w:val="clear" w:pos="425"/>
        </w:tabs>
      </w:pPr>
      <w:r>
        <w:rPr>
          <w:rFonts w:hint="eastAsia"/>
        </w:rPr>
        <w:t>路口单点自适应优化</w:t>
      </w:r>
    </w:p>
    <w:p w14:paraId="0BCE27EF">
      <w:pPr>
        <w:ind w:firstLine="480"/>
        <w:rPr>
          <w:rFonts w:hint="eastAsia"/>
        </w:rPr>
      </w:pPr>
      <w:r>
        <w:rPr>
          <w:rFonts w:hint="eastAsia"/>
        </w:rPr>
        <w:t>根据当前周期采集到的路口交通流量、排队长度，通过算法模型在线实时地自动调整信号控制参数，优化下一个周期的配时方案，在保持相位相序不变前提下优化周期和相位时长。</w:t>
      </w:r>
    </w:p>
    <w:p w14:paraId="7EDEB4D7">
      <w:pPr>
        <w:pStyle w:val="9"/>
        <w:tabs>
          <w:tab w:val="clear" w:pos="425"/>
        </w:tabs>
      </w:pPr>
      <w:r>
        <w:rPr>
          <w:rFonts w:hint="eastAsia"/>
        </w:rPr>
        <w:t>单点自适应算法接入服务</w:t>
      </w:r>
    </w:p>
    <w:p w14:paraId="40CCA513">
      <w:pPr>
        <w:ind w:firstLine="480"/>
        <w:rPr>
          <w:rFonts w:hint="eastAsia"/>
        </w:rPr>
      </w:pPr>
      <w:r>
        <w:rPr>
          <w:rFonts w:hint="eastAsia"/>
        </w:rPr>
        <w:t>提供单点自适应算法接入服务，能够接入交通流量与排队长度数据，应用单点自适应算法，输出自适应方案。</w:t>
      </w:r>
    </w:p>
    <w:p w14:paraId="05E5A53E">
      <w:pPr>
        <w:pStyle w:val="9"/>
        <w:tabs>
          <w:tab w:val="clear" w:pos="425"/>
        </w:tabs>
      </w:pPr>
      <w:r>
        <w:rPr>
          <w:rFonts w:hint="eastAsia"/>
        </w:rPr>
        <w:t>单点自适应参数配置</w:t>
      </w:r>
    </w:p>
    <w:p w14:paraId="5600FF1C">
      <w:pPr>
        <w:ind w:firstLine="480"/>
        <w:rPr>
          <w:rFonts w:hint="eastAsia"/>
        </w:rPr>
      </w:pPr>
      <w:r>
        <w:rPr>
          <w:rFonts w:hint="eastAsia"/>
        </w:rPr>
        <w:t>对单点自适应参数进行配置以及将信号机中的单点自适应参数的同步到平台进行展示。</w:t>
      </w:r>
    </w:p>
    <w:p w14:paraId="7F47A8DD">
      <w:pPr>
        <w:pStyle w:val="9"/>
        <w:tabs>
          <w:tab w:val="clear" w:pos="425"/>
        </w:tabs>
      </w:pPr>
      <w:r>
        <w:rPr>
          <w:rFonts w:hint="eastAsia"/>
        </w:rPr>
        <w:t>单点自适应参数修改</w:t>
      </w:r>
    </w:p>
    <w:p w14:paraId="7B26225D">
      <w:pPr>
        <w:ind w:firstLine="480"/>
        <w:rPr>
          <w:rFonts w:hint="eastAsia"/>
        </w:rPr>
      </w:pPr>
      <w:r>
        <w:rPr>
          <w:rFonts w:hint="eastAsia"/>
        </w:rPr>
        <w:t>在平台端对信号机中的单点参数进行同步展示，修改，并下发到信号机。</w:t>
      </w:r>
    </w:p>
    <w:p w14:paraId="01014233">
      <w:pPr>
        <w:pStyle w:val="9"/>
        <w:tabs>
          <w:tab w:val="clear" w:pos="425"/>
        </w:tabs>
      </w:pPr>
      <w:r>
        <w:rPr>
          <w:rFonts w:hint="eastAsia"/>
        </w:rPr>
        <w:t>单点自适应方案运行状态预览</w:t>
      </w:r>
    </w:p>
    <w:p w14:paraId="28554E1C">
      <w:pPr>
        <w:ind w:firstLine="480"/>
        <w:rPr>
          <w:rFonts w:hint="eastAsia"/>
        </w:rPr>
      </w:pPr>
      <w:r>
        <w:rPr>
          <w:rFonts w:hint="eastAsia"/>
        </w:rPr>
        <w:t>对单点自适应方案当前运行情况进行监控，包括路口渠化及各个方向信号灯的状态，方案相位相序的运行状态。</w:t>
      </w:r>
    </w:p>
    <w:p w14:paraId="6BA248C2">
      <w:pPr>
        <w:pStyle w:val="9"/>
        <w:tabs>
          <w:tab w:val="clear" w:pos="425"/>
        </w:tabs>
      </w:pPr>
      <w:r>
        <w:rPr>
          <w:rFonts w:hint="eastAsia"/>
        </w:rPr>
        <w:t>单点自适应优化最新方案详情查看</w:t>
      </w:r>
    </w:p>
    <w:p w14:paraId="4BCE35D8">
      <w:pPr>
        <w:ind w:firstLine="480"/>
        <w:rPr>
          <w:rFonts w:hint="eastAsia"/>
        </w:rPr>
      </w:pPr>
      <w:r>
        <w:rPr>
          <w:rFonts w:hint="eastAsia"/>
        </w:rPr>
        <w:t>能够查看算法最新生成的单点自适应方案详情，包括单点方案的周期、相位相序、相位时长、相位关联的通道信息。</w:t>
      </w:r>
    </w:p>
    <w:p w14:paraId="40F48F56">
      <w:pPr>
        <w:pStyle w:val="9"/>
        <w:tabs>
          <w:tab w:val="clear" w:pos="425"/>
        </w:tabs>
      </w:pPr>
      <w:r>
        <w:rPr>
          <w:rFonts w:hint="eastAsia"/>
        </w:rPr>
        <w:t>单点自适应路口交通指标变化趋势监控</w:t>
      </w:r>
    </w:p>
    <w:p w14:paraId="012BB75A">
      <w:pPr>
        <w:ind w:firstLine="480"/>
        <w:rPr>
          <w:rFonts w:hint="eastAsia"/>
        </w:rPr>
      </w:pPr>
      <w:r>
        <w:rPr>
          <w:rFonts w:hint="eastAsia"/>
        </w:rPr>
        <w:t>展示单点自适应路口交通指标变化趋势，包括对路口、转向、进口道、车道级别的五分钟及周期级别的流量和排队长度指标。</w:t>
      </w:r>
    </w:p>
    <w:p w14:paraId="0525BAC3">
      <w:pPr>
        <w:pStyle w:val="9"/>
        <w:tabs>
          <w:tab w:val="clear" w:pos="425"/>
        </w:tabs>
      </w:pPr>
      <w:r>
        <w:rPr>
          <w:rFonts w:hint="eastAsia"/>
        </w:rPr>
        <w:t>单点自适应路口视频预览</w:t>
      </w:r>
    </w:p>
    <w:p w14:paraId="137A6DC3">
      <w:pPr>
        <w:ind w:firstLine="480"/>
        <w:rPr>
          <w:rFonts w:hint="eastAsia"/>
        </w:rPr>
      </w:pPr>
      <w:r>
        <w:rPr>
          <w:rFonts w:hint="eastAsia"/>
        </w:rPr>
        <w:t>提供对单点自适应路口视频监控点进行预览的功能，并路口各个监控点画面的手动切换。</w:t>
      </w:r>
    </w:p>
    <w:p w14:paraId="5AD1832D">
      <w:pPr>
        <w:pStyle w:val="9"/>
        <w:tabs>
          <w:tab w:val="clear" w:pos="425"/>
        </w:tabs>
      </w:pPr>
      <w:r>
        <w:rPr>
          <w:rFonts w:hint="eastAsia"/>
        </w:rPr>
        <w:t>单点自适应控制人工控制</w:t>
      </w:r>
    </w:p>
    <w:p w14:paraId="32A22BCC">
      <w:pPr>
        <w:ind w:firstLine="480"/>
        <w:rPr>
          <w:rFonts w:hint="eastAsia"/>
        </w:rPr>
      </w:pPr>
      <w:r>
        <w:rPr>
          <w:rFonts w:hint="eastAsia"/>
        </w:rPr>
        <w:t>提供人工对非单点自适应路口切换到单点自适应控制的功能，同时也由单点自适应路口切换到其他非单点自适应控制模式。</w:t>
      </w:r>
    </w:p>
    <w:p w14:paraId="127703FC">
      <w:pPr>
        <w:pStyle w:val="9"/>
        <w:tabs>
          <w:tab w:val="clear" w:pos="425"/>
        </w:tabs>
      </w:pPr>
      <w:r>
        <w:rPr>
          <w:rFonts w:hint="eastAsia"/>
        </w:rPr>
        <w:t>单点自适应控制设定执行时长</w:t>
      </w:r>
    </w:p>
    <w:p w14:paraId="7AE089F9">
      <w:pPr>
        <w:ind w:firstLine="480"/>
        <w:rPr>
          <w:rFonts w:hint="eastAsia"/>
        </w:rPr>
      </w:pPr>
      <w:r>
        <w:rPr>
          <w:rFonts w:hint="eastAsia"/>
        </w:rPr>
        <w:t>用户在切换到单点自适应控制时，提供预先设定单点自适应运行时长的功能，到达预设的运行时长后恢复到系统原有定时控制。</w:t>
      </w:r>
    </w:p>
    <w:p w14:paraId="131A14D7">
      <w:pPr>
        <w:pStyle w:val="9"/>
        <w:tabs>
          <w:tab w:val="clear" w:pos="425"/>
        </w:tabs>
      </w:pPr>
      <w:r>
        <w:rPr>
          <w:rFonts w:hint="eastAsia"/>
        </w:rPr>
        <w:t>单点自适应控制时段调度</w:t>
      </w:r>
    </w:p>
    <w:p w14:paraId="6A9E277D">
      <w:pPr>
        <w:ind w:firstLine="480"/>
        <w:rPr>
          <w:rFonts w:hint="eastAsia"/>
        </w:rPr>
      </w:pPr>
      <w:r>
        <w:rPr>
          <w:rFonts w:hint="eastAsia"/>
        </w:rPr>
        <w:t>用户配置单点自适应运行计划，能够对信号机单点自适应运行进行多时段调度。</w:t>
      </w:r>
    </w:p>
    <w:p w14:paraId="505DC6C4">
      <w:pPr>
        <w:pStyle w:val="9"/>
        <w:tabs>
          <w:tab w:val="clear" w:pos="425"/>
        </w:tabs>
      </w:pPr>
      <w:r>
        <w:rPr>
          <w:rFonts w:hint="eastAsia"/>
        </w:rPr>
        <w:t>单点自适应优化历史查询</w:t>
      </w:r>
    </w:p>
    <w:p w14:paraId="389F3DAC">
      <w:pPr>
        <w:ind w:firstLine="480"/>
        <w:rPr>
          <w:rFonts w:hint="eastAsia"/>
        </w:rPr>
      </w:pPr>
      <w:r>
        <w:rPr>
          <w:rFonts w:hint="eastAsia"/>
        </w:rPr>
        <w:t>基于路口名称、时间范围对单点自适应的优化历史方案进行查询，输出历史方案的方案号、周期开始时间、相位相序详情。</w:t>
      </w:r>
    </w:p>
    <w:p w14:paraId="500DBB9C">
      <w:pPr>
        <w:pStyle w:val="9"/>
        <w:tabs>
          <w:tab w:val="clear" w:pos="425"/>
        </w:tabs>
      </w:pPr>
      <w:r>
        <w:rPr>
          <w:rFonts w:hint="eastAsia"/>
        </w:rPr>
        <w:t>单点自适应优化方案导出</w:t>
      </w:r>
    </w:p>
    <w:p w14:paraId="39E33E7E">
      <w:pPr>
        <w:ind w:firstLine="480"/>
        <w:rPr>
          <w:rFonts w:hint="eastAsia"/>
        </w:rPr>
      </w:pPr>
      <w:r>
        <w:rPr>
          <w:rFonts w:hint="eastAsia"/>
        </w:rPr>
        <w:t>具备对单点自适应优化历史方案进行导出的功能，并选择导出的历史方案范围。</w:t>
      </w:r>
    </w:p>
    <w:p w14:paraId="5DE1340D">
      <w:pPr>
        <w:pStyle w:val="9"/>
        <w:tabs>
          <w:tab w:val="clear" w:pos="425"/>
        </w:tabs>
      </w:pPr>
      <w:r>
        <w:rPr>
          <w:rFonts w:hint="eastAsia"/>
        </w:rPr>
        <w:t>路口单点感应优化</w:t>
      </w:r>
    </w:p>
    <w:p w14:paraId="2396AD1E">
      <w:pPr>
        <w:ind w:firstLine="480"/>
        <w:rPr>
          <w:rFonts w:hint="eastAsia"/>
        </w:rPr>
      </w:pPr>
      <w:r>
        <w:rPr>
          <w:rFonts w:hint="eastAsia"/>
        </w:rPr>
        <w:t>系统能够根据检测器测得的交通流数据来改变信号显示时间，对当前运行相位根据交通流自动改变绿灯时长，达到优化路口控制方案的效果。</w:t>
      </w:r>
    </w:p>
    <w:p w14:paraId="667C1BEE">
      <w:pPr>
        <w:pStyle w:val="9"/>
        <w:tabs>
          <w:tab w:val="clear" w:pos="425"/>
        </w:tabs>
      </w:pPr>
      <w:r>
        <w:rPr>
          <w:rFonts w:hint="eastAsia"/>
        </w:rPr>
        <w:t>单点感应最小绿时间配置</w:t>
      </w:r>
    </w:p>
    <w:p w14:paraId="424876F7">
      <w:pPr>
        <w:ind w:firstLine="480"/>
        <w:rPr>
          <w:rFonts w:hint="eastAsia"/>
        </w:rPr>
      </w:pPr>
      <w:r>
        <w:rPr>
          <w:rFonts w:hint="eastAsia"/>
        </w:rPr>
        <w:t>能够配置单点感应最小绿时间参数，并能将信号机中的单点感应参数同步到平台进行展示。</w:t>
      </w:r>
    </w:p>
    <w:p w14:paraId="7108C515">
      <w:pPr>
        <w:pStyle w:val="9"/>
        <w:tabs>
          <w:tab w:val="clear" w:pos="425"/>
        </w:tabs>
      </w:pPr>
      <w:r>
        <w:rPr>
          <w:rFonts w:hint="eastAsia"/>
        </w:rPr>
        <w:t>单点感应最大绿时间配置</w:t>
      </w:r>
    </w:p>
    <w:p w14:paraId="787DB149">
      <w:pPr>
        <w:ind w:firstLine="480"/>
        <w:rPr>
          <w:rFonts w:hint="eastAsia"/>
        </w:rPr>
      </w:pPr>
      <w:r>
        <w:rPr>
          <w:rFonts w:hint="eastAsia"/>
        </w:rPr>
        <w:t>能够配置单点感应最大绿时间参数，并能将信号机中的单点感应参数同步到平台进行展示。</w:t>
      </w:r>
    </w:p>
    <w:p w14:paraId="090724B3">
      <w:pPr>
        <w:pStyle w:val="9"/>
        <w:tabs>
          <w:tab w:val="clear" w:pos="425"/>
        </w:tabs>
      </w:pPr>
      <w:r>
        <w:rPr>
          <w:rFonts w:hint="eastAsia"/>
        </w:rPr>
        <w:t>单点感应单位延长绿灯时间配置</w:t>
      </w:r>
    </w:p>
    <w:p w14:paraId="72179F25">
      <w:pPr>
        <w:ind w:firstLine="480"/>
        <w:rPr>
          <w:rFonts w:hint="eastAsia"/>
        </w:rPr>
      </w:pPr>
      <w:r>
        <w:rPr>
          <w:rFonts w:hint="eastAsia"/>
        </w:rPr>
        <w:t>能够配置单点感应单位延长绿灯时间参数，并能将信号机中的单点感应参数同步到平台进行展示。</w:t>
      </w:r>
    </w:p>
    <w:p w14:paraId="0F415085">
      <w:pPr>
        <w:pStyle w:val="9"/>
        <w:tabs>
          <w:tab w:val="clear" w:pos="425"/>
        </w:tabs>
      </w:pPr>
      <w:r>
        <w:rPr>
          <w:rFonts w:hint="eastAsia"/>
        </w:rPr>
        <w:t>单点感应历史方案查询</w:t>
      </w:r>
    </w:p>
    <w:p w14:paraId="57BABE61">
      <w:pPr>
        <w:ind w:firstLine="480"/>
        <w:rPr>
          <w:rFonts w:hint="eastAsia"/>
        </w:rPr>
      </w:pPr>
      <w:r>
        <w:rPr>
          <w:rFonts w:hint="eastAsia"/>
        </w:rPr>
        <w:t>基于路口名、时间范围对单点感应的历史配时方案进行查询，输出历史方案的方案号、周期开始时间、相位相序详情。</w:t>
      </w:r>
    </w:p>
    <w:p w14:paraId="322674B1">
      <w:pPr>
        <w:pStyle w:val="9"/>
        <w:tabs>
          <w:tab w:val="clear" w:pos="425"/>
        </w:tabs>
      </w:pPr>
      <w:r>
        <w:rPr>
          <w:rFonts w:hint="eastAsia"/>
        </w:rPr>
        <w:t>单点感应历史方案导出</w:t>
      </w:r>
    </w:p>
    <w:p w14:paraId="085781E5">
      <w:pPr>
        <w:ind w:firstLine="480"/>
        <w:rPr>
          <w:rFonts w:hint="eastAsia"/>
        </w:rPr>
      </w:pPr>
      <w:r>
        <w:rPr>
          <w:rFonts w:hint="eastAsia"/>
        </w:rPr>
        <w:t>对单点感应历史方案进行导出，并选择导出的历史方案的时间范围。</w:t>
      </w:r>
    </w:p>
    <w:p w14:paraId="201EEEA2">
      <w:pPr>
        <w:pStyle w:val="9"/>
        <w:tabs>
          <w:tab w:val="clear" w:pos="425"/>
        </w:tabs>
      </w:pPr>
      <w:r>
        <w:rPr>
          <w:rFonts w:hint="eastAsia"/>
        </w:rPr>
        <w:t>单点感应路口交通指标变化趋势监控</w:t>
      </w:r>
    </w:p>
    <w:p w14:paraId="5DB5786B">
      <w:pPr>
        <w:ind w:firstLine="480"/>
        <w:rPr>
          <w:rFonts w:hint="eastAsia"/>
        </w:rPr>
      </w:pPr>
      <w:r>
        <w:rPr>
          <w:rFonts w:hint="eastAsia"/>
        </w:rPr>
        <w:t>展示单点感应路口交通指标变化趋势，包括对路口、转向、进口道、车道级别的五分钟及周期级别的流量和排队长度进行展示。</w:t>
      </w:r>
    </w:p>
    <w:p w14:paraId="15D98A39">
      <w:pPr>
        <w:pStyle w:val="9"/>
        <w:tabs>
          <w:tab w:val="clear" w:pos="425"/>
        </w:tabs>
      </w:pPr>
      <w:r>
        <w:rPr>
          <w:rFonts w:hint="eastAsia"/>
        </w:rPr>
        <w:t>单点感应路口视频预览</w:t>
      </w:r>
    </w:p>
    <w:p w14:paraId="55986F05">
      <w:pPr>
        <w:ind w:firstLine="480"/>
        <w:rPr>
          <w:rFonts w:hint="eastAsia"/>
        </w:rPr>
      </w:pPr>
      <w:r>
        <w:rPr>
          <w:rFonts w:hint="eastAsia"/>
        </w:rPr>
        <w:t>提供对单点感应路口视频监控点进行预览的功能，并路口各个监控点画面的手动切换。</w:t>
      </w:r>
    </w:p>
    <w:p w14:paraId="53E7E323">
      <w:pPr>
        <w:pStyle w:val="9"/>
        <w:tabs>
          <w:tab w:val="clear" w:pos="425"/>
        </w:tabs>
      </w:pPr>
      <w:r>
        <w:rPr>
          <w:rFonts w:hint="eastAsia"/>
        </w:rPr>
        <w:t>单点感应控制人工控制</w:t>
      </w:r>
    </w:p>
    <w:p w14:paraId="0201AB22">
      <w:pPr>
        <w:ind w:firstLine="480"/>
        <w:rPr>
          <w:rFonts w:hint="eastAsia"/>
        </w:rPr>
      </w:pPr>
      <w:r>
        <w:rPr>
          <w:rFonts w:hint="eastAsia"/>
        </w:rPr>
        <w:t>提供人工对非单点感应路口切换到单点感应控制的功能，同时也由单点感应路口切换到其他非单点感应控制模式。</w:t>
      </w:r>
    </w:p>
    <w:p w14:paraId="150EDCAB">
      <w:pPr>
        <w:pStyle w:val="9"/>
        <w:tabs>
          <w:tab w:val="clear" w:pos="425"/>
        </w:tabs>
      </w:pPr>
      <w:r>
        <w:rPr>
          <w:rFonts w:hint="eastAsia"/>
        </w:rPr>
        <w:t>单点感应控制设定执行时长</w:t>
      </w:r>
    </w:p>
    <w:p w14:paraId="76345121">
      <w:pPr>
        <w:ind w:firstLine="480"/>
        <w:rPr>
          <w:rFonts w:hint="eastAsia"/>
        </w:rPr>
      </w:pPr>
      <w:r>
        <w:rPr>
          <w:rFonts w:hint="eastAsia"/>
        </w:rPr>
        <w:t>用户在切换到单点感应控制时，提供预先设定单点感应运行时长的功能，到达预设的运行时长后恢复到系统原有定时控制。</w:t>
      </w:r>
    </w:p>
    <w:p w14:paraId="50195AFE">
      <w:pPr>
        <w:pStyle w:val="9"/>
        <w:tabs>
          <w:tab w:val="clear" w:pos="425"/>
        </w:tabs>
      </w:pPr>
      <w:r>
        <w:rPr>
          <w:rFonts w:hint="eastAsia"/>
        </w:rPr>
        <w:t>单点感应控制时段调度</w:t>
      </w:r>
    </w:p>
    <w:p w14:paraId="77C4B3C9">
      <w:pPr>
        <w:ind w:firstLine="480"/>
        <w:rPr>
          <w:rFonts w:hint="eastAsia"/>
        </w:rPr>
      </w:pPr>
      <w:r>
        <w:rPr>
          <w:rFonts w:hint="eastAsia"/>
        </w:rPr>
        <w:t>用户配置单点感应运行计划，能够对信号机单点感应运行进行多时段调度。</w:t>
      </w:r>
    </w:p>
    <w:p w14:paraId="50322D57">
      <w:pPr>
        <w:pStyle w:val="9"/>
        <w:tabs>
          <w:tab w:val="clear" w:pos="425"/>
        </w:tabs>
      </w:pPr>
      <w:r>
        <w:rPr>
          <w:rFonts w:hint="eastAsia"/>
        </w:rPr>
        <w:t>单点感应优化历史查询</w:t>
      </w:r>
    </w:p>
    <w:p w14:paraId="30023E3E">
      <w:pPr>
        <w:ind w:firstLine="480"/>
        <w:rPr>
          <w:rFonts w:hint="eastAsia"/>
        </w:rPr>
      </w:pPr>
      <w:r>
        <w:rPr>
          <w:rFonts w:hint="eastAsia"/>
        </w:rPr>
        <w:t>基于路口名称、时间范围对单点感应的优化历史方案进行查询，输出历史方案的方案号、周期开始时间、相位相序详情。</w:t>
      </w:r>
    </w:p>
    <w:p w14:paraId="611AAFFB">
      <w:pPr>
        <w:pStyle w:val="9"/>
        <w:tabs>
          <w:tab w:val="clear" w:pos="425"/>
        </w:tabs>
      </w:pPr>
      <w:r>
        <w:rPr>
          <w:rFonts w:hint="eastAsia"/>
        </w:rPr>
        <w:t>单点感应优化方案导出</w:t>
      </w:r>
    </w:p>
    <w:p w14:paraId="57DE19C2">
      <w:pPr>
        <w:ind w:firstLine="480"/>
        <w:rPr>
          <w:rFonts w:hint="eastAsia"/>
        </w:rPr>
      </w:pPr>
      <w:r>
        <w:rPr>
          <w:rFonts w:hint="eastAsia"/>
        </w:rPr>
        <w:t>具备对单点感应优化历史方案进行导出的功能，并选择导出的历史方案范围。</w:t>
      </w:r>
    </w:p>
    <w:p w14:paraId="7E8EFEB1">
      <w:pPr>
        <w:pStyle w:val="6"/>
        <w:tabs>
          <w:tab w:val="clear" w:pos="425"/>
        </w:tabs>
      </w:pPr>
      <w:r>
        <w:rPr>
          <w:rFonts w:hint="eastAsia"/>
        </w:rPr>
        <w:t>单点方案智能计算</w:t>
      </w:r>
    </w:p>
    <w:p w14:paraId="4ECDB6A0">
      <w:pPr>
        <w:ind w:firstLine="480"/>
        <w:rPr>
          <w:rFonts w:hint="eastAsia"/>
        </w:rPr>
      </w:pPr>
      <w:r>
        <w:rPr>
          <w:rFonts w:hint="eastAsia"/>
        </w:rPr>
        <w:t>在进行方案配置时，用户通常需要结合路口历史通行流量数据来配置路口的信号配时方案，需要查流量、进行方案计算、方案配置、方案修改，整套流程下来会花费大量的时间和精力。单点方案辅助配时模块可以结合历史每天不同时段的流量变化，帮助用户在每天的计划中自动划分出多个时段，并且结合各时段各个方向的流量，来自动的计算出更合理的配时方案。从而通过数据和智能算法的应用，减少用户的工作量，降低方案配时的门槛。</w:t>
      </w:r>
    </w:p>
    <w:p w14:paraId="44E3E860">
      <w:pPr>
        <w:ind w:firstLine="480"/>
        <w:rPr>
          <w:rFonts w:hint="eastAsia"/>
        </w:rPr>
      </w:pPr>
      <w:r>
        <w:rPr>
          <w:rFonts w:hint="eastAsia"/>
        </w:rPr>
        <w:t>用户在配时优化界面上选择历史流量数据，基于用户所选的流量数据调用时段划分算法，根据流量特征变化将一天划分为多个时段。平台以图形化的方式同时展示时段划分的结果以及一天的流量变化，辅助判断时段划分结果准确性。</w:t>
      </w:r>
    </w:p>
    <w:p w14:paraId="765672F4">
      <w:pPr>
        <w:ind w:firstLine="480"/>
      </w:pPr>
      <w:r>
        <w:rPr>
          <w:rFonts w:hint="eastAsia"/>
        </w:rPr>
        <w:t>能够根据所选的历史交通流量数据自动计算各个时段路口信号配时方案的最优周期时长。并分析路口各个方向交通流量关系，自动分配各个时段路口配时方案中各相位绿信比。最终生成完成的多时段配时方案，用户审核通过后能够一键下发至信号机中运行。</w:t>
      </w:r>
    </w:p>
    <w:p w14:paraId="6D84F0CD">
      <w:pPr>
        <w:keepNext/>
        <w:ind w:firstLine="0" w:firstLineChars="0"/>
      </w:pPr>
      <w:r>
        <w:rPr>
          <w:lang w:val="en-US" w:eastAsia="zh-CN"/>
        </w:rPr>
        <w:drawing>
          <wp:inline distT="0" distB="0" distL="0" distR="0">
            <wp:extent cx="5274310" cy="2559685"/>
            <wp:effectExtent l="0" t="0" r="2540" b="0"/>
            <wp:docPr id="6125560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556015" name="图片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274310" cy="2559685"/>
                    </a:xfrm>
                    <a:prstGeom prst="rect">
                      <a:avLst/>
                    </a:prstGeom>
                    <a:noFill/>
                    <a:ln>
                      <a:noFill/>
                    </a:ln>
                  </pic:spPr>
                </pic:pic>
              </a:graphicData>
            </a:graphic>
          </wp:inline>
        </w:drawing>
      </w:r>
    </w:p>
    <w:p w14:paraId="2016D38C">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27</w:t>
      </w:r>
      <w:r>
        <w:fldChar w:fldCharType="end"/>
      </w:r>
      <w:r>
        <w:rPr>
          <w:rFonts w:hint="eastAsia"/>
        </w:rPr>
        <w:t>配时方案自动计算</w:t>
      </w:r>
    </w:p>
    <w:p w14:paraId="26BE6B11">
      <w:pPr>
        <w:pStyle w:val="9"/>
        <w:tabs>
          <w:tab w:val="clear" w:pos="425"/>
        </w:tabs>
        <w:rPr>
          <w:rFonts w:hint="eastAsia"/>
        </w:rPr>
      </w:pPr>
      <w:r>
        <w:t>应用展示</w:t>
      </w:r>
    </w:p>
    <w:p w14:paraId="721E3068">
      <w:pPr>
        <w:pStyle w:val="10"/>
      </w:pPr>
      <w:r>
        <w:rPr>
          <w:rFonts w:hint="eastAsia"/>
        </w:rPr>
        <w:t>配时方案时段自动划分</w:t>
      </w:r>
    </w:p>
    <w:p w14:paraId="0B33FFB1">
      <w:pPr>
        <w:ind w:firstLine="480"/>
        <w:rPr>
          <w:rFonts w:hint="eastAsia"/>
        </w:rPr>
      </w:pPr>
      <w:r>
        <w:rPr>
          <w:rFonts w:hint="eastAsia"/>
        </w:rPr>
        <w:t>支持通过所选的历史流量数据将一天按照交通流量特征自动划分为多个时段。</w:t>
      </w:r>
    </w:p>
    <w:p w14:paraId="64E4F128">
      <w:pPr>
        <w:pStyle w:val="10"/>
      </w:pPr>
      <w:r>
        <w:rPr>
          <w:rFonts w:hint="eastAsia"/>
        </w:rPr>
        <w:t>路口时段划分与交通流量匹配分析</w:t>
      </w:r>
    </w:p>
    <w:p w14:paraId="3E046CCA">
      <w:pPr>
        <w:ind w:firstLine="480"/>
        <w:rPr>
          <w:rFonts w:hint="eastAsia"/>
        </w:rPr>
      </w:pPr>
      <w:r>
        <w:rPr>
          <w:rFonts w:hint="eastAsia"/>
        </w:rPr>
        <w:t>支持以图形化的方式同时展示时段划分的结果以及一天的流量变化，辅助判断时段划分结果准确性。</w:t>
      </w:r>
    </w:p>
    <w:p w14:paraId="4ACE5261">
      <w:pPr>
        <w:pStyle w:val="10"/>
      </w:pPr>
      <w:r>
        <w:rPr>
          <w:rFonts w:hint="eastAsia"/>
        </w:rPr>
        <w:t>配时方案周期时长优化计算</w:t>
      </w:r>
    </w:p>
    <w:p w14:paraId="683B3AA3">
      <w:pPr>
        <w:ind w:firstLine="480"/>
        <w:rPr>
          <w:rFonts w:hint="eastAsia"/>
        </w:rPr>
      </w:pPr>
      <w:r>
        <w:rPr>
          <w:rFonts w:hint="eastAsia"/>
        </w:rPr>
        <w:t>能够根据所选的历史交通流量数据自动计算各个时段路口信号配时方案的最优周期时长。</w:t>
      </w:r>
    </w:p>
    <w:p w14:paraId="43457288">
      <w:pPr>
        <w:pStyle w:val="10"/>
      </w:pPr>
      <w:r>
        <w:rPr>
          <w:rFonts w:hint="eastAsia"/>
        </w:rPr>
        <w:t>配时方案绿信比自动分配</w:t>
      </w:r>
    </w:p>
    <w:p w14:paraId="5A4793C9">
      <w:pPr>
        <w:ind w:firstLine="480"/>
        <w:rPr>
          <w:rFonts w:hint="eastAsia"/>
        </w:rPr>
      </w:pPr>
      <w:r>
        <w:rPr>
          <w:rFonts w:hint="eastAsia"/>
        </w:rPr>
        <w:t>能够根据所选的历史交通流量数据自动分配各个时段路口配时方案中各相位绿信比。</w:t>
      </w:r>
    </w:p>
    <w:p w14:paraId="06FD71B2">
      <w:pPr>
        <w:pStyle w:val="10"/>
      </w:pPr>
      <w:r>
        <w:rPr>
          <w:rFonts w:hint="eastAsia"/>
        </w:rPr>
        <w:t>单点优化方案查询</w:t>
      </w:r>
    </w:p>
    <w:p w14:paraId="43FF6DD0">
      <w:pPr>
        <w:ind w:firstLine="480"/>
        <w:rPr>
          <w:rFonts w:hint="eastAsia"/>
        </w:rPr>
      </w:pPr>
      <w:r>
        <w:rPr>
          <w:rFonts w:hint="eastAsia"/>
        </w:rPr>
        <w:t>能够查询各个时段单点优化方案的周期时长、相位时长、相序参数，针对具体参数支持人工调整。</w:t>
      </w:r>
    </w:p>
    <w:p w14:paraId="3924AE96">
      <w:pPr>
        <w:pStyle w:val="10"/>
      </w:pPr>
      <w:r>
        <w:rPr>
          <w:rFonts w:hint="eastAsia"/>
        </w:rPr>
        <w:t>单点优化方案备份保存</w:t>
      </w:r>
    </w:p>
    <w:p w14:paraId="4F4A8B28">
      <w:pPr>
        <w:ind w:firstLine="480"/>
        <w:rPr>
          <w:rFonts w:hint="eastAsia"/>
        </w:rPr>
      </w:pPr>
      <w:r>
        <w:rPr>
          <w:rFonts w:hint="eastAsia"/>
        </w:rPr>
        <w:t>对于自动生成的单点优化方案，支持对方案进行备份保存，备份后的优化方案不直接下发至信号机。</w:t>
      </w:r>
    </w:p>
    <w:p w14:paraId="79C94F20">
      <w:pPr>
        <w:pStyle w:val="10"/>
      </w:pPr>
      <w:r>
        <w:rPr>
          <w:rFonts w:hint="eastAsia"/>
        </w:rPr>
        <w:t>单点优化方案下发</w:t>
      </w:r>
    </w:p>
    <w:p w14:paraId="3AED7769">
      <w:pPr>
        <w:ind w:firstLine="480"/>
        <w:rPr>
          <w:rFonts w:hint="eastAsia"/>
        </w:rPr>
      </w:pPr>
      <w:r>
        <w:rPr>
          <w:rFonts w:hint="eastAsia"/>
        </w:rPr>
        <w:t>具备将自动生成的单点优化方案直接下发至信号机的功能。</w:t>
      </w:r>
    </w:p>
    <w:p w14:paraId="430AC97E">
      <w:pPr>
        <w:pStyle w:val="9"/>
      </w:pPr>
      <w:r>
        <w:rPr>
          <w:rFonts w:hint="eastAsia"/>
        </w:rPr>
        <w:t>算法支撑</w:t>
      </w:r>
    </w:p>
    <w:p w14:paraId="0FE0B228">
      <w:pPr>
        <w:ind w:firstLine="480"/>
      </w:pPr>
      <w:r>
        <w:rPr>
          <w:rFonts w:hint="eastAsia"/>
        </w:rPr>
        <w:t>提供单点自适应控制模型，支持单点自适应场景。</w:t>
      </w:r>
    </w:p>
    <w:p w14:paraId="3A1F51AB">
      <w:pPr>
        <w:pStyle w:val="6"/>
        <w:tabs>
          <w:tab w:val="clear" w:pos="425"/>
        </w:tabs>
      </w:pPr>
      <w:r>
        <w:rPr>
          <w:rFonts w:hint="eastAsia"/>
        </w:rPr>
        <w:t>路口交通评价</w:t>
      </w:r>
    </w:p>
    <w:p w14:paraId="5E8CDC3E">
      <w:pPr>
        <w:ind w:firstLine="480"/>
      </w:pPr>
      <w:r>
        <w:rPr>
          <w:rFonts w:hint="eastAsia"/>
        </w:rPr>
        <w:t>路口交通评价可进行不同路口的服务水平、平均延误、交通流量、绿灯利用率和排队长队的排行。服务水平中对路口进行A-F的排序，F为服务水平最差。平均延误中对路口按照延误时间的长短进行排序，平均延误时间长的路口，在地图上表现得颜色越红。平均延误时间短的路口，用绿色进行表示，可以查看路口的颜色预估路口延误的长短。交通流量中将路口按照最近一个周期的流量从大到小进行排行，展示各个路口最近一个周期的流量，以及相比上个周期流量的增减百分比。流量较小的路口用绿色表示，流量较大的路口用红色表示。绿灯利用率中将最近一个周期的绿灯利用率按照从高到低进行排名，并且展示出相比于上个周期利用率增减的百分比。绿灯利用率高的路口用绿色表示，利用率低的路口用红色表示。排队长队是将各路口按照最近一个周期的排队长队从低到高进行展示，排队较长的路口用红色展示，排队较短的路口用绿色展示。</w:t>
      </w:r>
    </w:p>
    <w:p w14:paraId="5CEA2F88">
      <w:pPr>
        <w:keepNext/>
        <w:ind w:firstLine="0" w:firstLineChars="0"/>
      </w:pPr>
      <w:r>
        <w:rPr>
          <w:lang w:val="en-US" w:eastAsia="zh-CN"/>
        </w:rPr>
        <w:drawing>
          <wp:inline distT="0" distB="0" distL="0" distR="0">
            <wp:extent cx="5268595" cy="2349500"/>
            <wp:effectExtent l="0" t="0" r="8255" b="0"/>
            <wp:docPr id="9802587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58747" name="图片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5268595" cy="2349500"/>
                    </a:xfrm>
                    <a:prstGeom prst="rect">
                      <a:avLst/>
                    </a:prstGeom>
                    <a:noFill/>
                    <a:ln>
                      <a:noFill/>
                    </a:ln>
                  </pic:spPr>
                </pic:pic>
              </a:graphicData>
            </a:graphic>
          </wp:inline>
        </w:drawing>
      </w:r>
    </w:p>
    <w:p w14:paraId="1F2E5BA9">
      <w:pPr>
        <w:pStyle w:val="14"/>
        <w:rPr>
          <w:lang w:val="en-US" w:eastAsia="zh-CN"/>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28</w:t>
      </w:r>
      <w:r>
        <w:fldChar w:fldCharType="end"/>
      </w:r>
      <w:r>
        <w:rPr>
          <w:rFonts w:hint="eastAsia"/>
        </w:rPr>
        <w:t>路口交通评价界面</w:t>
      </w:r>
    </w:p>
    <w:p w14:paraId="507F2169">
      <w:pPr>
        <w:pStyle w:val="9"/>
        <w:tabs>
          <w:tab w:val="clear" w:pos="425"/>
        </w:tabs>
        <w:rPr>
          <w:rFonts w:hint="eastAsia"/>
        </w:rPr>
      </w:pPr>
      <w:r>
        <w:t>应用展示</w:t>
      </w:r>
    </w:p>
    <w:p w14:paraId="383189C5">
      <w:pPr>
        <w:pStyle w:val="10"/>
      </w:pPr>
      <w:r>
        <w:rPr>
          <w:rFonts w:hint="eastAsia"/>
        </w:rPr>
        <w:t>路口服务水平评价</w:t>
      </w:r>
    </w:p>
    <w:p w14:paraId="5F7F0F20">
      <w:pPr>
        <w:ind w:firstLine="480"/>
        <w:rPr>
          <w:rFonts w:hint="eastAsia"/>
        </w:rPr>
      </w:pPr>
      <w:r>
        <w:rPr>
          <w:rFonts w:hint="eastAsia"/>
        </w:rPr>
        <w:t>通过服务水平指标综合评价路口交通运行延误情况，服务水平指标分为多个级。</w:t>
      </w:r>
    </w:p>
    <w:p w14:paraId="2874202F">
      <w:pPr>
        <w:pStyle w:val="10"/>
      </w:pPr>
      <w:r>
        <w:rPr>
          <w:rFonts w:hint="eastAsia"/>
        </w:rPr>
        <w:t>路口流量评价</w:t>
      </w:r>
    </w:p>
    <w:p w14:paraId="0A037196">
      <w:pPr>
        <w:ind w:firstLine="480"/>
        <w:rPr>
          <w:rFonts w:hint="eastAsia"/>
        </w:rPr>
      </w:pPr>
      <w:r>
        <w:rPr>
          <w:rFonts w:hint="eastAsia"/>
        </w:rPr>
        <w:t>展示路口交通流量指标，流量指标按照不同时间维度（周期/小时/日/月/年）和不同空间维度（车道/转向/进口道/路口）进行统计。</w:t>
      </w:r>
    </w:p>
    <w:p w14:paraId="4129380C">
      <w:pPr>
        <w:pStyle w:val="10"/>
      </w:pPr>
      <w:r>
        <w:rPr>
          <w:rFonts w:hint="eastAsia"/>
        </w:rPr>
        <w:t>路口延误评价</w:t>
      </w:r>
    </w:p>
    <w:p w14:paraId="6557F2CF">
      <w:pPr>
        <w:ind w:firstLine="480"/>
        <w:rPr>
          <w:rFonts w:hint="eastAsia"/>
        </w:rPr>
      </w:pPr>
      <w:r>
        <w:rPr>
          <w:rFonts w:hint="eastAsia"/>
        </w:rPr>
        <w:t>展示路口平均延误指标，平均延误指标按照不同时间维度（周期/小时/日/月/年）和不同空间维度（车道/转向/进口道/路口）进行统计。</w:t>
      </w:r>
    </w:p>
    <w:p w14:paraId="7A0ACFDA">
      <w:pPr>
        <w:pStyle w:val="10"/>
      </w:pPr>
      <w:r>
        <w:rPr>
          <w:rFonts w:hint="eastAsia"/>
        </w:rPr>
        <w:t>路口排队评价</w:t>
      </w:r>
    </w:p>
    <w:p w14:paraId="0BD4EA8A">
      <w:pPr>
        <w:ind w:firstLine="480"/>
        <w:rPr>
          <w:rFonts w:hint="eastAsia"/>
        </w:rPr>
      </w:pPr>
      <w:r>
        <w:rPr>
          <w:rFonts w:hint="eastAsia"/>
        </w:rPr>
        <w:t>展示路口排队长度指标，排队长度指标按照不同时间维度（周期/小时/日/月/年）和不同空间维度（车道/转向/进口道/路口）进行统计。</w:t>
      </w:r>
    </w:p>
    <w:p w14:paraId="02366BDB">
      <w:pPr>
        <w:pStyle w:val="10"/>
      </w:pPr>
      <w:r>
        <w:rPr>
          <w:rFonts w:hint="eastAsia"/>
        </w:rPr>
        <w:t>路口多日对比及回放</w:t>
      </w:r>
    </w:p>
    <w:p w14:paraId="7CD45B1D">
      <w:pPr>
        <w:ind w:firstLine="480"/>
        <w:rPr>
          <w:rFonts w:hint="eastAsia"/>
        </w:rPr>
      </w:pPr>
      <w:r>
        <w:rPr>
          <w:rFonts w:hint="eastAsia"/>
        </w:rPr>
        <w:t>通过选择不同日期进行评价指标对比，评价指标包括服务水平、流量、延误和排队长度，并能回放历史视频，通过历史视频查看同个路口不同日期的交通运行情况。</w:t>
      </w:r>
    </w:p>
    <w:p w14:paraId="79B86E55">
      <w:pPr>
        <w:pStyle w:val="10"/>
      </w:pPr>
      <w:r>
        <w:rPr>
          <w:rFonts w:hint="eastAsia"/>
        </w:rPr>
        <w:t>路口时段对比及回放</w:t>
      </w:r>
    </w:p>
    <w:p w14:paraId="336D9AF5">
      <w:pPr>
        <w:ind w:firstLine="480"/>
        <w:rPr>
          <w:rFonts w:hint="eastAsia"/>
        </w:rPr>
      </w:pPr>
      <w:r>
        <w:rPr>
          <w:rFonts w:hint="eastAsia"/>
        </w:rPr>
        <w:t>通过选择不同日期的时段，进行同一时段不同日期的评价指标对比，评价指标包括服务水平、流量、延误和排队长度，并能回放历史视频。</w:t>
      </w:r>
    </w:p>
    <w:p w14:paraId="0EDE6806">
      <w:pPr>
        <w:pStyle w:val="10"/>
      </w:pPr>
      <w:r>
        <w:rPr>
          <w:rFonts w:hint="eastAsia"/>
        </w:rPr>
        <w:t>路口交通指标统计图形化展示</w:t>
      </w:r>
    </w:p>
    <w:p w14:paraId="05495871">
      <w:pPr>
        <w:ind w:firstLine="480"/>
        <w:rPr>
          <w:rFonts w:hint="eastAsia"/>
        </w:rPr>
      </w:pPr>
      <w:r>
        <w:rPr>
          <w:rFonts w:hint="eastAsia"/>
        </w:rPr>
        <w:t>以柱状图、折线图、报表的形式展示路口不同时间维度（周期/小时/日/月/年）的交通指标（服务水平、饱和度、平均延误、流量、排队长度）。</w:t>
      </w:r>
    </w:p>
    <w:p w14:paraId="69D2AB9C">
      <w:pPr>
        <w:pStyle w:val="10"/>
      </w:pPr>
      <w:r>
        <w:rPr>
          <w:rFonts w:hint="eastAsia"/>
        </w:rPr>
        <w:t>进口道交通指标统计图形化展示</w:t>
      </w:r>
    </w:p>
    <w:p w14:paraId="520E613A">
      <w:pPr>
        <w:ind w:firstLine="480"/>
        <w:rPr>
          <w:rFonts w:hint="eastAsia"/>
        </w:rPr>
      </w:pPr>
      <w:r>
        <w:rPr>
          <w:rFonts w:hint="eastAsia"/>
        </w:rPr>
        <w:t>以柱状图、折线图、报表的形式展示进口道不同时间维度（周期/小时/日/月/年）的交通指标（饱和度、平均延误、流量、排队长度）。</w:t>
      </w:r>
    </w:p>
    <w:p w14:paraId="0CB4DAF2">
      <w:pPr>
        <w:pStyle w:val="10"/>
      </w:pPr>
      <w:r>
        <w:rPr>
          <w:rFonts w:hint="eastAsia"/>
        </w:rPr>
        <w:t>转向交通指标统计图形化展示</w:t>
      </w:r>
    </w:p>
    <w:p w14:paraId="11402679">
      <w:pPr>
        <w:ind w:firstLine="480"/>
        <w:rPr>
          <w:rFonts w:hint="eastAsia"/>
        </w:rPr>
      </w:pPr>
      <w:r>
        <w:rPr>
          <w:rFonts w:hint="eastAsia"/>
        </w:rPr>
        <w:t>以柱状图、折线图、报表的形式展示转向不同时间维度（周期/小时/日/月/年）的交通指标（饱和度、平均延误、流量、排队长度）。</w:t>
      </w:r>
    </w:p>
    <w:p w14:paraId="6510980B">
      <w:pPr>
        <w:pStyle w:val="10"/>
      </w:pPr>
      <w:r>
        <w:rPr>
          <w:rFonts w:hint="eastAsia"/>
        </w:rPr>
        <w:t>车道交通指标统计图形化展示</w:t>
      </w:r>
    </w:p>
    <w:p w14:paraId="48A5BEA7">
      <w:pPr>
        <w:ind w:firstLine="480"/>
        <w:rPr>
          <w:rFonts w:hint="eastAsia"/>
        </w:rPr>
      </w:pPr>
      <w:r>
        <w:rPr>
          <w:rFonts w:hint="eastAsia"/>
        </w:rPr>
        <w:t>以柱状图、折线图、报表的形式展示车道不同时间维度（周期/小时/日/月/年）的交通指标（饱和度、平均延误、流量、排队长度）。</w:t>
      </w:r>
    </w:p>
    <w:p w14:paraId="198FF2A6">
      <w:pPr>
        <w:pStyle w:val="10"/>
      </w:pPr>
      <w:r>
        <w:rPr>
          <w:rFonts w:hint="eastAsia"/>
        </w:rPr>
        <w:t>交通指标统计数据导出</w:t>
      </w:r>
    </w:p>
    <w:p w14:paraId="425C85F3">
      <w:pPr>
        <w:ind w:firstLine="480"/>
        <w:rPr>
          <w:rFonts w:hint="eastAsia"/>
        </w:rPr>
      </w:pPr>
      <w:r>
        <w:rPr>
          <w:rFonts w:hint="eastAsia"/>
        </w:rPr>
        <w:t>具备以excel报表形式对不同维度统计交通指标的结果进行导出的功能。</w:t>
      </w:r>
    </w:p>
    <w:p w14:paraId="728B853B">
      <w:pPr>
        <w:pStyle w:val="10"/>
      </w:pPr>
      <w:r>
        <w:rPr>
          <w:rFonts w:hint="eastAsia"/>
        </w:rPr>
        <w:t>路口平均延误对比评价</w:t>
      </w:r>
    </w:p>
    <w:p w14:paraId="6D830CFC">
      <w:pPr>
        <w:ind w:firstLine="480"/>
        <w:rPr>
          <w:rFonts w:hint="eastAsia"/>
        </w:rPr>
      </w:pPr>
      <w:r>
        <w:rPr>
          <w:rFonts w:hint="eastAsia"/>
        </w:rPr>
        <w:t>将信号配时优化方案与原方案进行对比，通过对比不同时间维度（周期/小时）和不同空间维度（车道/转向/进口道/路口）的平均延误指标评价方案运行效果。</w:t>
      </w:r>
    </w:p>
    <w:p w14:paraId="579616C2">
      <w:pPr>
        <w:pStyle w:val="10"/>
      </w:pPr>
      <w:r>
        <w:rPr>
          <w:rFonts w:hint="eastAsia"/>
        </w:rPr>
        <w:t>路口交通流量对比评价</w:t>
      </w:r>
    </w:p>
    <w:p w14:paraId="33F3EA04">
      <w:pPr>
        <w:ind w:firstLine="480"/>
        <w:rPr>
          <w:rFonts w:hint="eastAsia"/>
        </w:rPr>
      </w:pPr>
      <w:r>
        <w:rPr>
          <w:rFonts w:hint="eastAsia"/>
        </w:rPr>
        <w:t>将信号配时优化方案与原方案进行对比，通过对比不同时间维度（周期/小时）和不同空间维度（车道/转向/进口道/路口）交通流量指标评价方案运行效果。</w:t>
      </w:r>
    </w:p>
    <w:p w14:paraId="2F65779E">
      <w:pPr>
        <w:pStyle w:val="10"/>
      </w:pPr>
      <w:r>
        <w:rPr>
          <w:rFonts w:hint="eastAsia"/>
        </w:rPr>
        <w:t>路口绿灯利用率对比评价</w:t>
      </w:r>
    </w:p>
    <w:p w14:paraId="62AAABE8">
      <w:pPr>
        <w:ind w:firstLine="480"/>
        <w:rPr>
          <w:rFonts w:hint="eastAsia"/>
        </w:rPr>
      </w:pPr>
      <w:r>
        <w:rPr>
          <w:rFonts w:hint="eastAsia"/>
        </w:rPr>
        <w:t>将信号配时优化方案与原方案进行对比，通过对比不同时间维度（周期/小时）和不同空间维度（车道/转向/进口道/路口）的绿灯利用率指标评价方案运行效果。</w:t>
      </w:r>
    </w:p>
    <w:p w14:paraId="4891D65F">
      <w:pPr>
        <w:pStyle w:val="10"/>
      </w:pPr>
      <w:r>
        <w:rPr>
          <w:rFonts w:hint="eastAsia"/>
        </w:rPr>
        <w:t>路口排队长度对比评价</w:t>
      </w:r>
    </w:p>
    <w:p w14:paraId="1DD9D45A">
      <w:pPr>
        <w:ind w:firstLine="480"/>
        <w:rPr>
          <w:rFonts w:hint="eastAsia"/>
        </w:rPr>
      </w:pPr>
      <w:r>
        <w:rPr>
          <w:rFonts w:hint="eastAsia"/>
        </w:rPr>
        <w:t>将信号配时优化方案与原方案进行对比，通过对比不同时间维度（周期/小时）和不同空间维度（车道/转向/进口道/路口）的排队长度指标评价方案运行效果。</w:t>
      </w:r>
    </w:p>
    <w:p w14:paraId="48B4525E">
      <w:pPr>
        <w:pStyle w:val="10"/>
      </w:pPr>
      <w:r>
        <w:rPr>
          <w:rFonts w:hint="eastAsia"/>
        </w:rPr>
        <w:t>路口服务水平对比评价</w:t>
      </w:r>
    </w:p>
    <w:p w14:paraId="48C8B98A">
      <w:pPr>
        <w:ind w:firstLine="480"/>
        <w:rPr>
          <w:rFonts w:hint="eastAsia"/>
        </w:rPr>
      </w:pPr>
      <w:r>
        <w:rPr>
          <w:rFonts w:hint="eastAsia"/>
        </w:rPr>
        <w:t>将信号配时优化方案与原方案进行对比，通过对比不同时间维度（周期/小时）的服务水平指标评价方案运行效果。</w:t>
      </w:r>
    </w:p>
    <w:p w14:paraId="5782B15B">
      <w:pPr>
        <w:pStyle w:val="9"/>
      </w:pPr>
      <w:r>
        <w:rPr>
          <w:rFonts w:hint="eastAsia"/>
        </w:rPr>
        <w:t>算法支撑</w:t>
      </w:r>
    </w:p>
    <w:p w14:paraId="4BDAE22D">
      <w:pPr>
        <w:pStyle w:val="10"/>
      </w:pPr>
      <w:r>
        <w:rPr>
          <w:rFonts w:hint="eastAsia"/>
        </w:rPr>
        <w:t>路口状态评价模型</w:t>
      </w:r>
    </w:p>
    <w:p w14:paraId="2723A454">
      <w:pPr>
        <w:ind w:firstLine="480"/>
        <w:rPr>
          <w:rFonts w:hint="eastAsia"/>
        </w:rPr>
      </w:pPr>
      <w:r>
        <w:rPr>
          <w:rFonts w:hint="eastAsia"/>
        </w:rPr>
        <w:t>支持路口级别的流量、车均延误、饱和度、饱和流率、平均延误时间比、饱和度不均系数和态势综合评分。</w:t>
      </w:r>
    </w:p>
    <w:p w14:paraId="1D63E509">
      <w:pPr>
        <w:pStyle w:val="10"/>
      </w:pPr>
      <w:r>
        <w:rPr>
          <w:rFonts w:hint="eastAsia"/>
        </w:rPr>
        <w:t>路口进口道状态评价模型</w:t>
      </w:r>
    </w:p>
    <w:p w14:paraId="1C565ECB">
      <w:pPr>
        <w:ind w:firstLine="480"/>
        <w:rPr>
          <w:rFonts w:hint="eastAsia"/>
        </w:rPr>
      </w:pPr>
      <w:r>
        <w:rPr>
          <w:rFonts w:hint="eastAsia"/>
        </w:rPr>
        <w:t>支持进口道级别的流量、延误、速度、速度可信度、路况、行程时间、车公里数和延误时间比指标。</w:t>
      </w:r>
    </w:p>
    <w:p w14:paraId="387F4107">
      <w:pPr>
        <w:pStyle w:val="10"/>
      </w:pPr>
      <w:r>
        <w:rPr>
          <w:rFonts w:hint="eastAsia"/>
        </w:rPr>
        <w:t>路口转向状态评价模型</w:t>
      </w:r>
    </w:p>
    <w:p w14:paraId="04EE74A0">
      <w:pPr>
        <w:ind w:firstLine="480"/>
        <w:rPr>
          <w:rFonts w:hint="eastAsia"/>
        </w:rPr>
      </w:pPr>
      <w:r>
        <w:rPr>
          <w:rFonts w:hint="eastAsia"/>
        </w:rPr>
        <w:t>支持转向级别的流量和延误指标。</w:t>
      </w:r>
    </w:p>
    <w:p w14:paraId="4AFCD1C0">
      <w:pPr>
        <w:pStyle w:val="10"/>
      </w:pPr>
      <w:r>
        <w:rPr>
          <w:rFonts w:hint="eastAsia"/>
        </w:rPr>
        <w:t>路口车道状态评价模型</w:t>
      </w:r>
    </w:p>
    <w:p w14:paraId="6007925B">
      <w:pPr>
        <w:ind w:firstLine="480"/>
        <w:rPr>
          <w:rFonts w:hint="eastAsia"/>
        </w:rPr>
      </w:pPr>
      <w:r>
        <w:rPr>
          <w:rFonts w:hint="eastAsia"/>
        </w:rPr>
        <w:t>支持车道级别的流量、匹配样本量、小车比、大车比、平均延误、平均速度、平均旅行时间、累计旅行时间、绿信比和饱和度指标。</w:t>
      </w:r>
    </w:p>
    <w:p w14:paraId="1D86A492">
      <w:pPr>
        <w:pStyle w:val="10"/>
      </w:pPr>
      <w:r>
        <w:rPr>
          <w:rFonts w:hint="eastAsia"/>
        </w:rPr>
        <w:t>单点控制评价模型</w:t>
      </w:r>
    </w:p>
    <w:p w14:paraId="51644403">
      <w:pPr>
        <w:ind w:firstLine="480"/>
        <w:rPr>
          <w:rFonts w:hint="eastAsia"/>
        </w:rPr>
      </w:pPr>
      <w:r>
        <w:rPr>
          <w:rFonts w:hint="eastAsia"/>
        </w:rPr>
        <w:t>支持路口级别的流量、延误、排队长度绿灯利用率和车均延误时间比指标。</w:t>
      </w:r>
    </w:p>
    <w:p w14:paraId="0E92122A">
      <w:pPr>
        <w:pStyle w:val="10"/>
      </w:pPr>
      <w:r>
        <w:rPr>
          <w:rFonts w:hint="eastAsia"/>
        </w:rPr>
        <w:t>单点控制进口道评价模型</w:t>
      </w:r>
    </w:p>
    <w:p w14:paraId="14CF9E64">
      <w:pPr>
        <w:ind w:firstLine="480"/>
        <w:rPr>
          <w:rFonts w:hint="eastAsia"/>
        </w:rPr>
      </w:pPr>
      <w:r>
        <w:rPr>
          <w:rFonts w:hint="eastAsia"/>
        </w:rPr>
        <w:t>支持路段级别的流量、延误、排队长度、停车次数和不停车比例指标。</w:t>
      </w:r>
    </w:p>
    <w:p w14:paraId="7BFC2097">
      <w:pPr>
        <w:pStyle w:val="10"/>
      </w:pPr>
      <w:r>
        <w:rPr>
          <w:rFonts w:hint="eastAsia"/>
        </w:rPr>
        <w:t>单点控制转向评价模型</w:t>
      </w:r>
    </w:p>
    <w:p w14:paraId="127B3EE3">
      <w:pPr>
        <w:ind w:firstLine="480"/>
        <w:rPr>
          <w:rFonts w:hint="eastAsia"/>
        </w:rPr>
      </w:pPr>
      <w:r>
        <w:rPr>
          <w:rFonts w:hint="eastAsia"/>
        </w:rPr>
        <w:t>支持转向级别的流量、延误、排队长度、停车次数和不停车比例指标。</w:t>
      </w:r>
    </w:p>
    <w:p w14:paraId="1D285206">
      <w:pPr>
        <w:pStyle w:val="10"/>
      </w:pPr>
      <w:r>
        <w:rPr>
          <w:rFonts w:hint="eastAsia"/>
        </w:rPr>
        <w:t>单点控制车道评价模型</w:t>
      </w:r>
    </w:p>
    <w:p w14:paraId="2EDF7591">
      <w:pPr>
        <w:ind w:firstLine="480"/>
      </w:pPr>
      <w:r>
        <w:rPr>
          <w:rFonts w:hint="eastAsia"/>
        </w:rPr>
        <w:t>支持车道级别的流量，小车比，大车比，饱和度，停车次数，延误，速度，不停车比例，红灯期间到达比，不停车车速，平均旅行时间，累积旅行时间，匹配样本量和延误时间比指标。</w:t>
      </w:r>
    </w:p>
    <w:p w14:paraId="23B7F35C">
      <w:pPr>
        <w:ind w:firstLine="0" w:firstLineChars="0"/>
        <w:rPr>
          <w:rFonts w:hint="eastAsia"/>
        </w:rPr>
      </w:pPr>
    </w:p>
    <w:p w14:paraId="752B3951">
      <w:pPr>
        <w:pStyle w:val="6"/>
      </w:pPr>
      <w:bookmarkStart w:id="120" w:name="_Hlk186372413"/>
      <w:r>
        <w:rPr>
          <w:rFonts w:hint="eastAsia"/>
        </w:rPr>
        <w:t>平台对接</w:t>
      </w:r>
    </w:p>
    <w:bookmarkEnd w:id="120"/>
    <w:p w14:paraId="1642DACE">
      <w:pPr>
        <w:pStyle w:val="9"/>
      </w:pPr>
      <w:r>
        <w:rPr>
          <w:rFonts w:hint="eastAsia"/>
        </w:rPr>
        <w:t>与县局视频图像信息共享平台的对接</w:t>
      </w:r>
    </w:p>
    <w:p w14:paraId="1DD0C669">
      <w:pPr>
        <w:ind w:firstLine="480"/>
      </w:pPr>
      <w:r>
        <w:rPr>
          <w:rFonts w:hint="eastAsia"/>
        </w:rPr>
        <w:t>根据业务要求，通过制定内部接口的标准XML通讯报文格式，开发基于SOAP协议信息交换接口，实现与县视频图像信息共享平台数据交互。图片信息通过基于HTTP协议的Servlet接口，视频信息对接至视频网关，通过视频网关的流媒体服务功能，实现视频的共享使用。</w:t>
      </w:r>
    </w:p>
    <w:p w14:paraId="6D587F1C">
      <w:pPr>
        <w:pStyle w:val="9"/>
      </w:pPr>
      <w:bookmarkStart w:id="121" w:name="_Hlk186472993"/>
      <w:r>
        <w:rPr>
          <w:rFonts w:hint="eastAsia"/>
        </w:rPr>
        <w:t>与省</w:t>
      </w:r>
      <w:bookmarkStart w:id="122" w:name="_Hlk183533812"/>
      <w:r>
        <w:rPr>
          <w:rFonts w:hint="eastAsia"/>
        </w:rPr>
        <w:t>集成指挥平台对接</w:t>
      </w:r>
    </w:p>
    <w:bookmarkEnd w:id="121"/>
    <w:bookmarkEnd w:id="122"/>
    <w:p w14:paraId="56654C4B">
      <w:pPr>
        <w:ind w:firstLine="480"/>
      </w:pPr>
      <w:r>
        <w:rPr>
          <w:rFonts w:hint="eastAsia"/>
        </w:rPr>
        <w:t>支持将实时过车数据、违法数据通过webservice协议接口对集成指挥平台，以及提供数据对接情况检测分析，交通综合管控平台仅将数据共享至公安交通集成指挥平台提供业务数据，严格遵守公安网信息“只进不出”的原则。</w:t>
      </w:r>
    </w:p>
    <w:p w14:paraId="6EE856EA">
      <w:pPr>
        <w:ind w:firstLine="480"/>
      </w:pPr>
      <w:r>
        <w:rPr>
          <w:rFonts w:hint="eastAsia"/>
        </w:rPr>
        <w:t>与集成指挥平台对接之间应能进行联网实时数据传输，数据传输应具有断点续传、防丢失、防篡改等功能，并记录传输日志。</w:t>
      </w:r>
    </w:p>
    <w:p w14:paraId="625B3249">
      <w:pPr>
        <w:ind w:firstLine="480"/>
      </w:pPr>
      <w:r>
        <w:rPr>
          <w:rFonts w:hint="eastAsia"/>
        </w:rPr>
        <w:t>实现与机动车缉查布控系统之间的集成关联操作，按照《公安交通集成指挥平台通信协议 第10部分：机动车缉查布控系统》（GA/T 1049.10）中的标准协议进行信息交互。内容包括设备管理及运行状态信息、故障信息、过车记录等；平台下发信息包括：设备管理参数设置信息、参数配置信息。</w:t>
      </w:r>
    </w:p>
    <w:p w14:paraId="5FA50E48">
      <w:pPr>
        <w:ind w:firstLine="480"/>
      </w:pPr>
      <w:r>
        <w:rPr>
          <w:rFonts w:hint="eastAsia"/>
        </w:rPr>
        <w:t>实现与交通违法监测记录系统之间的集成关联操作，参照《公安交通集成指挥平台通信协议 第5部分：交通违法监测记录系统》（GA/T 1049.5）中的标准协议进行信息交互。内容包括设备管理及运行状态信息、故障信息、违法记录、违法图片等；平台下发信息包括：设备管理参数设置信息、参数配置信息。</w:t>
      </w:r>
    </w:p>
    <w:p w14:paraId="5A21D258">
      <w:pPr>
        <w:pStyle w:val="9"/>
      </w:pPr>
      <w:bookmarkStart w:id="123" w:name="_Hlk186372373"/>
      <w:r>
        <w:rPr>
          <w:rFonts w:hint="eastAsia"/>
        </w:rPr>
        <w:t>与交通管理综合应用平台（六合一平台）的对接</w:t>
      </w:r>
    </w:p>
    <w:bookmarkEnd w:id="123"/>
    <w:p w14:paraId="5E8F7347">
      <w:pPr>
        <w:ind w:firstLine="480"/>
      </w:pPr>
      <w:r>
        <w:rPr>
          <w:rFonts w:hint="eastAsia"/>
        </w:rPr>
        <w:t>系统应与总队管控平台进行关联，实现数据实时共享交互。根据业务要求，通过制定内部接口的标准XML通讯报文格式，开发基于SOAP协议信息交换接口，图片信息通过基于HTTP协议的Servlet接口；主要实现将交通事件、交通运行状态、警力资源定位、勤务管理等数据实时或定周期上传，对接方式为通过在视频专网上运行数据上传程序，实时上传系统数据。</w:t>
      </w:r>
    </w:p>
    <w:p w14:paraId="4046478E">
      <w:pPr>
        <w:pStyle w:val="9"/>
      </w:pPr>
      <w:bookmarkStart w:id="124" w:name="_Hlk183771638"/>
      <w:r>
        <w:rPr>
          <w:rFonts w:hint="eastAsia"/>
        </w:rPr>
        <w:t>与其他业务平台的预留接口开发</w:t>
      </w:r>
    </w:p>
    <w:bookmarkEnd w:id="124"/>
    <w:p w14:paraId="6333E77A">
      <w:pPr>
        <w:ind w:firstLine="480"/>
      </w:pPr>
      <w:r>
        <w:rPr>
          <w:rFonts w:hint="eastAsia"/>
        </w:rPr>
        <w:t>系统通过文件、数据库表、WebService（HTTP协议）或Restful服务接口方式与其他业务平台进行数据对接。根据业务需要接收平台业务数据，在保证数据安全前提下向其他平台提供脱密数据。</w:t>
      </w:r>
    </w:p>
    <w:p w14:paraId="59442BCE">
      <w:pPr>
        <w:pStyle w:val="9"/>
      </w:pPr>
      <w:bookmarkStart w:id="125" w:name="_Hlk186463737"/>
      <w:r>
        <w:rPr>
          <w:rFonts w:hint="eastAsia"/>
        </w:rPr>
        <w:t>与现有交通信号设施对接</w:t>
      </w:r>
    </w:p>
    <w:bookmarkEnd w:id="125"/>
    <w:p w14:paraId="27515AAD">
      <w:pPr>
        <w:pStyle w:val="28"/>
      </w:pPr>
      <w:r>
        <w:rPr>
          <w:rFonts w:hint="eastAsia"/>
        </w:rPr>
        <w:t>实现与琼中县现有具有联网功能的交通信号设施（符合国家标准《交通信号控制机与上位机间的数据通信协议》（GB/T 20999-2017））之间的集成关联操作，本项目建设的交通综合管控平台通过行业标准参照《公安交通集成指挥平台通信协议第2部分：交通信号控制系统》（GA/T 1049.2）中的标准协议执行对交通信号控制系统的配置参数及运行信息通知与査询、指定控制方式、指定控制方案、锁定交通流向、解锁交通流向等命令，同时下发配时优化方案等信息至交通信号控制系统。</w:t>
      </w:r>
    </w:p>
    <w:p w14:paraId="77105458">
      <w:pPr>
        <w:pStyle w:val="9"/>
      </w:pPr>
      <w:r>
        <w:rPr>
          <w:rFonts w:hint="eastAsia"/>
        </w:rPr>
        <w:t>与现有交通违法监测设备（卡口、违停）对接</w:t>
      </w:r>
    </w:p>
    <w:p w14:paraId="4880A855">
      <w:pPr>
        <w:pStyle w:val="28"/>
      </w:pPr>
      <w:r>
        <w:rPr>
          <w:rFonts w:hint="eastAsia"/>
        </w:rPr>
        <w:t>实现与交通违法监测记录系统之间的集成关联操作，参照《公安交通集成指挥平台通信协议 第</w:t>
      </w:r>
      <w:r>
        <w:t>5</w:t>
      </w:r>
      <w:r>
        <w:rPr>
          <w:rFonts w:hint="eastAsia"/>
        </w:rPr>
        <w:t>部分：交通违法监测记录系统》（GA/T 1049.</w:t>
      </w:r>
      <w:r>
        <w:t>5</w:t>
      </w:r>
      <w:r>
        <w:rPr>
          <w:rFonts w:hint="eastAsia"/>
        </w:rPr>
        <w:t xml:space="preserve">）中的标准协议进行信息交互。内容包括设备管理及运行状态信息、故障信息等。 </w:t>
      </w:r>
    </w:p>
    <w:p w14:paraId="4D1E221F">
      <w:pPr>
        <w:pStyle w:val="4"/>
      </w:pPr>
      <w:r>
        <w:rPr>
          <w:rFonts w:hint="eastAsia"/>
        </w:rPr>
        <w:t>其他配套要求</w:t>
      </w:r>
    </w:p>
    <w:p w14:paraId="6A2E8EAF">
      <w:pPr>
        <w:pStyle w:val="5"/>
      </w:pPr>
      <w:r>
        <w:rPr>
          <w:rFonts w:hint="eastAsia"/>
        </w:rPr>
        <w:t>配套成品软件要求</w:t>
      </w:r>
    </w:p>
    <w:p w14:paraId="2DF42CB2">
      <w:pPr>
        <w:pStyle w:val="6"/>
      </w:pPr>
      <w:r>
        <w:rPr>
          <w:rFonts w:hint="eastAsia"/>
        </w:rPr>
        <w:t>图片接入软件</w:t>
      </w:r>
    </w:p>
    <w:p w14:paraId="0B636EF3">
      <w:pPr>
        <w:pStyle w:val="28"/>
      </w:pPr>
      <w:r>
        <w:rPr>
          <w:rFonts w:hint="eastAsia"/>
        </w:rPr>
        <w:t>1.支持主流卡口电警厂商设备和平台的接入，非主流厂家可以快速定制开发；</w:t>
      </w:r>
    </w:p>
    <w:p w14:paraId="00A4224B">
      <w:pPr>
        <w:pStyle w:val="28"/>
      </w:pPr>
      <w:r>
        <w:rPr>
          <w:rFonts w:hint="eastAsia"/>
        </w:rPr>
        <w:t>2.支持接入第三方厂商卡口、电警前端设备或第三方平台上传的图片数据，并存储到管理平台中；</w:t>
      </w:r>
    </w:p>
    <w:p w14:paraId="33C44BB2">
      <w:pPr>
        <w:pStyle w:val="28"/>
      </w:pPr>
      <w:r>
        <w:rPr>
          <w:rFonts w:hint="eastAsia"/>
        </w:rPr>
        <w:t>3.接入第三方相机个数：接入卡口/电警数量：≤300个；接入第三方平台个数：1个；</w:t>
      </w:r>
    </w:p>
    <w:p w14:paraId="0C98CB34">
      <w:pPr>
        <w:pStyle w:val="28"/>
        <w:ind w:firstLine="482" w:firstLineChars="0"/>
      </w:pPr>
      <w:r>
        <w:rPr>
          <w:rFonts w:hint="eastAsia"/>
        </w:rPr>
        <w:t>4.接入过车信息和图片性能：不带图片：每秒400条过车信息；带图片：100张图片/s（图片分辨率≤900W）。</w:t>
      </w:r>
    </w:p>
    <w:p w14:paraId="5CB83935">
      <w:pPr>
        <w:pStyle w:val="6"/>
      </w:pPr>
      <w:r>
        <w:rPr>
          <w:rFonts w:hint="eastAsia"/>
        </w:rPr>
        <w:t>数据转发服务软件</w:t>
      </w:r>
    </w:p>
    <w:p w14:paraId="22778800">
      <w:pPr>
        <w:pStyle w:val="28"/>
      </w:pPr>
      <w:r>
        <w:rPr>
          <w:rFonts w:hint="eastAsia"/>
        </w:rPr>
        <w:t>1.承载智慧物联协议，支持前端设备按照智慧物联协议接入平台，并传输相关人脸、车辆等数据；</w:t>
      </w:r>
    </w:p>
    <w:p w14:paraId="5EA92CC8">
      <w:pPr>
        <w:pStyle w:val="28"/>
      </w:pPr>
      <w:r>
        <w:rPr>
          <w:rFonts w:hint="eastAsia"/>
        </w:rPr>
        <w:t>2.承载视图库A接口，支持采集装备或采集系统按照GA/T1400标准A接口接入平台并上报相关人脸、车辆等数据；</w:t>
      </w:r>
    </w:p>
    <w:p w14:paraId="1B27EB1F">
      <w:pPr>
        <w:pStyle w:val="28"/>
      </w:pPr>
      <w:r>
        <w:rPr>
          <w:rFonts w:hint="eastAsia"/>
        </w:rPr>
        <w:t>3.承载视图库B/C/D接口；支持GA/T1400标准针对人、车、案事件所规定的相关业务功能；</w:t>
      </w:r>
    </w:p>
    <w:p w14:paraId="6573BE67">
      <w:pPr>
        <w:pStyle w:val="28"/>
      </w:pPr>
      <w:r>
        <w:rPr>
          <w:rFonts w:hint="eastAsia"/>
        </w:rPr>
        <w:t>4.人脸/车辆图片接入≥512Mbps；人脸/车辆图片转发≥1024Mbps；</w:t>
      </w:r>
    </w:p>
    <w:p w14:paraId="245C73D3">
      <w:pPr>
        <w:pStyle w:val="28"/>
      </w:pPr>
      <w:r>
        <w:rPr>
          <w:rFonts w:hint="eastAsia"/>
        </w:rPr>
        <w:t>5.人脸/车辆小图+大图URL+结构化数据接入转发≥500条/s；</w:t>
      </w:r>
    </w:p>
    <w:p w14:paraId="09D4298A">
      <w:pPr>
        <w:pStyle w:val="28"/>
        <w:ind w:firstLine="482" w:firstLineChars="0"/>
      </w:pPr>
      <w:r>
        <w:rPr>
          <w:rFonts w:hint="eastAsia"/>
        </w:rPr>
        <w:t>6.URL、MAC/RFID数据接入及转发≥1500条/s。</w:t>
      </w:r>
    </w:p>
    <w:p w14:paraId="2B4A5C57">
      <w:pPr>
        <w:pStyle w:val="6"/>
      </w:pPr>
      <w:r>
        <w:rPr>
          <w:rFonts w:hint="eastAsia"/>
        </w:rPr>
        <w:t>数据库管理服务软件</w:t>
      </w:r>
    </w:p>
    <w:p w14:paraId="5EC53AD6">
      <w:pPr>
        <w:pStyle w:val="28"/>
      </w:pPr>
      <w:r>
        <w:rPr>
          <w:rFonts w:hint="eastAsia"/>
        </w:rPr>
        <w:t>1.支持实时机动车布控业务和大数据分析任务，满足各类大数据业务应用需求；</w:t>
      </w:r>
    </w:p>
    <w:p w14:paraId="4F6F1DA6">
      <w:pPr>
        <w:pStyle w:val="28"/>
      </w:pPr>
      <w:r>
        <w:rPr>
          <w:rFonts w:hint="eastAsia"/>
        </w:rPr>
        <w:t>2.基于优秀的相关度算法提供亿级数据的秒级检索服务；</w:t>
      </w:r>
    </w:p>
    <w:p w14:paraId="74D15772">
      <w:pPr>
        <w:pStyle w:val="28"/>
      </w:pPr>
      <w:r>
        <w:rPr>
          <w:rFonts w:hint="eastAsia"/>
        </w:rPr>
        <w:t>3.支持千万级以图搜图快速检索服务；</w:t>
      </w:r>
    </w:p>
    <w:p w14:paraId="1E14B111">
      <w:pPr>
        <w:pStyle w:val="28"/>
      </w:pPr>
      <w:r>
        <w:rPr>
          <w:rFonts w:hint="eastAsia"/>
        </w:rPr>
        <w:t>4.结构化数据库容总量：10亿；</w:t>
      </w:r>
    </w:p>
    <w:p w14:paraId="1AD9AE5F">
      <w:pPr>
        <w:pStyle w:val="28"/>
      </w:pPr>
      <w:r>
        <w:rPr>
          <w:rFonts w:hint="eastAsia"/>
        </w:rPr>
        <w:t>5.过车数据写入性能：128条/S；</w:t>
      </w:r>
    </w:p>
    <w:p w14:paraId="2C033A25">
      <w:pPr>
        <w:pStyle w:val="28"/>
        <w:ind w:firstLine="482" w:firstLineChars="0"/>
      </w:pPr>
      <w:r>
        <w:rPr>
          <w:rFonts w:hint="eastAsia"/>
        </w:rPr>
        <w:t>6.机动车半结构化数据：机动车库容总量：500W；机动车秒级检索范围:500W。</w:t>
      </w:r>
    </w:p>
    <w:p w14:paraId="12DA69CC">
      <w:pPr>
        <w:pStyle w:val="6"/>
      </w:pPr>
      <w:r>
        <w:rPr>
          <w:rFonts w:hint="eastAsia"/>
        </w:rPr>
        <w:t>大数据支撑软件</w:t>
      </w:r>
    </w:p>
    <w:p w14:paraId="60196E1B">
      <w:pPr>
        <w:pStyle w:val="9"/>
        <w:rPr>
          <w:rFonts w:hint="eastAsia" w:ascii="宋体" w:hAnsi="宋体"/>
        </w:rPr>
      </w:pPr>
      <w:r>
        <w:rPr>
          <w:rFonts w:hint="eastAsia" w:ascii="宋体" w:hAnsi="宋体"/>
        </w:rPr>
        <w:t>数据存储</w:t>
      </w:r>
    </w:p>
    <w:p w14:paraId="4AA1E816">
      <w:pPr>
        <w:ind w:firstLine="480"/>
      </w:pPr>
      <w:r>
        <w:rPr>
          <w:rFonts w:hint="eastAsia"/>
        </w:rPr>
        <w:t>提供消息发布订阅系统Kafka、对象存储服务MinIO、分布式NoSQL数据库Cassandra、分布式并行处理数据库Greenplum、关系型数据库PostgreSQL。</w:t>
      </w:r>
    </w:p>
    <w:p w14:paraId="40516B82">
      <w:pPr>
        <w:pStyle w:val="9"/>
        <w:rPr>
          <w:rFonts w:hint="eastAsia" w:ascii="宋体" w:hAnsi="宋体"/>
        </w:rPr>
      </w:pPr>
      <w:r>
        <w:rPr>
          <w:rFonts w:hint="eastAsia" w:ascii="宋体" w:hAnsi="宋体"/>
        </w:rPr>
        <w:t>资源调度</w:t>
      </w:r>
    </w:p>
    <w:p w14:paraId="0E963A10">
      <w:pPr>
        <w:ind w:firstLine="480"/>
      </w:pPr>
      <w:r>
        <w:rPr>
          <w:rFonts w:hint="eastAsia"/>
        </w:rPr>
        <w:t>提供分布式资源协调服务ZooKeeper；</w:t>
      </w:r>
    </w:p>
    <w:p w14:paraId="343E3781">
      <w:pPr>
        <w:ind w:firstLine="480"/>
      </w:pPr>
      <w:r>
        <w:rPr>
          <w:rFonts w:hint="eastAsia"/>
        </w:rPr>
        <w:t>提供工作流调度系统DolphinScheduler。</w:t>
      </w:r>
    </w:p>
    <w:p w14:paraId="51E41279">
      <w:pPr>
        <w:pStyle w:val="9"/>
        <w:rPr>
          <w:rFonts w:hint="eastAsia" w:ascii="宋体" w:hAnsi="宋体"/>
        </w:rPr>
      </w:pPr>
      <w:r>
        <w:rPr>
          <w:rFonts w:hint="eastAsia" w:ascii="宋体" w:hAnsi="宋体"/>
        </w:rPr>
        <w:t>实时计算</w:t>
      </w:r>
    </w:p>
    <w:p w14:paraId="35A59828">
      <w:pPr>
        <w:ind w:firstLine="480"/>
      </w:pPr>
      <w:r>
        <w:rPr>
          <w:rFonts w:hint="eastAsia"/>
        </w:rPr>
        <w:t>提供通用流处理引擎、实时计算框架Flink。</w:t>
      </w:r>
    </w:p>
    <w:p w14:paraId="2CCAF519">
      <w:pPr>
        <w:pStyle w:val="9"/>
        <w:rPr>
          <w:rFonts w:hint="eastAsia" w:ascii="宋体" w:hAnsi="宋体"/>
        </w:rPr>
      </w:pPr>
      <w:r>
        <w:rPr>
          <w:rFonts w:hint="eastAsia" w:ascii="宋体" w:hAnsi="宋体"/>
        </w:rPr>
        <w:t>离线分析</w:t>
      </w:r>
    </w:p>
    <w:p w14:paraId="01298D43">
      <w:pPr>
        <w:ind w:firstLine="480"/>
      </w:pPr>
      <w:r>
        <w:rPr>
          <w:rFonts w:hint="eastAsia"/>
        </w:rPr>
        <w:t>提供内存计算框架Spark。</w:t>
      </w:r>
    </w:p>
    <w:p w14:paraId="321CFA43">
      <w:pPr>
        <w:pStyle w:val="9"/>
        <w:rPr>
          <w:rFonts w:hint="eastAsia" w:ascii="宋体" w:hAnsi="宋体"/>
        </w:rPr>
      </w:pPr>
      <w:r>
        <w:rPr>
          <w:rFonts w:hint="eastAsia" w:ascii="宋体" w:hAnsi="宋体"/>
        </w:rPr>
        <w:t>交互式分析</w:t>
      </w:r>
    </w:p>
    <w:p w14:paraId="1CB9BBA7">
      <w:pPr>
        <w:ind w:firstLine="480"/>
      </w:pPr>
      <w:r>
        <w:rPr>
          <w:rFonts w:hint="eastAsia"/>
        </w:rPr>
        <w:t>提供实时搜索和分析引擎ElasticSearch。</w:t>
      </w:r>
    </w:p>
    <w:p w14:paraId="1C60B672">
      <w:pPr>
        <w:pStyle w:val="9"/>
        <w:rPr>
          <w:rFonts w:hint="eastAsia" w:ascii="宋体" w:hAnsi="宋体"/>
        </w:rPr>
      </w:pPr>
      <w:r>
        <w:rPr>
          <w:rFonts w:hint="eastAsia" w:ascii="宋体" w:hAnsi="宋体"/>
        </w:rPr>
        <w:t>元数据管理</w:t>
      </w:r>
    </w:p>
    <w:p w14:paraId="4543FB28">
      <w:pPr>
        <w:ind w:firstLine="480"/>
      </w:pPr>
      <w:r>
        <w:rPr>
          <w:rFonts w:hint="eastAsia"/>
        </w:rPr>
        <w:t>提供元数据中心服务，支持Atlas元数据管。</w:t>
      </w:r>
    </w:p>
    <w:p w14:paraId="5C071784">
      <w:pPr>
        <w:pStyle w:val="9"/>
        <w:rPr>
          <w:rFonts w:hint="eastAsia" w:ascii="宋体" w:hAnsi="宋体"/>
        </w:rPr>
      </w:pPr>
      <w:r>
        <w:rPr>
          <w:rFonts w:hint="eastAsia" w:ascii="宋体" w:hAnsi="宋体"/>
        </w:rPr>
        <w:t>统一SQL分析引擎</w:t>
      </w:r>
    </w:p>
    <w:p w14:paraId="171E0D5B">
      <w:pPr>
        <w:ind w:firstLine="480"/>
      </w:pPr>
      <w:r>
        <w:rPr>
          <w:rFonts w:hint="eastAsia"/>
        </w:rPr>
        <w:t>支持多种计算引擎，支持JDBC、Spark计算引擎、原生不支持SQL的引擎(ElasticSearch、Cassandra)；</w:t>
      </w:r>
    </w:p>
    <w:p w14:paraId="76F30CD5">
      <w:pPr>
        <w:ind w:firstLine="480"/>
      </w:pPr>
      <w:r>
        <w:rPr>
          <w:rFonts w:hint="eastAsia"/>
        </w:rPr>
        <w:t>支持多种数据源，支持Cassandra、ElasticSearch、PostgreSQL、Greenplum等数据源；</w:t>
      </w:r>
    </w:p>
    <w:p w14:paraId="65405118">
      <w:pPr>
        <w:ind w:firstLine="480"/>
      </w:pPr>
      <w:r>
        <w:rPr>
          <w:rFonts w:hint="eastAsia"/>
        </w:rPr>
        <w:t>支持多种分析场景，支持交互式分析、即席查询、统计分析、全文检索等各种数据分析场景；</w:t>
      </w:r>
    </w:p>
    <w:p w14:paraId="6F740086">
      <w:pPr>
        <w:ind w:firstLine="480"/>
      </w:pPr>
      <w:r>
        <w:rPr>
          <w:rFonts w:hint="eastAsia"/>
        </w:rPr>
        <w:t>支持数据安全，支持表级别、字段级别的安全控制，支持列脱敏处理，支持行过滤控制。</w:t>
      </w:r>
    </w:p>
    <w:p w14:paraId="504509B8">
      <w:pPr>
        <w:pStyle w:val="9"/>
        <w:rPr>
          <w:rFonts w:hint="eastAsia" w:ascii="宋体" w:hAnsi="宋体"/>
        </w:rPr>
      </w:pPr>
      <w:r>
        <w:rPr>
          <w:rFonts w:hint="eastAsia" w:ascii="宋体" w:hAnsi="宋体"/>
        </w:rPr>
        <w:t>通用流处理引擎</w:t>
      </w:r>
    </w:p>
    <w:p w14:paraId="0392A732">
      <w:pPr>
        <w:ind w:firstLine="480"/>
      </w:pPr>
      <w:r>
        <w:rPr>
          <w:rFonts w:hint="eastAsia"/>
        </w:rPr>
        <w:t>支持脚本管理，支持自定义创建和管理脚本目录；支持通过SQL、画布、JAR包方式快速编写和提交流计算应用；</w:t>
      </w:r>
    </w:p>
    <w:p w14:paraId="2C24EA5A">
      <w:pPr>
        <w:ind w:firstLine="480"/>
      </w:pPr>
      <w:r>
        <w:rPr>
          <w:rFonts w:hint="eastAsia"/>
        </w:rPr>
        <w:t>支持应用管理，支持流应用状态展示及管理；支持流应用作业详情页面查看；支持在线编辑应用；支持流应用的暂停、恢复和删除控制；</w:t>
      </w:r>
    </w:p>
    <w:p w14:paraId="1F3F5996">
      <w:pPr>
        <w:ind w:firstLine="480"/>
      </w:pPr>
      <w:r>
        <w:rPr>
          <w:rFonts w:hint="eastAsia"/>
        </w:rPr>
        <w:t>支持在线调试，支持SQL语法在线检查；支持SQL在线调试；支持对应用并行度和TaskManager数量等计算资源配置；</w:t>
      </w:r>
    </w:p>
    <w:p w14:paraId="5C5C8FA1">
      <w:pPr>
        <w:ind w:firstLine="480"/>
      </w:pPr>
      <w:r>
        <w:rPr>
          <w:rFonts w:hint="eastAsia"/>
        </w:rPr>
        <w:t>支持日志查询，支持流应用的在线监控；支持日志查询；</w:t>
      </w:r>
    </w:p>
    <w:p w14:paraId="65FEFFE8">
      <w:pPr>
        <w:ind w:firstLine="480"/>
      </w:pPr>
      <w:r>
        <w:rPr>
          <w:rFonts w:hint="eastAsia"/>
        </w:rPr>
        <w:t>支持资源管理，支持配置文件和依赖库管理；支持用户自定义Connector（Source和Sink）；支持用户自定义UDX（包括 UDF、UDTF 和 UDAF）。</w:t>
      </w:r>
    </w:p>
    <w:p w14:paraId="02AC611E">
      <w:pPr>
        <w:pStyle w:val="9"/>
        <w:rPr>
          <w:rFonts w:hint="eastAsia" w:ascii="宋体" w:hAnsi="宋体"/>
        </w:rPr>
      </w:pPr>
      <w:r>
        <w:rPr>
          <w:rFonts w:hint="eastAsia" w:ascii="宋体" w:hAnsi="宋体"/>
        </w:rPr>
        <w:t>平台管理</w:t>
      </w:r>
    </w:p>
    <w:p w14:paraId="2A167CB7">
      <w:pPr>
        <w:ind w:firstLine="480"/>
      </w:pPr>
      <w:r>
        <w:rPr>
          <w:rFonts w:hint="eastAsia"/>
        </w:rPr>
        <w:t>支持集群部署，提供图形化安装部署，支持大数据组件的向导式安装部署、自动化配置，支持用户根据界面指引一步一步完成集群部署；</w:t>
      </w:r>
    </w:p>
    <w:p w14:paraId="3BBB3088">
      <w:pPr>
        <w:ind w:firstLine="480"/>
      </w:pPr>
      <w:r>
        <w:rPr>
          <w:rFonts w:hint="eastAsia"/>
        </w:rPr>
        <w:t>支持节点管理，提供大数据集群的概况管理，包括节点健康状况、资源使用率、服务实例状态；支持集群的在线扩容、减容、重启等服务；</w:t>
      </w:r>
    </w:p>
    <w:p w14:paraId="174196CB">
      <w:pPr>
        <w:ind w:firstLine="480"/>
      </w:pPr>
      <w:r>
        <w:rPr>
          <w:rFonts w:hint="eastAsia"/>
        </w:rPr>
        <w:t>支持服务管理，支持组件服务详情展示，包括服务类型、服务版本、角色实例、运行状态；支持组件服务的启/停、卸载操作。支持新服务添加部署和在线升级；</w:t>
      </w:r>
    </w:p>
    <w:p w14:paraId="4A42A4DD">
      <w:pPr>
        <w:ind w:firstLine="480"/>
      </w:pPr>
      <w:r>
        <w:rPr>
          <w:rFonts w:hint="eastAsia"/>
        </w:rPr>
        <w:t>支持告警信息，支持实时告警、历史告警、告警级别，支持自定义告警统计周期及告警刷新频率；</w:t>
      </w:r>
    </w:p>
    <w:p w14:paraId="79BB982F">
      <w:pPr>
        <w:ind w:firstLine="480"/>
      </w:pPr>
      <w:r>
        <w:rPr>
          <w:rFonts w:hint="eastAsia"/>
        </w:rPr>
        <w:t>支持精细化监控，支持仪表盘展示集群精细化监控指标，包括所有组件服务的健康状况以及各类硬件资源负载情况；支持查看组件详细监控信息，包括组件的健康状况、特征指标、资源负载等；支持查看磁盘和网络专题监控信息；</w:t>
      </w:r>
    </w:p>
    <w:p w14:paraId="2CCA447A">
      <w:pPr>
        <w:ind w:firstLine="480"/>
      </w:pPr>
      <w:r>
        <w:rPr>
          <w:rFonts w:hint="eastAsia"/>
        </w:rPr>
        <w:t>支持用户管理，支持系统管理员添加、删除用户、搜索用户、修改密码；</w:t>
      </w:r>
    </w:p>
    <w:p w14:paraId="66B1CA78">
      <w:pPr>
        <w:ind w:firstLine="480"/>
      </w:pPr>
      <w:r>
        <w:rPr>
          <w:rFonts w:hint="eastAsia"/>
        </w:rPr>
        <w:t>支持操作审计，支持对操作记录进行筛选搜索。</w:t>
      </w:r>
    </w:p>
    <w:p w14:paraId="4DB148BE">
      <w:pPr>
        <w:pStyle w:val="9"/>
        <w:rPr>
          <w:rFonts w:hint="eastAsia" w:ascii="宋体" w:hAnsi="宋体"/>
        </w:rPr>
      </w:pPr>
      <w:r>
        <w:rPr>
          <w:rFonts w:hint="eastAsia" w:ascii="宋体" w:hAnsi="宋体"/>
        </w:rPr>
        <w:t>集群高可用</w:t>
      </w:r>
    </w:p>
    <w:p w14:paraId="25407120">
      <w:pPr>
        <w:ind w:firstLine="480"/>
      </w:pPr>
      <w:r>
        <w:rPr>
          <w:rFonts w:hint="eastAsia"/>
        </w:rPr>
        <w:t>支持高可用，存储组件高可用，Zookeeper、Kafka等组件实现HA部署，保证系统高可用。</w:t>
      </w:r>
    </w:p>
    <w:p w14:paraId="344092C5">
      <w:pPr>
        <w:pStyle w:val="6"/>
      </w:pPr>
      <w:r>
        <w:rPr>
          <w:rFonts w:hint="eastAsia"/>
        </w:rPr>
        <w:t>感知数据服务软件</w:t>
      </w:r>
    </w:p>
    <w:p w14:paraId="2C4B679C">
      <w:pPr>
        <w:pStyle w:val="9"/>
        <w:rPr>
          <w:rFonts w:hint="eastAsia" w:ascii="宋体" w:hAnsi="宋体"/>
        </w:rPr>
      </w:pPr>
      <w:r>
        <w:rPr>
          <w:rFonts w:hint="eastAsia" w:ascii="宋体" w:hAnsi="宋体"/>
        </w:rPr>
        <w:t>数据总览</w:t>
      </w:r>
    </w:p>
    <w:p w14:paraId="63D28F8E">
      <w:pPr>
        <w:ind w:firstLine="480"/>
      </w:pPr>
      <w:r>
        <w:rPr>
          <w:rFonts w:hint="eastAsia"/>
        </w:rPr>
        <w:t>人员名单，名单库统计，支持库数目统计（库总数、行业同步名单库、自建名单库），库数据量统计（库总数、行业同步名单库、自建名单库）、分库统计（行业同步名单库、自建名单库对应的名单库按日期折线图展示），对非陌生人名单库还需要展示数据建模统计及证件类型统计；</w:t>
      </w:r>
    </w:p>
    <w:p w14:paraId="1FDA2A28">
      <w:pPr>
        <w:ind w:firstLine="480"/>
      </w:pPr>
      <w:r>
        <w:rPr>
          <w:rFonts w:hint="eastAsia"/>
        </w:rPr>
        <w:t>人员名单，名单同步任务监控，支持行业同步名单库、自建名单库对应的kafka消费任务监控、已消费数据增量统计（正常消费量、重复消费量、异常数据量、丢弃数据量的按日期的折线图）、已消费数据详情统计（正常消费量、重复消费量、异常数据量、丢弃数据量的饼状图）、已消费数据建模统计、异常数据详情列表（支持数据来源、检测时间、异常原因查询）；</w:t>
      </w:r>
    </w:p>
    <w:p w14:paraId="0F9005C5">
      <w:pPr>
        <w:ind w:firstLine="480"/>
      </w:pPr>
      <w:r>
        <w:rPr>
          <w:rFonts w:hint="eastAsia"/>
        </w:rPr>
        <w:t>人员名单，名单入库结果统计，支持人员合并任务监控新增统计（按日期折线图），人员标签统计（有标签人员、无标签人员饼状图统计）、人员各类标签数据展示；</w:t>
      </w:r>
    </w:p>
    <w:p w14:paraId="233A03C0">
      <w:pPr>
        <w:ind w:firstLine="480"/>
      </w:pPr>
      <w:r>
        <w:rPr>
          <w:rFonts w:hint="eastAsia"/>
        </w:rPr>
        <w:t>车辆档案，数据接入任务监控，支持对对应的kafka消费任务监控，支持展示原始车辆抓拍、策略过滤后抓拍数、实际建档数的数据总量及今日增量的展示、对接入数据（原始车辆抓拍数、策略过滤后抓拍数、实际建档数按日期折线图）、支持策略过滤统计按柱状图展示、支持过滤详情列表及建档过滤详情列表展示；</w:t>
      </w:r>
    </w:p>
    <w:p w14:paraId="03AEA489">
      <w:pPr>
        <w:ind w:firstLine="480"/>
      </w:pPr>
      <w:r>
        <w:rPr>
          <w:rFonts w:hint="eastAsia"/>
        </w:rPr>
        <w:t>车辆档案、离线数据检测统计，支持展示疑似错误档案、档案属性错误删除、档案生命周期更新的数据总量及今日增量的展示、支持数据增量统计（疑似错误档案、档案属性错误删除、档案生命周期更新按日期展示折线图）、支持展示疑似错误档案、档案属性错误删除、档案生命周期更新列表展示；</w:t>
      </w:r>
    </w:p>
    <w:p w14:paraId="5DEACFB1">
      <w:pPr>
        <w:ind w:firstLine="480"/>
      </w:pPr>
      <w:r>
        <w:rPr>
          <w:rFonts w:hint="eastAsia"/>
        </w:rPr>
        <w:t>车辆档案，名单入库结果统计，支持车辆颜色按饼状图展示、支持车辆标签按有标签车辆无标签车辆饼状图展示、支持车辆品牌top10，按柱状图展示、支持车辆各类标签数据展示、支持车辆类型按柱状图展示。</w:t>
      </w:r>
    </w:p>
    <w:p w14:paraId="142EB4C9">
      <w:pPr>
        <w:pStyle w:val="9"/>
        <w:rPr>
          <w:rFonts w:hint="eastAsia" w:ascii="宋体" w:hAnsi="宋体"/>
        </w:rPr>
      </w:pPr>
      <w:r>
        <w:rPr>
          <w:rFonts w:hint="eastAsia" w:ascii="宋体" w:hAnsi="宋体"/>
        </w:rPr>
        <w:t>名单管理</w:t>
      </w:r>
    </w:p>
    <w:p w14:paraId="5EDA43AE">
      <w:pPr>
        <w:ind w:firstLine="480"/>
      </w:pPr>
      <w:r>
        <w:rPr>
          <w:rFonts w:hint="eastAsia"/>
        </w:rPr>
        <w:t>支持新建、修改、删除名单库分类，支持新建和修改名单库时设置名单库的标签；</w:t>
      </w:r>
    </w:p>
    <w:p w14:paraId="7663610B">
      <w:pPr>
        <w:ind w:firstLine="480"/>
      </w:pPr>
      <w:r>
        <w:rPr>
          <w:rFonts w:hint="eastAsia"/>
        </w:rPr>
        <w:t>支持批量删除、批量添加标签；支持批量修改名单库分组；</w:t>
      </w:r>
    </w:p>
    <w:p w14:paraId="5D8EE658">
      <w:pPr>
        <w:ind w:firstLine="480"/>
      </w:pPr>
      <w:r>
        <w:rPr>
          <w:rFonts w:hint="eastAsia"/>
        </w:rPr>
        <w:t>支持新建、修改、删除名单库，支持按照库名、库编码、更新时间和人脸建模状态查询名单库，查询结果包括库名、库编码、建模成功数、未建模数、总数和标签；</w:t>
      </w:r>
    </w:p>
    <w:p w14:paraId="4E27A7D8">
      <w:pPr>
        <w:ind w:firstLine="480"/>
      </w:pPr>
      <w:r>
        <w:rPr>
          <w:rFonts w:hint="eastAsia"/>
        </w:rPr>
        <w:t>支持在名单库详情模块添加名单，针对自主添加的名单支持修改和删除，外部同步的名单不可修改和删除；</w:t>
      </w:r>
    </w:p>
    <w:p w14:paraId="625ED632">
      <w:pPr>
        <w:ind w:firstLine="480"/>
      </w:pPr>
      <w:r>
        <w:rPr>
          <w:rFonts w:hint="eastAsia"/>
        </w:rPr>
        <w:t>支持展示对应的标签库信息，支持按标签名称、标签用途（手打标签、机打标签）、标签类型（人员、车辆、群体）。</w:t>
      </w:r>
    </w:p>
    <w:p w14:paraId="6B4C1600">
      <w:pPr>
        <w:pStyle w:val="9"/>
        <w:rPr>
          <w:rFonts w:hint="eastAsia" w:ascii="宋体" w:hAnsi="宋体"/>
        </w:rPr>
      </w:pPr>
      <w:r>
        <w:rPr>
          <w:rFonts w:hint="eastAsia" w:ascii="宋体" w:hAnsi="宋体"/>
        </w:rPr>
        <w:t>任务控制</w:t>
      </w:r>
    </w:p>
    <w:p w14:paraId="60F4F609">
      <w:pPr>
        <w:ind w:firstLine="480"/>
      </w:pPr>
      <w:r>
        <w:rPr>
          <w:rFonts w:hint="eastAsia"/>
        </w:rPr>
        <w:t>支持展示kafka消费任务的状态，支持按关键词及任务状态查询任务、支持启动或停止kafka消费任务。</w:t>
      </w:r>
    </w:p>
    <w:p w14:paraId="308F90CF">
      <w:pPr>
        <w:pStyle w:val="9"/>
        <w:rPr>
          <w:rFonts w:hint="eastAsia" w:ascii="宋体" w:hAnsi="宋体"/>
        </w:rPr>
      </w:pPr>
      <w:r>
        <w:rPr>
          <w:rFonts w:hint="eastAsia" w:ascii="宋体" w:hAnsi="宋体"/>
        </w:rPr>
        <w:t>感知数据基础服务</w:t>
      </w:r>
    </w:p>
    <w:p w14:paraId="0EB3315D">
      <w:pPr>
        <w:ind w:firstLine="480"/>
      </w:pPr>
      <w:r>
        <w:rPr>
          <w:rFonts w:hint="eastAsia"/>
        </w:rPr>
        <w:t>支持日增300万数据接入，存储总量最多可支持10亿条。存储周期默认1年；</w:t>
      </w:r>
    </w:p>
    <w:p w14:paraId="0B79804D">
      <w:pPr>
        <w:ind w:firstLine="480"/>
      </w:pPr>
      <w:r>
        <w:rPr>
          <w:rFonts w:hint="eastAsia"/>
        </w:rPr>
        <w:t>支持统一建表服务，支持人像、车辆等抓拍记录、计算结果等数据表统一创建；</w:t>
      </w:r>
    </w:p>
    <w:p w14:paraId="4F3BB056">
      <w:pPr>
        <w:ind w:firstLine="480"/>
      </w:pPr>
      <w:r>
        <w:rPr>
          <w:rFonts w:hint="eastAsia"/>
        </w:rPr>
        <w:t>支持数据生命周期管理功能，支持用户自定义车辆、人像等数据的存储周期，自动按照配置信息保留指定时间范围内的数据；</w:t>
      </w:r>
    </w:p>
    <w:p w14:paraId="3FE8AD15">
      <w:pPr>
        <w:ind w:firstLine="480"/>
      </w:pPr>
      <w:r>
        <w:rPr>
          <w:rFonts w:hint="eastAsia"/>
        </w:rPr>
        <w:t>支持数据分级存储，高频使用数据、全文检索需求的感知数据存储在SSD，低频使用数据存储在SATA；</w:t>
      </w:r>
    </w:p>
    <w:p w14:paraId="5C44D04D">
      <w:pPr>
        <w:ind w:firstLine="480"/>
      </w:pPr>
      <w:r>
        <w:rPr>
          <w:rFonts w:hint="eastAsia"/>
        </w:rPr>
        <w:t>支持多个专用于感知数据接入和治理的插件，包括感知数据处理插件、感知数据解析插件、时间过滤插件、数据选择输出插件、关联合并插件、人证模型更新插件；</w:t>
      </w:r>
    </w:p>
    <w:p w14:paraId="56F7F35C">
      <w:pPr>
        <w:ind w:firstLine="480"/>
      </w:pPr>
      <w:r>
        <w:rPr>
          <w:rFonts w:hint="eastAsia"/>
        </w:rPr>
        <w:t>对上层应用提供统一的API查询接口服务，支持通过RowKey查询、通用SQL查询等方式支持人像、车辆、MAC、电围等抓拍记录的精确查询、模糊查询、关联查询；</w:t>
      </w:r>
    </w:p>
    <w:p w14:paraId="01400504">
      <w:pPr>
        <w:ind w:firstLine="480"/>
      </w:pPr>
      <w:r>
        <w:rPr>
          <w:rFonts w:hint="eastAsia"/>
        </w:rPr>
        <w:t>对上层应用提供统一的API统计接口服务，支持人像、车辆等抓拍记录按时间、按点位统计数据量；</w:t>
      </w:r>
    </w:p>
    <w:p w14:paraId="100D0FD8">
      <w:pPr>
        <w:ind w:firstLine="480"/>
      </w:pPr>
      <w:r>
        <w:rPr>
          <w:rFonts w:hint="eastAsia"/>
        </w:rPr>
        <w:t>对上层应用提供统一的碰撞结果查询接口服务，支持人人同行、人人同乘、人人跟随、车车同行等碰撞结果查询；</w:t>
      </w:r>
    </w:p>
    <w:p w14:paraId="60259D72">
      <w:pPr>
        <w:ind w:firstLine="480"/>
      </w:pPr>
      <w:r>
        <w:rPr>
          <w:rFonts w:hint="eastAsia"/>
        </w:rPr>
        <w:t>对上层应用提供统一的伴随分析接口服务，支持人人伴随、车车伴随接口服务；</w:t>
      </w:r>
    </w:p>
    <w:p w14:paraId="1E160ACD">
      <w:pPr>
        <w:ind w:firstLine="480"/>
      </w:pPr>
      <w:r>
        <w:rPr>
          <w:rFonts w:hint="eastAsia"/>
        </w:rPr>
        <w:t>对上层应用提供统一的属性关系/地点查询接口服务；</w:t>
      </w:r>
    </w:p>
    <w:p w14:paraId="4EA91750">
      <w:pPr>
        <w:ind w:firstLine="480"/>
      </w:pPr>
      <w:r>
        <w:rPr>
          <w:rFonts w:hint="eastAsia"/>
        </w:rPr>
        <w:t>对上层应用提供统一的活跃时段查询接口服务；</w:t>
      </w:r>
    </w:p>
    <w:p w14:paraId="47F044C9">
      <w:pPr>
        <w:ind w:firstLine="480"/>
      </w:pPr>
      <w:r>
        <w:rPr>
          <w:rFonts w:hint="eastAsia"/>
        </w:rPr>
        <w:t>对上层应用提供统一的天统计查询接口服务；</w:t>
      </w:r>
    </w:p>
    <w:p w14:paraId="678B9BFF">
      <w:pPr>
        <w:ind w:firstLine="480"/>
      </w:pPr>
      <w:r>
        <w:rPr>
          <w:rFonts w:hint="eastAsia"/>
        </w:rPr>
        <w:t>对上层应用提供统一的活跃点位查询接口服务；</w:t>
      </w:r>
    </w:p>
    <w:p w14:paraId="71EC82B0">
      <w:pPr>
        <w:ind w:firstLine="480"/>
      </w:pPr>
      <w:r>
        <w:rPr>
          <w:rFonts w:hint="eastAsia"/>
        </w:rPr>
        <w:t>对上层应用提供统一的落脚点查询接口服务。</w:t>
      </w:r>
    </w:p>
    <w:p w14:paraId="195EA036">
      <w:pPr>
        <w:pStyle w:val="9"/>
        <w:rPr>
          <w:rFonts w:hint="eastAsia" w:ascii="宋体" w:hAnsi="宋体"/>
        </w:rPr>
      </w:pPr>
      <w:r>
        <w:rPr>
          <w:rFonts w:hint="eastAsia" w:ascii="宋体" w:hAnsi="宋体"/>
        </w:rPr>
        <w:t>车辆数据接入</w:t>
      </w:r>
    </w:p>
    <w:p w14:paraId="5E34FE46">
      <w:pPr>
        <w:ind w:firstLine="480"/>
      </w:pPr>
      <w:r>
        <w:rPr>
          <w:rFonts w:hint="eastAsia"/>
        </w:rPr>
        <w:t>支持车辆抓拍数据接入和处理服务，包括一转多、过车数据解析、过车数据处理、时间范围过滤等功能；</w:t>
      </w:r>
    </w:p>
    <w:p w14:paraId="320BA849">
      <w:pPr>
        <w:ind w:firstLine="480"/>
      </w:pPr>
      <w:r>
        <w:rPr>
          <w:rFonts w:hint="eastAsia"/>
        </w:rPr>
        <w:t>支持离线视频车辆数据接入和处理服务，包括一转多、过车数据解析、过车数据处理、时间范围过滤等功能；</w:t>
      </w:r>
    </w:p>
    <w:p w14:paraId="0443BEBB">
      <w:pPr>
        <w:ind w:firstLine="480"/>
      </w:pPr>
      <w:r>
        <w:rPr>
          <w:rFonts w:hint="eastAsia"/>
        </w:rPr>
        <w:t>支持车辆违法数据接入和处理服务，包括车辆违法数据解析、车辆违法数据处理、时间范围过滤等功能；</w:t>
      </w:r>
    </w:p>
    <w:p w14:paraId="35F8C6FA">
      <w:pPr>
        <w:ind w:firstLine="480"/>
      </w:pPr>
      <w:r>
        <w:rPr>
          <w:rFonts w:hint="eastAsia"/>
        </w:rPr>
        <w:t>支持区间测速数据接入和处理服务，包括一对多数据转换、区间测速数据解析、区间测速数据处理、时间范围过滤等功能；</w:t>
      </w:r>
    </w:p>
    <w:p w14:paraId="23F643C2">
      <w:pPr>
        <w:ind w:firstLine="480"/>
      </w:pPr>
      <w:r>
        <w:rPr>
          <w:rFonts w:hint="eastAsia"/>
        </w:rPr>
        <w:t>支持过车RFID数据接入和处理服务。</w:t>
      </w:r>
    </w:p>
    <w:p w14:paraId="39922246">
      <w:pPr>
        <w:pStyle w:val="9"/>
        <w:rPr>
          <w:rFonts w:hint="eastAsia" w:ascii="宋体" w:hAnsi="宋体"/>
        </w:rPr>
      </w:pPr>
      <w:r>
        <w:rPr>
          <w:rFonts w:hint="eastAsia" w:ascii="宋体" w:hAnsi="宋体"/>
        </w:rPr>
        <w:t>车辆数据接入任务管理</w:t>
      </w:r>
    </w:p>
    <w:p w14:paraId="3639A522">
      <w:pPr>
        <w:ind w:firstLine="480"/>
      </w:pPr>
      <w:r>
        <w:rPr>
          <w:rFonts w:hint="eastAsia"/>
        </w:rPr>
        <w:t>支持按节点查看每个车辆数据接入任务节点的信息，根据不同节点类型，展示不同节点的参数和运行状况，包括数据量报表、执行日志、性能日志、样例数据和执行记录；</w:t>
      </w:r>
    </w:p>
    <w:p w14:paraId="5C80CAB0">
      <w:pPr>
        <w:ind w:firstLine="480"/>
      </w:pPr>
      <w:r>
        <w:rPr>
          <w:rFonts w:hint="eastAsia"/>
        </w:rPr>
        <w:t>支持设置每个车辆数据接入任务的重试开关是否开启、重试次数上报阈值、重试间隔、单批重试次数、复制线程数等属性；</w:t>
      </w:r>
    </w:p>
    <w:p w14:paraId="53ECAAC3">
      <w:pPr>
        <w:ind w:firstLine="480"/>
      </w:pPr>
      <w:r>
        <w:rPr>
          <w:rFonts w:hint="eastAsia"/>
        </w:rPr>
        <w:t>支持设置每个车辆数据接入任务的增量激活状态、执行类型、周期配置（执行周期、排除周期、时间间隔）等运行策略配置；</w:t>
      </w:r>
    </w:p>
    <w:p w14:paraId="395FD91A">
      <w:pPr>
        <w:ind w:firstLine="480"/>
      </w:pPr>
      <w:r>
        <w:rPr>
          <w:rFonts w:hint="eastAsia"/>
        </w:rPr>
        <w:t>支持查看每个车辆数据接入任务的输入数据量、输出数据量、异常数据量统计；支持按时、日、周、月查看每个人像数据接入任务输入、输出、异常数据量趋势；</w:t>
      </w:r>
    </w:p>
    <w:p w14:paraId="2D188141">
      <w:pPr>
        <w:ind w:firstLine="480"/>
      </w:pPr>
      <w:r>
        <w:rPr>
          <w:rFonts w:hint="eastAsia"/>
        </w:rPr>
        <w:t>支持查看每个车辆数据接入任务的任务运行记录，包括开始时间、结束时间、输入数据量、输出数据量、异常数据量，并可下载日志。</w:t>
      </w:r>
    </w:p>
    <w:p w14:paraId="2023670B">
      <w:pPr>
        <w:pStyle w:val="9"/>
        <w:rPr>
          <w:rFonts w:hint="eastAsia" w:ascii="宋体" w:hAnsi="宋体"/>
        </w:rPr>
      </w:pPr>
      <w:r>
        <w:rPr>
          <w:rFonts w:hint="eastAsia" w:ascii="宋体" w:hAnsi="宋体"/>
        </w:rPr>
        <w:t>车辆应用服务接口</w:t>
      </w:r>
    </w:p>
    <w:p w14:paraId="0934CEF7">
      <w:pPr>
        <w:ind w:firstLine="480"/>
      </w:pPr>
      <w:r>
        <w:rPr>
          <w:rFonts w:hint="eastAsia"/>
        </w:rPr>
        <w:t>支持修改过车数据，修改卡口数据，修改过车记录的服务接口；</w:t>
      </w:r>
    </w:p>
    <w:p w14:paraId="49F49586">
      <w:pPr>
        <w:ind w:firstLine="480"/>
      </w:pPr>
      <w:r>
        <w:rPr>
          <w:rFonts w:hint="eastAsia"/>
        </w:rPr>
        <w:t>支持查询卡口数据和指定车辆过车记录的服务接口；</w:t>
      </w:r>
    </w:p>
    <w:p w14:paraId="47190D92">
      <w:pPr>
        <w:ind w:firstLine="480"/>
      </w:pPr>
      <w:r>
        <w:rPr>
          <w:rFonts w:hint="eastAsia"/>
        </w:rPr>
        <w:t>支持按卡口或车牌两种分组类型，查询对应卡口或车牌的分页过车记录的服务接口；</w:t>
      </w:r>
    </w:p>
    <w:p w14:paraId="272A765A">
      <w:pPr>
        <w:ind w:firstLine="480"/>
      </w:pPr>
      <w:r>
        <w:rPr>
          <w:rFonts w:hint="eastAsia"/>
        </w:rPr>
        <w:t>支持根据选择的维度（卡口，车辆类型、车辆归属）和报表类型统计查询各个时间段（日、周、月、年）的过车数量的服务接口；</w:t>
      </w:r>
    </w:p>
    <w:p w14:paraId="230B2C25">
      <w:pPr>
        <w:ind w:firstLine="480"/>
      </w:pPr>
      <w:r>
        <w:rPr>
          <w:rFonts w:hint="eastAsia"/>
        </w:rPr>
        <w:t>支持查询车辆档案(七天)活跃统计，近七天活跃的车辆档案数的服务接口；</w:t>
      </w:r>
    </w:p>
    <w:p w14:paraId="7EA94BEC">
      <w:pPr>
        <w:ind w:firstLine="480"/>
      </w:pPr>
      <w:r>
        <w:rPr>
          <w:rFonts w:hint="eastAsia"/>
        </w:rPr>
        <w:t>支持查询车辆的驾乘人员情况统计的服务接口；</w:t>
      </w:r>
    </w:p>
    <w:p w14:paraId="3FD29DB0">
      <w:pPr>
        <w:ind w:firstLine="480"/>
      </w:pPr>
      <w:r>
        <w:rPr>
          <w:rFonts w:hint="eastAsia"/>
        </w:rPr>
        <w:t>支持查询车辆的驾乘人员情况详情的服务接口；</w:t>
      </w:r>
    </w:p>
    <w:p w14:paraId="0DF833A5">
      <w:pPr>
        <w:ind w:firstLine="480"/>
      </w:pPr>
      <w:r>
        <w:rPr>
          <w:rFonts w:hint="eastAsia"/>
        </w:rPr>
        <w:t>支持查询车辆抓拍数据的信息的服务接口。</w:t>
      </w:r>
    </w:p>
    <w:p w14:paraId="05E1F818">
      <w:pPr>
        <w:pStyle w:val="6"/>
      </w:pPr>
      <w:r>
        <w:rPr>
          <w:rFonts w:hint="eastAsia"/>
        </w:rPr>
        <w:t>算法引擎软件</w:t>
      </w:r>
    </w:p>
    <w:p w14:paraId="48F75835">
      <w:pPr>
        <w:ind w:firstLine="480"/>
      </w:pPr>
      <w:r>
        <w:rPr>
          <w:rFonts w:hint="eastAsia"/>
        </w:rPr>
        <w:t>提供比对库和预分类库的授权能力，支持车辆模型1V1比对，输出两车相似度。</w:t>
      </w:r>
    </w:p>
    <w:p w14:paraId="53FFB887">
      <w:pPr>
        <w:pStyle w:val="6"/>
      </w:pPr>
      <w:r>
        <w:rPr>
          <w:rFonts w:hint="eastAsia"/>
        </w:rPr>
        <w:t>数据对接软件</w:t>
      </w:r>
    </w:p>
    <w:p w14:paraId="1456F3A1">
      <w:pPr>
        <w:pStyle w:val="9"/>
        <w:rPr>
          <w:rFonts w:hint="eastAsia" w:ascii="宋体" w:hAnsi="宋体"/>
        </w:rPr>
      </w:pPr>
      <w:r>
        <w:rPr>
          <w:rFonts w:hint="eastAsia" w:ascii="宋体" w:hAnsi="宋体"/>
        </w:rPr>
        <w:t>门户</w:t>
      </w:r>
    </w:p>
    <w:p w14:paraId="66CD2022">
      <w:pPr>
        <w:ind w:firstLine="480"/>
      </w:pPr>
      <w:r>
        <w:rPr>
          <w:rFonts w:hint="eastAsia"/>
        </w:rPr>
        <w:t>系统支持用户名密码登录方式登录方式登录；</w:t>
      </w:r>
    </w:p>
    <w:p w14:paraId="66569E7A">
      <w:pPr>
        <w:ind w:firstLine="480"/>
      </w:pPr>
      <w:r>
        <w:rPr>
          <w:rFonts w:hint="eastAsia"/>
        </w:rPr>
        <w:t>支持配置登录前跳转地址，能满足产品中希望输入平台IP之后，需要展示自定义的登录页的场景；</w:t>
      </w:r>
    </w:p>
    <w:p w14:paraId="240A9E44">
      <w:pPr>
        <w:ind w:firstLine="480"/>
      </w:pPr>
      <w:r>
        <w:rPr>
          <w:rFonts w:hint="eastAsia"/>
        </w:rPr>
        <w:t>支持配置登录后跳转地址，能满足产品中登录后不跳转到门户首页，需要跳转到产品自定义的首页的场景；</w:t>
      </w:r>
    </w:p>
    <w:p w14:paraId="4666586A">
      <w:pPr>
        <w:ind w:firstLine="480"/>
      </w:pPr>
      <w:r>
        <w:rPr>
          <w:rFonts w:hint="eastAsia"/>
        </w:rPr>
        <w:t>支持用户点击门户内显示的应用菜单后，页面将以标签页方式嵌入显示在门户中，最多支持打开20个标签页；平台支持刷新当前标签页，同时支持快速关闭当前标签页左侧或右侧的所有应用，支持关闭除了当前应用外所有应用，支持关闭所有已打开的应用；</w:t>
      </w:r>
    </w:p>
    <w:p w14:paraId="5F5ABFCF">
      <w:pPr>
        <w:ind w:firstLine="480"/>
      </w:pPr>
      <w:r>
        <w:rPr>
          <w:rFonts w:hint="eastAsia"/>
        </w:rPr>
        <w:t>支持下载使用系统所需要的插件，包括平台播放器、上传工具、规则绘制工具、标注工具、截图工具、报警助手、登录助手、下载器、截图工具等；</w:t>
      </w:r>
    </w:p>
    <w:p w14:paraId="377D5838">
      <w:pPr>
        <w:ind w:firstLine="480"/>
      </w:pPr>
      <w:r>
        <w:rPr>
          <w:rFonts w:hint="eastAsia"/>
        </w:rPr>
        <w:t>客户端为最近所更新的PC平台应用系统。支持在下载中心下载客户端，实现不用登陆网页而在客户端上对监控进行实时控制；</w:t>
      </w:r>
    </w:p>
    <w:p w14:paraId="5EAE2506">
      <w:pPr>
        <w:ind w:firstLine="480"/>
      </w:pPr>
      <w:r>
        <w:rPr>
          <w:rFonts w:hint="eastAsia"/>
        </w:rPr>
        <w:t>支持修改当前用户密码；</w:t>
      </w:r>
    </w:p>
    <w:p w14:paraId="59CF385C">
      <w:pPr>
        <w:ind w:firstLine="480"/>
      </w:pPr>
      <w:r>
        <w:rPr>
          <w:rFonts w:hint="eastAsia"/>
        </w:rPr>
        <w:t>密码时间到期15天前在在门户首页提醒，提醒用户及时进行更新，点击修改密码弹出框；</w:t>
      </w:r>
    </w:p>
    <w:p w14:paraId="7DB211D0">
      <w:pPr>
        <w:ind w:firstLine="480"/>
      </w:pPr>
      <w:r>
        <w:rPr>
          <w:rFonts w:hint="eastAsia"/>
        </w:rPr>
        <w:t>开启该功能之后，支持将用户打开的标签缓存在浏览器端，刷新页面后或者重新登录将直接打开用户上次打开的菜单，反之，只显示首页标签；</w:t>
      </w:r>
    </w:p>
    <w:p w14:paraId="33624416">
      <w:pPr>
        <w:ind w:firstLine="480"/>
      </w:pPr>
      <w:r>
        <w:rPr>
          <w:rFonts w:hint="eastAsia"/>
        </w:rPr>
        <w:t>支持退出到登录页面；</w:t>
      </w:r>
    </w:p>
    <w:p w14:paraId="5BDACCA4">
      <w:pPr>
        <w:ind w:firstLine="480"/>
      </w:pPr>
      <w:r>
        <w:rPr>
          <w:rFonts w:hint="eastAsia"/>
        </w:rPr>
        <w:t>显示系统名称、版本、授权信息等信息；</w:t>
      </w:r>
    </w:p>
    <w:p w14:paraId="73E9A8CF">
      <w:pPr>
        <w:ind w:firstLine="480"/>
      </w:pPr>
      <w:r>
        <w:rPr>
          <w:rFonts w:hint="eastAsia"/>
        </w:rPr>
        <w:t>展示“首页”选项；展示已安装的应用的一级菜单和二级菜单；</w:t>
      </w:r>
    </w:p>
    <w:p w14:paraId="65FE095A">
      <w:pPr>
        <w:ind w:firstLine="480"/>
      </w:pPr>
      <w:r>
        <w:rPr>
          <w:rFonts w:hint="eastAsia"/>
        </w:rPr>
        <w:t>展示已发布的主题的名称，点击名称跳转到对应主题。</w:t>
      </w:r>
    </w:p>
    <w:p w14:paraId="5DB9C126">
      <w:pPr>
        <w:pStyle w:val="9"/>
        <w:rPr>
          <w:rFonts w:hint="eastAsia" w:ascii="宋体" w:hAnsi="宋体"/>
        </w:rPr>
      </w:pPr>
      <w:r>
        <w:rPr>
          <w:rFonts w:hint="eastAsia" w:ascii="宋体" w:hAnsi="宋体"/>
        </w:rPr>
        <w:t>仪表盘</w:t>
      </w:r>
    </w:p>
    <w:p w14:paraId="3A33A785">
      <w:pPr>
        <w:ind w:firstLine="480"/>
      </w:pPr>
      <w:r>
        <w:rPr>
          <w:rFonts w:hint="eastAsia"/>
        </w:rPr>
        <w:t>支持查看今日处理/处理总量的数据量条数统计，包括接入数据量、写入数据量和异常数据量。查看今日异常和总异常任务数，并支持链接到任务列表查看具体的异常任务。查看今日停止、空闲、繁忙和总的实例数量。查看未运行、运行中、已完成、异常等不同状态任务占比和输入、处理、输出插件占比。查看不同告警类型的告警次数。查看不同时间段的数据量变化趋势和实例的CPU、内存、运行任务等变化趋势。</w:t>
      </w:r>
    </w:p>
    <w:p w14:paraId="6AAE758D">
      <w:pPr>
        <w:pStyle w:val="9"/>
        <w:rPr>
          <w:rFonts w:hint="eastAsia" w:ascii="宋体" w:hAnsi="宋体"/>
        </w:rPr>
      </w:pPr>
      <w:r>
        <w:rPr>
          <w:rFonts w:hint="eastAsia" w:ascii="宋体" w:hAnsi="宋体"/>
        </w:rPr>
        <w:t>任务列表</w:t>
      </w:r>
    </w:p>
    <w:p w14:paraId="41E09311">
      <w:pPr>
        <w:ind w:firstLine="480"/>
      </w:pPr>
      <w:r>
        <w:rPr>
          <w:rFonts w:hint="eastAsia"/>
        </w:rPr>
        <w:t>支持任务分组的管理维护，可对任务组进行新增、编辑和删除的操作；</w:t>
      </w:r>
    </w:p>
    <w:p w14:paraId="5F76BBC8">
      <w:pPr>
        <w:ind w:firstLine="480"/>
      </w:pPr>
      <w:r>
        <w:rPr>
          <w:rFonts w:hint="eastAsia"/>
        </w:rPr>
        <w:t>支持对任务组按关键字进行搜索；</w:t>
      </w:r>
    </w:p>
    <w:p w14:paraId="690EC1DE">
      <w:pPr>
        <w:ind w:firstLine="480"/>
      </w:pPr>
      <w:r>
        <w:rPr>
          <w:rFonts w:hint="eastAsia"/>
        </w:rPr>
        <w:t>支持任务组的展开与收起；</w:t>
      </w:r>
    </w:p>
    <w:p w14:paraId="76305629">
      <w:pPr>
        <w:ind w:firstLine="480"/>
      </w:pPr>
      <w:r>
        <w:rPr>
          <w:rFonts w:hint="eastAsia"/>
        </w:rPr>
        <w:t>支持对列表任务的任务名称、锁定状态、运行状态、增量激活状态、策略激活时间、节点数、所属分组、创建者和修改时间进行查看，支持在列表界面对任务进行修改、启/停和删除的操作；</w:t>
      </w:r>
    </w:p>
    <w:p w14:paraId="37664E0B">
      <w:pPr>
        <w:ind w:firstLine="480"/>
      </w:pPr>
      <w:r>
        <w:rPr>
          <w:rFonts w:hint="eastAsia"/>
        </w:rPr>
        <w:t>在任务列表界面中点击运行状态图标可查看任务运行状态，包括任务使用的插件列表，如插件名称、插件类型、插件状态以及插件的输入和输出数据量，包括任务运行实例、上次执行时间和运行策略；</w:t>
      </w:r>
    </w:p>
    <w:p w14:paraId="6ACCCC3E">
      <w:pPr>
        <w:ind w:firstLine="480"/>
      </w:pPr>
      <w:r>
        <w:rPr>
          <w:rFonts w:hint="eastAsia"/>
        </w:rPr>
        <w:t>支持任务列表的关键字模糊检索，支持大小写模糊匹配；</w:t>
      </w:r>
    </w:p>
    <w:p w14:paraId="4DC454F8">
      <w:pPr>
        <w:ind w:firstLine="480"/>
      </w:pPr>
      <w:r>
        <w:rPr>
          <w:rFonts w:hint="eastAsia"/>
        </w:rPr>
        <w:t>支持通过运行状态、增量激活状态、分组、任务类型、实例、输入/输出表名称对任务进行筛选；</w:t>
      </w:r>
    </w:p>
    <w:p w14:paraId="7FFC7E0A">
      <w:pPr>
        <w:ind w:firstLine="480"/>
      </w:pPr>
      <w:r>
        <w:rPr>
          <w:rFonts w:hint="eastAsia"/>
        </w:rPr>
        <w:t>支持添加普通任务和kettle任务；</w:t>
      </w:r>
    </w:p>
    <w:p w14:paraId="147C3E92">
      <w:pPr>
        <w:ind w:firstLine="480"/>
      </w:pPr>
      <w:r>
        <w:rPr>
          <w:rFonts w:hint="eastAsia"/>
        </w:rPr>
        <w:t>支持对任务进行批量运行、停止、存为模板和删除操作；</w:t>
      </w:r>
    </w:p>
    <w:p w14:paraId="7D79211B">
      <w:pPr>
        <w:ind w:firstLine="480"/>
      </w:pPr>
      <w:r>
        <w:rPr>
          <w:rFonts w:hint="eastAsia"/>
        </w:rPr>
        <w:t>支持批量导出数据集成任务；</w:t>
      </w:r>
    </w:p>
    <w:p w14:paraId="2AF8003F">
      <w:pPr>
        <w:ind w:firstLine="480"/>
      </w:pPr>
      <w:r>
        <w:rPr>
          <w:rFonts w:hint="eastAsia"/>
        </w:rPr>
        <w:t>支持批量导入数据集成任务；</w:t>
      </w:r>
    </w:p>
    <w:p w14:paraId="072E390C">
      <w:pPr>
        <w:ind w:firstLine="480"/>
      </w:pPr>
      <w:r>
        <w:rPr>
          <w:rFonts w:hint="eastAsia"/>
        </w:rPr>
        <w:t>支持对非运行状态的任务进行调度策略配置，包括增量激活状态：全量、全量+增量，在全量+增量模式下支持批处理和实时两种执行类型，周期配置可选择频率配置、具体日期配置和排除日期配置，频率支持按年、月、日、时、分进行配置，支持选择自定义并按corntab函数进行配置；</w:t>
      </w:r>
    </w:p>
    <w:p w14:paraId="134F31C4">
      <w:pPr>
        <w:ind w:firstLine="480"/>
      </w:pPr>
      <w:r>
        <w:rPr>
          <w:rFonts w:hint="eastAsia"/>
        </w:rPr>
        <w:t>支持两个任务依赖调度，依赖的任务无需配置调度周期，当被依赖任务运行完成，依赖任务开始运行；</w:t>
      </w:r>
    </w:p>
    <w:p w14:paraId="6034ECB7">
      <w:pPr>
        <w:ind w:firstLine="480"/>
      </w:pPr>
      <w:r>
        <w:rPr>
          <w:rFonts w:hint="eastAsia"/>
        </w:rPr>
        <w:t>支持对已有任务进行克隆，在列表中自动生成一个与被克隆任务配置相同的新任务。</w:t>
      </w:r>
    </w:p>
    <w:p w14:paraId="696A1161">
      <w:pPr>
        <w:pStyle w:val="9"/>
        <w:rPr>
          <w:rFonts w:hint="eastAsia" w:ascii="宋体" w:hAnsi="宋体"/>
        </w:rPr>
      </w:pPr>
      <w:r>
        <w:rPr>
          <w:rFonts w:hint="eastAsia" w:ascii="宋体" w:hAnsi="宋体"/>
        </w:rPr>
        <w:t>模板管理</w:t>
      </w:r>
    </w:p>
    <w:p w14:paraId="25299B78">
      <w:pPr>
        <w:ind w:firstLine="480"/>
      </w:pPr>
      <w:r>
        <w:rPr>
          <w:rFonts w:hint="eastAsia"/>
        </w:rPr>
        <w:t>支持模板分类的管理，包括新增、编辑、删除以及关键字检索；</w:t>
      </w:r>
    </w:p>
    <w:p w14:paraId="483E0D48">
      <w:pPr>
        <w:ind w:firstLine="480"/>
      </w:pPr>
      <w:r>
        <w:rPr>
          <w:rFonts w:hint="eastAsia"/>
        </w:rPr>
        <w:t>支持在列表中查看模板名称、版本等信息，支持已有模板的编辑、删除和批量删除操作；</w:t>
      </w:r>
    </w:p>
    <w:p w14:paraId="0F904FF6">
      <w:pPr>
        <w:ind w:firstLine="480"/>
      </w:pPr>
      <w:r>
        <w:rPr>
          <w:rFonts w:hint="eastAsia"/>
        </w:rPr>
        <w:t>支持模板文件的导入；</w:t>
      </w:r>
    </w:p>
    <w:p w14:paraId="2E584AD0">
      <w:pPr>
        <w:ind w:firstLine="480"/>
      </w:pPr>
      <w:r>
        <w:rPr>
          <w:rFonts w:hint="eastAsia"/>
        </w:rPr>
        <w:t>支持已有模板文件的导出，支持多个模板文件的批量导出。</w:t>
      </w:r>
    </w:p>
    <w:p w14:paraId="0C3ADB1E">
      <w:pPr>
        <w:pStyle w:val="9"/>
        <w:rPr>
          <w:rFonts w:hint="eastAsia" w:ascii="宋体" w:hAnsi="宋体"/>
        </w:rPr>
      </w:pPr>
      <w:r>
        <w:rPr>
          <w:rFonts w:hint="eastAsia" w:ascii="宋体" w:hAnsi="宋体"/>
        </w:rPr>
        <w:t>告警信息</w:t>
      </w:r>
    </w:p>
    <w:p w14:paraId="48F4C14D">
      <w:pPr>
        <w:ind w:firstLine="480"/>
      </w:pPr>
      <w:r>
        <w:rPr>
          <w:rFonts w:hint="eastAsia"/>
        </w:rPr>
        <w:t>支持数据断流告警、插件运行异常、实例运行异常、数据加载异常、增量异常告警、任务运行异常策略配置；</w:t>
      </w:r>
    </w:p>
    <w:p w14:paraId="70A871AC">
      <w:pPr>
        <w:ind w:firstLine="480"/>
      </w:pPr>
      <w:r>
        <w:rPr>
          <w:rFonts w:hint="eastAsia"/>
        </w:rPr>
        <w:t>支持配置是否推送到消息中心；</w:t>
      </w:r>
    </w:p>
    <w:p w14:paraId="091DD75D">
      <w:pPr>
        <w:ind w:firstLine="480"/>
      </w:pPr>
      <w:r>
        <w:rPr>
          <w:rFonts w:hint="eastAsia"/>
        </w:rPr>
        <w:t>支持高、中、低的告警等级配置；</w:t>
      </w:r>
    </w:p>
    <w:p w14:paraId="58DBB245">
      <w:pPr>
        <w:ind w:firstLine="480"/>
      </w:pPr>
      <w:r>
        <w:rPr>
          <w:rFonts w:hint="eastAsia"/>
        </w:rPr>
        <w:t>可对待处理的告警事件进行处理。可展示第一次告警时间、最近一次告警时间、告警次数、告警描述、告警内容以及历史处理记录；</w:t>
      </w:r>
    </w:p>
    <w:p w14:paraId="7F52F6B3">
      <w:pPr>
        <w:ind w:firstLine="480"/>
      </w:pPr>
      <w:r>
        <w:rPr>
          <w:rFonts w:hint="eastAsia"/>
        </w:rPr>
        <w:t>任务执行中出现告警，待异常内容恢复后，告警状态自动调整为“已处理”；</w:t>
      </w:r>
    </w:p>
    <w:p w14:paraId="2CCF37FA">
      <w:pPr>
        <w:ind w:firstLine="480"/>
      </w:pPr>
      <w:r>
        <w:rPr>
          <w:rFonts w:hint="eastAsia"/>
        </w:rPr>
        <w:t>支持通过告警类型、告警级别对告警事件进行筛选，支持关键字的模糊检索。</w:t>
      </w:r>
    </w:p>
    <w:p w14:paraId="24A32A8B">
      <w:pPr>
        <w:pStyle w:val="9"/>
        <w:rPr>
          <w:rFonts w:hint="eastAsia" w:ascii="宋体" w:hAnsi="宋体"/>
        </w:rPr>
      </w:pPr>
      <w:r>
        <w:rPr>
          <w:rFonts w:hint="eastAsia" w:ascii="宋体" w:hAnsi="宋体"/>
        </w:rPr>
        <w:t>日志信息</w:t>
      </w:r>
    </w:p>
    <w:p w14:paraId="22A3DD3B">
      <w:pPr>
        <w:ind w:firstLine="480"/>
      </w:pPr>
      <w:r>
        <w:rPr>
          <w:rFonts w:hint="eastAsia"/>
        </w:rPr>
        <w:t>支持按用户名、操作类型、操作状态、开始时间、结束时间进行日志筛选；</w:t>
      </w:r>
    </w:p>
    <w:p w14:paraId="036AE5E5">
      <w:pPr>
        <w:ind w:firstLine="480"/>
      </w:pPr>
      <w:r>
        <w:rPr>
          <w:rFonts w:hint="eastAsia"/>
        </w:rPr>
        <w:t>支持登录、查询、新增、更新、删除、登出、授权等类型的操作日志查看。</w:t>
      </w:r>
    </w:p>
    <w:p w14:paraId="37024447">
      <w:pPr>
        <w:pStyle w:val="9"/>
        <w:rPr>
          <w:rFonts w:hint="eastAsia" w:ascii="宋体" w:hAnsi="宋体"/>
        </w:rPr>
      </w:pPr>
      <w:r>
        <w:rPr>
          <w:rFonts w:hint="eastAsia" w:ascii="宋体" w:hAnsi="宋体"/>
        </w:rPr>
        <w:t>全局配置</w:t>
      </w:r>
    </w:p>
    <w:p w14:paraId="6D023992">
      <w:pPr>
        <w:ind w:firstLine="480"/>
      </w:pPr>
      <w:r>
        <w:rPr>
          <w:rFonts w:hint="eastAsia"/>
        </w:rPr>
        <w:t>自动获取对应服务器的CPU、内存与磁盘总量，实时展示内存、磁盘的使用情况、CPU的平均负载情况；</w:t>
      </w:r>
    </w:p>
    <w:p w14:paraId="096797D2">
      <w:pPr>
        <w:ind w:firstLine="480"/>
      </w:pPr>
      <w:r>
        <w:rPr>
          <w:rFonts w:hint="eastAsia"/>
        </w:rPr>
        <w:t>支持查看目标服务器上的插件清单，包括插件名称、插件版本号等信息；</w:t>
      </w:r>
    </w:p>
    <w:p w14:paraId="6637F77A">
      <w:pPr>
        <w:ind w:firstLine="480"/>
      </w:pPr>
      <w:r>
        <w:rPr>
          <w:rFonts w:hint="eastAsia"/>
        </w:rPr>
        <w:t>支持查看目标服务器上部署的实例总数；</w:t>
      </w:r>
    </w:p>
    <w:p w14:paraId="0C1DF943">
      <w:pPr>
        <w:ind w:firstLine="480"/>
      </w:pPr>
      <w:r>
        <w:rPr>
          <w:rFonts w:hint="eastAsia"/>
        </w:rPr>
        <w:t>支持新增任务分组，给分组任务分配插件和创建实例，修改和删除分组；</w:t>
      </w:r>
    </w:p>
    <w:p w14:paraId="74F02F11">
      <w:pPr>
        <w:ind w:firstLine="480"/>
      </w:pPr>
      <w:r>
        <w:rPr>
          <w:rFonts w:hint="eastAsia"/>
        </w:rPr>
        <w:t>zookeeper主机连接信息配置管理；</w:t>
      </w:r>
    </w:p>
    <w:p w14:paraId="3D4A9410">
      <w:pPr>
        <w:ind w:firstLine="480"/>
      </w:pPr>
      <w:r>
        <w:rPr>
          <w:rFonts w:hint="eastAsia"/>
        </w:rPr>
        <w:t>包括全量程序包、插件程序包、批量插件程序包、插件更新包的上传；</w:t>
      </w:r>
    </w:p>
    <w:p w14:paraId="711F1170">
      <w:pPr>
        <w:ind w:firstLine="480"/>
      </w:pPr>
      <w:r>
        <w:rPr>
          <w:rFonts w:hint="eastAsia"/>
        </w:rPr>
        <w:t>支持查看对应程序包中的插件详情，包括插件名、插件类名、版本、插件用途；</w:t>
      </w:r>
    </w:p>
    <w:p w14:paraId="4FECD78B">
      <w:pPr>
        <w:ind w:firstLine="480"/>
      </w:pPr>
      <w:r>
        <w:rPr>
          <w:rFonts w:hint="eastAsia"/>
        </w:rPr>
        <w:t>支持设置kerberos服务名称、kdc、用户名、krb5文件、密钥文件等信息，并查看、修改和删除相关信息；</w:t>
      </w:r>
    </w:p>
    <w:p w14:paraId="4C15D207">
      <w:pPr>
        <w:ind w:firstLine="480"/>
      </w:pPr>
      <w:r>
        <w:rPr>
          <w:rFonts w:hint="eastAsia"/>
        </w:rPr>
        <w:t>支持实例的添加，配置实例的名称、所属服务器、所属分组、cpu上限、硬盘上限、内存上限、内存下限、实例监听端口、rpc端口、运行并发数、Kerberos以及扩展属性；</w:t>
      </w:r>
    </w:p>
    <w:p w14:paraId="7C272AE9">
      <w:pPr>
        <w:ind w:firstLine="480"/>
      </w:pPr>
      <w:r>
        <w:rPr>
          <w:rFonts w:hint="eastAsia"/>
        </w:rPr>
        <w:t>支持对实例进行管理，包括编辑、删除、启动、停止、强制停止；</w:t>
      </w:r>
    </w:p>
    <w:p w14:paraId="05A61AB8">
      <w:pPr>
        <w:ind w:firstLine="480"/>
      </w:pPr>
      <w:r>
        <w:rPr>
          <w:rFonts w:hint="eastAsia"/>
        </w:rPr>
        <w:t>支持选中多个实例，选择框架包版本进行批量升级；</w:t>
      </w:r>
    </w:p>
    <w:p w14:paraId="505BB1E0">
      <w:pPr>
        <w:ind w:firstLine="480"/>
      </w:pPr>
      <w:r>
        <w:rPr>
          <w:rFonts w:hint="eastAsia"/>
        </w:rPr>
        <w:t>支持选中多个实例进行批量删除。删除时，展示实例已关联的任务，支持查看任务详情、删除任务；</w:t>
      </w:r>
    </w:p>
    <w:p w14:paraId="68C3BE95">
      <w:pPr>
        <w:ind w:firstLine="480"/>
      </w:pPr>
      <w:r>
        <w:rPr>
          <w:rFonts w:hint="eastAsia"/>
        </w:rPr>
        <w:t>支持查看实例关联的任务清单，查看具体任务的详情；</w:t>
      </w:r>
    </w:p>
    <w:p w14:paraId="38733CA9">
      <w:pPr>
        <w:ind w:firstLine="480"/>
      </w:pPr>
      <w:r>
        <w:rPr>
          <w:rFonts w:hint="eastAsia"/>
        </w:rPr>
        <w:t>支持查看实例的运行日志，支持日志文件的下载；</w:t>
      </w:r>
    </w:p>
    <w:p w14:paraId="37EAF3C4">
      <w:pPr>
        <w:ind w:firstLine="480"/>
      </w:pPr>
      <w:r>
        <w:rPr>
          <w:rFonts w:hint="eastAsia"/>
        </w:rPr>
        <w:t>可查看实例的运行状态，包括实例名称、部署服务器、运行状态、内存上限、内存下限、任务数、插件数、运行时间、当前线程数、死锁线程数、线程历史峰值、抓取间隔、最近一次抓取时间。支持资源适用信息的实时监控，包括堆内存使用率、堆外内存使用率、cpu使用率以及历史gc信息（gc次数、gc总时长）；</w:t>
      </w:r>
    </w:p>
    <w:p w14:paraId="4B966DE9">
      <w:pPr>
        <w:ind w:firstLine="480"/>
      </w:pPr>
      <w:r>
        <w:rPr>
          <w:rFonts w:hint="eastAsia"/>
        </w:rPr>
        <w:t>处理插件都可绑定：包括图片下载、图片上传云存储、字段映射、一对多数据转换、数据流连接、数据合并、数据过滤、数据复制、对标转换、标准转译、Javascript处理、Lookup、JSON解析、JSON组装等；</w:t>
      </w:r>
    </w:p>
    <w:p w14:paraId="650356F6">
      <w:pPr>
        <w:ind w:firstLine="480"/>
      </w:pPr>
      <w:r>
        <w:rPr>
          <w:rFonts w:hint="eastAsia"/>
        </w:rPr>
        <w:t>支持函数包的上传，新增和删除fel函数；</w:t>
      </w:r>
    </w:p>
    <w:p w14:paraId="4C2C1AF8">
      <w:pPr>
        <w:ind w:firstLine="480"/>
      </w:pPr>
      <w:r>
        <w:rPr>
          <w:rFonts w:hint="eastAsia"/>
        </w:rPr>
        <w:t>支持添加、修改、删除任务、插件、实例等的分类属性，包括属性名、属性分类、属性显示名称、属性说明、属性缺省值等信息；</w:t>
      </w:r>
    </w:p>
    <w:p w14:paraId="531382BF">
      <w:pPr>
        <w:ind w:firstLine="480"/>
      </w:pPr>
      <w:r>
        <w:rPr>
          <w:rFonts w:hint="eastAsia"/>
        </w:rPr>
        <w:t>支持数据源的分类管理，支持新增、编辑、删除、批量删除数据源。支持定义数据源的名称、类型、用途、主机名、端口号、用户名、密码、Kerberos认证等属性；</w:t>
      </w:r>
    </w:p>
    <w:p w14:paraId="2E8BAD62">
      <w:pPr>
        <w:ind w:firstLine="480"/>
      </w:pPr>
      <w:r>
        <w:rPr>
          <w:rFonts w:hint="eastAsia"/>
        </w:rPr>
        <w:t>支持查看引用了目标数据源的关联任务清单，并可查看任务详情；</w:t>
      </w:r>
    </w:p>
    <w:p w14:paraId="3F8753D4">
      <w:pPr>
        <w:ind w:firstLine="480"/>
      </w:pPr>
      <w:r>
        <w:rPr>
          <w:rFonts w:hint="eastAsia"/>
        </w:rPr>
        <w:t>支持数据源表的分类管理，支持数据源表的新增、编辑、删除、批量删除。支持添加实体表、视图、虚拟表；</w:t>
      </w:r>
    </w:p>
    <w:p w14:paraId="45A7D3F1">
      <w:pPr>
        <w:ind w:firstLine="480"/>
      </w:pPr>
      <w:r>
        <w:rPr>
          <w:rFonts w:hint="eastAsia"/>
        </w:rPr>
        <w:t>支持查看引用了目标数据源表的关联任务清单，并可查看任务详情。</w:t>
      </w:r>
    </w:p>
    <w:p w14:paraId="527A9BEB">
      <w:pPr>
        <w:pStyle w:val="9"/>
        <w:rPr>
          <w:rFonts w:hint="eastAsia" w:ascii="宋体" w:hAnsi="宋体"/>
        </w:rPr>
      </w:pPr>
      <w:r>
        <w:rPr>
          <w:rFonts w:hint="eastAsia" w:ascii="宋体" w:hAnsi="宋体"/>
        </w:rPr>
        <w:t>系统设置</w:t>
      </w:r>
    </w:p>
    <w:p w14:paraId="44BC5845">
      <w:pPr>
        <w:ind w:firstLine="480"/>
      </w:pPr>
      <w:r>
        <w:rPr>
          <w:rFonts w:hint="eastAsia"/>
        </w:rPr>
        <w:t>支持各类通用参数的统一管理维护，如插件类型、节点类型、数据源类型等。</w:t>
      </w:r>
    </w:p>
    <w:p w14:paraId="08931700">
      <w:pPr>
        <w:pStyle w:val="9"/>
        <w:rPr>
          <w:rFonts w:hint="eastAsia" w:ascii="宋体" w:hAnsi="宋体"/>
        </w:rPr>
      </w:pPr>
      <w:r>
        <w:rPr>
          <w:rFonts w:hint="eastAsia" w:ascii="宋体" w:hAnsi="宋体"/>
        </w:rPr>
        <w:t>数据标准中心</w:t>
      </w:r>
    </w:p>
    <w:p w14:paraId="0DE61CDE">
      <w:pPr>
        <w:ind w:firstLine="480"/>
      </w:pPr>
      <w:r>
        <w:rPr>
          <w:rFonts w:hint="eastAsia"/>
        </w:rPr>
        <w:t>支持查看发布的码表、数据元标准、限定词、标准数据集数量，查看不同行业码表、数据元标准、标准数据集排行和数据元标准引用排行，查看校验规则总数、已配置的校验；</w:t>
      </w:r>
    </w:p>
    <w:p w14:paraId="4FEE1729">
      <w:pPr>
        <w:ind w:firstLine="480"/>
      </w:pPr>
      <w:r>
        <w:rPr>
          <w:rFonts w:hint="eastAsia"/>
        </w:rPr>
        <w:t>支持码表的管理维护，定义码表的多级分类；</w:t>
      </w:r>
    </w:p>
    <w:p w14:paraId="7BFB67AB">
      <w:pPr>
        <w:ind w:firstLine="480"/>
      </w:pPr>
      <w:r>
        <w:rPr>
          <w:rFonts w:hint="eastAsia"/>
        </w:rPr>
        <w:t>支持码表的标签分类管理；</w:t>
      </w:r>
    </w:p>
    <w:p w14:paraId="76C4FAE9">
      <w:pPr>
        <w:ind w:firstLine="480"/>
      </w:pPr>
      <w:r>
        <w:rPr>
          <w:rFonts w:hint="eastAsia"/>
        </w:rPr>
        <w:t>支持码表维护管理，可录入多套业务码表，并制定一套作为标准码表；</w:t>
      </w:r>
    </w:p>
    <w:p w14:paraId="7DDABD25">
      <w:pPr>
        <w:ind w:firstLine="480"/>
      </w:pPr>
      <w:r>
        <w:rPr>
          <w:rFonts w:hint="eastAsia"/>
        </w:rPr>
        <w:t>支持码表的标准文件的关联上传；</w:t>
      </w:r>
    </w:p>
    <w:p w14:paraId="4B972210">
      <w:pPr>
        <w:ind w:firstLine="480"/>
      </w:pPr>
      <w:r>
        <w:rPr>
          <w:rFonts w:hint="eastAsia"/>
        </w:rPr>
        <w:t>支持码表的批量导入，可以单独导入字典信息，也可以联合导入具体码表；</w:t>
      </w:r>
    </w:p>
    <w:p w14:paraId="00028FC4">
      <w:pPr>
        <w:ind w:firstLine="480"/>
      </w:pPr>
      <w:r>
        <w:rPr>
          <w:rFonts w:hint="eastAsia"/>
        </w:rPr>
        <w:t>一键导出码表；</w:t>
      </w:r>
    </w:p>
    <w:p w14:paraId="7D51FE68">
      <w:pPr>
        <w:ind w:firstLine="480"/>
      </w:pPr>
      <w:r>
        <w:rPr>
          <w:rFonts w:hint="eastAsia"/>
        </w:rPr>
        <w:t>一键导入码表；</w:t>
      </w:r>
    </w:p>
    <w:p w14:paraId="4D99E26E">
      <w:pPr>
        <w:ind w:firstLine="480"/>
      </w:pPr>
      <w:r>
        <w:rPr>
          <w:rFonts w:hint="eastAsia"/>
        </w:rPr>
        <w:t>支持数据元的管理维护，定义数据元标准的多级分类，可选择关联已有码表；</w:t>
      </w:r>
    </w:p>
    <w:p w14:paraId="239066F6">
      <w:pPr>
        <w:ind w:firstLine="480"/>
      </w:pPr>
      <w:r>
        <w:rPr>
          <w:rFonts w:hint="eastAsia"/>
        </w:rPr>
        <w:t>支持数据元标准的标签分类管理；</w:t>
      </w:r>
    </w:p>
    <w:p w14:paraId="75CAAC67">
      <w:pPr>
        <w:ind w:firstLine="480"/>
      </w:pPr>
      <w:r>
        <w:rPr>
          <w:rFonts w:hint="eastAsia"/>
        </w:rPr>
        <w:t>支持带嵌套层级的数据元标准的定义；</w:t>
      </w:r>
    </w:p>
    <w:p w14:paraId="7B44DEBB">
      <w:pPr>
        <w:ind w:firstLine="480"/>
      </w:pPr>
      <w:r>
        <w:rPr>
          <w:rFonts w:hint="eastAsia"/>
        </w:rPr>
        <w:t>支持数据元标准字段的字段类型、字段长度、字段别名、值域的定义与配置；</w:t>
      </w:r>
    </w:p>
    <w:p w14:paraId="1C219AC1">
      <w:pPr>
        <w:ind w:firstLine="480"/>
      </w:pPr>
      <w:r>
        <w:rPr>
          <w:rFonts w:hint="eastAsia"/>
        </w:rPr>
        <w:t>支持基于字段的校验规则的管理维护；</w:t>
      </w:r>
    </w:p>
    <w:p w14:paraId="503AAA77">
      <w:pPr>
        <w:ind w:firstLine="480"/>
      </w:pPr>
      <w:r>
        <w:rPr>
          <w:rFonts w:hint="eastAsia"/>
        </w:rPr>
        <w:t>支持通用标准数据集的管理维护，定义标准数据集的多级分类；</w:t>
      </w:r>
    </w:p>
    <w:p w14:paraId="75AA7497">
      <w:pPr>
        <w:ind w:firstLine="480"/>
      </w:pPr>
      <w:r>
        <w:rPr>
          <w:rFonts w:hint="eastAsia"/>
        </w:rPr>
        <w:t>支持标准数据集的标签分类管理；</w:t>
      </w:r>
    </w:p>
    <w:p w14:paraId="2747AB22">
      <w:pPr>
        <w:ind w:firstLine="480"/>
      </w:pPr>
      <w:r>
        <w:rPr>
          <w:rFonts w:hint="eastAsia"/>
        </w:rPr>
        <w:t>支持码表、数据元标准、标准数据集的版本定义；</w:t>
      </w:r>
    </w:p>
    <w:p w14:paraId="037D0EF2">
      <w:pPr>
        <w:ind w:firstLine="480"/>
      </w:pPr>
      <w:r>
        <w:rPr>
          <w:rFonts w:hint="eastAsia"/>
        </w:rPr>
        <w:t>一键导入标准数据集；</w:t>
      </w:r>
    </w:p>
    <w:p w14:paraId="6FB31A5A">
      <w:pPr>
        <w:ind w:firstLine="480"/>
      </w:pPr>
      <w:r>
        <w:rPr>
          <w:rFonts w:hint="eastAsia"/>
        </w:rPr>
        <w:t>一键导出标准数据集；</w:t>
      </w:r>
    </w:p>
    <w:p w14:paraId="4506D0A0">
      <w:pPr>
        <w:ind w:firstLine="480"/>
      </w:pPr>
      <w:r>
        <w:rPr>
          <w:rFonts w:hint="eastAsia"/>
        </w:rPr>
        <w:t>支持添加、修改、删除不同行业限定词；</w:t>
      </w:r>
    </w:p>
    <w:p w14:paraId="317E738D">
      <w:pPr>
        <w:ind w:firstLine="480"/>
      </w:pPr>
      <w:r>
        <w:rPr>
          <w:rFonts w:hint="eastAsia"/>
        </w:rPr>
        <w:t>支持标准数据集按照不同的行业进行编码前缀统一管理维护，自动生成并推荐对应的编码后缀；</w:t>
      </w:r>
    </w:p>
    <w:p w14:paraId="5B23B180">
      <w:pPr>
        <w:ind w:firstLine="480"/>
      </w:pPr>
      <w:r>
        <w:rPr>
          <w:rFonts w:hint="eastAsia"/>
        </w:rPr>
        <w:t>支持元数据标准字段按照不同的行业进行编码前缀统一管理维护，自动生成并推荐对应的编码后缀；</w:t>
      </w:r>
    </w:p>
    <w:p w14:paraId="035D6E12">
      <w:pPr>
        <w:ind w:firstLine="480"/>
      </w:pPr>
      <w:r>
        <w:rPr>
          <w:rFonts w:hint="eastAsia"/>
        </w:rPr>
        <w:t>支持标准数据字典按照不同的行业进行编码前缀统一管理维护，自动生成并推荐对应的编码后缀；</w:t>
      </w:r>
    </w:p>
    <w:p w14:paraId="3254519A">
      <w:pPr>
        <w:ind w:firstLine="480"/>
      </w:pPr>
      <w:r>
        <w:rPr>
          <w:rFonts w:hint="eastAsia"/>
        </w:rPr>
        <w:t>支持行业分类的管理维护，不同行业可以维护独立的一套标准。支持对行业分类的添加、删除和修改等管理；</w:t>
      </w:r>
    </w:p>
    <w:p w14:paraId="67CB4919">
      <w:pPr>
        <w:ind w:firstLine="480"/>
      </w:pPr>
      <w:r>
        <w:rPr>
          <w:rFonts w:hint="eastAsia"/>
        </w:rPr>
        <w:t>支持码表、数据元标准、标准数据集的上下线发布管理维护；</w:t>
      </w:r>
    </w:p>
    <w:p w14:paraId="7CC04135">
      <w:pPr>
        <w:ind w:firstLine="480"/>
      </w:pPr>
      <w:r>
        <w:rPr>
          <w:rFonts w:hint="eastAsia"/>
        </w:rPr>
        <w:t>支持数据元标准的引用查询，可直观地展现引用了对应数据元标准的所有模型；</w:t>
      </w:r>
    </w:p>
    <w:p w14:paraId="76929B7E">
      <w:pPr>
        <w:ind w:firstLine="480"/>
      </w:pPr>
      <w:r>
        <w:rPr>
          <w:rFonts w:hint="eastAsia"/>
        </w:rPr>
        <w:t>支持按标准数据集的字段显示名与物理名称来查询对应的标准数据集，以及引用的数据元标准；</w:t>
      </w:r>
    </w:p>
    <w:p w14:paraId="716419BF">
      <w:pPr>
        <w:ind w:firstLine="480"/>
      </w:pPr>
      <w:r>
        <w:rPr>
          <w:rFonts w:hint="eastAsia"/>
        </w:rPr>
        <w:t>支持数据元标准与标准数据集引用关系的替换与批量替换；</w:t>
      </w:r>
    </w:p>
    <w:p w14:paraId="283CA0A9">
      <w:pPr>
        <w:ind w:firstLine="480"/>
      </w:pPr>
      <w:r>
        <w:rPr>
          <w:rFonts w:hint="eastAsia"/>
        </w:rPr>
        <w:t>支持单表导入和一键导入多个数据标准，并与系统中已有的数据标准进行智能匹配，根据匹配结果决定新增还是修改系统中已有的数据标准；</w:t>
      </w:r>
    </w:p>
    <w:p w14:paraId="38EC3901">
      <w:pPr>
        <w:ind w:firstLine="480"/>
      </w:pPr>
      <w:r>
        <w:rPr>
          <w:rFonts w:hint="eastAsia"/>
        </w:rPr>
        <w:t>查看码表、数据元标准、标准数据集修订记录。支持查看修订前后的对比；</w:t>
      </w:r>
    </w:p>
    <w:p w14:paraId="5953AB63">
      <w:pPr>
        <w:ind w:firstLine="480"/>
      </w:pPr>
      <w:r>
        <w:rPr>
          <w:rFonts w:hint="eastAsia"/>
        </w:rPr>
        <w:t>用于记录常用词的中文名称、英文、英文缩写。如事件-event-event、描述-describe-desc等；支持查看、新增、修改、删除、批量删除元素信息。</w:t>
      </w:r>
    </w:p>
    <w:p w14:paraId="79E2CE80">
      <w:pPr>
        <w:pStyle w:val="9"/>
        <w:rPr>
          <w:rFonts w:hint="eastAsia" w:ascii="宋体" w:hAnsi="宋体"/>
        </w:rPr>
      </w:pPr>
      <w:r>
        <w:rPr>
          <w:rFonts w:hint="eastAsia" w:ascii="宋体" w:hAnsi="宋体"/>
        </w:rPr>
        <w:t>登录配置</w:t>
      </w:r>
    </w:p>
    <w:p w14:paraId="0D190707">
      <w:pPr>
        <w:ind w:firstLine="480"/>
      </w:pPr>
      <w:r>
        <w:rPr>
          <w:rFonts w:hint="eastAsia"/>
        </w:rPr>
        <w:t>支持登录页的新建；</w:t>
      </w:r>
    </w:p>
    <w:p w14:paraId="142F5B35">
      <w:pPr>
        <w:ind w:firstLine="480"/>
      </w:pPr>
      <w:r>
        <w:rPr>
          <w:rFonts w:hint="eastAsia"/>
        </w:rPr>
        <w:t>支持导入现有的登录页主题；</w:t>
      </w:r>
    </w:p>
    <w:p w14:paraId="77CAB48D">
      <w:pPr>
        <w:ind w:firstLine="480"/>
      </w:pPr>
      <w:r>
        <w:rPr>
          <w:rFonts w:hint="eastAsia"/>
        </w:rPr>
        <w:t>支持对跳转地址、LOGO、背景样式、页面背景、前景插图、链接样式等进行效果和风格调整。</w:t>
      </w:r>
    </w:p>
    <w:p w14:paraId="367D7D2F">
      <w:pPr>
        <w:pStyle w:val="9"/>
        <w:rPr>
          <w:rFonts w:hint="eastAsia" w:ascii="宋体" w:hAnsi="宋体"/>
        </w:rPr>
      </w:pPr>
      <w:r>
        <w:rPr>
          <w:rFonts w:hint="eastAsia" w:ascii="宋体" w:hAnsi="宋体"/>
        </w:rPr>
        <w:t>首页配置</w:t>
      </w:r>
    </w:p>
    <w:p w14:paraId="07384693">
      <w:pPr>
        <w:ind w:firstLine="480"/>
      </w:pPr>
      <w:r>
        <w:rPr>
          <w:rFonts w:hint="eastAsia"/>
        </w:rPr>
        <w:t>支持登录页的新建；</w:t>
      </w:r>
    </w:p>
    <w:p w14:paraId="14F8285B">
      <w:pPr>
        <w:ind w:firstLine="480"/>
      </w:pPr>
      <w:r>
        <w:rPr>
          <w:rFonts w:hint="eastAsia"/>
        </w:rPr>
        <w:t>支持导入现有的登录页主题；</w:t>
      </w:r>
    </w:p>
    <w:p w14:paraId="0F30F252">
      <w:pPr>
        <w:ind w:firstLine="480"/>
      </w:pPr>
      <w:r>
        <w:rPr>
          <w:rFonts w:hint="eastAsia"/>
        </w:rPr>
        <w:t>支持修改网站标题；</w:t>
      </w:r>
    </w:p>
    <w:p w14:paraId="63CCDD4C">
      <w:pPr>
        <w:ind w:firstLine="480"/>
      </w:pPr>
      <w:r>
        <w:rPr>
          <w:rFonts w:hint="eastAsia"/>
        </w:rPr>
        <w:t>支持上传页面logo图标和网站logo图标；</w:t>
      </w:r>
    </w:p>
    <w:p w14:paraId="45529E93">
      <w:pPr>
        <w:ind w:firstLine="480"/>
      </w:pPr>
      <w:r>
        <w:rPr>
          <w:rFonts w:hint="eastAsia"/>
        </w:rPr>
        <w:t>支持展示自带的门户部件和自定义部件，拖拽至主题中，并编辑部件的摆放位置，大小等；</w:t>
      </w:r>
    </w:p>
    <w:p w14:paraId="0D9A51CF">
      <w:pPr>
        <w:ind w:firstLine="480"/>
      </w:pPr>
      <w:r>
        <w:rPr>
          <w:rFonts w:hint="eastAsia"/>
        </w:rPr>
        <w:t>支持对首页名称、画布尺寸、显示模式、主题背景、全景背景等进行设置；</w:t>
      </w:r>
    </w:p>
    <w:p w14:paraId="744134F5">
      <w:pPr>
        <w:ind w:firstLine="480"/>
      </w:pPr>
      <w:r>
        <w:rPr>
          <w:rFonts w:hint="eastAsia"/>
        </w:rPr>
        <w:t>支持主题url的复制、编辑、预览，复制、导出和删除，支持主题的发布，只有发布后才能在首页展示；</w:t>
      </w:r>
    </w:p>
    <w:p w14:paraId="04999524">
      <w:pPr>
        <w:ind w:firstLine="480"/>
      </w:pPr>
      <w:r>
        <w:rPr>
          <w:rFonts w:hint="eastAsia"/>
        </w:rPr>
        <w:t>支持为某个主题配置关联角色，配置后，该角色的用户默认登录就展示该主题。</w:t>
      </w:r>
    </w:p>
    <w:p w14:paraId="12FB3C8E">
      <w:pPr>
        <w:pStyle w:val="9"/>
        <w:rPr>
          <w:rFonts w:hint="eastAsia" w:ascii="宋体" w:hAnsi="宋体"/>
        </w:rPr>
      </w:pPr>
      <w:r>
        <w:rPr>
          <w:rFonts w:hint="eastAsia" w:ascii="宋体" w:hAnsi="宋体"/>
        </w:rPr>
        <w:t>插件管理</w:t>
      </w:r>
    </w:p>
    <w:p w14:paraId="4B4EC916">
      <w:pPr>
        <w:ind w:firstLine="480"/>
      </w:pPr>
      <w:r>
        <w:rPr>
          <w:rFonts w:hint="eastAsia"/>
        </w:rPr>
        <w:t>支持列表展示系统插件工具，包括图标、名称、描述等信息；</w:t>
      </w:r>
    </w:p>
    <w:p w14:paraId="28851EFF">
      <w:pPr>
        <w:ind w:firstLine="480"/>
      </w:pPr>
      <w:r>
        <w:rPr>
          <w:rFonts w:hint="eastAsia"/>
        </w:rPr>
        <w:t>支持更改插件工具在插件助手中的排列顺序；</w:t>
      </w:r>
    </w:p>
    <w:p w14:paraId="1602D37D">
      <w:pPr>
        <w:ind w:firstLine="480"/>
      </w:pPr>
      <w:r>
        <w:rPr>
          <w:rFonts w:hint="eastAsia"/>
        </w:rPr>
        <w:t>支持批量或单个删除插件；</w:t>
      </w:r>
    </w:p>
    <w:p w14:paraId="05781464">
      <w:pPr>
        <w:ind w:firstLine="480"/>
      </w:pPr>
      <w:r>
        <w:rPr>
          <w:rFonts w:hint="eastAsia"/>
        </w:rPr>
        <w:t>支持恢复默认页面设置；</w:t>
      </w:r>
    </w:p>
    <w:p w14:paraId="6AB2F9B9">
      <w:pPr>
        <w:ind w:firstLine="480"/>
      </w:pPr>
      <w:r>
        <w:rPr>
          <w:rFonts w:hint="eastAsia"/>
        </w:rPr>
        <w:t>支持通过上传添加新的插件工具。</w:t>
      </w:r>
    </w:p>
    <w:p w14:paraId="6F230D4A">
      <w:pPr>
        <w:pStyle w:val="9"/>
        <w:rPr>
          <w:rFonts w:hint="eastAsia" w:ascii="宋体" w:hAnsi="宋体"/>
        </w:rPr>
      </w:pPr>
      <w:r>
        <w:rPr>
          <w:rFonts w:hint="eastAsia" w:ascii="宋体" w:hAnsi="宋体"/>
        </w:rPr>
        <w:t>菜单管理</w:t>
      </w:r>
    </w:p>
    <w:p w14:paraId="2EC1BCFB">
      <w:pPr>
        <w:ind w:firstLine="480"/>
      </w:pPr>
      <w:r>
        <w:rPr>
          <w:rFonts w:hint="eastAsia"/>
        </w:rPr>
        <w:t>支持编辑应用下的菜单项；</w:t>
      </w:r>
    </w:p>
    <w:p w14:paraId="597BAEA4">
      <w:pPr>
        <w:ind w:firstLine="480"/>
      </w:pPr>
      <w:r>
        <w:rPr>
          <w:rFonts w:hint="eastAsia"/>
        </w:rPr>
        <w:t>支持调整菜单顺序；</w:t>
      </w:r>
    </w:p>
    <w:p w14:paraId="78E7B206">
      <w:pPr>
        <w:ind w:firstLine="480"/>
      </w:pPr>
      <w:r>
        <w:rPr>
          <w:rFonts w:hint="eastAsia"/>
        </w:rPr>
        <w:t>支持新增菜单项及页面，最多三级菜单；</w:t>
      </w:r>
    </w:p>
    <w:p w14:paraId="6BA59852">
      <w:pPr>
        <w:ind w:firstLine="480"/>
      </w:pPr>
      <w:r>
        <w:rPr>
          <w:rFonts w:hint="eastAsia"/>
        </w:rPr>
        <w:t>支持查看菜单名称、上级菜单、URL链接、来源及图标等信息；</w:t>
      </w:r>
    </w:p>
    <w:p w14:paraId="4AD183A4">
      <w:pPr>
        <w:ind w:firstLine="480"/>
      </w:pPr>
      <w:r>
        <w:rPr>
          <w:rFonts w:hint="eastAsia"/>
        </w:rPr>
        <w:t>支持新增菜单分组，最多二级分组；</w:t>
      </w:r>
    </w:p>
    <w:p w14:paraId="62B3FC2C">
      <w:pPr>
        <w:ind w:firstLine="480"/>
      </w:pPr>
      <w:r>
        <w:rPr>
          <w:rFonts w:hint="eastAsia"/>
        </w:rPr>
        <w:t>支持删除自定义菜单；</w:t>
      </w:r>
    </w:p>
    <w:p w14:paraId="2DDE1CC5">
      <w:pPr>
        <w:ind w:firstLine="480"/>
      </w:pPr>
      <w:r>
        <w:rPr>
          <w:rFonts w:hint="eastAsia"/>
        </w:rPr>
        <w:t>支持菜单同步，支持同步，同步之后重新拉取项目中的默认菜单，自定义菜单保留，顺序置于最下方；</w:t>
      </w:r>
    </w:p>
    <w:p w14:paraId="3D0283EA">
      <w:pPr>
        <w:ind w:firstLine="480"/>
      </w:pPr>
      <w:r>
        <w:rPr>
          <w:rFonts w:hint="eastAsia"/>
        </w:rPr>
        <w:t>支持设置菜单是否显示。</w:t>
      </w:r>
    </w:p>
    <w:p w14:paraId="248B7363">
      <w:pPr>
        <w:pStyle w:val="9"/>
        <w:rPr>
          <w:rFonts w:hint="eastAsia" w:ascii="宋体" w:hAnsi="宋体"/>
        </w:rPr>
      </w:pPr>
      <w:r>
        <w:rPr>
          <w:rFonts w:hint="eastAsia" w:ascii="宋体" w:hAnsi="宋体"/>
        </w:rPr>
        <w:t>用户管理</w:t>
      </w:r>
    </w:p>
    <w:p w14:paraId="14D66C77">
      <w:pPr>
        <w:ind w:firstLine="480"/>
      </w:pPr>
      <w:r>
        <w:rPr>
          <w:rFonts w:hint="eastAsia"/>
        </w:rPr>
        <w:t>在用户首页展示用户列表，列表信息包括 用户名、真实姓名、所属用户组、手机号码、创建时间、启用状态、在线状态、锁定状态等，在用户列表左侧展示用户分组点击左侧的部门树可对应展示该部门下的用户，勾选包含下级后，可展示该部门以及其子部门下所有部门的用户；</w:t>
      </w:r>
    </w:p>
    <w:p w14:paraId="010BE05C">
      <w:pPr>
        <w:ind w:firstLine="480"/>
      </w:pPr>
      <w:r>
        <w:rPr>
          <w:rFonts w:hint="eastAsia"/>
        </w:rPr>
        <w:t>支持用户的添加，包括用户的基本信息、登录信息和权限信息；</w:t>
      </w:r>
    </w:p>
    <w:p w14:paraId="3FAAD5B4">
      <w:pPr>
        <w:ind w:firstLine="480"/>
      </w:pPr>
      <w:r>
        <w:rPr>
          <w:rFonts w:hint="eastAsia"/>
        </w:rPr>
        <w:t>支持设置用户权重，用于云台控制锁定，权重越大权限越高；</w:t>
      </w:r>
    </w:p>
    <w:p w14:paraId="17D541A5">
      <w:pPr>
        <w:ind w:firstLine="480"/>
      </w:pPr>
      <w:r>
        <w:rPr>
          <w:rFonts w:hint="eastAsia"/>
        </w:rPr>
        <w:t>支持设置用户登录认证信息，包括登录认证密码、认证方式、在线策略及登录地址绑定等；</w:t>
      </w:r>
    </w:p>
    <w:p w14:paraId="6B44216B">
      <w:pPr>
        <w:ind w:firstLine="480"/>
      </w:pPr>
      <w:r>
        <w:rPr>
          <w:rFonts w:hint="eastAsia"/>
        </w:rPr>
        <w:t>支持设置所属用户组权限及用户权限；</w:t>
      </w:r>
    </w:p>
    <w:p w14:paraId="2FC2F4D7">
      <w:pPr>
        <w:ind w:firstLine="480"/>
      </w:pPr>
      <w:r>
        <w:rPr>
          <w:rFonts w:hint="eastAsia"/>
        </w:rPr>
        <w:t>支持单个或批量删除用户；</w:t>
      </w:r>
    </w:p>
    <w:p w14:paraId="6537B664">
      <w:pPr>
        <w:ind w:firstLine="480"/>
      </w:pPr>
      <w:r>
        <w:rPr>
          <w:rFonts w:hint="eastAsia"/>
        </w:rPr>
        <w:t>支持单个或批量置顶用户，置顶用户后该用户在列表中排在最前列；</w:t>
      </w:r>
    </w:p>
    <w:p w14:paraId="255D15D0">
      <w:pPr>
        <w:ind w:firstLine="480"/>
      </w:pPr>
      <w:r>
        <w:rPr>
          <w:rFonts w:hint="eastAsia"/>
        </w:rPr>
        <w:t>支持单个或批量启用或禁用用户；</w:t>
      </w:r>
    </w:p>
    <w:p w14:paraId="7F1A8D39">
      <w:pPr>
        <w:ind w:firstLine="480"/>
      </w:pPr>
      <w:r>
        <w:rPr>
          <w:rFonts w:hint="eastAsia"/>
        </w:rPr>
        <w:t>支持将单个或多个用户变更到其他用户组；</w:t>
      </w:r>
    </w:p>
    <w:p w14:paraId="38A8BA8B">
      <w:pPr>
        <w:ind w:firstLine="480"/>
      </w:pPr>
      <w:r>
        <w:rPr>
          <w:rFonts w:hint="eastAsia"/>
        </w:rPr>
        <w:t>支持管理员将单个或多个用户密码重置为默认密码；用户重置密码后初次登录强制要求修改密码；</w:t>
      </w:r>
    </w:p>
    <w:p w14:paraId="3C0943A2">
      <w:pPr>
        <w:ind w:firstLine="480"/>
      </w:pPr>
      <w:r>
        <w:rPr>
          <w:rFonts w:hint="eastAsia"/>
        </w:rPr>
        <w:t>支持根据用户名、用户状态、真实姓名、手机号码进行过滤，展示符合条件的用户信息；</w:t>
      </w:r>
    </w:p>
    <w:p w14:paraId="4A746F39">
      <w:pPr>
        <w:ind w:firstLine="480"/>
      </w:pPr>
      <w:r>
        <w:rPr>
          <w:rFonts w:hint="eastAsia"/>
        </w:rPr>
        <w:t>支持根据条件导出用户信息；</w:t>
      </w:r>
    </w:p>
    <w:p w14:paraId="6FDBC195">
      <w:pPr>
        <w:ind w:firstLine="480"/>
      </w:pPr>
      <w:r>
        <w:rPr>
          <w:rFonts w:hint="eastAsia"/>
        </w:rPr>
        <w:t>支持导入正确填写的用户文件；若因数据内容错误导致导入失败时，支持用户下载导入失败报告，查看错误信息；</w:t>
      </w:r>
    </w:p>
    <w:p w14:paraId="5C9E7633">
      <w:pPr>
        <w:ind w:firstLine="480"/>
      </w:pPr>
      <w:r>
        <w:rPr>
          <w:rFonts w:hint="eastAsia"/>
        </w:rPr>
        <w:t>支持查看用户的信息，包括身份信息、登录认证以及权限信息；</w:t>
      </w:r>
    </w:p>
    <w:p w14:paraId="46297325">
      <w:pPr>
        <w:ind w:firstLine="480"/>
      </w:pPr>
      <w:r>
        <w:rPr>
          <w:rFonts w:hint="eastAsia"/>
        </w:rPr>
        <w:t>除管理员用户外，支持编辑用户身份信息，用户名创建后不允许修改；</w:t>
      </w:r>
    </w:p>
    <w:p w14:paraId="3F332C81">
      <w:pPr>
        <w:ind w:firstLine="480"/>
      </w:pPr>
      <w:r>
        <w:rPr>
          <w:rFonts w:hint="eastAsia"/>
        </w:rPr>
        <w:t>除管理员用户外，支持修改用户关联的角色以及是否继承部门权限；</w:t>
      </w:r>
    </w:p>
    <w:p w14:paraId="293F3771">
      <w:pPr>
        <w:ind w:firstLine="480"/>
      </w:pPr>
      <w:r>
        <w:rPr>
          <w:rFonts w:hint="eastAsia"/>
        </w:rPr>
        <w:t>除管理员用户外，支持设置用户登录认证密码、认证方式、在线策略及登录地址绑定等。</w:t>
      </w:r>
    </w:p>
    <w:p w14:paraId="793EB713">
      <w:pPr>
        <w:pStyle w:val="9"/>
        <w:rPr>
          <w:rFonts w:hint="eastAsia" w:ascii="宋体" w:hAnsi="宋体"/>
        </w:rPr>
      </w:pPr>
      <w:r>
        <w:rPr>
          <w:rFonts w:hint="eastAsia" w:ascii="宋体" w:hAnsi="宋体"/>
        </w:rPr>
        <w:t>角色管理</w:t>
      </w:r>
    </w:p>
    <w:p w14:paraId="7602499D">
      <w:pPr>
        <w:ind w:firstLine="480"/>
      </w:pPr>
      <w:r>
        <w:rPr>
          <w:rFonts w:hint="eastAsia"/>
        </w:rPr>
        <w:t>支持列表展示系统当前已创建的应用角色及管理角色，列表信息有：角色名称、角色类型、状态、描述信息、创建时间等；</w:t>
      </w:r>
    </w:p>
    <w:p w14:paraId="50CEF3A9">
      <w:pPr>
        <w:ind w:firstLine="480"/>
      </w:pPr>
      <w:r>
        <w:rPr>
          <w:rFonts w:hint="eastAsia"/>
        </w:rPr>
        <w:t>支持单个或批量删除角色；</w:t>
      </w:r>
    </w:p>
    <w:p w14:paraId="2E667C54">
      <w:pPr>
        <w:ind w:firstLine="480"/>
      </w:pPr>
      <w:r>
        <w:rPr>
          <w:rFonts w:hint="eastAsia"/>
        </w:rPr>
        <w:t>支持单个或批量启用/禁用角色；</w:t>
      </w:r>
    </w:p>
    <w:p w14:paraId="2CBC6581">
      <w:pPr>
        <w:ind w:firstLine="480"/>
      </w:pPr>
      <w:r>
        <w:rPr>
          <w:rFonts w:hint="eastAsia"/>
        </w:rPr>
        <w:t>支持克隆所选角色的全部权限；</w:t>
      </w:r>
    </w:p>
    <w:p w14:paraId="528EC82D">
      <w:pPr>
        <w:ind w:firstLine="480"/>
      </w:pPr>
      <w:r>
        <w:rPr>
          <w:rFonts w:hint="eastAsia"/>
        </w:rPr>
        <w:t>支持将所选角色分配给任意部门或用户；</w:t>
      </w:r>
    </w:p>
    <w:p w14:paraId="4AA236AC">
      <w:pPr>
        <w:ind w:firstLine="480"/>
      </w:pPr>
      <w:r>
        <w:rPr>
          <w:rFonts w:hint="eastAsia"/>
        </w:rPr>
        <w:t>支持添加/编辑应用角色基本信息，其中角色名称必填；</w:t>
      </w:r>
    </w:p>
    <w:p w14:paraId="4C183389">
      <w:pPr>
        <w:ind w:firstLine="480"/>
      </w:pPr>
      <w:r>
        <w:rPr>
          <w:rFonts w:hint="eastAsia"/>
        </w:rPr>
        <w:t>角色类型分类为应用管理员和应用操作员，应用管理员和应用操作员都可以分配应用菜单权限和应用资源权限，但是只有应用管理员才能再分配权限，应用操作员不能再分配权限，并且应用管理员只能分配他拥有的权限给其他角色；</w:t>
      </w:r>
    </w:p>
    <w:p w14:paraId="577DDA72">
      <w:pPr>
        <w:ind w:firstLine="480"/>
      </w:pPr>
      <w:r>
        <w:rPr>
          <w:rFonts w:hint="eastAsia"/>
        </w:rPr>
        <w:t>支持添加/编辑管理角色基本信息，其中角色名称必填；</w:t>
      </w:r>
    </w:p>
    <w:p w14:paraId="123232CA">
      <w:pPr>
        <w:ind w:firstLine="480"/>
      </w:pPr>
      <w:r>
        <w:rPr>
          <w:rFonts w:hint="eastAsia"/>
        </w:rPr>
        <w:t>角色类型分类为系统管理员和系统操作员，系统管理员和系统操作员都可以分配管理菜单权限和管理资源权限等，但是只有系统管理员才能再分配权限，系统操作员不能再分配权限，并且系统管理员只能分配他拥有的权限给其他角色；</w:t>
      </w:r>
    </w:p>
    <w:p w14:paraId="2AD32E06">
      <w:pPr>
        <w:ind w:firstLine="480"/>
      </w:pPr>
      <w:r>
        <w:rPr>
          <w:rFonts w:hint="eastAsia"/>
        </w:rPr>
        <w:t>支持配置用户权限管理各菜单或者功能项。</w:t>
      </w:r>
    </w:p>
    <w:p w14:paraId="02997054">
      <w:pPr>
        <w:pStyle w:val="9"/>
        <w:rPr>
          <w:rFonts w:hint="eastAsia" w:ascii="宋体" w:hAnsi="宋体"/>
        </w:rPr>
      </w:pPr>
      <w:r>
        <w:rPr>
          <w:rFonts w:hint="eastAsia" w:ascii="宋体" w:hAnsi="宋体"/>
        </w:rPr>
        <w:t>视图库域管理</w:t>
      </w:r>
    </w:p>
    <w:p w14:paraId="5376F951">
      <w:pPr>
        <w:ind w:firstLine="480"/>
      </w:pPr>
      <w:r>
        <w:rPr>
          <w:rFonts w:hint="eastAsia"/>
        </w:rPr>
        <w:t>支持分页展示本级视图库的所有上级视图，包括视图库编号、视图库名称、父级域、IP地址、端口、在线情况、上次在线时间等信息。其中在线情况实时检测展示上级视图库的在线和离线情况；</w:t>
      </w:r>
    </w:p>
    <w:p w14:paraId="1647781D">
      <w:pPr>
        <w:ind w:firstLine="480"/>
      </w:pPr>
      <w:r>
        <w:rPr>
          <w:rFonts w:hint="eastAsia"/>
        </w:rPr>
        <w:t>支持添加上级域视图库，包括视图库编号、视图库名称、是否网络不通、IP地址、端口、厂商、父级域、资源是否自动推送等信息。支持同时添加授权用户，并自动同步到授权用户管理中；</w:t>
      </w:r>
    </w:p>
    <w:p w14:paraId="4ED7B94A">
      <w:pPr>
        <w:ind w:firstLine="480"/>
      </w:pPr>
      <w:r>
        <w:rPr>
          <w:rFonts w:hint="eastAsia"/>
        </w:rPr>
        <w:t>支持编辑上级域视图库信息，包括视图库编号、视图库名称、是否跨网、IP地址、端口、厂商、父级域、资源是否自定义推送等信息。支持同时添加授权用户，并自动同步到授权用户管理中；</w:t>
      </w:r>
    </w:p>
    <w:p w14:paraId="44EC3408">
      <w:pPr>
        <w:ind w:firstLine="480"/>
      </w:pPr>
      <w:r>
        <w:rPr>
          <w:rFonts w:hint="eastAsia"/>
        </w:rPr>
        <w:t>支持单个和批量删除上级域；</w:t>
      </w:r>
    </w:p>
    <w:p w14:paraId="3495032E">
      <w:pPr>
        <w:ind w:firstLine="480"/>
      </w:pPr>
      <w:r>
        <w:rPr>
          <w:rFonts w:hint="eastAsia"/>
        </w:rPr>
        <w:t>支持分页展示本级视图库的所有下级视图，包括视图库编号、视图库名称、父级域、IP地址、端口、在线情况、上次在线时间等信息。其中在线情况实时检测展示下级视图库的在线和离线情况；</w:t>
      </w:r>
    </w:p>
    <w:p w14:paraId="53A7C13E">
      <w:pPr>
        <w:ind w:firstLine="480"/>
      </w:pPr>
      <w:r>
        <w:rPr>
          <w:rFonts w:hint="eastAsia"/>
        </w:rPr>
        <w:t>支持添加下级域视图库，包括视图库编号、视图库名称、是否网络不通、IP地址、端口、是否鉴权、是否向下级注册保活、父级域、是否进行资源编排等信息。支持同时添加授权用户，并自动同步到授权用户管理中；</w:t>
      </w:r>
    </w:p>
    <w:p w14:paraId="65AD56F1">
      <w:pPr>
        <w:ind w:firstLine="480"/>
      </w:pPr>
      <w:r>
        <w:rPr>
          <w:rFonts w:hint="eastAsia"/>
        </w:rPr>
        <w:t>支持编辑下级域视图库信息，包括视图库编号、视图库名称、是否跨网、IP地址、端口、是否鉴权、是否向下级注册保活、父级域、是否进行资源编排等信息。支持同时添加授权用户，并自动同步到授权用户管理中；</w:t>
      </w:r>
    </w:p>
    <w:p w14:paraId="45ED3936">
      <w:pPr>
        <w:ind w:firstLine="480"/>
      </w:pPr>
      <w:r>
        <w:rPr>
          <w:rFonts w:hint="eastAsia"/>
        </w:rPr>
        <w:t>支持单个和批量删除下级域；</w:t>
      </w:r>
    </w:p>
    <w:p w14:paraId="38B8A868">
      <w:pPr>
        <w:ind w:firstLine="480"/>
      </w:pPr>
      <w:r>
        <w:rPr>
          <w:rFonts w:hint="eastAsia"/>
        </w:rPr>
        <w:t>支持分页展示所有授权用户，包括用户名、授权系统类型、联系人、创建时间等信息；</w:t>
      </w:r>
    </w:p>
    <w:p w14:paraId="1F2164D1">
      <w:pPr>
        <w:ind w:firstLine="480"/>
      </w:pPr>
      <w:r>
        <w:rPr>
          <w:rFonts w:hint="eastAsia"/>
        </w:rPr>
        <w:t>支持新增授权用户，包括用户名、授权码、授权系统类型、确认授权码、联系人、功能说明等信息。此用户作为上下级可以通信的信令；</w:t>
      </w:r>
    </w:p>
    <w:p w14:paraId="5F2560E5">
      <w:pPr>
        <w:ind w:firstLine="480"/>
      </w:pPr>
      <w:r>
        <w:rPr>
          <w:rFonts w:hint="eastAsia"/>
        </w:rPr>
        <w:t>支持修改已创建授权用户的用户名、授权码、联系人、功能说明等信息；</w:t>
      </w:r>
    </w:p>
    <w:p w14:paraId="38030928">
      <w:pPr>
        <w:ind w:firstLine="480"/>
      </w:pPr>
      <w:r>
        <w:rPr>
          <w:rFonts w:hint="eastAsia"/>
        </w:rPr>
        <w:t>支持单个和批量删除授权用户；</w:t>
      </w:r>
    </w:p>
    <w:p w14:paraId="678326CF">
      <w:pPr>
        <w:ind w:firstLine="480"/>
      </w:pPr>
      <w:r>
        <w:rPr>
          <w:rFonts w:hint="eastAsia"/>
        </w:rPr>
        <w:t>支持上下级平台进行注册保活；</w:t>
      </w:r>
    </w:p>
    <w:p w14:paraId="2D74C6E4">
      <w:pPr>
        <w:ind w:firstLine="480"/>
      </w:pPr>
      <w:r>
        <w:rPr>
          <w:rFonts w:hint="eastAsia"/>
        </w:rPr>
        <w:t>支持按今天、昨天、近七天、近一个月查看上、下级域所有采集系统的IP地址，离线次数，离线总时长和在线率。后台定时检测系统的在线和离线情况，并统计出离线次数、离线总时长和在线率；</w:t>
      </w:r>
    </w:p>
    <w:p w14:paraId="73FEDDAF">
      <w:pPr>
        <w:ind w:firstLine="480"/>
      </w:pPr>
      <w:r>
        <w:rPr>
          <w:rFonts w:hint="eastAsia"/>
        </w:rPr>
        <w:t>支持查看每个采集系统最近7天的在线时长以及趋势。</w:t>
      </w:r>
    </w:p>
    <w:p w14:paraId="138B8002">
      <w:pPr>
        <w:pStyle w:val="9"/>
        <w:rPr>
          <w:rFonts w:hint="eastAsia" w:ascii="宋体" w:hAnsi="宋体"/>
        </w:rPr>
      </w:pPr>
      <w:r>
        <w:rPr>
          <w:rFonts w:hint="eastAsia" w:ascii="宋体" w:hAnsi="宋体"/>
        </w:rPr>
        <w:t>订阅管理</w:t>
      </w:r>
    </w:p>
    <w:p w14:paraId="69BA82E6">
      <w:pPr>
        <w:ind w:firstLine="480"/>
      </w:pPr>
      <w:r>
        <w:rPr>
          <w:rFonts w:hint="eastAsia"/>
        </w:rPr>
        <w:t>支持添加单个订阅任务，填写订阅相关信息和网络相关信息；支持url、小图、大小图三种图片订阅方式；支持同网订阅和跨网订阅，其中跨网支持FTP摆渡和跨网标准接口两种方式；</w:t>
      </w:r>
    </w:p>
    <w:p w14:paraId="333C97E8">
      <w:pPr>
        <w:ind w:firstLine="480"/>
      </w:pPr>
      <w:r>
        <w:rPr>
          <w:rFonts w:hint="eastAsia"/>
        </w:rPr>
        <w:t>支持抓拍数据的订阅，例如人脸、人体、车辆、资源、车辆违法、非机动车等数据；</w:t>
      </w:r>
    </w:p>
    <w:p w14:paraId="369C7DC4">
      <w:pPr>
        <w:ind w:firstLine="480"/>
      </w:pPr>
      <w:r>
        <w:rPr>
          <w:rFonts w:hint="eastAsia"/>
        </w:rPr>
        <w:t>支持1400标准协议、1400扩展协议。其中1400协议支持2017版本和2018版本；</w:t>
      </w:r>
    </w:p>
    <w:p w14:paraId="2C91A3EB">
      <w:pPr>
        <w:ind w:firstLine="480"/>
      </w:pPr>
      <w:r>
        <w:rPr>
          <w:rFonts w:hint="eastAsia"/>
        </w:rPr>
        <w:t>支持对订阅中的订阅任务，进行编辑修改部分信息；</w:t>
      </w:r>
    </w:p>
    <w:p w14:paraId="6A4A2E6F">
      <w:pPr>
        <w:ind w:firstLine="480"/>
      </w:pPr>
      <w:r>
        <w:rPr>
          <w:rFonts w:hint="eastAsia"/>
        </w:rPr>
        <w:t>支持单个和批量删除订阅任务；</w:t>
      </w:r>
    </w:p>
    <w:p w14:paraId="3AE43DC7">
      <w:pPr>
        <w:ind w:firstLine="480"/>
      </w:pPr>
      <w:r>
        <w:rPr>
          <w:rFonts w:hint="eastAsia"/>
        </w:rPr>
        <w:t>支持分页展示所有订阅任务的信息，包括订阅编号、订阅标题、订阅类别、订阅发送方、订阅接收方、级联方式、订阅任务类型、订阅状态；</w:t>
      </w:r>
    </w:p>
    <w:p w14:paraId="6122D2E2">
      <w:pPr>
        <w:ind w:firstLine="480"/>
      </w:pPr>
      <w:r>
        <w:rPr>
          <w:rFonts w:hint="eastAsia"/>
        </w:rPr>
        <w:t>支持按订阅标题、订阅发送方/接收方、订阅类别、级联方式、订阅任务类型和订阅状态等条件进行组合筛选查询；</w:t>
      </w:r>
    </w:p>
    <w:p w14:paraId="10010EE8">
      <w:pPr>
        <w:ind w:firstLine="480"/>
      </w:pPr>
      <w:r>
        <w:rPr>
          <w:rFonts w:hint="eastAsia"/>
        </w:rPr>
        <w:t>支持查看订阅任务的订阅详情，包括订阅标题、订阅理由、协议类型、订阅时段、订阅类别、网络状态等信息；</w:t>
      </w:r>
    </w:p>
    <w:p w14:paraId="13A595DA">
      <w:pPr>
        <w:ind w:firstLine="480"/>
      </w:pPr>
      <w:r>
        <w:rPr>
          <w:rFonts w:hint="eastAsia"/>
        </w:rPr>
        <w:t>支持查看订阅任务和通知任务的数据管道执行情况，可以查看输入数据量和输出数据量以及异常数据量等；</w:t>
      </w:r>
    </w:p>
    <w:p w14:paraId="52728F2E">
      <w:pPr>
        <w:ind w:firstLine="480"/>
      </w:pPr>
      <w:r>
        <w:rPr>
          <w:rFonts w:hint="eastAsia"/>
        </w:rPr>
        <w:t>系统默认自带人脸、人体、车辆、非机动车、违法过车等数据推送给上级视图库的数据过滤和填充规则，也支持手动添加和修改规则。支持根据不同上级视图库禁用和启用相关的规则；</w:t>
      </w:r>
    </w:p>
    <w:p w14:paraId="0FEBC064">
      <w:pPr>
        <w:ind w:firstLine="480"/>
      </w:pPr>
      <w:r>
        <w:rPr>
          <w:rFonts w:hint="eastAsia"/>
        </w:rPr>
        <w:t>支持在将数据推送给上级视图库时，应用配置的考核规则将不合格的数据过滤掉，不推送给上级视图库，保障数据的考核；</w:t>
      </w:r>
    </w:p>
    <w:p w14:paraId="62406649">
      <w:pPr>
        <w:ind w:firstLine="480"/>
      </w:pPr>
      <w:r>
        <w:rPr>
          <w:rFonts w:hint="eastAsia"/>
        </w:rPr>
        <w:t>支持以采集方式接收下级推送的采集设备，人脸采集数据，车辆采集数据，人体采集数据；</w:t>
      </w:r>
    </w:p>
    <w:p w14:paraId="5BA0F3EE">
      <w:pPr>
        <w:ind w:firstLine="480"/>
      </w:pPr>
      <w:r>
        <w:rPr>
          <w:rFonts w:hint="eastAsia"/>
        </w:rPr>
        <w:t>支持以采集方式向上级推送采集设备，人脸采集数据，车辆采集数据，人体采集数据。</w:t>
      </w:r>
    </w:p>
    <w:p w14:paraId="48BAE380">
      <w:pPr>
        <w:pStyle w:val="9"/>
        <w:rPr>
          <w:rFonts w:hint="eastAsia" w:ascii="宋体" w:hAnsi="宋体"/>
        </w:rPr>
      </w:pPr>
      <w:r>
        <w:rPr>
          <w:rFonts w:hint="eastAsia" w:ascii="宋体" w:hAnsi="宋体"/>
        </w:rPr>
        <w:t>资源级联</w:t>
      </w:r>
    </w:p>
    <w:p w14:paraId="44B690DF">
      <w:pPr>
        <w:ind w:firstLine="480"/>
      </w:pPr>
      <w:r>
        <w:rPr>
          <w:rFonts w:hint="eastAsia"/>
        </w:rPr>
        <w:t>接收平台中通道、卡口、设备及关联关系和国标目录等信息，并在页面上展示；</w:t>
      </w:r>
    </w:p>
    <w:p w14:paraId="2AE0A004">
      <w:pPr>
        <w:ind w:firstLine="480"/>
      </w:pPr>
      <w:r>
        <w:rPr>
          <w:rFonts w:hint="eastAsia"/>
        </w:rPr>
        <w:t>支持分页查看所有设备信息，包括设备编号、设备名称、设备类型、数据状态、级联状态、已数据级联状态等信息；</w:t>
      </w:r>
    </w:p>
    <w:p w14:paraId="06678D9A">
      <w:pPr>
        <w:ind w:firstLine="480"/>
      </w:pPr>
      <w:r>
        <w:rPr>
          <w:rFonts w:hint="eastAsia"/>
        </w:rPr>
        <w:t>支持按行政区划、设备名称、设备编号、设备类型、级联状态、数据状态、已级联数据状态等条件对设备进行查询；</w:t>
      </w:r>
    </w:p>
    <w:p w14:paraId="4DAFFFBF">
      <w:pPr>
        <w:ind w:firstLine="480"/>
      </w:pPr>
      <w:r>
        <w:rPr>
          <w:rFonts w:hint="eastAsia"/>
        </w:rPr>
        <w:t>支持自定义选择行政区划下的部分设备数据级联到上级平台；</w:t>
      </w:r>
    </w:p>
    <w:p w14:paraId="73F32211">
      <w:pPr>
        <w:ind w:firstLine="480"/>
      </w:pPr>
      <w:r>
        <w:rPr>
          <w:rFonts w:hint="eastAsia"/>
        </w:rPr>
        <w:t>支持取消设备数据级联，删除上级平台中的设备数据；</w:t>
      </w:r>
    </w:p>
    <w:p w14:paraId="516EE4A7">
      <w:pPr>
        <w:ind w:firstLine="480"/>
      </w:pPr>
      <w:r>
        <w:rPr>
          <w:rFonts w:hint="eastAsia"/>
        </w:rPr>
        <w:t>支持导出设备数据到Excel中；</w:t>
      </w:r>
    </w:p>
    <w:p w14:paraId="2646CBE3">
      <w:pPr>
        <w:ind w:firstLine="480"/>
      </w:pPr>
      <w:r>
        <w:rPr>
          <w:rFonts w:hint="eastAsia"/>
        </w:rPr>
        <w:t>支持通过手动筛选加入白名单和选择白名单向上级自定义推送设备资源数据；</w:t>
      </w:r>
    </w:p>
    <w:p w14:paraId="0508888D">
      <w:pPr>
        <w:ind w:firstLine="480"/>
      </w:pPr>
      <w:r>
        <w:rPr>
          <w:rFonts w:hint="eastAsia"/>
        </w:rPr>
        <w:t>支持对本级设备的国标编码及国标目录进行编排修改；</w:t>
      </w:r>
    </w:p>
    <w:p w14:paraId="336B4ED5">
      <w:pPr>
        <w:ind w:firstLine="480"/>
      </w:pPr>
      <w:r>
        <w:rPr>
          <w:rFonts w:hint="eastAsia"/>
        </w:rPr>
        <w:t>支持分页查看所有通道信息，包括通道编号、通道名称、能力集、已级联能力集、数据状态、级联状态、已数据级联状态等信息；</w:t>
      </w:r>
    </w:p>
    <w:p w14:paraId="36BC1167">
      <w:pPr>
        <w:ind w:firstLine="480"/>
      </w:pPr>
      <w:r>
        <w:rPr>
          <w:rFonts w:hint="eastAsia"/>
        </w:rPr>
        <w:t>支持按行政区划、通道名称、通道编号、能力集、级联状态、数据状态、已级联数据状态等条件对通道进行查询。</w:t>
      </w:r>
    </w:p>
    <w:p w14:paraId="67F475F5">
      <w:pPr>
        <w:ind w:firstLine="480"/>
      </w:pPr>
      <w:r>
        <w:rPr>
          <w:rFonts w:hint="eastAsia"/>
        </w:rPr>
        <w:t>支持自定义选择行政区划下的部分通道数据级联到上级平台；</w:t>
      </w:r>
    </w:p>
    <w:p w14:paraId="285E142B">
      <w:pPr>
        <w:ind w:firstLine="480"/>
      </w:pPr>
      <w:r>
        <w:rPr>
          <w:rFonts w:hint="eastAsia"/>
        </w:rPr>
        <w:t>支持级联通道的部分能力集到上级平台，同时可以取消级联；</w:t>
      </w:r>
    </w:p>
    <w:p w14:paraId="3C387922">
      <w:pPr>
        <w:ind w:firstLine="480"/>
      </w:pPr>
      <w:r>
        <w:rPr>
          <w:rFonts w:hint="eastAsia"/>
        </w:rPr>
        <w:t>支持取消通道数据级联，删除上级平台中的通道数据；</w:t>
      </w:r>
    </w:p>
    <w:p w14:paraId="5D8BDA14">
      <w:pPr>
        <w:ind w:firstLine="480"/>
      </w:pPr>
      <w:r>
        <w:rPr>
          <w:rFonts w:hint="eastAsia"/>
        </w:rPr>
        <w:t>支持导出通道数据到Excel中；</w:t>
      </w:r>
    </w:p>
    <w:p w14:paraId="593A0B1A">
      <w:pPr>
        <w:ind w:firstLine="480"/>
      </w:pPr>
      <w:r>
        <w:rPr>
          <w:rFonts w:hint="eastAsia"/>
        </w:rPr>
        <w:t>支持通过手动筛选加入白名单和选择白名单向上级自定义推送通道资源数据；</w:t>
      </w:r>
    </w:p>
    <w:p w14:paraId="22C8DC7C">
      <w:pPr>
        <w:ind w:firstLine="480"/>
      </w:pPr>
      <w:r>
        <w:rPr>
          <w:rFonts w:hint="eastAsia"/>
        </w:rPr>
        <w:t>支持对本级通道的国标编码及国标目录进行编排修改；</w:t>
      </w:r>
    </w:p>
    <w:p w14:paraId="0EBF3414">
      <w:pPr>
        <w:ind w:firstLine="480"/>
      </w:pPr>
      <w:r>
        <w:rPr>
          <w:rFonts w:hint="eastAsia"/>
        </w:rPr>
        <w:t>支持分页查看所有卡口信息，包括卡口编号、卡口名称、数据状态、级联状态、已数据级联状态等信息；</w:t>
      </w:r>
    </w:p>
    <w:p w14:paraId="583D8B20">
      <w:pPr>
        <w:ind w:firstLine="480"/>
      </w:pPr>
      <w:r>
        <w:rPr>
          <w:rFonts w:hint="eastAsia"/>
        </w:rPr>
        <w:t>支持按行政区划、卡口名称、卡口编号、级联状态、数据状态、已级联数据状态等条件对卡口进行查询；</w:t>
      </w:r>
    </w:p>
    <w:p w14:paraId="4C0F3CBE">
      <w:pPr>
        <w:ind w:firstLine="480"/>
      </w:pPr>
      <w:r>
        <w:rPr>
          <w:rFonts w:hint="eastAsia"/>
        </w:rPr>
        <w:t>支持自定义选择行政区划下的部分卡口数据级联到上级平台；</w:t>
      </w:r>
    </w:p>
    <w:p w14:paraId="7F9A10FF">
      <w:pPr>
        <w:ind w:firstLine="480"/>
      </w:pPr>
      <w:r>
        <w:rPr>
          <w:rFonts w:hint="eastAsia"/>
        </w:rPr>
        <w:t>支持取消卡口数据级联，删除上级平台中的卡口数据；</w:t>
      </w:r>
    </w:p>
    <w:p w14:paraId="548B0DE2">
      <w:pPr>
        <w:ind w:firstLine="480"/>
      </w:pPr>
      <w:r>
        <w:rPr>
          <w:rFonts w:hint="eastAsia"/>
        </w:rPr>
        <w:t>支持导出卡口数据到Excel中；</w:t>
      </w:r>
    </w:p>
    <w:p w14:paraId="75A06BB1">
      <w:pPr>
        <w:ind w:firstLine="480"/>
      </w:pPr>
      <w:r>
        <w:rPr>
          <w:rFonts w:hint="eastAsia"/>
        </w:rPr>
        <w:t>支持通过手动筛选加入白名单和选择白名单向上级自定义推送卡口资源数据；</w:t>
      </w:r>
    </w:p>
    <w:p w14:paraId="26506847">
      <w:pPr>
        <w:ind w:firstLine="480"/>
      </w:pPr>
      <w:r>
        <w:rPr>
          <w:rFonts w:hint="eastAsia"/>
        </w:rPr>
        <w:t>支持对本级卡口的国标编码及国标目录进行编排修改；</w:t>
      </w:r>
    </w:p>
    <w:p w14:paraId="75BD32BF">
      <w:pPr>
        <w:ind w:firstLine="480"/>
      </w:pPr>
      <w:r>
        <w:rPr>
          <w:rFonts w:hint="eastAsia"/>
        </w:rPr>
        <w:t>支持分页查看所有国标目录信息，包括国标目录编码、国标目录名称、父组织名称、父组织编码、数据状态、级联状态等信息；</w:t>
      </w:r>
    </w:p>
    <w:p w14:paraId="7650CA1C">
      <w:pPr>
        <w:ind w:firstLine="480"/>
      </w:pPr>
      <w:r>
        <w:rPr>
          <w:rFonts w:hint="eastAsia"/>
        </w:rPr>
        <w:t>支持按国标目录名称、国标目录编码、级联状态、数据状态等条件对国标目录进行查询；</w:t>
      </w:r>
    </w:p>
    <w:p w14:paraId="146696C6">
      <w:pPr>
        <w:ind w:firstLine="480"/>
      </w:pPr>
      <w:r>
        <w:rPr>
          <w:rFonts w:hint="eastAsia"/>
        </w:rPr>
        <w:t>支持自定义选择行政区划下的部分国标目录数据级联到上级平台；</w:t>
      </w:r>
    </w:p>
    <w:p w14:paraId="3EB2F47C">
      <w:pPr>
        <w:ind w:firstLine="480"/>
      </w:pPr>
      <w:r>
        <w:rPr>
          <w:rFonts w:hint="eastAsia"/>
        </w:rPr>
        <w:t>支持取消国标目录数据级联，删除上级平台中的国标目录数据；</w:t>
      </w:r>
    </w:p>
    <w:p w14:paraId="725A089E">
      <w:pPr>
        <w:ind w:firstLine="480"/>
      </w:pPr>
      <w:r>
        <w:rPr>
          <w:rFonts w:hint="eastAsia"/>
        </w:rPr>
        <w:t>支持导出国标目录数据到Excel中；</w:t>
      </w:r>
    </w:p>
    <w:p w14:paraId="030991DC">
      <w:pPr>
        <w:ind w:firstLine="480"/>
      </w:pPr>
      <w:r>
        <w:rPr>
          <w:rFonts w:hint="eastAsia"/>
        </w:rPr>
        <w:t>支持对本级国标目录的国标编码及父目录编码进行编排修改；</w:t>
      </w:r>
    </w:p>
    <w:p w14:paraId="212D4D29">
      <w:pPr>
        <w:ind w:firstLine="480"/>
      </w:pPr>
      <w:r>
        <w:rPr>
          <w:rFonts w:hint="eastAsia"/>
        </w:rPr>
        <w:t>作为上级，支持将下级推送的通道资源信息选择性和全量推送到本级平台。支持取消共享；</w:t>
      </w:r>
    </w:p>
    <w:p w14:paraId="61F5E620">
      <w:pPr>
        <w:ind w:firstLine="480"/>
      </w:pPr>
      <w:r>
        <w:rPr>
          <w:rFonts w:hint="eastAsia"/>
        </w:rPr>
        <w:t>作为上级，支持将下级推送的通道资源信息进行删除和资源编排；</w:t>
      </w:r>
    </w:p>
    <w:p w14:paraId="318A4E5D">
      <w:pPr>
        <w:ind w:firstLine="480"/>
      </w:pPr>
      <w:r>
        <w:rPr>
          <w:rFonts w:hint="eastAsia"/>
        </w:rPr>
        <w:t>作为上级，支持通过Excel方式导入下级通道资源信息；</w:t>
      </w:r>
    </w:p>
    <w:p w14:paraId="21ED1F7A">
      <w:pPr>
        <w:ind w:firstLine="480"/>
      </w:pPr>
      <w:r>
        <w:rPr>
          <w:rFonts w:hint="eastAsia"/>
        </w:rPr>
        <w:t>作为上级，支持将下级推送的设备资源信息选择性和全量推送到本级平台。支持取消共享；</w:t>
      </w:r>
    </w:p>
    <w:p w14:paraId="20DD4F0F">
      <w:pPr>
        <w:ind w:firstLine="480"/>
      </w:pPr>
      <w:r>
        <w:rPr>
          <w:rFonts w:hint="eastAsia"/>
        </w:rPr>
        <w:t>作为上级，支持将下级推送的设备资源信息进行删除和资源编排；</w:t>
      </w:r>
    </w:p>
    <w:p w14:paraId="652EADB7">
      <w:pPr>
        <w:ind w:firstLine="480"/>
      </w:pPr>
      <w:r>
        <w:rPr>
          <w:rFonts w:hint="eastAsia"/>
        </w:rPr>
        <w:t>作为上级，支持通过Excel方式导入下级设备资源信息；</w:t>
      </w:r>
    </w:p>
    <w:p w14:paraId="4ACB3952">
      <w:pPr>
        <w:ind w:firstLine="480"/>
      </w:pPr>
      <w:r>
        <w:rPr>
          <w:rFonts w:hint="eastAsia"/>
        </w:rPr>
        <w:t>作为上级，支持将下级推送的国标目录信息选择性和全量推送到本级平台；</w:t>
      </w:r>
    </w:p>
    <w:p w14:paraId="7162D195">
      <w:pPr>
        <w:ind w:firstLine="480"/>
      </w:pPr>
      <w:r>
        <w:rPr>
          <w:rFonts w:hint="eastAsia"/>
        </w:rPr>
        <w:t>作为上级，支持将下级推送的国标目录信息进行删除和资源编排。</w:t>
      </w:r>
    </w:p>
    <w:p w14:paraId="770F3650">
      <w:pPr>
        <w:pStyle w:val="9"/>
        <w:rPr>
          <w:rFonts w:hint="eastAsia" w:ascii="宋体" w:hAnsi="宋体"/>
        </w:rPr>
      </w:pPr>
      <w:r>
        <w:rPr>
          <w:rFonts w:hint="eastAsia" w:ascii="宋体" w:hAnsi="宋体"/>
        </w:rPr>
        <w:t>黑名单管理</w:t>
      </w:r>
    </w:p>
    <w:p w14:paraId="1DA39E90">
      <w:pPr>
        <w:ind w:firstLine="480"/>
      </w:pPr>
      <w:r>
        <w:rPr>
          <w:rFonts w:hint="eastAsia"/>
        </w:rPr>
        <w:t>支持设置卡口和监控点黑名单，包括卡口/监控点名称、卡口/监控点编码、国际编码等信息。支持excel导入黑名单数据。在黑名单中的卡口和监控点的抓拍数据不推送给上级。</w:t>
      </w:r>
    </w:p>
    <w:p w14:paraId="2906CBC3">
      <w:pPr>
        <w:pStyle w:val="9"/>
        <w:rPr>
          <w:rFonts w:hint="eastAsia" w:ascii="宋体" w:hAnsi="宋体"/>
        </w:rPr>
      </w:pPr>
      <w:r>
        <w:rPr>
          <w:rFonts w:hint="eastAsia" w:ascii="宋体" w:hAnsi="宋体"/>
        </w:rPr>
        <w:t>白名单管理</w:t>
      </w:r>
    </w:p>
    <w:p w14:paraId="04C3BC54">
      <w:pPr>
        <w:ind w:firstLine="480"/>
      </w:pPr>
      <w:r>
        <w:rPr>
          <w:rFonts w:hint="eastAsia"/>
        </w:rPr>
        <w:t>支持设置卡口、通道、设备白名单，包括卡口/通道/设备名称、编码和国际编码等信息。支持excel导入白名单数据。</w:t>
      </w:r>
    </w:p>
    <w:p w14:paraId="145D6409">
      <w:pPr>
        <w:pStyle w:val="9"/>
        <w:rPr>
          <w:rFonts w:hint="eastAsia" w:ascii="宋体" w:hAnsi="宋体"/>
        </w:rPr>
      </w:pPr>
      <w:r>
        <w:rPr>
          <w:rFonts w:hint="eastAsia" w:ascii="宋体" w:hAnsi="宋体"/>
        </w:rPr>
        <w:t>云存储扩容</w:t>
      </w:r>
    </w:p>
    <w:p w14:paraId="76447882">
      <w:pPr>
        <w:ind w:firstLine="480"/>
      </w:pPr>
      <w:r>
        <w:rPr>
          <w:rFonts w:hint="eastAsia"/>
        </w:rPr>
        <w:t>含不低于4台存储节点授权，1152TB存储虚拟化服务授权；</w:t>
      </w:r>
    </w:p>
    <w:p w14:paraId="3BD00CD6">
      <w:pPr>
        <w:ind w:firstLine="480"/>
      </w:pPr>
      <w:r>
        <w:rPr>
          <w:rFonts w:hint="eastAsia"/>
        </w:rPr>
        <w:t>可支持PB级存储资源的管理</w:t>
      </w:r>
    </w:p>
    <w:p w14:paraId="37894017">
      <w:pPr>
        <w:ind w:firstLine="480"/>
      </w:pPr>
      <w:r>
        <w:rPr>
          <w:rFonts w:hint="eastAsia"/>
        </w:rPr>
        <w:t>支持云存储节点管理能力</w:t>
      </w:r>
    </w:p>
    <w:p w14:paraId="276C7DBC">
      <w:pPr>
        <w:ind w:firstLine="480"/>
      </w:pPr>
      <w:r>
        <w:rPr>
          <w:rFonts w:hint="eastAsia"/>
        </w:rPr>
        <w:t>采用先进的裸数据存储技术，可极大程度发挥存储设备读写性能，实现云中的秒级检索和回放</w:t>
      </w:r>
    </w:p>
    <w:p w14:paraId="6E197978">
      <w:pPr>
        <w:ind w:firstLine="480"/>
      </w:pPr>
      <w:r>
        <w:rPr>
          <w:rFonts w:hint="eastAsia"/>
        </w:rPr>
        <w:t>支持多种协议：TCP、UDP、RTSP、HTTP、IGMP、Telnet、ICMP、ARP、SIP、SNMP、FTP、ISCSI、ONVIF、GB28181。</w:t>
      </w:r>
    </w:p>
    <w:p w14:paraId="33ACDD30">
      <w:pPr>
        <w:pStyle w:val="9"/>
        <w:rPr>
          <w:rFonts w:hint="eastAsia" w:ascii="宋体" w:hAnsi="宋体"/>
        </w:rPr>
      </w:pPr>
      <w:r>
        <w:rPr>
          <w:rFonts w:hint="eastAsia" w:ascii="宋体" w:hAnsi="宋体"/>
        </w:rPr>
        <w:t>车辆算法</w:t>
      </w:r>
    </w:p>
    <w:p w14:paraId="77A15347">
      <w:pPr>
        <w:ind w:firstLine="480"/>
      </w:pPr>
      <w:r>
        <w:rPr>
          <w:rFonts w:hint="eastAsia"/>
        </w:rPr>
        <w:t>1. 车辆卡口图片处理能力不小于375万张/天；</w:t>
      </w:r>
    </w:p>
    <w:p w14:paraId="0304D317">
      <w:pPr>
        <w:ind w:firstLine="480"/>
      </w:pPr>
      <w:r>
        <w:rPr>
          <w:rFonts w:hint="eastAsia"/>
        </w:rPr>
        <w:t>2. 包含车辆检测、建模、属性分析、车牌识别；</w:t>
      </w:r>
    </w:p>
    <w:p w14:paraId="71ECB421">
      <w:pPr>
        <w:ind w:firstLine="480"/>
      </w:pPr>
      <w:r>
        <w:rPr>
          <w:rFonts w:hint="eastAsia"/>
        </w:rPr>
        <w:t>3. 支持车牌号码、车牌类型、车牌颜色、车牌状态、车辆颜色、是否临牌车、车辆正背向、车辆类型、车辆主/子品牌、主/副驾驶安全带、主/副驾驶遮阳板、打手机、危险品车、渣土车、渣土车是否未盖板、黄标车、三轮车是否有棚、挂件、天窗站人、行李架、备胎、是否有天窗、车身喷字、纸巾盒、摆件、贴标、卡片、副驾驶是否无人/是否怀抱婴儿等车辆属性分析。</w:t>
      </w:r>
    </w:p>
    <w:p w14:paraId="7A048FFA">
      <w:pPr>
        <w:pStyle w:val="5"/>
      </w:pPr>
      <w:r>
        <w:rPr>
          <w:rFonts w:hint="eastAsia"/>
        </w:rPr>
        <w:t>配套硬件设备要求</w:t>
      </w:r>
    </w:p>
    <w:p w14:paraId="46AAEBA1">
      <w:pPr>
        <w:pStyle w:val="6"/>
      </w:pPr>
      <w:r>
        <w:rPr>
          <w:rFonts w:hint="eastAsia"/>
        </w:rPr>
        <w:t>配套服务器要求</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937"/>
        <w:gridCol w:w="3768"/>
        <w:gridCol w:w="618"/>
        <w:gridCol w:w="858"/>
        <w:gridCol w:w="1497"/>
      </w:tblGrid>
      <w:tr w14:paraId="3782B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7F74673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b/>
                <w:bCs/>
                <w:color w:val="000000"/>
                <w:kern w:val="0"/>
                <w:sz w:val="20"/>
                <w:szCs w:val="20"/>
              </w:rPr>
              <w:t>序号</w:t>
            </w:r>
          </w:p>
        </w:tc>
        <w:tc>
          <w:tcPr>
            <w:tcW w:w="937" w:type="dxa"/>
            <w:shd w:val="clear" w:color="auto" w:fill="auto"/>
            <w:noWrap/>
            <w:vAlign w:val="center"/>
          </w:tcPr>
          <w:p w14:paraId="2FA89FA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Times New Roman"/>
                <w:b/>
                <w:bCs/>
                <w:kern w:val="0"/>
                <w:sz w:val="20"/>
                <w:szCs w:val="20"/>
              </w:rPr>
              <w:t>名称</w:t>
            </w:r>
          </w:p>
        </w:tc>
        <w:tc>
          <w:tcPr>
            <w:tcW w:w="3768" w:type="dxa"/>
            <w:shd w:val="clear" w:color="auto" w:fill="auto"/>
            <w:vAlign w:val="center"/>
          </w:tcPr>
          <w:p w14:paraId="7302322B">
            <w:pPr>
              <w:widowControl/>
              <w:spacing w:line="240" w:lineRule="auto"/>
              <w:ind w:firstLine="0" w:firstLineChars="0"/>
              <w:jc w:val="left"/>
              <w:rPr>
                <w:rFonts w:hint="eastAsia" w:ascii="宋体" w:hAnsi="宋体" w:eastAsia="宋体" w:cs="宋体"/>
                <w:color w:val="000000"/>
                <w:kern w:val="0"/>
                <w:sz w:val="20"/>
                <w:szCs w:val="20"/>
              </w:rPr>
            </w:pPr>
            <w:r>
              <w:rPr>
                <w:rFonts w:hint="eastAsia" w:ascii="Times New Roman" w:hAnsi="Times New Roman" w:eastAsia="宋体" w:cs="Times New Roman"/>
                <w:b/>
                <w:bCs/>
                <w:kern w:val="0"/>
                <w:sz w:val="20"/>
                <w:szCs w:val="20"/>
              </w:rPr>
              <w:t>技术要求</w:t>
            </w:r>
          </w:p>
        </w:tc>
        <w:tc>
          <w:tcPr>
            <w:tcW w:w="0" w:type="auto"/>
            <w:shd w:val="clear" w:color="auto" w:fill="auto"/>
            <w:noWrap/>
            <w:vAlign w:val="center"/>
          </w:tcPr>
          <w:p w14:paraId="364B8DA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b/>
                <w:bCs/>
                <w:color w:val="000000"/>
                <w:kern w:val="0"/>
                <w:sz w:val="20"/>
                <w:szCs w:val="20"/>
              </w:rPr>
              <w:t>单位</w:t>
            </w:r>
          </w:p>
        </w:tc>
        <w:tc>
          <w:tcPr>
            <w:tcW w:w="858" w:type="dxa"/>
            <w:shd w:val="clear" w:color="auto" w:fill="auto"/>
            <w:noWrap/>
            <w:vAlign w:val="center"/>
          </w:tcPr>
          <w:p w14:paraId="0B8677E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b/>
                <w:bCs/>
                <w:kern w:val="0"/>
                <w:sz w:val="20"/>
                <w:szCs w:val="20"/>
              </w:rPr>
              <w:t>数量</w:t>
            </w:r>
          </w:p>
        </w:tc>
        <w:tc>
          <w:tcPr>
            <w:tcW w:w="1497" w:type="dxa"/>
            <w:shd w:val="clear" w:color="auto" w:fill="auto"/>
            <w:noWrap/>
            <w:vAlign w:val="center"/>
          </w:tcPr>
          <w:p w14:paraId="40B33EF3">
            <w:pPr>
              <w:widowControl/>
              <w:spacing w:line="240" w:lineRule="auto"/>
              <w:ind w:right="603" w:firstLine="0" w:firstLineChars="0"/>
              <w:rPr>
                <w:rFonts w:hint="eastAsia" w:ascii="宋体" w:hAnsi="宋体" w:eastAsia="宋体" w:cs="宋体"/>
                <w:color w:val="000000"/>
                <w:kern w:val="0"/>
                <w:sz w:val="20"/>
                <w:szCs w:val="20"/>
              </w:rPr>
            </w:pPr>
            <w:r>
              <w:rPr>
                <w:rFonts w:hint="eastAsia" w:ascii="宋体" w:hAnsi="宋体" w:eastAsia="宋体" w:cs="宋体"/>
                <w:b/>
                <w:bCs/>
                <w:kern w:val="0"/>
                <w:sz w:val="20"/>
                <w:szCs w:val="20"/>
              </w:rPr>
              <w:t>备注</w:t>
            </w:r>
          </w:p>
        </w:tc>
      </w:tr>
      <w:tr w14:paraId="36402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6EECB75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937" w:type="dxa"/>
            <w:shd w:val="clear" w:color="auto" w:fill="auto"/>
            <w:noWrap/>
            <w:vAlign w:val="center"/>
          </w:tcPr>
          <w:p w14:paraId="0A42438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应用服务器</w:t>
            </w:r>
          </w:p>
        </w:tc>
        <w:tc>
          <w:tcPr>
            <w:tcW w:w="3768" w:type="dxa"/>
            <w:shd w:val="clear" w:color="auto" w:fill="auto"/>
            <w:vAlign w:val="center"/>
          </w:tcPr>
          <w:p w14:paraId="2B261B84">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配置≥1颗 国产x86架构CPU处理器，核数≥16核，主频≥2.5GHz；</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配置≥128G DDR4，≥16根内存插槽，最大支持扩展至1TB内存；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配置≥2块480G SSD硬盘，配置≥2块4T 7.2K SATA硬盘；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配置SAS_HBA卡（支持RAID 0/1/10）；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最大可选支持6个PCIe扩展插槽；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板载≥2个千兆电口，支持选配10GbE、25GbE SFP+等多种网络接口；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配置≥1个千兆RJ-45管理接口，≥4个USB 3.0接口，≥1个VGA口；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配置500W（1+1）冗余电源；</w:t>
            </w:r>
          </w:p>
        </w:tc>
        <w:tc>
          <w:tcPr>
            <w:tcW w:w="0" w:type="auto"/>
            <w:shd w:val="clear" w:color="auto" w:fill="auto"/>
            <w:noWrap/>
            <w:vAlign w:val="center"/>
          </w:tcPr>
          <w:p w14:paraId="6FFA5F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7333AB0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497" w:type="dxa"/>
            <w:shd w:val="clear" w:color="auto" w:fill="auto"/>
            <w:noWrap/>
            <w:vAlign w:val="center"/>
          </w:tcPr>
          <w:p w14:paraId="20354260">
            <w:pPr>
              <w:widowControl/>
              <w:spacing w:line="240" w:lineRule="auto"/>
              <w:ind w:firstLine="0" w:firstLineChars="0"/>
              <w:jc w:val="right"/>
              <w:rPr>
                <w:rFonts w:hint="eastAsia" w:ascii="宋体" w:hAnsi="宋体" w:eastAsia="宋体" w:cs="宋体"/>
                <w:color w:val="000000"/>
                <w:kern w:val="0"/>
                <w:sz w:val="20"/>
                <w:szCs w:val="20"/>
              </w:rPr>
            </w:pPr>
          </w:p>
        </w:tc>
      </w:tr>
      <w:tr w14:paraId="6B723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674B3B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937" w:type="dxa"/>
            <w:shd w:val="clear" w:color="auto" w:fill="auto"/>
            <w:noWrap/>
            <w:vAlign w:val="center"/>
          </w:tcPr>
          <w:p w14:paraId="561E557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存储管理服务器</w:t>
            </w:r>
          </w:p>
        </w:tc>
        <w:tc>
          <w:tcPr>
            <w:tcW w:w="3768" w:type="dxa"/>
            <w:shd w:val="clear" w:color="auto" w:fill="auto"/>
            <w:vAlign w:val="center"/>
          </w:tcPr>
          <w:p w14:paraId="64C1404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配置≥2颗 国产x86或ARM架构CPU处理器，核数≥8核，主频≥2.5GHz；</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配置≥32G DDR4，最大支持扩展至256GB内存；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配置≥1块240G SSD硬盘，配置≥2块960GB SSD硬盘；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板载≥2个千兆电口，可扩展千兆网口或万兆网口；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配置550W（1+1）冗余电源；</w:t>
            </w:r>
          </w:p>
        </w:tc>
        <w:tc>
          <w:tcPr>
            <w:tcW w:w="0" w:type="auto"/>
            <w:shd w:val="clear" w:color="auto" w:fill="auto"/>
            <w:noWrap/>
            <w:vAlign w:val="center"/>
          </w:tcPr>
          <w:p w14:paraId="64CB7DF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6DAB6F7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497" w:type="dxa"/>
            <w:shd w:val="clear" w:color="auto" w:fill="auto"/>
            <w:noWrap/>
            <w:vAlign w:val="center"/>
          </w:tcPr>
          <w:p w14:paraId="64DF7401">
            <w:pPr>
              <w:widowControl/>
              <w:spacing w:line="240" w:lineRule="auto"/>
              <w:ind w:firstLine="0" w:firstLineChars="0"/>
              <w:jc w:val="right"/>
              <w:rPr>
                <w:rFonts w:hint="eastAsia" w:ascii="宋体" w:hAnsi="宋体" w:eastAsia="宋体" w:cs="宋体"/>
                <w:color w:val="000000"/>
                <w:kern w:val="0"/>
                <w:sz w:val="20"/>
                <w:szCs w:val="20"/>
              </w:rPr>
            </w:pPr>
          </w:p>
        </w:tc>
      </w:tr>
      <w:tr w14:paraId="32C38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72E162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937" w:type="dxa"/>
            <w:shd w:val="clear" w:color="auto" w:fill="auto"/>
            <w:vAlign w:val="center"/>
          </w:tcPr>
          <w:p w14:paraId="5E15BF8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数据接入转发硬件服务器</w:t>
            </w:r>
          </w:p>
        </w:tc>
        <w:tc>
          <w:tcPr>
            <w:tcW w:w="3768" w:type="dxa"/>
            <w:shd w:val="clear" w:color="auto" w:fill="auto"/>
            <w:vAlign w:val="center"/>
          </w:tcPr>
          <w:p w14:paraId="036239B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配置≥1颗 国产x86架构CPU处理器，核数≥8核，主频≥2.8GHz；</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配置≥32G DDR4</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配置≥1块【3.5寸 7.2K SATA】 4TB</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板载≥2个千兆电口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配置500W电源；</w:t>
            </w:r>
          </w:p>
        </w:tc>
        <w:tc>
          <w:tcPr>
            <w:tcW w:w="0" w:type="auto"/>
            <w:shd w:val="clear" w:color="auto" w:fill="auto"/>
            <w:noWrap/>
            <w:vAlign w:val="center"/>
          </w:tcPr>
          <w:p w14:paraId="6A4D3C3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300B9A7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497" w:type="dxa"/>
            <w:shd w:val="clear" w:color="auto" w:fill="auto"/>
            <w:noWrap/>
            <w:vAlign w:val="center"/>
          </w:tcPr>
          <w:p w14:paraId="48319F92">
            <w:pPr>
              <w:widowControl/>
              <w:spacing w:line="240" w:lineRule="auto"/>
              <w:ind w:firstLine="0" w:firstLineChars="0"/>
              <w:jc w:val="right"/>
              <w:rPr>
                <w:rFonts w:hint="eastAsia" w:ascii="宋体" w:hAnsi="宋体" w:eastAsia="宋体" w:cs="宋体"/>
                <w:color w:val="000000"/>
                <w:kern w:val="0"/>
                <w:sz w:val="20"/>
                <w:szCs w:val="20"/>
              </w:rPr>
            </w:pPr>
          </w:p>
        </w:tc>
      </w:tr>
      <w:tr w14:paraId="7B284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11A408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937" w:type="dxa"/>
            <w:shd w:val="clear" w:color="auto" w:fill="auto"/>
            <w:noWrap/>
            <w:vAlign w:val="center"/>
          </w:tcPr>
          <w:p w14:paraId="5CDB2CE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数据库硬件服务器</w:t>
            </w:r>
          </w:p>
        </w:tc>
        <w:tc>
          <w:tcPr>
            <w:tcW w:w="3768" w:type="dxa"/>
            <w:shd w:val="clear" w:color="auto" w:fill="auto"/>
            <w:vAlign w:val="center"/>
          </w:tcPr>
          <w:p w14:paraId="5F56390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配置≥2颗 国产x86架构CPU处理器，核数≥16核，主频≥2.5GHz；</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配置≥128G DDR4</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配置≥1块【3.5寸 7.2K SATA】 4TB</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板载≥2个千兆电口，可扩展千兆网口或万兆网口；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5.RAID卡：标配一张SAS卡，支持RAID0、1，可选配支持RAID0、1、10、5、50、6、60等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配置800W（1+1）冗余电源；</w:t>
            </w:r>
          </w:p>
        </w:tc>
        <w:tc>
          <w:tcPr>
            <w:tcW w:w="0" w:type="auto"/>
            <w:shd w:val="clear" w:color="auto" w:fill="auto"/>
            <w:noWrap/>
            <w:vAlign w:val="center"/>
          </w:tcPr>
          <w:p w14:paraId="09D610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74455FE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497" w:type="dxa"/>
            <w:shd w:val="clear" w:color="auto" w:fill="auto"/>
            <w:noWrap/>
            <w:vAlign w:val="center"/>
          </w:tcPr>
          <w:p w14:paraId="247D6F6C">
            <w:pPr>
              <w:widowControl/>
              <w:spacing w:line="240" w:lineRule="auto"/>
              <w:ind w:firstLine="0" w:firstLineChars="0"/>
              <w:jc w:val="right"/>
              <w:rPr>
                <w:rFonts w:hint="eastAsia" w:ascii="宋体" w:hAnsi="宋体" w:eastAsia="宋体" w:cs="宋体"/>
                <w:color w:val="000000"/>
                <w:kern w:val="0"/>
                <w:sz w:val="20"/>
                <w:szCs w:val="20"/>
              </w:rPr>
            </w:pPr>
          </w:p>
        </w:tc>
      </w:tr>
      <w:tr w14:paraId="2BBEB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416B0F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937" w:type="dxa"/>
            <w:shd w:val="clear" w:color="auto" w:fill="auto"/>
            <w:noWrap/>
            <w:vAlign w:val="center"/>
          </w:tcPr>
          <w:p w14:paraId="058F7D4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交通大数据服务器</w:t>
            </w:r>
          </w:p>
        </w:tc>
        <w:tc>
          <w:tcPr>
            <w:tcW w:w="3768" w:type="dxa"/>
            <w:shd w:val="clear" w:color="auto" w:fill="auto"/>
            <w:vAlign w:val="center"/>
          </w:tcPr>
          <w:p w14:paraId="6CC4B65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CPU ：≥2颗24核国产x86或ARM架构CPU；</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内存：≥512GB DDR4；</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硬盘：240G M.2*1+480G SSD*1 + 960G SSD*6 + 4T 7.2K SATA *6；</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外部接口：万兆光口（2个）+ 千兆电口（2个）；</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最大支持10个PCIE扩展，含2个专用；</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2U 机架式服务器机箱；</w:t>
            </w:r>
          </w:p>
        </w:tc>
        <w:tc>
          <w:tcPr>
            <w:tcW w:w="0" w:type="auto"/>
            <w:shd w:val="clear" w:color="auto" w:fill="auto"/>
            <w:noWrap/>
            <w:vAlign w:val="center"/>
          </w:tcPr>
          <w:p w14:paraId="519453B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425C762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497" w:type="dxa"/>
            <w:shd w:val="clear" w:color="auto" w:fill="auto"/>
            <w:noWrap/>
            <w:vAlign w:val="center"/>
          </w:tcPr>
          <w:p w14:paraId="702DE533">
            <w:pPr>
              <w:widowControl/>
              <w:spacing w:line="240" w:lineRule="auto"/>
              <w:ind w:firstLine="0" w:firstLineChars="0"/>
              <w:jc w:val="right"/>
              <w:rPr>
                <w:rFonts w:hint="eastAsia" w:ascii="宋体" w:hAnsi="宋体" w:eastAsia="宋体" w:cs="宋体"/>
                <w:color w:val="000000"/>
                <w:kern w:val="0"/>
                <w:sz w:val="20"/>
                <w:szCs w:val="20"/>
              </w:rPr>
            </w:pPr>
          </w:p>
        </w:tc>
      </w:tr>
      <w:tr w14:paraId="6A936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4F26663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937" w:type="dxa"/>
            <w:shd w:val="clear" w:color="auto" w:fill="auto"/>
            <w:noWrap/>
            <w:vAlign w:val="center"/>
          </w:tcPr>
          <w:p w14:paraId="0F2BB20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车辆分析服务器（含分析算法）</w:t>
            </w:r>
          </w:p>
        </w:tc>
        <w:tc>
          <w:tcPr>
            <w:tcW w:w="3768" w:type="dxa"/>
            <w:shd w:val="clear" w:color="auto" w:fill="auto"/>
            <w:vAlign w:val="center"/>
          </w:tcPr>
          <w:p w14:paraId="1A5AA2C6">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含分析算法，支持全目标视频抓拍、人脸图片分析、图片结构化分析（人体、车辆、非机动车）等多种智能算法；</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采用国产x86或ARM架构CPU，集成≥2张高性能GPU卡，单卡提供≥64TOPS INT8算力；</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内存≥64GB DDR4；</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系统盘总量≥480G SSD；</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数据接口≥2个千兆自适应网络接口，≥2个VGA接口，6个USB接口；</w:t>
            </w:r>
          </w:p>
        </w:tc>
        <w:tc>
          <w:tcPr>
            <w:tcW w:w="0" w:type="auto"/>
            <w:shd w:val="clear" w:color="auto" w:fill="auto"/>
            <w:noWrap/>
            <w:vAlign w:val="center"/>
          </w:tcPr>
          <w:p w14:paraId="222337AF">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3C1BFF6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497" w:type="dxa"/>
            <w:shd w:val="clear" w:color="auto" w:fill="auto"/>
            <w:noWrap/>
            <w:vAlign w:val="center"/>
          </w:tcPr>
          <w:p w14:paraId="1922E40C">
            <w:pPr>
              <w:widowControl/>
              <w:spacing w:line="240" w:lineRule="auto"/>
              <w:ind w:firstLine="0" w:firstLineChars="0"/>
              <w:jc w:val="right"/>
              <w:rPr>
                <w:rFonts w:hint="eastAsia" w:ascii="宋体" w:hAnsi="宋体" w:eastAsia="宋体" w:cs="宋体"/>
                <w:color w:val="000000"/>
                <w:kern w:val="0"/>
                <w:sz w:val="20"/>
                <w:szCs w:val="20"/>
              </w:rPr>
            </w:pPr>
          </w:p>
        </w:tc>
      </w:tr>
      <w:tr w14:paraId="34B6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33BBAB1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937" w:type="dxa"/>
            <w:shd w:val="clear" w:color="auto" w:fill="auto"/>
            <w:noWrap/>
            <w:vAlign w:val="center"/>
          </w:tcPr>
          <w:p w14:paraId="41A077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视频存储节点</w:t>
            </w:r>
          </w:p>
        </w:tc>
        <w:tc>
          <w:tcPr>
            <w:tcW w:w="3768" w:type="dxa"/>
            <w:shd w:val="clear" w:color="auto" w:fill="auto"/>
            <w:vAlign w:val="center"/>
          </w:tcPr>
          <w:p w14:paraId="4412DFD9">
            <w:pPr>
              <w:widowControl/>
              <w:spacing w:line="240" w:lineRule="auto"/>
              <w:ind w:firstLine="0" w:firstLineChars="0"/>
              <w:jc w:val="left"/>
            </w:pPr>
            <w:r>
              <w:rPr>
                <w:rFonts w:hint="eastAsia" w:ascii="宋体" w:hAnsi="宋体" w:eastAsia="宋体" w:cs="宋体"/>
                <w:color w:val="000000"/>
                <w:kern w:val="0"/>
                <w:sz w:val="20"/>
                <w:szCs w:val="20"/>
              </w:rPr>
              <w:t>1. 处理器：≥64位多核</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2. 系统内存：≥16GB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存储接口：≥36个SATA接口，支持硬盘热插拔，配置≥36块8TB硬盘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网络接口：≥6个千兆数据网口，≥1个千兆管理口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支持视频流、图片流直存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支持ONVIF、GB/T 28181、RTSP等标准协议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采用非对称分布式架构，集群化部署，对外提供唯一IP的存储服务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支持纠删码数据保护技术，具备设备级和磁盘级容错模式，保障数据不丢失、系统业务不中断</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支持存储实时视频、视频片段、图片及伴生的智能结构化数据，支持根据结构化数据的类型检索视频，检索条件包括前端点位ID、时间段、视频目标类型（包含人、机动车、非机动车等）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支持手动、自动对智能事件关联的多个录像片段设置录像标签。支持标签与其关联的录像片段同生命周期管理；支持通过按标签内容查询、回放、下载录像片段数据；支持对标签关联的录像片段进行锁定、备份；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支持视频回放功能：正序/倒序回放、定位回放、高倍速回放、关键帧回放等功能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支持视频锁定、视频封面、视频备</w:t>
            </w:r>
            <w:r>
              <w:rPr>
                <w:rFonts w:hint="eastAsia" w:ascii="宋体" w:hAnsi="宋体" w:eastAsia="宋体" w:cs="宋体"/>
                <w:color w:val="000000" w:themeColor="text1"/>
                <w:kern w:val="0"/>
                <w:sz w:val="20"/>
                <w:szCs w:val="20"/>
                <w14:textFill>
                  <w14:solidFill>
                    <w14:schemeClr w14:val="tx1"/>
                  </w14:solidFill>
                </w14:textFill>
              </w:rPr>
              <w:t>份等视频功能</w:t>
            </w:r>
            <w:r>
              <w:rPr>
                <w:rFonts w:hint="eastAsia" w:ascii="宋体" w:hAnsi="宋体" w:eastAsia="宋体" w:cs="宋体"/>
                <w:color w:val="000000" w:themeColor="text1"/>
                <w:kern w:val="0"/>
                <w:sz w:val="20"/>
                <w:szCs w:val="20"/>
                <w14:textFill>
                  <w14:solidFill>
                    <w14:schemeClr w14:val="tx1"/>
                  </w14:solidFill>
                </w14:textFill>
              </w:rPr>
              <w:br w:type="textWrapping"/>
            </w:r>
            <w:r>
              <w:rPr>
                <w:rFonts w:hint="eastAsia" w:ascii="宋体" w:hAnsi="宋体" w:eastAsia="宋体" w:cs="宋体"/>
                <w:color w:val="000000" w:themeColor="text1"/>
                <w:kern w:val="0"/>
                <w:sz w:val="20"/>
                <w:szCs w:val="20"/>
                <w14:textFill>
                  <w14:solidFill>
                    <w14:schemeClr w14:val="tx1"/>
                  </w14:solidFill>
                </w14:textFill>
              </w:rPr>
              <w:t>13. 支持图片上传，下载，锁定功能，图片按周期、容量、不覆盖策略实现数据生命周期管理</w:t>
            </w:r>
          </w:p>
        </w:tc>
        <w:tc>
          <w:tcPr>
            <w:tcW w:w="0" w:type="auto"/>
            <w:shd w:val="clear" w:color="auto" w:fill="auto"/>
            <w:noWrap/>
            <w:vAlign w:val="center"/>
          </w:tcPr>
          <w:p w14:paraId="232271B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7B70F97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1497" w:type="dxa"/>
            <w:shd w:val="clear" w:color="auto" w:fill="auto"/>
            <w:noWrap/>
            <w:vAlign w:val="center"/>
          </w:tcPr>
          <w:p w14:paraId="381FBD86">
            <w:pPr>
              <w:widowControl/>
              <w:spacing w:line="240" w:lineRule="auto"/>
              <w:ind w:firstLine="0" w:firstLineChars="0"/>
              <w:jc w:val="right"/>
              <w:rPr>
                <w:rFonts w:hint="eastAsia" w:ascii="宋体" w:hAnsi="宋体" w:eastAsia="宋体" w:cs="宋体"/>
                <w:color w:val="000000"/>
                <w:kern w:val="0"/>
                <w:sz w:val="20"/>
                <w:szCs w:val="20"/>
              </w:rPr>
            </w:pPr>
          </w:p>
        </w:tc>
      </w:tr>
      <w:tr w14:paraId="6A957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5AA928F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937" w:type="dxa"/>
            <w:shd w:val="clear" w:color="auto" w:fill="auto"/>
            <w:noWrap/>
            <w:vAlign w:val="center"/>
          </w:tcPr>
          <w:p w14:paraId="2695091C">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图片存储节点</w:t>
            </w:r>
          </w:p>
        </w:tc>
        <w:tc>
          <w:tcPr>
            <w:tcW w:w="3768" w:type="dxa"/>
            <w:shd w:val="clear" w:color="auto" w:fill="auto"/>
            <w:vAlign w:val="center"/>
          </w:tcPr>
          <w:p w14:paraId="3E8B434D">
            <w:pPr>
              <w:widowControl/>
              <w:spacing w:line="240" w:lineRule="auto"/>
              <w:ind w:firstLine="0" w:firstLineChars="0"/>
              <w:jc w:val="left"/>
              <w:rPr>
                <w:rFonts w:hint="eastAsia"/>
              </w:rPr>
            </w:pPr>
            <w:r>
              <w:rPr>
                <w:rFonts w:hint="eastAsia" w:ascii="宋体" w:hAnsi="宋体" w:eastAsia="宋体" w:cs="宋体"/>
                <w:color w:val="000000"/>
                <w:kern w:val="0"/>
                <w:sz w:val="20"/>
                <w:szCs w:val="20"/>
              </w:rPr>
              <w:t>1. 处理器：≥2颗64位多核</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系统内存：≥64GB</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存储接口：≥36个SATA接口，支持硬盘热插拔，已配置≥36块8TB硬盘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网络接口：≥2个千兆数据网口，≥2个万兆光口，≥1个千兆管理口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图片性能：最大支持读写≥550张/秒(单张图片500KB)</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支持视频流、图片流直存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支持ONVIF、GB/T 28181、RTSP等标准协议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采用非对称分布式架构，集群化部署，对外提供唯一IP的存储服务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支持纠删码数据保护技术，具备设备级和磁盘级容错模式，保障数据不丢失、系统业务不中断</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支持云存储节点在线无缝扩容，容量和性能线性增长</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支持云存储节点间的容量及业务负载均衡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12. 支持多种存储覆盖策略，周期覆盖、容量覆盖、不覆盖</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支持视频检索功能，按照监控点编号、录像类型、时间组合等条件查询</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14. 支持视频回放功能：正序/倒序回放、定位回放、高倍速回放、关键帧回放等功能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15. 支持视频锁定、视频封面、视频备份等视频功能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16. 支持图片上传，下载，锁定功能，图片按周期、容量、不覆盖策略实现数据生命周期管理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17. 支持多级加速：支持对不同规格图片数据分级加速存储，小图支持SSD缓存加速，大图支持内存加速；系统支持自定义设置内存加速缓存大小、SSD缓存加速池容量大小，可最高针对4096 KB 图片加速提取 </w:t>
            </w:r>
          </w:p>
        </w:tc>
        <w:tc>
          <w:tcPr>
            <w:tcW w:w="0" w:type="auto"/>
            <w:shd w:val="clear" w:color="auto" w:fill="auto"/>
            <w:noWrap/>
            <w:vAlign w:val="center"/>
          </w:tcPr>
          <w:p w14:paraId="7FA1A96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77EDAD3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497" w:type="dxa"/>
            <w:shd w:val="clear" w:color="auto" w:fill="auto"/>
            <w:noWrap/>
            <w:vAlign w:val="center"/>
          </w:tcPr>
          <w:p w14:paraId="741BD3B3">
            <w:pPr>
              <w:widowControl/>
              <w:spacing w:line="240" w:lineRule="auto"/>
              <w:ind w:firstLine="0" w:firstLineChars="0"/>
              <w:jc w:val="right"/>
              <w:rPr>
                <w:rFonts w:hint="eastAsia" w:ascii="宋体" w:hAnsi="宋体" w:eastAsia="宋体" w:cs="宋体"/>
                <w:color w:val="000000"/>
                <w:kern w:val="0"/>
                <w:sz w:val="20"/>
                <w:szCs w:val="20"/>
              </w:rPr>
            </w:pPr>
          </w:p>
        </w:tc>
      </w:tr>
      <w:tr w14:paraId="3AA6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noWrap/>
            <w:vAlign w:val="center"/>
          </w:tcPr>
          <w:p w14:paraId="025408A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937" w:type="dxa"/>
            <w:shd w:val="clear" w:color="auto" w:fill="auto"/>
            <w:noWrap/>
            <w:vAlign w:val="center"/>
          </w:tcPr>
          <w:p w14:paraId="6CDBEF70">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校时服务器</w:t>
            </w:r>
          </w:p>
        </w:tc>
        <w:tc>
          <w:tcPr>
            <w:tcW w:w="3768" w:type="dxa"/>
            <w:shd w:val="clear" w:color="auto" w:fill="auto"/>
            <w:vAlign w:val="center"/>
          </w:tcPr>
          <w:p w14:paraId="4C7D8B8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 处理器：嵌入式ARM处理器；</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 同步精度：卫星同步精度≤100ns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 支持对服务器进行授时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 设备上电或重启后，系统自启校时服务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 守时精度≤50us（24 小时）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 授时容量≤1ms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 支持GPS、北斗、NTP校时；支持多网段校时；支持在丢失信号的情况下可以自行授时</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 NTP端口支持冗余功能；支持双机冗余热备；</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 支持MD5安全加密协议、支持证书加密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 支持4路NTP输出（10/100/1000M自适应），单端口授时能力高达11760次/秒</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 NTP授时精度≤10us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 xml:space="preserve">12. 授时频段：GPS: 1575.42±1.023MHz ；北斗: 1561.098±2.046MHz </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13. 含30米天线；</w:t>
            </w:r>
          </w:p>
        </w:tc>
        <w:tc>
          <w:tcPr>
            <w:tcW w:w="0" w:type="auto"/>
            <w:shd w:val="clear" w:color="auto" w:fill="auto"/>
            <w:noWrap/>
            <w:vAlign w:val="center"/>
          </w:tcPr>
          <w:p w14:paraId="075FBEB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858" w:type="dxa"/>
            <w:shd w:val="clear" w:color="auto" w:fill="auto"/>
            <w:noWrap/>
            <w:vAlign w:val="center"/>
          </w:tcPr>
          <w:p w14:paraId="7F23930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497" w:type="dxa"/>
            <w:shd w:val="clear" w:color="auto" w:fill="auto"/>
            <w:noWrap/>
            <w:vAlign w:val="center"/>
          </w:tcPr>
          <w:p w14:paraId="12CC1749">
            <w:pPr>
              <w:widowControl/>
              <w:spacing w:line="240" w:lineRule="auto"/>
              <w:ind w:firstLine="0" w:firstLineChars="0"/>
              <w:jc w:val="right"/>
              <w:rPr>
                <w:rFonts w:hint="eastAsia" w:ascii="宋体" w:hAnsi="宋体" w:eastAsia="宋体" w:cs="宋体"/>
                <w:color w:val="000000"/>
                <w:kern w:val="0"/>
                <w:sz w:val="20"/>
                <w:szCs w:val="20"/>
              </w:rPr>
            </w:pPr>
          </w:p>
        </w:tc>
      </w:tr>
    </w:tbl>
    <w:p w14:paraId="72D4BA06">
      <w:pPr>
        <w:ind w:firstLine="480"/>
      </w:pPr>
    </w:p>
    <w:p w14:paraId="7590D771">
      <w:pPr>
        <w:pStyle w:val="6"/>
      </w:pPr>
      <w:r>
        <w:rPr>
          <w:rFonts w:hint="eastAsia"/>
        </w:rPr>
        <w:t>配套网络安全设备及UPS设备要求</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
        <w:gridCol w:w="708"/>
        <w:gridCol w:w="6267"/>
        <w:gridCol w:w="353"/>
        <w:gridCol w:w="353"/>
        <w:gridCol w:w="489"/>
      </w:tblGrid>
      <w:tr w14:paraId="3E743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74716147">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序号</w:t>
            </w:r>
          </w:p>
        </w:tc>
        <w:tc>
          <w:tcPr>
            <w:tcW w:w="425" w:type="pct"/>
            <w:shd w:val="clear" w:color="auto" w:fill="auto"/>
            <w:noWrap/>
            <w:vAlign w:val="center"/>
          </w:tcPr>
          <w:p w14:paraId="3CADC69F">
            <w:pPr>
              <w:widowControl/>
              <w:spacing w:line="240" w:lineRule="auto"/>
              <w:ind w:firstLine="0" w:firstLineChars="0"/>
              <w:jc w:val="left"/>
              <w:rPr>
                <w:rFonts w:hint="eastAsia" w:ascii="宋体" w:hAnsi="宋体" w:eastAsia="宋体" w:cs="Times New Roman"/>
                <w:b/>
                <w:bCs/>
                <w:kern w:val="0"/>
                <w:sz w:val="20"/>
                <w:szCs w:val="20"/>
              </w:rPr>
            </w:pPr>
            <w:r>
              <w:rPr>
                <w:rFonts w:hint="eastAsia" w:ascii="宋体" w:hAnsi="宋体" w:eastAsia="宋体" w:cs="Times New Roman"/>
                <w:b/>
                <w:bCs/>
                <w:kern w:val="0"/>
                <w:sz w:val="20"/>
                <w:szCs w:val="20"/>
              </w:rPr>
              <w:t>名称</w:t>
            </w:r>
          </w:p>
        </w:tc>
        <w:tc>
          <w:tcPr>
            <w:tcW w:w="3749" w:type="pct"/>
            <w:shd w:val="clear" w:color="auto" w:fill="auto"/>
            <w:noWrap/>
            <w:vAlign w:val="center"/>
          </w:tcPr>
          <w:p w14:paraId="71A995E7">
            <w:pPr>
              <w:widowControl/>
              <w:spacing w:line="240" w:lineRule="auto"/>
              <w:ind w:firstLine="0" w:firstLineChars="0"/>
              <w:jc w:val="left"/>
              <w:rPr>
                <w:rFonts w:ascii="Times New Roman" w:hAnsi="Times New Roman" w:eastAsia="宋体" w:cs="Times New Roman"/>
                <w:b/>
                <w:bCs/>
                <w:kern w:val="0"/>
                <w:sz w:val="20"/>
                <w:szCs w:val="20"/>
              </w:rPr>
            </w:pPr>
            <w:r>
              <w:rPr>
                <w:rFonts w:hint="eastAsia" w:ascii="Times New Roman" w:hAnsi="Times New Roman" w:eastAsia="宋体" w:cs="Times New Roman"/>
                <w:b/>
                <w:bCs/>
                <w:kern w:val="0"/>
                <w:sz w:val="20"/>
                <w:szCs w:val="20"/>
              </w:rPr>
              <w:t>技术要求</w:t>
            </w:r>
          </w:p>
        </w:tc>
        <w:tc>
          <w:tcPr>
            <w:tcW w:w="171" w:type="pct"/>
            <w:shd w:val="clear" w:color="auto" w:fill="auto"/>
            <w:noWrap/>
            <w:vAlign w:val="center"/>
          </w:tcPr>
          <w:p w14:paraId="11E8BE73">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单位</w:t>
            </w:r>
          </w:p>
        </w:tc>
        <w:tc>
          <w:tcPr>
            <w:tcW w:w="171" w:type="pct"/>
            <w:shd w:val="clear" w:color="auto" w:fill="auto"/>
            <w:noWrap/>
            <w:vAlign w:val="center"/>
          </w:tcPr>
          <w:p w14:paraId="28DEFB40">
            <w:pPr>
              <w:widowControl/>
              <w:spacing w:line="240" w:lineRule="auto"/>
              <w:ind w:firstLine="0" w:firstLineChars="0"/>
              <w:jc w:val="center"/>
              <w:rPr>
                <w:rFonts w:hint="eastAsia" w:ascii="宋体" w:hAnsi="宋体" w:eastAsia="宋体" w:cs="宋体"/>
                <w:b/>
                <w:bCs/>
                <w:kern w:val="0"/>
                <w:sz w:val="20"/>
                <w:szCs w:val="20"/>
              </w:rPr>
            </w:pPr>
            <w:r>
              <w:rPr>
                <w:rFonts w:hint="eastAsia" w:ascii="宋体" w:hAnsi="宋体" w:eastAsia="宋体" w:cs="宋体"/>
                <w:b/>
                <w:bCs/>
                <w:kern w:val="0"/>
                <w:sz w:val="20"/>
                <w:szCs w:val="20"/>
              </w:rPr>
              <w:t>数量</w:t>
            </w:r>
          </w:p>
        </w:tc>
        <w:tc>
          <w:tcPr>
            <w:tcW w:w="313" w:type="pct"/>
            <w:shd w:val="clear" w:color="auto" w:fill="auto"/>
            <w:noWrap/>
            <w:vAlign w:val="center"/>
          </w:tcPr>
          <w:p w14:paraId="0D5985F1">
            <w:pPr>
              <w:widowControl/>
              <w:spacing w:line="240" w:lineRule="auto"/>
              <w:ind w:right="400" w:firstLine="0" w:firstLineChars="0"/>
              <w:jc w:val="right"/>
              <w:rPr>
                <w:rFonts w:hint="eastAsia" w:ascii="宋体" w:hAnsi="宋体" w:eastAsia="宋体" w:cs="宋体"/>
                <w:b/>
                <w:bCs/>
                <w:kern w:val="0"/>
                <w:sz w:val="20"/>
                <w:szCs w:val="20"/>
              </w:rPr>
            </w:pPr>
            <w:r>
              <w:rPr>
                <w:rFonts w:hint="eastAsia" w:ascii="宋体" w:hAnsi="宋体" w:eastAsia="宋体" w:cs="宋体"/>
                <w:b/>
                <w:bCs/>
                <w:kern w:val="0"/>
                <w:sz w:val="20"/>
                <w:szCs w:val="20"/>
              </w:rPr>
              <w:t>备注</w:t>
            </w:r>
          </w:p>
        </w:tc>
      </w:tr>
      <w:tr w14:paraId="68B2F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385BD00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425" w:type="pct"/>
            <w:shd w:val="clear" w:color="auto" w:fill="auto"/>
            <w:noWrap/>
            <w:vAlign w:val="center"/>
          </w:tcPr>
          <w:p w14:paraId="35486753">
            <w:pPr>
              <w:widowControl/>
              <w:spacing w:line="240" w:lineRule="auto"/>
              <w:ind w:firstLine="0" w:firstLineChars="0"/>
              <w:jc w:val="left"/>
              <w:rPr>
                <w:rFonts w:ascii="Times New Roman" w:hAnsi="Times New Roman" w:eastAsia="宋体" w:cs="Times New Roman"/>
                <w:kern w:val="0"/>
                <w:sz w:val="20"/>
                <w:szCs w:val="20"/>
              </w:rPr>
            </w:pPr>
            <w:r>
              <w:rPr>
                <w:rFonts w:hint="eastAsia" w:ascii="宋体" w:hAnsi="宋体" w:eastAsia="宋体" w:cs="Times New Roman"/>
                <w:kern w:val="0"/>
                <w:sz w:val="20"/>
                <w:szCs w:val="20"/>
              </w:rPr>
              <w:t>网络机柜</w:t>
            </w:r>
          </w:p>
        </w:tc>
        <w:tc>
          <w:tcPr>
            <w:tcW w:w="3749" w:type="pct"/>
            <w:shd w:val="clear" w:color="auto" w:fill="auto"/>
            <w:noWrap/>
            <w:vAlign w:val="center"/>
          </w:tcPr>
          <w:p w14:paraId="35B09945">
            <w:pPr>
              <w:widowControl/>
              <w:spacing w:line="240" w:lineRule="auto"/>
              <w:ind w:firstLine="0" w:firstLineChars="0"/>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1</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t>600×1200×2000mm</w:t>
            </w:r>
            <w:r>
              <w:rPr>
                <w:rFonts w:hint="eastAsia" w:ascii="宋体" w:hAnsi="宋体" w:eastAsia="宋体" w:cs="Times New Roman"/>
                <w:kern w:val="0"/>
                <w:sz w:val="20"/>
                <w:szCs w:val="20"/>
              </w:rPr>
              <w:t>，含底座（底座高</w:t>
            </w:r>
            <w:r>
              <w:rPr>
                <w:rFonts w:ascii="Times New Roman" w:hAnsi="Times New Roman" w:eastAsia="宋体" w:cs="Times New Roman"/>
                <w:kern w:val="0"/>
                <w:sz w:val="20"/>
                <w:szCs w:val="20"/>
              </w:rPr>
              <w:t>500mm</w:t>
            </w:r>
            <w:r>
              <w:rPr>
                <w:rFonts w:hint="eastAsia" w:ascii="宋体" w:hAnsi="宋体" w:eastAsia="宋体" w:cs="Times New Roman"/>
                <w:kern w:val="0"/>
                <w:sz w:val="20"/>
                <w:szCs w:val="20"/>
              </w:rPr>
              <w:t>），黑色，每个机柜配置</w:t>
            </w:r>
            <w:r>
              <w:rPr>
                <w:rFonts w:ascii="Times New Roman" w:hAnsi="Times New Roman" w:eastAsia="宋体" w:cs="Times New Roman"/>
                <w:kern w:val="0"/>
                <w:sz w:val="20"/>
                <w:szCs w:val="20"/>
              </w:rPr>
              <w:t>2</w:t>
            </w:r>
            <w:r>
              <w:rPr>
                <w:rFonts w:hint="eastAsia" w:ascii="宋体" w:hAnsi="宋体" w:eastAsia="宋体" w:cs="Times New Roman"/>
                <w:kern w:val="0"/>
                <w:sz w:val="20"/>
                <w:szCs w:val="20"/>
              </w:rPr>
              <w:t>个</w:t>
            </w:r>
            <w:r>
              <w:rPr>
                <w:rFonts w:ascii="Times New Roman" w:hAnsi="Times New Roman" w:eastAsia="宋体" w:cs="Times New Roman"/>
                <w:kern w:val="0"/>
                <w:sz w:val="20"/>
                <w:szCs w:val="20"/>
              </w:rPr>
              <w:t>PDU</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t>PDU</w:t>
            </w:r>
            <w:r>
              <w:rPr>
                <w:rFonts w:hint="eastAsia" w:ascii="宋体" w:hAnsi="宋体" w:eastAsia="宋体" w:cs="Times New Roman"/>
                <w:kern w:val="0"/>
                <w:sz w:val="20"/>
                <w:szCs w:val="20"/>
              </w:rPr>
              <w:t>配置：输入</w:t>
            </w:r>
            <w:r>
              <w:rPr>
                <w:rFonts w:ascii="Times New Roman" w:hAnsi="Times New Roman" w:eastAsia="宋体" w:cs="Times New Roman"/>
                <w:kern w:val="0"/>
                <w:sz w:val="20"/>
                <w:szCs w:val="20"/>
              </w:rPr>
              <w:t>:220V/32A,</w:t>
            </w:r>
            <w:r>
              <w:rPr>
                <w:rFonts w:hint="eastAsia" w:ascii="宋体" w:hAnsi="宋体" w:eastAsia="宋体" w:cs="Times New Roman"/>
                <w:kern w:val="0"/>
                <w:sz w:val="20"/>
                <w:szCs w:val="20"/>
              </w:rPr>
              <w:t>输出：</w:t>
            </w:r>
            <w:r>
              <w:rPr>
                <w:rFonts w:ascii="Times New Roman" w:hAnsi="Times New Roman" w:eastAsia="宋体" w:cs="Times New Roman"/>
                <w:kern w:val="0"/>
                <w:sz w:val="20"/>
                <w:szCs w:val="20"/>
              </w:rPr>
              <w:t>4*16A+10*10A</w:t>
            </w:r>
            <w:r>
              <w:rPr>
                <w:rFonts w:hint="eastAsia" w:ascii="宋体" w:hAnsi="宋体" w:eastAsia="宋体" w:cs="Times New Roman"/>
                <w:kern w:val="0"/>
                <w:sz w:val="20"/>
                <w:szCs w:val="20"/>
              </w:rPr>
              <w:t>，含防雷）；</w:t>
            </w:r>
            <w:r>
              <w:rPr>
                <w:rFonts w:hint="eastAsia" w:ascii="宋体" w:hAnsi="宋体" w:eastAsia="宋体" w:cs="Times New Roman"/>
                <w:kern w:val="0"/>
                <w:sz w:val="20"/>
                <w:szCs w:val="20"/>
              </w:rPr>
              <w:br w:type="textWrapping"/>
            </w:r>
            <w:r>
              <w:rPr>
                <w:rFonts w:ascii="Times New Roman" w:hAnsi="Times New Roman" w:eastAsia="宋体" w:cs="Times New Roman"/>
                <w:kern w:val="0"/>
                <w:sz w:val="20"/>
                <w:szCs w:val="20"/>
              </w:rPr>
              <w:t>2</w:t>
            </w:r>
            <w:r>
              <w:rPr>
                <w:rFonts w:hint="eastAsia" w:ascii="宋体" w:hAnsi="宋体" w:eastAsia="宋体" w:cs="Times New Roman"/>
                <w:kern w:val="0"/>
                <w:sz w:val="20"/>
                <w:szCs w:val="20"/>
              </w:rPr>
              <w:t>、前、后网孔门，双开，带机械锁；带并柜件</w:t>
            </w:r>
            <w:r>
              <w:rPr>
                <w:rFonts w:ascii="Times New Roman" w:hAnsi="Times New Roman" w:eastAsia="宋体" w:cs="Times New Roman"/>
                <w:kern w:val="0"/>
                <w:sz w:val="20"/>
                <w:szCs w:val="20"/>
              </w:rPr>
              <w:t>;</w:t>
            </w:r>
            <w:r>
              <w:rPr>
                <w:rFonts w:hint="eastAsia" w:ascii="宋体" w:hAnsi="宋体" w:eastAsia="宋体" w:cs="Times New Roman"/>
                <w:kern w:val="0"/>
                <w:sz w:val="20"/>
                <w:szCs w:val="20"/>
              </w:rPr>
              <w:t>带脚轮和调平支脚；静载能力≥</w:t>
            </w:r>
            <w:r>
              <w:rPr>
                <w:rFonts w:ascii="Times New Roman" w:hAnsi="Times New Roman" w:eastAsia="宋体" w:cs="Times New Roman"/>
                <w:kern w:val="0"/>
                <w:sz w:val="20"/>
                <w:szCs w:val="20"/>
              </w:rPr>
              <w:t>1600KG</w:t>
            </w:r>
            <w:r>
              <w:rPr>
                <w:rFonts w:hint="eastAsia" w:ascii="宋体" w:hAnsi="宋体" w:eastAsia="宋体" w:cs="Times New Roman"/>
                <w:kern w:val="0"/>
                <w:sz w:val="20"/>
                <w:szCs w:val="20"/>
              </w:rPr>
              <w:t>，通过</w:t>
            </w:r>
            <w:r>
              <w:rPr>
                <w:rFonts w:ascii="Times New Roman" w:hAnsi="Times New Roman" w:eastAsia="宋体" w:cs="Times New Roman"/>
                <w:kern w:val="0"/>
                <w:sz w:val="20"/>
                <w:szCs w:val="20"/>
              </w:rPr>
              <w:t>8</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t>9</w:t>
            </w:r>
            <w:r>
              <w:rPr>
                <w:rFonts w:hint="eastAsia" w:ascii="宋体" w:hAnsi="宋体" w:eastAsia="宋体" w:cs="Times New Roman"/>
                <w:kern w:val="0"/>
                <w:sz w:val="20"/>
                <w:szCs w:val="20"/>
              </w:rPr>
              <w:t>烈度抗震检验；</w:t>
            </w:r>
            <w:r>
              <w:rPr>
                <w:rFonts w:hint="eastAsia" w:ascii="宋体" w:hAnsi="宋体" w:eastAsia="宋体" w:cs="Times New Roman"/>
                <w:kern w:val="0"/>
                <w:sz w:val="20"/>
                <w:szCs w:val="20"/>
              </w:rPr>
              <w:br w:type="textWrapping"/>
            </w:r>
            <w:r>
              <w:rPr>
                <w:rFonts w:ascii="Times New Roman" w:hAnsi="Times New Roman" w:eastAsia="宋体" w:cs="Times New Roman"/>
                <w:kern w:val="0"/>
                <w:sz w:val="20"/>
                <w:szCs w:val="20"/>
              </w:rPr>
              <w:t>3</w:t>
            </w:r>
            <w:r>
              <w:rPr>
                <w:rFonts w:hint="eastAsia" w:ascii="宋体" w:hAnsi="宋体" w:eastAsia="宋体" w:cs="Times New Roman"/>
                <w:kern w:val="0"/>
                <w:sz w:val="20"/>
                <w:szCs w:val="20"/>
              </w:rPr>
              <w:t>、每个机柜配置</w:t>
            </w:r>
            <w:r>
              <w:rPr>
                <w:rFonts w:ascii="Times New Roman" w:hAnsi="Times New Roman" w:eastAsia="宋体" w:cs="Times New Roman"/>
                <w:kern w:val="0"/>
                <w:sz w:val="20"/>
                <w:szCs w:val="20"/>
              </w:rPr>
              <w:t>21</w:t>
            </w:r>
            <w:r>
              <w:rPr>
                <w:rFonts w:hint="eastAsia" w:ascii="宋体" w:hAnsi="宋体" w:eastAsia="宋体" w:cs="Times New Roman"/>
                <w:kern w:val="0"/>
                <w:sz w:val="20"/>
                <w:szCs w:val="20"/>
              </w:rPr>
              <w:t>块盲板、</w:t>
            </w:r>
            <w:r>
              <w:rPr>
                <w:rFonts w:ascii="Times New Roman" w:hAnsi="Times New Roman" w:eastAsia="宋体" w:cs="Times New Roman"/>
                <w:kern w:val="0"/>
                <w:sz w:val="20"/>
                <w:szCs w:val="20"/>
              </w:rPr>
              <w:t>15</w:t>
            </w:r>
            <w:r>
              <w:rPr>
                <w:rFonts w:hint="eastAsia" w:ascii="宋体" w:hAnsi="宋体" w:eastAsia="宋体" w:cs="Times New Roman"/>
                <w:kern w:val="0"/>
                <w:sz w:val="20"/>
                <w:szCs w:val="20"/>
              </w:rPr>
              <w:t>个</w:t>
            </w:r>
            <w:r>
              <w:rPr>
                <w:rFonts w:ascii="Times New Roman" w:hAnsi="Times New Roman" w:eastAsia="宋体" w:cs="Times New Roman"/>
                <w:kern w:val="0"/>
                <w:sz w:val="20"/>
                <w:szCs w:val="20"/>
              </w:rPr>
              <w:t>L</w:t>
            </w:r>
            <w:r>
              <w:rPr>
                <w:rFonts w:hint="eastAsia" w:ascii="宋体" w:hAnsi="宋体" w:eastAsia="宋体" w:cs="Times New Roman"/>
                <w:kern w:val="0"/>
                <w:sz w:val="20"/>
                <w:szCs w:val="20"/>
              </w:rPr>
              <w:t>型撑板；</w:t>
            </w:r>
            <w:r>
              <w:rPr>
                <w:rFonts w:hint="eastAsia" w:ascii="宋体" w:hAnsi="宋体" w:eastAsia="宋体" w:cs="Times New Roman"/>
                <w:kern w:val="0"/>
                <w:sz w:val="20"/>
                <w:szCs w:val="20"/>
              </w:rPr>
              <w:br w:type="textWrapping"/>
            </w:r>
            <w:r>
              <w:rPr>
                <w:rFonts w:ascii="Times New Roman" w:hAnsi="Times New Roman" w:eastAsia="宋体" w:cs="Times New Roman"/>
                <w:kern w:val="0"/>
                <w:sz w:val="20"/>
                <w:szCs w:val="20"/>
              </w:rPr>
              <w:t>4</w:t>
            </w:r>
            <w:r>
              <w:rPr>
                <w:rFonts w:hint="eastAsia" w:ascii="宋体" w:hAnsi="宋体" w:eastAsia="宋体" w:cs="Times New Roman"/>
                <w:kern w:val="0"/>
                <w:sz w:val="20"/>
                <w:szCs w:val="20"/>
              </w:rPr>
              <w:t>、机柜内配置保护地排；</w:t>
            </w:r>
            <w:r>
              <w:rPr>
                <w:rFonts w:hint="eastAsia" w:ascii="宋体" w:hAnsi="宋体" w:eastAsia="宋体" w:cs="Times New Roman"/>
                <w:kern w:val="0"/>
                <w:sz w:val="20"/>
                <w:szCs w:val="20"/>
              </w:rPr>
              <w:br w:type="textWrapping"/>
            </w:r>
            <w:r>
              <w:rPr>
                <w:rFonts w:ascii="Times New Roman" w:hAnsi="Times New Roman" w:eastAsia="宋体" w:cs="Times New Roman"/>
                <w:kern w:val="0"/>
                <w:sz w:val="20"/>
                <w:szCs w:val="20"/>
              </w:rPr>
              <w:t>5</w:t>
            </w:r>
            <w:r>
              <w:rPr>
                <w:rFonts w:hint="eastAsia" w:ascii="宋体" w:hAnsi="宋体" w:eastAsia="宋体" w:cs="Times New Roman"/>
                <w:kern w:val="0"/>
                <w:sz w:val="20"/>
                <w:szCs w:val="20"/>
              </w:rPr>
              <w:t>、机柜前后门应采用不小于</w:t>
            </w:r>
            <w:r>
              <w:rPr>
                <w:rFonts w:ascii="Times New Roman" w:hAnsi="Times New Roman" w:eastAsia="宋体" w:cs="Times New Roman"/>
                <w:kern w:val="0"/>
                <w:sz w:val="20"/>
                <w:szCs w:val="20"/>
              </w:rPr>
              <w:t>1.0mm</w:t>
            </w:r>
            <w:r>
              <w:rPr>
                <w:rFonts w:hint="eastAsia" w:ascii="宋体" w:hAnsi="宋体" w:eastAsia="宋体" w:cs="Times New Roman"/>
                <w:kern w:val="0"/>
                <w:sz w:val="20"/>
                <w:szCs w:val="20"/>
              </w:rPr>
              <w:t>厚度的优质板材加工，机柜前后门须采用具有良好透风性能网状结构，前门采用单开平板网孔门，后门采用双开平板门；机柜开孔率不低于</w:t>
            </w:r>
            <w:r>
              <w:rPr>
                <w:rFonts w:ascii="Times New Roman" w:hAnsi="Times New Roman" w:eastAsia="宋体" w:cs="Times New Roman"/>
                <w:kern w:val="0"/>
                <w:sz w:val="20"/>
                <w:szCs w:val="20"/>
              </w:rPr>
              <w:t>80%</w:t>
            </w:r>
            <w:r>
              <w:rPr>
                <w:rFonts w:hint="eastAsia" w:ascii="宋体" w:hAnsi="宋体" w:eastAsia="宋体" w:cs="Times New Roman"/>
                <w:kern w:val="0"/>
                <w:sz w:val="20"/>
                <w:szCs w:val="20"/>
              </w:rPr>
              <w:t>，机柜防护等级</w:t>
            </w:r>
            <w:r>
              <w:rPr>
                <w:rFonts w:ascii="Times New Roman" w:hAnsi="Times New Roman" w:eastAsia="宋体" w:cs="Times New Roman"/>
                <w:kern w:val="0"/>
                <w:sz w:val="20"/>
                <w:szCs w:val="20"/>
              </w:rPr>
              <w:t>IP20</w:t>
            </w:r>
            <w:r>
              <w:rPr>
                <w:rFonts w:hint="eastAsia" w:ascii="宋体" w:hAnsi="宋体" w:eastAsia="宋体" w:cs="Times New Roman"/>
                <w:kern w:val="0"/>
                <w:sz w:val="20"/>
                <w:szCs w:val="20"/>
              </w:rPr>
              <w:t>。</w:t>
            </w:r>
          </w:p>
        </w:tc>
        <w:tc>
          <w:tcPr>
            <w:tcW w:w="171" w:type="pct"/>
            <w:shd w:val="clear" w:color="auto" w:fill="auto"/>
            <w:noWrap/>
            <w:vAlign w:val="center"/>
          </w:tcPr>
          <w:p w14:paraId="52F4B5CC">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架</w:t>
            </w:r>
          </w:p>
        </w:tc>
        <w:tc>
          <w:tcPr>
            <w:tcW w:w="171" w:type="pct"/>
            <w:shd w:val="clear" w:color="auto" w:fill="auto"/>
            <w:noWrap/>
            <w:vAlign w:val="center"/>
          </w:tcPr>
          <w:p w14:paraId="10EF22C3">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2</w:t>
            </w:r>
          </w:p>
        </w:tc>
        <w:tc>
          <w:tcPr>
            <w:tcW w:w="313" w:type="pct"/>
            <w:shd w:val="clear" w:color="auto" w:fill="auto"/>
            <w:noWrap/>
            <w:vAlign w:val="center"/>
          </w:tcPr>
          <w:p w14:paraId="4115498A">
            <w:pPr>
              <w:widowControl/>
              <w:spacing w:line="240" w:lineRule="auto"/>
              <w:ind w:firstLine="0" w:firstLineChars="0"/>
              <w:jc w:val="right"/>
              <w:rPr>
                <w:rFonts w:hint="eastAsia" w:ascii="宋体" w:hAnsi="宋体" w:eastAsia="宋体" w:cs="宋体"/>
                <w:kern w:val="0"/>
                <w:sz w:val="20"/>
                <w:szCs w:val="20"/>
              </w:rPr>
            </w:pPr>
          </w:p>
        </w:tc>
      </w:tr>
      <w:tr w14:paraId="16CA5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35B558C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425" w:type="pct"/>
            <w:shd w:val="clear" w:color="auto" w:fill="auto"/>
            <w:noWrap/>
            <w:vAlign w:val="center"/>
          </w:tcPr>
          <w:p w14:paraId="091B5BE8">
            <w:pPr>
              <w:widowControl/>
              <w:spacing w:line="240" w:lineRule="auto"/>
              <w:ind w:firstLine="0" w:firstLineChars="0"/>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24</w:t>
            </w:r>
            <w:r>
              <w:rPr>
                <w:rFonts w:hint="eastAsia" w:ascii="宋体" w:hAnsi="宋体" w:eastAsia="宋体" w:cs="Times New Roman"/>
                <w:kern w:val="0"/>
                <w:sz w:val="20"/>
                <w:szCs w:val="20"/>
              </w:rPr>
              <w:t>口接入交换机</w:t>
            </w:r>
          </w:p>
        </w:tc>
        <w:tc>
          <w:tcPr>
            <w:tcW w:w="3749" w:type="pct"/>
            <w:shd w:val="clear" w:color="auto" w:fill="auto"/>
            <w:noWrap/>
            <w:vAlign w:val="center"/>
          </w:tcPr>
          <w:p w14:paraId="79A17AB1">
            <w:pPr>
              <w:widowControl/>
              <w:spacing w:line="240" w:lineRule="auto"/>
              <w:ind w:firstLine="0" w:firstLineChars="0"/>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1</w:t>
            </w:r>
            <w:r>
              <w:rPr>
                <w:rFonts w:hint="eastAsia" w:ascii="宋体" w:hAnsi="宋体" w:eastAsia="宋体" w:cs="Times New Roman"/>
                <w:kern w:val="0"/>
                <w:sz w:val="20"/>
                <w:szCs w:val="20"/>
              </w:rPr>
              <w:t>、交换容量≥</w:t>
            </w:r>
            <w:r>
              <w:rPr>
                <w:rFonts w:ascii="Times New Roman" w:hAnsi="Times New Roman" w:eastAsia="宋体" w:cs="Times New Roman"/>
                <w:kern w:val="0"/>
                <w:sz w:val="20"/>
                <w:szCs w:val="20"/>
              </w:rPr>
              <w:t>336Gbps</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2</w:t>
            </w:r>
            <w:r>
              <w:rPr>
                <w:rFonts w:hint="eastAsia" w:ascii="宋体" w:hAnsi="宋体" w:eastAsia="宋体" w:cs="Times New Roman"/>
                <w:kern w:val="0"/>
                <w:sz w:val="20"/>
                <w:szCs w:val="20"/>
              </w:rPr>
              <w:t>、包转发率≥</w:t>
            </w:r>
            <w:r>
              <w:rPr>
                <w:rFonts w:ascii="Times New Roman" w:hAnsi="Times New Roman" w:eastAsia="宋体" w:cs="Times New Roman"/>
                <w:kern w:val="0"/>
                <w:sz w:val="20"/>
                <w:szCs w:val="20"/>
              </w:rPr>
              <w:t>50Mpps</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3</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t>24*10/100/1000Base-TX</w:t>
            </w:r>
            <w:r>
              <w:rPr>
                <w:rFonts w:hint="eastAsia" w:ascii="宋体" w:hAnsi="宋体" w:eastAsia="宋体" w:cs="Times New Roman"/>
                <w:kern w:val="0"/>
                <w:sz w:val="20"/>
                <w:szCs w:val="20"/>
              </w:rPr>
              <w:t>以太网端口、</w:t>
            </w:r>
            <w:r>
              <w:rPr>
                <w:rFonts w:ascii="Times New Roman" w:hAnsi="Times New Roman" w:eastAsia="宋体" w:cs="Times New Roman"/>
                <w:kern w:val="0"/>
                <w:sz w:val="20"/>
                <w:szCs w:val="20"/>
              </w:rPr>
              <w:t>4*GE SPF+</w:t>
            </w:r>
            <w:r>
              <w:rPr>
                <w:rFonts w:hint="eastAsia" w:ascii="宋体" w:hAnsi="宋体" w:eastAsia="宋体" w:cs="Times New Roman"/>
                <w:kern w:val="0"/>
                <w:sz w:val="20"/>
                <w:szCs w:val="20"/>
              </w:rPr>
              <w:t>光口；</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4</w:t>
            </w:r>
            <w:r>
              <w:rPr>
                <w:rFonts w:hint="eastAsia" w:ascii="宋体" w:hAnsi="宋体" w:eastAsia="宋体" w:cs="Times New Roman"/>
                <w:kern w:val="0"/>
                <w:sz w:val="20"/>
                <w:szCs w:val="20"/>
              </w:rPr>
              <w:t>、支持</w:t>
            </w:r>
            <w:r>
              <w:rPr>
                <w:rFonts w:ascii="Times New Roman" w:hAnsi="Times New Roman" w:eastAsia="宋体" w:cs="Times New Roman"/>
                <w:kern w:val="0"/>
                <w:sz w:val="20"/>
                <w:szCs w:val="20"/>
              </w:rPr>
              <w:t>POE+</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5</w:t>
            </w:r>
            <w:r>
              <w:rPr>
                <w:rFonts w:hint="eastAsia" w:ascii="宋体" w:hAnsi="宋体" w:eastAsia="宋体" w:cs="Times New Roman"/>
                <w:kern w:val="0"/>
                <w:sz w:val="20"/>
                <w:szCs w:val="20"/>
              </w:rPr>
              <w:t>、支持网关协议；</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6</w:t>
            </w:r>
            <w:r>
              <w:rPr>
                <w:rFonts w:hint="eastAsia" w:ascii="宋体" w:hAnsi="宋体" w:eastAsia="宋体" w:cs="Times New Roman"/>
                <w:kern w:val="0"/>
                <w:sz w:val="20"/>
                <w:szCs w:val="20"/>
              </w:rPr>
              <w:t>、支持</w:t>
            </w:r>
            <w:r>
              <w:rPr>
                <w:rFonts w:ascii="Times New Roman" w:hAnsi="Times New Roman" w:eastAsia="宋体" w:cs="Times New Roman"/>
                <w:kern w:val="0"/>
                <w:sz w:val="20"/>
                <w:szCs w:val="20"/>
              </w:rPr>
              <w:t>MAC</w:t>
            </w:r>
            <w:r>
              <w:rPr>
                <w:rFonts w:hint="eastAsia" w:ascii="宋体" w:hAnsi="宋体" w:eastAsia="宋体" w:cs="Times New Roman"/>
                <w:kern w:val="0"/>
                <w:sz w:val="20"/>
                <w:szCs w:val="20"/>
              </w:rPr>
              <w:t>地址≥</w:t>
            </w:r>
            <w:r>
              <w:rPr>
                <w:rFonts w:ascii="Times New Roman" w:hAnsi="Times New Roman" w:eastAsia="宋体" w:cs="Times New Roman"/>
                <w:kern w:val="0"/>
                <w:sz w:val="20"/>
                <w:szCs w:val="20"/>
              </w:rPr>
              <w:t>16K</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7</w:t>
            </w:r>
            <w:r>
              <w:rPr>
                <w:rFonts w:hint="eastAsia" w:ascii="宋体" w:hAnsi="宋体" w:eastAsia="宋体" w:cs="Times New Roman"/>
                <w:kern w:val="0"/>
                <w:sz w:val="20"/>
                <w:szCs w:val="20"/>
              </w:rPr>
              <w:t>、支持</w:t>
            </w:r>
            <w:r>
              <w:rPr>
                <w:rFonts w:ascii="Times New Roman" w:hAnsi="Times New Roman" w:eastAsia="宋体" w:cs="Times New Roman"/>
                <w:kern w:val="0"/>
                <w:sz w:val="20"/>
                <w:szCs w:val="20"/>
              </w:rPr>
              <w:t xml:space="preserve"> MAC </w:t>
            </w:r>
            <w:r>
              <w:rPr>
                <w:rFonts w:hint="eastAsia" w:ascii="宋体" w:hAnsi="宋体" w:eastAsia="宋体" w:cs="Times New Roman"/>
                <w:kern w:val="0"/>
                <w:sz w:val="20"/>
                <w:szCs w:val="20"/>
              </w:rPr>
              <w:t>地址认证、</w:t>
            </w:r>
            <w:r>
              <w:rPr>
                <w:rFonts w:ascii="Times New Roman" w:hAnsi="Times New Roman" w:eastAsia="宋体" w:cs="Times New Roman"/>
                <w:kern w:val="0"/>
                <w:sz w:val="20"/>
                <w:szCs w:val="20"/>
              </w:rPr>
              <w:t xml:space="preserve">802.1x </w:t>
            </w:r>
            <w:r>
              <w:rPr>
                <w:rFonts w:hint="eastAsia" w:ascii="宋体" w:hAnsi="宋体" w:eastAsia="宋体" w:cs="Times New Roman"/>
                <w:kern w:val="0"/>
                <w:sz w:val="20"/>
                <w:szCs w:val="20"/>
              </w:rPr>
              <w:t>认证、</w:t>
            </w:r>
            <w:r>
              <w:rPr>
                <w:rFonts w:ascii="Times New Roman" w:hAnsi="Times New Roman" w:eastAsia="宋体" w:cs="Times New Roman"/>
                <w:kern w:val="0"/>
                <w:sz w:val="20"/>
                <w:szCs w:val="20"/>
              </w:rPr>
              <w:t xml:space="preserve">Portal </w:t>
            </w:r>
            <w:r>
              <w:rPr>
                <w:rFonts w:hint="eastAsia" w:ascii="宋体" w:hAnsi="宋体" w:eastAsia="宋体" w:cs="Times New Roman"/>
                <w:kern w:val="0"/>
                <w:sz w:val="20"/>
                <w:szCs w:val="20"/>
              </w:rPr>
              <w:t>认证等多种安全认证方式，实现用户策略（</w:t>
            </w:r>
            <w:r>
              <w:rPr>
                <w:rFonts w:ascii="Times New Roman" w:hAnsi="Times New Roman" w:eastAsia="宋体" w:cs="Times New Roman"/>
                <w:kern w:val="0"/>
                <w:sz w:val="20"/>
                <w:szCs w:val="20"/>
              </w:rPr>
              <w:t>VLAN</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t>QoS</w:t>
            </w:r>
            <w:r>
              <w:rPr>
                <w:rFonts w:hint="eastAsia" w:ascii="宋体" w:hAnsi="宋体" w:eastAsia="宋体" w:cs="Times New Roman"/>
                <w:kern w:val="0"/>
                <w:sz w:val="20"/>
                <w:szCs w:val="20"/>
              </w:rPr>
              <w:t>、</w:t>
            </w:r>
            <w:r>
              <w:rPr>
                <w:rFonts w:ascii="Times New Roman" w:hAnsi="Times New Roman" w:eastAsia="宋体" w:cs="Times New Roman"/>
                <w:kern w:val="0"/>
                <w:sz w:val="20"/>
                <w:szCs w:val="20"/>
              </w:rPr>
              <w:t>ACL</w:t>
            </w:r>
            <w:r>
              <w:rPr>
                <w:rFonts w:hint="eastAsia" w:ascii="宋体" w:hAnsi="宋体" w:eastAsia="宋体" w:cs="Times New Roman"/>
                <w:kern w:val="0"/>
                <w:sz w:val="20"/>
                <w:szCs w:val="20"/>
              </w:rPr>
              <w:t>）的动态下发；</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8</w:t>
            </w:r>
            <w:r>
              <w:rPr>
                <w:rFonts w:hint="eastAsia" w:ascii="宋体" w:hAnsi="宋体" w:eastAsia="宋体" w:cs="Times New Roman"/>
                <w:kern w:val="0"/>
                <w:sz w:val="20"/>
                <w:szCs w:val="20"/>
              </w:rPr>
              <w:t>、支持</w:t>
            </w:r>
            <w:r>
              <w:rPr>
                <w:rFonts w:ascii="Times New Roman" w:hAnsi="Times New Roman" w:eastAsia="宋体" w:cs="Times New Roman"/>
                <w:kern w:val="0"/>
                <w:sz w:val="20"/>
                <w:szCs w:val="20"/>
              </w:rPr>
              <w:t>IPv4/IPv6</w:t>
            </w:r>
            <w:r>
              <w:rPr>
                <w:rFonts w:hint="eastAsia" w:ascii="宋体" w:hAnsi="宋体" w:eastAsia="宋体" w:cs="Times New Roman"/>
                <w:kern w:val="0"/>
                <w:sz w:val="20"/>
                <w:szCs w:val="20"/>
              </w:rPr>
              <w:t>双协议栈、</w:t>
            </w:r>
            <w:r>
              <w:rPr>
                <w:rFonts w:ascii="Times New Roman" w:hAnsi="Times New Roman" w:eastAsia="宋体" w:cs="Times New Roman"/>
                <w:kern w:val="0"/>
                <w:sz w:val="20"/>
                <w:szCs w:val="20"/>
              </w:rPr>
              <w:t>IPv6</w:t>
            </w:r>
            <w:r>
              <w:rPr>
                <w:rFonts w:hint="eastAsia" w:ascii="宋体" w:hAnsi="宋体" w:eastAsia="宋体" w:cs="Times New Roman"/>
                <w:kern w:val="0"/>
                <w:sz w:val="20"/>
                <w:szCs w:val="20"/>
              </w:rPr>
              <w:t>。</w:t>
            </w:r>
          </w:p>
        </w:tc>
        <w:tc>
          <w:tcPr>
            <w:tcW w:w="171" w:type="pct"/>
            <w:shd w:val="clear" w:color="auto" w:fill="auto"/>
            <w:noWrap/>
            <w:vAlign w:val="center"/>
          </w:tcPr>
          <w:p w14:paraId="42ECC6F8">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台</w:t>
            </w:r>
          </w:p>
        </w:tc>
        <w:tc>
          <w:tcPr>
            <w:tcW w:w="171" w:type="pct"/>
            <w:shd w:val="clear" w:color="auto" w:fill="auto"/>
            <w:noWrap/>
            <w:vAlign w:val="center"/>
          </w:tcPr>
          <w:p w14:paraId="1099FCE0">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w:t>
            </w:r>
          </w:p>
        </w:tc>
        <w:tc>
          <w:tcPr>
            <w:tcW w:w="313" w:type="pct"/>
            <w:shd w:val="clear" w:color="auto" w:fill="auto"/>
            <w:noWrap/>
            <w:vAlign w:val="center"/>
          </w:tcPr>
          <w:p w14:paraId="7E86DC9C">
            <w:pPr>
              <w:widowControl/>
              <w:spacing w:line="240" w:lineRule="auto"/>
              <w:ind w:firstLine="0" w:firstLineChars="0"/>
              <w:jc w:val="right"/>
              <w:rPr>
                <w:rFonts w:hint="eastAsia" w:ascii="宋体" w:hAnsi="宋体" w:eastAsia="宋体" w:cs="宋体"/>
                <w:kern w:val="0"/>
                <w:sz w:val="20"/>
                <w:szCs w:val="20"/>
              </w:rPr>
            </w:pPr>
          </w:p>
        </w:tc>
      </w:tr>
      <w:tr w14:paraId="3C256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6BB46AF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425" w:type="pct"/>
            <w:shd w:val="clear" w:color="auto" w:fill="auto"/>
            <w:noWrap/>
            <w:vAlign w:val="center"/>
          </w:tcPr>
          <w:p w14:paraId="0377AF91">
            <w:pPr>
              <w:widowControl/>
              <w:spacing w:line="240" w:lineRule="auto"/>
              <w:ind w:firstLine="0" w:firstLineChars="0"/>
              <w:jc w:val="left"/>
              <w:rPr>
                <w:rFonts w:hint="eastAsia" w:ascii="宋体-简" w:hAnsi="宋体" w:eastAsia="宋体-简" w:cs="宋体"/>
                <w:kern w:val="0"/>
                <w:sz w:val="20"/>
                <w:szCs w:val="20"/>
              </w:rPr>
            </w:pPr>
            <w:r>
              <w:rPr>
                <w:rFonts w:hint="eastAsia" w:ascii="宋体-简" w:hAnsi="宋体" w:eastAsia="宋体-简" w:cs="宋体"/>
                <w:kern w:val="0"/>
                <w:sz w:val="20"/>
                <w:szCs w:val="20"/>
              </w:rPr>
              <w:t>前端汇聚交换机</w:t>
            </w:r>
          </w:p>
        </w:tc>
        <w:tc>
          <w:tcPr>
            <w:tcW w:w="3749" w:type="pct"/>
            <w:shd w:val="clear" w:color="auto" w:fill="auto"/>
            <w:vAlign w:val="center"/>
          </w:tcPr>
          <w:p w14:paraId="219705A6">
            <w:pPr>
              <w:widowControl/>
              <w:spacing w:line="240" w:lineRule="auto"/>
              <w:ind w:firstLine="0" w:firstLineChars="0"/>
              <w:jc w:val="left"/>
              <w:rPr>
                <w:rFonts w:ascii="Times New Roman" w:hAnsi="Times New Roman" w:eastAsia="宋体" w:cs="Times New Roman"/>
                <w:kern w:val="0"/>
                <w:sz w:val="20"/>
                <w:szCs w:val="20"/>
              </w:rPr>
            </w:pPr>
            <w:r>
              <w:rPr>
                <w:rFonts w:ascii="Times New Roman" w:hAnsi="Times New Roman" w:eastAsia="宋体" w:cs="Times New Roman"/>
                <w:kern w:val="0"/>
                <w:sz w:val="20"/>
                <w:szCs w:val="20"/>
              </w:rPr>
              <w:t>1</w:t>
            </w:r>
            <w:r>
              <w:rPr>
                <w:rFonts w:hint="eastAsia" w:ascii="宋体-简" w:hAnsi="Times New Roman" w:eastAsia="宋体-简" w:cs="Times New Roman"/>
                <w:kern w:val="0"/>
                <w:sz w:val="20"/>
                <w:szCs w:val="20"/>
              </w:rPr>
              <w:t>、标准</w:t>
            </w:r>
            <w:r>
              <w:rPr>
                <w:rFonts w:ascii="Times New Roman" w:hAnsi="Times New Roman" w:eastAsia="宋体" w:cs="Times New Roman"/>
                <w:kern w:val="0"/>
                <w:sz w:val="20"/>
                <w:szCs w:val="20"/>
              </w:rPr>
              <w:t>1U</w:t>
            </w:r>
            <w:r>
              <w:rPr>
                <w:rFonts w:hint="eastAsia" w:ascii="宋体-简" w:hAnsi="Times New Roman" w:eastAsia="宋体-简" w:cs="Times New Roman"/>
                <w:kern w:val="0"/>
                <w:sz w:val="20"/>
                <w:szCs w:val="20"/>
              </w:rPr>
              <w:t>机架式盒式交换机；</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2</w:t>
            </w:r>
            <w:r>
              <w:rPr>
                <w:rFonts w:hint="eastAsia" w:ascii="宋体-简" w:hAnsi="Times New Roman" w:eastAsia="宋体-简" w:cs="Times New Roman"/>
                <w:kern w:val="0"/>
                <w:sz w:val="20"/>
                <w:szCs w:val="20"/>
              </w:rPr>
              <w:t>、设备提供不低于</w:t>
            </w:r>
            <w:r>
              <w:rPr>
                <w:rFonts w:ascii="Times New Roman" w:hAnsi="Times New Roman" w:eastAsia="宋体" w:cs="Times New Roman"/>
                <w:kern w:val="0"/>
                <w:sz w:val="20"/>
                <w:szCs w:val="20"/>
              </w:rPr>
              <w:t>48</w:t>
            </w:r>
            <w:r>
              <w:rPr>
                <w:rFonts w:hint="eastAsia" w:ascii="宋体-简" w:hAnsi="Times New Roman" w:eastAsia="宋体-简" w:cs="Times New Roman"/>
                <w:kern w:val="0"/>
                <w:sz w:val="20"/>
                <w:szCs w:val="20"/>
              </w:rPr>
              <w:t>个千兆</w:t>
            </w:r>
            <w:r>
              <w:rPr>
                <w:rFonts w:ascii="Times New Roman" w:hAnsi="Times New Roman" w:eastAsia="宋体" w:cs="Times New Roman"/>
                <w:kern w:val="0"/>
                <w:sz w:val="20"/>
                <w:szCs w:val="20"/>
              </w:rPr>
              <w:t>SFP</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4</w:t>
            </w:r>
            <w:r>
              <w:rPr>
                <w:rFonts w:hint="eastAsia" w:ascii="宋体-简" w:hAnsi="Times New Roman" w:eastAsia="宋体-简" w:cs="Times New Roman"/>
                <w:kern w:val="0"/>
                <w:sz w:val="20"/>
                <w:szCs w:val="20"/>
              </w:rPr>
              <w:t>个万兆</w:t>
            </w:r>
            <w:r>
              <w:rPr>
                <w:rFonts w:ascii="Times New Roman" w:hAnsi="Times New Roman" w:eastAsia="宋体" w:cs="Times New Roman"/>
                <w:kern w:val="0"/>
                <w:sz w:val="20"/>
                <w:szCs w:val="20"/>
              </w:rPr>
              <w:t>SFP+</w:t>
            </w:r>
            <w:r>
              <w:rPr>
                <w:rFonts w:hint="eastAsia" w:ascii="宋体-简" w:hAnsi="Times New Roman" w:eastAsia="宋体-简" w:cs="Times New Roman"/>
                <w:kern w:val="0"/>
                <w:sz w:val="20"/>
                <w:szCs w:val="20"/>
              </w:rPr>
              <w:t>，不低于</w:t>
            </w:r>
            <w:r>
              <w:rPr>
                <w:rFonts w:ascii="Times New Roman" w:hAnsi="Times New Roman" w:eastAsia="宋体" w:cs="Times New Roman"/>
                <w:kern w:val="0"/>
                <w:sz w:val="20"/>
                <w:szCs w:val="20"/>
              </w:rPr>
              <w:t>1</w:t>
            </w:r>
            <w:r>
              <w:rPr>
                <w:rFonts w:hint="eastAsia" w:ascii="宋体-简" w:hAnsi="Times New Roman" w:eastAsia="宋体-简" w:cs="Times New Roman"/>
                <w:kern w:val="0"/>
                <w:sz w:val="20"/>
                <w:szCs w:val="20"/>
              </w:rPr>
              <w:t>个业务扩展插槽数，可插拔冗余电源；</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3</w:t>
            </w:r>
            <w:r>
              <w:rPr>
                <w:rFonts w:hint="eastAsia" w:ascii="宋体-简" w:hAnsi="Times New Roman" w:eastAsia="宋体-简" w:cs="Times New Roman"/>
                <w:kern w:val="0"/>
                <w:sz w:val="20"/>
                <w:szCs w:val="20"/>
              </w:rPr>
              <w:t>、设备交换容量不低于</w:t>
            </w:r>
            <w:r>
              <w:rPr>
                <w:rFonts w:ascii="Times New Roman" w:hAnsi="Times New Roman" w:eastAsia="宋体" w:cs="Times New Roman"/>
                <w:kern w:val="0"/>
                <w:sz w:val="20"/>
                <w:szCs w:val="20"/>
              </w:rPr>
              <w:t>1.3Tbps</w:t>
            </w:r>
            <w:r>
              <w:rPr>
                <w:rFonts w:hint="eastAsia" w:ascii="宋体-简" w:hAnsi="Times New Roman" w:eastAsia="宋体-简" w:cs="Times New Roman"/>
                <w:kern w:val="0"/>
                <w:sz w:val="20"/>
                <w:szCs w:val="20"/>
              </w:rPr>
              <w:t>，包转发率不低于</w:t>
            </w:r>
            <w:r>
              <w:rPr>
                <w:rFonts w:ascii="Times New Roman" w:hAnsi="Times New Roman" w:eastAsia="宋体" w:cs="Times New Roman"/>
                <w:kern w:val="0"/>
                <w:sz w:val="20"/>
                <w:szCs w:val="20"/>
              </w:rPr>
              <w:t>250Mpps</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4</w:t>
            </w:r>
            <w:r>
              <w:rPr>
                <w:rFonts w:hint="eastAsia" w:ascii="宋体-简" w:hAnsi="Times New Roman" w:eastAsia="宋体-简" w:cs="Times New Roman"/>
                <w:kern w:val="0"/>
                <w:sz w:val="20"/>
                <w:szCs w:val="20"/>
              </w:rPr>
              <w:t>、支持静态路由、</w:t>
            </w:r>
            <w:r>
              <w:rPr>
                <w:rFonts w:ascii="Times New Roman" w:hAnsi="Times New Roman" w:eastAsia="宋体" w:cs="Times New Roman"/>
                <w:kern w:val="0"/>
                <w:sz w:val="20"/>
                <w:szCs w:val="20"/>
              </w:rPr>
              <w:t>RIP V1/2</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OSPF</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IS-IS</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BGP</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RIPng</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OSPFv3</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BGP4+</w:t>
            </w:r>
            <w:r>
              <w:rPr>
                <w:rFonts w:hint="eastAsia" w:ascii="宋体-简" w:hAnsi="Times New Roman" w:eastAsia="宋体-简" w:cs="Times New Roman"/>
                <w:kern w:val="0"/>
                <w:sz w:val="20"/>
                <w:szCs w:val="20"/>
              </w:rPr>
              <w:t>、</w:t>
            </w:r>
            <w:r>
              <w:rPr>
                <w:rFonts w:ascii="Times New Roman" w:hAnsi="Times New Roman" w:eastAsia="宋体" w:cs="Times New Roman"/>
                <w:kern w:val="0"/>
                <w:sz w:val="20"/>
                <w:szCs w:val="20"/>
              </w:rPr>
              <w:t>ISISv6</w:t>
            </w:r>
            <w:r>
              <w:rPr>
                <w:rFonts w:hint="eastAsia" w:ascii="宋体-简" w:hAnsi="Times New Roman" w:eastAsia="宋体-简" w:cs="Times New Roman"/>
                <w:kern w:val="0"/>
                <w:sz w:val="20"/>
                <w:szCs w:val="20"/>
              </w:rPr>
              <w:t>三层路由功能；</w:t>
            </w:r>
            <w:r>
              <w:rPr>
                <w:rFonts w:ascii="Times New Roman" w:hAnsi="Times New Roman" w:eastAsia="宋体" w:cs="Times New Roman"/>
                <w:kern w:val="0"/>
                <w:sz w:val="20"/>
                <w:szCs w:val="20"/>
              </w:rPr>
              <w:br w:type="textWrapping"/>
            </w:r>
            <w:r>
              <w:rPr>
                <w:rFonts w:ascii="Times New Roman" w:hAnsi="Times New Roman" w:eastAsia="宋体" w:cs="Times New Roman"/>
                <w:kern w:val="0"/>
                <w:sz w:val="20"/>
                <w:szCs w:val="20"/>
              </w:rPr>
              <w:t>5</w:t>
            </w:r>
            <w:r>
              <w:rPr>
                <w:rFonts w:hint="eastAsia" w:ascii="宋体-简" w:hAnsi="Times New Roman" w:eastAsia="宋体-简" w:cs="Times New Roman"/>
                <w:kern w:val="0"/>
                <w:sz w:val="20"/>
                <w:szCs w:val="20"/>
              </w:rPr>
              <w:t>、支持基于协议</w:t>
            </w:r>
            <w:r>
              <w:rPr>
                <w:rFonts w:ascii="Times New Roman" w:hAnsi="Times New Roman" w:eastAsia="宋体" w:cs="Times New Roman"/>
                <w:kern w:val="0"/>
                <w:sz w:val="20"/>
                <w:szCs w:val="20"/>
              </w:rPr>
              <w:t>/IP</w:t>
            </w:r>
            <w:r>
              <w:rPr>
                <w:rFonts w:hint="eastAsia" w:ascii="宋体-简" w:hAnsi="Times New Roman" w:eastAsia="宋体-简" w:cs="Times New Roman"/>
                <w:kern w:val="0"/>
                <w:sz w:val="20"/>
                <w:szCs w:val="20"/>
              </w:rPr>
              <w:t>子网</w:t>
            </w:r>
            <w:r>
              <w:rPr>
                <w:rFonts w:ascii="Times New Roman" w:hAnsi="Times New Roman" w:eastAsia="宋体" w:cs="Times New Roman"/>
                <w:kern w:val="0"/>
                <w:sz w:val="20"/>
                <w:szCs w:val="20"/>
              </w:rPr>
              <w:t>/</w:t>
            </w:r>
            <w:r>
              <w:rPr>
                <w:rFonts w:hint="eastAsia" w:ascii="宋体-简" w:hAnsi="Times New Roman" w:eastAsia="宋体-简" w:cs="Times New Roman"/>
                <w:kern w:val="0"/>
                <w:sz w:val="20"/>
                <w:szCs w:val="20"/>
              </w:rPr>
              <w:t>策略</w:t>
            </w:r>
            <w:r>
              <w:rPr>
                <w:rFonts w:ascii="Times New Roman" w:hAnsi="Times New Roman" w:eastAsia="宋体" w:cs="Times New Roman"/>
                <w:kern w:val="0"/>
                <w:sz w:val="20"/>
                <w:szCs w:val="20"/>
              </w:rPr>
              <w:t>/</w:t>
            </w:r>
            <w:r>
              <w:rPr>
                <w:rFonts w:hint="eastAsia" w:ascii="宋体-简" w:hAnsi="Times New Roman" w:eastAsia="宋体-简" w:cs="Times New Roman"/>
                <w:kern w:val="0"/>
                <w:sz w:val="20"/>
                <w:szCs w:val="20"/>
              </w:rPr>
              <w:t>端口的</w:t>
            </w:r>
            <w:r>
              <w:rPr>
                <w:rFonts w:ascii="Times New Roman" w:hAnsi="Times New Roman" w:eastAsia="宋体" w:cs="Times New Roman"/>
                <w:kern w:val="0"/>
                <w:sz w:val="20"/>
                <w:szCs w:val="20"/>
              </w:rPr>
              <w:t>VLAN</w:t>
            </w:r>
            <w:r>
              <w:rPr>
                <w:rFonts w:hint="eastAsia" w:ascii="宋体-简" w:hAnsi="Times New Roman" w:eastAsia="宋体-简" w:cs="Times New Roman"/>
                <w:kern w:val="0"/>
                <w:sz w:val="20"/>
                <w:szCs w:val="20"/>
              </w:rPr>
              <w:t>等多种二层功能；</w:t>
            </w:r>
          </w:p>
        </w:tc>
        <w:tc>
          <w:tcPr>
            <w:tcW w:w="171" w:type="pct"/>
            <w:shd w:val="clear" w:color="auto" w:fill="auto"/>
            <w:noWrap/>
            <w:vAlign w:val="center"/>
          </w:tcPr>
          <w:p w14:paraId="39C07F15">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台</w:t>
            </w:r>
          </w:p>
        </w:tc>
        <w:tc>
          <w:tcPr>
            <w:tcW w:w="171" w:type="pct"/>
            <w:shd w:val="clear" w:color="auto" w:fill="auto"/>
            <w:noWrap/>
            <w:vAlign w:val="center"/>
          </w:tcPr>
          <w:p w14:paraId="28D810F0">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w:t>
            </w:r>
          </w:p>
        </w:tc>
        <w:tc>
          <w:tcPr>
            <w:tcW w:w="313" w:type="pct"/>
            <w:shd w:val="clear" w:color="auto" w:fill="auto"/>
            <w:noWrap/>
            <w:vAlign w:val="center"/>
          </w:tcPr>
          <w:p w14:paraId="040E8588">
            <w:pPr>
              <w:widowControl/>
              <w:spacing w:line="240" w:lineRule="auto"/>
              <w:ind w:firstLine="0" w:firstLineChars="0"/>
              <w:jc w:val="right"/>
              <w:rPr>
                <w:rFonts w:hint="eastAsia" w:ascii="宋体" w:hAnsi="宋体" w:eastAsia="宋体" w:cs="宋体"/>
                <w:kern w:val="0"/>
                <w:sz w:val="20"/>
                <w:szCs w:val="20"/>
              </w:rPr>
            </w:pPr>
          </w:p>
        </w:tc>
      </w:tr>
      <w:tr w14:paraId="2EE1B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027A588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425" w:type="pct"/>
            <w:shd w:val="clear" w:color="auto" w:fill="auto"/>
            <w:vAlign w:val="center"/>
          </w:tcPr>
          <w:p w14:paraId="2AA1DE5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前端边界防火墙</w:t>
            </w:r>
          </w:p>
        </w:tc>
        <w:tc>
          <w:tcPr>
            <w:tcW w:w="3749" w:type="pct"/>
            <w:shd w:val="clear" w:color="auto" w:fill="auto"/>
          </w:tcPr>
          <w:p w14:paraId="1EDAD5FF">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1、2U设备，冗余电源；采用国产化平台和国产化操作系统，内存≥32G，硬盘≥4TB+256G SSD；提供7个千兆电口、4个千兆SFP插槽、4个万兆SFP+插槽、1个接口扩展插槽、1个RJ45串口、2个USB接口；系统吞吐量≥160Gbps，应用吞吐量≥20Gbps，最大并发连接数≥2200万，每秒新建连接数≥50万。提供访问控制、三年入侵防御和病毒防护等功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2、支持双机热备；支持主备模式和主主模式；支持同步配置、运行状态、特征库等。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3、支持静态路由、动态路由、ISP路由；支持基于入接口、源地址、目的地址、用户、服务、应用、时间、域名的策略路由。</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4、支持一体化安全策略配置，可以通过一条策略实现用户认证、IPS、AV、URL过滤、协议控制、流量控制、并发、新建限制、垃圾邮件过滤、审计等功能,简化用户管理。</w:t>
            </w:r>
          </w:p>
        </w:tc>
        <w:tc>
          <w:tcPr>
            <w:tcW w:w="171" w:type="pct"/>
            <w:shd w:val="clear" w:color="auto" w:fill="auto"/>
            <w:vAlign w:val="center"/>
          </w:tcPr>
          <w:p w14:paraId="4C5058D3">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171" w:type="pct"/>
            <w:shd w:val="clear" w:color="auto" w:fill="auto"/>
            <w:vAlign w:val="center"/>
          </w:tcPr>
          <w:p w14:paraId="416C718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313" w:type="pct"/>
            <w:shd w:val="clear" w:color="auto" w:fill="auto"/>
            <w:vAlign w:val="center"/>
          </w:tcPr>
          <w:p w14:paraId="784CA1A2">
            <w:pPr>
              <w:widowControl/>
              <w:spacing w:line="240" w:lineRule="auto"/>
              <w:ind w:firstLine="0" w:firstLineChars="0"/>
              <w:jc w:val="right"/>
              <w:rPr>
                <w:rFonts w:hint="eastAsia" w:ascii="宋体" w:hAnsi="宋体" w:eastAsia="宋体" w:cs="宋体"/>
                <w:color w:val="000000"/>
                <w:kern w:val="0"/>
                <w:sz w:val="20"/>
                <w:szCs w:val="20"/>
              </w:rPr>
            </w:pPr>
          </w:p>
        </w:tc>
      </w:tr>
      <w:tr w14:paraId="35E00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233440F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425" w:type="pct"/>
            <w:shd w:val="clear" w:color="auto" w:fill="auto"/>
            <w:vAlign w:val="center"/>
          </w:tcPr>
          <w:p w14:paraId="26AD7E9A">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边界防火墙</w:t>
            </w:r>
          </w:p>
        </w:tc>
        <w:tc>
          <w:tcPr>
            <w:tcW w:w="3749" w:type="pct"/>
            <w:shd w:val="clear" w:color="auto" w:fill="auto"/>
          </w:tcPr>
          <w:p w14:paraId="68DEB43B">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1、2U设备，冗余电源；采用国产化平台和国产化操作系统，内存≥32G，硬盘≥4TB+256G SSD；提供7个千兆电口、4个千兆SFP插槽、4个万兆SFP+插槽、1个接口扩展插槽、1个RJ45串口、2个USB接口；系统吞吐量≥160Gbps，应用吞吐量≥20Gbps，最大并发连接数≥2200万，每秒新建连接数≥50万。提供访问控制、三年入侵防御和病毒防护等功能。</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2、支持双机热备；支持主备模式和主主模式；支持同步配置、运行状态、特征库等。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3、支持静态路由、动态路由、ISP路由；支持基于入接口、源地址、目的地址、用户、服务、应用、时间、域名的策略路由。</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4、支持一体化安全策略配置，可以通过一条策略实现用户认证、IPS、AV、URL过滤、协议控制、流量控制、并发、新建限制、垃圾邮件过滤、审计等功能,简化用户管理。</w:t>
            </w:r>
          </w:p>
        </w:tc>
        <w:tc>
          <w:tcPr>
            <w:tcW w:w="171" w:type="pct"/>
            <w:shd w:val="clear" w:color="auto" w:fill="auto"/>
            <w:vAlign w:val="center"/>
          </w:tcPr>
          <w:p w14:paraId="42B536E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171" w:type="pct"/>
            <w:shd w:val="clear" w:color="auto" w:fill="auto"/>
            <w:vAlign w:val="center"/>
          </w:tcPr>
          <w:p w14:paraId="3D08960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313" w:type="pct"/>
            <w:shd w:val="clear" w:color="auto" w:fill="auto"/>
            <w:vAlign w:val="center"/>
          </w:tcPr>
          <w:p w14:paraId="0D70A7BF">
            <w:pPr>
              <w:widowControl/>
              <w:spacing w:line="240" w:lineRule="auto"/>
              <w:ind w:firstLine="0" w:firstLineChars="0"/>
              <w:jc w:val="right"/>
              <w:rPr>
                <w:rFonts w:hint="eastAsia" w:ascii="宋体" w:hAnsi="宋体" w:eastAsia="宋体" w:cs="宋体"/>
                <w:color w:val="000000"/>
                <w:kern w:val="0"/>
                <w:sz w:val="20"/>
                <w:szCs w:val="20"/>
              </w:rPr>
            </w:pPr>
          </w:p>
        </w:tc>
      </w:tr>
      <w:tr w14:paraId="0F5A6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6D939386">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425" w:type="pct"/>
            <w:shd w:val="clear" w:color="auto" w:fill="auto"/>
            <w:noWrap/>
            <w:vAlign w:val="center"/>
          </w:tcPr>
          <w:p w14:paraId="518F67C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UPS不间断电源</w:t>
            </w:r>
          </w:p>
        </w:tc>
        <w:tc>
          <w:tcPr>
            <w:tcW w:w="3749" w:type="pct"/>
            <w:shd w:val="clear" w:color="auto" w:fill="auto"/>
            <w:vAlign w:val="center"/>
          </w:tcPr>
          <w:p w14:paraId="058E0183">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额定容量≥20KVA；</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整机效率：达到90%；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三进三出在线式UPS；</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输入电压范围：304-478V（线电压）</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输入频率  50±10%；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输入功因：&gt;0.99</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输出频率范围：市电模式：46-54Hz/56-64Hz（与输入市电频率同步）</w:t>
            </w:r>
          </w:p>
        </w:tc>
        <w:tc>
          <w:tcPr>
            <w:tcW w:w="171" w:type="pct"/>
            <w:shd w:val="clear" w:color="auto" w:fill="auto"/>
            <w:noWrap/>
            <w:vAlign w:val="center"/>
          </w:tcPr>
          <w:p w14:paraId="33DCB0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套</w:t>
            </w:r>
          </w:p>
        </w:tc>
        <w:tc>
          <w:tcPr>
            <w:tcW w:w="171" w:type="pct"/>
            <w:shd w:val="clear" w:color="auto" w:fill="auto"/>
            <w:noWrap/>
            <w:vAlign w:val="center"/>
          </w:tcPr>
          <w:p w14:paraId="346BAA91">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313" w:type="pct"/>
            <w:shd w:val="clear" w:color="auto" w:fill="auto"/>
            <w:noWrap/>
            <w:vAlign w:val="center"/>
          </w:tcPr>
          <w:p w14:paraId="217B3985">
            <w:pPr>
              <w:widowControl/>
              <w:spacing w:line="240" w:lineRule="auto"/>
              <w:ind w:firstLine="0" w:firstLineChars="0"/>
              <w:jc w:val="right"/>
              <w:rPr>
                <w:rFonts w:hint="eastAsia" w:ascii="宋体" w:hAnsi="宋体" w:eastAsia="宋体" w:cs="宋体"/>
                <w:color w:val="000000"/>
                <w:kern w:val="0"/>
                <w:sz w:val="20"/>
                <w:szCs w:val="20"/>
              </w:rPr>
            </w:pPr>
          </w:p>
        </w:tc>
      </w:tr>
      <w:tr w14:paraId="4C82A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1A94DAD5">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425" w:type="pct"/>
            <w:shd w:val="clear" w:color="auto" w:fill="auto"/>
            <w:vAlign w:val="center"/>
          </w:tcPr>
          <w:p w14:paraId="5B9BCDB5">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蓄电池组</w:t>
            </w:r>
          </w:p>
        </w:tc>
        <w:tc>
          <w:tcPr>
            <w:tcW w:w="3749" w:type="pct"/>
            <w:shd w:val="clear" w:color="auto" w:fill="auto"/>
            <w:vAlign w:val="center"/>
          </w:tcPr>
          <w:p w14:paraId="032F78AB">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免维护铅酸蓄电池 12V 120AH</w:t>
            </w:r>
          </w:p>
        </w:tc>
        <w:tc>
          <w:tcPr>
            <w:tcW w:w="171" w:type="pct"/>
            <w:shd w:val="clear" w:color="auto" w:fill="auto"/>
            <w:vAlign w:val="center"/>
          </w:tcPr>
          <w:p w14:paraId="4F34D86A">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块</w:t>
            </w:r>
          </w:p>
        </w:tc>
        <w:tc>
          <w:tcPr>
            <w:tcW w:w="171" w:type="pct"/>
            <w:shd w:val="clear" w:color="auto" w:fill="auto"/>
            <w:vAlign w:val="center"/>
          </w:tcPr>
          <w:p w14:paraId="395F3F5D">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16</w:t>
            </w:r>
          </w:p>
        </w:tc>
        <w:tc>
          <w:tcPr>
            <w:tcW w:w="313" w:type="pct"/>
            <w:shd w:val="clear" w:color="auto" w:fill="auto"/>
            <w:vAlign w:val="center"/>
          </w:tcPr>
          <w:p w14:paraId="160EB000">
            <w:pPr>
              <w:widowControl/>
              <w:spacing w:line="240" w:lineRule="auto"/>
              <w:ind w:firstLine="0" w:firstLineChars="0"/>
              <w:jc w:val="right"/>
              <w:rPr>
                <w:rFonts w:hint="eastAsia" w:ascii="宋体" w:hAnsi="宋体" w:eastAsia="宋体" w:cs="宋体"/>
                <w:kern w:val="0"/>
                <w:sz w:val="20"/>
                <w:szCs w:val="20"/>
              </w:rPr>
            </w:pPr>
          </w:p>
        </w:tc>
      </w:tr>
      <w:tr w14:paraId="5AE0B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1" w:type="pct"/>
            <w:shd w:val="clear" w:color="auto" w:fill="auto"/>
            <w:noWrap/>
            <w:vAlign w:val="center"/>
          </w:tcPr>
          <w:p w14:paraId="4A8CD394">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w:t>
            </w:r>
          </w:p>
        </w:tc>
        <w:tc>
          <w:tcPr>
            <w:tcW w:w="425" w:type="pct"/>
            <w:shd w:val="clear" w:color="auto" w:fill="auto"/>
            <w:vAlign w:val="center"/>
          </w:tcPr>
          <w:p w14:paraId="179DB3DA">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电池柜</w:t>
            </w:r>
          </w:p>
        </w:tc>
        <w:tc>
          <w:tcPr>
            <w:tcW w:w="3749" w:type="pct"/>
            <w:shd w:val="clear" w:color="auto" w:fill="auto"/>
            <w:noWrap/>
            <w:vAlign w:val="center"/>
          </w:tcPr>
          <w:p w14:paraId="180978EE">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定制，装置12V，120AH 16节，含电池连接套件。</w:t>
            </w:r>
          </w:p>
        </w:tc>
        <w:tc>
          <w:tcPr>
            <w:tcW w:w="171" w:type="pct"/>
            <w:shd w:val="clear" w:color="auto" w:fill="auto"/>
            <w:vAlign w:val="center"/>
          </w:tcPr>
          <w:p w14:paraId="3E7107EB">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台</w:t>
            </w:r>
          </w:p>
        </w:tc>
        <w:tc>
          <w:tcPr>
            <w:tcW w:w="171" w:type="pct"/>
            <w:shd w:val="clear" w:color="auto" w:fill="auto"/>
            <w:vAlign w:val="center"/>
          </w:tcPr>
          <w:p w14:paraId="1149AAD3">
            <w:pPr>
              <w:widowControl/>
              <w:spacing w:line="240" w:lineRule="auto"/>
              <w:ind w:firstLine="0" w:firstLineChars="0"/>
              <w:jc w:val="center"/>
              <w:rPr>
                <w:rFonts w:hint="eastAsia" w:ascii="宋体" w:hAnsi="宋体" w:eastAsia="宋体" w:cs="宋体"/>
                <w:kern w:val="0"/>
                <w:sz w:val="20"/>
                <w:szCs w:val="20"/>
              </w:rPr>
            </w:pPr>
            <w:r>
              <w:rPr>
                <w:rFonts w:hint="eastAsia" w:ascii="宋体" w:hAnsi="宋体" w:eastAsia="宋体" w:cs="宋体"/>
                <w:kern w:val="0"/>
                <w:sz w:val="20"/>
                <w:szCs w:val="20"/>
              </w:rPr>
              <w:t>1</w:t>
            </w:r>
          </w:p>
        </w:tc>
        <w:tc>
          <w:tcPr>
            <w:tcW w:w="313" w:type="pct"/>
            <w:shd w:val="clear" w:color="auto" w:fill="auto"/>
            <w:vAlign w:val="center"/>
          </w:tcPr>
          <w:p w14:paraId="522B1C12">
            <w:pPr>
              <w:widowControl/>
              <w:spacing w:line="240" w:lineRule="auto"/>
              <w:ind w:firstLine="0" w:firstLineChars="0"/>
              <w:jc w:val="right"/>
              <w:rPr>
                <w:rFonts w:hint="eastAsia" w:ascii="宋体" w:hAnsi="宋体" w:eastAsia="宋体" w:cs="宋体"/>
                <w:kern w:val="0"/>
                <w:sz w:val="20"/>
                <w:szCs w:val="20"/>
              </w:rPr>
            </w:pPr>
          </w:p>
        </w:tc>
      </w:tr>
    </w:tbl>
    <w:p w14:paraId="67F21887">
      <w:pPr>
        <w:ind w:firstLine="480"/>
      </w:pPr>
    </w:p>
    <w:p w14:paraId="71C704F1">
      <w:pPr>
        <w:pStyle w:val="6"/>
      </w:pPr>
      <w:r>
        <w:rPr>
          <w:rFonts w:hint="eastAsia"/>
        </w:rPr>
        <w:t>配套密码设备要求</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1416"/>
        <w:gridCol w:w="4773"/>
        <w:gridCol w:w="618"/>
        <w:gridCol w:w="418"/>
        <w:gridCol w:w="679"/>
      </w:tblGrid>
      <w:tr w14:paraId="339EF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72" w:type="pct"/>
            <w:shd w:val="clear" w:color="auto" w:fill="auto"/>
            <w:noWrap/>
            <w:vAlign w:val="center"/>
          </w:tcPr>
          <w:p w14:paraId="5485DC6F">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序号</w:t>
            </w:r>
          </w:p>
        </w:tc>
        <w:tc>
          <w:tcPr>
            <w:tcW w:w="650" w:type="pct"/>
            <w:shd w:val="clear" w:color="auto" w:fill="auto"/>
            <w:vAlign w:val="center"/>
          </w:tcPr>
          <w:p w14:paraId="2E66665E">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宋体" w:hAnsi="宋体" w:eastAsia="宋体" w:cs="Times New Roman"/>
                <w:b/>
                <w:bCs/>
                <w:kern w:val="0"/>
                <w:sz w:val="20"/>
                <w:szCs w:val="20"/>
              </w:rPr>
              <w:t>名称</w:t>
            </w:r>
          </w:p>
        </w:tc>
        <w:tc>
          <w:tcPr>
            <w:tcW w:w="2863" w:type="pct"/>
            <w:shd w:val="clear" w:color="auto" w:fill="auto"/>
            <w:vAlign w:val="center"/>
          </w:tcPr>
          <w:p w14:paraId="2971E809">
            <w:pPr>
              <w:widowControl/>
              <w:spacing w:line="240" w:lineRule="auto"/>
              <w:ind w:firstLine="0" w:firstLineChars="0"/>
              <w:jc w:val="left"/>
              <w:rPr>
                <w:rFonts w:hint="eastAsia" w:ascii="宋体" w:hAnsi="宋体" w:eastAsia="宋体" w:cs="宋体"/>
                <w:b/>
                <w:bCs/>
                <w:color w:val="000000"/>
                <w:kern w:val="0"/>
                <w:sz w:val="20"/>
                <w:szCs w:val="20"/>
              </w:rPr>
            </w:pPr>
            <w:r>
              <w:rPr>
                <w:rFonts w:hint="eastAsia" w:ascii="Times New Roman" w:hAnsi="Times New Roman" w:eastAsia="宋体" w:cs="Times New Roman"/>
                <w:b/>
                <w:bCs/>
                <w:kern w:val="0"/>
                <w:sz w:val="20"/>
                <w:szCs w:val="20"/>
              </w:rPr>
              <w:t>技术要求</w:t>
            </w:r>
          </w:p>
        </w:tc>
        <w:tc>
          <w:tcPr>
            <w:tcW w:w="372" w:type="pct"/>
            <w:shd w:val="clear" w:color="auto" w:fill="auto"/>
            <w:noWrap/>
            <w:vAlign w:val="center"/>
          </w:tcPr>
          <w:p w14:paraId="11DF6A7A">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color w:val="000000"/>
                <w:kern w:val="0"/>
                <w:sz w:val="20"/>
                <w:szCs w:val="20"/>
              </w:rPr>
              <w:t>单位</w:t>
            </w:r>
          </w:p>
        </w:tc>
        <w:tc>
          <w:tcPr>
            <w:tcW w:w="251" w:type="pct"/>
            <w:shd w:val="clear" w:color="auto" w:fill="auto"/>
            <w:vAlign w:val="center"/>
          </w:tcPr>
          <w:p w14:paraId="43048F8E">
            <w:pPr>
              <w:widowControl/>
              <w:spacing w:line="240" w:lineRule="auto"/>
              <w:ind w:firstLine="0" w:firstLineChars="0"/>
              <w:jc w:val="center"/>
              <w:rPr>
                <w:rFonts w:hint="eastAsia" w:ascii="宋体" w:hAnsi="宋体" w:eastAsia="宋体" w:cs="宋体"/>
                <w:b/>
                <w:bCs/>
                <w:color w:val="000000"/>
                <w:kern w:val="0"/>
                <w:sz w:val="20"/>
                <w:szCs w:val="20"/>
              </w:rPr>
            </w:pPr>
            <w:r>
              <w:rPr>
                <w:rFonts w:hint="eastAsia" w:ascii="宋体" w:hAnsi="宋体" w:eastAsia="宋体" w:cs="宋体"/>
                <w:b/>
                <w:bCs/>
                <w:kern w:val="0"/>
                <w:sz w:val="20"/>
                <w:szCs w:val="20"/>
              </w:rPr>
              <w:t>数量</w:t>
            </w:r>
          </w:p>
        </w:tc>
        <w:tc>
          <w:tcPr>
            <w:tcW w:w="491" w:type="pct"/>
            <w:shd w:val="clear" w:color="auto" w:fill="auto"/>
            <w:vAlign w:val="center"/>
          </w:tcPr>
          <w:p w14:paraId="21040E22">
            <w:pPr>
              <w:widowControl/>
              <w:spacing w:line="240" w:lineRule="auto"/>
              <w:ind w:right="201" w:firstLine="0" w:firstLineChars="0"/>
              <w:jc w:val="right"/>
              <w:rPr>
                <w:rFonts w:hint="eastAsia" w:ascii="宋体" w:hAnsi="宋体" w:eastAsia="宋体" w:cs="宋体"/>
                <w:b/>
                <w:bCs/>
                <w:color w:val="000000"/>
                <w:kern w:val="0"/>
                <w:sz w:val="20"/>
                <w:szCs w:val="20"/>
              </w:rPr>
            </w:pPr>
            <w:r>
              <w:rPr>
                <w:rFonts w:hint="eastAsia" w:ascii="宋体" w:hAnsi="宋体" w:eastAsia="宋体" w:cs="宋体"/>
                <w:b/>
                <w:bCs/>
                <w:kern w:val="0"/>
                <w:sz w:val="20"/>
                <w:szCs w:val="20"/>
              </w:rPr>
              <w:t>备注</w:t>
            </w:r>
          </w:p>
        </w:tc>
      </w:tr>
      <w:tr w14:paraId="2E565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72" w:type="pct"/>
            <w:shd w:val="clear" w:color="auto" w:fill="auto"/>
            <w:noWrap/>
            <w:vAlign w:val="center"/>
          </w:tcPr>
          <w:p w14:paraId="3BA805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650" w:type="pct"/>
            <w:shd w:val="clear" w:color="auto" w:fill="auto"/>
            <w:vAlign w:val="center"/>
          </w:tcPr>
          <w:p w14:paraId="37D62035">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SSLVPN</w:t>
            </w:r>
          </w:p>
        </w:tc>
        <w:tc>
          <w:tcPr>
            <w:tcW w:w="2863" w:type="pct"/>
            <w:shd w:val="clear" w:color="auto" w:fill="auto"/>
            <w:vAlign w:val="center"/>
          </w:tcPr>
          <w:p w14:paraId="2C9E675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1.符合《GM/T 0024-2014 SSL VPN技术规范》、《GM/T 0022-2014 IPSec VPN技术规范》、GM/T 0026《安全认证网关产品规范》、GM/T 0028《密码模块安全技术要求》、第二级要求。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2.标配≧4电（1000Mbps），万兆光口≧2；。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3.吞吐率≧300Mbps， 最大并发连接数≧1万，最大并发用户数（隧道）≧ 1000个；每秒新建连接数≧1000万个/秒。</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4.支持HTTP、 HTTPS 的 B/S 应用以及 FTP、远程桌面等通用的 C/S 应用</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5.密码算法支持国密SM1/SM2/SM3/SM4算法，支持3DES、IDEA、AES对称算法，支持SHA-1、SHA-256散列算法，支持1024位和2048位RSA、ECC等非对称算法，对称算法支持ECB、CBC多种算法模式。</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产品可提供支持国密及国际SSL协议的移动端网络通信框架，产品支持国际和国密SSL单向及双向认证功能；产品应当同时支持主流国际协议，包括但不限于SSL3.0、TLS1.0、TLS1.1、TLS1.2、TLS1.3。产品支持配置根证书校验逻辑，支持权威CA签发国际及国密证书，支持自签发证书。</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7.支持智能终端、应用APP、PC、手机等设备接入；</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8.支持多种认证方式(账号+口令、USBkey、数字证书等)；</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9.具有随机数产生功能，使用硬件产生随机数，产生的随机数符合国家密码管理局颁布的《随机数检测规范》</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具有完善的系统日志审计功能,对设备运行情况进行审查，包括：1).故障告警，包括链路断开、网络断开、设备无心跳等故障状态的告警，2).统计网络链路各个时期的带宽占用率，收发包数等，用图表显示，3).统计历史交易的数量以及交易的失败原因分析统计，历史日志的记录和预警的分析统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11.具备国家密码管理局商用密码检测中心颁发的《商用密码产品认证证书》</w:t>
            </w:r>
          </w:p>
        </w:tc>
        <w:tc>
          <w:tcPr>
            <w:tcW w:w="372" w:type="pct"/>
            <w:shd w:val="clear" w:color="auto" w:fill="auto"/>
            <w:noWrap/>
            <w:vAlign w:val="center"/>
          </w:tcPr>
          <w:p w14:paraId="53EF8FD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251" w:type="pct"/>
            <w:shd w:val="clear" w:color="auto" w:fill="auto"/>
            <w:vAlign w:val="center"/>
          </w:tcPr>
          <w:p w14:paraId="286EAC3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491" w:type="pct"/>
            <w:shd w:val="clear" w:color="auto" w:fill="auto"/>
            <w:vAlign w:val="center"/>
          </w:tcPr>
          <w:p w14:paraId="38D068EE">
            <w:pPr>
              <w:widowControl/>
              <w:spacing w:line="240" w:lineRule="auto"/>
              <w:ind w:firstLine="0" w:firstLineChars="0"/>
              <w:jc w:val="right"/>
              <w:rPr>
                <w:rFonts w:hint="eastAsia" w:ascii="宋体" w:hAnsi="宋体" w:eastAsia="宋体" w:cs="宋体"/>
                <w:color w:val="000000"/>
                <w:kern w:val="0"/>
                <w:sz w:val="20"/>
                <w:szCs w:val="20"/>
              </w:rPr>
            </w:pPr>
          </w:p>
        </w:tc>
      </w:tr>
      <w:tr w14:paraId="37A3D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72" w:type="pct"/>
            <w:shd w:val="clear" w:color="auto" w:fill="auto"/>
            <w:noWrap/>
            <w:vAlign w:val="center"/>
          </w:tcPr>
          <w:p w14:paraId="4101A8E7">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650" w:type="pct"/>
            <w:shd w:val="clear" w:color="auto" w:fill="auto"/>
            <w:vAlign w:val="center"/>
          </w:tcPr>
          <w:p w14:paraId="77B975DD">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国密USBKey</w:t>
            </w:r>
          </w:p>
        </w:tc>
        <w:tc>
          <w:tcPr>
            <w:tcW w:w="2863" w:type="pct"/>
            <w:shd w:val="clear" w:color="auto" w:fill="auto"/>
            <w:vAlign w:val="center"/>
          </w:tcPr>
          <w:p w14:paraId="20EB983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1.采用高技能、高容量内嵌智能芯片（32位高性能智能卡芯片）；符合CE和FCC标准。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2.用户存储空支持128K；同时支持证书8个以上。</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3.支持Windows、Linux、Mac 0S以及国产化操作系统平台。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4.支持RSA（1024/2048位）；支持SM1/SM2/SM3/SM4 , SSF33（256位）系列算法；支持 DES, 3DES, AES128/192/256；支持 SHA1/SHA256/SHA384/SHA512。</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5.支持国密SKF；支持Microsoft CryptoAPI （CSP）；支持PKCS#11；支持SSL v3；支持X.509 v3标准证书格式；支持RSA/SM2；且同时支持SKF / CSP / P11 接口互通调用。</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6.权限管理：提供自动锁死功能，支持远程解锁。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7.具备国家密码管理局商用密码检测中心颁发的《商用密码产品认证证书》。</w:t>
            </w:r>
          </w:p>
        </w:tc>
        <w:tc>
          <w:tcPr>
            <w:tcW w:w="372" w:type="pct"/>
            <w:shd w:val="clear" w:color="auto" w:fill="auto"/>
            <w:noWrap/>
            <w:vAlign w:val="center"/>
          </w:tcPr>
          <w:p w14:paraId="093B7CC8">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251" w:type="pct"/>
            <w:shd w:val="clear" w:color="auto" w:fill="auto"/>
            <w:vAlign w:val="center"/>
          </w:tcPr>
          <w:p w14:paraId="4A2EAF5D">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30</w:t>
            </w:r>
          </w:p>
        </w:tc>
        <w:tc>
          <w:tcPr>
            <w:tcW w:w="491" w:type="pct"/>
            <w:shd w:val="clear" w:color="auto" w:fill="auto"/>
            <w:vAlign w:val="center"/>
          </w:tcPr>
          <w:p w14:paraId="7C0A7127">
            <w:pPr>
              <w:widowControl/>
              <w:spacing w:line="240" w:lineRule="auto"/>
              <w:ind w:firstLine="0" w:firstLineChars="0"/>
              <w:jc w:val="right"/>
              <w:rPr>
                <w:rFonts w:hint="eastAsia" w:ascii="宋体" w:hAnsi="宋体" w:eastAsia="宋体" w:cs="宋体"/>
                <w:color w:val="000000"/>
                <w:kern w:val="0"/>
                <w:sz w:val="20"/>
                <w:szCs w:val="20"/>
              </w:rPr>
            </w:pPr>
          </w:p>
        </w:tc>
      </w:tr>
      <w:tr w14:paraId="55C3F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72" w:type="pct"/>
            <w:shd w:val="clear" w:color="auto" w:fill="auto"/>
            <w:noWrap/>
            <w:vAlign w:val="center"/>
          </w:tcPr>
          <w:p w14:paraId="2316BC8B">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w:t>
            </w:r>
          </w:p>
        </w:tc>
        <w:tc>
          <w:tcPr>
            <w:tcW w:w="650" w:type="pct"/>
            <w:shd w:val="clear" w:color="auto" w:fill="auto"/>
            <w:noWrap/>
            <w:vAlign w:val="center"/>
          </w:tcPr>
          <w:p w14:paraId="3A4BE249">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服务器密码机</w:t>
            </w:r>
          </w:p>
        </w:tc>
        <w:tc>
          <w:tcPr>
            <w:tcW w:w="2863" w:type="pct"/>
            <w:shd w:val="clear" w:color="auto" w:fill="auto"/>
            <w:vAlign w:val="center"/>
          </w:tcPr>
          <w:p w14:paraId="0C34D06E">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1.支持多种算法：SM2、SM9、1024-4096位的RSA、DSA、ECC、SM1、SM4、AES、DES/3DES、SM3、SHA1/SHA2等算法。</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2.内置国密加密卡;SM1/SM4算法加解密速度≥850Mbps/850Mbps，最大并发连接数≥2000，SM2密钥对生成≥7000对/秒，SM3计算HASH速率≥850Mbps，对称/非对称密钥≥2000/1000。</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3.支持基于SM1、SM4、SM7、DES/3DES、AES等算法的加解密功能，算法模式。</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4.支持ECB/CBC/OFB/CFB/CTR/XTS/GCM/CCM等；支持ZUC流密码算法。</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5.支持基于GM/T 0018《密码设备应用接口规范》标准封装的SDK开发包；支持PKCS#11、JCE标准接口。</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6.支持对密钥及系统配置等重要数据的备份/恢复机制，系统管理员可方便的在管理控制台完成系统备份操作，可下载到本地进行妥善保存。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7.支持基于https实现远程管理和配置。</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8.支持基于SM2、RSA算法的安全通道接入密码机的密码服务。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9.采用“系统保护密钥-用户密钥（内部密钥对或KEK）-会话密钥”的三层密钥保护结构，充分保证用户密钥及应用系统的安全性。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10.采用由国家密码管理局批准的双物理噪声源生成随机数。</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11.具备国家密码管理局商用密码检测中心颁发的《商用密码产品认证证书》。</w:t>
            </w:r>
          </w:p>
        </w:tc>
        <w:tc>
          <w:tcPr>
            <w:tcW w:w="372" w:type="pct"/>
            <w:shd w:val="clear" w:color="auto" w:fill="auto"/>
            <w:noWrap/>
            <w:vAlign w:val="center"/>
          </w:tcPr>
          <w:p w14:paraId="612CD17E">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251" w:type="pct"/>
            <w:shd w:val="clear" w:color="auto" w:fill="auto"/>
            <w:noWrap/>
            <w:vAlign w:val="center"/>
          </w:tcPr>
          <w:p w14:paraId="0F6DBE3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491" w:type="pct"/>
            <w:shd w:val="clear" w:color="auto" w:fill="auto"/>
            <w:noWrap/>
            <w:vAlign w:val="center"/>
          </w:tcPr>
          <w:p w14:paraId="00263B77">
            <w:pPr>
              <w:widowControl/>
              <w:spacing w:line="240" w:lineRule="auto"/>
              <w:ind w:firstLine="0" w:firstLineChars="0"/>
              <w:jc w:val="right"/>
              <w:rPr>
                <w:rFonts w:hint="eastAsia" w:ascii="宋体" w:hAnsi="宋体" w:eastAsia="宋体" w:cs="宋体"/>
                <w:color w:val="000000"/>
                <w:kern w:val="0"/>
                <w:sz w:val="20"/>
                <w:szCs w:val="20"/>
              </w:rPr>
            </w:pPr>
          </w:p>
        </w:tc>
      </w:tr>
      <w:tr w14:paraId="203E1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72" w:type="pct"/>
            <w:shd w:val="clear" w:color="auto" w:fill="auto"/>
            <w:noWrap/>
            <w:vAlign w:val="center"/>
          </w:tcPr>
          <w:p w14:paraId="5A4D691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650" w:type="pct"/>
            <w:shd w:val="clear" w:color="auto" w:fill="auto"/>
            <w:vAlign w:val="center"/>
          </w:tcPr>
          <w:p w14:paraId="66C47A8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签名验签服务器</w:t>
            </w:r>
          </w:p>
        </w:tc>
        <w:tc>
          <w:tcPr>
            <w:tcW w:w="2863" w:type="pct"/>
            <w:shd w:val="clear" w:color="auto" w:fill="auto"/>
            <w:vAlign w:val="center"/>
          </w:tcPr>
          <w:p w14:paraId="1A9D8694">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1.256位SM2 签名速度≥8000 次/秒；256位SM2 验证速度≥2500 次/秒；256位SM2密钥对生成≥3500对/秒;并发访问≥2000。</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2.签名和验签：符合国密局相关技术规范的数字签名和验签功能，支持PKCS#1、PKCS#7格式的数据签名、签名验证功能，支持文件签名验证功能。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3.密码算法：支持国密SM系列算法，兼容国际RSA算法。</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4.数字信封：支持基于SM2/RSA密码算法的数字信封功能，支持PKCS#7标准各种格式的数字信封封装和解封。</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5.标准接口：支持国密算法接口（GMT 0029-2014 签名验签服务器技术规范），支持基于HTTP的签名消息协议语法规范，支持二次开发。</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6.支持密钥生成、密钥存储、密钥管理等功能，支持操作日志记录和审计，支持符合国密标准接口要求的签名审计功能。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7.支持生成1024/2048位RSA密钥对和256位SM2密钥对，采用由国家密码管理局审批使用的物理噪声源产生器芯片生成真随机数。</w:t>
            </w:r>
            <w:r>
              <w:rPr>
                <w:rFonts w:hint="eastAsia" w:ascii="宋体" w:hAnsi="宋体" w:eastAsia="宋体" w:cs="宋体"/>
                <w:kern w:val="0"/>
                <w:sz w:val="20"/>
                <w:szCs w:val="20"/>
              </w:rPr>
              <w:br w:type="textWrapping"/>
            </w:r>
            <w:r>
              <w:rPr>
                <w:rFonts w:hint="eastAsia" w:ascii="宋体" w:hAnsi="宋体" w:eastAsia="宋体" w:cs="宋体"/>
                <w:kern w:val="0"/>
                <w:sz w:val="20"/>
                <w:szCs w:val="20"/>
              </w:rPr>
              <w:t>8.支持CA、CRL、OCSP等方式证书有效性验证。</w:t>
            </w:r>
            <w:r>
              <w:rPr>
                <w:rFonts w:hint="eastAsia" w:ascii="宋体" w:hAnsi="宋体" w:eastAsia="宋体" w:cs="宋体"/>
                <w:kern w:val="0"/>
                <w:sz w:val="20"/>
                <w:szCs w:val="20"/>
              </w:rPr>
              <w:br w:type="textWrapping"/>
            </w:r>
            <w:r>
              <w:rPr>
                <w:rFonts w:hint="eastAsia" w:ascii="宋体" w:hAnsi="宋体" w:eastAsia="宋体" w:cs="宋体"/>
                <w:kern w:val="0"/>
                <w:sz w:val="20"/>
                <w:szCs w:val="20"/>
              </w:rPr>
              <w:t>9.持符合X.509标准的证书，支持证书链功能。</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10.具备国家密码管理局商用密码检测中心颁发的《商用密码产品认证证书》。</w:t>
            </w:r>
          </w:p>
        </w:tc>
        <w:tc>
          <w:tcPr>
            <w:tcW w:w="372" w:type="pct"/>
            <w:shd w:val="clear" w:color="auto" w:fill="auto"/>
            <w:noWrap/>
            <w:vAlign w:val="center"/>
          </w:tcPr>
          <w:p w14:paraId="2840A7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台</w:t>
            </w:r>
          </w:p>
        </w:tc>
        <w:tc>
          <w:tcPr>
            <w:tcW w:w="251" w:type="pct"/>
            <w:shd w:val="clear" w:color="auto" w:fill="auto"/>
            <w:noWrap/>
            <w:vAlign w:val="center"/>
          </w:tcPr>
          <w:p w14:paraId="53562612">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491" w:type="pct"/>
            <w:shd w:val="clear" w:color="auto" w:fill="auto"/>
            <w:vAlign w:val="center"/>
          </w:tcPr>
          <w:p w14:paraId="2AFF53C9">
            <w:pPr>
              <w:widowControl/>
              <w:spacing w:line="240" w:lineRule="auto"/>
              <w:ind w:firstLine="0" w:firstLineChars="0"/>
              <w:jc w:val="right"/>
              <w:rPr>
                <w:rFonts w:hint="eastAsia" w:ascii="宋体" w:hAnsi="宋体" w:eastAsia="宋体" w:cs="宋体"/>
                <w:color w:val="000000"/>
                <w:kern w:val="0"/>
                <w:sz w:val="20"/>
                <w:szCs w:val="20"/>
              </w:rPr>
            </w:pPr>
          </w:p>
        </w:tc>
      </w:tr>
      <w:tr w14:paraId="37AE7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72" w:type="pct"/>
            <w:shd w:val="clear" w:color="auto" w:fill="auto"/>
            <w:noWrap/>
            <w:vAlign w:val="center"/>
          </w:tcPr>
          <w:p w14:paraId="0936B9A9">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650" w:type="pct"/>
            <w:shd w:val="clear" w:color="auto" w:fill="auto"/>
            <w:noWrap/>
            <w:vAlign w:val="center"/>
          </w:tcPr>
          <w:p w14:paraId="137D35A7">
            <w:pPr>
              <w:widowControl/>
              <w:spacing w:line="240" w:lineRule="auto"/>
              <w:ind w:firstLine="0" w:firstLineChars="0"/>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国密门禁</w:t>
            </w:r>
          </w:p>
        </w:tc>
        <w:tc>
          <w:tcPr>
            <w:tcW w:w="2863" w:type="pct"/>
            <w:shd w:val="clear" w:color="auto" w:fill="auto"/>
            <w:vAlign w:val="center"/>
          </w:tcPr>
          <w:p w14:paraId="4580166B">
            <w:pPr>
              <w:widowControl/>
              <w:spacing w:line="240" w:lineRule="auto"/>
              <w:ind w:firstLine="0" w:firstLineChars="0"/>
              <w:jc w:val="left"/>
              <w:rPr>
                <w:rFonts w:hint="eastAsia" w:ascii="宋体" w:hAnsi="宋体" w:eastAsia="宋体" w:cs="宋体"/>
                <w:kern w:val="0"/>
                <w:sz w:val="20"/>
                <w:szCs w:val="20"/>
              </w:rPr>
            </w:pPr>
            <w:r>
              <w:rPr>
                <w:rFonts w:hint="eastAsia" w:ascii="宋体" w:hAnsi="宋体" w:eastAsia="宋体" w:cs="宋体"/>
                <w:kern w:val="0"/>
                <w:sz w:val="20"/>
                <w:szCs w:val="20"/>
              </w:rPr>
              <w:t>对进入机房的人员进行身份鉴别和访问数据记录管理。</w:t>
            </w:r>
            <w:r>
              <w:rPr>
                <w:rFonts w:hint="eastAsia" w:ascii="宋体" w:hAnsi="宋体" w:eastAsia="宋体" w:cs="宋体"/>
                <w:kern w:val="0"/>
                <w:sz w:val="20"/>
                <w:szCs w:val="20"/>
              </w:rPr>
              <w:br w:type="textWrapping"/>
            </w:r>
            <w:r>
              <w:rPr>
                <w:rFonts w:hint="eastAsia" w:ascii="宋体" w:hAnsi="宋体" w:eastAsia="宋体" w:cs="宋体"/>
                <w:kern w:val="0"/>
                <w:sz w:val="20"/>
                <w:szCs w:val="20"/>
              </w:rPr>
              <w:t>主要组成包括：</w:t>
            </w:r>
            <w:r>
              <w:rPr>
                <w:rFonts w:hint="eastAsia" w:ascii="宋体" w:hAnsi="宋体" w:eastAsia="宋体" w:cs="宋体"/>
                <w:kern w:val="0"/>
                <w:sz w:val="20"/>
                <w:szCs w:val="20"/>
              </w:rPr>
              <w:br w:type="textWrapping"/>
            </w:r>
            <w:r>
              <w:rPr>
                <w:rFonts w:hint="eastAsia" w:ascii="宋体" w:hAnsi="宋体" w:eastAsia="宋体" w:cs="宋体"/>
                <w:kern w:val="0"/>
                <w:sz w:val="20"/>
                <w:szCs w:val="20"/>
              </w:rPr>
              <w:t>1.门禁机：集刷卡、人脸识别、智能抓拍等功能为一体的门禁系统，具有自主知识产权的国标SVAC编解码芯片，并集成经国家密码管理局批准的国产高性能安全芯片。安全芯片均符合GB/T 37092-2018 《信息安全技术密码模块安全要求》安全等级第二级相关要求）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2.门禁控制器：门锁控制的执行单元，门禁机与门禁控制器之间通过RS485接口进行通讯，采用SM1算法进行身份鉴别和数据加密通讯。门禁控制器支持门磁状态反馈、按键开门信号输入、后备电源、多钟门控方式。</w:t>
            </w:r>
            <w:r>
              <w:rPr>
                <w:rFonts w:hint="eastAsia" w:ascii="宋体" w:hAnsi="宋体" w:eastAsia="宋体" w:cs="宋体"/>
                <w:kern w:val="0"/>
                <w:sz w:val="20"/>
                <w:szCs w:val="20"/>
              </w:rPr>
              <w:br w:type="textWrapping"/>
            </w:r>
            <w:r>
              <w:rPr>
                <w:rFonts w:hint="eastAsia" w:ascii="宋体" w:hAnsi="宋体" w:eastAsia="宋体" w:cs="宋体"/>
                <w:kern w:val="0"/>
                <w:sz w:val="20"/>
                <w:szCs w:val="20"/>
              </w:rPr>
              <w:t>3.门禁后台管理系统：具有人员管理、门禁记录管理、角色管理、设备管理等功能；服务器内置安全芯片，通信时提供密码服务，保证密钥安全；后台管理系统与门禁前端通讯在标准国密安全通道内进行，保证数据传输安全可靠；基于GB/T 39786-2021标准对门禁系统进出记录等数据进行完整性保护，防止记录的篡改、删减或伪造</w:t>
            </w:r>
            <w:r>
              <w:rPr>
                <w:rFonts w:hint="eastAsia" w:ascii="宋体" w:hAnsi="宋体" w:eastAsia="宋体" w:cs="宋体"/>
                <w:kern w:val="0"/>
                <w:sz w:val="20"/>
                <w:szCs w:val="20"/>
              </w:rPr>
              <w:br w:type="textWrapping"/>
            </w:r>
            <w:r>
              <w:rPr>
                <w:rFonts w:hint="eastAsia" w:ascii="宋体" w:hAnsi="宋体" w:eastAsia="宋体" w:cs="宋体"/>
                <w:kern w:val="0"/>
                <w:sz w:val="20"/>
                <w:szCs w:val="20"/>
              </w:rPr>
              <w:t>4.后台登录读卡器：内置国密安全芯片用于登录门禁管理后台，通过管理员密码及国密卡硬件介质双重认证对后台登录人员进行身份认证，符合GM/T 0008-2012《安全芯片密码检测准则》安全等级第二级相关要求。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5.门禁卡：用来存储用户信息以及用户密钥，内置安全芯片，符合GB/T 37092-2018 《信息安全技术密码模块安全要求》安全等级第二级相关要求。</w:t>
            </w:r>
            <w:r>
              <w:rPr>
                <w:rFonts w:hint="eastAsia" w:ascii="宋体" w:hAnsi="宋体" w:eastAsia="宋体" w:cs="宋体"/>
                <w:kern w:val="0"/>
                <w:sz w:val="20"/>
                <w:szCs w:val="20"/>
              </w:rPr>
              <w:br w:type="textWrapping"/>
            </w:r>
            <w:r>
              <w:rPr>
                <w:rFonts w:hint="eastAsia" w:ascii="宋体" w:hAnsi="宋体" w:eastAsia="宋体" w:cs="宋体"/>
                <w:kern w:val="0"/>
                <w:sz w:val="20"/>
                <w:szCs w:val="20"/>
              </w:rPr>
              <w:t>6.发卡系统：发卡系统包括密钥卡读卡器、发卡器及上位机软件。密钥存放在密钥卡中，发卡系统采用主副卡的形式，使用SM1分组加密算法进行密钥分散，实现一卡一密。</w:t>
            </w:r>
          </w:p>
        </w:tc>
        <w:tc>
          <w:tcPr>
            <w:tcW w:w="372" w:type="pct"/>
            <w:shd w:val="clear" w:color="auto" w:fill="auto"/>
            <w:noWrap/>
            <w:vAlign w:val="center"/>
          </w:tcPr>
          <w:p w14:paraId="5DE8DD0A">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个</w:t>
            </w:r>
          </w:p>
        </w:tc>
        <w:tc>
          <w:tcPr>
            <w:tcW w:w="251" w:type="pct"/>
            <w:shd w:val="clear" w:color="auto" w:fill="auto"/>
            <w:noWrap/>
            <w:vAlign w:val="center"/>
          </w:tcPr>
          <w:p w14:paraId="49749E20">
            <w:pPr>
              <w:widowControl/>
              <w:spacing w:line="240" w:lineRule="auto"/>
              <w:ind w:firstLine="0" w:firstLineChars="0"/>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491" w:type="pct"/>
            <w:shd w:val="clear" w:color="auto" w:fill="auto"/>
            <w:noWrap/>
            <w:vAlign w:val="center"/>
          </w:tcPr>
          <w:p w14:paraId="19E31522">
            <w:pPr>
              <w:widowControl/>
              <w:spacing w:line="240" w:lineRule="auto"/>
              <w:ind w:firstLine="0" w:firstLineChars="0"/>
              <w:jc w:val="right"/>
              <w:rPr>
                <w:rFonts w:hint="eastAsia" w:ascii="宋体" w:hAnsi="宋体" w:eastAsia="宋体" w:cs="宋体"/>
                <w:color w:val="000000"/>
                <w:kern w:val="0"/>
                <w:sz w:val="20"/>
                <w:szCs w:val="20"/>
              </w:rPr>
            </w:pPr>
          </w:p>
        </w:tc>
      </w:tr>
    </w:tbl>
    <w:p w14:paraId="691C6E3E">
      <w:pPr>
        <w:pStyle w:val="7"/>
        <w:rPr>
          <w:rFonts w:hint="eastAsia"/>
        </w:rPr>
      </w:pPr>
    </w:p>
    <w:p w14:paraId="642750B1">
      <w:pPr>
        <w:pStyle w:val="5"/>
      </w:pPr>
      <w:bookmarkStart w:id="126" w:name="_Toc191279388"/>
      <w:r>
        <w:rPr>
          <w:rFonts w:hint="eastAsia"/>
        </w:rPr>
        <w:t>网络</w:t>
      </w:r>
      <w:bookmarkEnd w:id="126"/>
      <w:r>
        <w:rPr>
          <w:rFonts w:hint="eastAsia"/>
        </w:rPr>
        <w:t>链路</w:t>
      </w:r>
      <w:r>
        <w:rPr>
          <w:rFonts w:hint="eastAsia"/>
          <w:lang w:val="en-US" w:eastAsia="zh-CN"/>
        </w:rPr>
        <w:t>需</w:t>
      </w:r>
      <w:r>
        <w:rPr>
          <w:rFonts w:hint="eastAsia"/>
        </w:rPr>
        <w:t>求</w:t>
      </w:r>
    </w:p>
    <w:p w14:paraId="2C56C6AE">
      <w:pPr>
        <w:pStyle w:val="28"/>
      </w:pPr>
      <w:r>
        <w:rPr>
          <w:rFonts w:hint="eastAsia"/>
        </w:rPr>
        <w:t>为了满足信号控制系统远程联网配时等需求，相关卡口设备需要向运营商租赁相关网络链路。</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3"/>
        <w:gridCol w:w="2858"/>
        <w:gridCol w:w="1164"/>
        <w:gridCol w:w="1602"/>
        <w:gridCol w:w="1634"/>
        <w:gridCol w:w="631"/>
      </w:tblGrid>
      <w:tr w14:paraId="4186B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98786D5">
            <w:pPr>
              <w:pStyle w:val="28"/>
              <w:ind w:firstLine="0" w:firstLineChars="0"/>
              <w:jc w:val="center"/>
              <w:rPr>
                <w:b/>
                <w:bCs/>
              </w:rPr>
            </w:pPr>
            <w:r>
              <w:rPr>
                <w:rFonts w:hint="eastAsia"/>
                <w:b/>
                <w:bCs/>
              </w:rPr>
              <w:t>序号</w:t>
            </w:r>
          </w:p>
        </w:tc>
        <w:tc>
          <w:tcPr>
            <w:tcW w:w="167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C9A0E6F">
            <w:pPr>
              <w:pStyle w:val="28"/>
              <w:ind w:firstLine="0" w:firstLineChars="0"/>
              <w:jc w:val="center"/>
              <w:rPr>
                <w:b/>
                <w:bCs/>
              </w:rPr>
            </w:pPr>
            <w:r>
              <w:rPr>
                <w:rFonts w:hint="eastAsia"/>
                <w:b/>
                <w:bCs/>
              </w:rPr>
              <w:t>卡口</w:t>
            </w:r>
          </w:p>
        </w:tc>
        <w:tc>
          <w:tcPr>
            <w:tcW w:w="682"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0D6DA36">
            <w:pPr>
              <w:pStyle w:val="28"/>
              <w:ind w:firstLine="0" w:firstLineChars="0"/>
              <w:jc w:val="center"/>
              <w:rPr>
                <w:b/>
                <w:bCs/>
              </w:rPr>
            </w:pPr>
            <w:r>
              <w:rPr>
                <w:rFonts w:hint="eastAsia"/>
                <w:b/>
                <w:bCs/>
              </w:rPr>
              <w:t>路口类型</w:t>
            </w:r>
          </w:p>
        </w:tc>
        <w:tc>
          <w:tcPr>
            <w:tcW w:w="93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A6F4863">
            <w:pPr>
              <w:pStyle w:val="28"/>
              <w:ind w:firstLine="0" w:firstLineChars="0"/>
              <w:jc w:val="center"/>
              <w:rPr>
                <w:b/>
                <w:bCs/>
              </w:rPr>
            </w:pPr>
            <w:r>
              <w:rPr>
                <w:rFonts w:hint="eastAsia"/>
                <w:b/>
                <w:bCs/>
              </w:rPr>
              <w:t>经度</w:t>
            </w:r>
          </w:p>
        </w:tc>
        <w:tc>
          <w:tcPr>
            <w:tcW w:w="95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A4569DC">
            <w:pPr>
              <w:pStyle w:val="28"/>
              <w:ind w:firstLine="0" w:firstLineChars="0"/>
              <w:jc w:val="center"/>
              <w:rPr>
                <w:b/>
                <w:bCs/>
              </w:rPr>
            </w:pPr>
            <w:r>
              <w:rPr>
                <w:rFonts w:hint="eastAsia"/>
                <w:b/>
                <w:bCs/>
              </w:rPr>
              <w:t>纬度</w:t>
            </w:r>
          </w:p>
        </w:tc>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1FB59CA">
            <w:pPr>
              <w:pStyle w:val="28"/>
              <w:ind w:firstLine="0" w:firstLineChars="0"/>
              <w:rPr>
                <w:b/>
                <w:bCs/>
              </w:rPr>
            </w:pPr>
            <w:r>
              <w:rPr>
                <w:rFonts w:hint="eastAsia"/>
                <w:b/>
                <w:bCs/>
              </w:rPr>
              <w:t>备注</w:t>
            </w:r>
          </w:p>
        </w:tc>
      </w:tr>
      <w:tr w14:paraId="1B3C0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04446AAD">
            <w:pPr>
              <w:pStyle w:val="28"/>
              <w:ind w:firstLine="0" w:firstLineChars="0"/>
              <w:jc w:val="center"/>
            </w:pPr>
            <w:r>
              <w:rPr>
                <w:rFonts w:hint="eastAsia"/>
              </w:rPr>
              <w:t>1</w:t>
            </w:r>
          </w:p>
        </w:tc>
        <w:tc>
          <w:tcPr>
            <w:tcW w:w="1676" w:type="pct"/>
            <w:tcBorders>
              <w:top w:val="single" w:color="auto" w:sz="4" w:space="0"/>
              <w:left w:val="single" w:color="auto" w:sz="4" w:space="0"/>
              <w:bottom w:val="single" w:color="auto" w:sz="4" w:space="0"/>
              <w:right w:val="single" w:color="auto" w:sz="4" w:space="0"/>
            </w:tcBorders>
            <w:noWrap/>
            <w:vAlign w:val="center"/>
          </w:tcPr>
          <w:p w14:paraId="6569204C">
            <w:pPr>
              <w:pStyle w:val="28"/>
              <w:ind w:firstLine="0" w:firstLineChars="0"/>
              <w:jc w:val="center"/>
            </w:pPr>
            <w:r>
              <w:rPr>
                <w:rFonts w:hint="eastAsia"/>
              </w:rPr>
              <w:t>山兰大厦路口【国兴大道-营根路】</w:t>
            </w:r>
          </w:p>
        </w:tc>
        <w:tc>
          <w:tcPr>
            <w:tcW w:w="682" w:type="pct"/>
            <w:tcBorders>
              <w:top w:val="single" w:color="auto" w:sz="4" w:space="0"/>
              <w:left w:val="single" w:color="auto" w:sz="4" w:space="0"/>
              <w:bottom w:val="single" w:color="auto" w:sz="4" w:space="0"/>
              <w:right w:val="single" w:color="auto" w:sz="4" w:space="0"/>
            </w:tcBorders>
            <w:noWrap/>
            <w:vAlign w:val="center"/>
          </w:tcPr>
          <w:p w14:paraId="1847927C">
            <w:pPr>
              <w:pStyle w:val="28"/>
              <w:ind w:firstLine="0" w:firstLineChars="0"/>
              <w:jc w:val="center"/>
            </w:pPr>
            <w:r>
              <w:rPr>
                <w:rFonts w:hint="eastAsia"/>
              </w:rPr>
              <w:t>Y</w:t>
            </w:r>
          </w:p>
        </w:tc>
        <w:tc>
          <w:tcPr>
            <w:tcW w:w="939" w:type="pct"/>
            <w:tcBorders>
              <w:top w:val="single" w:color="auto" w:sz="4" w:space="0"/>
              <w:left w:val="single" w:color="auto" w:sz="4" w:space="0"/>
              <w:bottom w:val="single" w:color="auto" w:sz="4" w:space="0"/>
              <w:right w:val="single" w:color="auto" w:sz="4" w:space="0"/>
            </w:tcBorders>
            <w:noWrap/>
            <w:vAlign w:val="center"/>
          </w:tcPr>
          <w:p w14:paraId="28B69D04">
            <w:pPr>
              <w:pStyle w:val="28"/>
              <w:ind w:firstLine="0" w:firstLineChars="0"/>
              <w:jc w:val="center"/>
            </w:pPr>
            <w:r>
              <w:rPr>
                <w:rFonts w:hint="eastAsia"/>
              </w:rPr>
              <w:t>109.838227</w:t>
            </w:r>
          </w:p>
        </w:tc>
        <w:tc>
          <w:tcPr>
            <w:tcW w:w="958" w:type="pct"/>
            <w:tcBorders>
              <w:top w:val="single" w:color="auto" w:sz="4" w:space="0"/>
              <w:left w:val="single" w:color="auto" w:sz="4" w:space="0"/>
              <w:bottom w:val="single" w:color="auto" w:sz="4" w:space="0"/>
              <w:right w:val="single" w:color="auto" w:sz="4" w:space="0"/>
            </w:tcBorders>
            <w:noWrap/>
            <w:vAlign w:val="center"/>
          </w:tcPr>
          <w:p w14:paraId="43A8A000">
            <w:pPr>
              <w:pStyle w:val="28"/>
              <w:ind w:firstLine="0" w:firstLineChars="0"/>
              <w:jc w:val="center"/>
            </w:pPr>
            <w:r>
              <w:rPr>
                <w:rFonts w:hint="eastAsia"/>
              </w:rPr>
              <w:t>19.03656248</w:t>
            </w:r>
          </w:p>
        </w:tc>
        <w:tc>
          <w:tcPr>
            <w:tcW w:w="370" w:type="pct"/>
            <w:tcBorders>
              <w:top w:val="single" w:color="auto" w:sz="4" w:space="0"/>
              <w:left w:val="single" w:color="auto" w:sz="4" w:space="0"/>
              <w:bottom w:val="single" w:color="auto" w:sz="4" w:space="0"/>
              <w:right w:val="single" w:color="auto" w:sz="4" w:space="0"/>
            </w:tcBorders>
            <w:noWrap/>
            <w:vAlign w:val="center"/>
          </w:tcPr>
          <w:p w14:paraId="459FC471">
            <w:pPr>
              <w:pStyle w:val="28"/>
              <w:ind w:firstLine="0" w:firstLineChars="0"/>
            </w:pPr>
          </w:p>
        </w:tc>
      </w:tr>
      <w:tr w14:paraId="35EEA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3A84C601">
            <w:pPr>
              <w:pStyle w:val="28"/>
              <w:ind w:firstLine="0" w:firstLineChars="0"/>
              <w:jc w:val="center"/>
            </w:pPr>
            <w:r>
              <w:rPr>
                <w:rFonts w:hint="eastAsia"/>
              </w:rPr>
              <w:t>2</w:t>
            </w:r>
          </w:p>
        </w:tc>
        <w:tc>
          <w:tcPr>
            <w:tcW w:w="1676" w:type="pct"/>
            <w:tcBorders>
              <w:top w:val="single" w:color="auto" w:sz="4" w:space="0"/>
              <w:left w:val="single" w:color="auto" w:sz="4" w:space="0"/>
              <w:bottom w:val="single" w:color="auto" w:sz="4" w:space="0"/>
              <w:right w:val="single" w:color="auto" w:sz="4" w:space="0"/>
            </w:tcBorders>
            <w:noWrap/>
            <w:vAlign w:val="center"/>
          </w:tcPr>
          <w:p w14:paraId="49591891">
            <w:pPr>
              <w:pStyle w:val="28"/>
              <w:ind w:firstLine="0" w:firstLineChars="0"/>
              <w:jc w:val="center"/>
            </w:pPr>
            <w:r>
              <w:rPr>
                <w:rFonts w:hint="eastAsia"/>
              </w:rPr>
              <w:t>零公里路口【国兴大道-营乘路】</w:t>
            </w:r>
          </w:p>
        </w:tc>
        <w:tc>
          <w:tcPr>
            <w:tcW w:w="682" w:type="pct"/>
            <w:tcBorders>
              <w:top w:val="single" w:color="auto" w:sz="4" w:space="0"/>
              <w:left w:val="single" w:color="auto" w:sz="4" w:space="0"/>
              <w:bottom w:val="single" w:color="auto" w:sz="4" w:space="0"/>
              <w:right w:val="single" w:color="auto" w:sz="4" w:space="0"/>
            </w:tcBorders>
            <w:noWrap/>
            <w:vAlign w:val="center"/>
          </w:tcPr>
          <w:p w14:paraId="0A4902F6">
            <w:pPr>
              <w:pStyle w:val="28"/>
              <w:ind w:firstLine="0" w:firstLineChars="0"/>
              <w:jc w:val="center"/>
            </w:pPr>
            <w:r>
              <w:rPr>
                <w:rFonts w:hint="eastAsia"/>
              </w:rPr>
              <w:t>T</w:t>
            </w:r>
          </w:p>
        </w:tc>
        <w:tc>
          <w:tcPr>
            <w:tcW w:w="939" w:type="pct"/>
            <w:tcBorders>
              <w:top w:val="single" w:color="auto" w:sz="4" w:space="0"/>
              <w:left w:val="single" w:color="auto" w:sz="4" w:space="0"/>
              <w:bottom w:val="single" w:color="auto" w:sz="4" w:space="0"/>
              <w:right w:val="single" w:color="auto" w:sz="4" w:space="0"/>
            </w:tcBorders>
            <w:noWrap/>
            <w:vAlign w:val="center"/>
          </w:tcPr>
          <w:p w14:paraId="64846D89">
            <w:pPr>
              <w:pStyle w:val="28"/>
              <w:ind w:firstLine="0" w:firstLineChars="0"/>
              <w:jc w:val="center"/>
            </w:pPr>
            <w:r>
              <w:rPr>
                <w:rFonts w:hint="eastAsia"/>
              </w:rPr>
              <w:t>109.8435905</w:t>
            </w:r>
          </w:p>
        </w:tc>
        <w:tc>
          <w:tcPr>
            <w:tcW w:w="958" w:type="pct"/>
            <w:tcBorders>
              <w:top w:val="single" w:color="auto" w:sz="4" w:space="0"/>
              <w:left w:val="single" w:color="auto" w:sz="4" w:space="0"/>
              <w:bottom w:val="single" w:color="auto" w:sz="4" w:space="0"/>
              <w:right w:val="single" w:color="auto" w:sz="4" w:space="0"/>
            </w:tcBorders>
            <w:noWrap/>
            <w:vAlign w:val="center"/>
          </w:tcPr>
          <w:p w14:paraId="549B8FD4">
            <w:pPr>
              <w:pStyle w:val="28"/>
              <w:ind w:firstLine="0" w:firstLineChars="0"/>
              <w:jc w:val="center"/>
            </w:pPr>
            <w:r>
              <w:rPr>
                <w:rFonts w:hint="eastAsia"/>
              </w:rPr>
              <w:t>19.03754058</w:t>
            </w:r>
          </w:p>
        </w:tc>
        <w:tc>
          <w:tcPr>
            <w:tcW w:w="370" w:type="pct"/>
            <w:tcBorders>
              <w:top w:val="single" w:color="auto" w:sz="4" w:space="0"/>
              <w:left w:val="single" w:color="auto" w:sz="4" w:space="0"/>
              <w:bottom w:val="single" w:color="auto" w:sz="4" w:space="0"/>
              <w:right w:val="single" w:color="auto" w:sz="4" w:space="0"/>
            </w:tcBorders>
            <w:noWrap/>
            <w:vAlign w:val="center"/>
          </w:tcPr>
          <w:p w14:paraId="64C18820">
            <w:pPr>
              <w:pStyle w:val="28"/>
              <w:ind w:firstLine="0" w:firstLineChars="0"/>
            </w:pPr>
          </w:p>
        </w:tc>
      </w:tr>
      <w:tr w14:paraId="1A86F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0538C40C">
            <w:pPr>
              <w:pStyle w:val="28"/>
              <w:ind w:firstLine="0" w:firstLineChars="0"/>
              <w:jc w:val="center"/>
            </w:pPr>
            <w:r>
              <w:rPr>
                <w:rFonts w:hint="eastAsia"/>
              </w:rPr>
              <w:t>3</w:t>
            </w:r>
          </w:p>
        </w:tc>
        <w:tc>
          <w:tcPr>
            <w:tcW w:w="1676" w:type="pct"/>
            <w:tcBorders>
              <w:top w:val="single" w:color="auto" w:sz="4" w:space="0"/>
              <w:left w:val="single" w:color="auto" w:sz="4" w:space="0"/>
              <w:bottom w:val="single" w:color="auto" w:sz="4" w:space="0"/>
              <w:right w:val="single" w:color="auto" w:sz="4" w:space="0"/>
            </w:tcBorders>
            <w:noWrap/>
            <w:vAlign w:val="center"/>
          </w:tcPr>
          <w:p w14:paraId="5F10B65F">
            <w:pPr>
              <w:pStyle w:val="28"/>
              <w:ind w:firstLine="0" w:firstLineChars="0"/>
              <w:jc w:val="center"/>
            </w:pPr>
            <w:r>
              <w:rPr>
                <w:rFonts w:hint="eastAsia"/>
              </w:rPr>
              <w:t>国兴大道-兴教路</w:t>
            </w:r>
          </w:p>
        </w:tc>
        <w:tc>
          <w:tcPr>
            <w:tcW w:w="682" w:type="pct"/>
            <w:tcBorders>
              <w:top w:val="single" w:color="auto" w:sz="4" w:space="0"/>
              <w:left w:val="single" w:color="auto" w:sz="4" w:space="0"/>
              <w:bottom w:val="single" w:color="auto" w:sz="4" w:space="0"/>
              <w:right w:val="single" w:color="auto" w:sz="4" w:space="0"/>
            </w:tcBorders>
            <w:noWrap/>
            <w:vAlign w:val="center"/>
          </w:tcPr>
          <w:p w14:paraId="6FB0F6E5">
            <w:pPr>
              <w:pStyle w:val="28"/>
              <w:ind w:firstLine="0" w:firstLineChars="0"/>
              <w:jc w:val="center"/>
            </w:pPr>
            <w:r>
              <w:rPr>
                <w:rFonts w:hint="eastAsia"/>
              </w:rPr>
              <w:t>十</w:t>
            </w:r>
          </w:p>
        </w:tc>
        <w:tc>
          <w:tcPr>
            <w:tcW w:w="939" w:type="pct"/>
            <w:tcBorders>
              <w:top w:val="single" w:color="auto" w:sz="4" w:space="0"/>
              <w:left w:val="single" w:color="auto" w:sz="4" w:space="0"/>
              <w:bottom w:val="single" w:color="auto" w:sz="4" w:space="0"/>
              <w:right w:val="single" w:color="auto" w:sz="4" w:space="0"/>
            </w:tcBorders>
            <w:noWrap/>
            <w:vAlign w:val="center"/>
          </w:tcPr>
          <w:p w14:paraId="3BEC7F8D">
            <w:pPr>
              <w:pStyle w:val="28"/>
              <w:ind w:firstLine="0" w:firstLineChars="0"/>
              <w:jc w:val="center"/>
            </w:pPr>
            <w:r>
              <w:rPr>
                <w:rFonts w:hint="eastAsia"/>
              </w:rPr>
              <w:t>109.8469597</w:t>
            </w:r>
          </w:p>
        </w:tc>
        <w:tc>
          <w:tcPr>
            <w:tcW w:w="958" w:type="pct"/>
            <w:tcBorders>
              <w:top w:val="single" w:color="auto" w:sz="4" w:space="0"/>
              <w:left w:val="single" w:color="auto" w:sz="4" w:space="0"/>
              <w:bottom w:val="single" w:color="auto" w:sz="4" w:space="0"/>
              <w:right w:val="single" w:color="auto" w:sz="4" w:space="0"/>
            </w:tcBorders>
            <w:noWrap/>
            <w:vAlign w:val="center"/>
          </w:tcPr>
          <w:p w14:paraId="48AFEBA9">
            <w:pPr>
              <w:pStyle w:val="28"/>
              <w:ind w:firstLine="0" w:firstLineChars="0"/>
              <w:jc w:val="center"/>
            </w:pPr>
            <w:r>
              <w:rPr>
                <w:rFonts w:hint="eastAsia"/>
              </w:rPr>
              <w:t>19.04126798</w:t>
            </w:r>
          </w:p>
        </w:tc>
        <w:tc>
          <w:tcPr>
            <w:tcW w:w="370" w:type="pct"/>
            <w:tcBorders>
              <w:top w:val="single" w:color="auto" w:sz="4" w:space="0"/>
              <w:left w:val="single" w:color="auto" w:sz="4" w:space="0"/>
              <w:bottom w:val="single" w:color="auto" w:sz="4" w:space="0"/>
              <w:right w:val="single" w:color="auto" w:sz="4" w:space="0"/>
            </w:tcBorders>
            <w:vAlign w:val="center"/>
          </w:tcPr>
          <w:p w14:paraId="6798413D">
            <w:pPr>
              <w:pStyle w:val="28"/>
              <w:ind w:firstLine="0" w:firstLineChars="0"/>
            </w:pPr>
          </w:p>
        </w:tc>
      </w:tr>
      <w:tr w14:paraId="2865F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460FA346">
            <w:pPr>
              <w:pStyle w:val="28"/>
              <w:ind w:firstLine="0" w:firstLineChars="0"/>
              <w:jc w:val="center"/>
            </w:pPr>
            <w:r>
              <w:rPr>
                <w:rFonts w:hint="eastAsia"/>
              </w:rPr>
              <w:t>4</w:t>
            </w:r>
          </w:p>
        </w:tc>
        <w:tc>
          <w:tcPr>
            <w:tcW w:w="1676" w:type="pct"/>
            <w:tcBorders>
              <w:top w:val="single" w:color="auto" w:sz="4" w:space="0"/>
              <w:left w:val="single" w:color="auto" w:sz="4" w:space="0"/>
              <w:bottom w:val="single" w:color="auto" w:sz="4" w:space="0"/>
              <w:right w:val="single" w:color="auto" w:sz="4" w:space="0"/>
            </w:tcBorders>
            <w:noWrap/>
            <w:vAlign w:val="center"/>
          </w:tcPr>
          <w:p w14:paraId="10606F8F">
            <w:pPr>
              <w:pStyle w:val="28"/>
              <w:ind w:firstLine="0" w:firstLineChars="0"/>
              <w:jc w:val="center"/>
            </w:pPr>
            <w:r>
              <w:rPr>
                <w:rFonts w:hint="eastAsia"/>
              </w:rPr>
              <w:t>国兴大道-龙溪路</w:t>
            </w:r>
          </w:p>
        </w:tc>
        <w:tc>
          <w:tcPr>
            <w:tcW w:w="682" w:type="pct"/>
            <w:tcBorders>
              <w:top w:val="single" w:color="auto" w:sz="4" w:space="0"/>
              <w:left w:val="single" w:color="auto" w:sz="4" w:space="0"/>
              <w:bottom w:val="single" w:color="auto" w:sz="4" w:space="0"/>
              <w:right w:val="single" w:color="auto" w:sz="4" w:space="0"/>
            </w:tcBorders>
            <w:noWrap/>
            <w:vAlign w:val="center"/>
          </w:tcPr>
          <w:p w14:paraId="5440789E">
            <w:pPr>
              <w:pStyle w:val="28"/>
              <w:ind w:firstLine="0" w:firstLineChars="0"/>
              <w:jc w:val="center"/>
            </w:pPr>
            <w:r>
              <w:rPr>
                <w:rFonts w:hint="eastAsia"/>
              </w:rPr>
              <w:t>T</w:t>
            </w:r>
          </w:p>
        </w:tc>
        <w:tc>
          <w:tcPr>
            <w:tcW w:w="939" w:type="pct"/>
            <w:tcBorders>
              <w:top w:val="single" w:color="auto" w:sz="4" w:space="0"/>
              <w:left w:val="single" w:color="auto" w:sz="4" w:space="0"/>
              <w:bottom w:val="single" w:color="auto" w:sz="4" w:space="0"/>
              <w:right w:val="single" w:color="auto" w:sz="4" w:space="0"/>
            </w:tcBorders>
            <w:noWrap/>
            <w:vAlign w:val="center"/>
          </w:tcPr>
          <w:p w14:paraId="4245F879">
            <w:pPr>
              <w:pStyle w:val="28"/>
              <w:ind w:firstLine="0" w:firstLineChars="0"/>
              <w:jc w:val="center"/>
            </w:pPr>
            <w:r>
              <w:rPr>
                <w:rFonts w:hint="eastAsia"/>
              </w:rPr>
              <w:t>109.8474483</w:t>
            </w:r>
          </w:p>
        </w:tc>
        <w:tc>
          <w:tcPr>
            <w:tcW w:w="958" w:type="pct"/>
            <w:tcBorders>
              <w:top w:val="single" w:color="auto" w:sz="4" w:space="0"/>
              <w:left w:val="single" w:color="auto" w:sz="4" w:space="0"/>
              <w:bottom w:val="single" w:color="auto" w:sz="4" w:space="0"/>
              <w:right w:val="single" w:color="auto" w:sz="4" w:space="0"/>
            </w:tcBorders>
            <w:noWrap/>
            <w:vAlign w:val="center"/>
          </w:tcPr>
          <w:p w14:paraId="7D2382C9">
            <w:pPr>
              <w:pStyle w:val="28"/>
              <w:ind w:firstLine="0" w:firstLineChars="0"/>
              <w:jc w:val="center"/>
            </w:pPr>
            <w:r>
              <w:rPr>
                <w:rFonts w:hint="eastAsia"/>
              </w:rPr>
              <w:t>19.04546653</w:t>
            </w:r>
          </w:p>
        </w:tc>
        <w:tc>
          <w:tcPr>
            <w:tcW w:w="370" w:type="pct"/>
            <w:tcBorders>
              <w:top w:val="single" w:color="auto" w:sz="4" w:space="0"/>
              <w:left w:val="single" w:color="auto" w:sz="4" w:space="0"/>
              <w:bottom w:val="single" w:color="auto" w:sz="4" w:space="0"/>
              <w:right w:val="single" w:color="auto" w:sz="4" w:space="0"/>
            </w:tcBorders>
            <w:vAlign w:val="center"/>
          </w:tcPr>
          <w:p w14:paraId="058356A1">
            <w:pPr>
              <w:pStyle w:val="28"/>
              <w:ind w:firstLine="0" w:firstLineChars="0"/>
            </w:pPr>
          </w:p>
        </w:tc>
      </w:tr>
      <w:tr w14:paraId="57C59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5E8E541A">
            <w:pPr>
              <w:pStyle w:val="28"/>
              <w:ind w:firstLine="0" w:firstLineChars="0"/>
              <w:jc w:val="center"/>
            </w:pPr>
            <w:r>
              <w:rPr>
                <w:rFonts w:hint="eastAsia"/>
              </w:rPr>
              <w:t>5</w:t>
            </w:r>
          </w:p>
        </w:tc>
        <w:tc>
          <w:tcPr>
            <w:tcW w:w="1676" w:type="pct"/>
            <w:tcBorders>
              <w:top w:val="single" w:color="auto" w:sz="4" w:space="0"/>
              <w:left w:val="single" w:color="auto" w:sz="4" w:space="0"/>
              <w:bottom w:val="single" w:color="auto" w:sz="4" w:space="0"/>
              <w:right w:val="single" w:color="auto" w:sz="4" w:space="0"/>
            </w:tcBorders>
            <w:noWrap/>
            <w:vAlign w:val="center"/>
          </w:tcPr>
          <w:p w14:paraId="40660E6A">
            <w:pPr>
              <w:pStyle w:val="28"/>
              <w:ind w:firstLine="0" w:firstLineChars="0"/>
              <w:jc w:val="center"/>
            </w:pPr>
            <w:r>
              <w:rPr>
                <w:rFonts w:hint="eastAsia"/>
              </w:rPr>
              <w:t>国兴大道-三月三大道</w:t>
            </w:r>
          </w:p>
        </w:tc>
        <w:tc>
          <w:tcPr>
            <w:tcW w:w="682" w:type="pct"/>
            <w:tcBorders>
              <w:top w:val="single" w:color="auto" w:sz="4" w:space="0"/>
              <w:left w:val="single" w:color="auto" w:sz="4" w:space="0"/>
              <w:bottom w:val="single" w:color="auto" w:sz="4" w:space="0"/>
              <w:right w:val="single" w:color="auto" w:sz="4" w:space="0"/>
            </w:tcBorders>
            <w:noWrap/>
            <w:vAlign w:val="center"/>
          </w:tcPr>
          <w:p w14:paraId="1559120F">
            <w:pPr>
              <w:pStyle w:val="28"/>
              <w:ind w:firstLine="0" w:firstLineChars="0"/>
              <w:jc w:val="center"/>
            </w:pPr>
            <w:r>
              <w:rPr>
                <w:rFonts w:hint="eastAsia"/>
              </w:rPr>
              <w:t>T</w:t>
            </w:r>
          </w:p>
        </w:tc>
        <w:tc>
          <w:tcPr>
            <w:tcW w:w="939" w:type="pct"/>
            <w:tcBorders>
              <w:top w:val="single" w:color="auto" w:sz="4" w:space="0"/>
              <w:left w:val="single" w:color="auto" w:sz="4" w:space="0"/>
              <w:bottom w:val="single" w:color="auto" w:sz="4" w:space="0"/>
              <w:right w:val="single" w:color="auto" w:sz="4" w:space="0"/>
            </w:tcBorders>
            <w:noWrap/>
            <w:vAlign w:val="center"/>
          </w:tcPr>
          <w:p w14:paraId="30918BB5">
            <w:pPr>
              <w:pStyle w:val="28"/>
              <w:ind w:firstLine="0" w:firstLineChars="0"/>
              <w:jc w:val="center"/>
            </w:pPr>
            <w:r>
              <w:rPr>
                <w:rFonts w:hint="eastAsia"/>
              </w:rPr>
              <w:t>109.849728</w:t>
            </w:r>
          </w:p>
        </w:tc>
        <w:tc>
          <w:tcPr>
            <w:tcW w:w="958" w:type="pct"/>
            <w:tcBorders>
              <w:top w:val="single" w:color="auto" w:sz="4" w:space="0"/>
              <w:left w:val="single" w:color="auto" w:sz="4" w:space="0"/>
              <w:bottom w:val="single" w:color="auto" w:sz="4" w:space="0"/>
              <w:right w:val="single" w:color="auto" w:sz="4" w:space="0"/>
            </w:tcBorders>
            <w:noWrap/>
            <w:vAlign w:val="center"/>
          </w:tcPr>
          <w:p w14:paraId="1EA312F5">
            <w:pPr>
              <w:pStyle w:val="28"/>
              <w:ind w:firstLine="0" w:firstLineChars="0"/>
              <w:jc w:val="center"/>
            </w:pPr>
            <w:r>
              <w:rPr>
                <w:rFonts w:hint="eastAsia"/>
              </w:rPr>
              <w:t>19.0525883</w:t>
            </w:r>
          </w:p>
        </w:tc>
        <w:tc>
          <w:tcPr>
            <w:tcW w:w="370" w:type="pct"/>
            <w:tcBorders>
              <w:top w:val="single" w:color="auto" w:sz="4" w:space="0"/>
              <w:left w:val="single" w:color="auto" w:sz="4" w:space="0"/>
              <w:bottom w:val="single" w:color="auto" w:sz="4" w:space="0"/>
              <w:right w:val="single" w:color="auto" w:sz="4" w:space="0"/>
            </w:tcBorders>
            <w:vAlign w:val="center"/>
          </w:tcPr>
          <w:p w14:paraId="03AB9CEC">
            <w:pPr>
              <w:pStyle w:val="28"/>
              <w:ind w:firstLine="0" w:firstLineChars="0"/>
            </w:pPr>
          </w:p>
        </w:tc>
      </w:tr>
      <w:tr w14:paraId="6DCCD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7568AD1F">
            <w:pPr>
              <w:pStyle w:val="28"/>
              <w:ind w:firstLine="0" w:firstLineChars="0"/>
              <w:jc w:val="center"/>
            </w:pPr>
            <w:r>
              <w:rPr>
                <w:rFonts w:hint="eastAsia"/>
              </w:rPr>
              <w:t>6</w:t>
            </w:r>
          </w:p>
        </w:tc>
        <w:tc>
          <w:tcPr>
            <w:tcW w:w="1676" w:type="pct"/>
            <w:tcBorders>
              <w:top w:val="single" w:color="auto" w:sz="4" w:space="0"/>
              <w:left w:val="single" w:color="auto" w:sz="4" w:space="0"/>
              <w:bottom w:val="single" w:color="auto" w:sz="4" w:space="0"/>
              <w:right w:val="single" w:color="auto" w:sz="4" w:space="0"/>
            </w:tcBorders>
            <w:noWrap/>
            <w:vAlign w:val="center"/>
          </w:tcPr>
          <w:p w14:paraId="28C894BF">
            <w:pPr>
              <w:pStyle w:val="28"/>
              <w:ind w:firstLine="0" w:firstLineChars="0"/>
              <w:jc w:val="center"/>
            </w:pPr>
            <w:r>
              <w:rPr>
                <w:rFonts w:hint="eastAsia"/>
              </w:rPr>
              <w:t>三月三大道-玉锦大道</w:t>
            </w:r>
          </w:p>
        </w:tc>
        <w:tc>
          <w:tcPr>
            <w:tcW w:w="682" w:type="pct"/>
            <w:tcBorders>
              <w:top w:val="single" w:color="auto" w:sz="4" w:space="0"/>
              <w:left w:val="single" w:color="auto" w:sz="4" w:space="0"/>
              <w:bottom w:val="single" w:color="auto" w:sz="4" w:space="0"/>
              <w:right w:val="single" w:color="auto" w:sz="4" w:space="0"/>
            </w:tcBorders>
            <w:noWrap/>
            <w:vAlign w:val="center"/>
          </w:tcPr>
          <w:p w14:paraId="345C1BF9">
            <w:pPr>
              <w:pStyle w:val="28"/>
              <w:ind w:firstLine="0" w:firstLineChars="0"/>
              <w:jc w:val="center"/>
            </w:pPr>
            <w:r>
              <w:rPr>
                <w:rFonts w:hint="eastAsia"/>
              </w:rPr>
              <w:t>十</w:t>
            </w:r>
          </w:p>
        </w:tc>
        <w:tc>
          <w:tcPr>
            <w:tcW w:w="939" w:type="pct"/>
            <w:tcBorders>
              <w:top w:val="single" w:color="auto" w:sz="4" w:space="0"/>
              <w:left w:val="single" w:color="auto" w:sz="4" w:space="0"/>
              <w:bottom w:val="single" w:color="auto" w:sz="4" w:space="0"/>
              <w:right w:val="single" w:color="auto" w:sz="4" w:space="0"/>
            </w:tcBorders>
            <w:noWrap/>
            <w:vAlign w:val="center"/>
          </w:tcPr>
          <w:p w14:paraId="3764CFA7">
            <w:pPr>
              <w:pStyle w:val="28"/>
              <w:ind w:firstLine="0" w:firstLineChars="0"/>
              <w:jc w:val="center"/>
            </w:pPr>
            <w:r>
              <w:rPr>
                <w:rFonts w:hint="eastAsia"/>
              </w:rPr>
              <w:t>109.8534134</w:t>
            </w:r>
          </w:p>
        </w:tc>
        <w:tc>
          <w:tcPr>
            <w:tcW w:w="958" w:type="pct"/>
            <w:tcBorders>
              <w:top w:val="single" w:color="auto" w:sz="4" w:space="0"/>
              <w:left w:val="single" w:color="auto" w:sz="4" w:space="0"/>
              <w:bottom w:val="single" w:color="auto" w:sz="4" w:space="0"/>
              <w:right w:val="single" w:color="auto" w:sz="4" w:space="0"/>
            </w:tcBorders>
            <w:noWrap/>
            <w:vAlign w:val="center"/>
          </w:tcPr>
          <w:p w14:paraId="17F1D037">
            <w:pPr>
              <w:pStyle w:val="28"/>
              <w:ind w:firstLine="0" w:firstLineChars="0"/>
              <w:jc w:val="center"/>
            </w:pPr>
            <w:r>
              <w:rPr>
                <w:rFonts w:hint="eastAsia"/>
              </w:rPr>
              <w:t>19.0518024</w:t>
            </w:r>
          </w:p>
        </w:tc>
        <w:tc>
          <w:tcPr>
            <w:tcW w:w="370" w:type="pct"/>
            <w:tcBorders>
              <w:top w:val="single" w:color="auto" w:sz="4" w:space="0"/>
              <w:left w:val="single" w:color="auto" w:sz="4" w:space="0"/>
              <w:bottom w:val="single" w:color="auto" w:sz="4" w:space="0"/>
              <w:right w:val="single" w:color="auto" w:sz="4" w:space="0"/>
            </w:tcBorders>
            <w:noWrap/>
            <w:vAlign w:val="center"/>
          </w:tcPr>
          <w:p w14:paraId="42D902B8">
            <w:pPr>
              <w:pStyle w:val="28"/>
              <w:ind w:firstLine="0" w:firstLineChars="0"/>
            </w:pPr>
          </w:p>
        </w:tc>
      </w:tr>
      <w:tr w14:paraId="6E251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2B08A74B">
            <w:pPr>
              <w:pStyle w:val="28"/>
              <w:ind w:firstLine="0" w:firstLineChars="0"/>
              <w:jc w:val="center"/>
            </w:pPr>
            <w:r>
              <w:rPr>
                <w:rFonts w:hint="eastAsia"/>
              </w:rPr>
              <w:t>7</w:t>
            </w:r>
          </w:p>
        </w:tc>
        <w:tc>
          <w:tcPr>
            <w:tcW w:w="1676" w:type="pct"/>
            <w:tcBorders>
              <w:top w:val="single" w:color="auto" w:sz="4" w:space="0"/>
              <w:left w:val="single" w:color="auto" w:sz="4" w:space="0"/>
              <w:bottom w:val="single" w:color="auto" w:sz="4" w:space="0"/>
              <w:right w:val="single" w:color="auto" w:sz="4" w:space="0"/>
            </w:tcBorders>
            <w:noWrap/>
            <w:vAlign w:val="center"/>
          </w:tcPr>
          <w:p w14:paraId="417951AA">
            <w:pPr>
              <w:pStyle w:val="28"/>
              <w:ind w:firstLine="0" w:firstLineChars="0"/>
              <w:jc w:val="center"/>
            </w:pPr>
            <w:r>
              <w:rPr>
                <w:rFonts w:hint="eastAsia"/>
              </w:rPr>
              <w:t>龙溪路-玉锦大道</w:t>
            </w:r>
          </w:p>
        </w:tc>
        <w:tc>
          <w:tcPr>
            <w:tcW w:w="682" w:type="pct"/>
            <w:tcBorders>
              <w:top w:val="single" w:color="auto" w:sz="4" w:space="0"/>
              <w:left w:val="single" w:color="auto" w:sz="4" w:space="0"/>
              <w:bottom w:val="single" w:color="auto" w:sz="4" w:space="0"/>
              <w:right w:val="single" w:color="auto" w:sz="4" w:space="0"/>
            </w:tcBorders>
            <w:noWrap/>
            <w:vAlign w:val="center"/>
          </w:tcPr>
          <w:p w14:paraId="08B63C41">
            <w:pPr>
              <w:pStyle w:val="28"/>
              <w:ind w:firstLine="0" w:firstLineChars="0"/>
              <w:jc w:val="center"/>
            </w:pPr>
            <w:r>
              <w:rPr>
                <w:rFonts w:hint="eastAsia"/>
              </w:rPr>
              <w:t>十</w:t>
            </w:r>
          </w:p>
        </w:tc>
        <w:tc>
          <w:tcPr>
            <w:tcW w:w="939" w:type="pct"/>
            <w:tcBorders>
              <w:top w:val="single" w:color="auto" w:sz="4" w:space="0"/>
              <w:left w:val="single" w:color="auto" w:sz="4" w:space="0"/>
              <w:bottom w:val="single" w:color="auto" w:sz="4" w:space="0"/>
              <w:right w:val="single" w:color="auto" w:sz="4" w:space="0"/>
            </w:tcBorders>
            <w:noWrap/>
            <w:vAlign w:val="center"/>
          </w:tcPr>
          <w:p w14:paraId="12C78051">
            <w:pPr>
              <w:pStyle w:val="28"/>
              <w:ind w:firstLine="0" w:firstLineChars="0"/>
              <w:jc w:val="center"/>
            </w:pPr>
            <w:r>
              <w:rPr>
                <w:rFonts w:hint="eastAsia"/>
              </w:rPr>
              <w:t>109.8535685</w:t>
            </w:r>
          </w:p>
        </w:tc>
        <w:tc>
          <w:tcPr>
            <w:tcW w:w="958" w:type="pct"/>
            <w:tcBorders>
              <w:top w:val="single" w:color="auto" w:sz="4" w:space="0"/>
              <w:left w:val="single" w:color="auto" w:sz="4" w:space="0"/>
              <w:bottom w:val="single" w:color="auto" w:sz="4" w:space="0"/>
              <w:right w:val="single" w:color="auto" w:sz="4" w:space="0"/>
            </w:tcBorders>
            <w:noWrap/>
            <w:vAlign w:val="center"/>
          </w:tcPr>
          <w:p w14:paraId="47257885">
            <w:pPr>
              <w:pStyle w:val="28"/>
              <w:ind w:firstLine="0" w:firstLineChars="0"/>
              <w:jc w:val="center"/>
            </w:pPr>
            <w:r>
              <w:rPr>
                <w:rFonts w:hint="eastAsia"/>
              </w:rPr>
              <w:t>19.04510985</w:t>
            </w:r>
          </w:p>
        </w:tc>
        <w:tc>
          <w:tcPr>
            <w:tcW w:w="370" w:type="pct"/>
            <w:tcBorders>
              <w:top w:val="single" w:color="auto" w:sz="4" w:space="0"/>
              <w:left w:val="single" w:color="auto" w:sz="4" w:space="0"/>
              <w:bottom w:val="single" w:color="auto" w:sz="4" w:space="0"/>
              <w:right w:val="single" w:color="auto" w:sz="4" w:space="0"/>
            </w:tcBorders>
            <w:noWrap/>
            <w:vAlign w:val="center"/>
          </w:tcPr>
          <w:p w14:paraId="696D1B33">
            <w:pPr>
              <w:pStyle w:val="28"/>
              <w:ind w:firstLine="0" w:firstLineChars="0"/>
            </w:pPr>
          </w:p>
        </w:tc>
      </w:tr>
      <w:tr w14:paraId="686B7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688CBA8C">
            <w:pPr>
              <w:pStyle w:val="28"/>
              <w:ind w:firstLine="0" w:firstLineChars="0"/>
              <w:jc w:val="center"/>
              <w:rPr>
                <w:rFonts w:hint="eastAsia" w:eastAsia="宋体"/>
                <w:lang w:val="en-US" w:eastAsia="zh-CN"/>
              </w:rPr>
            </w:pPr>
            <w:r>
              <w:rPr>
                <w:rFonts w:hint="eastAsia"/>
                <w:lang w:val="en-US" w:eastAsia="zh-CN"/>
              </w:rPr>
              <w:t>8</w:t>
            </w:r>
          </w:p>
        </w:tc>
        <w:tc>
          <w:tcPr>
            <w:tcW w:w="1676" w:type="pct"/>
            <w:tcBorders>
              <w:top w:val="single" w:color="auto" w:sz="4" w:space="0"/>
              <w:left w:val="single" w:color="auto" w:sz="4" w:space="0"/>
              <w:bottom w:val="single" w:color="auto" w:sz="4" w:space="0"/>
              <w:right w:val="single" w:color="auto" w:sz="4" w:space="0"/>
            </w:tcBorders>
            <w:noWrap/>
            <w:vAlign w:val="center"/>
          </w:tcPr>
          <w:p w14:paraId="38EA9152">
            <w:pPr>
              <w:pStyle w:val="28"/>
              <w:ind w:firstLine="0" w:firstLineChars="0"/>
              <w:jc w:val="center"/>
              <w:rPr>
                <w:rFonts w:hint="eastAsia"/>
              </w:rPr>
            </w:pPr>
            <w:r>
              <w:rPr>
                <w:rFonts w:hint="eastAsia"/>
              </w:rPr>
              <w:t>兴教路-玉锦大道-万泉河路</w:t>
            </w:r>
          </w:p>
        </w:tc>
        <w:tc>
          <w:tcPr>
            <w:tcW w:w="682" w:type="pct"/>
            <w:tcBorders>
              <w:top w:val="single" w:color="auto" w:sz="4" w:space="0"/>
              <w:left w:val="single" w:color="auto" w:sz="4" w:space="0"/>
              <w:bottom w:val="single" w:color="auto" w:sz="4" w:space="0"/>
              <w:right w:val="single" w:color="auto" w:sz="4" w:space="0"/>
            </w:tcBorders>
            <w:noWrap/>
            <w:vAlign w:val="center"/>
          </w:tcPr>
          <w:p w14:paraId="5AA29ACC">
            <w:pPr>
              <w:pStyle w:val="28"/>
              <w:ind w:firstLine="0" w:firstLineChars="0"/>
              <w:jc w:val="center"/>
              <w:rPr>
                <w:rFonts w:hint="eastAsia"/>
              </w:rPr>
            </w:pPr>
            <w:r>
              <w:rPr>
                <w:rFonts w:hint="eastAsia"/>
              </w:rPr>
              <w:t>大</w:t>
            </w:r>
          </w:p>
        </w:tc>
        <w:tc>
          <w:tcPr>
            <w:tcW w:w="939" w:type="pct"/>
            <w:tcBorders>
              <w:top w:val="single" w:color="auto" w:sz="4" w:space="0"/>
              <w:left w:val="single" w:color="auto" w:sz="4" w:space="0"/>
              <w:bottom w:val="single" w:color="auto" w:sz="4" w:space="0"/>
              <w:right w:val="single" w:color="auto" w:sz="4" w:space="0"/>
            </w:tcBorders>
            <w:noWrap/>
            <w:vAlign w:val="center"/>
          </w:tcPr>
          <w:p w14:paraId="5D5AFD35">
            <w:pPr>
              <w:pStyle w:val="28"/>
              <w:ind w:firstLine="0" w:firstLineChars="0"/>
              <w:jc w:val="center"/>
              <w:rPr>
                <w:rFonts w:hint="eastAsia"/>
              </w:rPr>
            </w:pPr>
            <w:r>
              <w:rPr>
                <w:rFonts w:hint="eastAsia"/>
              </w:rPr>
              <w:t>109.8529625</w:t>
            </w:r>
          </w:p>
        </w:tc>
        <w:tc>
          <w:tcPr>
            <w:tcW w:w="958" w:type="pct"/>
            <w:tcBorders>
              <w:top w:val="single" w:color="auto" w:sz="4" w:space="0"/>
              <w:left w:val="single" w:color="auto" w:sz="4" w:space="0"/>
              <w:bottom w:val="single" w:color="auto" w:sz="4" w:space="0"/>
              <w:right w:val="single" w:color="auto" w:sz="4" w:space="0"/>
            </w:tcBorders>
            <w:noWrap/>
            <w:vAlign w:val="center"/>
          </w:tcPr>
          <w:p w14:paraId="4737158D">
            <w:pPr>
              <w:pStyle w:val="28"/>
              <w:ind w:firstLine="0" w:firstLineChars="0"/>
              <w:jc w:val="center"/>
              <w:rPr>
                <w:rFonts w:hint="eastAsia"/>
              </w:rPr>
            </w:pPr>
            <w:r>
              <w:rPr>
                <w:rFonts w:hint="eastAsia"/>
              </w:rPr>
              <w:t>19.03779349</w:t>
            </w:r>
          </w:p>
        </w:tc>
        <w:tc>
          <w:tcPr>
            <w:tcW w:w="370" w:type="pct"/>
            <w:tcBorders>
              <w:top w:val="single" w:color="auto" w:sz="4" w:space="0"/>
              <w:left w:val="single" w:color="auto" w:sz="4" w:space="0"/>
              <w:bottom w:val="single" w:color="auto" w:sz="4" w:space="0"/>
              <w:right w:val="single" w:color="auto" w:sz="4" w:space="0"/>
            </w:tcBorders>
            <w:noWrap/>
            <w:vAlign w:val="center"/>
          </w:tcPr>
          <w:p w14:paraId="52D0CE84">
            <w:pPr>
              <w:pStyle w:val="28"/>
              <w:ind w:firstLine="0" w:firstLineChars="0"/>
            </w:pPr>
          </w:p>
        </w:tc>
      </w:tr>
      <w:tr w14:paraId="35850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3F3145A1">
            <w:pPr>
              <w:pStyle w:val="28"/>
              <w:ind w:firstLine="0" w:firstLineChars="0"/>
              <w:jc w:val="center"/>
              <w:rPr>
                <w:rFonts w:hint="eastAsia" w:eastAsia="宋体"/>
                <w:lang w:val="en-US" w:eastAsia="zh-CN"/>
              </w:rPr>
            </w:pPr>
            <w:r>
              <w:rPr>
                <w:rFonts w:hint="eastAsia"/>
                <w:lang w:val="en-US" w:eastAsia="zh-CN"/>
              </w:rPr>
              <w:t>9</w:t>
            </w:r>
          </w:p>
        </w:tc>
        <w:tc>
          <w:tcPr>
            <w:tcW w:w="1676" w:type="pct"/>
            <w:tcBorders>
              <w:top w:val="single" w:color="auto" w:sz="4" w:space="0"/>
              <w:left w:val="single" w:color="auto" w:sz="4" w:space="0"/>
              <w:bottom w:val="single" w:color="auto" w:sz="4" w:space="0"/>
              <w:right w:val="single" w:color="auto" w:sz="4" w:space="0"/>
            </w:tcBorders>
            <w:noWrap/>
            <w:vAlign w:val="center"/>
          </w:tcPr>
          <w:p w14:paraId="2496CE9C">
            <w:pPr>
              <w:pStyle w:val="28"/>
              <w:ind w:firstLine="0" w:firstLineChars="0"/>
              <w:jc w:val="center"/>
              <w:rPr>
                <w:rFonts w:hint="eastAsia"/>
              </w:rPr>
            </w:pPr>
            <w:r>
              <w:rPr>
                <w:rFonts w:hint="eastAsia"/>
              </w:rPr>
              <w:t>牛营线（营乘路）-黎母大道（S304）</w:t>
            </w:r>
          </w:p>
        </w:tc>
        <w:tc>
          <w:tcPr>
            <w:tcW w:w="682" w:type="pct"/>
            <w:tcBorders>
              <w:top w:val="single" w:color="auto" w:sz="4" w:space="0"/>
              <w:left w:val="single" w:color="auto" w:sz="4" w:space="0"/>
              <w:bottom w:val="single" w:color="auto" w:sz="4" w:space="0"/>
              <w:right w:val="single" w:color="auto" w:sz="4" w:space="0"/>
            </w:tcBorders>
            <w:noWrap/>
            <w:vAlign w:val="center"/>
          </w:tcPr>
          <w:p w14:paraId="0121CB2F">
            <w:pPr>
              <w:pStyle w:val="28"/>
              <w:ind w:firstLine="0" w:firstLineChars="0"/>
              <w:jc w:val="center"/>
              <w:rPr>
                <w:rFonts w:hint="eastAsia"/>
              </w:rPr>
            </w:pPr>
            <w:r>
              <w:rPr>
                <w:rFonts w:hint="eastAsia"/>
              </w:rPr>
              <w:t>T</w:t>
            </w:r>
          </w:p>
        </w:tc>
        <w:tc>
          <w:tcPr>
            <w:tcW w:w="939" w:type="pct"/>
            <w:tcBorders>
              <w:top w:val="single" w:color="auto" w:sz="4" w:space="0"/>
              <w:left w:val="single" w:color="auto" w:sz="4" w:space="0"/>
              <w:bottom w:val="single" w:color="auto" w:sz="4" w:space="0"/>
              <w:right w:val="single" w:color="auto" w:sz="4" w:space="0"/>
            </w:tcBorders>
            <w:noWrap/>
            <w:vAlign w:val="center"/>
          </w:tcPr>
          <w:p w14:paraId="68E35835">
            <w:pPr>
              <w:pStyle w:val="28"/>
              <w:ind w:firstLine="0" w:firstLineChars="0"/>
              <w:jc w:val="center"/>
              <w:rPr>
                <w:rFonts w:hint="eastAsia"/>
              </w:rPr>
            </w:pPr>
            <w:r>
              <w:rPr>
                <w:rFonts w:hint="eastAsia"/>
              </w:rPr>
              <w:t>109.858333</w:t>
            </w:r>
          </w:p>
        </w:tc>
        <w:tc>
          <w:tcPr>
            <w:tcW w:w="958" w:type="pct"/>
            <w:tcBorders>
              <w:top w:val="single" w:color="auto" w:sz="4" w:space="0"/>
              <w:left w:val="single" w:color="auto" w:sz="4" w:space="0"/>
              <w:bottom w:val="single" w:color="auto" w:sz="4" w:space="0"/>
              <w:right w:val="single" w:color="auto" w:sz="4" w:space="0"/>
            </w:tcBorders>
            <w:noWrap/>
            <w:vAlign w:val="center"/>
          </w:tcPr>
          <w:p w14:paraId="1774615E">
            <w:pPr>
              <w:pStyle w:val="28"/>
              <w:ind w:firstLine="0" w:firstLineChars="0"/>
              <w:jc w:val="center"/>
              <w:rPr>
                <w:rFonts w:hint="eastAsia"/>
              </w:rPr>
            </w:pPr>
            <w:r>
              <w:rPr>
                <w:rFonts w:hint="eastAsia"/>
              </w:rPr>
              <w:t>19.017778</w:t>
            </w:r>
          </w:p>
        </w:tc>
        <w:tc>
          <w:tcPr>
            <w:tcW w:w="370" w:type="pct"/>
            <w:tcBorders>
              <w:top w:val="single" w:color="auto" w:sz="4" w:space="0"/>
              <w:left w:val="single" w:color="auto" w:sz="4" w:space="0"/>
              <w:bottom w:val="single" w:color="auto" w:sz="4" w:space="0"/>
              <w:right w:val="single" w:color="auto" w:sz="4" w:space="0"/>
            </w:tcBorders>
            <w:noWrap/>
            <w:vAlign w:val="center"/>
          </w:tcPr>
          <w:p w14:paraId="62A67CC4">
            <w:pPr>
              <w:pStyle w:val="28"/>
              <w:ind w:firstLine="0" w:firstLineChars="0"/>
            </w:pPr>
          </w:p>
        </w:tc>
      </w:tr>
      <w:tr w14:paraId="2669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0B7DD7CF">
            <w:pPr>
              <w:pStyle w:val="28"/>
              <w:ind w:firstLine="0" w:firstLineChars="0"/>
              <w:jc w:val="center"/>
              <w:rPr>
                <w:rFonts w:hint="default" w:eastAsia="宋体"/>
                <w:lang w:val="en-US" w:eastAsia="zh-CN"/>
              </w:rPr>
            </w:pPr>
            <w:r>
              <w:rPr>
                <w:rFonts w:hint="eastAsia"/>
                <w:lang w:val="en-US" w:eastAsia="zh-CN"/>
              </w:rPr>
              <w:t>10</w:t>
            </w:r>
          </w:p>
        </w:tc>
        <w:tc>
          <w:tcPr>
            <w:tcW w:w="1676" w:type="pct"/>
            <w:tcBorders>
              <w:top w:val="single" w:color="auto" w:sz="4" w:space="0"/>
              <w:left w:val="single" w:color="auto" w:sz="4" w:space="0"/>
              <w:bottom w:val="single" w:color="auto" w:sz="4" w:space="0"/>
              <w:right w:val="single" w:color="auto" w:sz="4" w:space="0"/>
            </w:tcBorders>
            <w:noWrap/>
            <w:vAlign w:val="center"/>
          </w:tcPr>
          <w:p w14:paraId="5583F7C9">
            <w:pPr>
              <w:pStyle w:val="28"/>
              <w:ind w:firstLine="0" w:firstLineChars="0"/>
              <w:jc w:val="center"/>
              <w:rPr>
                <w:rFonts w:hint="eastAsia"/>
              </w:rPr>
            </w:pPr>
            <w:r>
              <w:rPr>
                <w:rFonts w:hint="eastAsia"/>
              </w:rPr>
              <w:t>营红路-黎母大道（S304）</w:t>
            </w:r>
          </w:p>
        </w:tc>
        <w:tc>
          <w:tcPr>
            <w:tcW w:w="682" w:type="pct"/>
            <w:tcBorders>
              <w:top w:val="single" w:color="auto" w:sz="4" w:space="0"/>
              <w:left w:val="single" w:color="auto" w:sz="4" w:space="0"/>
              <w:bottom w:val="single" w:color="auto" w:sz="4" w:space="0"/>
              <w:right w:val="single" w:color="auto" w:sz="4" w:space="0"/>
            </w:tcBorders>
            <w:noWrap/>
            <w:vAlign w:val="center"/>
          </w:tcPr>
          <w:p w14:paraId="460B4811">
            <w:pPr>
              <w:pStyle w:val="28"/>
              <w:ind w:firstLine="0" w:firstLineChars="0"/>
              <w:jc w:val="center"/>
              <w:rPr>
                <w:rFonts w:hint="eastAsia"/>
              </w:rPr>
            </w:pPr>
            <w:r>
              <w:rPr>
                <w:rFonts w:hint="eastAsia"/>
              </w:rPr>
              <w:t>十</w:t>
            </w:r>
          </w:p>
        </w:tc>
        <w:tc>
          <w:tcPr>
            <w:tcW w:w="939" w:type="pct"/>
            <w:tcBorders>
              <w:top w:val="single" w:color="auto" w:sz="4" w:space="0"/>
              <w:left w:val="single" w:color="auto" w:sz="4" w:space="0"/>
              <w:bottom w:val="single" w:color="auto" w:sz="4" w:space="0"/>
              <w:right w:val="single" w:color="auto" w:sz="4" w:space="0"/>
            </w:tcBorders>
            <w:noWrap/>
            <w:vAlign w:val="center"/>
          </w:tcPr>
          <w:p w14:paraId="19C936BE">
            <w:pPr>
              <w:pStyle w:val="28"/>
              <w:ind w:firstLine="0" w:firstLineChars="0"/>
              <w:jc w:val="center"/>
              <w:rPr>
                <w:rFonts w:hint="eastAsia"/>
              </w:rPr>
            </w:pPr>
            <w:r>
              <w:rPr>
                <w:rFonts w:hint="eastAsia"/>
              </w:rPr>
              <w:t>109.8657076</w:t>
            </w:r>
          </w:p>
        </w:tc>
        <w:tc>
          <w:tcPr>
            <w:tcW w:w="958" w:type="pct"/>
            <w:tcBorders>
              <w:top w:val="single" w:color="auto" w:sz="4" w:space="0"/>
              <w:left w:val="single" w:color="auto" w:sz="4" w:space="0"/>
              <w:bottom w:val="single" w:color="auto" w:sz="4" w:space="0"/>
              <w:right w:val="single" w:color="auto" w:sz="4" w:space="0"/>
            </w:tcBorders>
            <w:noWrap/>
            <w:vAlign w:val="center"/>
          </w:tcPr>
          <w:p w14:paraId="16758E5C">
            <w:pPr>
              <w:pStyle w:val="28"/>
              <w:ind w:firstLine="0" w:firstLineChars="0"/>
              <w:jc w:val="center"/>
              <w:rPr>
                <w:rFonts w:hint="eastAsia"/>
              </w:rPr>
            </w:pPr>
            <w:r>
              <w:rPr>
                <w:rFonts w:hint="eastAsia"/>
              </w:rPr>
              <w:t>19.03763193</w:t>
            </w:r>
          </w:p>
        </w:tc>
        <w:tc>
          <w:tcPr>
            <w:tcW w:w="370" w:type="pct"/>
            <w:tcBorders>
              <w:top w:val="single" w:color="auto" w:sz="4" w:space="0"/>
              <w:left w:val="single" w:color="auto" w:sz="4" w:space="0"/>
              <w:bottom w:val="single" w:color="auto" w:sz="4" w:space="0"/>
              <w:right w:val="single" w:color="auto" w:sz="4" w:space="0"/>
            </w:tcBorders>
            <w:noWrap/>
            <w:vAlign w:val="center"/>
          </w:tcPr>
          <w:p w14:paraId="39E4B33A">
            <w:pPr>
              <w:pStyle w:val="28"/>
              <w:ind w:firstLine="0" w:firstLineChars="0"/>
            </w:pPr>
          </w:p>
        </w:tc>
      </w:tr>
      <w:tr w14:paraId="7E67A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6E11B324">
            <w:pPr>
              <w:pStyle w:val="28"/>
              <w:ind w:firstLine="0" w:firstLineChars="0"/>
              <w:jc w:val="center"/>
              <w:rPr>
                <w:rFonts w:hint="default" w:eastAsia="宋体"/>
                <w:lang w:val="en-US" w:eastAsia="zh-CN"/>
              </w:rPr>
            </w:pPr>
            <w:r>
              <w:rPr>
                <w:rFonts w:hint="eastAsia"/>
                <w:lang w:val="en-US" w:eastAsia="zh-CN"/>
              </w:rPr>
              <w:t>11</w:t>
            </w:r>
          </w:p>
        </w:tc>
        <w:tc>
          <w:tcPr>
            <w:tcW w:w="1676" w:type="pct"/>
            <w:tcBorders>
              <w:top w:val="single" w:color="auto" w:sz="4" w:space="0"/>
              <w:left w:val="single" w:color="auto" w:sz="4" w:space="0"/>
              <w:bottom w:val="single" w:color="auto" w:sz="4" w:space="0"/>
              <w:right w:val="single" w:color="auto" w:sz="4" w:space="0"/>
            </w:tcBorders>
            <w:noWrap/>
            <w:vAlign w:val="center"/>
          </w:tcPr>
          <w:p w14:paraId="7C32C6D8">
            <w:pPr>
              <w:pStyle w:val="28"/>
              <w:ind w:firstLine="0" w:firstLineChars="0"/>
              <w:jc w:val="center"/>
              <w:rPr>
                <w:rFonts w:hint="eastAsia"/>
              </w:rPr>
            </w:pPr>
            <w:r>
              <w:rPr>
                <w:rFonts w:hint="eastAsia"/>
              </w:rPr>
              <w:t>黎母大道（S304）-三月三大道</w:t>
            </w:r>
          </w:p>
        </w:tc>
        <w:tc>
          <w:tcPr>
            <w:tcW w:w="682" w:type="pct"/>
            <w:tcBorders>
              <w:top w:val="single" w:color="auto" w:sz="4" w:space="0"/>
              <w:left w:val="single" w:color="auto" w:sz="4" w:space="0"/>
              <w:bottom w:val="single" w:color="auto" w:sz="4" w:space="0"/>
              <w:right w:val="single" w:color="auto" w:sz="4" w:space="0"/>
            </w:tcBorders>
            <w:noWrap/>
            <w:vAlign w:val="center"/>
          </w:tcPr>
          <w:p w14:paraId="45828BD3">
            <w:pPr>
              <w:pStyle w:val="28"/>
              <w:ind w:firstLine="0" w:firstLineChars="0"/>
              <w:jc w:val="center"/>
              <w:rPr>
                <w:rFonts w:hint="eastAsia"/>
              </w:rPr>
            </w:pPr>
            <w:r>
              <w:rPr>
                <w:rFonts w:hint="eastAsia"/>
              </w:rPr>
              <w:t>T（十）</w:t>
            </w:r>
          </w:p>
        </w:tc>
        <w:tc>
          <w:tcPr>
            <w:tcW w:w="939" w:type="pct"/>
            <w:tcBorders>
              <w:top w:val="single" w:color="auto" w:sz="4" w:space="0"/>
              <w:left w:val="single" w:color="auto" w:sz="4" w:space="0"/>
              <w:bottom w:val="single" w:color="auto" w:sz="4" w:space="0"/>
              <w:right w:val="single" w:color="auto" w:sz="4" w:space="0"/>
            </w:tcBorders>
            <w:noWrap/>
            <w:vAlign w:val="center"/>
          </w:tcPr>
          <w:p w14:paraId="248C00A8">
            <w:pPr>
              <w:pStyle w:val="28"/>
              <w:ind w:firstLine="0" w:firstLineChars="0"/>
              <w:jc w:val="center"/>
              <w:rPr>
                <w:rFonts w:hint="eastAsia"/>
              </w:rPr>
            </w:pPr>
            <w:r>
              <w:rPr>
                <w:rFonts w:hint="eastAsia"/>
              </w:rPr>
              <w:t>109.8670605</w:t>
            </w:r>
          </w:p>
        </w:tc>
        <w:tc>
          <w:tcPr>
            <w:tcW w:w="958" w:type="pct"/>
            <w:tcBorders>
              <w:top w:val="single" w:color="auto" w:sz="4" w:space="0"/>
              <w:left w:val="single" w:color="auto" w:sz="4" w:space="0"/>
              <w:bottom w:val="single" w:color="auto" w:sz="4" w:space="0"/>
              <w:right w:val="single" w:color="auto" w:sz="4" w:space="0"/>
            </w:tcBorders>
            <w:noWrap/>
            <w:vAlign w:val="center"/>
          </w:tcPr>
          <w:p w14:paraId="7F0B8E8A">
            <w:pPr>
              <w:pStyle w:val="28"/>
              <w:ind w:firstLine="0" w:firstLineChars="0"/>
              <w:jc w:val="center"/>
              <w:rPr>
                <w:rFonts w:hint="eastAsia"/>
              </w:rPr>
            </w:pPr>
            <w:r>
              <w:rPr>
                <w:rFonts w:hint="eastAsia"/>
              </w:rPr>
              <w:t>19.04639912</w:t>
            </w:r>
          </w:p>
        </w:tc>
        <w:tc>
          <w:tcPr>
            <w:tcW w:w="370" w:type="pct"/>
            <w:tcBorders>
              <w:top w:val="single" w:color="auto" w:sz="4" w:space="0"/>
              <w:left w:val="single" w:color="auto" w:sz="4" w:space="0"/>
              <w:bottom w:val="single" w:color="auto" w:sz="4" w:space="0"/>
              <w:right w:val="single" w:color="auto" w:sz="4" w:space="0"/>
            </w:tcBorders>
            <w:noWrap/>
            <w:vAlign w:val="center"/>
          </w:tcPr>
          <w:p w14:paraId="0AE91EA1">
            <w:pPr>
              <w:pStyle w:val="28"/>
              <w:ind w:firstLine="0" w:firstLineChars="0"/>
            </w:pPr>
          </w:p>
        </w:tc>
      </w:tr>
      <w:tr w14:paraId="656CD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5A3E0D8E">
            <w:pPr>
              <w:pStyle w:val="28"/>
              <w:ind w:firstLine="0" w:firstLineChars="0"/>
              <w:jc w:val="center"/>
              <w:rPr>
                <w:rFonts w:hint="default" w:eastAsia="宋体"/>
                <w:lang w:val="en-US" w:eastAsia="zh-CN"/>
              </w:rPr>
            </w:pPr>
            <w:r>
              <w:rPr>
                <w:rFonts w:hint="eastAsia"/>
                <w:lang w:val="en-US" w:eastAsia="zh-CN"/>
              </w:rPr>
              <w:t>12</w:t>
            </w:r>
          </w:p>
        </w:tc>
        <w:tc>
          <w:tcPr>
            <w:tcW w:w="1676" w:type="pct"/>
            <w:tcBorders>
              <w:top w:val="single" w:color="auto" w:sz="4" w:space="0"/>
              <w:left w:val="single" w:color="auto" w:sz="4" w:space="0"/>
              <w:bottom w:val="single" w:color="auto" w:sz="4" w:space="0"/>
              <w:right w:val="single" w:color="auto" w:sz="4" w:space="0"/>
            </w:tcBorders>
            <w:noWrap/>
            <w:vAlign w:val="center"/>
          </w:tcPr>
          <w:p w14:paraId="20E05E23">
            <w:pPr>
              <w:pStyle w:val="28"/>
              <w:ind w:firstLine="0" w:firstLineChars="0"/>
              <w:jc w:val="center"/>
              <w:rPr>
                <w:rFonts w:hint="eastAsia"/>
              </w:rPr>
            </w:pPr>
            <w:r>
              <w:rPr>
                <w:rFonts w:hint="eastAsia"/>
              </w:rPr>
              <w:t>海榆中线（G224）-黎母大道（S304）</w:t>
            </w:r>
          </w:p>
        </w:tc>
        <w:tc>
          <w:tcPr>
            <w:tcW w:w="682" w:type="pct"/>
            <w:tcBorders>
              <w:top w:val="single" w:color="auto" w:sz="4" w:space="0"/>
              <w:left w:val="single" w:color="auto" w:sz="4" w:space="0"/>
              <w:bottom w:val="single" w:color="auto" w:sz="4" w:space="0"/>
              <w:right w:val="single" w:color="auto" w:sz="4" w:space="0"/>
            </w:tcBorders>
            <w:noWrap/>
            <w:vAlign w:val="center"/>
          </w:tcPr>
          <w:p w14:paraId="6964B696">
            <w:pPr>
              <w:pStyle w:val="28"/>
              <w:ind w:firstLine="0" w:firstLineChars="0"/>
              <w:jc w:val="center"/>
              <w:rPr>
                <w:rFonts w:hint="eastAsia"/>
              </w:rPr>
            </w:pPr>
            <w:r>
              <w:rPr>
                <w:rFonts w:hint="eastAsia"/>
              </w:rPr>
              <w:t>T</w:t>
            </w:r>
          </w:p>
        </w:tc>
        <w:tc>
          <w:tcPr>
            <w:tcW w:w="939" w:type="pct"/>
            <w:tcBorders>
              <w:top w:val="single" w:color="auto" w:sz="4" w:space="0"/>
              <w:left w:val="single" w:color="auto" w:sz="4" w:space="0"/>
              <w:bottom w:val="single" w:color="auto" w:sz="4" w:space="0"/>
              <w:right w:val="single" w:color="auto" w:sz="4" w:space="0"/>
            </w:tcBorders>
            <w:noWrap/>
            <w:vAlign w:val="center"/>
          </w:tcPr>
          <w:p w14:paraId="4EDFAED2">
            <w:pPr>
              <w:pStyle w:val="28"/>
              <w:ind w:firstLine="0" w:firstLineChars="0"/>
              <w:jc w:val="center"/>
              <w:rPr>
                <w:rFonts w:hint="eastAsia"/>
              </w:rPr>
            </w:pPr>
            <w:r>
              <w:rPr>
                <w:rFonts w:hint="eastAsia"/>
              </w:rPr>
              <w:t>109.864062</w:t>
            </w:r>
          </w:p>
        </w:tc>
        <w:tc>
          <w:tcPr>
            <w:tcW w:w="958" w:type="pct"/>
            <w:tcBorders>
              <w:top w:val="single" w:color="auto" w:sz="4" w:space="0"/>
              <w:left w:val="single" w:color="auto" w:sz="4" w:space="0"/>
              <w:bottom w:val="single" w:color="auto" w:sz="4" w:space="0"/>
              <w:right w:val="single" w:color="auto" w:sz="4" w:space="0"/>
            </w:tcBorders>
            <w:noWrap/>
            <w:vAlign w:val="center"/>
          </w:tcPr>
          <w:p w14:paraId="082EAECC">
            <w:pPr>
              <w:pStyle w:val="28"/>
              <w:ind w:firstLine="0" w:firstLineChars="0"/>
              <w:jc w:val="center"/>
              <w:rPr>
                <w:rFonts w:hint="eastAsia"/>
              </w:rPr>
            </w:pPr>
            <w:r>
              <w:rPr>
                <w:rFonts w:hint="eastAsia"/>
              </w:rPr>
              <w:t>19.08195383</w:t>
            </w:r>
          </w:p>
        </w:tc>
        <w:tc>
          <w:tcPr>
            <w:tcW w:w="370" w:type="pct"/>
            <w:tcBorders>
              <w:top w:val="single" w:color="auto" w:sz="4" w:space="0"/>
              <w:left w:val="single" w:color="auto" w:sz="4" w:space="0"/>
              <w:bottom w:val="single" w:color="auto" w:sz="4" w:space="0"/>
              <w:right w:val="single" w:color="auto" w:sz="4" w:space="0"/>
            </w:tcBorders>
            <w:noWrap/>
            <w:vAlign w:val="center"/>
          </w:tcPr>
          <w:p w14:paraId="54942547">
            <w:pPr>
              <w:pStyle w:val="28"/>
              <w:ind w:firstLine="0" w:firstLineChars="0"/>
            </w:pPr>
          </w:p>
        </w:tc>
      </w:tr>
      <w:tr w14:paraId="7D1D8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tcBorders>
              <w:top w:val="single" w:color="auto" w:sz="4" w:space="0"/>
              <w:left w:val="single" w:color="auto" w:sz="4" w:space="0"/>
              <w:bottom w:val="single" w:color="auto" w:sz="4" w:space="0"/>
              <w:right w:val="single" w:color="auto" w:sz="4" w:space="0"/>
            </w:tcBorders>
            <w:noWrap/>
            <w:vAlign w:val="center"/>
          </w:tcPr>
          <w:p w14:paraId="05485FAF">
            <w:pPr>
              <w:pStyle w:val="28"/>
              <w:ind w:firstLine="0" w:firstLineChars="0"/>
              <w:jc w:val="center"/>
              <w:rPr>
                <w:rFonts w:hint="default" w:eastAsia="宋体"/>
                <w:lang w:val="en-US" w:eastAsia="zh-CN"/>
              </w:rPr>
            </w:pPr>
            <w:r>
              <w:rPr>
                <w:rFonts w:hint="eastAsia"/>
                <w:lang w:val="en-US" w:eastAsia="zh-CN"/>
              </w:rPr>
              <w:t>13</w:t>
            </w:r>
          </w:p>
        </w:tc>
        <w:tc>
          <w:tcPr>
            <w:tcW w:w="1676" w:type="pct"/>
            <w:tcBorders>
              <w:top w:val="single" w:color="auto" w:sz="4" w:space="0"/>
              <w:left w:val="single" w:color="auto" w:sz="4" w:space="0"/>
              <w:bottom w:val="single" w:color="auto" w:sz="4" w:space="0"/>
              <w:right w:val="single" w:color="auto" w:sz="4" w:space="0"/>
            </w:tcBorders>
            <w:noWrap/>
            <w:vAlign w:val="center"/>
          </w:tcPr>
          <w:p w14:paraId="7B918BFB">
            <w:pPr>
              <w:pStyle w:val="28"/>
              <w:ind w:firstLine="0" w:firstLineChars="0"/>
              <w:jc w:val="center"/>
              <w:rPr>
                <w:rFonts w:hint="eastAsia"/>
              </w:rPr>
            </w:pPr>
            <w:r>
              <w:rPr>
                <w:rFonts w:hint="eastAsia"/>
              </w:rPr>
              <w:t>玉锦大道-海榆中线（G224）</w:t>
            </w:r>
          </w:p>
        </w:tc>
        <w:tc>
          <w:tcPr>
            <w:tcW w:w="682" w:type="pct"/>
            <w:tcBorders>
              <w:top w:val="single" w:color="auto" w:sz="4" w:space="0"/>
              <w:left w:val="single" w:color="auto" w:sz="4" w:space="0"/>
              <w:bottom w:val="single" w:color="auto" w:sz="4" w:space="0"/>
              <w:right w:val="single" w:color="auto" w:sz="4" w:space="0"/>
            </w:tcBorders>
            <w:noWrap/>
            <w:vAlign w:val="center"/>
          </w:tcPr>
          <w:p w14:paraId="5DCFD20D">
            <w:pPr>
              <w:pStyle w:val="28"/>
              <w:ind w:firstLine="0" w:firstLineChars="0"/>
              <w:jc w:val="center"/>
              <w:rPr>
                <w:rFonts w:hint="eastAsia"/>
              </w:rPr>
            </w:pPr>
            <w:r>
              <w:rPr>
                <w:rFonts w:hint="eastAsia"/>
              </w:rPr>
              <w:t>十</w:t>
            </w:r>
          </w:p>
        </w:tc>
        <w:tc>
          <w:tcPr>
            <w:tcW w:w="939" w:type="pct"/>
            <w:tcBorders>
              <w:top w:val="single" w:color="auto" w:sz="4" w:space="0"/>
              <w:left w:val="single" w:color="auto" w:sz="4" w:space="0"/>
              <w:bottom w:val="single" w:color="auto" w:sz="4" w:space="0"/>
              <w:right w:val="single" w:color="auto" w:sz="4" w:space="0"/>
            </w:tcBorders>
            <w:noWrap/>
            <w:vAlign w:val="center"/>
          </w:tcPr>
          <w:p w14:paraId="486BF0F7">
            <w:pPr>
              <w:pStyle w:val="28"/>
              <w:ind w:firstLine="0" w:firstLineChars="0"/>
              <w:jc w:val="center"/>
              <w:rPr>
                <w:rFonts w:hint="eastAsia"/>
              </w:rPr>
            </w:pPr>
            <w:r>
              <w:rPr>
                <w:rFonts w:hint="eastAsia"/>
              </w:rPr>
              <w:t>109.8491591</w:t>
            </w:r>
          </w:p>
        </w:tc>
        <w:tc>
          <w:tcPr>
            <w:tcW w:w="958" w:type="pct"/>
            <w:tcBorders>
              <w:top w:val="single" w:color="auto" w:sz="4" w:space="0"/>
              <w:left w:val="single" w:color="auto" w:sz="4" w:space="0"/>
              <w:bottom w:val="single" w:color="auto" w:sz="4" w:space="0"/>
              <w:right w:val="single" w:color="auto" w:sz="4" w:space="0"/>
            </w:tcBorders>
            <w:noWrap/>
            <w:vAlign w:val="center"/>
          </w:tcPr>
          <w:p w14:paraId="394F6B0C">
            <w:pPr>
              <w:pStyle w:val="28"/>
              <w:ind w:firstLine="0" w:firstLineChars="0"/>
              <w:jc w:val="center"/>
              <w:rPr>
                <w:rFonts w:hint="eastAsia"/>
              </w:rPr>
            </w:pPr>
            <w:r>
              <w:rPr>
                <w:rFonts w:hint="eastAsia"/>
              </w:rPr>
              <w:t>19.0580163</w:t>
            </w:r>
          </w:p>
        </w:tc>
        <w:tc>
          <w:tcPr>
            <w:tcW w:w="370" w:type="pct"/>
            <w:tcBorders>
              <w:top w:val="single" w:color="auto" w:sz="4" w:space="0"/>
              <w:left w:val="single" w:color="auto" w:sz="4" w:space="0"/>
              <w:bottom w:val="single" w:color="auto" w:sz="4" w:space="0"/>
              <w:right w:val="single" w:color="auto" w:sz="4" w:space="0"/>
            </w:tcBorders>
            <w:noWrap/>
            <w:vAlign w:val="center"/>
          </w:tcPr>
          <w:p w14:paraId="16784973">
            <w:pPr>
              <w:pStyle w:val="28"/>
              <w:ind w:firstLine="0" w:firstLineChars="0"/>
            </w:pPr>
          </w:p>
        </w:tc>
      </w:tr>
    </w:tbl>
    <w:p w14:paraId="14CF8C07">
      <w:pPr>
        <w:pStyle w:val="28"/>
      </w:pPr>
    </w:p>
    <w:p w14:paraId="64B0722F">
      <w:pPr>
        <w:pStyle w:val="5"/>
        <w:bidi w:val="0"/>
        <w:ind w:left="0" w:leftChars="0" w:firstLine="0" w:firstLineChars="0"/>
      </w:pPr>
      <w:bookmarkStart w:id="127" w:name="_Toc179640623"/>
      <w:bookmarkStart w:id="128" w:name="_Toc85443530"/>
      <w:r>
        <w:rPr>
          <w:rFonts w:hint="eastAsia"/>
        </w:rPr>
        <w:t>机房及配套设施需求</w:t>
      </w:r>
      <w:bookmarkEnd w:id="127"/>
      <w:bookmarkEnd w:id="128"/>
    </w:p>
    <w:p w14:paraId="2433B211">
      <w:pPr>
        <w:pStyle w:val="28"/>
        <w:spacing w:line="360" w:lineRule="auto"/>
        <w:rPr>
          <w:lang w:eastAsia="zh-CN"/>
        </w:rPr>
      </w:pPr>
      <w:r>
        <w:rPr>
          <w:rFonts w:hint="eastAsia"/>
          <w:lang w:eastAsia="zh-CN"/>
        </w:rPr>
        <w:t>本项目系统将被部署于指挥大楼的新机房内，新机房将作为现有机房服务器区域的扩展，为确保系统安全，在新机房中部署防火墙，以构建坚固的边界区域防护。指挥大楼新机房充分依托机房现有的网络安全防护措施和网络，但需根据项目实际情况配置机柜用于存在本项目新增的服务器。</w:t>
      </w:r>
    </w:p>
    <w:p w14:paraId="1E4A93BC">
      <w:pPr>
        <w:pStyle w:val="28"/>
        <w:spacing w:line="360" w:lineRule="auto"/>
        <w:rPr>
          <w:lang w:eastAsia="zh-CN"/>
        </w:rPr>
      </w:pPr>
      <w:r>
        <w:rPr>
          <w:rFonts w:hint="eastAsia"/>
          <w:lang w:eastAsia="zh-CN"/>
        </w:rPr>
        <w:t>同时，指挥大楼新机房需要考虑UPS供电，以确保在系统运行期间，即使遇到电力故障，也能持续为系统提供稳定的电力支持，从而全面保障系统的稳定运行和数据的安全性。</w:t>
      </w:r>
    </w:p>
    <w:p w14:paraId="7F47AC41">
      <w:pPr>
        <w:pStyle w:val="28"/>
        <w:spacing w:line="360" w:lineRule="auto"/>
      </w:pPr>
      <w:r>
        <w:rPr>
          <w:rFonts w:hint="eastAsia"/>
          <w:lang w:eastAsia="zh-CN"/>
        </w:rPr>
        <w:t>本项目指挥大楼新机房应满足本项目部署的相关设备断电后系统稳定运行，需配套部署UPS设备保证断电后1小时的设备供电要求。</w:t>
      </w:r>
    </w:p>
    <w:p w14:paraId="016849B7">
      <w:pPr>
        <w:pStyle w:val="3"/>
        <w:tabs>
          <w:tab w:val="left" w:pos="560"/>
        </w:tabs>
      </w:pPr>
      <w:r>
        <w:rPr>
          <w:rFonts w:hint="eastAsia"/>
        </w:rPr>
        <w:t>性能要求</w:t>
      </w:r>
    </w:p>
    <w:p w14:paraId="56FCF301">
      <w:pPr>
        <w:pStyle w:val="28"/>
      </w:pPr>
      <w:r>
        <w:t>本项目各应用系统之间联系紧密，需要进行数据或功能的相互调用，所以应用系统的性能要求较高，可以体现在以下几方面：</w:t>
      </w:r>
    </w:p>
    <w:p w14:paraId="41034315">
      <w:pPr>
        <w:pStyle w:val="28"/>
      </w:pPr>
      <w:bookmarkStart w:id="129" w:name="_Toc6928098"/>
      <w:r>
        <w:t>1.系统用户界面要求</w:t>
      </w:r>
      <w:bookmarkEnd w:id="129"/>
    </w:p>
    <w:p w14:paraId="35314EAD">
      <w:pPr>
        <w:pStyle w:val="28"/>
      </w:pPr>
      <w:r>
        <w:t xml:space="preserve">应用系统性能应满足用户的要求，稳定、可靠、实用。人机界面友好，输出、输入方便，图表生成美观，检索、查询简单快捷。用户界面包括整体窗口风格、主菜单、右键菜单、工具栏、按扭、对话框、字体及其大小、页面色调等部分组成，界面设计要求风格统一、界面简洁、色调搭配符合行业规范。 </w:t>
      </w:r>
    </w:p>
    <w:p w14:paraId="3FA418B7">
      <w:pPr>
        <w:pStyle w:val="28"/>
      </w:pPr>
      <w:bookmarkStart w:id="130" w:name="_Toc6928099"/>
      <w:r>
        <w:t>2.系统处理能力要求</w:t>
      </w:r>
      <w:bookmarkEnd w:id="130"/>
    </w:p>
    <w:p w14:paraId="15550477">
      <w:pPr>
        <w:pStyle w:val="28"/>
      </w:pPr>
      <w:r>
        <w:t>本项目需要处理各种类型的信息。系统必须具备以下三种处理能力：数值型计算能力、文本型信息处理能力、图形图像信息处理能力。系统需要依托高性能、高可靠性、高可用性的计算环境，建立相应的文件系统、数据库系统和业务应用系统，因此，在充分利用已有计算环境能力的同时，必须增加具备较强处理能力的计算机系统</w:t>
      </w:r>
      <w:r>
        <w:rPr>
          <w:rFonts w:hint="eastAsia"/>
        </w:rPr>
        <w:t>。</w:t>
      </w:r>
    </w:p>
    <w:p w14:paraId="799916DA">
      <w:pPr>
        <w:pStyle w:val="28"/>
      </w:pPr>
      <w:bookmarkStart w:id="131" w:name="_Toc434838367"/>
      <w:bookmarkStart w:id="132" w:name="_Toc392269640"/>
      <w:bookmarkStart w:id="133" w:name="_Toc507862945"/>
      <w:bookmarkStart w:id="134" w:name="_Toc6928100"/>
      <w:bookmarkStart w:id="135" w:name="_Toc480193419"/>
      <w:bookmarkStart w:id="136" w:name="_Toc392270036"/>
      <w:bookmarkStart w:id="137" w:name="_Toc422311919"/>
      <w:r>
        <w:t>3.基础软件的性能需求</w:t>
      </w:r>
      <w:bookmarkEnd w:id="131"/>
      <w:bookmarkEnd w:id="132"/>
      <w:bookmarkEnd w:id="133"/>
      <w:bookmarkEnd w:id="134"/>
      <w:bookmarkEnd w:id="135"/>
      <w:bookmarkEnd w:id="136"/>
      <w:bookmarkEnd w:id="137"/>
    </w:p>
    <w:p w14:paraId="010EB04C">
      <w:pPr>
        <w:pStyle w:val="28"/>
      </w:pPr>
      <w:r>
        <w:t>在系统平台性能方面，要求采用通用性好、安全可靠的操作系统以及数据库系统，保证系统良好的性能，满足系统数据的存储、访问等需要。在应用支撑软件性能方面，要求应用支撑平台为业务应用系统的开发和运行提供技术支撑，并具有灵活的可扩充性和高度的可配置管理性，尽量采用统一的软件架构和软件技术，以方面不同应用的整合和减少维护工作量</w:t>
      </w:r>
      <w:r>
        <w:rPr>
          <w:rFonts w:hint="eastAsia"/>
        </w:rPr>
        <w:t>。</w:t>
      </w:r>
    </w:p>
    <w:p w14:paraId="2B8DF3E8">
      <w:pPr>
        <w:pStyle w:val="28"/>
      </w:pPr>
      <w:bookmarkStart w:id="138" w:name="_Toc392270038"/>
      <w:bookmarkStart w:id="139" w:name="_Toc392269642"/>
      <w:bookmarkStart w:id="140" w:name="_Toc434838369"/>
      <w:bookmarkStart w:id="141" w:name="_Toc422311921"/>
      <w:bookmarkStart w:id="142" w:name="_Toc480193421"/>
      <w:bookmarkStart w:id="143" w:name="_Toc507862947"/>
      <w:bookmarkStart w:id="144" w:name="_Toc6928101"/>
      <w:r>
        <w:t>4.硬件环境的性能需求</w:t>
      </w:r>
      <w:bookmarkEnd w:id="138"/>
      <w:bookmarkEnd w:id="139"/>
      <w:bookmarkEnd w:id="140"/>
      <w:bookmarkEnd w:id="141"/>
      <w:bookmarkEnd w:id="142"/>
      <w:bookmarkEnd w:id="143"/>
      <w:bookmarkEnd w:id="144"/>
    </w:p>
    <w:p w14:paraId="7FD2C9C5">
      <w:pPr>
        <w:pStyle w:val="28"/>
      </w:pPr>
      <w:r>
        <w:rPr>
          <w:rFonts w:hint="eastAsia"/>
        </w:rPr>
        <w:t>前端设备</w:t>
      </w:r>
      <w:r>
        <w:t>需</w:t>
      </w:r>
      <w:r>
        <w:rPr>
          <w:rFonts w:hint="eastAsia"/>
        </w:rPr>
        <w:t>具备</w:t>
      </w:r>
      <w:r>
        <w:t>高可靠性、高可用性、易维护性、易管理性、高扩充性、开放性、先进性、冗余性等。</w:t>
      </w:r>
    </w:p>
    <w:p w14:paraId="549382A3">
      <w:pPr>
        <w:pStyle w:val="28"/>
      </w:pPr>
      <w:r>
        <w:rPr>
          <w:rFonts w:hint="eastAsia"/>
        </w:rPr>
        <w:t>（1）信号灯性能要求</w:t>
      </w:r>
    </w:p>
    <w:p w14:paraId="3A079762">
      <w:pPr>
        <w:pStyle w:val="28"/>
      </w:pPr>
      <w:r>
        <w:rPr>
          <w:rFonts w:hint="eastAsia"/>
        </w:rPr>
        <w:t>信号灯的发光单元有亮灯、闪烁和熄灭三种状态。</w:t>
      </w:r>
    </w:p>
    <w:p w14:paraId="50476138">
      <w:pPr>
        <w:pStyle w:val="28"/>
      </w:pPr>
      <w:r>
        <w:rPr>
          <w:rFonts w:hint="eastAsia"/>
        </w:rPr>
        <w:t>机动车信号灯、方向指示信号灯或非机动车信号灯设置的黄灯时长应为3s~5s。</w:t>
      </w:r>
    </w:p>
    <w:p w14:paraId="5D697A48">
      <w:pPr>
        <w:pStyle w:val="28"/>
      </w:pPr>
      <w:r>
        <w:rPr>
          <w:rFonts w:hint="eastAsia"/>
        </w:rPr>
        <w:t>闪光警告信号灯黄闪信号的频率应符合GA/T743-2007中5.7的要求。行人过街信号的绿闪信号的频率为1次/s~2次/s、其中信号亮暗时间比为1:1,闪烁的次数和时长视具体情况确定。卤钨灯光源的闪光信号频率允许降低,但不得低于30次/min,信号亮暗比不大于1:1。</w:t>
      </w:r>
    </w:p>
    <w:p w14:paraId="32850D4D">
      <w:pPr>
        <w:pStyle w:val="28"/>
      </w:pPr>
      <w:r>
        <w:rPr>
          <w:rFonts w:hint="eastAsia"/>
        </w:rPr>
        <w:t>（2）信号控制机性能要求：</w:t>
      </w:r>
    </w:p>
    <w:p w14:paraId="355C0117">
      <w:pPr>
        <w:pStyle w:val="28"/>
      </w:pPr>
      <w:r>
        <w:rPr>
          <w:rFonts w:hint="eastAsia"/>
        </w:rPr>
        <w:t>按照GB14886规定的信号灯显示和灯色转换要求,控制信号灯运行状态。</w:t>
      </w:r>
    </w:p>
    <w:p w14:paraId="25A29916">
      <w:pPr>
        <w:pStyle w:val="28"/>
      </w:pPr>
      <w:r>
        <w:rPr>
          <w:rFonts w:hint="eastAsia"/>
        </w:rPr>
        <w:t>信号机内部的日历时钟,在0℃~40℃条件下,误差不超过士20s/10 d。</w:t>
      </w:r>
    </w:p>
    <w:p w14:paraId="69D7B0A4">
      <w:pPr>
        <w:pStyle w:val="28"/>
      </w:pPr>
      <w:r>
        <w:rPr>
          <w:rFonts w:hint="eastAsia"/>
        </w:rPr>
        <w:t>如无特殊规定,下文中信号持续时间的调节步长均为1s。</w:t>
      </w:r>
    </w:p>
    <w:p w14:paraId="12A060A4">
      <w:pPr>
        <w:pStyle w:val="28"/>
      </w:pPr>
      <w:r>
        <w:rPr>
          <w:rFonts w:hint="eastAsia"/>
        </w:rPr>
        <w:t>黄闪信号频率为每分钟55次~65次,信号亮暗时间比为1:1:其中,卤钨灯光源的闪光信号频率允许降低,不得低于每分钟30次,信号亮暗比不大于1:1。</w:t>
      </w:r>
    </w:p>
    <w:p w14:paraId="2DA83DFC">
      <w:pPr>
        <w:pStyle w:val="28"/>
      </w:pPr>
      <w:r>
        <w:rPr>
          <w:rFonts w:hint="eastAsia"/>
        </w:rPr>
        <w:t>人行横道信号灯绿闪信号频率、信号亮暗比同黄闪信号。</w:t>
      </w:r>
    </w:p>
    <w:p w14:paraId="2A5EAE30">
      <w:pPr>
        <w:pStyle w:val="28"/>
      </w:pPr>
      <w:r>
        <w:rPr>
          <w:rFonts w:hint="eastAsia"/>
        </w:rPr>
        <w:t>在控制方式转换、配时方案变化时,信号显示状态应实现平滑过渡</w:t>
      </w:r>
    </w:p>
    <w:p w14:paraId="0D4D1F6A">
      <w:pPr>
        <w:pStyle w:val="28"/>
      </w:pPr>
      <w:r>
        <w:rPr>
          <w:rFonts w:hint="eastAsia"/>
        </w:rPr>
        <w:t>（3）电子警察设备性能要求</w:t>
      </w:r>
    </w:p>
    <w:p w14:paraId="62BACCEB">
      <w:pPr>
        <w:pStyle w:val="28"/>
      </w:pPr>
      <w:r>
        <w:rPr>
          <w:rFonts w:hint="eastAsia"/>
        </w:rPr>
        <w:t>支持闯红灯、不按车道行驶、变道、压线、逆行等多种车辆违法检测。</w:t>
      </w:r>
    </w:p>
    <w:p w14:paraId="3354420B">
      <w:pPr>
        <w:pStyle w:val="28"/>
      </w:pPr>
      <w:r>
        <w:rPr>
          <w:rFonts w:hint="eastAsia"/>
        </w:rPr>
        <w:t>支持多种内容叠加，可设置叠加位置和顺序、字体大小、字体颜色等。</w:t>
      </w:r>
    </w:p>
    <w:p w14:paraId="42765E56">
      <w:pPr>
        <w:pStyle w:val="28"/>
      </w:pPr>
      <w:r>
        <w:rPr>
          <w:rFonts w:hint="eastAsia"/>
        </w:rPr>
        <w:t>支持正确识别污损车牌，支持正确识别污损车牌车辆违法，当有车辆违法行为产生时，相机可正确判罚其违法行为。</w:t>
      </w:r>
    </w:p>
    <w:p w14:paraId="520DE7E0">
      <w:pPr>
        <w:pStyle w:val="28"/>
      </w:pPr>
      <w:r>
        <w:rPr>
          <w:rFonts w:hint="eastAsia"/>
        </w:rPr>
        <w:t>（4）补光装置性能需求</w:t>
      </w:r>
    </w:p>
    <w:p w14:paraId="7A856605">
      <w:pPr>
        <w:pStyle w:val="28"/>
      </w:pPr>
      <w:r>
        <w:t>补光区域内光斑应均匀，无暗区、无明显抖动；补光区域边缘的光照度应大于或等于基准轴上光照度的50%;在基准轴上、下7.5°范围外，光照度应小于或等于5lx。</w:t>
      </w:r>
    </w:p>
    <w:p w14:paraId="6AA7D25D">
      <w:pPr>
        <w:pStyle w:val="28"/>
      </w:pPr>
      <w:r>
        <w:rPr>
          <w:rFonts w:hint="eastAsia"/>
        </w:rPr>
        <w:t>距离红外型补光装置20 m处，基准轴上辐照度应大于或等于3 000 ^W/cm2;补光区域内的辐照度应大于或等于基准轴上辐照度的50%。</w:t>
      </w:r>
    </w:p>
    <w:p w14:paraId="00014170">
      <w:pPr>
        <w:pStyle w:val="3"/>
      </w:pPr>
      <w:r>
        <w:rPr>
          <w:rFonts w:hint="eastAsia"/>
        </w:rPr>
        <w:t>国产化适配要求</w:t>
      </w:r>
    </w:p>
    <w:p w14:paraId="4DEB541F">
      <w:pPr>
        <w:pStyle w:val="4"/>
      </w:pPr>
      <w:r>
        <w:rPr>
          <w:rFonts w:hint="eastAsia"/>
        </w:rPr>
        <w:t>终端适配要求</w:t>
      </w:r>
    </w:p>
    <w:p w14:paraId="5806FB3B">
      <w:pPr>
        <w:pStyle w:val="28"/>
        <w:rPr>
          <w:color w:val="000000"/>
        </w:rPr>
      </w:pPr>
      <w:r>
        <w:rPr>
          <w:rFonts w:hint="eastAsia"/>
          <w:color w:val="000000"/>
        </w:rPr>
        <w:t>终端应使用国产CPU，并支持基础软件。存储设备、计算机外设等应优先选用使用了国产CPU的设备。同款CPU上层的不同操作系统不同，需要分别进行适配。</w:t>
      </w:r>
      <w:bookmarkStart w:id="145" w:name="bookmark50"/>
      <w:bookmarkEnd w:id="145"/>
    </w:p>
    <w:p w14:paraId="1EE0FBB3">
      <w:pPr>
        <w:pStyle w:val="28"/>
        <w:rPr>
          <w:color w:val="000000"/>
        </w:rPr>
      </w:pPr>
      <w:r>
        <w:rPr>
          <w:rFonts w:hint="eastAsia"/>
          <w:color w:val="000000"/>
        </w:rPr>
        <w:t>在系统国产化适配的同时，需要适配国产化的电脑、打印机、扫描仪等终端设备。</w:t>
      </w:r>
    </w:p>
    <w:p w14:paraId="3824BFC5">
      <w:pPr>
        <w:pStyle w:val="4"/>
      </w:pPr>
      <w:r>
        <w:rPr>
          <w:rFonts w:hint="eastAsia"/>
        </w:rPr>
        <w:t>浏览器适配要求</w:t>
      </w:r>
    </w:p>
    <w:p w14:paraId="74DDB5D1">
      <w:pPr>
        <w:pStyle w:val="28"/>
        <w:rPr>
          <w:color w:val="000000"/>
        </w:rPr>
      </w:pPr>
      <w:r>
        <w:rPr>
          <w:rFonts w:hint="eastAsia"/>
          <w:color w:val="000000"/>
        </w:rPr>
        <w:t>针对现有X86终端上应用的HTML框架及JS脚本不支持国产化终端的问题，需对HTML框架及JS脚本进行自适应适配，系统可以判断用户端环境，是X86环境的浏览器还是国产化浏览器，再自适应展现。</w:t>
      </w:r>
    </w:p>
    <w:p w14:paraId="7894F72D">
      <w:pPr>
        <w:pStyle w:val="28"/>
        <w:rPr>
          <w:color w:val="000000"/>
        </w:rPr>
      </w:pPr>
      <w:r>
        <w:rPr>
          <w:rFonts w:hint="eastAsia"/>
          <w:color w:val="000000"/>
        </w:rPr>
        <w:t>针对现有系统CSS样式在国产化浏览器中走样的问题，需要对所有的CSS进行界面调用测试，并对在国产化客户端展现有问题的CSS进行适配，以适应国产化客户端访问。</w:t>
      </w:r>
    </w:p>
    <w:p w14:paraId="05DB7B0D">
      <w:pPr>
        <w:pStyle w:val="28"/>
        <w:rPr>
          <w:color w:val="000000"/>
        </w:rPr>
      </w:pPr>
      <w:r>
        <w:rPr>
          <w:rFonts w:hint="eastAsia"/>
          <w:color w:val="000000"/>
        </w:rPr>
        <w:t>（1）</w:t>
      </w:r>
      <w:r>
        <w:rPr>
          <w:rFonts w:hint="eastAsia"/>
          <w:color w:val="000000"/>
        </w:rPr>
        <w:tab/>
      </w:r>
      <w:r>
        <w:rPr>
          <w:rFonts w:hint="eastAsia"/>
          <w:color w:val="000000"/>
        </w:rPr>
        <w:t>国产浏览器及IE渲染引擎</w:t>
      </w:r>
    </w:p>
    <w:p w14:paraId="500C6562">
      <w:pPr>
        <w:pStyle w:val="28"/>
        <w:rPr>
          <w:color w:val="000000"/>
        </w:rPr>
      </w:pPr>
      <w:r>
        <w:rPr>
          <w:rFonts w:hint="eastAsia"/>
          <w:color w:val="000000"/>
        </w:rPr>
        <w:t>目前国产浏览器主要为Firefox2652及Chrome的Chromium开源版本，以及X86系列下的IE，主要渲染引擎分类有WebKit、Blink、Trident、EdgeHTML、Gecko：</w:t>
      </w:r>
    </w:p>
    <w:p w14:paraId="069A3B45">
      <w:pPr>
        <w:pStyle w:val="28"/>
        <w:rPr>
          <w:color w:val="000000"/>
        </w:rPr>
      </w:pPr>
      <w:r>
        <w:rPr>
          <w:rFonts w:hint="eastAsia"/>
          <w:color w:val="000000"/>
        </w:rPr>
        <w:t>WebKit渲染引擎主要被苹果的Safari浏览器和早期的Chrome浏览器所采用。WebKit渲染引擎因代码开放、架构设计清晰、功能简洁、易于扩展等优点，被众多浏览器厂商所支持，也是发展最为迅速的浏览器渲染引擎；</w:t>
      </w:r>
    </w:p>
    <w:p w14:paraId="65E0714C">
      <w:pPr>
        <w:pStyle w:val="28"/>
        <w:rPr>
          <w:color w:val="000000"/>
        </w:rPr>
      </w:pPr>
      <w:r>
        <w:rPr>
          <w:rFonts w:hint="eastAsia"/>
          <w:color w:val="000000"/>
        </w:rPr>
        <w:t>Blink渲染引擎主要用于Chrome浏览器（V28以后的版本）和Opera浏览器（V15以后的版本）。Blink引擎是WebKit引擎的分支，底层代码主要采用了WebKit的WebCore。Blink渲染引擎最主要的优势是在WebCore基础之上，引入多进程的沙盒框架和Google自己研发的V8Javascript执行引擎，提供更加安全的浏览器环境和更快的Javascript执行速度；</w:t>
      </w:r>
    </w:p>
    <w:p w14:paraId="6E676964">
      <w:pPr>
        <w:pStyle w:val="28"/>
        <w:rPr>
          <w:color w:val="000000"/>
        </w:rPr>
      </w:pPr>
      <w:r>
        <w:rPr>
          <w:rFonts w:hint="eastAsia"/>
          <w:color w:val="000000"/>
        </w:rPr>
        <w:t>Trident渲染引擎主要用于微软的IE浏览器。Trident渲染引擎得益于Windows系统的大量普及而使用广泛，但是Trident渲染引擎因为代码臃肿、性能不佳、不兼容HTML5标准以及WindowsXP的退市，已经被大多数市场和开发者所放弃；</w:t>
      </w:r>
    </w:p>
    <w:p w14:paraId="10431A0A">
      <w:pPr>
        <w:pStyle w:val="28"/>
        <w:rPr>
          <w:color w:val="000000"/>
        </w:rPr>
      </w:pPr>
      <w:r>
        <w:rPr>
          <w:rFonts w:hint="eastAsia"/>
          <w:color w:val="000000"/>
        </w:rPr>
        <w:t>EdgeHTML渲染引擎主要用于微软的Edge和IE11浏览器。EdgeHTML渲染引擎是基于Trident渲染引擎发展的一个新型IE浏览器渲染引擎，抛弃了Trident很多臃肿代码，重写核心代码以更好的兼容HTML5标准，重写了Javascript引擎，把性能提高到ChromeV8Javascript引擎的性能水准；</w:t>
      </w:r>
    </w:p>
    <w:p w14:paraId="794ABD15">
      <w:pPr>
        <w:pStyle w:val="28"/>
        <w:rPr>
          <w:color w:val="000000"/>
        </w:rPr>
      </w:pPr>
      <w:r>
        <w:rPr>
          <w:rFonts w:hint="eastAsia"/>
          <w:color w:val="000000"/>
        </w:rPr>
        <w:t>Gecko渲染引擎主要用于Firefox浏览器。Gecko渲染引擎最早创建于网景浏览器，对HTML5的标准支持极佳，一度是最佳的浏览器，但是随着最近几年Chrome/Blink的高速发展，在多进程沙盒模型和Javascript执行速度方面已经不再领先。</w:t>
      </w:r>
    </w:p>
    <w:p w14:paraId="4344CB76">
      <w:pPr>
        <w:pStyle w:val="28"/>
        <w:rPr>
          <w:color w:val="000000"/>
        </w:rPr>
      </w:pPr>
      <w:r>
        <w:rPr>
          <w:rFonts w:hint="eastAsia"/>
          <w:color w:val="000000"/>
        </w:rPr>
        <w:t>（2）</w:t>
      </w:r>
      <w:r>
        <w:rPr>
          <w:rFonts w:hint="eastAsia"/>
          <w:color w:val="000000"/>
        </w:rPr>
        <w:tab/>
      </w:r>
      <w:r>
        <w:rPr>
          <w:rFonts w:hint="eastAsia"/>
          <w:color w:val="000000"/>
        </w:rPr>
        <w:t>国产浏览器及IE的JS引擎</w:t>
      </w:r>
    </w:p>
    <w:p w14:paraId="413E3905">
      <w:pPr>
        <w:pStyle w:val="28"/>
        <w:rPr>
          <w:color w:val="000000"/>
        </w:rPr>
      </w:pPr>
      <w:r>
        <w:rPr>
          <w:rFonts w:hint="eastAsia"/>
          <w:color w:val="000000"/>
        </w:rPr>
        <w:t>Javascript引擎主要有JavascriptCore、V8、Chakra、SpiderMonkey：</w:t>
      </w:r>
    </w:p>
    <w:p w14:paraId="0B1E55C7">
      <w:pPr>
        <w:pStyle w:val="28"/>
        <w:rPr>
          <w:color w:val="000000"/>
        </w:rPr>
      </w:pPr>
      <w:r>
        <w:rPr>
          <w:rFonts w:hint="eastAsia"/>
          <w:color w:val="000000"/>
        </w:rPr>
        <w:t>V8引擎主要用于Chrome浏览器。V8除了可以把Javascript直接编译成机器语言，还在内联缓存、内存管理、垃圾回收等方面做了大量的优化，使Javascript的执行速度可以媲美直接编译的二进制文件。</w:t>
      </w:r>
    </w:p>
    <w:p w14:paraId="25CD686B">
      <w:pPr>
        <w:pStyle w:val="28"/>
        <w:rPr>
          <w:color w:val="000000"/>
        </w:rPr>
      </w:pPr>
      <w:r>
        <w:rPr>
          <w:rFonts w:hint="eastAsia"/>
          <w:color w:val="000000"/>
        </w:rPr>
        <w:t>Chakra引擎主要用于IE浏览器，Chakra最主要的特点是占用一个独立的CPU为浏览器提供即时脚本编译，并且能够直接使用GPU对浏览器的3D图形和视频内容进行硬件速渲染。</w:t>
      </w:r>
    </w:p>
    <w:p w14:paraId="542BA264">
      <w:pPr>
        <w:pStyle w:val="28"/>
        <w:rPr>
          <w:color w:val="000000"/>
        </w:rPr>
      </w:pPr>
      <w:r>
        <w:rPr>
          <w:rFonts w:hint="eastAsia"/>
          <w:color w:val="000000"/>
        </w:rPr>
        <w:t>SpiderMonkey引擎主要用于Firefox浏览器，SpiderMonkey引擎源于网景浏览器，是世界上第一款Javascript引擎。虽然SpiderMonkey也提供JIT即时编译技术，但是SpiderMonkey主要是编译Javascript生成字节码，而不是像V8那样直接编译成二进制文件，所以在Javascript执行速度上不及V8引擎。</w:t>
      </w:r>
    </w:p>
    <w:p w14:paraId="2901C825">
      <w:pPr>
        <w:pStyle w:val="28"/>
        <w:rPr>
          <w:color w:val="000000"/>
        </w:rPr>
      </w:pPr>
      <w:r>
        <w:rPr>
          <w:rFonts w:hint="eastAsia"/>
          <w:color w:val="000000"/>
        </w:rPr>
        <w:t>（3）</w:t>
      </w:r>
      <w:r>
        <w:rPr>
          <w:rFonts w:hint="eastAsia"/>
          <w:color w:val="000000"/>
        </w:rPr>
        <w:tab/>
      </w:r>
      <w:r>
        <w:rPr>
          <w:rFonts w:hint="eastAsia"/>
          <w:color w:val="000000"/>
        </w:rPr>
        <w:t>国产浏览器及IE插件接口技术</w:t>
      </w:r>
    </w:p>
    <w:p w14:paraId="446809E9">
      <w:pPr>
        <w:pStyle w:val="28"/>
        <w:rPr>
          <w:color w:val="000000"/>
        </w:rPr>
      </w:pPr>
      <w:r>
        <w:rPr>
          <w:rFonts w:hint="eastAsia"/>
          <w:color w:val="000000"/>
        </w:rPr>
        <w:t>国产浏览器插件及IE应用程序接口，主要有ActiveX、NPAPI、PPAPI、NativeMessage、WebAssembly：</w:t>
      </w:r>
    </w:p>
    <w:p w14:paraId="6650FAA5">
      <w:pPr>
        <w:pStyle w:val="28"/>
        <w:rPr>
          <w:color w:val="000000"/>
        </w:rPr>
      </w:pPr>
      <w:r>
        <w:rPr>
          <w:rFonts w:hint="eastAsia"/>
          <w:color w:val="000000"/>
        </w:rPr>
        <w:t>ActiveX插件框架作为IE浏览器的内置功能，优点是通过COM架构，可以使ActiveX/OLE插件访问操作系统的任意功能。缺点是只能使用在Windows平台，架构设计上有非常大的安全隐患。</w:t>
      </w:r>
    </w:p>
    <w:p w14:paraId="4BAC8553">
      <w:pPr>
        <w:pStyle w:val="28"/>
        <w:rPr>
          <w:color w:val="000000"/>
        </w:rPr>
      </w:pPr>
      <w:r>
        <w:rPr>
          <w:rFonts w:hint="eastAsia"/>
          <w:color w:val="000000"/>
        </w:rPr>
        <w:t>NPAPI是类似ActiveX的插件接口技术，除IE以外的所有浏览器都支持NPAPI插件接口。NPAPI已经成为大多数国内外浏览器厂商和中间件厂商广泛采用的标准。</w:t>
      </w:r>
    </w:p>
    <w:p w14:paraId="3483A4E2">
      <w:pPr>
        <w:pStyle w:val="28"/>
        <w:rPr>
          <w:color w:val="000000"/>
        </w:rPr>
      </w:pPr>
      <w:r>
        <w:rPr>
          <w:rFonts w:hint="eastAsia"/>
          <w:color w:val="000000"/>
        </w:rPr>
        <w:t>PPAPI插件框架主要用于Chrome浏览器，是GoogleChrome针对NPAPI插件的安全风险提出的一种基于沙盒的插件应用程序框架。所有本地代码API完全由浏览器提供，通过最小权限管理和沙盒隔离，使得插件在性能和安全性达到一个比较高的平衡。但是因为缺乏其他浏览器厂商的支持，PPAPI应用并不广泛。</w:t>
      </w:r>
    </w:p>
    <w:p w14:paraId="395942E0">
      <w:pPr>
        <w:pStyle w:val="28"/>
        <w:rPr>
          <w:color w:val="000000"/>
        </w:rPr>
      </w:pPr>
      <w:r>
        <w:rPr>
          <w:rFonts w:hint="eastAsia"/>
          <w:color w:val="000000"/>
        </w:rPr>
        <w:t>NativeMessage插件框架是GoogleChrome和MozillaFirefox主推的新一代应用插件开发框架，通过进程间消息传递的方式来开发浏览器的本地插件，保障更高的安全性。</w:t>
      </w:r>
    </w:p>
    <w:p w14:paraId="30675DDF">
      <w:pPr>
        <w:pStyle w:val="28"/>
        <w:rPr>
          <w:color w:val="000000"/>
        </w:rPr>
      </w:pPr>
      <w:r>
        <w:rPr>
          <w:rFonts w:hint="eastAsia"/>
          <w:color w:val="000000"/>
        </w:rPr>
        <w:t>WebAssembly插件框架是由四大浏览器厂商Google、Mozilla、Microsoft、Apple共同支持的新一代插件开发技术。通过WebAssembly可以直接把Javascript转换成AST树，使浏览器上的Javascript性能远远超过V8Javascript引擎的JIT，无限逼近本地编译语言的性能。</w:t>
      </w:r>
    </w:p>
    <w:p w14:paraId="08890D54">
      <w:pPr>
        <w:pStyle w:val="28"/>
        <w:rPr>
          <w:color w:val="000000"/>
        </w:rPr>
      </w:pPr>
      <w:r>
        <w:rPr>
          <w:rFonts w:hint="eastAsia"/>
          <w:color w:val="000000"/>
        </w:rPr>
        <w:t>目前国产浏览器常用办公套件的开发接口为QT的NPAPI接口，主要为流式、版式、签章等，部分早期套件厂商还提供基于JAVA的Applet套件，但因为性能原因，推荐使用QT插件。</w:t>
      </w:r>
    </w:p>
    <w:p w14:paraId="0CD116C7">
      <w:pPr>
        <w:pStyle w:val="28"/>
        <w:rPr>
          <w:color w:val="000000"/>
        </w:rPr>
      </w:pPr>
      <w:r>
        <w:rPr>
          <w:rFonts w:hint="eastAsia"/>
          <w:color w:val="000000"/>
        </w:rPr>
        <w:t>（4）</w:t>
      </w:r>
      <w:r>
        <w:rPr>
          <w:rFonts w:hint="eastAsia"/>
          <w:color w:val="000000"/>
        </w:rPr>
        <w:tab/>
      </w:r>
      <w:r>
        <w:rPr>
          <w:rFonts w:hint="eastAsia"/>
          <w:color w:val="000000"/>
        </w:rPr>
        <w:t>ECMAScript国产浏览器兼容性分析</w:t>
      </w:r>
    </w:p>
    <w:p w14:paraId="4C6379CE">
      <w:pPr>
        <w:pStyle w:val="28"/>
        <w:rPr>
          <w:color w:val="000000"/>
        </w:rPr>
      </w:pPr>
      <w:r>
        <w:rPr>
          <w:rFonts w:hint="eastAsia"/>
          <w:color w:val="000000"/>
        </w:rPr>
        <w:t>ECMAScript是一种由Ecma国际（前身为欧洲计算机制造商协会）制定和发布的脚本语言规范，javascript在它基础上进行了自己的封装。ECMAScript其实是指一种规范，或者说是一个标准。具体点来说，它其实就是一份文档</w:t>
      </w:r>
    </w:p>
    <w:p w14:paraId="1F449F71">
      <w:pPr>
        <w:pStyle w:val="28"/>
        <w:rPr>
          <w:color w:val="000000"/>
        </w:rPr>
      </w:pPr>
      <w:r>
        <w:rPr>
          <w:rFonts w:hint="eastAsia"/>
          <w:color w:val="000000"/>
        </w:rPr>
        <w:t>JS包含三个部分：ECMAScript（核心）、DOM（文档对象模型）、BOM（浏览器对象模型），ECMAScript是js语言的基础。</w:t>
      </w:r>
    </w:p>
    <w:p w14:paraId="26A57018">
      <w:pPr>
        <w:pStyle w:val="28"/>
        <w:rPr>
          <w:color w:val="000000"/>
        </w:rPr>
      </w:pPr>
      <w:r>
        <w:rPr>
          <w:rFonts w:hint="eastAsia"/>
          <w:color w:val="000000"/>
        </w:rPr>
        <w:t>ECMAScript3新增了对正则表达式、新控制语句、trycatch异常处理的支持，修改了字符处理、错误定义和数值输出等内容。标志着ECMAScript成为了一门真正的编程语言。</w:t>
      </w:r>
    </w:p>
    <w:p w14:paraId="33CA0B7B">
      <w:pPr>
        <w:pStyle w:val="28"/>
        <w:rPr>
          <w:color w:val="000000"/>
        </w:rPr>
      </w:pPr>
      <w:r>
        <w:rPr>
          <w:rFonts w:hint="eastAsia"/>
          <w:color w:val="000000"/>
        </w:rPr>
        <w:t>ECMAScript5并添加了新的功能。新功能包括：原生JSON对象、继承的方法、高级属性的定义以及引入严格模式。</w:t>
      </w:r>
    </w:p>
    <w:p w14:paraId="69274174">
      <w:pPr>
        <w:pStyle w:val="28"/>
        <w:rPr>
          <w:color w:val="000000"/>
        </w:rPr>
      </w:pPr>
      <w:r>
        <w:rPr>
          <w:rFonts w:hint="eastAsia"/>
          <w:color w:val="000000"/>
        </w:rPr>
        <w:t>ECMAScript6是继ES5之后的一次主要改进，增添了许多必要的特性，例如：模块和类以及一些实用特性，Maps、Sets、Promises、生成器（Generators）等。</w:t>
      </w:r>
    </w:p>
    <w:p w14:paraId="2206DBD4">
      <w:pPr>
        <w:pStyle w:val="28"/>
        <w:rPr>
          <w:color w:val="000000"/>
        </w:rPr>
      </w:pPr>
      <w:r>
        <w:rPr>
          <w:rFonts w:hint="eastAsia"/>
          <w:color w:val="000000"/>
        </w:rPr>
        <w:t>目前JS常用的语法为ES5及ES6，一般来说，国产主流浏览器都支持应都支持ES5，包括：</w:t>
      </w:r>
    </w:p>
    <w:p w14:paraId="7C2C21F0">
      <w:pPr>
        <w:pStyle w:val="28"/>
        <w:rPr>
          <w:color w:val="000000"/>
        </w:rPr>
      </w:pPr>
      <w:r>
        <w:rPr>
          <w:rFonts w:hint="eastAsia"/>
          <w:color w:val="000000"/>
        </w:rPr>
        <w:t>Chrome13+</w:t>
      </w:r>
    </w:p>
    <w:p w14:paraId="441EF0CB">
      <w:pPr>
        <w:pStyle w:val="28"/>
        <w:rPr>
          <w:color w:val="000000"/>
        </w:rPr>
      </w:pPr>
      <w:r>
        <w:rPr>
          <w:rFonts w:hint="eastAsia"/>
          <w:color w:val="000000"/>
        </w:rPr>
        <w:t>Firefox4+</w:t>
      </w:r>
    </w:p>
    <w:p w14:paraId="72087848">
      <w:pPr>
        <w:pStyle w:val="28"/>
        <w:rPr>
          <w:color w:val="000000"/>
        </w:rPr>
      </w:pPr>
      <w:r>
        <w:rPr>
          <w:rFonts w:hint="eastAsia"/>
          <w:color w:val="000000"/>
        </w:rPr>
        <w:t>Safari5.1*</w:t>
      </w:r>
    </w:p>
    <w:p w14:paraId="49FB4882">
      <w:pPr>
        <w:pStyle w:val="28"/>
        <w:rPr>
          <w:color w:val="000000"/>
        </w:rPr>
      </w:pPr>
      <w:r>
        <w:rPr>
          <w:rFonts w:hint="eastAsia"/>
          <w:color w:val="000000"/>
        </w:rPr>
        <w:t>IE9*</w:t>
      </w:r>
    </w:p>
    <w:p w14:paraId="481981DC">
      <w:pPr>
        <w:pStyle w:val="28"/>
        <w:rPr>
          <w:color w:val="000000"/>
        </w:rPr>
      </w:pPr>
      <w:r>
        <w:rPr>
          <w:rFonts w:hint="eastAsia"/>
          <w:color w:val="000000"/>
        </w:rPr>
        <w:t>其中IE9不支持ES的严格模式，从IE10开始支持。IE8只支持defineProperty、getOwnPropertyDescriptor的部分特性和JSon的新特性，IE9支持除了严格模式以外的新特性，IE10和其他主流浏览器都支持了。</w:t>
      </w:r>
    </w:p>
    <w:p w14:paraId="1597BE93">
      <w:pPr>
        <w:pStyle w:val="28"/>
        <w:rPr>
          <w:color w:val="000000"/>
        </w:rPr>
      </w:pPr>
      <w:r>
        <w:rPr>
          <w:rFonts w:hint="eastAsia"/>
          <w:color w:val="000000"/>
        </w:rPr>
        <w:t>ES6目前没有一款浏览器是全部支持的，尽量不要应用，例如let与const等关键字。</w:t>
      </w:r>
    </w:p>
    <w:p w14:paraId="7976C539">
      <w:pPr>
        <w:pStyle w:val="28"/>
        <w:rPr>
          <w:color w:val="000000"/>
        </w:rPr>
      </w:pPr>
      <w:r>
        <w:rPr>
          <w:rFonts w:hint="eastAsia"/>
          <w:color w:val="000000"/>
        </w:rPr>
        <w:t>（5）</w:t>
      </w:r>
      <w:r>
        <w:rPr>
          <w:rFonts w:hint="eastAsia"/>
          <w:color w:val="000000"/>
        </w:rPr>
        <w:tab/>
      </w:r>
      <w:r>
        <w:rPr>
          <w:rFonts w:hint="eastAsia"/>
          <w:color w:val="000000"/>
        </w:rPr>
        <w:t>常用框架的兼容性分析</w:t>
      </w:r>
    </w:p>
    <w:p w14:paraId="5C7901E8">
      <w:pPr>
        <w:pStyle w:val="28"/>
        <w:rPr>
          <w:color w:val="000000"/>
        </w:rPr>
      </w:pPr>
      <w:r>
        <w:rPr>
          <w:rFonts w:hint="eastAsia"/>
          <w:color w:val="000000"/>
        </w:rPr>
        <w:t>JQuery，在2.0版本开始，就不再支持IE6、7、8浏览器了。</w:t>
      </w:r>
    </w:p>
    <w:p w14:paraId="294B1832">
      <w:pPr>
        <w:pStyle w:val="28"/>
        <w:rPr>
          <w:color w:val="000000"/>
        </w:rPr>
      </w:pPr>
      <w:r>
        <w:rPr>
          <w:rFonts w:hint="eastAsia"/>
          <w:color w:val="000000"/>
        </w:rPr>
        <w:t>Angular在1.2.*版本后，不再支持IE8。</w:t>
      </w:r>
    </w:p>
    <w:p w14:paraId="40EBF3C1">
      <w:pPr>
        <w:pStyle w:val="28"/>
        <w:rPr>
          <w:color w:val="000000"/>
        </w:rPr>
      </w:pPr>
      <w:r>
        <w:rPr>
          <w:rFonts w:hint="eastAsia"/>
          <w:color w:val="000000"/>
        </w:rPr>
        <w:t>BootStrap3不再支持IE8。</w:t>
      </w:r>
    </w:p>
    <w:p w14:paraId="36F318CB">
      <w:pPr>
        <w:pStyle w:val="28"/>
        <w:rPr>
          <w:color w:val="000000"/>
        </w:rPr>
      </w:pPr>
      <w:r>
        <w:rPr>
          <w:rFonts w:hint="eastAsia"/>
          <w:color w:val="000000"/>
        </w:rPr>
        <w:t>CSS3支持IE支持情况：</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5"/>
        <w:gridCol w:w="2765"/>
        <w:gridCol w:w="2766"/>
      </w:tblGrid>
      <w:tr w14:paraId="56BCF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765" w:type="dxa"/>
            <w:shd w:val="clear" w:color="auto" w:fill="BFBFBF"/>
            <w:vAlign w:val="center"/>
          </w:tcPr>
          <w:p w14:paraId="270AE9E1">
            <w:pPr>
              <w:pStyle w:val="28"/>
              <w:spacing w:before="120"/>
              <w:rPr>
                <w:color w:val="000000"/>
              </w:rPr>
            </w:pPr>
            <w:r>
              <w:rPr>
                <w:rFonts w:hint="eastAsia"/>
                <w:color w:val="000000"/>
              </w:rPr>
              <w:t>CSS特性</w:t>
            </w:r>
          </w:p>
        </w:tc>
        <w:tc>
          <w:tcPr>
            <w:tcW w:w="2765" w:type="dxa"/>
            <w:shd w:val="clear" w:color="auto" w:fill="BFBFBF"/>
            <w:vAlign w:val="center"/>
          </w:tcPr>
          <w:p w14:paraId="68BB372D">
            <w:pPr>
              <w:pStyle w:val="28"/>
              <w:spacing w:before="120"/>
              <w:rPr>
                <w:color w:val="000000"/>
              </w:rPr>
            </w:pPr>
            <w:r>
              <w:rPr>
                <w:rFonts w:hint="eastAsia"/>
                <w:color w:val="000000"/>
              </w:rPr>
              <w:t>IE8</w:t>
            </w:r>
          </w:p>
        </w:tc>
        <w:tc>
          <w:tcPr>
            <w:tcW w:w="2766" w:type="dxa"/>
            <w:shd w:val="clear" w:color="auto" w:fill="BFBFBF"/>
            <w:vAlign w:val="center"/>
          </w:tcPr>
          <w:p w14:paraId="71409C66">
            <w:pPr>
              <w:pStyle w:val="28"/>
              <w:spacing w:before="120"/>
              <w:rPr>
                <w:color w:val="000000"/>
              </w:rPr>
            </w:pPr>
            <w:r>
              <w:rPr>
                <w:rFonts w:hint="eastAsia"/>
                <w:color w:val="000000"/>
              </w:rPr>
              <w:t>IE9</w:t>
            </w:r>
          </w:p>
        </w:tc>
      </w:tr>
      <w:tr w14:paraId="2949E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5" w:type="dxa"/>
            <w:vAlign w:val="center"/>
          </w:tcPr>
          <w:p w14:paraId="2AD76E30">
            <w:pPr>
              <w:pStyle w:val="28"/>
              <w:spacing w:before="120"/>
              <w:rPr>
                <w:color w:val="000000"/>
              </w:rPr>
            </w:pPr>
            <w:r>
              <w:rPr>
                <w:color w:val="000000"/>
              </w:rPr>
              <w:t>borderradius</w:t>
            </w:r>
          </w:p>
        </w:tc>
        <w:tc>
          <w:tcPr>
            <w:tcW w:w="2765" w:type="dxa"/>
            <w:vAlign w:val="center"/>
          </w:tcPr>
          <w:p w14:paraId="25AB045A">
            <w:pPr>
              <w:pStyle w:val="28"/>
              <w:spacing w:before="120"/>
              <w:rPr>
                <w:color w:val="000000"/>
              </w:rPr>
            </w:pPr>
            <w:r>
              <w:rPr>
                <w:rFonts w:hint="eastAsia"/>
                <w:color w:val="000000"/>
              </w:rPr>
              <w:t>不支持</w:t>
            </w:r>
          </w:p>
        </w:tc>
        <w:tc>
          <w:tcPr>
            <w:tcW w:w="2766" w:type="dxa"/>
            <w:vAlign w:val="center"/>
          </w:tcPr>
          <w:p w14:paraId="2CD2AD2A">
            <w:pPr>
              <w:pStyle w:val="28"/>
              <w:spacing w:before="120"/>
              <w:rPr>
                <w:color w:val="000000"/>
              </w:rPr>
            </w:pPr>
            <w:r>
              <w:rPr>
                <w:color w:val="000000"/>
              </w:rPr>
              <w:t>支持</w:t>
            </w:r>
          </w:p>
        </w:tc>
      </w:tr>
      <w:tr w14:paraId="3EC59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5" w:type="dxa"/>
            <w:vAlign w:val="center"/>
          </w:tcPr>
          <w:p w14:paraId="1441924E">
            <w:pPr>
              <w:pStyle w:val="28"/>
              <w:spacing w:before="120"/>
              <w:rPr>
                <w:color w:val="000000"/>
              </w:rPr>
            </w:pPr>
            <w:r>
              <w:rPr>
                <w:color w:val="000000"/>
              </w:rPr>
              <w:t>boxshadow</w:t>
            </w:r>
          </w:p>
        </w:tc>
        <w:tc>
          <w:tcPr>
            <w:tcW w:w="2765" w:type="dxa"/>
            <w:vAlign w:val="center"/>
          </w:tcPr>
          <w:p w14:paraId="329668CB">
            <w:pPr>
              <w:pStyle w:val="28"/>
              <w:spacing w:before="120"/>
              <w:rPr>
                <w:color w:val="000000"/>
              </w:rPr>
            </w:pPr>
            <w:r>
              <w:rPr>
                <w:rFonts w:hint="eastAsia"/>
                <w:color w:val="000000"/>
              </w:rPr>
              <w:t>不支持</w:t>
            </w:r>
          </w:p>
        </w:tc>
        <w:tc>
          <w:tcPr>
            <w:tcW w:w="2766" w:type="dxa"/>
            <w:vAlign w:val="center"/>
          </w:tcPr>
          <w:p w14:paraId="4F3EFEE6">
            <w:pPr>
              <w:pStyle w:val="28"/>
              <w:spacing w:before="120"/>
              <w:rPr>
                <w:color w:val="000000"/>
              </w:rPr>
            </w:pPr>
            <w:r>
              <w:rPr>
                <w:color w:val="000000"/>
              </w:rPr>
              <w:t>支持</w:t>
            </w:r>
          </w:p>
        </w:tc>
      </w:tr>
      <w:tr w14:paraId="6C5E7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5" w:type="dxa"/>
            <w:vAlign w:val="center"/>
          </w:tcPr>
          <w:p w14:paraId="3E5EE314">
            <w:pPr>
              <w:pStyle w:val="28"/>
              <w:spacing w:before="120"/>
              <w:rPr>
                <w:color w:val="000000"/>
              </w:rPr>
            </w:pPr>
            <w:r>
              <w:rPr>
                <w:color w:val="000000"/>
              </w:rPr>
              <w:t>transform</w:t>
            </w:r>
          </w:p>
        </w:tc>
        <w:tc>
          <w:tcPr>
            <w:tcW w:w="2765" w:type="dxa"/>
            <w:vAlign w:val="center"/>
          </w:tcPr>
          <w:p w14:paraId="593A47C9">
            <w:pPr>
              <w:pStyle w:val="28"/>
              <w:spacing w:before="120"/>
              <w:rPr>
                <w:color w:val="000000"/>
              </w:rPr>
            </w:pPr>
            <w:r>
              <w:rPr>
                <w:rFonts w:hint="eastAsia"/>
                <w:color w:val="000000"/>
              </w:rPr>
              <w:t>不支持</w:t>
            </w:r>
          </w:p>
        </w:tc>
        <w:tc>
          <w:tcPr>
            <w:tcW w:w="2766" w:type="dxa"/>
            <w:vAlign w:val="center"/>
          </w:tcPr>
          <w:p w14:paraId="2BE0DBD6">
            <w:pPr>
              <w:pStyle w:val="28"/>
              <w:spacing w:before="120"/>
              <w:rPr>
                <w:color w:val="000000"/>
              </w:rPr>
            </w:pPr>
            <w:r>
              <w:rPr>
                <w:color w:val="000000"/>
              </w:rPr>
              <w:t>支持，需带ms前缀</w:t>
            </w:r>
          </w:p>
        </w:tc>
      </w:tr>
      <w:tr w14:paraId="75EBC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5" w:type="dxa"/>
            <w:vAlign w:val="center"/>
          </w:tcPr>
          <w:p w14:paraId="7F101D9E">
            <w:pPr>
              <w:pStyle w:val="28"/>
              <w:spacing w:before="120"/>
              <w:rPr>
                <w:color w:val="000000"/>
              </w:rPr>
            </w:pPr>
            <w:r>
              <w:rPr>
                <w:color w:val="000000"/>
              </w:rPr>
              <w:t>transition</w:t>
            </w:r>
          </w:p>
        </w:tc>
        <w:tc>
          <w:tcPr>
            <w:tcW w:w="2765" w:type="dxa"/>
            <w:vAlign w:val="center"/>
          </w:tcPr>
          <w:p w14:paraId="284D2FDC">
            <w:pPr>
              <w:pStyle w:val="28"/>
              <w:spacing w:before="120"/>
              <w:rPr>
                <w:color w:val="000000"/>
              </w:rPr>
            </w:pPr>
            <w:r>
              <w:rPr>
                <w:rFonts w:hint="eastAsia"/>
                <w:color w:val="000000"/>
              </w:rPr>
              <w:t>不支持</w:t>
            </w:r>
          </w:p>
        </w:tc>
        <w:tc>
          <w:tcPr>
            <w:tcW w:w="2766" w:type="dxa"/>
            <w:vAlign w:val="center"/>
          </w:tcPr>
          <w:p w14:paraId="3431CF55">
            <w:pPr>
              <w:pStyle w:val="28"/>
              <w:spacing w:before="120"/>
              <w:rPr>
                <w:color w:val="000000"/>
              </w:rPr>
            </w:pPr>
            <w:r>
              <w:rPr>
                <w:rFonts w:hint="eastAsia"/>
                <w:color w:val="000000"/>
              </w:rPr>
              <w:t>不支持</w:t>
            </w:r>
          </w:p>
        </w:tc>
      </w:tr>
      <w:tr w14:paraId="5F207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5" w:type="dxa"/>
            <w:vAlign w:val="center"/>
          </w:tcPr>
          <w:p w14:paraId="70B7D43F">
            <w:pPr>
              <w:pStyle w:val="28"/>
              <w:spacing w:before="120"/>
              <w:rPr>
                <w:color w:val="000000"/>
              </w:rPr>
            </w:pPr>
            <w:r>
              <w:rPr>
                <w:color w:val="000000"/>
              </w:rPr>
              <w:t>placeholder</w:t>
            </w:r>
          </w:p>
        </w:tc>
        <w:tc>
          <w:tcPr>
            <w:tcW w:w="2765" w:type="dxa"/>
            <w:vAlign w:val="center"/>
          </w:tcPr>
          <w:p w14:paraId="5756717E">
            <w:pPr>
              <w:pStyle w:val="28"/>
              <w:spacing w:before="120"/>
              <w:rPr>
                <w:color w:val="000000"/>
              </w:rPr>
            </w:pPr>
            <w:r>
              <w:rPr>
                <w:rFonts w:hint="eastAsia"/>
                <w:color w:val="000000"/>
              </w:rPr>
              <w:t>不支持</w:t>
            </w:r>
          </w:p>
        </w:tc>
        <w:tc>
          <w:tcPr>
            <w:tcW w:w="2766" w:type="dxa"/>
            <w:vAlign w:val="center"/>
          </w:tcPr>
          <w:p w14:paraId="2A4CCB50">
            <w:pPr>
              <w:pStyle w:val="28"/>
              <w:spacing w:before="120"/>
              <w:rPr>
                <w:color w:val="000000"/>
              </w:rPr>
            </w:pPr>
            <w:r>
              <w:rPr>
                <w:rFonts w:hint="eastAsia"/>
                <w:color w:val="000000"/>
              </w:rPr>
              <w:t>不支持</w:t>
            </w:r>
          </w:p>
        </w:tc>
      </w:tr>
    </w:tbl>
    <w:p w14:paraId="7C43DD34">
      <w:pPr>
        <w:ind w:firstLine="480"/>
      </w:pPr>
    </w:p>
    <w:p w14:paraId="1C6AF2A5">
      <w:pPr>
        <w:ind w:firstLine="480"/>
      </w:pPr>
    </w:p>
    <w:p w14:paraId="730B8B7B">
      <w:pPr>
        <w:pStyle w:val="2"/>
      </w:pPr>
      <w:r>
        <w:t>项目的培训需求</w:t>
      </w:r>
    </w:p>
    <w:p w14:paraId="24AC2014">
      <w:pPr>
        <w:pStyle w:val="28"/>
        <w:spacing w:line="360" w:lineRule="auto"/>
        <w:rPr>
          <w:rFonts w:hint="eastAsia" w:ascii="宋体" w:hAnsi="宋体"/>
          <w:color w:val="000000"/>
        </w:rPr>
      </w:pPr>
      <w:r>
        <w:rPr>
          <w:rFonts w:hint="eastAsia" w:ascii="宋体" w:hAnsi="宋体"/>
          <w:color w:val="000000"/>
        </w:rPr>
        <w:t>培训对象为项目单位的工作人员、系统管理人员。其中：</w:t>
      </w:r>
    </w:p>
    <w:p w14:paraId="0220F792">
      <w:pPr>
        <w:pStyle w:val="28"/>
        <w:numPr>
          <w:ilvl w:val="0"/>
          <w:numId w:val="8"/>
        </w:numPr>
        <w:autoSpaceDE w:val="0"/>
        <w:autoSpaceDN w:val="0"/>
        <w:spacing w:line="360" w:lineRule="auto"/>
        <w:ind w:firstLine="480"/>
        <w:rPr>
          <w:rFonts w:hint="eastAsia" w:ascii="宋体" w:hAnsi="宋体"/>
          <w:color w:val="000000"/>
        </w:rPr>
      </w:pPr>
      <w:r>
        <w:rPr>
          <w:rFonts w:hint="eastAsia" w:ascii="宋体" w:hAnsi="宋体"/>
          <w:color w:val="000000"/>
        </w:rPr>
        <w:t>中层以上领导</w:t>
      </w:r>
    </w:p>
    <w:p w14:paraId="390D41E7">
      <w:pPr>
        <w:pStyle w:val="28"/>
        <w:spacing w:line="360" w:lineRule="auto"/>
        <w:rPr>
          <w:rFonts w:hint="eastAsia" w:ascii="宋体" w:hAnsi="宋体"/>
          <w:color w:val="000000"/>
        </w:rPr>
      </w:pPr>
      <w:r>
        <w:rPr>
          <w:rFonts w:hint="eastAsia" w:ascii="宋体" w:hAnsi="宋体"/>
          <w:color w:val="000000"/>
        </w:rPr>
        <w:t>通过培训，使领导能掌握其日常工作所用系统各功能模块的使用。</w:t>
      </w:r>
    </w:p>
    <w:p w14:paraId="39491787">
      <w:pPr>
        <w:pStyle w:val="28"/>
        <w:numPr>
          <w:ilvl w:val="0"/>
          <w:numId w:val="8"/>
        </w:numPr>
        <w:autoSpaceDE w:val="0"/>
        <w:autoSpaceDN w:val="0"/>
        <w:spacing w:line="360" w:lineRule="auto"/>
        <w:ind w:firstLine="480"/>
        <w:rPr>
          <w:rFonts w:hint="eastAsia" w:ascii="宋体" w:hAnsi="宋体"/>
          <w:color w:val="000000"/>
        </w:rPr>
      </w:pPr>
      <w:r>
        <w:rPr>
          <w:rFonts w:hint="eastAsia" w:ascii="宋体" w:hAnsi="宋体"/>
          <w:color w:val="000000"/>
        </w:rPr>
        <w:t>一般用户</w:t>
      </w:r>
    </w:p>
    <w:p w14:paraId="3F470092">
      <w:pPr>
        <w:pStyle w:val="28"/>
        <w:spacing w:line="360" w:lineRule="auto"/>
        <w:rPr>
          <w:rFonts w:hint="eastAsia" w:ascii="宋体" w:hAnsi="宋体"/>
          <w:color w:val="000000"/>
        </w:rPr>
      </w:pPr>
      <w:r>
        <w:rPr>
          <w:rFonts w:hint="eastAsia" w:ascii="宋体" w:hAnsi="宋体"/>
          <w:color w:val="000000"/>
        </w:rPr>
        <w:t>本项目中各系统的使用人员。通过培训、下发操作手册等让其能掌握其日常工作所用系统各功能模块的使用。</w:t>
      </w:r>
    </w:p>
    <w:p w14:paraId="1200A014">
      <w:pPr>
        <w:pStyle w:val="28"/>
        <w:numPr>
          <w:ilvl w:val="0"/>
          <w:numId w:val="8"/>
        </w:numPr>
        <w:autoSpaceDE w:val="0"/>
        <w:autoSpaceDN w:val="0"/>
        <w:spacing w:line="360" w:lineRule="auto"/>
        <w:ind w:firstLine="480"/>
        <w:rPr>
          <w:rFonts w:hint="eastAsia" w:ascii="宋体" w:hAnsi="宋体"/>
          <w:color w:val="000000"/>
        </w:rPr>
      </w:pPr>
      <w:r>
        <w:rPr>
          <w:rFonts w:hint="eastAsia" w:ascii="宋体" w:hAnsi="宋体"/>
          <w:color w:val="000000"/>
        </w:rPr>
        <w:t>系统管理人员</w:t>
      </w:r>
    </w:p>
    <w:p w14:paraId="5F736B1F">
      <w:pPr>
        <w:pStyle w:val="28"/>
        <w:spacing w:line="360" w:lineRule="auto"/>
        <w:rPr>
          <w:rFonts w:hint="eastAsia" w:ascii="宋体" w:hAnsi="宋体"/>
          <w:color w:val="000000"/>
        </w:rPr>
      </w:pPr>
      <w:r>
        <w:rPr>
          <w:rFonts w:hint="eastAsia" w:ascii="宋体" w:hAnsi="宋体"/>
          <w:color w:val="000000"/>
        </w:rPr>
        <w:t>即在实施建设项目过程中主要参与全过程实施的各专业工程师与技术开发人员和系统维护人员，通过培训，掌握系统的基本维护和日常管理工作，当系统出现一般性问题时，通过培训的系统管理人员能及时解决问题，不影响系统的使用。</w:t>
      </w:r>
    </w:p>
    <w:p w14:paraId="5640D5FE">
      <w:pPr>
        <w:pStyle w:val="28"/>
        <w:spacing w:line="360" w:lineRule="auto"/>
        <w:rPr>
          <w:rFonts w:hint="eastAsia" w:ascii="宋体" w:hAnsi="宋体"/>
          <w:color w:val="000000"/>
        </w:rPr>
      </w:pPr>
      <w:r>
        <w:rPr>
          <w:rFonts w:hint="eastAsia" w:ascii="宋体" w:hAnsi="宋体"/>
          <w:color w:val="000000"/>
        </w:rPr>
        <w:t>人员培训的目的是为了使工作人员了解、掌握本系统所涉及的各种技术和设备，更有效和更全面地应用、管理系统。对于一般工作人员，应能灵活操作、使用本系统，对于系统管理人员和技术人员，要能够达到独立操作、分析、判断解决系统一般性问题。各项培训的内容和目的如下：</w:t>
      </w:r>
    </w:p>
    <w:p w14:paraId="07B542A3">
      <w:pPr>
        <w:pStyle w:val="39"/>
        <w:numPr>
          <w:ilvl w:val="0"/>
          <w:numId w:val="9"/>
        </w:numPr>
        <w:ind w:firstLine="480" w:firstLineChars="200"/>
        <w:rPr>
          <w:rFonts w:hint="eastAsia"/>
          <w:color w:val="000000"/>
          <w:sz w:val="24"/>
        </w:rPr>
      </w:pPr>
      <w:r>
        <w:rPr>
          <w:rFonts w:hint="eastAsia"/>
          <w:color w:val="000000"/>
          <w:sz w:val="24"/>
        </w:rPr>
        <w:t>领导交流与培训</w:t>
      </w:r>
    </w:p>
    <w:p w14:paraId="149FB1A1">
      <w:pPr>
        <w:pStyle w:val="28"/>
        <w:spacing w:line="360" w:lineRule="auto"/>
        <w:rPr>
          <w:rFonts w:hint="eastAsia"/>
          <w:color w:val="000000"/>
        </w:rPr>
      </w:pPr>
      <w:r>
        <w:rPr>
          <w:rFonts w:hint="eastAsia"/>
          <w:color w:val="000000"/>
        </w:rPr>
        <w:t>信息系统作为一把手工程，需要为各级领导提供多层次、全方位的交流，使其对系统有更深刻的认识，积极参与，并主动带头使用，促进内部工作人员不断使用本系统。领导培训除要完成必要的使用培训外，更多的是与领导进行沟通，充分体现各级领导对系统提出的要求，并将这种要求贯彻到系统的建设过程中。</w:t>
      </w:r>
    </w:p>
    <w:p w14:paraId="1FFAE303">
      <w:pPr>
        <w:pStyle w:val="39"/>
        <w:numPr>
          <w:ilvl w:val="0"/>
          <w:numId w:val="9"/>
        </w:numPr>
        <w:ind w:firstLine="480" w:firstLineChars="200"/>
        <w:rPr>
          <w:rFonts w:hint="eastAsia"/>
          <w:color w:val="000000"/>
          <w:sz w:val="24"/>
        </w:rPr>
      </w:pPr>
      <w:r>
        <w:rPr>
          <w:rFonts w:hint="eastAsia"/>
          <w:color w:val="000000"/>
          <w:sz w:val="24"/>
        </w:rPr>
        <w:t>技术培训</w:t>
      </w:r>
    </w:p>
    <w:p w14:paraId="6B992F24">
      <w:pPr>
        <w:pStyle w:val="28"/>
        <w:spacing w:line="360" w:lineRule="auto"/>
        <w:rPr>
          <w:rFonts w:hint="eastAsia"/>
          <w:color w:val="000000"/>
        </w:rPr>
      </w:pPr>
      <w:r>
        <w:rPr>
          <w:rFonts w:hint="eastAsia"/>
          <w:color w:val="000000"/>
        </w:rPr>
        <w:t>技术人员需要对整个系统有比较深入的了解，以便能够自主完成对系统的日常维护工作，并在需要的时候，可以在系统的标准体系框架下，丰富系统的功能。技术培训效果的好坏直接影响未来系统的使用效果。技术培训面向负责系统运行维护的相关技术人员，重点是产品平台的管理、数据库管理、网管软件使用及系统日常维护工作。</w:t>
      </w:r>
    </w:p>
    <w:p w14:paraId="7EB16236">
      <w:pPr>
        <w:pStyle w:val="39"/>
        <w:numPr>
          <w:ilvl w:val="0"/>
          <w:numId w:val="9"/>
        </w:numPr>
        <w:ind w:firstLine="480" w:firstLineChars="200"/>
        <w:rPr>
          <w:rFonts w:hint="eastAsia"/>
          <w:color w:val="000000"/>
          <w:sz w:val="24"/>
        </w:rPr>
      </w:pPr>
      <w:r>
        <w:rPr>
          <w:rFonts w:hint="eastAsia"/>
          <w:color w:val="000000"/>
          <w:sz w:val="24"/>
        </w:rPr>
        <w:t>使用培训</w:t>
      </w:r>
    </w:p>
    <w:p w14:paraId="494BDB22">
      <w:pPr>
        <w:pStyle w:val="28"/>
        <w:spacing w:line="360" w:lineRule="auto"/>
        <w:rPr>
          <w:rFonts w:hint="eastAsia"/>
          <w:color w:val="000000"/>
        </w:rPr>
      </w:pPr>
      <w:r>
        <w:rPr>
          <w:rFonts w:hint="eastAsia"/>
          <w:color w:val="000000"/>
        </w:rPr>
        <w:t>面向项目的全体使用者提供使用培训，由于系统使用涉及的部门众多、人员众多，业务繁重，针对为这类人员的具体情况，可以提供若干期“大课”的形式，配合培训教材，使其初步掌握系统的使用方法，在具体的工作中，还可以由各部门的“应用系统管理员”言传身教，为其解决具体的操作问题。对于系统的普通用户来说，除了采用上述集中参加培训外，最好的也是最直接的培训方法，是培养工作人员自学习的兴趣，通过本次项目建设内容中的网上培训系统，为其提供在线的培训教程，促使其自主学习也是一种重要的手段。</w:t>
      </w:r>
    </w:p>
    <w:p w14:paraId="6535DA6E">
      <w:pPr>
        <w:pStyle w:val="39"/>
        <w:numPr>
          <w:ilvl w:val="0"/>
          <w:numId w:val="9"/>
        </w:numPr>
        <w:ind w:firstLine="480" w:firstLineChars="200"/>
        <w:rPr>
          <w:rFonts w:hint="eastAsia"/>
          <w:color w:val="000000"/>
          <w:sz w:val="24"/>
        </w:rPr>
      </w:pPr>
      <w:r>
        <w:rPr>
          <w:rFonts w:hint="eastAsia"/>
          <w:color w:val="000000"/>
          <w:sz w:val="24"/>
        </w:rPr>
        <w:t>培训时长</w:t>
      </w:r>
    </w:p>
    <w:p w14:paraId="0352FEE0">
      <w:pPr>
        <w:pStyle w:val="28"/>
        <w:spacing w:line="360" w:lineRule="auto"/>
        <w:rPr>
          <w:rFonts w:hint="eastAsia"/>
          <w:color w:val="000000"/>
        </w:rPr>
      </w:pPr>
      <w:r>
        <w:rPr>
          <w:rFonts w:hint="eastAsia"/>
          <w:color w:val="000000"/>
        </w:rPr>
        <w:t>培训时长根据用户需求而定，半场培训课时不超过4小时。</w:t>
      </w:r>
    </w:p>
    <w:p w14:paraId="34E7A2DF">
      <w:pPr>
        <w:pStyle w:val="4"/>
      </w:pPr>
      <w:bookmarkStart w:id="146" w:name="_Toc342339398"/>
      <w:bookmarkEnd w:id="146"/>
      <w:bookmarkStart w:id="147" w:name="_Toc342339393"/>
      <w:bookmarkEnd w:id="147"/>
      <w:bookmarkStart w:id="148" w:name="_Toc342339387"/>
      <w:bookmarkEnd w:id="148"/>
      <w:bookmarkStart w:id="149" w:name="_Toc493702840"/>
      <w:bookmarkStart w:id="150" w:name="_Toc179640691"/>
      <w:bookmarkStart w:id="151" w:name="_Toc332971365"/>
      <w:bookmarkStart w:id="152" w:name="_Toc85443597"/>
      <w:r>
        <w:rPr>
          <w:rFonts w:hint="eastAsia"/>
        </w:rPr>
        <w:t>培训方式</w:t>
      </w:r>
      <w:bookmarkEnd w:id="149"/>
      <w:bookmarkEnd w:id="150"/>
      <w:bookmarkEnd w:id="151"/>
      <w:bookmarkEnd w:id="152"/>
    </w:p>
    <w:p w14:paraId="48B8D7C6">
      <w:pPr>
        <w:pStyle w:val="28"/>
        <w:spacing w:line="360" w:lineRule="auto"/>
        <w:rPr>
          <w:color w:val="000000"/>
        </w:rPr>
      </w:pPr>
      <w:r>
        <w:rPr>
          <w:color w:val="000000"/>
        </w:rPr>
        <w:t>培训方式采用集中培训、现场培训、发放宣传材料等相结合的方式，针对不同层次的人员，开设不同的培训课程和确定培训方式。</w:t>
      </w:r>
    </w:p>
    <w:p w14:paraId="7C9DC23A">
      <w:pPr>
        <w:pStyle w:val="28"/>
        <w:spacing w:line="360" w:lineRule="auto"/>
        <w:rPr>
          <w:color w:val="000000"/>
        </w:rPr>
      </w:pPr>
      <w:r>
        <w:rPr>
          <w:color w:val="000000"/>
        </w:rPr>
        <w:t>1、集中培训方式</w:t>
      </w:r>
    </w:p>
    <w:p w14:paraId="0AB72889">
      <w:pPr>
        <w:pStyle w:val="28"/>
        <w:spacing w:line="360" w:lineRule="auto"/>
        <w:rPr>
          <w:color w:val="000000"/>
        </w:rPr>
      </w:pPr>
      <w:r>
        <w:rPr>
          <w:color w:val="000000"/>
        </w:rPr>
        <w:t>分别针对系统管理员、系统维护人员和系统操作人员，开设集中培训课程。重点是系统维护人员和系统操作人员，采用集中授课的方式，进行培训。</w:t>
      </w:r>
    </w:p>
    <w:p w14:paraId="5AE739D4">
      <w:pPr>
        <w:pStyle w:val="28"/>
        <w:spacing w:line="360" w:lineRule="auto"/>
        <w:rPr>
          <w:color w:val="000000"/>
        </w:rPr>
      </w:pPr>
      <w:r>
        <w:rPr>
          <w:color w:val="000000"/>
        </w:rPr>
        <w:t>2、现场培训方式</w:t>
      </w:r>
    </w:p>
    <w:p w14:paraId="6E18CAA8">
      <w:pPr>
        <w:pStyle w:val="28"/>
        <w:spacing w:line="360" w:lineRule="auto"/>
        <w:rPr>
          <w:color w:val="000000"/>
        </w:rPr>
      </w:pPr>
      <w:r>
        <w:rPr>
          <w:color w:val="000000"/>
        </w:rPr>
        <w:t>重点针对系统管理员，通过在现场的施工和培训，深层次的掌握系统各设备的使用、维护、故障检修和各种日常操作等。</w:t>
      </w:r>
    </w:p>
    <w:p w14:paraId="3C2AD474">
      <w:pPr>
        <w:pStyle w:val="28"/>
        <w:spacing w:line="360" w:lineRule="auto"/>
        <w:rPr>
          <w:color w:val="000000"/>
        </w:rPr>
      </w:pPr>
      <w:r>
        <w:rPr>
          <w:color w:val="000000"/>
        </w:rPr>
        <w:t>3、宣传材料方式</w:t>
      </w:r>
    </w:p>
    <w:p w14:paraId="4E5D78F6">
      <w:pPr>
        <w:pStyle w:val="28"/>
        <w:spacing w:line="360" w:lineRule="auto"/>
        <w:rPr>
          <w:color w:val="000000"/>
        </w:rPr>
      </w:pPr>
      <w:r>
        <w:rPr>
          <w:color w:val="000000"/>
        </w:rPr>
        <w:t>针对平时工作繁忙的大量普通用户，可以印制宣传材料在相应的职能部门向用户发放，促进其自学。</w:t>
      </w:r>
    </w:p>
    <w:p w14:paraId="2BF68DBC">
      <w:pPr>
        <w:pStyle w:val="2"/>
      </w:pPr>
      <w:r>
        <w:t>服务标准</w:t>
      </w:r>
    </w:p>
    <w:p w14:paraId="2CA82CC8">
      <w:pPr>
        <w:pStyle w:val="28"/>
        <w:numPr>
          <w:ilvl w:val="0"/>
          <w:numId w:val="10"/>
        </w:numPr>
        <w:ind w:firstLineChars="0"/>
      </w:pPr>
      <w:r>
        <w:t>运行维护要求</w:t>
      </w:r>
    </w:p>
    <w:p w14:paraId="4ACAB312">
      <w:pPr>
        <w:pStyle w:val="28"/>
        <w:numPr>
          <w:ilvl w:val="0"/>
          <w:numId w:val="11"/>
        </w:numPr>
      </w:pPr>
      <w:r>
        <w:t>针对所有软</w:t>
      </w:r>
      <w:r>
        <w:rPr>
          <w:rFonts w:hint="eastAsia"/>
        </w:rPr>
        <w:t>硬</w:t>
      </w:r>
      <w:r>
        <w:t>件，中标人应提供项目供货后</w:t>
      </w:r>
      <w:r>
        <w:rPr>
          <w:rFonts w:hint="eastAsia"/>
        </w:rPr>
        <w:t>5</w:t>
      </w:r>
      <w:r>
        <w:t>年的免费维保服务。其中包含但不限于</w:t>
      </w:r>
      <w:r>
        <w:rPr>
          <w:rFonts w:hint="eastAsia"/>
        </w:rPr>
        <w:t>硬件维护</w:t>
      </w:r>
      <w:r>
        <w:t>系统性能优化、系统版本升级、系统故障处理等服务内容。</w:t>
      </w:r>
    </w:p>
    <w:p w14:paraId="26342845">
      <w:pPr>
        <w:pStyle w:val="28"/>
        <w:numPr>
          <w:ilvl w:val="0"/>
          <w:numId w:val="11"/>
        </w:numPr>
        <w:rPr>
          <w:color w:val="000000"/>
        </w:rPr>
      </w:pPr>
      <w:r>
        <w:t>在软</w:t>
      </w:r>
      <w:r>
        <w:rPr>
          <w:rFonts w:hint="eastAsia"/>
        </w:rPr>
        <w:t>硬</w:t>
      </w:r>
      <w:r>
        <w:t>件维保期内，中标人应提</w:t>
      </w:r>
      <w:r>
        <w:rPr>
          <w:rFonts w:hint="eastAsia"/>
          <w:color w:val="000000"/>
        </w:rPr>
        <w:t>技术支持与技术服务,主要包括电话支持、现场服务等。</w:t>
      </w:r>
    </w:p>
    <w:p w14:paraId="3A3D6D4D">
      <w:pPr>
        <w:pStyle w:val="28"/>
        <w:ind w:left="480" w:firstLine="0" w:firstLineChars="0"/>
        <w:rPr>
          <w:color w:val="000000"/>
        </w:rPr>
      </w:pPr>
      <w:r>
        <w:rPr>
          <w:rFonts w:hint="eastAsia"/>
        </w:rPr>
        <w:t>1）</w:t>
      </w:r>
      <w:r>
        <w:rPr>
          <w:rFonts w:hint="eastAsia"/>
          <w:color w:val="000000"/>
        </w:rPr>
        <w:t>远程支持</w:t>
      </w:r>
    </w:p>
    <w:p w14:paraId="6196FF48">
      <w:pPr>
        <w:pStyle w:val="28"/>
        <w:rPr>
          <w:color w:val="000000"/>
        </w:rPr>
      </w:pPr>
      <w:r>
        <w:rPr>
          <w:rFonts w:hint="eastAsia"/>
          <w:color w:val="000000"/>
        </w:rPr>
        <w:t>全年7*24小时在线远程支持服务：客户服务工程师在接收到用户通报故障的电话、传真或Email后半小时之内将通过电话、传真或电子邮件、海政通、蓝信等方式解决客户在使用过程中遇到的问题，并按规范记录存档。</w:t>
      </w:r>
    </w:p>
    <w:p w14:paraId="78CC64F7">
      <w:pPr>
        <w:pStyle w:val="28"/>
        <w:rPr>
          <w:color w:val="000000"/>
        </w:rPr>
      </w:pPr>
      <w:r>
        <w:rPr>
          <w:rFonts w:hint="eastAsia"/>
          <w:color w:val="000000"/>
        </w:rPr>
        <w:t>针对不同类型的故障，设定了明确的响应时间标准：</w:t>
      </w:r>
    </w:p>
    <w:p w14:paraId="544A4294">
      <w:pPr>
        <w:pStyle w:val="28"/>
        <w:rPr>
          <w:color w:val="000000"/>
        </w:rPr>
      </w:pPr>
      <w:r>
        <w:rPr>
          <w:rFonts w:hint="eastAsia"/>
          <w:color w:val="000000"/>
        </w:rPr>
        <w:t>（a）一级故障（特别重大故障）：故障响应时间不超过5分钟，确保在最短时间内启动应急处理流程。</w:t>
      </w:r>
    </w:p>
    <w:p w14:paraId="3FE90281">
      <w:pPr>
        <w:pStyle w:val="28"/>
        <w:rPr>
          <w:color w:val="000000"/>
        </w:rPr>
      </w:pPr>
      <w:r>
        <w:rPr>
          <w:rFonts w:hint="eastAsia"/>
          <w:color w:val="000000"/>
        </w:rPr>
        <w:t>（b）二级故障（重大故障）：故障响应时间不超过10分钟，迅速定位问题并提供初步解决方案。</w:t>
      </w:r>
    </w:p>
    <w:p w14:paraId="6911E76D">
      <w:pPr>
        <w:pStyle w:val="28"/>
        <w:rPr>
          <w:color w:val="000000"/>
        </w:rPr>
      </w:pPr>
      <w:r>
        <w:rPr>
          <w:rFonts w:hint="eastAsia"/>
          <w:color w:val="000000"/>
        </w:rPr>
        <w:t>（c）三级故障（较大故障）：故障响应时间不超过15分钟，及时为用户解答疑问并提供帮助。</w:t>
      </w:r>
    </w:p>
    <w:p w14:paraId="6EE83542">
      <w:pPr>
        <w:pStyle w:val="28"/>
        <w:rPr>
          <w:color w:val="000000"/>
        </w:rPr>
      </w:pPr>
      <w:r>
        <w:rPr>
          <w:rFonts w:hint="eastAsia"/>
          <w:color w:val="000000"/>
        </w:rPr>
        <w:t>（d）四级故障（一般故障）：故障响应时间不超过30分钟，确保用户问题得到及时关注和处理。</w:t>
      </w:r>
    </w:p>
    <w:p w14:paraId="5D501E0F">
      <w:pPr>
        <w:pStyle w:val="28"/>
        <w:rPr>
          <w:color w:val="000000"/>
        </w:rPr>
      </w:pPr>
      <w:r>
        <w:rPr>
          <w:rFonts w:hint="eastAsia"/>
          <w:color w:val="000000"/>
        </w:rPr>
        <w:t>2）现场服务</w:t>
      </w:r>
    </w:p>
    <w:p w14:paraId="659E13AB">
      <w:pPr>
        <w:pStyle w:val="28"/>
        <w:rPr>
          <w:color w:val="000000"/>
        </w:rPr>
      </w:pPr>
      <w:r>
        <w:rPr>
          <w:rFonts w:hint="eastAsia"/>
          <w:color w:val="000000"/>
        </w:rPr>
        <w:t>如通过远程支持无法解决问题，根据故障级别提供不同时效的现场服务：</w:t>
      </w:r>
    </w:p>
    <w:p w14:paraId="7C656860">
      <w:pPr>
        <w:pStyle w:val="28"/>
        <w:rPr>
          <w:color w:val="000000"/>
        </w:rPr>
      </w:pPr>
      <w:r>
        <w:rPr>
          <w:rFonts w:hint="eastAsia"/>
          <w:color w:val="000000"/>
        </w:rPr>
        <w:t>（a）一级故障：在接到故障电话后1小时内到达现场，迅速排除故障，确保系统尽快恢复正常运行。故障处理时间不超过4小时，特殊情况下最长不得超过8小时。</w:t>
      </w:r>
    </w:p>
    <w:p w14:paraId="5962223C">
      <w:pPr>
        <w:pStyle w:val="28"/>
        <w:rPr>
          <w:color w:val="000000"/>
        </w:rPr>
      </w:pPr>
      <w:r>
        <w:rPr>
          <w:rFonts w:hint="eastAsia"/>
          <w:color w:val="000000"/>
        </w:rPr>
        <w:t>（b）二级故障：在1小时内到达现场，故障处理时间不超过8小时，确保系统稳定运行。</w:t>
      </w:r>
    </w:p>
    <w:p w14:paraId="24C83F46">
      <w:pPr>
        <w:pStyle w:val="28"/>
        <w:rPr>
          <w:color w:val="000000"/>
        </w:rPr>
      </w:pPr>
      <w:r>
        <w:rPr>
          <w:rFonts w:hint="eastAsia"/>
          <w:color w:val="000000"/>
        </w:rPr>
        <w:t>（c）三级故障：在2小时内到达现场，故障处理时间不超过12小时，减少对业务运行的影响。</w:t>
      </w:r>
    </w:p>
    <w:p w14:paraId="3130345A">
      <w:pPr>
        <w:pStyle w:val="28"/>
        <w:rPr>
          <w:color w:val="000000"/>
        </w:rPr>
      </w:pPr>
      <w:r>
        <w:rPr>
          <w:rFonts w:hint="eastAsia"/>
          <w:color w:val="000000"/>
        </w:rPr>
        <w:t>（d）四级故障：在4小时内到达现场，故障处理时间不超过24小时，优化系统性能，提升用户体验。</w:t>
      </w:r>
    </w:p>
    <w:p w14:paraId="215524F5">
      <w:pPr>
        <w:pStyle w:val="28"/>
        <w:rPr>
          <w:color w:val="000000"/>
        </w:rPr>
      </w:pPr>
      <w:r>
        <w:rPr>
          <w:rFonts w:hint="eastAsia"/>
          <w:color w:val="000000"/>
        </w:rPr>
        <w:t>3）定期巡查</w:t>
      </w:r>
    </w:p>
    <w:p w14:paraId="5A7790B0">
      <w:pPr>
        <w:pStyle w:val="28"/>
        <w:rPr>
          <w:color w:val="000000"/>
        </w:rPr>
      </w:pPr>
      <w:r>
        <w:rPr>
          <w:rFonts w:hint="eastAsia"/>
          <w:color w:val="000000"/>
        </w:rPr>
        <w:t>为保证系统正常运行，运维方对本项目提供定期系统预防维护服务，巡检内容包括由专业工程师按周期对系统的使用情况进行了解并进行常规性检查、调试和清理工作，记录系统的运行情况，巡检的目的是帮助您更好地使用设备，提高系统性能，延长使用寿命，并以书面形式提交报告供存档。</w:t>
      </w:r>
    </w:p>
    <w:p w14:paraId="37F686EE">
      <w:pPr>
        <w:pStyle w:val="28"/>
        <w:rPr>
          <w:color w:val="000000"/>
        </w:rPr>
      </w:pPr>
      <w:r>
        <w:rPr>
          <w:rFonts w:hint="eastAsia"/>
          <w:color w:val="000000"/>
        </w:rPr>
        <w:t>4）驻点服务</w:t>
      </w:r>
    </w:p>
    <w:p w14:paraId="07A32DE2">
      <w:pPr>
        <w:pStyle w:val="28"/>
        <w:rPr>
          <w:color w:val="000000"/>
        </w:rPr>
      </w:pPr>
      <w:r>
        <w:rPr>
          <w:rFonts w:hint="eastAsia"/>
          <w:color w:val="000000"/>
        </w:rPr>
        <w:t>为降低系统故障的风险，提高应急响应能力，避免系统问题对交通造成大范围的影响。由运维服务商根据实际情况提供专业工程师现场驻点服务，驻点维护小组成员具备丰富的系统维护经验和专业技能，能够迅速识别并解决系统故障，确保在系统故障发生时能够迅速响应并恢复系统正常运行。</w:t>
      </w:r>
    </w:p>
    <w:p w14:paraId="389ED074">
      <w:pPr>
        <w:pStyle w:val="28"/>
        <w:numPr>
          <w:ilvl w:val="0"/>
          <w:numId w:val="11"/>
        </w:numPr>
        <w:rPr>
          <w:color w:val="000000"/>
        </w:rPr>
      </w:pPr>
      <w:r>
        <w:t>所供软</w:t>
      </w:r>
      <w:r>
        <w:rPr>
          <w:rFonts w:hint="eastAsia"/>
        </w:rPr>
        <w:t>硬</w:t>
      </w:r>
      <w:r>
        <w:t>件出现问题时</w:t>
      </w:r>
      <w:r>
        <w:rPr>
          <w:color w:val="000000"/>
        </w:rPr>
        <w:t>，应及时维修。根据系统突发事件的性质、严重程度、可控性和影响范围，将其进一步细分为以下四类：</w:t>
      </w:r>
    </w:p>
    <w:p w14:paraId="3FAFCA68">
      <w:pPr>
        <w:pStyle w:val="28"/>
        <w:rPr>
          <w:color w:val="000000"/>
        </w:rPr>
      </w:pPr>
      <w:r>
        <w:rPr>
          <w:rFonts w:hint="eastAsia"/>
          <w:color w:val="000000"/>
        </w:rPr>
        <w:t>1）</w:t>
      </w:r>
      <w:r>
        <w:rPr>
          <w:color w:val="000000"/>
        </w:rPr>
        <w:t>一级故障（特别重大故障）：系统崩溃或瘫痪，数据长久丢失，严重影响业务运行和客户使用，对生产运营造成巨大损失。故障响应时间不超过5分钟，1小时内到达现场，故障处理在4小时内修复，特殊情况，最长不得超过8小时。</w:t>
      </w:r>
    </w:p>
    <w:p w14:paraId="55F4D092">
      <w:pPr>
        <w:pStyle w:val="28"/>
        <w:rPr>
          <w:color w:val="000000"/>
        </w:rPr>
      </w:pPr>
      <w:r>
        <w:rPr>
          <w:color w:val="000000"/>
        </w:rPr>
        <w:t>2</w:t>
      </w:r>
      <w:r>
        <w:rPr>
          <w:rFonts w:hint="eastAsia"/>
          <w:color w:val="000000"/>
        </w:rPr>
        <w:t>）</w:t>
      </w:r>
      <w:r>
        <w:rPr>
          <w:color w:val="000000"/>
        </w:rPr>
        <w:t>二级故障（重大故障）：系统出现严重异常，可能导致部分业务中断，数据丢失或损坏，对生产运营造成较大损失。故障响应时间不超过10分钟，1小时内到达现场，故障处理在8小时内修复。</w:t>
      </w:r>
    </w:p>
    <w:p w14:paraId="2BF2543F">
      <w:pPr>
        <w:pStyle w:val="28"/>
        <w:rPr>
          <w:color w:val="000000"/>
        </w:rPr>
      </w:pPr>
      <w:r>
        <w:rPr>
          <w:color w:val="000000"/>
        </w:rPr>
        <w:t>3</w:t>
      </w:r>
      <w:r>
        <w:rPr>
          <w:rFonts w:hint="eastAsia"/>
          <w:color w:val="000000"/>
        </w:rPr>
        <w:t>）</w:t>
      </w:r>
      <w:r>
        <w:rPr>
          <w:color w:val="000000"/>
        </w:rPr>
        <w:t>三级故障（较大故障）：系统出现部分功能异常，对业务运行和客户使用造成一定影响，但尚未导致业务中断或数据丢失。故障响应时间不超过15分钟，2小时内到达现场，故障处理在12小时内修复。</w:t>
      </w:r>
    </w:p>
    <w:p w14:paraId="0A96BB3F">
      <w:pPr>
        <w:pStyle w:val="28"/>
        <w:rPr>
          <w:color w:val="000000"/>
        </w:rPr>
      </w:pPr>
      <w:r>
        <w:rPr>
          <w:color w:val="000000"/>
        </w:rPr>
        <w:t>4</w:t>
      </w:r>
      <w:r>
        <w:rPr>
          <w:rFonts w:hint="eastAsia"/>
          <w:color w:val="000000"/>
        </w:rPr>
        <w:t>）</w:t>
      </w:r>
      <w:r>
        <w:rPr>
          <w:color w:val="000000"/>
        </w:rPr>
        <w:t>四级故障（一般故障）：系统出现轻微异常，如界面错误提示、系统响应慢等，对业务运行和客户使用影响较小。故障响应时间不超过30分钟，4小时内到达现场，故障处理在24小时内修复。</w:t>
      </w:r>
    </w:p>
    <w:p w14:paraId="539A28DE">
      <w:pPr>
        <w:pStyle w:val="28"/>
        <w:rPr>
          <w:color w:val="000000"/>
        </w:rPr>
      </w:pPr>
      <w:r>
        <w:rPr>
          <w:color w:val="000000"/>
        </w:rPr>
        <w:t>线路故障时，维护单位应采取有力措施及时修复。</w:t>
      </w:r>
    </w:p>
    <w:p w14:paraId="5C1EA357">
      <w:pPr>
        <w:pStyle w:val="28"/>
        <w:rPr>
          <w:color w:val="000000"/>
        </w:rPr>
      </w:pPr>
      <w:r>
        <w:rPr>
          <w:color w:val="000000"/>
        </w:rPr>
        <w:t>系统设备维护的安全要求：必须做好维护、维修人员的身份审核；全程记录相关操作过程，记录必要的软件/设备维护信息；在维护、维修工作中必须防止系统规划、用户信息、图像资源等信息的泄露。</w:t>
      </w:r>
    </w:p>
    <w:p w14:paraId="2D08D1DF">
      <w:pPr>
        <w:pStyle w:val="28"/>
        <w:numPr>
          <w:ilvl w:val="0"/>
          <w:numId w:val="11"/>
        </w:numPr>
      </w:pPr>
      <w:r>
        <w:t>对质保期内的故障报修，如供应商未能做到上述的服务承诺，招标人可采取必要的补救措施，但其风险和费用由供应商承担，由于供应商的保证服务不到位，质保期的到期时间将顺延。</w:t>
      </w:r>
    </w:p>
    <w:p w14:paraId="46681454">
      <w:pPr>
        <w:pStyle w:val="28"/>
        <w:numPr>
          <w:ilvl w:val="0"/>
          <w:numId w:val="11"/>
        </w:numPr>
        <w:rPr>
          <w:rStyle w:val="29"/>
        </w:rPr>
      </w:pPr>
      <w:r>
        <w:t>质保期内因招标人使用、管理不当所造成的损失由招标人承担，供应商</w:t>
      </w:r>
      <w:r>
        <w:rPr>
          <w:rFonts w:ascii="宋体" w:hAnsi="宋体" w:cs="宋体"/>
          <w:szCs w:val="24"/>
        </w:rPr>
        <w:t>提供有偿服务</w:t>
      </w:r>
      <w:r>
        <w:rPr>
          <w:rFonts w:hint="eastAsia" w:ascii="宋体" w:hAnsi="宋体" w:cs="宋体"/>
          <w:szCs w:val="24"/>
        </w:rPr>
        <w:t>.</w:t>
      </w:r>
    </w:p>
    <w:p w14:paraId="21E0BCD3">
      <w:pPr>
        <w:pStyle w:val="28"/>
        <w:numPr>
          <w:ilvl w:val="0"/>
          <w:numId w:val="10"/>
        </w:numPr>
        <w:ind w:firstLineChars="0"/>
      </w:pPr>
      <w:r>
        <w:t>集成要求</w:t>
      </w:r>
    </w:p>
    <w:p w14:paraId="45B8AA1E">
      <w:pPr>
        <w:pStyle w:val="28"/>
      </w:pPr>
      <w:r>
        <w:t>投标方应完成软件系统及应用的集成工作，包括相关软件部署、</w:t>
      </w:r>
      <w:r>
        <w:rPr>
          <w:rFonts w:hint="eastAsia"/>
        </w:rPr>
        <w:t>硬件安装调试、</w:t>
      </w:r>
      <w:r>
        <w:t>应用软件上线运行等。</w:t>
      </w:r>
    </w:p>
    <w:p w14:paraId="586314F8">
      <w:pPr>
        <w:pStyle w:val="2"/>
      </w:pPr>
      <w:r>
        <w:t>项目团队</w:t>
      </w:r>
    </w:p>
    <w:p w14:paraId="4DBA5048">
      <w:pPr>
        <w:pStyle w:val="3"/>
        <w:tabs>
          <w:tab w:val="left" w:pos="560"/>
          <w:tab w:val="left" w:pos="851"/>
        </w:tabs>
      </w:pPr>
      <w:bookmarkStart w:id="153" w:name="_Toc85443591"/>
      <w:bookmarkStart w:id="154" w:name="_Toc179640685"/>
      <w:bookmarkStart w:id="155" w:name="_Toc493702830"/>
      <w:r>
        <w:rPr>
          <w:rFonts w:hint="eastAsia"/>
        </w:rPr>
        <w:t>建设管理</w:t>
      </w:r>
      <w:bookmarkEnd w:id="153"/>
      <w:bookmarkEnd w:id="154"/>
      <w:bookmarkEnd w:id="155"/>
    </w:p>
    <w:p w14:paraId="32F89350">
      <w:pPr>
        <w:pStyle w:val="4"/>
      </w:pPr>
      <w:bookmarkStart w:id="156" w:name="_Toc85443592"/>
      <w:bookmarkStart w:id="157" w:name="_Toc332971358"/>
      <w:bookmarkStart w:id="158" w:name="_Toc493702831"/>
      <w:bookmarkStart w:id="159" w:name="_Toc179640686"/>
      <w:r>
        <w:rPr>
          <w:rFonts w:hint="eastAsia"/>
        </w:rPr>
        <w:t>管理组织机构</w:t>
      </w:r>
      <w:bookmarkEnd w:id="156"/>
      <w:bookmarkEnd w:id="157"/>
      <w:bookmarkEnd w:id="158"/>
      <w:bookmarkEnd w:id="159"/>
    </w:p>
    <w:p w14:paraId="729E9FB8">
      <w:pPr>
        <w:pStyle w:val="28"/>
        <w:spacing w:line="360" w:lineRule="auto"/>
        <w:rPr>
          <w:color w:val="000000"/>
        </w:rPr>
      </w:pPr>
      <w:r>
        <w:rPr>
          <w:color w:val="000000"/>
        </w:rPr>
        <w:t>为保障工程建设的顺利实施，本项目拟成立项目领导小组。领导小组下设办公室、项目管理机构、建设机构和运行维护机构。领导小组各机构明确职责，分工负责，完成各机构的工作任务。</w:t>
      </w:r>
    </w:p>
    <w:p w14:paraId="6F3FAB11">
      <w:pPr>
        <w:pStyle w:val="28"/>
        <w:spacing w:line="360" w:lineRule="auto"/>
        <w:rPr>
          <w:color w:val="000000"/>
        </w:rPr>
      </w:pPr>
      <w:r>
        <w:rPr>
          <w:color w:val="000000"/>
        </w:rPr>
        <w:t>项目领导小组全面负责项目建设和运行的领导、组织工作，对重大的技术、管理、业务规范和部门关系协调等进行决策，确定建设目标，审查建设方案，按照相关部门批准的建设方案组织实施</w:t>
      </w:r>
      <w:r>
        <w:rPr>
          <w:rFonts w:hint="eastAsia"/>
          <w:color w:val="000000"/>
        </w:rPr>
        <w:t>。</w:t>
      </w:r>
    </w:p>
    <w:p w14:paraId="47999530">
      <w:pPr>
        <w:keepNext/>
        <w:spacing w:line="360" w:lineRule="auto"/>
        <w:jc w:val="center"/>
        <w:rPr>
          <w:i/>
          <w:color w:val="000000"/>
        </w:rPr>
      </w:pPr>
      <w:r>
        <w:rPr>
          <w:color w:val="000000"/>
        </w:rPr>
        <w:object>
          <v:shape id="_x0000_i1046" o:spt="75" type="#_x0000_t75" style="height:202.25pt;width:417.6pt;" o:ole="t" filled="f" o:preferrelative="t" stroked="f" coordsize="21600,21600">
            <v:path/>
            <v:fill on="f" focussize="0,0"/>
            <v:stroke on="f"/>
            <v:imagedata r:id="rId100" o:title=""/>
            <o:lock v:ext="edit" grouping="f" rotation="f" text="f" aspectratio="t"/>
            <w10:wrap type="none"/>
            <w10:anchorlock/>
          </v:shape>
          <o:OLEObject Type="Embed" ProgID="Visio.Drawing.11" ShapeID="_x0000_i1046" DrawAspect="Content" ObjectID="_1468075746" r:id="rId99">
            <o:LockedField>false</o:LockedField>
          </o:OLEObject>
        </w:object>
      </w:r>
      <w:r>
        <w:rPr>
          <w:rFonts w:hint="eastAsia" w:ascii="黑体" w:hAnsi="黑体" w:eastAsia="黑体"/>
        </w:rPr>
        <w:t xml:space="preserve">图 </w:t>
      </w:r>
      <w:r>
        <w:rPr>
          <w:rFonts w:hint="eastAsia" w:ascii="黑体" w:hAnsi="黑体" w:eastAsia="黑体"/>
        </w:rPr>
        <w:fldChar w:fldCharType="begin"/>
      </w:r>
      <w:r>
        <w:rPr>
          <w:rFonts w:hint="eastAsia" w:ascii="黑体" w:hAnsi="黑体" w:eastAsia="黑体"/>
        </w:rPr>
        <w:instrText xml:space="preserve"> STYLEREF 1 \s </w:instrText>
      </w:r>
      <w:r>
        <w:rPr>
          <w:rFonts w:hint="eastAsia" w:ascii="黑体" w:hAnsi="黑体" w:eastAsia="黑体"/>
        </w:rPr>
        <w:fldChar w:fldCharType="separate"/>
      </w:r>
      <w:r>
        <w:rPr>
          <w:rFonts w:hint="eastAsia" w:ascii="黑体" w:hAnsi="黑体" w:eastAsia="黑体"/>
        </w:rPr>
        <w:t>7</w:t>
      </w:r>
      <w:r>
        <w:rPr>
          <w:rFonts w:hint="eastAsia" w:ascii="黑体" w:hAnsi="黑体" w:eastAsia="黑体"/>
        </w:rPr>
        <w:fldChar w:fldCharType="end"/>
      </w:r>
      <w:r>
        <w:rPr>
          <w:rFonts w:hint="eastAsia" w:ascii="黑体" w:hAnsi="黑体" w:eastAsia="黑体"/>
        </w:rPr>
        <w:noBreakHyphen/>
      </w:r>
      <w:r>
        <w:rPr>
          <w:rFonts w:hint="eastAsia" w:ascii="黑体" w:hAnsi="黑体" w:eastAsia="黑体"/>
        </w:rPr>
        <w:fldChar w:fldCharType="begin"/>
      </w:r>
      <w:r>
        <w:rPr>
          <w:rFonts w:hint="eastAsia" w:ascii="黑体" w:hAnsi="黑体" w:eastAsia="黑体"/>
        </w:rPr>
        <w:instrText xml:space="preserve"> SEQ 图 \* ARABIC \s 1 </w:instrText>
      </w:r>
      <w:r>
        <w:rPr>
          <w:rFonts w:hint="eastAsia" w:ascii="黑体" w:hAnsi="黑体" w:eastAsia="黑体"/>
        </w:rPr>
        <w:fldChar w:fldCharType="separate"/>
      </w:r>
      <w:r>
        <w:rPr>
          <w:rFonts w:hint="eastAsia" w:ascii="黑体" w:hAnsi="黑体" w:eastAsia="黑体"/>
        </w:rPr>
        <w:t>1</w:t>
      </w:r>
      <w:r>
        <w:rPr>
          <w:rFonts w:hint="eastAsia" w:ascii="黑体" w:hAnsi="黑体" w:eastAsia="黑体"/>
        </w:rPr>
        <w:fldChar w:fldCharType="end"/>
      </w:r>
      <w:r>
        <w:rPr>
          <w:rFonts w:hint="eastAsia" w:ascii="黑体" w:hAnsi="黑体" w:eastAsia="黑体"/>
        </w:rPr>
        <w:t>项目组织机构设置图</w:t>
      </w:r>
    </w:p>
    <w:p w14:paraId="0FC701C7">
      <w:pPr>
        <w:pStyle w:val="4"/>
      </w:pPr>
      <w:bookmarkStart w:id="160" w:name="_Toc342339347"/>
      <w:bookmarkEnd w:id="160"/>
      <w:bookmarkStart w:id="161" w:name="_Toc342339348"/>
      <w:bookmarkEnd w:id="161"/>
      <w:bookmarkStart w:id="162" w:name="_Toc342339349"/>
      <w:bookmarkEnd w:id="162"/>
      <w:bookmarkStart w:id="163" w:name="_Toc179640687"/>
      <w:bookmarkStart w:id="164" w:name="_Toc332971360"/>
      <w:bookmarkStart w:id="165" w:name="_Toc493702832"/>
      <w:bookmarkStart w:id="166" w:name="_Toc85443593"/>
      <w:r>
        <w:rPr>
          <w:rFonts w:hint="eastAsia"/>
        </w:rPr>
        <w:t>项目管理制度</w:t>
      </w:r>
      <w:bookmarkEnd w:id="163"/>
      <w:bookmarkEnd w:id="164"/>
      <w:bookmarkEnd w:id="165"/>
      <w:bookmarkEnd w:id="166"/>
    </w:p>
    <w:p w14:paraId="1A3C6D80">
      <w:pPr>
        <w:pStyle w:val="28"/>
        <w:spacing w:line="360" w:lineRule="auto"/>
        <w:rPr>
          <w:rFonts w:hint="eastAsia"/>
          <w:color w:val="000000"/>
        </w:rPr>
      </w:pPr>
      <w:r>
        <w:rPr>
          <w:rFonts w:hint="eastAsia"/>
          <w:color w:val="000000"/>
        </w:rPr>
        <w:t>项目管理制度主要包括项目会议制度、书面信息沟通制度以及重大事项的决策等。</w:t>
      </w:r>
    </w:p>
    <w:p w14:paraId="084A8223">
      <w:pPr>
        <w:pStyle w:val="28"/>
        <w:spacing w:line="360" w:lineRule="auto"/>
        <w:rPr>
          <w:rFonts w:hint="eastAsia"/>
          <w:color w:val="000000"/>
        </w:rPr>
      </w:pPr>
      <w:r>
        <w:rPr>
          <w:rFonts w:hint="eastAsia"/>
          <w:color w:val="000000"/>
        </w:rPr>
        <w:t>1、项目会议制度</w:t>
      </w:r>
    </w:p>
    <w:p w14:paraId="5D63A570">
      <w:pPr>
        <w:pStyle w:val="28"/>
        <w:spacing w:line="360" w:lineRule="auto"/>
        <w:rPr>
          <w:rFonts w:hint="eastAsia"/>
          <w:color w:val="000000"/>
        </w:rPr>
      </w:pPr>
      <w:r>
        <w:rPr>
          <w:rFonts w:hint="eastAsia"/>
          <w:color w:val="000000"/>
        </w:rPr>
        <w:t>（1）监理例会：项目监理方定期召集监理例会讨论项目进度。会议由琼中黎族苗族自治县公安局交警大队项目相关负责人、承建方项目负责人、监理方、各专项任务单位项目负责人、相关用户单位代表等参加。项目经理在会上报告项目状况并提交书面项目进展报告。会议将审查项目进度，沟通问题，协调工作，并根据项目实际进度情况，决定计划的调整和对后续工作的安排。会议应形成正式会议纪要并发给与会人员签收。</w:t>
      </w:r>
    </w:p>
    <w:p w14:paraId="1CB5CCD9">
      <w:pPr>
        <w:pStyle w:val="28"/>
        <w:spacing w:line="360" w:lineRule="auto"/>
        <w:rPr>
          <w:rFonts w:hint="eastAsia"/>
          <w:color w:val="000000"/>
        </w:rPr>
      </w:pPr>
      <w:r>
        <w:rPr>
          <w:rFonts w:hint="eastAsia"/>
          <w:color w:val="000000"/>
        </w:rPr>
        <w:t>（2）项目专家论证会：由监理方负责召集，由系统建设项目专家组参加，旨在对项目重大事项（如：总体技术方案）进行论证，项目专家论证会不定期召开。</w:t>
      </w:r>
    </w:p>
    <w:p w14:paraId="651E9C2B">
      <w:pPr>
        <w:pStyle w:val="28"/>
        <w:spacing w:line="360" w:lineRule="auto"/>
        <w:rPr>
          <w:rFonts w:hint="eastAsia"/>
          <w:color w:val="000000"/>
        </w:rPr>
      </w:pPr>
      <w:r>
        <w:rPr>
          <w:rFonts w:hint="eastAsia"/>
          <w:color w:val="000000"/>
        </w:rPr>
        <w:t>（3）项目组内部例会：承建方的项目组内部定期按计划举行项目内部例会。由项目经理召集，项目主要负责人员参加，根据情况项目其他有关人员也可参加。内部例会定期举行。</w:t>
      </w:r>
    </w:p>
    <w:p w14:paraId="1BD47E5E">
      <w:pPr>
        <w:pStyle w:val="28"/>
        <w:spacing w:line="360" w:lineRule="auto"/>
        <w:rPr>
          <w:rFonts w:hint="eastAsia"/>
          <w:color w:val="000000"/>
        </w:rPr>
      </w:pPr>
      <w:r>
        <w:rPr>
          <w:rFonts w:hint="eastAsia"/>
          <w:color w:val="000000"/>
        </w:rPr>
        <w:t>（4）专题讨论会：琼中黎族苗族自治县公安局交警大队和承建方的项目组成员均可召集专题讨论会，就某些专门问题进行讨论，取得一致。专题讨论会不定期举行。</w:t>
      </w:r>
    </w:p>
    <w:p w14:paraId="534DB949">
      <w:pPr>
        <w:pStyle w:val="28"/>
        <w:spacing w:line="360" w:lineRule="auto"/>
        <w:rPr>
          <w:rFonts w:hint="eastAsia"/>
          <w:color w:val="000000"/>
        </w:rPr>
      </w:pPr>
      <w:r>
        <w:rPr>
          <w:rFonts w:hint="eastAsia"/>
          <w:color w:val="000000"/>
        </w:rPr>
        <w:t>2、书面信息沟通制度</w:t>
      </w:r>
    </w:p>
    <w:p w14:paraId="46E460E7">
      <w:pPr>
        <w:pStyle w:val="28"/>
        <w:spacing w:line="360" w:lineRule="auto"/>
        <w:rPr>
          <w:rFonts w:hint="eastAsia"/>
          <w:color w:val="000000"/>
        </w:rPr>
      </w:pPr>
      <w:r>
        <w:rPr>
          <w:rFonts w:hint="eastAsia"/>
          <w:color w:val="000000"/>
        </w:rPr>
        <w:t>书面信息沟通制度主要包括：承建方每周定期向业主、项目承担方和项目监理方提交正式项目进展报告；承建方每周定期向单位领导以书面或正式会议的方式汇报项目进展情况；承建方的项目经理根据项目建设过程中遇到的各种问题，随时通过电话、传真或电子邮件等方式与琼中黎族苗族自治县公安局交警大队、监理方、专家组进行沟通和汇报。</w:t>
      </w:r>
    </w:p>
    <w:p w14:paraId="40588EFA">
      <w:pPr>
        <w:pStyle w:val="28"/>
        <w:spacing w:line="360" w:lineRule="auto"/>
        <w:rPr>
          <w:rFonts w:hint="eastAsia"/>
          <w:color w:val="000000"/>
        </w:rPr>
      </w:pPr>
      <w:r>
        <w:rPr>
          <w:rFonts w:hint="eastAsia"/>
          <w:color w:val="000000"/>
        </w:rPr>
        <w:t>3、重大事项的决策</w:t>
      </w:r>
    </w:p>
    <w:p w14:paraId="5317A605">
      <w:pPr>
        <w:pStyle w:val="28"/>
        <w:spacing w:line="360" w:lineRule="auto"/>
        <w:rPr>
          <w:rFonts w:hint="eastAsia"/>
          <w:color w:val="000000"/>
        </w:rPr>
      </w:pPr>
      <w:r>
        <w:rPr>
          <w:rFonts w:hint="eastAsia"/>
          <w:color w:val="000000"/>
        </w:rPr>
        <w:t>项目重大事项是指项目范围的重大变更，或项目实施过程中的重大问题，比如项目重大延期、项目重大的商务问题等等。此类重大事项一般情况下可采用书面报告的形式进行沟通和协调，必要的时候采取专题会议的形式进行决策，会议由监理方召集，参加人员包括：琼中黎族苗族自治县公安局交警大队、项目承建方、监理方，会议最终决定以三方书面签字的方式确定。</w:t>
      </w:r>
    </w:p>
    <w:p w14:paraId="42F9359B">
      <w:pPr>
        <w:pStyle w:val="4"/>
        <w:rPr>
          <w:rFonts w:hint="eastAsia"/>
        </w:rPr>
      </w:pPr>
      <w:r>
        <w:rPr>
          <w:rFonts w:hint="eastAsia"/>
          <w:lang w:val="en-US" w:eastAsia="zh-CN"/>
        </w:rPr>
        <w:t>运维管理</w:t>
      </w:r>
    </w:p>
    <w:p w14:paraId="21D95D80">
      <w:pPr>
        <w:pStyle w:val="5"/>
        <w:bidi w:val="0"/>
        <w:ind w:left="0" w:leftChars="0" w:firstLine="0" w:firstLineChars="0"/>
        <w:rPr>
          <w:rFonts w:hint="eastAsia"/>
        </w:rPr>
      </w:pPr>
      <w:r>
        <w:rPr>
          <w:rFonts w:hint="eastAsia"/>
        </w:rPr>
        <w:t>运维团队建设</w:t>
      </w:r>
    </w:p>
    <w:p w14:paraId="7478B60F">
      <w:pPr>
        <w:pStyle w:val="99"/>
        <w:rPr>
          <w:rFonts w:hint="eastAsia" w:eastAsiaTheme="minorEastAsia"/>
          <w:lang w:val="en-US" w:eastAsia="zh-CN"/>
        </w:rPr>
      </w:pPr>
      <w:r>
        <w:rPr>
          <w:rFonts w:hint="eastAsia"/>
        </w:rPr>
        <w:t>建立</w:t>
      </w:r>
      <w:r>
        <w:rPr>
          <w:rFonts w:hint="eastAsia"/>
          <w:lang w:val="en-US" w:eastAsia="zh-CN"/>
        </w:rPr>
        <w:t>不低于5人的</w:t>
      </w:r>
      <w:r>
        <w:rPr>
          <w:rFonts w:hint="eastAsia"/>
        </w:rPr>
        <w:t>专业的运维</w:t>
      </w:r>
      <w:r>
        <w:rPr>
          <w:rFonts w:hint="eastAsia"/>
          <w:lang w:val="en-US" w:eastAsia="zh-CN"/>
        </w:rPr>
        <w:t>工程师</w:t>
      </w:r>
      <w:r>
        <w:rPr>
          <w:rFonts w:hint="eastAsia"/>
        </w:rPr>
        <w:t>团队，具备国产软件的运维能力和技术水平</w:t>
      </w:r>
      <w:r>
        <w:rPr>
          <w:rFonts w:hint="eastAsia"/>
          <w:lang w:eastAsia="zh-CN"/>
        </w:rPr>
        <w:t>，</w:t>
      </w:r>
      <w:r>
        <w:rPr>
          <w:rFonts w:hint="eastAsia"/>
        </w:rPr>
        <w:t>具备相关信息化资格证书。</w:t>
      </w:r>
      <w:r>
        <w:rPr>
          <w:rFonts w:hint="eastAsia"/>
          <w:lang w:val="en-US" w:eastAsia="zh-CN"/>
        </w:rPr>
        <w:t>派遣的运维工程师团队</w:t>
      </w:r>
      <w:r>
        <w:rPr>
          <w:rFonts w:hint="eastAsia"/>
        </w:rPr>
        <w:t>进驻琼中县公安局进行值班保障服务</w:t>
      </w:r>
      <w:r>
        <w:rPr>
          <w:rFonts w:hint="eastAsia"/>
          <w:lang w:eastAsia="zh-CN"/>
        </w:rPr>
        <w:t>。</w:t>
      </w:r>
    </w:p>
    <w:p w14:paraId="5DDF3F52">
      <w:pPr>
        <w:pStyle w:val="99"/>
        <w:rPr>
          <w:rFonts w:hint="eastAsia"/>
        </w:rPr>
      </w:pPr>
      <w:r>
        <w:rPr>
          <w:rFonts w:hint="eastAsia"/>
        </w:rPr>
        <w:t>运维团队应定期进行培训和技术交流，提高运维服务质量。</w:t>
      </w:r>
    </w:p>
    <w:p w14:paraId="68100863">
      <w:pPr>
        <w:pStyle w:val="5"/>
        <w:bidi w:val="0"/>
        <w:ind w:left="0" w:leftChars="0" w:firstLine="0" w:firstLineChars="0"/>
        <w:rPr>
          <w:rFonts w:hint="eastAsia"/>
        </w:rPr>
      </w:pPr>
      <w:r>
        <w:rPr>
          <w:rFonts w:hint="eastAsia"/>
        </w:rPr>
        <w:t>运维管理工具</w:t>
      </w:r>
    </w:p>
    <w:p w14:paraId="33923F74">
      <w:pPr>
        <w:pStyle w:val="99"/>
        <w:rPr>
          <w:rFonts w:hint="eastAsia"/>
        </w:rPr>
      </w:pPr>
      <w:r>
        <w:rPr>
          <w:rFonts w:hint="eastAsia"/>
        </w:rPr>
        <w:t>采用国产运维管理工具，如监控软件、日志分析工具等，实现对海南省职业培训管理信息系统的实时监控和故障诊断。</w:t>
      </w:r>
    </w:p>
    <w:p w14:paraId="7EB47F13">
      <w:pPr>
        <w:pStyle w:val="99"/>
        <w:rPr>
          <w:rFonts w:hint="eastAsia"/>
        </w:rPr>
      </w:pPr>
      <w:r>
        <w:rPr>
          <w:rFonts w:hint="eastAsia"/>
        </w:rPr>
        <w:t>运维管理工具应具备良好的兼容性和扩展性，满足系统不断发展的需求。</w:t>
      </w:r>
    </w:p>
    <w:p w14:paraId="5618A8CA">
      <w:pPr>
        <w:pStyle w:val="5"/>
        <w:bidi w:val="0"/>
        <w:ind w:left="0" w:leftChars="0" w:firstLine="0" w:firstLineChars="0"/>
        <w:rPr>
          <w:rFonts w:hint="eastAsia"/>
        </w:rPr>
      </w:pPr>
      <w:r>
        <w:rPr>
          <w:rFonts w:hint="eastAsia"/>
        </w:rPr>
        <w:t>安全管理与应急响应</w:t>
      </w:r>
    </w:p>
    <w:p w14:paraId="16F0B7DE">
      <w:pPr>
        <w:pStyle w:val="99"/>
        <w:rPr>
          <w:rFonts w:hint="eastAsia"/>
        </w:rPr>
      </w:pPr>
      <w:r>
        <w:rPr>
          <w:rFonts w:hint="eastAsia"/>
        </w:rPr>
        <w:t>建立健全的安全管理制度，加强对</w:t>
      </w:r>
      <w:r>
        <w:rPr>
          <w:rFonts w:hint="eastAsia" w:ascii="宋体" w:hAnsi="宋体"/>
          <w:color w:val="000000"/>
        </w:rPr>
        <w:t>交通综合管控平台</w:t>
      </w:r>
      <w:r>
        <w:rPr>
          <w:rFonts w:hint="eastAsia"/>
        </w:rPr>
        <w:t>的安全管理和风险防范。</w:t>
      </w:r>
    </w:p>
    <w:p w14:paraId="4486AFF5">
      <w:pPr>
        <w:pStyle w:val="99"/>
        <w:rPr>
          <w:rFonts w:hint="eastAsia"/>
        </w:rPr>
      </w:pPr>
      <w:r>
        <w:rPr>
          <w:rFonts w:hint="eastAsia"/>
        </w:rPr>
        <w:t>制定应急预案，定期进行应急演练，确保在安全事件发生时能够快速响应和处理。</w:t>
      </w:r>
    </w:p>
    <w:p w14:paraId="49E90387">
      <w:pPr>
        <w:ind w:firstLine="480"/>
      </w:pPr>
    </w:p>
    <w:p w14:paraId="18BE6697">
      <w:pPr>
        <w:pStyle w:val="2"/>
      </w:pPr>
      <w:r>
        <w:t>项目验收标准与要求</w:t>
      </w:r>
    </w:p>
    <w:p w14:paraId="36851234">
      <w:pPr>
        <w:ind w:firstLine="480"/>
        <w:rPr>
          <w:rFonts w:hint="eastAsia"/>
        </w:rPr>
      </w:pPr>
      <w:r>
        <w:rPr>
          <w:rFonts w:hint="eastAsia"/>
        </w:rPr>
        <w:t>制定严格的验收标准，对</w:t>
      </w:r>
      <w:r>
        <w:rPr>
          <w:rFonts w:hint="eastAsia"/>
          <w:lang w:val="en-US" w:eastAsia="zh-CN"/>
        </w:rPr>
        <w:t>项目实施及系统集成、</w:t>
      </w:r>
      <w:r>
        <w:rPr>
          <w:rFonts w:hint="eastAsia"/>
        </w:rPr>
        <w:t>交通综合管控</w:t>
      </w:r>
      <w:r>
        <w:rPr>
          <w:rFonts w:hint="eastAsia"/>
          <w:lang w:val="en-US" w:eastAsia="zh-CN"/>
        </w:rPr>
        <w:t>等</w:t>
      </w:r>
      <w:r>
        <w:rPr>
          <w:rFonts w:hint="eastAsia"/>
        </w:rPr>
        <w:t>平台的功能、性能、安全等方面进行</w:t>
      </w:r>
      <w:r>
        <w:rPr>
          <w:rFonts w:hint="eastAsia"/>
          <w:lang w:val="en-US" w:eastAsia="zh-CN"/>
        </w:rPr>
        <w:t>全面</w:t>
      </w:r>
      <w:r>
        <w:rPr>
          <w:rFonts w:hint="eastAsia"/>
        </w:rPr>
        <w:t>验收。</w:t>
      </w:r>
    </w:p>
    <w:p w14:paraId="6A4335FA">
      <w:pPr>
        <w:ind w:firstLine="480"/>
      </w:pPr>
      <w:r>
        <w:rPr>
          <w:rFonts w:hint="eastAsia"/>
        </w:rPr>
        <w:t>验收过程中应邀请相关专家和用户代表参与，确保系统符合信创要求和用户需求。</w:t>
      </w:r>
    </w:p>
    <w:p w14:paraId="619E0497">
      <w:pPr>
        <w:pStyle w:val="2"/>
      </w:pPr>
      <w:r>
        <w:t>其他要求</w:t>
      </w:r>
    </w:p>
    <w:p w14:paraId="0622ED93">
      <w:pPr>
        <w:pStyle w:val="28"/>
        <w:numPr>
          <w:ilvl w:val="0"/>
          <w:numId w:val="12"/>
        </w:numPr>
      </w:pPr>
      <w:r>
        <w:t>软件安全要求：投标方组织系统开发和实施，须符合《信息安全技术网络安全等级保护基本要求》（GB/T22239</w:t>
      </w:r>
      <w:r>
        <w:rPr>
          <w:rFonts w:hint="eastAsia"/>
        </w:rPr>
        <w:t>-</w:t>
      </w:r>
      <w:r>
        <w:t>2019）</w:t>
      </w:r>
      <w:r>
        <w:rPr>
          <w:rFonts w:hint="eastAsia"/>
        </w:rPr>
        <w:t>二</w:t>
      </w:r>
      <w:r>
        <w:t>级安全要求。</w:t>
      </w:r>
    </w:p>
    <w:p w14:paraId="0500D648">
      <w:pPr>
        <w:pStyle w:val="28"/>
        <w:numPr>
          <w:ilvl w:val="0"/>
          <w:numId w:val="12"/>
        </w:numPr>
      </w:pPr>
      <w:r>
        <w:t>保密要求：中标人(含项目组所有成员)必须对项目技术文件以及由招标人提供的所有内部资料、技术文档、数据和信息予以保密。中标人必须与招标人签订保密协议并严格遵守，未经招标人书面许可，中标人不得以任何形式向第三方透露本项目标书以及本项目的任何内容。</w:t>
      </w:r>
    </w:p>
    <w:p w14:paraId="0C292C46">
      <w:pPr>
        <w:ind w:firstLine="480"/>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 w:name="华文仿宋">
    <w:altName w:val="仿宋"/>
    <w:panose1 w:val="02010600040101010101"/>
    <w:charset w:val="86"/>
    <w:family w:val="auto"/>
    <w:pitch w:val="default"/>
    <w:sig w:usb0="00000000" w:usb1="00000000" w:usb2="00000010" w:usb3="00000000" w:csb0="0004009F" w:csb1="00000000"/>
  </w:font>
  <w:font w:name="Helvetica">
    <w:altName w:val="Arial"/>
    <w:panose1 w:val="020B0604020202020204"/>
    <w:charset w:val="00"/>
    <w:family w:val="auto"/>
    <w:pitch w:val="default"/>
    <w:sig w:usb0="00000000" w:usb1="00000000" w:usb2="00000000" w:usb3="00000000" w:csb0="2000019F" w:csb1="4F010000"/>
  </w:font>
  <w:font w:name="仿宋_GB2312">
    <w:altName w:val="仿宋"/>
    <w:panose1 w:val="02010609030101010101"/>
    <w:charset w:val="86"/>
    <w:family w:val="modern"/>
    <w:pitch w:val="default"/>
    <w:sig w:usb0="00000000" w:usb1="00000000" w:usb2="00000010" w:usb3="00000000" w:csb0="00040000" w:csb1="00000000"/>
  </w:font>
  <w:font w:name="宋体-简">
    <w:altName w:val="宋体"/>
    <w:panose1 w:val="00000000000000000000"/>
    <w:charset w:val="86"/>
    <w:family w:val="roma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310A2">
    <w:pPr>
      <w:pStyle w:val="1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59F3BD">
    <w:pPr>
      <w:pStyle w:val="1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C6FA5">
    <w:pPr>
      <w:pStyle w:val="1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AA44F">
    <w:pPr>
      <w:pStyle w:val="1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F30837">
    <w:pPr>
      <w:pStyle w:val="1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89EE">
    <w:pPr>
      <w:pStyle w:val="1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7A57ED"/>
    <w:multiLevelType w:val="singleLevel"/>
    <w:tmpl w:val="8E7A57ED"/>
    <w:lvl w:ilvl="0" w:tentative="0">
      <w:start w:val="1"/>
      <w:numFmt w:val="chineseCounting"/>
      <w:suff w:val="nothing"/>
      <w:lvlText w:val="（%1）"/>
      <w:lvlJc w:val="left"/>
      <w:pPr>
        <w:ind w:left="0" w:firstLine="420"/>
      </w:pPr>
      <w:rPr>
        <w:rFonts w:hint="eastAsia"/>
      </w:rPr>
    </w:lvl>
  </w:abstractNum>
  <w:abstractNum w:abstractNumId="1">
    <w:nsid w:val="91749B6D"/>
    <w:multiLevelType w:val="singleLevel"/>
    <w:tmpl w:val="91749B6D"/>
    <w:lvl w:ilvl="0" w:tentative="0">
      <w:start w:val="1"/>
      <w:numFmt w:val="chineseCounting"/>
      <w:suff w:val="nothing"/>
      <w:lvlText w:val="（%1）"/>
      <w:lvlJc w:val="left"/>
      <w:pPr>
        <w:ind w:left="0" w:firstLine="420"/>
      </w:pPr>
      <w:rPr>
        <w:rFonts w:hint="eastAsia"/>
      </w:rPr>
    </w:lvl>
  </w:abstractNum>
  <w:abstractNum w:abstractNumId="2">
    <w:nsid w:val="9977C96E"/>
    <w:multiLevelType w:val="singleLevel"/>
    <w:tmpl w:val="9977C96E"/>
    <w:lvl w:ilvl="0" w:tentative="0">
      <w:start w:val="1"/>
      <w:numFmt w:val="decimal"/>
      <w:suff w:val="nothing"/>
      <w:lvlText w:val="%1．"/>
      <w:lvlJc w:val="left"/>
    </w:lvl>
  </w:abstractNum>
  <w:abstractNum w:abstractNumId="3">
    <w:nsid w:val="E262F1B3"/>
    <w:multiLevelType w:val="singleLevel"/>
    <w:tmpl w:val="E262F1B3"/>
    <w:lvl w:ilvl="0" w:tentative="0">
      <w:start w:val="1"/>
      <w:numFmt w:val="chineseCounting"/>
      <w:suff w:val="nothing"/>
      <w:lvlText w:val="%1、"/>
      <w:lvlJc w:val="left"/>
      <w:pPr>
        <w:ind w:left="0" w:firstLine="420"/>
      </w:pPr>
      <w:rPr>
        <w:rFonts w:hint="eastAsia"/>
      </w:rPr>
    </w:lvl>
  </w:abstractNum>
  <w:abstractNum w:abstractNumId="4">
    <w:nsid w:val="00CA7047"/>
    <w:multiLevelType w:val="multilevel"/>
    <w:tmpl w:val="00CA7047"/>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034C208B"/>
    <w:multiLevelType w:val="multilevel"/>
    <w:tmpl w:val="034C208B"/>
    <w:lvl w:ilvl="0" w:tentative="0">
      <w:start w:val="1"/>
      <w:numFmt w:val="decimal"/>
      <w:lvlText w:val="%1）"/>
      <w:lvlJc w:val="left"/>
      <w:pPr>
        <w:ind w:left="360" w:hanging="360"/>
      </w:pPr>
      <w:rPr>
        <w:rFonts w:hint="default" w:ascii="宋体" w:hAnsi="宋体"/>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2953F40"/>
    <w:multiLevelType w:val="multilevel"/>
    <w:tmpl w:val="32953F40"/>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357CB66A"/>
    <w:multiLevelType w:val="singleLevel"/>
    <w:tmpl w:val="357CB66A"/>
    <w:lvl w:ilvl="0" w:tentative="0">
      <w:start w:val="1"/>
      <w:numFmt w:val="decimal"/>
      <w:lvlText w:val="(%1)"/>
      <w:lvlJc w:val="left"/>
      <w:pPr>
        <w:tabs>
          <w:tab w:val="left" w:pos="312"/>
        </w:tabs>
      </w:pPr>
    </w:lvl>
  </w:abstractNum>
  <w:abstractNum w:abstractNumId="8">
    <w:nsid w:val="5B516E8B"/>
    <w:multiLevelType w:val="multilevel"/>
    <w:tmpl w:val="5B516E8B"/>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720B59F5"/>
    <w:multiLevelType w:val="multilevel"/>
    <w:tmpl w:val="720B59F5"/>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7A1009D9"/>
    <w:multiLevelType w:val="multilevel"/>
    <w:tmpl w:val="7A1009D9"/>
    <w:lvl w:ilvl="0" w:tentative="0">
      <w:start w:val="1"/>
      <w:numFmt w:val="decimal"/>
      <w:lvlText w:val="%1."/>
      <w:lvlJc w:val="left"/>
      <w:pPr>
        <w:ind w:left="920" w:hanging="440"/>
      </w:pPr>
      <w:rPr>
        <w:rFonts w:hint="eastAsia"/>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
    <w:nsid w:val="7DFFD6F8"/>
    <w:multiLevelType w:val="multilevel"/>
    <w:tmpl w:val="7DFFD6F8"/>
    <w:lvl w:ilvl="0" w:tentative="0">
      <w:start w:val="1"/>
      <w:numFmt w:val="chineseCounting"/>
      <w:pStyle w:val="2"/>
      <w:lvlText w:val="%1、"/>
      <w:lvlJc w:val="left"/>
      <w:pPr>
        <w:tabs>
          <w:tab w:val="left" w:pos="425"/>
        </w:tabs>
        <w:ind w:left="0" w:firstLine="0"/>
      </w:pPr>
      <w:rPr>
        <w:rFonts w:hint="eastAsia"/>
        <w:b w:val="0"/>
        <w:i w:val="0"/>
        <w:caps w:val="0"/>
        <w:smallCaps w:val="0"/>
        <w:strike w:val="0"/>
        <w:dstrike w:val="0"/>
        <w:vanish w:val="0"/>
        <w:color w:val="000000"/>
        <w:spacing w:val="0"/>
        <w:position w:val="0"/>
        <w:sz w:val="44"/>
        <w:u w:val="none"/>
        <w:vertAlign w:val="baseline"/>
        <w14:shadow w14:blurRad="0" w14:dist="0" w14:dir="0" w14:sx="0" w14:sy="0" w14:kx="0" w14:ky="0" w14:algn="none">
          <w14:srgbClr w14:val="000000"/>
        </w14:shadow>
      </w:rPr>
    </w:lvl>
    <w:lvl w:ilvl="1" w:tentative="0">
      <w:start w:val="1"/>
      <w:numFmt w:val="decimal"/>
      <w:pStyle w:val="3"/>
      <w:isLgl/>
      <w:lvlText w:val="%1.%2"/>
      <w:lvlJc w:val="left"/>
      <w:pPr>
        <w:tabs>
          <w:tab w:val="left" w:pos="425"/>
        </w:tabs>
        <w:ind w:left="0" w:firstLine="0"/>
      </w:pPr>
      <w:rPr>
        <w:rFonts w:hint="eastAsia"/>
        <w:b w:val="0"/>
        <w:i w:val="0"/>
        <w:color w:val="000000"/>
      </w:rPr>
    </w:lvl>
    <w:lvl w:ilvl="2" w:tentative="0">
      <w:start w:val="1"/>
      <w:numFmt w:val="decimal"/>
      <w:pStyle w:val="4"/>
      <w:isLgl/>
      <w:lvlText w:val="%1.%2.%3"/>
      <w:lvlJc w:val="left"/>
      <w:pPr>
        <w:tabs>
          <w:tab w:val="left" w:pos="425"/>
        </w:tabs>
        <w:ind w:left="0" w:firstLine="0"/>
      </w:pPr>
      <w:rPr>
        <w:rFonts w:hint="eastAsia"/>
      </w:rPr>
    </w:lvl>
    <w:lvl w:ilvl="3" w:tentative="0">
      <w:start w:val="1"/>
      <w:numFmt w:val="decimal"/>
      <w:pStyle w:val="5"/>
      <w:isLgl/>
      <w:lvlText w:val="%1.%2.%3.%4"/>
      <w:lvlJc w:val="left"/>
      <w:pPr>
        <w:tabs>
          <w:tab w:val="left" w:pos="425"/>
        </w:tabs>
        <w:ind w:left="0" w:firstLine="0"/>
      </w:pPr>
      <w:rPr>
        <w:rFonts w:hint="eastAsia"/>
      </w:rPr>
    </w:lvl>
    <w:lvl w:ilvl="4" w:tentative="0">
      <w:start w:val="1"/>
      <w:numFmt w:val="decimal"/>
      <w:pStyle w:val="6"/>
      <w:isLgl/>
      <w:lvlText w:val="%1.%2.%3.%4.%5"/>
      <w:lvlJc w:val="left"/>
      <w:pPr>
        <w:tabs>
          <w:tab w:val="left" w:pos="425"/>
        </w:tabs>
        <w:ind w:left="0" w:firstLine="0"/>
      </w:pPr>
      <w:rPr>
        <w:rFonts w:hint="eastAsia"/>
        <w:b w:val="0"/>
      </w:rPr>
    </w:lvl>
    <w:lvl w:ilvl="5" w:tentative="0">
      <w:start w:val="1"/>
      <w:numFmt w:val="decimal"/>
      <w:pStyle w:val="9"/>
      <w:isLgl/>
      <w:lvlText w:val="%1.%2.%3.%4.%5.%6"/>
      <w:lvlJc w:val="left"/>
      <w:pPr>
        <w:tabs>
          <w:tab w:val="left" w:pos="0"/>
        </w:tabs>
        <w:ind w:left="0" w:firstLine="0"/>
      </w:pPr>
      <w:rPr>
        <w:rFonts w:hint="eastAsia"/>
      </w:rPr>
    </w:lvl>
    <w:lvl w:ilvl="6" w:tentative="0">
      <w:start w:val="1"/>
      <w:numFmt w:val="decimal"/>
      <w:pStyle w:val="10"/>
      <w:isLgl/>
      <w:lvlText w:val="%1.%2.%3.%4.%5.%6.%7"/>
      <w:lvlJc w:val="left"/>
      <w:pPr>
        <w:tabs>
          <w:tab w:val="left" w:pos="425"/>
        </w:tabs>
        <w:ind w:left="0" w:firstLine="0"/>
      </w:pPr>
      <w:rPr>
        <w:rFonts w:hint="eastAsia"/>
      </w:rPr>
    </w:lvl>
    <w:lvl w:ilvl="7" w:tentative="0">
      <w:start w:val="1"/>
      <w:numFmt w:val="decimal"/>
      <w:pStyle w:val="11"/>
      <w:isLgl/>
      <w:lvlText w:val="%1.%2.%3.%4.%5.%6.%7.%8"/>
      <w:lvlJc w:val="left"/>
      <w:pPr>
        <w:tabs>
          <w:tab w:val="left" w:pos="425"/>
        </w:tabs>
        <w:ind w:left="0" w:firstLine="0"/>
      </w:pPr>
      <w:rPr>
        <w:rFonts w:hint="eastAsia" w:ascii="宋体" w:hAnsi="宋体" w:eastAsia="宋体" w:cs="宋体"/>
      </w:rPr>
    </w:lvl>
    <w:lvl w:ilvl="8" w:tentative="0">
      <w:start w:val="1"/>
      <w:numFmt w:val="decimal"/>
      <w:pStyle w:val="12"/>
      <w:isLgl/>
      <w:lvlText w:val="%1.%2.%3.%4.%5.%6.%7.%8.%9"/>
      <w:lvlJc w:val="left"/>
      <w:pPr>
        <w:tabs>
          <w:tab w:val="left" w:pos="425"/>
        </w:tabs>
        <w:ind w:left="0" w:firstLine="0"/>
      </w:pPr>
      <w:rPr>
        <w:rFonts w:hint="eastAsia"/>
      </w:rPr>
    </w:lvl>
  </w:abstractNum>
  <w:num w:numId="1">
    <w:abstractNumId w:val="11"/>
  </w:num>
  <w:num w:numId="2">
    <w:abstractNumId w:val="6"/>
  </w:num>
  <w:num w:numId="3">
    <w:abstractNumId w:val="4"/>
  </w:num>
  <w:num w:numId="4">
    <w:abstractNumId w:val="8"/>
  </w:num>
  <w:num w:numId="5">
    <w:abstractNumId w:val="9"/>
  </w:num>
  <w:num w:numId="6">
    <w:abstractNumId w:val="10"/>
  </w:num>
  <w:num w:numId="7">
    <w:abstractNumId w:val="5"/>
  </w:num>
  <w:num w:numId="8">
    <w:abstractNumId w:val="3"/>
  </w:num>
  <w:num w:numId="9">
    <w:abstractNumId w:val="1"/>
  </w:num>
  <w:num w:numId="10">
    <w:abstractNumId w:val="0"/>
  </w:num>
  <w:num w:numId="11">
    <w:abstractNumId w:val="7"/>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BmMDJjZWQ4ZmYxNjMzNGEzYjE2NzEwNzhkZTlhM2YifQ=="/>
  </w:docVars>
  <w:rsids>
    <w:rsidRoot w:val="3EA5130B"/>
    <w:rsid w:val="00022042"/>
    <w:rsid w:val="0007165E"/>
    <w:rsid w:val="000E1318"/>
    <w:rsid w:val="000F58D2"/>
    <w:rsid w:val="001E7B54"/>
    <w:rsid w:val="00201E86"/>
    <w:rsid w:val="00257015"/>
    <w:rsid w:val="002728DD"/>
    <w:rsid w:val="002D72BE"/>
    <w:rsid w:val="002F24A3"/>
    <w:rsid w:val="002F3BA3"/>
    <w:rsid w:val="00311E6E"/>
    <w:rsid w:val="00320409"/>
    <w:rsid w:val="003425B1"/>
    <w:rsid w:val="0034485B"/>
    <w:rsid w:val="003E6D2F"/>
    <w:rsid w:val="0049409C"/>
    <w:rsid w:val="004D163F"/>
    <w:rsid w:val="004F670F"/>
    <w:rsid w:val="0057410C"/>
    <w:rsid w:val="00624379"/>
    <w:rsid w:val="00654221"/>
    <w:rsid w:val="006C57BB"/>
    <w:rsid w:val="00705DCE"/>
    <w:rsid w:val="007152B8"/>
    <w:rsid w:val="00736745"/>
    <w:rsid w:val="00757E92"/>
    <w:rsid w:val="007A04EF"/>
    <w:rsid w:val="007D4716"/>
    <w:rsid w:val="007F0425"/>
    <w:rsid w:val="008171BC"/>
    <w:rsid w:val="00896ADE"/>
    <w:rsid w:val="008A6923"/>
    <w:rsid w:val="008C5A40"/>
    <w:rsid w:val="00920773"/>
    <w:rsid w:val="00A7533E"/>
    <w:rsid w:val="00A9321E"/>
    <w:rsid w:val="00AC0613"/>
    <w:rsid w:val="00AD0E4D"/>
    <w:rsid w:val="00B079FD"/>
    <w:rsid w:val="00B228F2"/>
    <w:rsid w:val="00BF35E3"/>
    <w:rsid w:val="00BF55C8"/>
    <w:rsid w:val="00C16208"/>
    <w:rsid w:val="00CA3070"/>
    <w:rsid w:val="00D250E0"/>
    <w:rsid w:val="00D80046"/>
    <w:rsid w:val="00DA509B"/>
    <w:rsid w:val="00DC0A2F"/>
    <w:rsid w:val="00DF256F"/>
    <w:rsid w:val="00E16E54"/>
    <w:rsid w:val="00E27B91"/>
    <w:rsid w:val="00EB60E5"/>
    <w:rsid w:val="00F606A0"/>
    <w:rsid w:val="00F634BC"/>
    <w:rsid w:val="00F751B8"/>
    <w:rsid w:val="00FB5F8C"/>
    <w:rsid w:val="01491891"/>
    <w:rsid w:val="07EDAFF9"/>
    <w:rsid w:val="1AB22F9E"/>
    <w:rsid w:val="3EA5130B"/>
    <w:rsid w:val="41034281"/>
    <w:rsid w:val="55FC39B2"/>
    <w:rsid w:val="5E1B265F"/>
    <w:rsid w:val="7EB60248"/>
    <w:rsid w:val="BFF9170E"/>
    <w:rsid w:val="DDFF1E0B"/>
    <w:rsid w:val="EB7710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99" w:semiHidden="0" w:name="heading 4"/>
    <w:lsdException w:qFormat="1" w:unhideWhenUsed="0" w:uiPriority="9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qFormat="1"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562" w:firstLineChars="200"/>
      <w:jc w:val="both"/>
    </w:pPr>
    <w:rPr>
      <w:rFonts w:asciiTheme="minorHAnsi" w:hAnsiTheme="minorHAnsi" w:eastAsiaTheme="minorEastAsia" w:cstheme="minorBidi"/>
      <w:kern w:val="2"/>
      <w:sz w:val="24"/>
      <w:szCs w:val="24"/>
      <w:lang w:val="en-US" w:eastAsia="zh-CN" w:bidi="ar-SA"/>
    </w:rPr>
  </w:style>
  <w:style w:type="paragraph" w:styleId="2">
    <w:name w:val="heading 1"/>
    <w:basedOn w:val="1"/>
    <w:next w:val="1"/>
    <w:autoRedefine/>
    <w:qFormat/>
    <w:uiPriority w:val="0"/>
    <w:pPr>
      <w:keepNext/>
      <w:keepLines/>
      <w:numPr>
        <w:ilvl w:val="0"/>
        <w:numId w:val="1"/>
      </w:numPr>
      <w:spacing w:before="340" w:after="330" w:line="576" w:lineRule="auto"/>
      <w:ind w:firstLineChars="0"/>
      <w:outlineLvl w:val="0"/>
    </w:pPr>
    <w:rPr>
      <w:b/>
      <w:kern w:val="44"/>
      <w:sz w:val="44"/>
    </w:rPr>
  </w:style>
  <w:style w:type="paragraph" w:styleId="3">
    <w:name w:val="heading 2"/>
    <w:basedOn w:val="1"/>
    <w:next w:val="1"/>
    <w:autoRedefine/>
    <w:qFormat/>
    <w:uiPriority w:val="9"/>
    <w:pPr>
      <w:keepNext/>
      <w:keepLines/>
      <w:numPr>
        <w:ilvl w:val="1"/>
        <w:numId w:val="1"/>
      </w:numPr>
      <w:spacing w:before="480" w:after="240" w:line="240" w:lineRule="auto"/>
      <w:ind w:firstLineChars="0"/>
      <w:outlineLvl w:val="1"/>
    </w:pPr>
    <w:rPr>
      <w:rFonts w:ascii="Cambria" w:hAnsi="Cambria" w:eastAsia="黑体"/>
      <w:sz w:val="36"/>
    </w:rPr>
  </w:style>
  <w:style w:type="paragraph" w:styleId="4">
    <w:name w:val="heading 3"/>
    <w:basedOn w:val="1"/>
    <w:next w:val="1"/>
    <w:link w:val="50"/>
    <w:autoRedefine/>
    <w:qFormat/>
    <w:uiPriority w:val="0"/>
    <w:pPr>
      <w:keepNext/>
      <w:keepLines/>
      <w:numPr>
        <w:ilvl w:val="2"/>
        <w:numId w:val="1"/>
      </w:numPr>
      <w:tabs>
        <w:tab w:val="left" w:pos="560"/>
      </w:tabs>
      <w:spacing w:before="240" w:after="120" w:line="240" w:lineRule="auto"/>
      <w:ind w:firstLineChars="0"/>
      <w:outlineLvl w:val="2"/>
    </w:pPr>
    <w:rPr>
      <w:rFonts w:eastAsia="宋体"/>
      <w:sz w:val="32"/>
    </w:rPr>
  </w:style>
  <w:style w:type="paragraph" w:styleId="5">
    <w:name w:val="heading 4"/>
    <w:basedOn w:val="1"/>
    <w:next w:val="1"/>
    <w:link w:val="51"/>
    <w:autoRedefine/>
    <w:qFormat/>
    <w:uiPriority w:val="99"/>
    <w:pPr>
      <w:keepNext/>
      <w:keepLines/>
      <w:numPr>
        <w:ilvl w:val="3"/>
        <w:numId w:val="1"/>
      </w:numPr>
      <w:tabs>
        <w:tab w:val="left" w:pos="560"/>
      </w:tabs>
      <w:spacing w:before="240" w:after="120"/>
      <w:ind w:firstLineChars="0"/>
      <w:outlineLvl w:val="3"/>
    </w:pPr>
    <w:rPr>
      <w:rFonts w:ascii="Cambria" w:hAnsi="Cambria"/>
      <w:b/>
      <w:kern w:val="0"/>
    </w:rPr>
  </w:style>
  <w:style w:type="paragraph" w:styleId="6">
    <w:name w:val="heading 5"/>
    <w:basedOn w:val="1"/>
    <w:next w:val="7"/>
    <w:link w:val="95"/>
    <w:autoRedefine/>
    <w:qFormat/>
    <w:uiPriority w:val="99"/>
    <w:pPr>
      <w:keepNext/>
      <w:keepLines/>
      <w:numPr>
        <w:ilvl w:val="4"/>
        <w:numId w:val="1"/>
      </w:numPr>
      <w:tabs>
        <w:tab w:val="left" w:pos="560"/>
      </w:tabs>
      <w:spacing w:before="240" w:after="120" w:line="240" w:lineRule="auto"/>
      <w:ind w:firstLineChars="0"/>
      <w:outlineLvl w:val="4"/>
    </w:pPr>
    <w:rPr>
      <w:rFonts w:ascii="Times New Roman" w:hAnsi="Times New Roman"/>
      <w:b/>
      <w:kern w:val="0"/>
    </w:rPr>
  </w:style>
  <w:style w:type="paragraph" w:styleId="9">
    <w:name w:val="heading 6"/>
    <w:basedOn w:val="1"/>
    <w:next w:val="1"/>
    <w:link w:val="97"/>
    <w:autoRedefine/>
    <w:qFormat/>
    <w:uiPriority w:val="0"/>
    <w:pPr>
      <w:keepNext/>
      <w:keepLines/>
      <w:numPr>
        <w:ilvl w:val="5"/>
        <w:numId w:val="1"/>
      </w:numPr>
      <w:tabs>
        <w:tab w:val="left" w:pos="425"/>
      </w:tabs>
      <w:spacing w:before="240" w:after="64" w:line="317" w:lineRule="auto"/>
      <w:ind w:firstLineChars="0"/>
      <w:outlineLvl w:val="5"/>
    </w:pPr>
    <w:rPr>
      <w:rFonts w:ascii="Cambria" w:hAnsi="Cambria"/>
      <w:b/>
    </w:rPr>
  </w:style>
  <w:style w:type="paragraph" w:styleId="10">
    <w:name w:val="heading 7"/>
    <w:basedOn w:val="1"/>
    <w:next w:val="1"/>
    <w:autoRedefine/>
    <w:qFormat/>
    <w:uiPriority w:val="0"/>
    <w:pPr>
      <w:keepNext/>
      <w:keepLines/>
      <w:numPr>
        <w:ilvl w:val="6"/>
        <w:numId w:val="1"/>
      </w:numPr>
      <w:spacing w:before="240" w:after="64" w:line="317" w:lineRule="auto"/>
      <w:ind w:firstLineChars="0"/>
      <w:outlineLvl w:val="6"/>
    </w:pPr>
    <w:rPr>
      <w:rFonts w:ascii="Times New Roman" w:hAnsi="Times New Roman" w:eastAsia="仿宋"/>
      <w:kern w:val="0"/>
    </w:rPr>
  </w:style>
  <w:style w:type="paragraph" w:styleId="11">
    <w:name w:val="heading 8"/>
    <w:basedOn w:val="1"/>
    <w:next w:val="1"/>
    <w:autoRedefine/>
    <w:qFormat/>
    <w:uiPriority w:val="0"/>
    <w:pPr>
      <w:keepNext/>
      <w:keepLines/>
      <w:numPr>
        <w:ilvl w:val="7"/>
        <w:numId w:val="1"/>
      </w:numPr>
      <w:spacing w:before="240" w:after="64" w:line="317" w:lineRule="auto"/>
      <w:ind w:firstLineChars="0"/>
      <w:outlineLvl w:val="7"/>
    </w:pPr>
    <w:rPr>
      <w:rFonts w:ascii="Cambria" w:hAnsi="Cambria" w:eastAsia="宋体"/>
      <w:kern w:val="0"/>
    </w:rPr>
  </w:style>
  <w:style w:type="paragraph" w:styleId="12">
    <w:name w:val="heading 9"/>
    <w:basedOn w:val="1"/>
    <w:next w:val="1"/>
    <w:autoRedefine/>
    <w:qFormat/>
    <w:uiPriority w:val="0"/>
    <w:pPr>
      <w:numPr>
        <w:ilvl w:val="8"/>
        <w:numId w:val="1"/>
      </w:numPr>
      <w:ind w:firstLineChars="0"/>
      <w:outlineLvl w:val="8"/>
    </w:pPr>
    <w:rPr>
      <w:rFonts w:ascii="Cambria" w:hAnsi="Cambria"/>
      <w:kern w:val="0"/>
      <w:sz w:val="20"/>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7">
    <w:name w:val="Body Text"/>
    <w:basedOn w:val="1"/>
    <w:next w:val="8"/>
    <w:link w:val="52"/>
    <w:autoRedefine/>
    <w:qFormat/>
    <w:uiPriority w:val="99"/>
    <w:pPr>
      <w:spacing w:after="120" w:line="240" w:lineRule="auto"/>
      <w:ind w:firstLine="0" w:firstLineChars="0"/>
    </w:pPr>
    <w:rPr>
      <w:rFonts w:ascii="宋体" w:hAnsi="宋体" w:eastAsia="宋体" w:cs="宋体"/>
      <w:color w:val="FF0000"/>
      <w:kern w:val="0"/>
      <w:sz w:val="20"/>
      <w:szCs w:val="20"/>
    </w:rPr>
  </w:style>
  <w:style w:type="paragraph" w:styleId="8">
    <w:name w:val="Title"/>
    <w:basedOn w:val="1"/>
    <w:next w:val="1"/>
    <w:autoRedefine/>
    <w:qFormat/>
    <w:uiPriority w:val="10"/>
    <w:pPr>
      <w:keepLines/>
      <w:adjustRightInd w:val="0"/>
      <w:snapToGrid w:val="0"/>
      <w:spacing w:line="596" w:lineRule="exact"/>
      <w:jc w:val="center"/>
      <w:outlineLvl w:val="0"/>
    </w:pPr>
    <w:rPr>
      <w:rFonts w:ascii="Times New Roman" w:hAnsi="Times New Roman" w:eastAsia="华文中宋"/>
      <w:b/>
      <w:bCs/>
      <w:sz w:val="42"/>
      <w:szCs w:val="32"/>
    </w:rPr>
  </w:style>
  <w:style w:type="paragraph" w:styleId="13">
    <w:name w:val="Normal Indent"/>
    <w:basedOn w:val="1"/>
    <w:next w:val="14"/>
    <w:autoRedefine/>
    <w:unhideWhenUsed/>
    <w:qFormat/>
    <w:uiPriority w:val="99"/>
    <w:pPr>
      <w:spacing w:line="240" w:lineRule="auto"/>
      <w:ind w:firstLine="420" w:firstLineChars="0"/>
    </w:pPr>
    <w:rPr>
      <w:sz w:val="21"/>
      <w:szCs w:val="21"/>
    </w:rPr>
  </w:style>
  <w:style w:type="paragraph" w:styleId="14">
    <w:name w:val="caption"/>
    <w:basedOn w:val="1"/>
    <w:next w:val="1"/>
    <w:link w:val="47"/>
    <w:autoRedefine/>
    <w:qFormat/>
    <w:uiPriority w:val="35"/>
    <w:pPr>
      <w:ind w:firstLine="0" w:firstLineChars="0"/>
      <w:jc w:val="center"/>
    </w:pPr>
    <w:rPr>
      <w:rFonts w:ascii="Cambria" w:hAnsi="Cambria" w:eastAsia="黑体"/>
      <w:kern w:val="0"/>
    </w:rPr>
  </w:style>
  <w:style w:type="paragraph" w:styleId="15">
    <w:name w:val="Plain Text"/>
    <w:basedOn w:val="1"/>
    <w:next w:val="16"/>
    <w:qFormat/>
    <w:uiPriority w:val="99"/>
    <w:pPr>
      <w:spacing w:line="240" w:lineRule="auto"/>
      <w:ind w:firstLine="0" w:firstLineChars="0"/>
    </w:pPr>
    <w:rPr>
      <w:rFonts w:ascii="宋体" w:hAnsi="Courier New" w:cs="Courier New"/>
      <w:kern w:val="0"/>
      <w:sz w:val="21"/>
      <w:szCs w:val="21"/>
      <w:u w:color="000000"/>
    </w:rPr>
  </w:style>
  <w:style w:type="paragraph" w:customStyle="1" w:styleId="16">
    <w:name w:val="_正文"/>
    <w:basedOn w:val="1"/>
    <w:autoRedefine/>
    <w:qFormat/>
    <w:uiPriority w:val="0"/>
    <w:pPr>
      <w:ind w:firstLine="200"/>
    </w:pPr>
    <w:rPr>
      <w:rFonts w:ascii="Times New Roman" w:hAnsi="Times New Roman"/>
      <w:kern w:val="0"/>
    </w:rPr>
  </w:style>
  <w:style w:type="paragraph" w:styleId="17">
    <w:name w:val="footer"/>
    <w:basedOn w:val="1"/>
    <w:link w:val="46"/>
    <w:qFormat/>
    <w:uiPriority w:val="0"/>
    <w:pPr>
      <w:tabs>
        <w:tab w:val="center" w:pos="4153"/>
        <w:tab w:val="right" w:pos="8306"/>
      </w:tabs>
      <w:snapToGrid w:val="0"/>
      <w:spacing w:line="240" w:lineRule="auto"/>
      <w:jc w:val="left"/>
    </w:pPr>
    <w:rPr>
      <w:sz w:val="18"/>
      <w:szCs w:val="18"/>
    </w:rPr>
  </w:style>
  <w:style w:type="paragraph" w:styleId="18">
    <w:name w:val="header"/>
    <w:basedOn w:val="1"/>
    <w:link w:val="45"/>
    <w:qFormat/>
    <w:uiPriority w:val="0"/>
    <w:pPr>
      <w:tabs>
        <w:tab w:val="center" w:pos="4153"/>
        <w:tab w:val="right" w:pos="8306"/>
      </w:tabs>
      <w:snapToGrid w:val="0"/>
      <w:spacing w:line="240" w:lineRule="auto"/>
      <w:jc w:val="center"/>
    </w:pPr>
    <w:rPr>
      <w:sz w:val="18"/>
      <w:szCs w:val="18"/>
    </w:rPr>
  </w:style>
  <w:style w:type="paragraph" w:styleId="19">
    <w:name w:val="footnote text"/>
    <w:basedOn w:val="1"/>
    <w:autoRedefine/>
    <w:unhideWhenUsed/>
    <w:qFormat/>
    <w:uiPriority w:val="0"/>
    <w:pPr>
      <w:widowControl/>
      <w:snapToGrid w:val="0"/>
      <w:jc w:val="left"/>
    </w:pPr>
    <w:rPr>
      <w:rFonts w:ascii="Arial" w:hAnsi="Arial" w:eastAsia="华文仿宋" w:cs="Times New Roman"/>
      <w:kern w:val="0"/>
      <w:sz w:val="18"/>
      <w:szCs w:val="18"/>
      <w:lang w:eastAsia="en-US"/>
    </w:rPr>
  </w:style>
  <w:style w:type="paragraph" w:styleId="20">
    <w:name w:val="index 1"/>
    <w:basedOn w:val="1"/>
    <w:next w:val="1"/>
    <w:autoRedefine/>
    <w:unhideWhenUsed/>
    <w:qFormat/>
    <w:uiPriority w:val="99"/>
  </w:style>
  <w:style w:type="paragraph" w:styleId="21">
    <w:name w:val="Body Text First Indent"/>
    <w:basedOn w:val="7"/>
    <w:next w:val="1"/>
    <w:autoRedefine/>
    <w:qFormat/>
    <w:uiPriority w:val="0"/>
    <w:pPr>
      <w:ind w:firstLine="420" w:firstLineChars="100"/>
    </w:pPr>
  </w:style>
  <w:style w:type="paragraph" w:styleId="22">
    <w:name w:val="Body Text First Indent 2"/>
    <w:basedOn w:val="1"/>
    <w:next w:val="13"/>
    <w:autoRedefine/>
    <w:unhideWhenUsed/>
    <w:qFormat/>
    <w:uiPriority w:val="99"/>
    <w:pPr>
      <w:ind w:firstLine="420"/>
    </w:pPr>
    <w:rPr>
      <w:rFonts w:ascii="Calibri" w:hAnsi="Calibri"/>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FollowedHyperlink"/>
    <w:basedOn w:val="25"/>
    <w:unhideWhenUsed/>
    <w:qFormat/>
    <w:uiPriority w:val="99"/>
    <w:rPr>
      <w:color w:val="800080"/>
      <w:u w:val="single"/>
    </w:rPr>
  </w:style>
  <w:style w:type="character" w:styleId="27">
    <w:name w:val="Hyperlink"/>
    <w:basedOn w:val="25"/>
    <w:autoRedefine/>
    <w:qFormat/>
    <w:uiPriority w:val="99"/>
    <w:rPr>
      <w:color w:val="0000FF"/>
      <w:u w:val="single"/>
    </w:rPr>
  </w:style>
  <w:style w:type="paragraph" w:customStyle="1" w:styleId="28">
    <w:name w:val="my正文"/>
    <w:basedOn w:val="13"/>
    <w:link w:val="29"/>
    <w:autoRedefine/>
    <w:qFormat/>
    <w:uiPriority w:val="0"/>
    <w:pPr>
      <w:spacing w:line="360" w:lineRule="auto"/>
      <w:ind w:firstLine="480" w:firstLineChars="200"/>
      <w:jc w:val="left"/>
    </w:pPr>
    <w:rPr>
      <w:rFonts w:ascii="Times New Roman" w:hAnsi="Times New Roman" w:eastAsia="宋体"/>
      <w:kern w:val="0"/>
      <w:sz w:val="24"/>
    </w:rPr>
  </w:style>
  <w:style w:type="character" w:customStyle="1" w:styleId="29">
    <w:name w:val="my正文 Char"/>
    <w:link w:val="28"/>
    <w:autoRedefine/>
    <w:qFormat/>
    <w:uiPriority w:val="0"/>
    <w:rPr>
      <w:rFonts w:ascii="Times New Roman" w:hAnsi="Times New Roman" w:eastAsia="宋体"/>
      <w:kern w:val="0"/>
      <w:sz w:val="24"/>
    </w:rPr>
  </w:style>
  <w:style w:type="character" w:customStyle="1" w:styleId="30">
    <w:name w:val="font11"/>
    <w:basedOn w:val="25"/>
    <w:autoRedefine/>
    <w:qFormat/>
    <w:uiPriority w:val="0"/>
    <w:rPr>
      <w:rFonts w:hint="eastAsia" w:ascii="宋体" w:hAnsi="宋体" w:eastAsia="宋体" w:cs="宋体"/>
      <w:color w:val="000000"/>
      <w:sz w:val="22"/>
      <w:szCs w:val="22"/>
      <w:u w:val="none"/>
    </w:rPr>
  </w:style>
  <w:style w:type="character" w:customStyle="1" w:styleId="31">
    <w:name w:val="font21"/>
    <w:basedOn w:val="25"/>
    <w:autoRedefine/>
    <w:qFormat/>
    <w:uiPriority w:val="0"/>
    <w:rPr>
      <w:rFonts w:ascii="Arial" w:hAnsi="Arial" w:cs="Arial"/>
      <w:color w:val="000000"/>
      <w:sz w:val="22"/>
      <w:szCs w:val="22"/>
      <w:u w:val="none"/>
    </w:rPr>
  </w:style>
  <w:style w:type="paragraph" w:customStyle="1" w:styleId="32">
    <w:name w:val="zxh正文"/>
    <w:basedOn w:val="1"/>
    <w:autoRedefine/>
    <w:qFormat/>
    <w:uiPriority w:val="0"/>
    <w:pPr>
      <w:ind w:firstLine="480"/>
      <w:jc w:val="left"/>
    </w:pPr>
    <w:rPr>
      <w:rFonts w:ascii="Times New Roman" w:hAnsi="Times New Roman" w:eastAsia="宋体" w:cs="Times New Roman"/>
      <w:kern w:val="0"/>
    </w:rPr>
  </w:style>
  <w:style w:type="paragraph" w:customStyle="1" w:styleId="33">
    <w:name w:val="A题注"/>
    <w:basedOn w:val="14"/>
    <w:autoRedefine/>
    <w:qFormat/>
    <w:uiPriority w:val="0"/>
    <w:pPr>
      <w:spacing w:line="240" w:lineRule="auto"/>
    </w:pPr>
    <w:rPr>
      <w:rFonts w:cs="Times New Roman"/>
      <w:szCs w:val="20"/>
    </w:rPr>
  </w:style>
  <w:style w:type="paragraph" w:customStyle="1" w:styleId="34">
    <w:name w:val="表格文字"/>
    <w:basedOn w:val="1"/>
    <w:autoRedefine/>
    <w:qFormat/>
    <w:uiPriority w:val="0"/>
    <w:pPr>
      <w:spacing w:line="240" w:lineRule="auto"/>
      <w:jc w:val="left"/>
    </w:pPr>
    <w:rPr>
      <w:rFonts w:ascii="Times New Roman" w:hAnsi="Times New Roman" w:eastAsia="宋体"/>
      <w:sz w:val="21"/>
    </w:rPr>
  </w:style>
  <w:style w:type="paragraph" w:customStyle="1" w:styleId="35">
    <w:name w:val="四号正文"/>
    <w:basedOn w:val="1"/>
    <w:autoRedefine/>
    <w:qFormat/>
    <w:uiPriority w:val="0"/>
    <w:pPr>
      <w:ind w:firstLine="200"/>
    </w:pPr>
    <w:rPr>
      <w:szCs w:val="28"/>
    </w:rPr>
  </w:style>
  <w:style w:type="paragraph" w:customStyle="1" w:styleId="36">
    <w:name w:val="列表段落1"/>
    <w:basedOn w:val="1"/>
    <w:autoRedefine/>
    <w:qFormat/>
    <w:uiPriority w:val="0"/>
    <w:pPr>
      <w:ind w:firstLine="420"/>
    </w:pPr>
    <w:rPr>
      <w:rFonts w:ascii="Times New Roman" w:hAnsi="Times New Roman" w:eastAsia="仿宋"/>
      <w:kern w:val="0"/>
      <w:sz w:val="28"/>
    </w:rPr>
  </w:style>
  <w:style w:type="character" w:customStyle="1" w:styleId="37">
    <w:name w:val="font31"/>
    <w:basedOn w:val="25"/>
    <w:autoRedefine/>
    <w:qFormat/>
    <w:uiPriority w:val="0"/>
    <w:rPr>
      <w:rFonts w:hint="eastAsia" w:ascii="宋体" w:hAnsi="宋体" w:eastAsia="宋体" w:cs="宋体"/>
      <w:color w:val="000000"/>
      <w:sz w:val="21"/>
      <w:szCs w:val="21"/>
      <w:u w:val="none"/>
    </w:rPr>
  </w:style>
  <w:style w:type="paragraph" w:customStyle="1" w:styleId="38">
    <w:name w:val="p3"/>
    <w:basedOn w:val="1"/>
    <w:autoRedefine/>
    <w:qFormat/>
    <w:uiPriority w:val="0"/>
    <w:pPr>
      <w:jc w:val="left"/>
    </w:pPr>
    <w:rPr>
      <w:rFonts w:ascii="Helvetica" w:hAnsi="Helvetica" w:eastAsia="Helvetica" w:cs="Times New Roman"/>
      <w:kern w:val="0"/>
      <w:sz w:val="18"/>
      <w:szCs w:val="18"/>
    </w:rPr>
  </w:style>
  <w:style w:type="paragraph" w:customStyle="1" w:styleId="39">
    <w:name w:val="*正文"/>
    <w:basedOn w:val="1"/>
    <w:autoRedefine/>
    <w:qFormat/>
    <w:uiPriority w:val="0"/>
    <w:pPr>
      <w:ind w:firstLine="480"/>
    </w:pPr>
    <w:rPr>
      <w:rFonts w:ascii="Times New Roman" w:hAnsi="Times New Roman"/>
      <w:kern w:val="0"/>
    </w:rPr>
  </w:style>
  <w:style w:type="paragraph" w:customStyle="1" w:styleId="40">
    <w:name w:val="[正文]"/>
    <w:basedOn w:val="1"/>
    <w:autoRedefine/>
    <w:qFormat/>
    <w:uiPriority w:val="0"/>
    <w:pPr>
      <w:widowControl/>
      <w:ind w:firstLine="480"/>
      <w:jc w:val="left"/>
    </w:pPr>
    <w:rPr>
      <w:lang w:val="en-GB"/>
    </w:rPr>
  </w:style>
  <w:style w:type="paragraph" w:customStyle="1" w:styleId="41">
    <w:name w:val="l正文"/>
    <w:basedOn w:val="1"/>
    <w:autoRedefine/>
    <w:qFormat/>
    <w:uiPriority w:val="0"/>
    <w:pPr>
      <w:ind w:firstLine="200"/>
    </w:pPr>
    <w:rPr>
      <w:rFonts w:ascii="Times New Roman" w:hAnsi="Times New Roman" w:eastAsia="宋体"/>
    </w:rPr>
  </w:style>
  <w:style w:type="paragraph" w:customStyle="1" w:styleId="42">
    <w:name w:val="正文文档"/>
    <w:basedOn w:val="43"/>
    <w:autoRedefine/>
    <w:qFormat/>
    <w:uiPriority w:val="0"/>
    <w:pPr>
      <w:wordWrap w:val="0"/>
      <w:spacing w:afterLines="0"/>
      <w:ind w:firstLine="560"/>
    </w:pPr>
  </w:style>
  <w:style w:type="paragraph" w:customStyle="1" w:styleId="43">
    <w:name w:val="ab"/>
    <w:basedOn w:val="44"/>
    <w:qFormat/>
    <w:uiPriority w:val="0"/>
    <w:pPr>
      <w:outlineLvl w:val="9"/>
    </w:pPr>
    <w:rPr>
      <w:rFonts w:ascii="Times New Roman" w:hAnsi="Times New Roman"/>
      <w:sz w:val="28"/>
    </w:rPr>
  </w:style>
  <w:style w:type="paragraph" w:customStyle="1" w:styleId="44">
    <w:name w:val="正文内容"/>
    <w:basedOn w:val="1"/>
    <w:autoRedefine/>
    <w:qFormat/>
    <w:uiPriority w:val="0"/>
    <w:pPr>
      <w:spacing w:afterLines="100"/>
      <w:ind w:firstLine="640"/>
      <w:outlineLvl w:val="1"/>
    </w:pPr>
    <w:rPr>
      <w:rFonts w:ascii="仿宋_GB2312" w:hAnsi="黑体" w:eastAsia="仿宋_GB2312" w:cs="Arial"/>
      <w:sz w:val="32"/>
      <w:szCs w:val="32"/>
    </w:rPr>
  </w:style>
  <w:style w:type="character" w:customStyle="1" w:styleId="45">
    <w:name w:val="页眉 字符"/>
    <w:basedOn w:val="25"/>
    <w:link w:val="18"/>
    <w:qFormat/>
    <w:uiPriority w:val="0"/>
    <w:rPr>
      <w:rFonts w:asciiTheme="minorHAnsi" w:hAnsiTheme="minorHAnsi" w:eastAsiaTheme="minorEastAsia" w:cstheme="minorBidi"/>
      <w:kern w:val="2"/>
      <w:sz w:val="18"/>
      <w:szCs w:val="18"/>
    </w:rPr>
  </w:style>
  <w:style w:type="character" w:customStyle="1" w:styleId="46">
    <w:name w:val="页脚 字符"/>
    <w:basedOn w:val="25"/>
    <w:link w:val="17"/>
    <w:qFormat/>
    <w:uiPriority w:val="0"/>
    <w:rPr>
      <w:rFonts w:asciiTheme="minorHAnsi" w:hAnsiTheme="minorHAnsi" w:eastAsiaTheme="minorEastAsia" w:cstheme="minorBidi"/>
      <w:kern w:val="2"/>
      <w:sz w:val="18"/>
      <w:szCs w:val="18"/>
    </w:rPr>
  </w:style>
  <w:style w:type="character" w:customStyle="1" w:styleId="47">
    <w:name w:val="题注 字符"/>
    <w:link w:val="14"/>
    <w:qFormat/>
    <w:uiPriority w:val="35"/>
    <w:rPr>
      <w:rFonts w:ascii="Cambria" w:hAnsi="Cambria" w:eastAsia="黑体" w:cstheme="minorBidi"/>
      <w:sz w:val="24"/>
      <w:szCs w:val="24"/>
    </w:rPr>
  </w:style>
  <w:style w:type="paragraph" w:customStyle="1" w:styleId="48">
    <w:name w:val="_Style 660"/>
    <w:basedOn w:val="1"/>
    <w:next w:val="49"/>
    <w:qFormat/>
    <w:uiPriority w:val="34"/>
    <w:pPr>
      <w:widowControl/>
      <w:spacing w:line="240" w:lineRule="auto"/>
      <w:ind w:firstLine="420"/>
      <w:jc w:val="left"/>
    </w:pPr>
    <w:rPr>
      <w:rFonts w:ascii="宋体" w:hAnsi="宋体" w:eastAsia="宋体" w:cs="宋体"/>
      <w:kern w:val="0"/>
      <w:sz w:val="21"/>
      <w:szCs w:val="22"/>
    </w:rPr>
  </w:style>
  <w:style w:type="paragraph" w:styleId="49">
    <w:name w:val="List Paragraph"/>
    <w:basedOn w:val="1"/>
    <w:link w:val="96"/>
    <w:unhideWhenUsed/>
    <w:qFormat/>
    <w:uiPriority w:val="34"/>
    <w:pPr>
      <w:ind w:firstLine="420"/>
    </w:pPr>
  </w:style>
  <w:style w:type="character" w:customStyle="1" w:styleId="50">
    <w:name w:val="标题 3 字符"/>
    <w:basedOn w:val="25"/>
    <w:link w:val="4"/>
    <w:qFormat/>
    <w:uiPriority w:val="0"/>
    <w:rPr>
      <w:rFonts w:asciiTheme="minorHAnsi" w:hAnsiTheme="minorHAnsi" w:cstheme="minorBidi"/>
      <w:kern w:val="2"/>
      <w:sz w:val="32"/>
      <w:szCs w:val="24"/>
    </w:rPr>
  </w:style>
  <w:style w:type="character" w:customStyle="1" w:styleId="51">
    <w:name w:val="标题 4 字符"/>
    <w:basedOn w:val="25"/>
    <w:link w:val="5"/>
    <w:qFormat/>
    <w:uiPriority w:val="99"/>
    <w:rPr>
      <w:rFonts w:ascii="Cambria" w:hAnsi="Cambria" w:eastAsiaTheme="minorEastAsia" w:cstheme="minorBidi"/>
      <w:b/>
      <w:sz w:val="24"/>
      <w:szCs w:val="24"/>
    </w:rPr>
  </w:style>
  <w:style w:type="character" w:customStyle="1" w:styleId="52">
    <w:name w:val="正文文本 字符"/>
    <w:basedOn w:val="25"/>
    <w:link w:val="7"/>
    <w:qFormat/>
    <w:uiPriority w:val="99"/>
    <w:rPr>
      <w:rFonts w:ascii="宋体" w:hAnsi="宋体" w:cs="宋体"/>
      <w:color w:val="FF0000"/>
    </w:rPr>
  </w:style>
  <w:style w:type="paragraph" w:customStyle="1" w:styleId="53">
    <w:name w:val="msonormal"/>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rPr>
  </w:style>
  <w:style w:type="paragraph" w:customStyle="1" w:styleId="54">
    <w:name w:val="font5"/>
    <w:basedOn w:val="1"/>
    <w:qFormat/>
    <w:uiPriority w:val="0"/>
    <w:pPr>
      <w:widowControl/>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55">
    <w:name w:val="font6"/>
    <w:basedOn w:val="1"/>
    <w:qFormat/>
    <w:uiPriority w:val="0"/>
    <w:pPr>
      <w:widowControl/>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56">
    <w:name w:val="font7"/>
    <w:basedOn w:val="1"/>
    <w:qFormat/>
    <w:uiPriority w:val="0"/>
    <w:pPr>
      <w:widowControl/>
      <w:spacing w:before="100" w:beforeAutospacing="1" w:after="100" w:afterAutospacing="1" w:line="240" w:lineRule="auto"/>
      <w:ind w:firstLine="0" w:firstLineChars="0"/>
      <w:jc w:val="left"/>
    </w:pPr>
    <w:rPr>
      <w:rFonts w:ascii="宋体" w:hAnsi="宋体" w:eastAsia="宋体" w:cs="宋体"/>
      <w:color w:val="FF0000"/>
      <w:kern w:val="0"/>
      <w:sz w:val="20"/>
      <w:szCs w:val="20"/>
    </w:rPr>
  </w:style>
  <w:style w:type="paragraph" w:customStyle="1" w:styleId="57">
    <w:name w:val="font8"/>
    <w:basedOn w:val="1"/>
    <w:qFormat/>
    <w:uiPriority w:val="0"/>
    <w:pPr>
      <w:widowControl/>
      <w:spacing w:before="100" w:beforeAutospacing="1" w:after="100" w:afterAutospacing="1" w:line="240" w:lineRule="auto"/>
      <w:ind w:firstLine="0" w:firstLineChars="0"/>
      <w:jc w:val="left"/>
    </w:pPr>
    <w:rPr>
      <w:rFonts w:ascii="Calibri" w:hAnsi="Calibri" w:eastAsia="宋体" w:cs="Calibri"/>
      <w:color w:val="000000"/>
      <w:kern w:val="0"/>
      <w:sz w:val="20"/>
      <w:szCs w:val="20"/>
    </w:rPr>
  </w:style>
  <w:style w:type="paragraph" w:customStyle="1" w:styleId="58">
    <w:name w:val="font9"/>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59">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cs="宋体"/>
      <w:kern w:val="0"/>
      <w:sz w:val="20"/>
      <w:szCs w:val="20"/>
    </w:rPr>
  </w:style>
  <w:style w:type="paragraph" w:customStyle="1" w:styleId="60">
    <w:name w:val="xl69"/>
    <w:basedOn w:val="1"/>
    <w:qFormat/>
    <w:uiPriority w:val="0"/>
    <w:pPr>
      <w:widowControl/>
      <w:spacing w:before="100" w:beforeAutospacing="1" w:after="100" w:afterAutospacing="1" w:line="240" w:lineRule="auto"/>
      <w:ind w:firstLine="0" w:firstLineChars="0"/>
      <w:jc w:val="center"/>
    </w:pPr>
    <w:rPr>
      <w:rFonts w:ascii="宋体" w:hAnsi="宋体" w:eastAsia="宋体" w:cs="宋体"/>
      <w:kern w:val="0"/>
    </w:rPr>
  </w:style>
  <w:style w:type="paragraph" w:customStyle="1" w:styleId="61">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0"/>
      <w:szCs w:val="20"/>
    </w:rPr>
  </w:style>
  <w:style w:type="paragraph" w:customStyle="1" w:styleId="62">
    <w:name w:val="xl71"/>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line="240" w:lineRule="auto"/>
      <w:ind w:firstLine="0" w:firstLineChars="0"/>
      <w:jc w:val="center"/>
    </w:pPr>
    <w:rPr>
      <w:rFonts w:ascii="宋体" w:hAnsi="宋体" w:eastAsia="宋体" w:cs="宋体"/>
      <w:b/>
      <w:bCs/>
      <w:color w:val="000000"/>
      <w:kern w:val="0"/>
      <w:sz w:val="20"/>
      <w:szCs w:val="20"/>
    </w:rPr>
  </w:style>
  <w:style w:type="paragraph" w:customStyle="1" w:styleId="63">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line="240" w:lineRule="auto"/>
      <w:ind w:firstLine="0" w:firstLineChars="0"/>
      <w:jc w:val="center"/>
    </w:pPr>
    <w:rPr>
      <w:rFonts w:ascii="宋体" w:hAnsi="宋体" w:eastAsia="宋体" w:cs="宋体"/>
      <w:b/>
      <w:bCs/>
      <w:color w:val="000000"/>
      <w:kern w:val="0"/>
      <w:sz w:val="20"/>
      <w:szCs w:val="20"/>
    </w:rPr>
  </w:style>
  <w:style w:type="paragraph" w:customStyle="1" w:styleId="64">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0"/>
      <w:szCs w:val="20"/>
    </w:rPr>
  </w:style>
  <w:style w:type="paragraph" w:customStyle="1" w:styleId="65">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66">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cs="宋体"/>
      <w:b/>
      <w:bCs/>
      <w:color w:val="000000"/>
      <w:kern w:val="0"/>
      <w:sz w:val="20"/>
      <w:szCs w:val="20"/>
    </w:rPr>
  </w:style>
  <w:style w:type="paragraph" w:customStyle="1" w:styleId="67">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68">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cs="宋体"/>
      <w:color w:val="000000"/>
      <w:kern w:val="0"/>
      <w:sz w:val="20"/>
      <w:szCs w:val="20"/>
    </w:rPr>
  </w:style>
  <w:style w:type="paragraph" w:customStyle="1" w:styleId="69">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0"/>
      <w:szCs w:val="20"/>
    </w:rPr>
  </w:style>
  <w:style w:type="paragraph" w:customStyle="1" w:styleId="70">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rPr>
  </w:style>
  <w:style w:type="paragraph" w:customStyle="1" w:styleId="71">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72">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paragraph" w:customStyle="1" w:styleId="7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right"/>
    </w:pPr>
    <w:rPr>
      <w:rFonts w:ascii="宋体" w:hAnsi="宋体" w:eastAsia="宋体" w:cs="宋体"/>
      <w:color w:val="000000"/>
      <w:kern w:val="0"/>
      <w:sz w:val="20"/>
      <w:szCs w:val="20"/>
    </w:rPr>
  </w:style>
  <w:style w:type="paragraph" w:customStyle="1" w:styleId="74">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75">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right"/>
    </w:pPr>
    <w:rPr>
      <w:rFonts w:ascii="宋体" w:hAnsi="宋体" w:eastAsia="宋体" w:cs="宋体"/>
      <w:b/>
      <w:bCs/>
      <w:color w:val="000000"/>
      <w:kern w:val="0"/>
      <w:sz w:val="20"/>
      <w:szCs w:val="20"/>
    </w:rPr>
  </w:style>
  <w:style w:type="paragraph" w:customStyle="1" w:styleId="76">
    <w:name w:val="xl85"/>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rPr>
  </w:style>
  <w:style w:type="paragraph" w:customStyle="1" w:styleId="77">
    <w:name w:val="xl86"/>
    <w:basedOn w:val="1"/>
    <w:qFormat/>
    <w:uiPriority w:val="0"/>
    <w:pPr>
      <w:widowControl/>
      <w:spacing w:before="100" w:beforeAutospacing="1" w:after="100" w:afterAutospacing="1" w:line="240" w:lineRule="auto"/>
      <w:ind w:firstLine="0" w:firstLineChars="0"/>
      <w:jc w:val="left"/>
    </w:pPr>
    <w:rPr>
      <w:rFonts w:ascii="宋体" w:hAnsi="宋体" w:eastAsia="宋体" w:cs="宋体"/>
      <w:b/>
      <w:bCs/>
      <w:kern w:val="0"/>
    </w:rPr>
  </w:style>
  <w:style w:type="paragraph" w:customStyle="1" w:styleId="78">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79">
    <w:name w:val="xl88"/>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sz w:val="20"/>
      <w:szCs w:val="20"/>
    </w:rPr>
  </w:style>
  <w:style w:type="paragraph" w:customStyle="1" w:styleId="80">
    <w:name w:val="xl90"/>
    <w:basedOn w:val="1"/>
    <w:qFormat/>
    <w:uiPriority w:val="0"/>
    <w:pPr>
      <w:widowControl/>
      <w:spacing w:before="100" w:beforeAutospacing="1" w:after="100" w:afterAutospacing="1" w:line="240" w:lineRule="auto"/>
      <w:ind w:firstLine="0" w:firstLineChars="0"/>
      <w:jc w:val="left"/>
    </w:pPr>
    <w:rPr>
      <w:rFonts w:ascii="宋体" w:hAnsi="宋体" w:eastAsia="宋体" w:cs="宋体"/>
      <w:color w:val="FF0000"/>
      <w:kern w:val="0"/>
    </w:rPr>
  </w:style>
  <w:style w:type="paragraph" w:customStyle="1" w:styleId="81">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paragraph" w:customStyle="1" w:styleId="82">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paragraph" w:customStyle="1" w:styleId="83">
    <w:name w:val="xl9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000000"/>
      <w:kern w:val="0"/>
      <w:sz w:val="20"/>
      <w:szCs w:val="20"/>
    </w:rPr>
  </w:style>
  <w:style w:type="paragraph" w:customStyle="1" w:styleId="84">
    <w:name w:val="xl94"/>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line="240" w:lineRule="auto"/>
      <w:ind w:firstLine="0" w:firstLineChars="0"/>
      <w:jc w:val="center"/>
    </w:pPr>
    <w:rPr>
      <w:rFonts w:ascii="宋体" w:hAnsi="宋体" w:eastAsia="宋体" w:cs="宋体"/>
      <w:b/>
      <w:bCs/>
      <w:kern w:val="0"/>
      <w:sz w:val="20"/>
      <w:szCs w:val="20"/>
    </w:rPr>
  </w:style>
  <w:style w:type="paragraph" w:customStyle="1" w:styleId="85">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paragraph" w:customStyle="1" w:styleId="86">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FF0000"/>
      <w:kern w:val="0"/>
    </w:rPr>
  </w:style>
  <w:style w:type="paragraph" w:customStyle="1" w:styleId="87">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FF0000"/>
      <w:kern w:val="0"/>
    </w:rPr>
  </w:style>
  <w:style w:type="paragraph" w:customStyle="1" w:styleId="88">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color w:val="FF0000"/>
      <w:kern w:val="0"/>
      <w:sz w:val="20"/>
      <w:szCs w:val="20"/>
    </w:rPr>
  </w:style>
  <w:style w:type="paragraph" w:customStyle="1" w:styleId="89">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kern w:val="0"/>
    </w:rPr>
  </w:style>
  <w:style w:type="paragraph" w:customStyle="1" w:styleId="90">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cs="宋体"/>
      <w:b/>
      <w:bCs/>
      <w:color w:val="000000"/>
      <w:kern w:val="0"/>
      <w:sz w:val="20"/>
      <w:szCs w:val="20"/>
    </w:rPr>
  </w:style>
  <w:style w:type="paragraph" w:customStyle="1" w:styleId="91">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FF0000"/>
      <w:kern w:val="0"/>
      <w:sz w:val="20"/>
      <w:szCs w:val="20"/>
    </w:rPr>
  </w:style>
  <w:style w:type="paragraph" w:customStyle="1" w:styleId="92">
    <w:name w:val="xl102"/>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paragraph" w:customStyle="1" w:styleId="93">
    <w:name w:val="xl103"/>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paragraph" w:customStyle="1" w:styleId="94">
    <w:name w:val="xl104"/>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b/>
      <w:bCs/>
      <w:color w:val="000000"/>
      <w:kern w:val="0"/>
      <w:sz w:val="20"/>
      <w:szCs w:val="20"/>
    </w:rPr>
  </w:style>
  <w:style w:type="character" w:customStyle="1" w:styleId="95">
    <w:name w:val="标题 5 字符"/>
    <w:basedOn w:val="25"/>
    <w:link w:val="6"/>
    <w:qFormat/>
    <w:uiPriority w:val="99"/>
    <w:rPr>
      <w:rFonts w:eastAsiaTheme="minorEastAsia" w:cstheme="minorBidi"/>
      <w:b/>
      <w:sz w:val="24"/>
      <w:szCs w:val="24"/>
    </w:rPr>
  </w:style>
  <w:style w:type="character" w:customStyle="1" w:styleId="96">
    <w:name w:val="列表段落 字符"/>
    <w:link w:val="49"/>
    <w:qFormat/>
    <w:uiPriority w:val="34"/>
    <w:rPr>
      <w:rFonts w:asciiTheme="minorHAnsi" w:hAnsiTheme="minorHAnsi" w:eastAsiaTheme="minorEastAsia" w:cstheme="minorBidi"/>
      <w:kern w:val="2"/>
      <w:sz w:val="24"/>
      <w:szCs w:val="24"/>
    </w:rPr>
  </w:style>
  <w:style w:type="character" w:customStyle="1" w:styleId="97">
    <w:name w:val="标题 6 字符"/>
    <w:basedOn w:val="25"/>
    <w:link w:val="9"/>
    <w:qFormat/>
    <w:uiPriority w:val="0"/>
    <w:rPr>
      <w:rFonts w:ascii="Cambria" w:hAnsi="Cambria" w:eastAsiaTheme="minorEastAsia" w:cstheme="minorBidi"/>
      <w:b/>
      <w:kern w:val="2"/>
      <w:sz w:val="24"/>
      <w:szCs w:val="24"/>
    </w:rPr>
  </w:style>
  <w:style w:type="character" w:customStyle="1" w:styleId="98">
    <w:name w:val="题注 字符6"/>
    <w:qFormat/>
    <w:uiPriority w:val="35"/>
    <w:rPr>
      <w:rFonts w:ascii="Cambria" w:hAnsi="Cambria" w:eastAsia="黑体" w:cs="宋体"/>
      <w:sz w:val="24"/>
      <w:szCs w:val="24"/>
    </w:rPr>
  </w:style>
  <w:style w:type="paragraph" w:customStyle="1" w:styleId="99">
    <w:name w:val="正文（标准）"/>
    <w:basedOn w:val="1"/>
    <w:qFormat/>
    <w:uiPriority w:val="0"/>
    <w:pPr>
      <w:ind w:firstLine="480" w:firstLineChars="200"/>
    </w:pPr>
    <w:rPr>
      <w:rFonts w:ascii="Times New Roman" w:hAnsi="Times New Roman"/>
      <w:kern w:val="0"/>
      <w:szCs w:val="24"/>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1.bin"/><Relationship Id="rId98" Type="http://schemas.openxmlformats.org/officeDocument/2006/relationships/image" Target="media/image66.png"/><Relationship Id="rId97" Type="http://schemas.openxmlformats.org/officeDocument/2006/relationships/image" Target="media/image65.png"/><Relationship Id="rId96" Type="http://schemas.openxmlformats.org/officeDocument/2006/relationships/image" Target="media/image64.png"/><Relationship Id="rId95" Type="http://schemas.openxmlformats.org/officeDocument/2006/relationships/image" Target="media/image63.png"/><Relationship Id="rId94" Type="http://schemas.openxmlformats.org/officeDocument/2006/relationships/image" Target="media/image62.png"/><Relationship Id="rId93" Type="http://schemas.openxmlformats.org/officeDocument/2006/relationships/image" Target="media/image61.png"/><Relationship Id="rId92" Type="http://schemas.openxmlformats.org/officeDocument/2006/relationships/image" Target="media/image60.png"/><Relationship Id="rId91" Type="http://schemas.openxmlformats.org/officeDocument/2006/relationships/image" Target="media/image59.png"/><Relationship Id="rId90" Type="http://schemas.openxmlformats.org/officeDocument/2006/relationships/image" Target="media/image58.png"/><Relationship Id="rId9" Type="http://schemas.openxmlformats.org/officeDocument/2006/relationships/footer" Target="footer2.xml"/><Relationship Id="rId89" Type="http://schemas.openxmlformats.org/officeDocument/2006/relationships/image" Target="media/image57.png"/><Relationship Id="rId88" Type="http://schemas.openxmlformats.org/officeDocument/2006/relationships/image" Target="media/image56.png"/><Relationship Id="rId87" Type="http://schemas.openxmlformats.org/officeDocument/2006/relationships/image" Target="media/image55.png"/><Relationship Id="rId86" Type="http://schemas.openxmlformats.org/officeDocument/2006/relationships/image" Target="media/image54.png"/><Relationship Id="rId85" Type="http://schemas.openxmlformats.org/officeDocument/2006/relationships/image" Target="media/image53.png"/><Relationship Id="rId84" Type="http://schemas.openxmlformats.org/officeDocument/2006/relationships/image" Target="media/image52.png"/><Relationship Id="rId83" Type="http://schemas.openxmlformats.org/officeDocument/2006/relationships/image" Target="media/image51.png"/><Relationship Id="rId82" Type="http://schemas.openxmlformats.org/officeDocument/2006/relationships/image" Target="media/image50.png"/><Relationship Id="rId81" Type="http://schemas.openxmlformats.org/officeDocument/2006/relationships/image" Target="media/image49.png"/><Relationship Id="rId80" Type="http://schemas.openxmlformats.org/officeDocument/2006/relationships/image" Target="media/image48.png"/><Relationship Id="rId8" Type="http://schemas.openxmlformats.org/officeDocument/2006/relationships/footer" Target="footer1.xml"/><Relationship Id="rId79" Type="http://schemas.openxmlformats.org/officeDocument/2006/relationships/image" Target="media/image47.png"/><Relationship Id="rId78" Type="http://schemas.openxmlformats.org/officeDocument/2006/relationships/image" Target="media/image46.png"/><Relationship Id="rId77" Type="http://schemas.openxmlformats.org/officeDocument/2006/relationships/image" Target="media/image45.png"/><Relationship Id="rId76" Type="http://schemas.openxmlformats.org/officeDocument/2006/relationships/image" Target="media/image44.png"/><Relationship Id="rId75" Type="http://schemas.openxmlformats.org/officeDocument/2006/relationships/image" Target="media/image43.png"/><Relationship Id="rId74" Type="http://schemas.openxmlformats.org/officeDocument/2006/relationships/image" Target="media/image42.png"/><Relationship Id="rId73" Type="http://schemas.openxmlformats.org/officeDocument/2006/relationships/image" Target="media/image41.png"/><Relationship Id="rId72" Type="http://schemas.openxmlformats.org/officeDocument/2006/relationships/image" Target="media/image40.png"/><Relationship Id="rId71" Type="http://schemas.openxmlformats.org/officeDocument/2006/relationships/image" Target="media/image39.png"/><Relationship Id="rId70" Type="http://schemas.openxmlformats.org/officeDocument/2006/relationships/image" Target="media/image38.jpeg"/><Relationship Id="rId7" Type="http://schemas.openxmlformats.org/officeDocument/2006/relationships/header" Target="header3.xml"/><Relationship Id="rId69" Type="http://schemas.openxmlformats.org/officeDocument/2006/relationships/image" Target="media/image37.jpeg"/><Relationship Id="rId68" Type="http://schemas.openxmlformats.org/officeDocument/2006/relationships/image" Target="media/image36.emf"/><Relationship Id="rId67" Type="http://schemas.openxmlformats.org/officeDocument/2006/relationships/package" Target="embeddings/Microsoft_Visio___21.vsdx"/><Relationship Id="rId66" Type="http://schemas.openxmlformats.org/officeDocument/2006/relationships/image" Target="media/image35.emf"/><Relationship Id="rId65" Type="http://schemas.openxmlformats.org/officeDocument/2006/relationships/package" Target="embeddings/Microsoft_Visio___20.vsdx"/><Relationship Id="rId64" Type="http://schemas.openxmlformats.org/officeDocument/2006/relationships/image" Target="media/image34.emf"/><Relationship Id="rId63" Type="http://schemas.openxmlformats.org/officeDocument/2006/relationships/package" Target="embeddings/Microsoft_Visio___19.vsdx"/><Relationship Id="rId62" Type="http://schemas.openxmlformats.org/officeDocument/2006/relationships/image" Target="media/image33.png"/><Relationship Id="rId61" Type="http://schemas.openxmlformats.org/officeDocument/2006/relationships/image" Target="media/image32.emf"/><Relationship Id="rId60" Type="http://schemas.openxmlformats.org/officeDocument/2006/relationships/package" Target="embeddings/Microsoft_Visio___18.vsdx"/><Relationship Id="rId6" Type="http://schemas.openxmlformats.org/officeDocument/2006/relationships/header" Target="header2.xml"/><Relationship Id="rId59" Type="http://schemas.openxmlformats.org/officeDocument/2006/relationships/image" Target="media/image31.emf"/><Relationship Id="rId58" Type="http://schemas.openxmlformats.org/officeDocument/2006/relationships/package" Target="embeddings/Microsoft_Visio___17.vsdx"/><Relationship Id="rId57" Type="http://schemas.openxmlformats.org/officeDocument/2006/relationships/image" Target="media/image30.png"/><Relationship Id="rId56" Type="http://schemas.openxmlformats.org/officeDocument/2006/relationships/image" Target="media/image29.png"/><Relationship Id="rId55" Type="http://schemas.openxmlformats.org/officeDocument/2006/relationships/image" Target="media/image28.png"/><Relationship Id="rId54" Type="http://schemas.openxmlformats.org/officeDocument/2006/relationships/image" Target="media/image27.png"/><Relationship Id="rId53" Type="http://schemas.openxmlformats.org/officeDocument/2006/relationships/image" Target="media/image26.png"/><Relationship Id="rId52" Type="http://schemas.openxmlformats.org/officeDocument/2006/relationships/image" Target="media/image25.png"/><Relationship Id="rId51" Type="http://schemas.openxmlformats.org/officeDocument/2006/relationships/image" Target="media/image24.png"/><Relationship Id="rId50" Type="http://schemas.openxmlformats.org/officeDocument/2006/relationships/image" Target="media/image23.png"/><Relationship Id="rId5" Type="http://schemas.openxmlformats.org/officeDocument/2006/relationships/header" Target="header1.xml"/><Relationship Id="rId49" Type="http://schemas.openxmlformats.org/officeDocument/2006/relationships/image" Target="media/image22.png"/><Relationship Id="rId48" Type="http://schemas.openxmlformats.org/officeDocument/2006/relationships/image" Target="media/image21.png"/><Relationship Id="rId47" Type="http://schemas.openxmlformats.org/officeDocument/2006/relationships/image" Target="media/image20.png"/><Relationship Id="rId46" Type="http://schemas.openxmlformats.org/officeDocument/2006/relationships/image" Target="media/image19.png"/><Relationship Id="rId45" Type="http://schemas.openxmlformats.org/officeDocument/2006/relationships/image" Target="media/image18.png"/><Relationship Id="rId44" Type="http://schemas.openxmlformats.org/officeDocument/2006/relationships/image" Target="media/image17.emf"/><Relationship Id="rId43" Type="http://schemas.openxmlformats.org/officeDocument/2006/relationships/oleObject" Target="embeddings/Microsoft_Visio_2003-2010___16.vsd"/><Relationship Id="rId42" Type="http://schemas.openxmlformats.org/officeDocument/2006/relationships/image" Target="media/image16.emf"/><Relationship Id="rId41" Type="http://schemas.openxmlformats.org/officeDocument/2006/relationships/package" Target="embeddings/Microsoft_Visio___15.vsdx"/><Relationship Id="rId40" Type="http://schemas.openxmlformats.org/officeDocument/2006/relationships/image" Target="media/image15.emf"/><Relationship Id="rId4" Type="http://schemas.openxmlformats.org/officeDocument/2006/relationships/endnotes" Target="endnotes.xml"/><Relationship Id="rId39" Type="http://schemas.openxmlformats.org/officeDocument/2006/relationships/package" Target="embeddings/Microsoft_Visio___14.vsdx"/><Relationship Id="rId38" Type="http://schemas.openxmlformats.org/officeDocument/2006/relationships/image" Target="media/image14.emf"/><Relationship Id="rId37" Type="http://schemas.openxmlformats.org/officeDocument/2006/relationships/package" Target="embeddings/Microsoft_Visio___13.vsdx"/><Relationship Id="rId36" Type="http://schemas.openxmlformats.org/officeDocument/2006/relationships/image" Target="media/image13.emf"/><Relationship Id="rId35" Type="http://schemas.openxmlformats.org/officeDocument/2006/relationships/package" Target="embeddings/Microsoft_Visio___12.vsdx"/><Relationship Id="rId34" Type="http://schemas.openxmlformats.org/officeDocument/2006/relationships/image" Target="media/image12.emf"/><Relationship Id="rId33" Type="http://schemas.openxmlformats.org/officeDocument/2006/relationships/package" Target="embeddings/Microsoft_Visio___11.vsdx"/><Relationship Id="rId32" Type="http://schemas.openxmlformats.org/officeDocument/2006/relationships/image" Target="media/image11.emf"/><Relationship Id="rId31" Type="http://schemas.openxmlformats.org/officeDocument/2006/relationships/package" Target="embeddings/Microsoft_Visio___10.vsdx"/><Relationship Id="rId30" Type="http://schemas.openxmlformats.org/officeDocument/2006/relationships/image" Target="media/image10.emf"/><Relationship Id="rId3" Type="http://schemas.openxmlformats.org/officeDocument/2006/relationships/footnotes" Target="footnotes.xml"/><Relationship Id="rId29" Type="http://schemas.openxmlformats.org/officeDocument/2006/relationships/package" Target="embeddings/Microsoft_Visio___9.vsdx"/><Relationship Id="rId28" Type="http://schemas.openxmlformats.org/officeDocument/2006/relationships/image" Target="media/image9.emf"/><Relationship Id="rId27" Type="http://schemas.openxmlformats.org/officeDocument/2006/relationships/package" Target="embeddings/Microsoft_Visio___8.vsdx"/><Relationship Id="rId26" Type="http://schemas.openxmlformats.org/officeDocument/2006/relationships/image" Target="media/image8.emf"/><Relationship Id="rId25" Type="http://schemas.openxmlformats.org/officeDocument/2006/relationships/package" Target="embeddings/Microsoft_Visio___7.vsdx"/><Relationship Id="rId24" Type="http://schemas.openxmlformats.org/officeDocument/2006/relationships/image" Target="media/image7.emf"/><Relationship Id="rId23" Type="http://schemas.openxmlformats.org/officeDocument/2006/relationships/package" Target="embeddings/Microsoft_Visio___6.vsdx"/><Relationship Id="rId22" Type="http://schemas.openxmlformats.org/officeDocument/2006/relationships/image" Target="media/image6.emf"/><Relationship Id="rId21" Type="http://schemas.openxmlformats.org/officeDocument/2006/relationships/package" Target="embeddings/Microsoft_Visio___5.vsdx"/><Relationship Id="rId20" Type="http://schemas.openxmlformats.org/officeDocument/2006/relationships/image" Target="media/image5.emf"/><Relationship Id="rId2" Type="http://schemas.openxmlformats.org/officeDocument/2006/relationships/settings" Target="settings.xml"/><Relationship Id="rId19" Type="http://schemas.openxmlformats.org/officeDocument/2006/relationships/package" Target="embeddings/Microsoft_Visio___4.vsdx"/><Relationship Id="rId18" Type="http://schemas.openxmlformats.org/officeDocument/2006/relationships/image" Target="media/image4.emf"/><Relationship Id="rId17" Type="http://schemas.openxmlformats.org/officeDocument/2006/relationships/package" Target="embeddings/Microsoft_Visio___3.vsdx"/><Relationship Id="rId16" Type="http://schemas.openxmlformats.org/officeDocument/2006/relationships/image" Target="media/image3.emf"/><Relationship Id="rId15" Type="http://schemas.openxmlformats.org/officeDocument/2006/relationships/package" Target="embeddings/Microsoft_Visio___2.vsdx"/><Relationship Id="rId14" Type="http://schemas.openxmlformats.org/officeDocument/2006/relationships/image" Target="media/image2.png"/><Relationship Id="rId13" Type="http://schemas.openxmlformats.org/officeDocument/2006/relationships/image" Target="media/image1.emf"/><Relationship Id="rId12" Type="http://schemas.openxmlformats.org/officeDocument/2006/relationships/package" Target="embeddings/Microsoft_Visio___1.vsdx"/><Relationship Id="rId11" Type="http://schemas.openxmlformats.org/officeDocument/2006/relationships/theme" Target="theme/theme1.xml"/><Relationship Id="rId103" Type="http://schemas.openxmlformats.org/officeDocument/2006/relationships/fontTable" Target="fontTable.xml"/><Relationship Id="rId102" Type="http://schemas.openxmlformats.org/officeDocument/2006/relationships/numbering" Target="numbering.xml"/><Relationship Id="rId101" Type="http://schemas.openxmlformats.org/officeDocument/2006/relationships/customXml" Target="../customXml/item1.xml"/><Relationship Id="rId100" Type="http://schemas.openxmlformats.org/officeDocument/2006/relationships/image" Target="media/image67.emf"/><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227</Pages>
  <Words>3353</Words>
  <Characters>3514</Characters>
  <Lines>1176</Lines>
  <Paragraphs>331</Paragraphs>
  <TotalTime>12</TotalTime>
  <ScaleCrop>false</ScaleCrop>
  <LinksUpToDate>false</LinksUpToDate>
  <CharactersWithSpaces>3523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2025-03-25T09:39:00Z</dcterms:created>
  <dc:creator>__六六六</dc:creator>
  <cp:lastModifiedBy>小哎</cp:lastModifiedBy>
  <dcterms:modified xsi:type="dcterms:W3CDTF">2025-07-31T13:33:17Z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5A642BC39BFA449ABEDB9245BC90816D_13</vt:lpwstr>
  </property>
  <property fmtid="{D5CDD505-2E9C-101B-9397-08002B2CF9AE}" pid="4" name="KSOTemplateDocerSaveRecord">
    <vt:lpwstr>eyJoZGlkIjoiMTQ0MjcwZTg0ZTVhNDVjZGU4NWExYmM3ZGNhNDdkYmYiLCJ1c2VySWQiOiIzNTc1MjM5OTcifQ==</vt:lpwstr>
  </property>
</Properties>
</file>