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叉河镇排岸村委会老羊田村国道铁路桥入口至老羊田水库生产道路硬化工程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[ZJGJHN]20250600001[CS]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昌江黎族自治县叉河镇人民政府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中经国际工程咨询集团有限公司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昌江黎族自治县叉河镇人民政府</w:t>
      </w:r>
      <w:r>
        <w:rPr>
          <w:rFonts w:ascii="仿宋_GB2312" w:hAnsi="仿宋_GB2312" w:cs="仿宋_GB2312" w:eastAsia="仿宋_GB2312"/>
        </w:rPr>
        <w:t xml:space="preserve"> 的委托， </w:t>
      </w:r>
      <w:r>
        <w:rPr>
          <w:rFonts w:ascii="仿宋_GB2312" w:hAnsi="仿宋_GB2312" w:cs="仿宋_GB2312" w:eastAsia="仿宋_GB2312"/>
        </w:rPr>
        <w:t>中经国际工程咨询集团有限公司</w:t>
      </w:r>
      <w:r>
        <w:rPr>
          <w:rFonts w:ascii="仿宋_GB2312" w:hAnsi="仿宋_GB2312" w:cs="仿宋_GB2312" w:eastAsia="仿宋_GB2312"/>
        </w:rPr>
        <w:t xml:space="preserve"> 对 </w:t>
      </w:r>
      <w:r>
        <w:rPr>
          <w:rFonts w:ascii="仿宋_GB2312" w:hAnsi="仿宋_GB2312" w:cs="仿宋_GB2312" w:eastAsia="仿宋_GB2312"/>
        </w:rPr>
        <w:t>叉河镇排岸村委会老羊田村国道铁路桥入口至老羊田水库生产道路硬化工程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[ZJGJHN]20250600001[CS]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叉河镇排岸村委会老羊田村国道铁路桥入口至老羊田水库生产道路硬化工程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3,065,097.09元</w:t>
      </w:r>
      <w:r>
        <w:rPr>
          <w:rFonts w:ascii="仿宋_GB2312" w:hAnsi="仿宋_GB2312" w:cs="仿宋_GB2312" w:eastAsia="仿宋_GB2312"/>
        </w:rPr>
        <w:t>叁佰零陆万伍仟零玖拾柒元零玖分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1、供应商资质要求：具备建设行政主管部门核发的公路工程施工总承包三级（含）以上资质或根据《住房和城乡建设部关于印发建设工程企业资质管理制度改革方案的通知》（[建市〔2020〕 94 号]）的规定已换发新证取得相应资质，且具有有效期内的安全生产许可证，并在人员、设备、资金等方面具有承担本项目施工的能力。（提供资质证书复印件加盖公章、有效的安全生产许可证复印件加盖公章）；</w:t>
      </w:r>
    </w:p>
    <w:p>
      <w:pPr>
        <w:pStyle w:val="null3"/>
        <w:jc w:val="left"/>
      </w:pPr>
      <w:r>
        <w:rPr>
          <w:rFonts w:ascii="仿宋_GB2312" w:hAnsi="仿宋_GB2312" w:cs="仿宋_GB2312" w:eastAsia="仿宋_GB2312"/>
        </w:rPr>
        <w:t>2、项目负责人要求：供应商拟任项目经理须具备公路工程专业贰级（含）以上注册建造师执业资格，且未担任其他在施建设工程项目的项目经理。（提供书面承诺函、注册建造师执业资格复印件加盖单位公章）；</w:t>
      </w:r>
    </w:p>
    <w:p>
      <w:pPr>
        <w:pStyle w:val="null3"/>
        <w:jc w:val="left"/>
      </w:pPr>
      <w:r>
        <w:rPr>
          <w:rFonts w:ascii="仿宋_GB2312" w:hAnsi="仿宋_GB2312" w:cs="仿宋_GB2312" w:eastAsia="仿宋_GB2312"/>
        </w:rPr>
        <w:t>3、企业诚信档案手册：供应商须提供在海南省住房和城乡建设厅海南省房屋建筑工程全过程监管信息平台完成《海南省建筑企业诚信档案手册》登记，填报项目名称、项目地址、派驻的项目班子人员信息，并打印信息平台生成的带有水印的诚信档案手册（加盖公章）；</w:t>
      </w:r>
    </w:p>
    <w:p>
      <w:pPr>
        <w:pStyle w:val="null3"/>
        <w:jc w:val="left"/>
      </w:pPr>
      <w:r>
        <w:rPr>
          <w:rFonts w:ascii="仿宋_GB2312" w:hAnsi="仿宋_GB2312" w:cs="仿宋_GB2312" w:eastAsia="仿宋_GB2312"/>
        </w:rPr>
        <w:t>4、信誉要求：1、供应商必须为未被列入中国执行信息公开（http://zxgk.court.gov.cn/shixin/）的 “失信被执行 人”、信用中国网站(https://www.creditchina.gov.cn/) 的“重大税收违法失信主体”和“政府采购严重违法失信名单”、中国政府采购网(http://www.ccgp.gov.cn/)的“政府采购严重违法失信行为记录名单”【提供承诺函（格式自拟）并加盖公章或由采购人或采购代理机构于本项目响应截止日在“信用中国”网站、“中国政府采购网”网站等渠道对供应商进行信用记录查询】。</w:t>
      </w:r>
    </w:p>
    <w:p>
      <w:pPr>
        <w:pStyle w:val="null3"/>
        <w:jc w:val="left"/>
      </w:pPr>
      <w:r>
        <w:rPr>
          <w:rFonts w:ascii="仿宋_GB2312" w:hAnsi="仿宋_GB2312" w:cs="仿宋_GB2312" w:eastAsia="仿宋_GB2312"/>
        </w:rPr>
        <w:t>5、信誉要求：（1）、没有被取消、暂停（2）、没有处于被责令停业、财产被接管、冻结、破产状态；（3）、在三年内没有骗取中标行为或严重违约行为或重大工程质量问题。（提供承诺函（格式自拟）加盖公章）</w:t>
      </w:r>
    </w:p>
    <w:p>
      <w:pPr>
        <w:pStyle w:val="null3"/>
        <w:jc w:val="left"/>
      </w:pPr>
      <w:r>
        <w:rPr>
          <w:rFonts w:ascii="仿宋_GB2312" w:hAnsi="仿宋_GB2312" w:cs="仿宋_GB2312" w:eastAsia="仿宋_GB2312"/>
        </w:rPr>
        <w:t>6、无环保类行政处罚记录：参加政府采购活动前三年内，没有环保类行政处罚记录 （提供承诺函（格式自拟）加盖公章）</w:t>
      </w:r>
    </w:p>
    <w:p>
      <w:pPr>
        <w:pStyle w:val="null3"/>
        <w:jc w:val="left"/>
      </w:pPr>
      <w:r>
        <w:rPr>
          <w:rFonts w:ascii="仿宋_GB2312" w:hAnsi="仿宋_GB2312" w:cs="仿宋_GB2312" w:eastAsia="仿宋_GB2312"/>
        </w:rPr>
        <w:t>7、其他要求：1.单位负责人为同一人或者存在直接控股、管理关系的不同供应商，不得参加同一合同项下的政府采购活动；为本项目提供整体设计、规范编制或者项目管理、监理、检测等服务的供应商，不得再参加本项目的采购活动。（提供承诺函（格式自拟）加盖公章） 2.本项目不接受联合体投标。（提供承诺函（格式自拟）加盖公章）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 cn/）。关于本项目采购文件的补遗、澄清及变更信息以上述网站公告为准，代理机构不再另行通知，采购文件与更正公告的内容相互矛盾时，以最后发出的更正公告内容为准。 2、供应商须在海南省政府采购网(https://ccgp-hainan.gov.cn/)中的海南省政府采购电子化交易管理系统平台进行注册并完善信息，然后下载参与投标项目电子招标文件（文件集）及其他文件；3、电子标:必须使用投标工具（下载专区下载）制作电子版的投标文件， 并使用数字证书进行签字盖章和加密，投标截止时间前，必须登录系统上传加密的电子投标文件； 4、本项目为远程不见面开标，供应商无须到达开标现场，但开标前必须进入电子开标大厅在线签到（未签到视为无效投标），远程按时参加在线开标解密即可。 5、注意事项：电子标采用全程电子化操作，供应商应详细阅读海南省政府采购网的通知《海南省财政厅关于进一步推进政府采购全流程电子化的通知》，供应商使用交易系统遇到问题请拨打以下热线电话： 热线一：4001691288； 6、本项目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昌江黎族自治县叉河镇人民政府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海南省昌江黎族自治县叉河镇海榆西线225国道2号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刘科壮</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13322010091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中经国际工程咨询集团有限公司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海口市五指山路61号和谐家园B栋二单元1805室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0898-66737732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采购包1：3,065,097.09元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代理服务费收费标准：招标代理费金额按县审批局批复的审定招标代理费打8折后取整收取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属于专门面向中小企业采购的项目。供应商须符合本项目采购标的对应行业（建筑业）的政策划分标准的中小企业。监狱企业、残疾人福利单位视同小型、微型企业。注：中小微企业如实填写中小微声明，如非中小微企业或未按要求填写中小微声明按无效投标处理。 2.投标报价文件中的造价专业人员签章处的签章要求：投标报价文件由投标人自行编制的，应当由注册在本单位的一级或二级造价工程师签字(或盖电子签名印章)并盖执业专用电子印章。投标人委托工程造价咨询企业编制的，应在投标文件中提供加盖双方单位公章的委托书，并在已标价工程量清单上加盖负责编制的工程造价咨询企业公章以及负责审核的一级注册造价师执业印章，报价总价封面已经有“编制人员签字及盖章”的地方，只须在总价封面签字及盖章（含电子章）即可，工程量清单内容里“规费、税金项目计价表”和“总价措施项目清单与计表”的“编制人（造价人员）”以及“复核人（造价工师）”等可不再签字或盖章。 3.本项目属于专门面向中小企业采购的项目故不进行价格扣除。 4.中标单位在公示期结束后领取中标通知书前需提交纸质版响应文件 3 份（纸质版响应文件内容须与电子版响应文件内容完全一致），纸质版响应文件须在封面及骑缝处加盖供应商单位公章。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联系电话：0898-66737732</w:t>
      </w:r>
    </w:p>
    <w:p>
      <w:pPr>
        <w:pStyle w:val="null3"/>
        <w:jc w:val="left"/>
      </w:pPr>
      <w:r>
        <w:rPr>
          <w:rFonts w:ascii="仿宋_GB2312" w:hAnsi="仿宋_GB2312" w:cs="仿宋_GB2312" w:eastAsia="仿宋_GB2312"/>
        </w:rPr>
        <w:t>地址：海口市五指山路61号和谐家园B栋二单元1805室</w:t>
      </w:r>
    </w:p>
    <w:p>
      <w:pPr>
        <w:pStyle w:val="null3"/>
        <w:jc w:val="left"/>
      </w:pPr>
      <w:r>
        <w:rPr>
          <w:rFonts w:ascii="仿宋_GB2312" w:hAnsi="仿宋_GB2312" w:cs="仿宋_GB2312" w:eastAsia="仿宋_GB2312"/>
        </w:rPr>
        <w:t>邮编：/</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联系人：刘科壮</w:t>
      </w:r>
    </w:p>
    <w:p>
      <w:pPr>
        <w:pStyle w:val="null3"/>
        <w:jc w:val="left"/>
      </w:pPr>
      <w:r>
        <w:rPr>
          <w:rFonts w:ascii="仿宋_GB2312" w:hAnsi="仿宋_GB2312" w:cs="仿宋_GB2312" w:eastAsia="仿宋_GB2312"/>
        </w:rPr>
        <w:t>联系电话：13322010091</w:t>
      </w:r>
    </w:p>
    <w:p>
      <w:pPr>
        <w:pStyle w:val="null3"/>
        <w:jc w:val="left"/>
      </w:pPr>
      <w:r>
        <w:rPr>
          <w:rFonts w:ascii="仿宋_GB2312" w:hAnsi="仿宋_GB2312" w:cs="仿宋_GB2312" w:eastAsia="仿宋_GB2312"/>
        </w:rPr>
        <w:t>地址：海南省昌江黎族自治县叉河镇海榆西线225国道2号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rPr>
        <w:t>工程路线全长</w:t>
      </w:r>
      <w:r>
        <w:rPr>
          <w:rFonts w:ascii="仿宋_GB2312" w:hAnsi="仿宋_GB2312" w:cs="仿宋_GB2312" w:eastAsia="仿宋_GB2312"/>
          <w:sz w:val="32"/>
        </w:rPr>
        <w:t>2038m，四级公路(II类)，设计速度15km/h，路基宽度为3.5m，路面宽度3.0m，采用水泥混凝土路面结构，包括路线、路基路面、涵洞工程、路线交叉、交通工程及沿线设施等。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3,065,097.09</w:t>
      </w:r>
    </w:p>
    <w:p>
      <w:pPr>
        <w:pStyle w:val="null3"/>
        <w:jc w:val="left"/>
      </w:pPr>
      <w:r>
        <w:rPr>
          <w:rFonts w:ascii="仿宋_GB2312" w:hAnsi="仿宋_GB2312" w:cs="仿宋_GB2312" w:eastAsia="仿宋_GB2312"/>
        </w:rPr>
        <w:t>采购包最高限价（元）: 3,065,097.09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叉河镇排岸村委会老羊田村国道铁路桥入口至老羊田水库生产道路硬化工程</w:t>
            </w:r>
          </w:p>
        </w:tc>
        <w:tc>
          <w:tcPr>
            <w:tcW w:type="dxa" w:w="831"/>
          </w:tcPr>
          <w:p>
            <w:pPr>
              <w:pStyle w:val="null3"/>
              <w:jc w:val="right"/>
            </w:pPr>
            <w:r>
              <w:rPr>
                <w:rFonts w:ascii="仿宋_GB2312" w:hAnsi="仿宋_GB2312" w:cs="仿宋_GB2312" w:eastAsia="仿宋_GB2312"/>
              </w:rPr>
              <w:t>2,038.00</w:t>
            </w:r>
          </w:p>
        </w:tc>
        <w:tc>
          <w:tcPr>
            <w:tcW w:type="dxa" w:w="831"/>
          </w:tcPr>
          <w:p>
            <w:pPr>
              <w:pStyle w:val="null3"/>
              <w:jc w:val="right"/>
            </w:pPr>
            <w:r>
              <w:rPr>
                <w:rFonts w:ascii="仿宋_GB2312" w:hAnsi="仿宋_GB2312" w:cs="仿宋_GB2312" w:eastAsia="仿宋_GB2312"/>
              </w:rPr>
              <w:t>3,065,097.09</w:t>
            </w:r>
          </w:p>
        </w:tc>
        <w:tc>
          <w:tcPr>
            <w:tcW w:type="dxa" w:w="831"/>
          </w:tcPr>
          <w:p>
            <w:pPr>
              <w:pStyle w:val="null3"/>
              <w:jc w:val="left"/>
            </w:pPr>
            <w:r>
              <w:rPr>
                <w:rFonts w:ascii="仿宋_GB2312" w:hAnsi="仿宋_GB2312" w:cs="仿宋_GB2312" w:eastAsia="仿宋_GB2312"/>
              </w:rPr>
              <w:t>元/平方米</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叉河镇排岸村委会老羊田村国道铁路桥入口至老羊田水库生产道路硬化工程</w:t>
            </w:r>
          </w:p>
        </w:tc>
        <w:tc>
          <w:tcPr>
            <w:tcW w:type="dxa" w:w="554"/>
          </w:tcPr>
          <w:p>
            <w:pPr>
              <w:pStyle w:val="null3"/>
              <w:jc w:val="left"/>
            </w:pPr>
            <w:r>
              <w:rPr>
                <w:rFonts w:ascii="仿宋_GB2312" w:hAnsi="仿宋_GB2312" w:cs="仿宋_GB2312" w:eastAsia="仿宋_GB2312"/>
              </w:rPr>
              <w:t>元/平方米</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3,065,097.09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标的名称：叉河镇排岸村委会老羊田村国道铁路桥入口至老羊田水库生产道路硬化工程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施工图纸及工程量清单包含的全部内容</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1.质量标准：合格。</w:t>
      </w:r>
      <w:r>
        <w:br/>
      </w:r>
      <w:r>
        <w:rPr>
          <w:rFonts w:ascii="仿宋_GB2312" w:hAnsi="仿宋_GB2312" w:cs="仿宋_GB2312" w:eastAsia="仿宋_GB2312"/>
        </w:rPr>
        <w:t xml:space="preserve">  2.施工地点：县叉河镇</w:t>
      </w:r>
      <w:r>
        <w:br/>
      </w:r>
      <w:r>
        <w:rPr>
          <w:rFonts w:ascii="仿宋_GB2312" w:hAnsi="仿宋_GB2312" w:cs="仿宋_GB2312" w:eastAsia="仿宋_GB2312"/>
        </w:rPr>
        <w:t xml:space="preserve">  3.缺陷责任期：365日历天</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1.付款方式：（1）工程预付款。签订合同,施工方进场后7天内按合同价款总额的30%支付。 （2）工程进度款。工程进度款拨付以施工进度为准，按进度支付，竣工验收前工程进度款累计支付至合同价的80%止，工程竣工验收并办理结算审计后，发包人支付至结算审核价的97%，扣结算审核价的3%质保金待工程竣工验收满一年且质量复查合格后支付（本工程约定的工程质量保修金为结算审计价款的3％）。</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供应商应提交的相关证明材料 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 符合法律、行政法规规定的其他条件的声明函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供应商资质要求</w:t>
            </w:r>
          </w:p>
        </w:tc>
        <w:tc>
          <w:tcPr>
            <w:tcW w:type="dxa" w:w="3322"/>
          </w:tcPr>
          <w:p>
            <w:pPr>
              <w:pStyle w:val="null3"/>
              <w:jc w:val="left"/>
            </w:pPr>
            <w:r>
              <w:rPr>
                <w:rFonts w:ascii="仿宋_GB2312" w:hAnsi="仿宋_GB2312" w:cs="仿宋_GB2312" w:eastAsia="仿宋_GB2312"/>
              </w:rPr>
              <w:t>具备建设行政主管部门核发的公路工程施工总承包三级（含）以上资质或根据《住房和城乡建设部关于印发建设工程企业资质管理制度改革方案的通知》（[建市〔2020〕 94 号]）的规定已换发新证取得相应资质，且具有有效期内的安全生产许可证，并在人员、设备、资金等方面具有承担本项目施工的能力。（提供资质证书复印件加盖公章、有效的安全生产许可证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项目负责人要求</w:t>
            </w:r>
          </w:p>
        </w:tc>
        <w:tc>
          <w:tcPr>
            <w:tcW w:type="dxa" w:w="3322"/>
          </w:tcPr>
          <w:p>
            <w:pPr>
              <w:pStyle w:val="null3"/>
              <w:jc w:val="left"/>
            </w:pPr>
            <w:r>
              <w:rPr>
                <w:rFonts w:ascii="仿宋_GB2312" w:hAnsi="仿宋_GB2312" w:cs="仿宋_GB2312" w:eastAsia="仿宋_GB2312"/>
              </w:rPr>
              <w:t>供应商拟任项目经理须具备公路工程专业贰级（含）以上注册建造师执业资格，且未担任其他在施建设工程项目的项目经理。（提供书面承诺函、注册建造师执业资格复印件加盖单位公章）；</w:t>
            </w:r>
          </w:p>
        </w:tc>
        <w:tc>
          <w:tcPr>
            <w:tcW w:type="dxa" w:w="1661"/>
          </w:tcPr>
          <w:p>
            <w:pPr>
              <w:pStyle w:val="null3"/>
              <w:jc w:val="left"/>
            </w:pPr>
            <w:r>
              <w:rPr>
                <w:rFonts w:ascii="仿宋_GB2312" w:hAnsi="仿宋_GB2312" w:cs="仿宋_GB2312" w:eastAsia="仿宋_GB2312"/>
              </w:rPr>
              <w:t>供应商应提交的相关证明材料 项目管理机构</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企业诚信档案手册</w:t>
            </w:r>
          </w:p>
        </w:tc>
        <w:tc>
          <w:tcPr>
            <w:tcW w:type="dxa" w:w="3322"/>
          </w:tcPr>
          <w:p>
            <w:pPr>
              <w:pStyle w:val="null3"/>
              <w:jc w:val="left"/>
            </w:pPr>
            <w:r>
              <w:rPr>
                <w:rFonts w:ascii="仿宋_GB2312" w:hAnsi="仿宋_GB2312" w:cs="仿宋_GB2312" w:eastAsia="仿宋_GB2312"/>
              </w:rPr>
              <w:t>供应商须提供在海南省住房和城乡建设厅海南省房屋建筑工程全过程监管信息平台完成《海南省建筑企业诚信档案手册》登记，填报项目名称、项目地址、派驻的项目班子人员信息，并打印信息平台生成的带有水印的诚信档案手册（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1、供应商必须为未被列入中国执行信息公开（http://zxgk.court.gov.cn/shixin/）的 “失信被执行 人”、信用中国网站(https://www.creditchina.gov.cn/) 的“重大税收违法失信主体”和“政府采购严重违法失信名单”、中国政府采购网(http://www.ccgp.gov.cn/)的“政府采购严重违法失信行为记录名单”【提供承诺函（格式自拟）并加盖公章或由采购人或采购代理机构于本项目响应截止日在“信用中国”网站、“中国政府采购网”网站等渠道对供应商进行信用记录查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（1）、没有被取消、暂停（2）、没有处于被责令停业、财产被接管、冻结、破产状态；（3）、在三年内没有骗取中标行为或严重违约行为或重大工程质量问题。（提供承诺函（格式自拟）加盖公章）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参加政府采购活动前三年内，没有环保类行政处罚记录 （提供承诺函（格式自拟）加盖公章）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其他要求</w:t>
            </w:r>
          </w:p>
        </w:tc>
        <w:tc>
          <w:tcPr>
            <w:tcW w:type="dxa" w:w="3322"/>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为本项目提供整体设计、规范编制或者项目管理、监理、检测等服务的供应商，不得再参加本项目的采购活动。（提供承诺函（格式自拟）加盖公章） 2.本项目不接受联合体投标。（提供承诺函（格式自拟）加盖公章）</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已标价工程量清单 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投标（响应）报价明细表 残疾人福利性单位声明函 供应商应提交的相关证明材料 无重大违法记录声明函 磋商有效期其他承诺函 法定代表人资格证明书或法定代表人授权委托书 符合法律、行政法规规定的其他条件的声明函 监狱企业的证明文件 具备履行合同所必需设备和专业技术能力的声明函 项目管理机构</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无环保类行政处罚记录声明函 已标价工程量清单 项目管理人员情况表 开标（报价）一览表 中小企业声明函 商务应答表 自觉抵制政府采购领域商业贿赂行为承诺书 商业信誉、财务会计制度、缴纳税收和社保的承诺函 封面 具有独立承担民事责任的能力证明文件 供应商承诺函 磋商保证金缴纳证明材料 其他材料 投标（响应）报价明细表 残疾人福利性单位声明函 供应商应提交的相关证明材料 无重大违法记录声明函 磋商有效期其他承诺函 法定代表人资格证明书或法定代表人授权委托书 符合法律、行政法规规定的其他条件的声明函 监狱企业的证明文件 项目管理机构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 投标（响应）报价明细表 商务应答表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已标价工程量清单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无环保类行政处罚记录声明函 已标价工程量清单 项目管理人员情况表 开标（报价）一览表 中小企业声明函 商务应答表 自觉抵制政府采购领域商业贿赂行为承诺书 商业信誉、财务会计制度、缴纳税收和社保的承诺函 封面 具有独立承担民事责任的能力证明文件 供应商承诺函 磋商保证金缴纳证明材料 投标（响应）报价明细表 其他材料 残疾人福利性单位声明函 供应商应提交的相关证明材料 无重大违法记录声明函 磋商有效期其他承诺函 法定代表人资格证明书或法定代表人授权委托书 符合法律、行政法规规定的其他条件的声明函 监狱企业的证明文件 项目管理机构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 商务应答表 磋商有效期其他承诺函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无环保类行政处罚记录声明函 已标价工程量清单 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磋商有效期其他承诺函 法定代表人资格证明书或法定代表人授权委托书 符合法律、行政法规规定的其他条件的声明函 监狱企业的证明文件 具备履行合同所必需设备和专业技术能力的声明函 项目管理机构</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文明施工、环境保护管理体系方案</w:t>
            </w:r>
          </w:p>
        </w:tc>
        <w:tc>
          <w:tcPr>
            <w:tcW w:type="dxa" w:w="2492"/>
          </w:tcPr>
          <w:p>
            <w:pPr>
              <w:pStyle w:val="null3"/>
              <w:jc w:val="left"/>
            </w:pPr>
            <w:r>
              <w:rPr>
                <w:rFonts w:ascii="仿宋_GB2312" w:hAnsi="仿宋_GB2312" w:cs="仿宋_GB2312" w:eastAsia="仿宋_GB2312"/>
              </w:rPr>
              <w:t>投标人根据项目实际情况提供文明施工、环境保护管理体系方案，评委小组根据投标人提供的方案进行评比赋分，方案应包含但不限于：（1）部门职责；（2）工作制度；（3）管理控制措施；（4）环境保护措施；提供上述1-4小项，各小项内容齐全无缺陷。每小项得2.5分（各小项独立评分），满分10分；方案每存在一处缺陷扣0.5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工程进度计划与措施方案</w:t>
            </w:r>
          </w:p>
        </w:tc>
        <w:tc>
          <w:tcPr>
            <w:tcW w:type="dxa" w:w="2492"/>
          </w:tcPr>
          <w:p>
            <w:pPr>
              <w:pStyle w:val="null3"/>
              <w:jc w:val="left"/>
            </w:pPr>
            <w:r>
              <w:rPr>
                <w:rFonts w:ascii="仿宋_GB2312" w:hAnsi="仿宋_GB2312" w:cs="仿宋_GB2312" w:eastAsia="仿宋_GB2312"/>
              </w:rPr>
              <w:t>投标人根据项目实际情况提供工程进度计划与措施方案，评委小组根据投标人提供的方案进行评比赋分，方案应包含但不限于：（1）进度控制措施；（2）进度计划图表；（3）进度风险评估与应对；（4）进度计划编制依据；提供上述1-4小项，各小项内容齐全无缺陷。每小项得5分（各小项独立评分），满分20分；方案每存在一处缺陷扣0.5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安全管理体系方案</w:t>
            </w:r>
          </w:p>
        </w:tc>
        <w:tc>
          <w:tcPr>
            <w:tcW w:type="dxa" w:w="2492"/>
          </w:tcPr>
          <w:p>
            <w:pPr>
              <w:pStyle w:val="null3"/>
              <w:jc w:val="left"/>
            </w:pPr>
            <w:r>
              <w:rPr>
                <w:rFonts w:ascii="仿宋_GB2312" w:hAnsi="仿宋_GB2312" w:cs="仿宋_GB2312" w:eastAsia="仿宋_GB2312"/>
              </w:rPr>
              <w:t>投标人根据项目实际情况提供安全管理体系方案，评委小组根据投标人提供的方案进行评比赋分，方案应包含但不限于：（1）安全检查和审核；（2）风险管理；（3）安全教育培训；（4）安全操作规程；提供上述1-4小项，各小项内容齐全无缺陷。每小项得2.5分（各小项独立评分），满分10分；方案每存在一处缺陷扣0.5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质量管理体系与措施方案</w:t>
            </w:r>
          </w:p>
        </w:tc>
        <w:tc>
          <w:tcPr>
            <w:tcW w:type="dxa" w:w="2492"/>
          </w:tcPr>
          <w:p>
            <w:pPr>
              <w:pStyle w:val="null3"/>
              <w:jc w:val="left"/>
            </w:pPr>
            <w:r>
              <w:rPr>
                <w:rFonts w:ascii="仿宋_GB2312" w:hAnsi="仿宋_GB2312" w:cs="仿宋_GB2312" w:eastAsia="仿宋_GB2312"/>
              </w:rPr>
              <w:t>投标人根据项目实际情况提供质量管理体系与措施方案，评委小组根据投标人提供的方案进行评比赋分，方案应包含但不限于：（1）质量管理制度和流程；（2）资源管理；（3）联络协调系统；（4）质量方针和目标提供上述1-4小项，各小项内容齐全无缺陷。每小项得2.5分（各小项独立评分），满分10分；方案每存在一处缺陷扣0.5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投标人根据项目实际情况提供应急方案，评委小组根据投标人提供的方案进行评比赋分，方案应包含但不限于：（1）应急组织机构及职责；（2）风险评估与预警；（3）应急资源保障；（4）后期处置；提供上述1-4小项，各小项内容齐全无缺陷。每小项得2.5分（各小项独立评分），满分10分；方案每存在一处缺陷扣0.5分，扣完为止。（缺陷是指：表述不完整性，与采购需求毫无关联；内容不适用 本项目特性；缺乏可操作性；内容缺少关键节点；套用其他项目内容；对同一问题前后表述矛盾；存在逻辑漏洞、科学原理或常识错误；涉及的规范及标准错误；不利于本项目目标的实现；现有技术条件下不可能出现的情形等任意一种情形）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2022年以来（以合同签订日期为准），投标供应商承接过类似项目业绩，每提供一个得2分，满分10分。 证明材料：提供合同关键页（首页、内容节选1页、签署页）复印件加盖公章。提供的合同关键页不能体现属于类似业绩的，该业绩不得分。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[ZJGJHN]20250600001[CS]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叉河镇排岸村委会老羊田村国道铁路桥入口至老羊田水库生产道路硬化工程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叉河镇排岸村委会老羊田村国道铁路桥入口至老羊田水库生产道路硬化工程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叉河镇排岸村委会老羊田村国道铁路桥入口至老羊田水库生产道路硬化工程</w:t>
            </w:r>
          </w:p>
        </w:tc>
        <w:tc>
          <w:tcPr>
            <w:tcW w:type="dxa" w:w="1038"/>
          </w:tcPr>
          <w:p>
            <w:pPr>
              <w:pStyle w:val="null3"/>
              <w:jc w:val="left"/>
            </w:pPr>
            <w:r>
              <w:rPr>
                <w:rFonts w:ascii="仿宋_GB2312" w:hAnsi="仿宋_GB2312" w:cs="仿宋_GB2312" w:eastAsia="仿宋_GB2312"/>
              </w:rPr>
              <w:t xml:space="preserve"> 2038.00元/平方米</w:t>
            </w:r>
          </w:p>
        </w:tc>
        <w:tc>
          <w:tcPr>
            <w:tcW w:type="dxa" w:w="1038"/>
          </w:tcPr>
          <w:p>
            <w:pPr>
              <w:pStyle w:val="null3"/>
              <w:jc w:val="left"/>
            </w:pPr>
            <w:r>
              <w:rPr>
                <w:rFonts w:ascii="仿宋_GB2312" w:hAnsi="仿宋_GB2312" w:cs="仿宋_GB2312" w:eastAsia="仿宋_GB2312"/>
              </w:rPr>
              <w:t xml:space="preserve"> 3065097.09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详见附件：磋商有效期其他承诺函</w:t>
      </w:r>
    </w:p>
    <w:p>
      <w:pPr>
        <w:pStyle w:val="null3"/>
        <w:ind w:firstLine="960"/>
        <w:jc w:val="left"/>
      </w:pPr>
      <w:r>
        <w:rPr>
          <w:rFonts w:ascii="仿宋_GB2312" w:hAnsi="仿宋_GB2312" w:cs="仿宋_GB2312" w:eastAsia="仿宋_GB2312"/>
        </w:rPr>
        <w:t>详见附件：已标价工程量清单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详见附件：项目管理机构</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