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医疗药械创新转化及康养旅游产业孵化项目谋划</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[ZHZX]20250400001[GK]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海南省发展和改革委员会</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政弘项目咨询管理（海南自贸区）有限公司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海南省发展和改革委员会</w:t>
      </w:r>
      <w:r>
        <w:rPr>
          <w:rFonts w:ascii="仿宋_GB2312" w:hAnsi="仿宋_GB2312" w:cs="仿宋_GB2312" w:eastAsia="仿宋_GB2312"/>
        </w:rPr>
        <w:t xml:space="preserve"> 委托， </w:t>
      </w:r>
      <w:r>
        <w:rPr>
          <w:rFonts w:ascii="仿宋_GB2312" w:hAnsi="仿宋_GB2312" w:cs="仿宋_GB2312" w:eastAsia="仿宋_GB2312"/>
        </w:rPr>
        <w:t>政弘项目咨询管理（海南自贸区）有限公司</w:t>
      </w:r>
      <w:r>
        <w:rPr>
          <w:rFonts w:ascii="仿宋_GB2312" w:hAnsi="仿宋_GB2312" w:cs="仿宋_GB2312" w:eastAsia="仿宋_GB2312"/>
        </w:rPr>
        <w:t xml:space="preserve"> 对 </w:t>
      </w:r>
      <w:r>
        <w:rPr>
          <w:rFonts w:ascii="仿宋_GB2312" w:hAnsi="仿宋_GB2312" w:cs="仿宋_GB2312" w:eastAsia="仿宋_GB2312"/>
        </w:rPr>
        <w:t>医疗药械创新转化及康养旅游产业孵化项目谋划</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[ZHZX]20250400001[GK]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医疗药械创新转化及康养旅游产业孵化项目谋划</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3,000,000.00元</w:t>
      </w:r>
      <w:r>
        <w:rPr>
          <w:rFonts w:ascii="仿宋_GB2312" w:hAnsi="仿宋_GB2312" w:cs="仿宋_GB2312" w:eastAsia="仿宋_GB2312"/>
        </w:rPr>
        <w:t>叁佰万元整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自合同签订之日起计算一年内。</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3.投标人须在海南政府采购网(https://www.ccgp-hainan.gov.cn/zhuzhan/)中的海南省政府采购电子化交易管理系统平台进行注册并完善信息，然后下载参与投标项目电子招标文件（文件集）及其他文件。 4.电子标:必须办理数字证书CA锁， 并使用数字证书（https://www.yuque.com/haonan123/bzzx /ugmn1f）进行签字和加密，投标截止时间前，必须登录系统上传加密的电子投标文件。 5.本项目为远程不见面开标，供应商无须到达开标现场，但开标前必须进入电子开标大厅在线签到（未签到视为无效投标），远程按时参加在线开标解密即可。 6.注意事项：电子标采用全程电子化操作，供应商应详细阅读海南政府采购网的通知《海南省财政厅关于进一步推进政府采购全流程电子化的通知》，供应商使用交易系统遇到问题请拨打以下热线电话：4001691288。 7. 本项目支持《政府采购促进中小企业发展管理办法》、《财政部印发通知 进一步加大政府采购支持中小企业力度》、《财政部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海南省财政厅关于印发《海南省绿色产品政府采购实施意见（试行）》的通知》、《海南省财政厅 海南省工业和信息化厅关于落实超常规举措加大对中小企业政府采购支持的通知》等相关政策。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海南省发展和改革委员会</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海南省海口市国兴大道9号省政府办公大楼8楼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赵海龙</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18516116642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政弘项目咨询管理（海南自贸区）有限公司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海南省海口市美兰区白龙街道美苑路盛达景都D栋1单元2801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吴毓强</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17789792751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自开标之日起60天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中标金额，参照原《海南省物价局关于降低部分招标代理服务收费标准的通知(琼价费管[2011]225号)》规定及招标代理机构提供的招标代理服务报价函收取代理费用。中标供应商应在中标公告发布之日起3个工作日内，向招标代理机构缴纳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2.本项目为非专门面向中小企业，给予小微企业的价格扣除优惠为10%。 3.供应商如遇技术问题自行联系海南省政府采购智慧云平台客服。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联系人：吴先生</w:t>
      </w:r>
    </w:p>
    <w:p>
      <w:pPr>
        <w:pStyle w:val="null3"/>
        <w:jc w:val="left"/>
      </w:pPr>
      <w:r>
        <w:rPr>
          <w:rFonts w:ascii="仿宋_GB2312" w:hAnsi="仿宋_GB2312" w:cs="仿宋_GB2312" w:eastAsia="仿宋_GB2312"/>
        </w:rPr>
        <w:t>联系电话：089865325605</w:t>
      </w:r>
    </w:p>
    <w:p>
      <w:pPr>
        <w:pStyle w:val="null3"/>
        <w:jc w:val="left"/>
      </w:pPr>
      <w:r>
        <w:rPr>
          <w:rFonts w:ascii="仿宋_GB2312" w:hAnsi="仿宋_GB2312" w:cs="仿宋_GB2312" w:eastAsia="仿宋_GB2312"/>
        </w:rPr>
        <w:t>地址：海口市美兰区大英山东一路国瑞城铂仕苑1号楼1单元2601室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按照国家生物制造重大战略方向，围绕海南现有医疗药械产业发展需求、资源禀赋和企业投资意愿，从以下细分赛道开展项目谋划：</w:t>
      </w:r>
      <w:r>
        <w:rPr>
          <w:rFonts w:ascii="仿宋_GB2312" w:hAnsi="仿宋_GB2312" w:cs="仿宋_GB2312" w:eastAsia="仿宋_GB2312"/>
        </w:rPr>
        <w:t>生物医药</w:t>
      </w:r>
      <w:r>
        <w:rPr>
          <w:rFonts w:ascii="仿宋_GB2312" w:hAnsi="仿宋_GB2312" w:cs="仿宋_GB2312" w:eastAsia="仿宋_GB2312"/>
        </w:rPr>
        <w:t>、</w:t>
      </w:r>
      <w:r>
        <w:rPr>
          <w:rFonts w:ascii="仿宋_GB2312" w:hAnsi="仿宋_GB2312" w:cs="仿宋_GB2312" w:eastAsia="仿宋_GB2312"/>
          <w:sz w:val="21"/>
        </w:rPr>
        <w:t>合成生物学、</w:t>
      </w:r>
      <w:r>
        <w:rPr>
          <w:rFonts w:ascii="仿宋_GB2312" w:hAnsi="仿宋_GB2312" w:cs="仿宋_GB2312" w:eastAsia="仿宋_GB2312"/>
          <w:sz w:val="21"/>
        </w:rPr>
        <w:t>医疗器械与装备</w:t>
      </w:r>
      <w:r>
        <w:rPr>
          <w:rFonts w:ascii="仿宋_GB2312" w:hAnsi="仿宋_GB2312" w:cs="仿宋_GB2312" w:eastAsia="仿宋_GB2312"/>
          <w:sz w:val="21"/>
        </w:rPr>
        <w:t>、</w:t>
      </w:r>
      <w:r>
        <w:rPr>
          <w:rFonts w:ascii="仿宋_GB2312" w:hAnsi="仿宋_GB2312" w:cs="仿宋_GB2312" w:eastAsia="仿宋_GB2312"/>
          <w:sz w:val="21"/>
        </w:rPr>
        <w:t>医疗服务、</w:t>
      </w:r>
      <w:r>
        <w:rPr>
          <w:rFonts w:ascii="仿宋_GB2312" w:hAnsi="仿宋_GB2312" w:cs="仿宋_GB2312" w:eastAsia="仿宋_GB2312"/>
          <w:sz w:val="21"/>
        </w:rPr>
        <w:t>农业食品、</w:t>
      </w:r>
      <w:r>
        <w:rPr>
          <w:rFonts w:ascii="仿宋_GB2312" w:hAnsi="仿宋_GB2312" w:cs="仿宋_GB2312" w:eastAsia="仿宋_GB2312"/>
          <w:sz w:val="21"/>
        </w:rPr>
        <w:t>康复康养</w:t>
      </w:r>
      <w:r>
        <w:rPr>
          <w:rFonts w:ascii="仿宋_GB2312" w:hAnsi="仿宋_GB2312" w:cs="仿宋_GB2312" w:eastAsia="仿宋_GB2312"/>
          <w:sz w:val="21"/>
        </w:rPr>
        <w:t>、</w:t>
      </w:r>
      <w:r>
        <w:rPr>
          <w:rFonts w:ascii="仿宋_GB2312" w:hAnsi="仿宋_GB2312" w:cs="仿宋_GB2312" w:eastAsia="仿宋_GB2312"/>
          <w:sz w:val="21"/>
        </w:rPr>
        <w:t>人工智能、</w:t>
      </w:r>
      <w:r>
        <w:rPr>
          <w:rFonts w:ascii="仿宋_GB2312" w:hAnsi="仿宋_GB2312" w:cs="仿宋_GB2312" w:eastAsia="仿宋_GB2312"/>
          <w:sz w:val="21"/>
        </w:rPr>
        <w:t>中医药、</w:t>
      </w:r>
      <w:r>
        <w:rPr>
          <w:rFonts w:ascii="仿宋_GB2312" w:hAnsi="仿宋_GB2312" w:cs="仿宋_GB2312" w:eastAsia="仿宋_GB2312"/>
          <w:sz w:val="21"/>
        </w:rPr>
        <w:t>动保产业</w:t>
      </w:r>
      <w:r>
        <w:rPr>
          <w:rFonts w:ascii="仿宋_GB2312" w:hAnsi="仿宋_GB2312" w:cs="仿宋_GB2312" w:eastAsia="仿宋_GB2312"/>
          <w:sz w:val="21"/>
        </w:rPr>
        <w:t>等。</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C20039900-其他咨询服务</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C20039900-其他咨询服务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标的名称：C20039900-其他咨询服务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rPr>
              <w:t>（一）项目基本情况</w:t>
            </w:r>
          </w:p>
          <w:p>
            <w:pPr>
              <w:pStyle w:val="null3"/>
              <w:ind w:firstLine="400"/>
              <w:jc w:val="left"/>
            </w:pPr>
            <w:r>
              <w:rPr>
                <w:rFonts w:ascii="仿宋_GB2312" w:hAnsi="仿宋_GB2312" w:cs="仿宋_GB2312" w:eastAsia="仿宋_GB2312"/>
              </w:rPr>
              <w:t>1、采购预算：¥300万元（含税费及其他相关费用）（大写：人民币叁佰万元整）</w:t>
            </w:r>
          </w:p>
          <w:p>
            <w:pPr>
              <w:pStyle w:val="null3"/>
              <w:ind w:firstLine="400"/>
              <w:jc w:val="left"/>
            </w:pPr>
            <w:r>
              <w:rPr>
                <w:rFonts w:ascii="仿宋_GB2312" w:hAnsi="仿宋_GB2312" w:cs="仿宋_GB2312" w:eastAsia="仿宋_GB2312"/>
              </w:rPr>
              <w:t>2、服务地点：采购人指定地点。</w:t>
            </w:r>
          </w:p>
          <w:p>
            <w:pPr>
              <w:pStyle w:val="null3"/>
              <w:ind w:firstLine="400"/>
              <w:jc w:val="left"/>
            </w:pPr>
            <w:r>
              <w:rPr>
                <w:rFonts w:ascii="仿宋_GB2312" w:hAnsi="仿宋_GB2312" w:cs="仿宋_GB2312" w:eastAsia="仿宋_GB2312"/>
              </w:rPr>
              <w:t>3、</w:t>
            </w:r>
            <w:r>
              <w:rPr>
                <w:rFonts w:ascii="仿宋_GB2312" w:hAnsi="仿宋_GB2312" w:cs="仿宋_GB2312" w:eastAsia="仿宋_GB2312"/>
              </w:rPr>
              <w:t>服务期限：自合同签订之日起计算一年内。</w:t>
            </w:r>
          </w:p>
          <w:p>
            <w:pPr>
              <w:pStyle w:val="null3"/>
              <w:ind w:firstLine="400"/>
              <w:jc w:val="left"/>
            </w:pPr>
            <w:r>
              <w:rPr>
                <w:rFonts w:ascii="仿宋_GB2312" w:hAnsi="仿宋_GB2312" w:cs="仿宋_GB2312" w:eastAsia="仿宋_GB2312"/>
              </w:rPr>
              <w:t>（二）项目服务工作内容</w:t>
            </w:r>
          </w:p>
          <w:p>
            <w:pPr>
              <w:pStyle w:val="null3"/>
              <w:ind w:firstLine="400"/>
              <w:jc w:val="left"/>
            </w:pPr>
            <w:r>
              <w:rPr>
                <w:rFonts w:ascii="仿宋_GB2312" w:hAnsi="仿宋_GB2312" w:cs="仿宋_GB2312" w:eastAsia="仿宋_GB2312"/>
              </w:rPr>
              <w:t>按照国家生物制造重大战略方向，围绕海南现有医疗药械产业发展需求、资源禀赋和企业投资意愿，从以下细分赛道开展项目谋划：</w:t>
            </w:r>
          </w:p>
          <w:p>
            <w:pPr>
              <w:pStyle w:val="null3"/>
              <w:ind w:firstLine="400"/>
              <w:jc w:val="left"/>
            </w:pPr>
            <w:r>
              <w:rPr>
                <w:rFonts w:ascii="仿宋_GB2312" w:hAnsi="仿宋_GB2312" w:cs="仿宋_GB2312" w:eastAsia="仿宋_GB2312"/>
              </w:rPr>
              <w:t>1.生物医药</w:t>
            </w:r>
          </w:p>
          <w:p>
            <w:pPr>
              <w:pStyle w:val="null3"/>
              <w:ind w:firstLine="400"/>
              <w:jc w:val="left"/>
            </w:pPr>
            <w:r>
              <w:rPr>
                <w:rFonts w:ascii="仿宋_GB2312" w:hAnsi="仿宋_GB2312" w:cs="仿宋_GB2312" w:eastAsia="仿宋_GB2312"/>
              </w:rPr>
              <w:t>海南生物医药产业近年来发展迅速，海口高新区、三亚崖州湾科技城已初步形成了一定的产业规模和集聚效应。充分结合博鳌乐城先行区允许使用国际创新药械（先行先试政策），重点关注创新药研发、仿制药与原料药、疫苗与生物制品、生物技术平台，包括：靶向药物、基因治疗、细胞治疗、高附加值仿制药、特色原料药、</w:t>
            </w:r>
            <w:r>
              <w:rPr>
                <w:rFonts w:ascii="仿宋_GB2312" w:hAnsi="仿宋_GB2312" w:cs="仿宋_GB2312" w:eastAsia="仿宋_GB2312"/>
              </w:rPr>
              <w:t>mRNA疫苗、重组蛋白疫苗、抗体药物、CRO/CDMO服务、基因测序、药物递送、合成生物学技术。</w:t>
            </w:r>
          </w:p>
          <w:p>
            <w:pPr>
              <w:pStyle w:val="null3"/>
              <w:ind w:firstLine="400"/>
              <w:jc w:val="left"/>
            </w:pPr>
            <w:r>
              <w:rPr>
                <w:rFonts w:ascii="仿宋_GB2312" w:hAnsi="仿宋_GB2312" w:cs="仿宋_GB2312" w:eastAsia="仿宋_GB2312"/>
              </w:rPr>
              <w:t>2.合成生物学</w:t>
            </w:r>
          </w:p>
          <w:p>
            <w:pPr>
              <w:pStyle w:val="null3"/>
              <w:ind w:firstLine="400"/>
              <w:jc w:val="left"/>
            </w:pPr>
            <w:r>
              <w:rPr>
                <w:rFonts w:ascii="仿宋_GB2312" w:hAnsi="仿宋_GB2312" w:cs="仿宋_GB2312" w:eastAsia="仿宋_GB2312"/>
              </w:rPr>
              <w:t>合成生物学作为平台技术，在生物制造中发挥着至关重要的作用。合成生物技术利用生物系统生产重要的生物分子，应用于医药、农业、食品、新材料、医美、能源等诸多行业。与龙头企业联合打造合成生物技术平台，探索新技术新产品方带动企业第二生命成长曲线，同时通过龙头企业的带动效吸引优质资源聚集。</w:t>
            </w:r>
          </w:p>
          <w:p>
            <w:pPr>
              <w:pStyle w:val="null3"/>
              <w:ind w:firstLine="400"/>
              <w:jc w:val="left"/>
            </w:pPr>
            <w:r>
              <w:rPr>
                <w:rFonts w:ascii="仿宋_GB2312" w:hAnsi="仿宋_GB2312" w:cs="仿宋_GB2312" w:eastAsia="仿宋_GB2312"/>
              </w:rPr>
              <w:t>3.医疗器械与装备</w:t>
            </w:r>
          </w:p>
          <w:p>
            <w:pPr>
              <w:pStyle w:val="null3"/>
              <w:ind w:firstLine="400"/>
              <w:jc w:val="left"/>
            </w:pPr>
            <w:r>
              <w:rPr>
                <w:rFonts w:ascii="仿宋_GB2312" w:hAnsi="仿宋_GB2312" w:cs="仿宋_GB2312" w:eastAsia="仿宋_GB2312"/>
              </w:rPr>
              <w:t>以海凭国际・海口高新区医疗器械园等专业园区为基础，海南已吸引了众多医疗器械企业入驻。涵盖了医用设备及耗材、第三方检测机构等专业领域，重点关注高端医疗设备、体外诊断、医用耗材，包括影像设备、血液透析、呼吸机、</w:t>
            </w:r>
            <w:r>
              <w:rPr>
                <w:rFonts w:ascii="仿宋_GB2312" w:hAnsi="仿宋_GB2312" w:cs="仿宋_GB2312" w:eastAsia="仿宋_GB2312"/>
              </w:rPr>
              <w:t>IVD、骨科耗材等项目。</w:t>
            </w:r>
          </w:p>
          <w:p>
            <w:pPr>
              <w:pStyle w:val="null3"/>
              <w:ind w:firstLine="400"/>
              <w:jc w:val="left"/>
            </w:pPr>
            <w:r>
              <w:rPr>
                <w:rFonts w:ascii="仿宋_GB2312" w:hAnsi="仿宋_GB2312" w:cs="仿宋_GB2312" w:eastAsia="仿宋_GB2312"/>
              </w:rPr>
              <w:t>4.医疗服务</w:t>
            </w:r>
          </w:p>
          <w:p>
            <w:pPr>
              <w:pStyle w:val="null3"/>
              <w:ind w:firstLine="400"/>
              <w:jc w:val="left"/>
            </w:pPr>
            <w:r>
              <w:rPr>
                <w:rFonts w:ascii="仿宋_GB2312" w:hAnsi="仿宋_GB2312" w:cs="仿宋_GB2312" w:eastAsia="仿宋_GB2312"/>
              </w:rPr>
              <w:t>博鳌乐城国际医疗旅游先行区凭借特许政策，引进了国际先进的医疗技术、药品和医疗器械，开展了一系列高端医疗服务项目，重点关注高端医疗服务、特色专科服务，如肿瘤治疗、辅助生殖、医美抗衰、眼科、健康管理等。</w:t>
            </w:r>
          </w:p>
          <w:p>
            <w:pPr>
              <w:pStyle w:val="null3"/>
              <w:ind w:firstLine="400"/>
              <w:jc w:val="left"/>
            </w:pPr>
            <w:r>
              <w:rPr>
                <w:rFonts w:ascii="仿宋_GB2312" w:hAnsi="仿宋_GB2312" w:cs="仿宋_GB2312" w:eastAsia="仿宋_GB2312"/>
              </w:rPr>
              <w:t>5.农业食品</w:t>
            </w:r>
          </w:p>
          <w:p>
            <w:pPr>
              <w:pStyle w:val="null3"/>
              <w:ind w:firstLine="400"/>
              <w:jc w:val="left"/>
            </w:pPr>
            <w:r>
              <w:rPr>
                <w:rFonts w:ascii="仿宋_GB2312" w:hAnsi="仿宋_GB2312" w:cs="仿宋_GB2312" w:eastAsia="仿宋_GB2312"/>
              </w:rPr>
              <w:t>海南拥有丰富的热带生物资源，但深加工产业不足，自贸港利于进口原料加工增值后出口的政策以及博鳌乐城国际医疗旅游先行区施行特医食品和保健食品等系列政策都积极促进了国际化的合作趋势。目前很多药企也积极从严肃医疗转向消费医疗市场，拓展功能性食品赛道，从原料提供到产品研发全产业链接介入，重点关注功能性食品饮料、特医食品、海洋生物制品，如益生菌、代餐食品、运营营养品、肿瘤患者营养支持、糖尿病特膳等。</w:t>
            </w:r>
          </w:p>
          <w:p>
            <w:pPr>
              <w:pStyle w:val="null3"/>
              <w:ind w:firstLine="400"/>
              <w:jc w:val="left"/>
            </w:pPr>
            <w:r>
              <w:rPr>
                <w:rFonts w:ascii="仿宋_GB2312" w:hAnsi="仿宋_GB2312" w:cs="仿宋_GB2312" w:eastAsia="仿宋_GB2312"/>
              </w:rPr>
              <w:t>6.康复康养</w:t>
            </w:r>
          </w:p>
          <w:p>
            <w:pPr>
              <w:pStyle w:val="null3"/>
              <w:ind w:firstLine="400"/>
              <w:jc w:val="left"/>
            </w:pPr>
            <w:r>
              <w:rPr>
                <w:rFonts w:ascii="仿宋_GB2312" w:hAnsi="仿宋_GB2312" w:cs="仿宋_GB2312" w:eastAsia="仿宋_GB2312"/>
              </w:rPr>
              <w:t>融合海南丰富的旅游资源与康养理念，结合乐城国际医疗旅游先行区的医疗服务机构，打造医养结合的康养服务体系，满足多层次、差异化的康养需求。重头关注医疗康复、养老康养、旅游康养三个方向，包括以专业医疗机构为依托术后康复、慢性病康复、运动损伤康复等服务、居家养老服务、社区养老服务和机构养老服务、滨海康养等特色产品。</w:t>
            </w:r>
          </w:p>
          <w:p>
            <w:pPr>
              <w:pStyle w:val="null3"/>
              <w:ind w:firstLine="400"/>
              <w:jc w:val="left"/>
            </w:pPr>
            <w:r>
              <w:rPr>
                <w:rFonts w:ascii="仿宋_GB2312" w:hAnsi="仿宋_GB2312" w:cs="仿宋_GB2312" w:eastAsia="仿宋_GB2312"/>
              </w:rPr>
              <w:t>7.人工智能</w:t>
            </w:r>
          </w:p>
          <w:p>
            <w:pPr>
              <w:pStyle w:val="null3"/>
              <w:ind w:firstLine="400"/>
              <w:jc w:val="left"/>
            </w:pPr>
            <w:r>
              <w:rPr>
                <w:rFonts w:ascii="仿宋_GB2312" w:hAnsi="仿宋_GB2312" w:cs="仿宋_GB2312" w:eastAsia="仿宋_GB2312"/>
              </w:rPr>
              <w:t>依托海南生态软件园的数字健康产业基础，结合乐城国际医疗旅游先行区聚集的医疗服务机构较多的应用场景，大量的真实世界数据可用于</w:t>
            </w:r>
            <w:r>
              <w:rPr>
                <w:rFonts w:ascii="仿宋_GB2312" w:hAnsi="仿宋_GB2312" w:cs="仿宋_GB2312" w:eastAsia="仿宋_GB2312"/>
              </w:rPr>
              <w:t>AI模型训练，同时海南自贸港数据跨境流动政策有利于国际医疗数据合作，包括AI药物研发、AI辅助诊断、医学影像分析、病理识别、手术机器人、骨科导航机器人、康复机器人等。</w:t>
            </w:r>
          </w:p>
          <w:p>
            <w:pPr>
              <w:pStyle w:val="null3"/>
              <w:ind w:firstLine="400"/>
              <w:jc w:val="left"/>
            </w:pPr>
            <w:r>
              <w:rPr>
                <w:rFonts w:ascii="仿宋_GB2312" w:hAnsi="仿宋_GB2312" w:cs="仿宋_GB2312" w:eastAsia="仿宋_GB2312"/>
              </w:rPr>
              <w:t>8.中医药</w:t>
            </w:r>
          </w:p>
          <w:p>
            <w:pPr>
              <w:pStyle w:val="null3"/>
              <w:ind w:firstLine="400"/>
              <w:jc w:val="left"/>
            </w:pPr>
            <w:r>
              <w:rPr>
                <w:rFonts w:ascii="仿宋_GB2312" w:hAnsi="仿宋_GB2312" w:cs="仿宋_GB2312" w:eastAsia="仿宋_GB2312"/>
              </w:rPr>
              <w:t>海南南药资源占全国总量</w:t>
            </w:r>
            <w:r>
              <w:rPr>
                <w:rFonts w:ascii="仿宋_GB2312" w:hAnsi="仿宋_GB2312" w:cs="仿宋_GB2312" w:eastAsia="仿宋_GB2312"/>
              </w:rPr>
              <w:t>40%，黎族医药独具特色，但海南中医药产业整体规模较小，产业链上下游协同发展不足，结合海南优质的康养资源重点从中药创新药、中医服务、中医药旅游切入，包括黎药、中药保健品、中药化妆品、中医诊所连锁、中医保健等。</w:t>
            </w:r>
          </w:p>
          <w:p>
            <w:pPr>
              <w:pStyle w:val="null3"/>
              <w:ind w:firstLine="400"/>
              <w:jc w:val="left"/>
            </w:pPr>
            <w:r>
              <w:rPr>
                <w:rFonts w:ascii="仿宋_GB2312" w:hAnsi="仿宋_GB2312" w:cs="仿宋_GB2312" w:eastAsia="仿宋_GB2312"/>
              </w:rPr>
              <w:t>9.动保产业</w:t>
            </w:r>
          </w:p>
          <w:p>
            <w:pPr>
              <w:pStyle w:val="null3"/>
              <w:ind w:firstLine="400"/>
              <w:jc w:val="left"/>
            </w:pPr>
            <w:r>
              <w:rPr>
                <w:rFonts w:ascii="仿宋_GB2312" w:hAnsi="仿宋_GB2312" w:cs="仿宋_GB2312" w:eastAsia="仿宋_GB2312"/>
              </w:rPr>
              <w:t>海南作为我国重要的畜禽和水产养殖基地，结合自贸港、乐城先行区关于动保产品的相关政策支持，以及国内很多药企也开始从人药布局到兽药的现状，动保产业有很大的发展空间，包括兽药、饲料添加剂（营养型添加剂、功能型添加剂、药物型添加剂）、畜禽疫苗、宠物疫苗、宠物设备等。</w:t>
            </w:r>
          </w:p>
          <w:p>
            <w:pPr>
              <w:pStyle w:val="null3"/>
              <w:ind w:firstLine="400"/>
              <w:jc w:val="left"/>
            </w:pPr>
            <w:r>
              <w:rPr>
                <w:rFonts w:ascii="仿宋_GB2312" w:hAnsi="仿宋_GB2312" w:cs="仿宋_GB2312" w:eastAsia="仿宋_GB2312"/>
              </w:rPr>
              <w:t>（三）项目成果要求</w:t>
            </w:r>
          </w:p>
          <w:p>
            <w:pPr>
              <w:pStyle w:val="null3"/>
              <w:ind w:firstLine="400"/>
              <w:jc w:val="left"/>
            </w:pPr>
            <w:r>
              <w:rPr>
                <w:rFonts w:ascii="仿宋_GB2312" w:hAnsi="仿宋_GB2312" w:cs="仿宋_GB2312" w:eastAsia="仿宋_GB2312"/>
              </w:rPr>
              <w:t>1.书面成果</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1）编制《海南省医疗药械创新转化及康养旅游产业产业研究报告》，报告要包括但不限于项目谋划思路、发展优势、实施路径、项目清单、投融资模式、要素保障措施等，项目研究内容需满足招商引资需求（项目谋划报告（招商计划书）深度），形成项目清单。每个项目按照项目概况、项目预期成效、项目建设方案、项目建设前置条件落实情况及需求、项目投资估算及效益分析、主要目标投资企业信息、项目招商书等形成单行材料。</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2）结合海南医疗药械及康养旅游产业发展基础、产业布局，叠加海南自由贸易港政策优势谋划一批可落地、执行性强的医疗药械及康养旅游产业领域项目，形成项目谋划清单，不少于10个重大标志性项目(单个项目投资规模不低于1亿元或具备较强产业带动性)，总投资额不低于10亿元。项目谋划清单的内容应包含项目名称、项目谋划依据、建设内容及规模、选址建议、匡算投资、资金来源建议、建设周期、经济效益分析、建议业主或潜在投资人、成熟度及可能性分析等基本要素，在清单中需对各要素内容进行充分明确的表述。</w:t>
            </w:r>
          </w:p>
          <w:p>
            <w:pPr>
              <w:pStyle w:val="null3"/>
              <w:ind w:firstLine="400"/>
              <w:jc w:val="left"/>
            </w:pPr>
            <w:r>
              <w:rPr>
                <w:rFonts w:ascii="仿宋_GB2312" w:hAnsi="仿宋_GB2312" w:cs="仿宋_GB2312" w:eastAsia="仿宋_GB2312"/>
              </w:rPr>
              <w:t>2.项目专项服务</w:t>
            </w:r>
          </w:p>
          <w:p>
            <w:pPr>
              <w:pStyle w:val="null3"/>
              <w:ind w:firstLine="400"/>
              <w:jc w:val="left"/>
            </w:pPr>
            <w:r>
              <w:rPr>
                <w:rFonts w:ascii="仿宋_GB2312" w:hAnsi="仿宋_GB2312" w:cs="仿宋_GB2312" w:eastAsia="仿宋_GB2312"/>
              </w:rPr>
              <w:t>结合具体谋划情况，开展专项培训等相关服务，年度提供不少于</w:t>
            </w:r>
            <w:r>
              <w:rPr>
                <w:rFonts w:ascii="仿宋_GB2312" w:hAnsi="仿宋_GB2312" w:cs="仿宋_GB2312" w:eastAsia="仿宋_GB2312"/>
              </w:rPr>
              <w:t>2次专项服务。系统介绍每个项目的谋划基础、谋划思路、商业模式、产业情况、招商痛点、海南优势、目标企业情况等。</w:t>
            </w:r>
          </w:p>
          <w:p>
            <w:pPr>
              <w:pStyle w:val="null3"/>
              <w:ind w:firstLine="400"/>
              <w:jc w:val="left"/>
            </w:pPr>
            <w:r>
              <w:rPr>
                <w:rFonts w:ascii="仿宋_GB2312" w:hAnsi="仿宋_GB2312" w:cs="仿宋_GB2312" w:eastAsia="仿宋_GB2312"/>
              </w:rPr>
              <w:t>举办</w:t>
            </w:r>
            <w:r>
              <w:rPr>
                <w:rFonts w:ascii="仿宋_GB2312" w:hAnsi="仿宋_GB2312" w:cs="仿宋_GB2312" w:eastAsia="仿宋_GB2312"/>
              </w:rPr>
              <w:t>1场项目对接活动，组织至少10家企业与海南省政府招商部门对接；在海南举办1场小型产业论坛，规模至少80人以上，邀请至少30家企业参会。</w:t>
            </w:r>
          </w:p>
          <w:p>
            <w:pPr>
              <w:pStyle w:val="null3"/>
              <w:ind w:firstLine="400"/>
              <w:jc w:val="left"/>
            </w:pPr>
            <w:r>
              <w:rPr>
                <w:rFonts w:ascii="仿宋_GB2312" w:hAnsi="仿宋_GB2312" w:cs="仿宋_GB2312" w:eastAsia="仿宋_GB2312"/>
              </w:rPr>
              <w:t>供应商</w:t>
            </w:r>
            <w:r>
              <w:rPr>
                <w:rFonts w:ascii="仿宋_GB2312" w:hAnsi="仿宋_GB2312" w:cs="仿宋_GB2312" w:eastAsia="仿宋_GB2312"/>
              </w:rPr>
              <w:t>需委派至少</w:t>
            </w:r>
            <w:r>
              <w:rPr>
                <w:rFonts w:ascii="仿宋_GB2312" w:hAnsi="仿宋_GB2312" w:cs="仿宋_GB2312" w:eastAsia="仿宋_GB2312"/>
              </w:rPr>
              <w:t>1名项目谋划专员或专家在甲方所在地驻场服务一年。</w:t>
            </w:r>
          </w:p>
          <w:p>
            <w:pPr>
              <w:pStyle w:val="null3"/>
              <w:ind w:firstLine="400"/>
              <w:jc w:val="left"/>
            </w:pPr>
            <w:r>
              <w:rPr>
                <w:rFonts w:ascii="仿宋_GB2312" w:hAnsi="仿宋_GB2312" w:cs="仿宋_GB2312" w:eastAsia="仿宋_GB2312"/>
              </w:rPr>
              <w:t>3.项目落地服务</w:t>
            </w:r>
          </w:p>
          <w:p>
            <w:pPr>
              <w:pStyle w:val="null3"/>
              <w:ind w:firstLine="400"/>
              <w:jc w:val="left"/>
            </w:pPr>
            <w:r>
              <w:rPr>
                <w:rFonts w:ascii="仿宋_GB2312" w:hAnsi="仿宋_GB2312" w:cs="仿宋_GB2312" w:eastAsia="仿宋_GB2312"/>
              </w:rPr>
              <w:t>通过项目谋划、资源对接和申报指导等方式，</w:t>
            </w:r>
            <w:r>
              <w:rPr>
                <w:rFonts w:ascii="仿宋_GB2312" w:hAnsi="仿宋_GB2312" w:cs="仿宋_GB2312" w:eastAsia="仿宋_GB2312"/>
              </w:rPr>
              <w:t>供应商</w:t>
            </w:r>
            <w:r>
              <w:rPr>
                <w:rFonts w:ascii="仿宋_GB2312" w:hAnsi="仿宋_GB2312" w:cs="仿宋_GB2312" w:eastAsia="仿宋_GB2312"/>
              </w:rPr>
              <w:t>需牵头或协助甲方落地至少</w:t>
            </w:r>
            <w:r>
              <w:rPr>
                <w:rFonts w:ascii="仿宋_GB2312" w:hAnsi="仿宋_GB2312" w:cs="仿宋_GB2312" w:eastAsia="仿宋_GB2312"/>
              </w:rPr>
              <w:t>3个标志性谋划项目，总投资额不低于3亿元，不限于项目服务周期内完成。项目落地以投资主体拿地、投资资金到资或得到上级资金（中央预算内投资、超长期国债、专项债等）支持为准。</w:t>
            </w:r>
          </w:p>
          <w:p>
            <w:pPr>
              <w:pStyle w:val="null3"/>
              <w:jc w:val="both"/>
            </w:pPr>
            <w:r>
              <w:rPr>
                <w:rFonts w:ascii="仿宋_GB2312" w:hAnsi="仿宋_GB2312" w:cs="仿宋_GB2312" w:eastAsia="仿宋_GB2312"/>
                <w:sz w:val="21"/>
              </w:rPr>
              <w:t>说明：本项目采购需求中带</w:t>
            </w:r>
            <w:r>
              <w:rPr>
                <w:rFonts w:ascii="仿宋_GB2312" w:hAnsi="仿宋_GB2312" w:cs="仿宋_GB2312" w:eastAsia="仿宋_GB2312"/>
                <w:sz w:val="21"/>
              </w:rPr>
              <w:t>★内容不允许负偏离，否则废标处理。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00"/>
              <w:jc w:val="left"/>
            </w:pPr>
            <w:r>
              <w:rPr>
                <w:rFonts w:ascii="仿宋_GB2312" w:hAnsi="仿宋_GB2312" w:cs="仿宋_GB2312" w:eastAsia="仿宋_GB2312"/>
              </w:rPr>
              <w:t>（一）服务要求</w:t>
            </w:r>
          </w:p>
          <w:p>
            <w:pPr>
              <w:pStyle w:val="null3"/>
              <w:ind w:firstLine="400"/>
              <w:jc w:val="left"/>
            </w:pPr>
            <w:r>
              <w:rPr>
                <w:rFonts w:ascii="仿宋_GB2312" w:hAnsi="仿宋_GB2312" w:cs="仿宋_GB2312" w:eastAsia="仿宋_GB2312"/>
              </w:rPr>
              <w:t>1.项目执行过程中，供应商项目负责人原则上不能更换，确需更换项目负责人的，应经过采购人同意。</w:t>
            </w:r>
          </w:p>
          <w:p>
            <w:pPr>
              <w:pStyle w:val="null3"/>
              <w:ind w:firstLine="400"/>
              <w:jc w:val="left"/>
            </w:pPr>
            <w:r>
              <w:rPr>
                <w:rFonts w:ascii="仿宋_GB2312" w:hAnsi="仿宋_GB2312" w:cs="仿宋_GB2312" w:eastAsia="仿宋_GB2312"/>
              </w:rPr>
              <w:t>2.供应商应依法尽职尽责执行服务事务，定期向采购人报告服务事项的最新进展。</w:t>
            </w:r>
          </w:p>
          <w:p>
            <w:pPr>
              <w:pStyle w:val="null3"/>
              <w:ind w:firstLine="400"/>
              <w:jc w:val="left"/>
            </w:pPr>
            <w:r>
              <w:rPr>
                <w:rFonts w:ascii="仿宋_GB2312" w:hAnsi="仿宋_GB2312" w:cs="仿宋_GB2312" w:eastAsia="仿宋_GB2312"/>
              </w:rPr>
              <w:t>3.供应商应按合同约定向采购人提交工作成果。</w:t>
            </w:r>
          </w:p>
          <w:p>
            <w:pPr>
              <w:pStyle w:val="null3"/>
              <w:ind w:firstLine="400"/>
              <w:jc w:val="left"/>
            </w:pPr>
            <w:r>
              <w:rPr>
                <w:rFonts w:ascii="仿宋_GB2312" w:hAnsi="仿宋_GB2312" w:cs="仿宋_GB2312" w:eastAsia="仿宋_GB2312"/>
              </w:rPr>
              <w:t>4.供应商的所有服务活动须严格服从采购人管理，应文明、安全、规范服务，在服务过程中应注意安全，承担因自身引起的安全事故责任。</w:t>
            </w:r>
          </w:p>
          <w:p>
            <w:pPr>
              <w:pStyle w:val="null3"/>
              <w:ind w:firstLine="400"/>
              <w:jc w:val="left"/>
            </w:pPr>
            <w:r>
              <w:rPr>
                <w:rFonts w:ascii="仿宋_GB2312" w:hAnsi="仿宋_GB2312" w:cs="仿宋_GB2312" w:eastAsia="仿宋_GB2312"/>
              </w:rPr>
              <w:t>5.成果权属：因履行项目产生的技术成果的所有权、使用权、除署名权以外的著作权和其他知识产权归采购人所有。上述技术成果包括但不限于因履行项目产生的设计方案、咨询成果、规程规范、专利、论文、专著等。</w:t>
            </w:r>
          </w:p>
          <w:p>
            <w:pPr>
              <w:pStyle w:val="null3"/>
              <w:ind w:firstLine="400"/>
              <w:jc w:val="left"/>
            </w:pPr>
            <w:r>
              <w:rPr>
                <w:rFonts w:ascii="仿宋_GB2312" w:hAnsi="仿宋_GB2312" w:cs="仿宋_GB2312" w:eastAsia="仿宋_GB2312"/>
              </w:rPr>
              <w:t>6.保密义务：采购人因项目开展需要向供应商提供的各类数据、资料、技术规范、商业需求等信息，受托人应承担保密义务。若供应商未能保守商业秘密，导致采购人商业秘密泄露或对采购人造成损失，供应商应负有采取补救措施以及违约赔偿的责任。</w:t>
            </w:r>
          </w:p>
          <w:p>
            <w:pPr>
              <w:pStyle w:val="null3"/>
              <w:ind w:firstLine="400"/>
              <w:jc w:val="left"/>
            </w:pPr>
            <w:r>
              <w:rPr>
                <w:rFonts w:ascii="仿宋_GB2312" w:hAnsi="仿宋_GB2312" w:cs="仿宋_GB2312" w:eastAsia="仿宋_GB2312"/>
              </w:rPr>
              <w:t>7.侵权责任：供应商因履行项目产生的技术成果或在项目实施过程中使用的技术、方法侵犯了第三方合法权益的，由供应商承担一切赔偿和法律责任。</w:t>
            </w:r>
          </w:p>
          <w:p>
            <w:pPr>
              <w:pStyle w:val="null3"/>
              <w:ind w:firstLine="400"/>
              <w:jc w:val="left"/>
            </w:pPr>
            <w:r>
              <w:rPr>
                <w:rFonts w:ascii="仿宋_GB2312" w:hAnsi="仿宋_GB2312" w:cs="仿宋_GB2312" w:eastAsia="仿宋_GB2312"/>
              </w:rPr>
              <w:t>（二）其他要求</w:t>
            </w:r>
          </w:p>
          <w:p>
            <w:pPr>
              <w:pStyle w:val="null3"/>
              <w:ind w:firstLine="400"/>
              <w:jc w:val="left"/>
            </w:pPr>
            <w:r>
              <w:rPr>
                <w:rFonts w:ascii="仿宋_GB2312" w:hAnsi="仿宋_GB2312" w:cs="仿宋_GB2312" w:eastAsia="仿宋_GB2312"/>
              </w:rPr>
              <w:t>1、服务期限及地点</w:t>
            </w:r>
          </w:p>
          <w:p>
            <w:pPr>
              <w:pStyle w:val="null3"/>
              <w:ind w:firstLine="400"/>
              <w:jc w:val="left"/>
            </w:pPr>
            <w:r>
              <w:rPr>
                <w:rFonts w:ascii="仿宋_GB2312" w:hAnsi="仿宋_GB2312" w:cs="仿宋_GB2312" w:eastAsia="仿宋_GB2312"/>
              </w:rPr>
              <w:t>1.1 服务期限:自合同签订之日起计算一年内。</w:t>
            </w:r>
          </w:p>
          <w:p>
            <w:pPr>
              <w:pStyle w:val="null3"/>
              <w:ind w:firstLine="400"/>
              <w:jc w:val="left"/>
            </w:pPr>
            <w:r>
              <w:rPr>
                <w:rFonts w:ascii="仿宋_GB2312" w:hAnsi="仿宋_GB2312" w:cs="仿宋_GB2312" w:eastAsia="仿宋_GB2312"/>
              </w:rPr>
              <w:t>1.2 服务地点:采购人指定地点。</w:t>
            </w:r>
          </w:p>
          <w:p>
            <w:pPr>
              <w:pStyle w:val="null3"/>
              <w:ind w:firstLine="400"/>
              <w:jc w:val="left"/>
            </w:pPr>
            <w:r>
              <w:rPr>
                <w:rFonts w:ascii="仿宋_GB2312" w:hAnsi="仿宋_GB2312" w:cs="仿宋_GB2312" w:eastAsia="仿宋_GB2312"/>
              </w:rPr>
              <w:t>2、付款方法和条件：</w:t>
            </w:r>
            <w:r>
              <w:rPr>
                <w:rFonts w:ascii="仿宋_GB2312" w:hAnsi="仿宋_GB2312" w:cs="仿宋_GB2312" w:eastAsia="仿宋_GB2312"/>
              </w:rPr>
              <w:t>合同签订后3日内，采购人依据中标人开具的发票，支付项目合同总额的30%。</w:t>
            </w:r>
            <w:r>
              <w:rPr>
                <w:rFonts w:ascii="仿宋_GB2312" w:hAnsi="仿宋_GB2312" w:cs="仿宋_GB2312" w:eastAsia="仿宋_GB2312"/>
              </w:rPr>
              <w:t>中标人完成中期成果汇报并通过的，在中期成果汇报后5日内，采购人依据中标人开具的发票，支付项目合同总额的20%。</w:t>
            </w:r>
            <w:r>
              <w:rPr>
                <w:rFonts w:ascii="仿宋_GB2312" w:hAnsi="仿宋_GB2312" w:cs="仿宋_GB2312" w:eastAsia="仿宋_GB2312"/>
              </w:rPr>
              <w:t>项目成果和项目专项服务全部最终通过验收后5日内，采购人依据中标人开具的发票，支付项目合同总额的20%。</w:t>
            </w:r>
            <w:r>
              <w:rPr>
                <w:rFonts w:ascii="仿宋_GB2312" w:hAnsi="仿宋_GB2312" w:cs="仿宋_GB2312" w:eastAsia="仿宋_GB2312"/>
              </w:rPr>
              <w:t>项目落地服务通过验收后5日内（不限定在服务期限内），采购人依据中标人开具的发票，支付尾款即项目合同总额的30%。</w:t>
            </w:r>
          </w:p>
          <w:p>
            <w:pPr>
              <w:pStyle w:val="null3"/>
              <w:ind w:firstLine="400"/>
              <w:jc w:val="left"/>
            </w:pPr>
            <w:r>
              <w:rPr>
                <w:rFonts w:ascii="仿宋_GB2312" w:hAnsi="仿宋_GB2312" w:cs="仿宋_GB2312" w:eastAsia="仿宋_GB2312"/>
              </w:rPr>
              <w:t>3、履约验收标准：严格按照政府采购相关法律法规以及招标文件要求、中标人投标文件以及签订的合同验收。</w:t>
            </w:r>
          </w:p>
          <w:p>
            <w:pPr>
              <w:pStyle w:val="null3"/>
              <w:ind w:firstLine="400"/>
              <w:jc w:val="left"/>
            </w:pPr>
            <w:r>
              <w:rPr>
                <w:rFonts w:ascii="仿宋_GB2312" w:hAnsi="仿宋_GB2312" w:cs="仿宋_GB2312" w:eastAsia="仿宋_GB2312"/>
              </w:rPr>
              <w:t xml:space="preserve">   </w:t>
            </w:r>
            <w:r>
              <w:rPr>
                <w:rFonts w:ascii="仿宋_GB2312" w:hAnsi="仿宋_GB2312" w:cs="仿宋_GB2312" w:eastAsia="仿宋_GB2312"/>
              </w:rPr>
              <w:t>4、工作团队要求</w:t>
            </w:r>
          </w:p>
          <w:p>
            <w:pPr>
              <w:pStyle w:val="null3"/>
              <w:ind w:firstLine="400"/>
              <w:jc w:val="left"/>
            </w:pPr>
            <w:r>
              <w:rPr>
                <w:rFonts w:ascii="仿宋_GB2312" w:hAnsi="仿宋_GB2312" w:cs="仿宋_GB2312" w:eastAsia="仿宋_GB2312"/>
              </w:rPr>
              <w:t>本次工作要求服务的咨询机构组建项目工作组，主要分为协调小组、工作小组和核心专家团队，根据委托方需求和服务需要及时调配省内外专家为本次服务提供高水平智力支撑。</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1）谋划工作小组</w:t>
            </w:r>
          </w:p>
          <w:p>
            <w:pPr>
              <w:pStyle w:val="null3"/>
              <w:ind w:firstLine="400"/>
              <w:jc w:val="left"/>
            </w:pPr>
            <w:r>
              <w:rPr>
                <w:rFonts w:ascii="仿宋_GB2312" w:hAnsi="仿宋_GB2312" w:cs="仿宋_GB2312" w:eastAsia="仿宋_GB2312"/>
              </w:rPr>
              <w:t>负责人：由咨询机构选派具有丰富项目经验的专家作为项目负责人。</w:t>
            </w:r>
          </w:p>
          <w:p>
            <w:pPr>
              <w:pStyle w:val="null3"/>
              <w:ind w:firstLine="400"/>
              <w:jc w:val="left"/>
            </w:pPr>
            <w:r>
              <w:rPr>
                <w:rFonts w:ascii="仿宋_GB2312" w:hAnsi="仿宋_GB2312" w:cs="仿宋_GB2312" w:eastAsia="仿宋_GB2312"/>
              </w:rPr>
              <w:t>组员：项目组成员将按省重大办需求的研究领域和行业细分为具体的项目谋划工作小组，并视研究需求增加人员。</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2）驻场服务保障小组</w:t>
            </w:r>
          </w:p>
          <w:p>
            <w:pPr>
              <w:pStyle w:val="null3"/>
              <w:ind w:firstLine="400"/>
              <w:jc w:val="left"/>
            </w:pPr>
            <w:r>
              <w:rPr>
                <w:rFonts w:ascii="仿宋_GB2312" w:hAnsi="仿宋_GB2312" w:cs="仿宋_GB2312" w:eastAsia="仿宋_GB2312"/>
              </w:rPr>
              <w:t>项目业务骨干与相关领域专家定期提供现场技术服务，并派驻不少于</w:t>
            </w:r>
            <w:r>
              <w:rPr>
                <w:rFonts w:ascii="仿宋_GB2312" w:hAnsi="仿宋_GB2312" w:cs="仿宋_GB2312" w:eastAsia="仿宋_GB2312"/>
              </w:rPr>
              <w:t>1人驻场1年开展工作。</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3）专家团队</w:t>
            </w:r>
          </w:p>
          <w:p>
            <w:pPr>
              <w:pStyle w:val="null3"/>
              <w:ind w:firstLine="400"/>
              <w:jc w:val="left"/>
            </w:pPr>
            <w:r>
              <w:rPr>
                <w:rFonts w:ascii="仿宋_GB2312" w:hAnsi="仿宋_GB2312" w:cs="仿宋_GB2312" w:eastAsia="仿宋_GB2312"/>
              </w:rPr>
              <w:t>根据我办需求和服务需要及时调配省内外专家及联合必要的协作机构为本次服务提供高水平智力支撑。</w:t>
            </w:r>
          </w:p>
          <w:p>
            <w:pPr>
              <w:pStyle w:val="null3"/>
              <w:jc w:val="both"/>
            </w:pPr>
            <w:r>
              <w:rPr>
                <w:rFonts w:ascii="仿宋_GB2312" w:hAnsi="仿宋_GB2312" w:cs="仿宋_GB2312" w:eastAsia="仿宋_GB2312"/>
                <w:sz w:val="21"/>
              </w:rPr>
              <w:t>说明：本项目采购需求中带</w:t>
            </w:r>
            <w:r>
              <w:rPr>
                <w:rFonts w:ascii="仿宋_GB2312" w:hAnsi="仿宋_GB2312" w:cs="仿宋_GB2312" w:eastAsia="仿宋_GB2312"/>
                <w:sz w:val="21"/>
              </w:rPr>
              <w:t>★内容不允许负偏离，否则废标处理。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项目总体实施方案</w:t>
            </w:r>
          </w:p>
        </w:tc>
        <w:tc>
          <w:tcPr>
            <w:tcW w:type="dxa" w:w="2492"/>
          </w:tcPr>
          <w:p>
            <w:pPr>
              <w:pStyle w:val="null3"/>
              <w:jc w:val="both"/>
            </w:pPr>
            <w:r>
              <w:rPr>
                <w:rFonts w:ascii="仿宋_GB2312" w:hAnsi="仿宋_GB2312" w:cs="仿宋_GB2312" w:eastAsia="仿宋_GB2312"/>
              </w:rPr>
              <w:t>通过对本项目咨询服务的理解及专业性分析，针对本项目咨询工作的需求，提供完善的服务方案，内容应包括但不限于: ①本项目实际状况的分析;② 开展服务工作的思路; ③针对本项目服务内容采取的技术措施;④服务内容及方法；⑤项目目标；⑥项目成果培训方案⑦对接活动及产业论坛策划方案。 1、方案内容详细完整、思路清晰、结构合理、易于落实得14分； 2、方案内容完整、思路比较清晰、可行性一般得10分; 3、方案内容不完整、条理不清、可行性差得6分； 4、方案不切合项目实际，缺乏可行性得2分。 5、无方案得0分。</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人员组织情况</w:t>
            </w:r>
          </w:p>
        </w:tc>
        <w:tc>
          <w:tcPr>
            <w:tcW w:type="dxa" w:w="2492"/>
          </w:tcPr>
          <w:p>
            <w:pPr>
              <w:pStyle w:val="null3"/>
              <w:jc w:val="both"/>
            </w:pPr>
            <w:r>
              <w:rPr>
                <w:rFonts w:ascii="仿宋_GB2312" w:hAnsi="仿宋_GB2312" w:cs="仿宋_GB2312" w:eastAsia="仿宋_GB2312"/>
              </w:rPr>
              <w:t>供应商针对咨询工作提供配套的组织机构设置，内容应包括但不限于:①组织架构;②各岗位职责及组织协调。 1、方案内容详细完整、思路清晰、结构合理、易于落实得6分； 2、方案内容完整、思路比较清晰、可行性一般得4分； 3、方案内容不完整、条理不清、可行性差得2分； 4、无方案得0分。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项目成果质量保障方案</w:t>
            </w:r>
          </w:p>
        </w:tc>
        <w:tc>
          <w:tcPr>
            <w:tcW w:type="dxa" w:w="2492"/>
          </w:tcPr>
          <w:p>
            <w:pPr>
              <w:pStyle w:val="null3"/>
              <w:jc w:val="both"/>
            </w:pPr>
            <w:r>
              <w:rPr>
                <w:rFonts w:ascii="仿宋_GB2312" w:hAnsi="仿宋_GB2312" w:cs="仿宋_GB2312" w:eastAsia="仿宋_GB2312"/>
              </w:rPr>
              <w:t>供应商提本项目的质量保证，内容应包括但不限于:①项目质量保证体系，②项目质量保证措施。 1、方案内容详细完整、思路清晰、结构合理、易于落实得6分； 2、方案内容完整、思路比较清晰、可行性一般得4分; 3、方案内容不完整、条理不清、可行性差得2分； 4无方案得0分。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项目实施重点、难点分析及应对措施</w:t>
            </w:r>
          </w:p>
        </w:tc>
        <w:tc>
          <w:tcPr>
            <w:tcW w:type="dxa" w:w="2492"/>
          </w:tcPr>
          <w:p>
            <w:pPr>
              <w:pStyle w:val="null3"/>
              <w:jc w:val="both"/>
            </w:pPr>
            <w:r>
              <w:rPr>
                <w:rFonts w:ascii="仿宋_GB2312" w:hAnsi="仿宋_GB2312" w:cs="仿宋_GB2312" w:eastAsia="仿宋_GB2312"/>
              </w:rPr>
              <w:t>投标人结合项目需求和项目特点，及项目主管部门的相关制度要求，提供方案。提供的方案中包括但不仅限于①实施重点、②难点分析及应对措施。 1、方案内容详细完整、思路清晰、结构合理、易于落实得12分； 2、方案内容完整、思路比较清晰、可行性一般得9分； 3、方案内容不完整、条理不清、可行性差得6分； 4、方案不切合项目实际，缺乏可行性得3分。 5、无方案得0分。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服务的进度计划及保障措施</w:t>
            </w:r>
          </w:p>
        </w:tc>
        <w:tc>
          <w:tcPr>
            <w:tcW w:type="dxa" w:w="2492"/>
          </w:tcPr>
          <w:p>
            <w:pPr>
              <w:pStyle w:val="null3"/>
              <w:jc w:val="both"/>
            </w:pPr>
            <w:r>
              <w:rPr>
                <w:rFonts w:ascii="仿宋_GB2312" w:hAnsi="仿宋_GB2312" w:cs="仿宋_GB2312" w:eastAsia="仿宋_GB2312"/>
              </w:rPr>
              <w:t>根据投标人提供的项目服务的进度计划及保障措施内容的进度安排、实施过程中各个重要工作节点把握、任务分布安排等进行评审，进度计划内容包括但不仅限于①项目部署与启动、②收集资料与案头研究、③现场调研、④形成初稿与征求意见、⑤报告成果编制、⑥结题工作等内容。 1、方案内容详细完整、思路清晰、结构合理、易于落实得12分； 2、方案内容完整、思路比较清晰、可行性一般得9分; 3、方案内容不完整、条理不清、可行性差得6分； 4、方案不切合项目实际，缺乏可行性得3分。 5、无方案得0分。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投标人提供2022年1月1日至今签订的类似项目协议或合同（类似项目是指经济项目谋划类），每提供1份得3分，满分15分。 证明材料：提供签订合作协议或合同复印件关键页并加盖投标人公章，不提供不得分。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项目团队人员</w:t>
            </w:r>
          </w:p>
        </w:tc>
        <w:tc>
          <w:tcPr>
            <w:tcW w:type="dxa" w:w="2492"/>
          </w:tcPr>
          <w:p>
            <w:pPr>
              <w:pStyle w:val="null3"/>
              <w:jc w:val="both"/>
            </w:pPr>
            <w:r>
              <w:rPr>
                <w:rFonts w:ascii="仿宋_GB2312" w:hAnsi="仿宋_GB2312" w:cs="仿宋_GB2312" w:eastAsia="仿宋_GB2312"/>
              </w:rPr>
              <w:t>拟派项目团队人员人数达10人及以上，得4分；9人至5人（含），得2分；5人（不含）以下，得0分。 证明材料：①提供人员清单、人员身份证。②公司2025年至今任意1个月为其缴纳社保证明；若人员为外聘人员，则须提供外聘合同证明。不提供不得分。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团队实力</w:t>
            </w:r>
          </w:p>
        </w:tc>
        <w:tc>
          <w:tcPr>
            <w:tcW w:type="dxa" w:w="2492"/>
          </w:tcPr>
          <w:p>
            <w:pPr>
              <w:pStyle w:val="null3"/>
              <w:jc w:val="both"/>
            </w:pPr>
            <w:r>
              <w:rPr>
                <w:rFonts w:ascii="仿宋_GB2312" w:hAnsi="仿宋_GB2312" w:cs="仿宋_GB2312" w:eastAsia="仿宋_GB2312"/>
              </w:rPr>
              <w:t>所提供的项目团队人员中，每提供1位学历为博士及以上人员，得3分。 所提供的项目团队人员中，每提供1位学历为硕士及以上学历人员，得2分。满分21分。 注：以上人员不重复计分。 证明材料：①提供人员身份证复印件正反面、学历证书复印件并加盖公章。②公司2025年至今任意1个月为其缴纳社保证明；若人员为外聘人员，则须提供外聘合同证明。不提供不得分。不提供不得分。</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both"/>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供应商应提交的相关证明材料 监狱企业的证明文件</w:t>
            </w:r>
          </w:p>
        </w:tc>
      </w:tr>
      <w:tr>
        <w:tc>
          <w:tcPr>
            <w:tcW w:type="dxa" w:w="831"/>
          </w:tcPr>
          <w:p>
            <w:pPr>
              <w:pStyle w:val="null3"/>
              <w:jc w:val="both"/>
            </w:pPr>
            <w:r>
              <w:rPr>
                <w:rFonts w:ascii="仿宋_GB2312" w:hAnsi="仿宋_GB2312" w:cs="仿宋_GB2312" w:eastAsia="仿宋_GB2312"/>
              </w:rPr>
              <w:t>2</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供应商应提交的相关证明材料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详见附件：项目谋划委托合同-医疗药械创新转化及康养旅游产业孵化项目谋划.docx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[ZHZX]20250400001[GK]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医疗药械创新转化及康养旅游产业孵化项目谋划</w:t>
      </w:r>
    </w:p>
    <w:p>
      <w:pPr>
        <w:pStyle w:val="null3"/>
        <w:jc w:val="left"/>
      </w:pPr>
      <w:r>
        <w:rPr>
          <w:rFonts w:ascii="仿宋_GB2312" w:hAnsi="仿宋_GB2312" w:cs="仿宋_GB2312" w:eastAsia="仿宋_GB2312"/>
        </w:rPr>
        <w:t>采购包：</w:t>
      </w:r>
      <w:r>
        <w:rPr>
          <w:rFonts w:ascii="仿宋_GB2312" w:hAnsi="仿宋_GB2312" w:cs="仿宋_GB2312" w:eastAsia="仿宋_GB2312"/>
        </w:rPr>
        <w:t>医疗药械创新转化及康养旅游产业孵化项目谋划</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C20039900-其他咨询服务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