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0D022">
      <w:pPr>
        <w:tabs>
          <w:tab w:val="left" w:pos="815"/>
        </w:tabs>
        <w:spacing w:before="249" w:beforeLines="80" w:line="360" w:lineRule="auto"/>
        <w:jc w:val="center"/>
        <w:rPr>
          <w:rFonts w:hint="eastAsia" w:ascii="宋体" w:hAnsi="宋体" w:cs="宋体"/>
          <w:bCs/>
          <w:color w:val="auto"/>
          <w:kern w:val="0"/>
          <w:sz w:val="52"/>
          <w:szCs w:val="52"/>
          <w:highlight w:val="none"/>
        </w:rPr>
      </w:pPr>
    </w:p>
    <w:p w14:paraId="3E2D8BA2">
      <w:pPr>
        <w:pStyle w:val="14"/>
        <w:jc w:val="center"/>
        <w:rPr>
          <w:rFonts w:hint="eastAsia" w:ascii="宋体" w:hAnsi="宋体" w:cs="宋体"/>
          <w:bCs/>
          <w:color w:val="auto"/>
          <w:sz w:val="20"/>
          <w:szCs w:val="21"/>
          <w:highlight w:val="none"/>
          <w:lang w:val="en-US"/>
        </w:rPr>
      </w:pPr>
      <w:r>
        <w:rPr>
          <w:rFonts w:hint="eastAsia" w:ascii="宋体" w:hAnsi="宋体" w:cs="宋体"/>
          <w:bCs/>
          <w:color w:val="auto"/>
          <w:sz w:val="48"/>
          <w:szCs w:val="48"/>
          <w:highlight w:val="none"/>
          <w:lang w:val="en-US" w:eastAsia="zh-CN"/>
        </w:rPr>
        <w:t>玉溪第六小学</w:t>
      </w:r>
      <w:r>
        <w:rPr>
          <w:rFonts w:hint="eastAsia" w:ascii="宋体" w:hAnsi="宋体" w:cs="宋体"/>
          <w:bCs/>
          <w:color w:val="auto"/>
          <w:sz w:val="48"/>
          <w:szCs w:val="48"/>
          <w:highlight w:val="none"/>
          <w:lang w:val="en-US"/>
        </w:rPr>
        <w:t>智慧校园云广播升级服务项目</w:t>
      </w:r>
    </w:p>
    <w:p w14:paraId="74529340">
      <w:pPr>
        <w:jc w:val="center"/>
        <w:rPr>
          <w:rFonts w:hint="eastAsia" w:ascii="宋体" w:hAnsi="宋体" w:cs="宋体"/>
          <w:color w:val="auto"/>
          <w:sz w:val="28"/>
          <w:szCs w:val="28"/>
          <w:highlight w:val="none"/>
        </w:rPr>
      </w:pPr>
    </w:p>
    <w:p w14:paraId="1EE7F07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项目编号：ZZGL-2025089F</w:t>
      </w:r>
    </w:p>
    <w:p w14:paraId="42FFF1FF">
      <w:pPr>
        <w:pStyle w:val="14"/>
        <w:rPr>
          <w:rFonts w:hint="eastAsia" w:ascii="宋体" w:hAnsi="宋体" w:cs="宋体"/>
          <w:color w:val="auto"/>
          <w:highlight w:val="none"/>
        </w:rPr>
      </w:pPr>
    </w:p>
    <w:p w14:paraId="6FF3A065">
      <w:pPr>
        <w:jc w:val="center"/>
        <w:rPr>
          <w:rFonts w:hint="eastAsia" w:ascii="宋体" w:hAnsi="宋体" w:cs="宋体"/>
          <w:color w:val="auto"/>
          <w:sz w:val="28"/>
          <w:szCs w:val="28"/>
          <w:highlight w:val="none"/>
        </w:rPr>
      </w:pPr>
    </w:p>
    <w:p w14:paraId="705D3DF2">
      <w:pPr>
        <w:pStyle w:val="14"/>
        <w:rPr>
          <w:rFonts w:hint="eastAsia" w:ascii="宋体" w:hAnsi="宋体" w:cs="宋体"/>
          <w:color w:val="auto"/>
          <w:highlight w:val="none"/>
        </w:rPr>
      </w:pPr>
    </w:p>
    <w:p w14:paraId="441E6579">
      <w:pPr>
        <w:pStyle w:val="43"/>
        <w:rPr>
          <w:rFonts w:hint="eastAsia" w:ascii="宋体" w:hAnsi="宋体" w:cs="宋体"/>
          <w:color w:val="auto"/>
          <w:highlight w:val="none"/>
        </w:rPr>
      </w:pPr>
    </w:p>
    <w:p w14:paraId="5D27B6D6">
      <w:pPr>
        <w:pStyle w:val="66"/>
        <w:ind w:firstLine="480"/>
        <w:rPr>
          <w:rFonts w:hint="eastAsia" w:cs="宋体"/>
          <w:b w:val="0"/>
          <w:color w:val="auto"/>
          <w:sz w:val="72"/>
          <w:szCs w:val="72"/>
          <w:highlight w:val="none"/>
        </w:rPr>
      </w:pPr>
      <w:r>
        <w:rPr>
          <w:rFonts w:hint="eastAsia" w:cs="宋体"/>
          <w:b w:val="0"/>
          <w:color w:val="auto"/>
          <w:sz w:val="72"/>
          <w:szCs w:val="72"/>
          <w:highlight w:val="none"/>
        </w:rPr>
        <w:t>询 比 文 件</w:t>
      </w:r>
    </w:p>
    <w:p w14:paraId="579E0E73">
      <w:pPr>
        <w:spacing w:line="360" w:lineRule="auto"/>
        <w:jc w:val="left"/>
        <w:rPr>
          <w:rFonts w:hint="eastAsia" w:ascii="宋体" w:hAnsi="宋体" w:cs="宋体"/>
          <w:bCs/>
          <w:color w:val="auto"/>
          <w:kern w:val="0"/>
          <w:sz w:val="24"/>
          <w:szCs w:val="24"/>
          <w:highlight w:val="none"/>
        </w:rPr>
      </w:pPr>
    </w:p>
    <w:p w14:paraId="659D4265">
      <w:pPr>
        <w:spacing w:line="360" w:lineRule="auto"/>
        <w:jc w:val="left"/>
        <w:rPr>
          <w:rFonts w:hint="eastAsia" w:ascii="宋体" w:hAnsi="宋体" w:cs="宋体"/>
          <w:bCs/>
          <w:color w:val="auto"/>
          <w:kern w:val="0"/>
          <w:sz w:val="24"/>
          <w:szCs w:val="24"/>
          <w:highlight w:val="none"/>
        </w:rPr>
      </w:pPr>
    </w:p>
    <w:p w14:paraId="5D08F6C1">
      <w:pPr>
        <w:spacing w:line="360" w:lineRule="auto"/>
        <w:jc w:val="left"/>
        <w:rPr>
          <w:rFonts w:hint="eastAsia" w:ascii="宋体" w:hAnsi="宋体" w:cs="宋体"/>
          <w:bCs/>
          <w:color w:val="auto"/>
          <w:kern w:val="0"/>
          <w:sz w:val="24"/>
          <w:szCs w:val="24"/>
          <w:highlight w:val="none"/>
        </w:rPr>
      </w:pPr>
    </w:p>
    <w:p w14:paraId="3BEF30B1">
      <w:pPr>
        <w:pStyle w:val="43"/>
        <w:rPr>
          <w:rFonts w:hint="eastAsia" w:ascii="宋体" w:hAnsi="宋体" w:cs="宋体"/>
          <w:color w:val="auto"/>
          <w:szCs w:val="24"/>
          <w:highlight w:val="none"/>
        </w:rPr>
      </w:pPr>
    </w:p>
    <w:p w14:paraId="622BC353">
      <w:pPr>
        <w:rPr>
          <w:rFonts w:hint="eastAsia" w:ascii="宋体" w:hAnsi="宋体" w:cs="宋体"/>
          <w:color w:val="auto"/>
          <w:highlight w:val="none"/>
        </w:rPr>
      </w:pPr>
    </w:p>
    <w:p w14:paraId="43F13CDD">
      <w:pPr>
        <w:spacing w:line="360" w:lineRule="auto"/>
        <w:jc w:val="left"/>
        <w:rPr>
          <w:rFonts w:hint="eastAsia" w:ascii="宋体" w:hAnsi="宋体" w:cs="宋体"/>
          <w:bCs/>
          <w:color w:val="auto"/>
          <w:kern w:val="0"/>
          <w:sz w:val="24"/>
          <w:szCs w:val="24"/>
          <w:highlight w:val="none"/>
        </w:rPr>
      </w:pPr>
    </w:p>
    <w:p w14:paraId="18B8D1D7">
      <w:pPr>
        <w:spacing w:line="360" w:lineRule="auto"/>
        <w:jc w:val="left"/>
        <w:rPr>
          <w:rFonts w:hint="eastAsia" w:ascii="宋体" w:hAnsi="宋体" w:cs="宋体"/>
          <w:bCs/>
          <w:color w:val="auto"/>
          <w:kern w:val="0"/>
          <w:sz w:val="24"/>
          <w:szCs w:val="24"/>
          <w:highlight w:val="none"/>
        </w:rPr>
      </w:pPr>
    </w:p>
    <w:p w14:paraId="0556D9A2">
      <w:pPr>
        <w:spacing w:line="360" w:lineRule="auto"/>
        <w:jc w:val="left"/>
        <w:rPr>
          <w:rFonts w:hint="eastAsia" w:ascii="宋体" w:hAnsi="宋体" w:cs="宋体"/>
          <w:bCs/>
          <w:color w:val="auto"/>
          <w:kern w:val="0"/>
          <w:sz w:val="24"/>
          <w:szCs w:val="24"/>
          <w:highlight w:val="none"/>
        </w:rPr>
      </w:pPr>
    </w:p>
    <w:p w14:paraId="6FE7DBFD">
      <w:pPr>
        <w:spacing w:line="720" w:lineRule="auto"/>
        <w:jc w:val="lef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采购人：</w:t>
      </w:r>
      <w:r>
        <w:rPr>
          <w:rFonts w:hint="eastAsia" w:ascii="宋体" w:hAnsi="宋体" w:cs="宋体"/>
          <w:b/>
          <w:color w:val="auto"/>
          <w:kern w:val="0"/>
          <w:sz w:val="28"/>
          <w:szCs w:val="28"/>
          <w:highlight w:val="none"/>
          <w:u w:val="single"/>
        </w:rPr>
        <w:t>玉溪第六小学</w:t>
      </w:r>
      <w:r>
        <w:rPr>
          <w:rFonts w:hint="eastAsia" w:ascii="宋体" w:hAnsi="宋体" w:cs="宋体"/>
          <w:b/>
          <w:color w:val="auto"/>
          <w:kern w:val="0"/>
          <w:sz w:val="28"/>
          <w:szCs w:val="28"/>
          <w:highlight w:val="none"/>
          <w:u w:val="single"/>
          <w:lang w:val="en-US" w:eastAsia="zh-CN"/>
        </w:rPr>
        <w:t xml:space="preserve">                           </w:t>
      </w:r>
      <w:r>
        <w:rPr>
          <w:rFonts w:hint="eastAsia" w:ascii="宋体" w:hAnsi="宋体" w:cs="宋体"/>
          <w:b/>
          <w:color w:val="auto"/>
          <w:kern w:val="0"/>
          <w:sz w:val="28"/>
          <w:szCs w:val="28"/>
          <w:highlight w:val="none"/>
          <w:u w:val="single"/>
        </w:rPr>
        <w:t xml:space="preserve">         (盖章)</w:t>
      </w:r>
    </w:p>
    <w:p w14:paraId="2CEF6555">
      <w:pPr>
        <w:spacing w:line="720" w:lineRule="auto"/>
        <w:jc w:val="left"/>
        <w:rPr>
          <w:rFonts w:hint="eastAsia" w:ascii="宋体" w:hAnsi="宋体" w:cs="宋体"/>
          <w:b/>
          <w:color w:val="auto"/>
          <w:kern w:val="0"/>
          <w:sz w:val="28"/>
          <w:szCs w:val="28"/>
          <w:highlight w:val="none"/>
          <w:u w:val="single"/>
        </w:rPr>
      </w:pPr>
      <w:r>
        <w:rPr>
          <w:rFonts w:hint="eastAsia" w:ascii="宋体" w:hAnsi="宋体" w:cs="宋体"/>
          <w:b/>
          <w:color w:val="auto"/>
          <w:kern w:val="0"/>
          <w:sz w:val="28"/>
          <w:szCs w:val="28"/>
          <w:highlight w:val="none"/>
        </w:rPr>
        <w:t>采购代理机构：</w:t>
      </w:r>
      <w:bookmarkStart w:id="0" w:name="_Hlk132227824"/>
      <w:r>
        <w:rPr>
          <w:rFonts w:hint="eastAsia" w:ascii="宋体" w:hAnsi="宋体" w:cs="宋体"/>
          <w:b/>
          <w:color w:val="auto"/>
          <w:kern w:val="0"/>
          <w:sz w:val="28"/>
          <w:szCs w:val="28"/>
          <w:highlight w:val="none"/>
          <w:u w:val="single"/>
        </w:rPr>
        <w:t>云南中诏项目管理有限公司</w:t>
      </w:r>
      <w:bookmarkEnd w:id="0"/>
      <w:r>
        <w:rPr>
          <w:rFonts w:hint="eastAsia" w:ascii="宋体" w:hAnsi="宋体" w:cs="宋体"/>
          <w:b/>
          <w:color w:val="auto"/>
          <w:kern w:val="0"/>
          <w:sz w:val="28"/>
          <w:szCs w:val="28"/>
          <w:highlight w:val="none"/>
          <w:u w:val="single"/>
        </w:rPr>
        <w:t xml:space="preserve">                    (盖章)</w:t>
      </w:r>
    </w:p>
    <w:p w14:paraId="770F416C">
      <w:pPr>
        <w:spacing w:line="360" w:lineRule="auto"/>
        <w:jc w:val="left"/>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8"/>
          <w:szCs w:val="28"/>
          <w:highlight w:val="none"/>
        </w:rPr>
        <w:t>日期：</w:t>
      </w:r>
      <w:r>
        <w:rPr>
          <w:rFonts w:hint="eastAsia" w:ascii="宋体" w:hAnsi="宋体" w:cs="宋体"/>
          <w:b/>
          <w:color w:val="auto"/>
          <w:kern w:val="0"/>
          <w:sz w:val="28"/>
          <w:szCs w:val="28"/>
          <w:highlight w:val="none"/>
          <w:u w:val="single"/>
        </w:rPr>
        <w:t>2025年06月</w:t>
      </w:r>
      <w:r>
        <w:rPr>
          <w:rFonts w:hint="eastAsia" w:ascii="宋体" w:hAnsi="宋体" w:cs="宋体"/>
          <w:b/>
          <w:color w:val="auto"/>
          <w:kern w:val="0"/>
          <w:sz w:val="28"/>
          <w:szCs w:val="28"/>
          <w:highlight w:val="none"/>
          <w:u w:val="single"/>
          <w:lang w:eastAsia="zh-CN"/>
        </w:rPr>
        <w:t>16日</w:t>
      </w:r>
    </w:p>
    <w:p w14:paraId="1F4DBA62">
      <w:pPr>
        <w:spacing w:line="360" w:lineRule="auto"/>
        <w:jc w:val="left"/>
        <w:rPr>
          <w:rFonts w:hint="eastAsia" w:ascii="宋体" w:hAnsi="宋体" w:cs="宋体"/>
          <w:bCs/>
          <w:color w:val="auto"/>
          <w:kern w:val="0"/>
          <w:sz w:val="24"/>
          <w:szCs w:val="24"/>
          <w:highlight w:val="none"/>
        </w:rPr>
      </w:pPr>
    </w:p>
    <w:p w14:paraId="03F3F5AE">
      <w:pPr>
        <w:spacing w:line="360" w:lineRule="auto"/>
        <w:jc w:val="left"/>
        <w:rPr>
          <w:rFonts w:hint="eastAsia" w:ascii="宋体" w:hAnsi="宋体" w:cs="宋体"/>
          <w:bCs/>
          <w:color w:val="auto"/>
          <w:kern w:val="0"/>
          <w:sz w:val="24"/>
          <w:szCs w:val="24"/>
          <w:highlight w:val="none"/>
        </w:rPr>
        <w:sectPr>
          <w:headerReference r:id="rId5" w:type="first"/>
          <w:headerReference r:id="rId3" w:type="default"/>
          <w:footerReference r:id="rId6" w:type="default"/>
          <w:headerReference r:id="rId4" w:type="even"/>
          <w:pgSz w:w="11906" w:h="16838"/>
          <w:pgMar w:top="1134" w:right="1134" w:bottom="1134" w:left="1134" w:header="851" w:footer="992" w:gutter="0"/>
          <w:pgNumType w:start="1"/>
          <w:cols w:space="720" w:num="1"/>
          <w:titlePg/>
          <w:docGrid w:type="lines" w:linePitch="312" w:charSpace="0"/>
        </w:sectPr>
      </w:pPr>
    </w:p>
    <w:p w14:paraId="4124D0E7">
      <w:pPr>
        <w:spacing w:before="156" w:beforeLines="50" w:line="48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目  录</w:t>
      </w:r>
    </w:p>
    <w:p w14:paraId="3C6F0CB4">
      <w:pPr>
        <w:pStyle w:val="28"/>
        <w:tabs>
          <w:tab w:val="right" w:leader="dot" w:pos="9638"/>
        </w:tabs>
        <w:rPr>
          <w:rFonts w:hint="eastAsia" w:ascii="宋体" w:hAnsi="宋体" w:cs="宋体"/>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 MERGEFORMAT </w:instrText>
      </w:r>
      <w:r>
        <w:rPr>
          <w:rFonts w:hint="eastAsia" w:ascii="宋体" w:hAnsi="宋体" w:cs="宋体"/>
          <w:color w:val="auto"/>
          <w:sz w:val="24"/>
          <w:szCs w:val="24"/>
          <w:highlight w:val="none"/>
        </w:rPr>
        <w:fldChar w:fldCharType="separate"/>
      </w:r>
      <w:r>
        <w:rPr>
          <w:rFonts w:hint="eastAsia" w:ascii="宋体" w:hAnsi="宋体" w:cs="宋体"/>
          <w:color w:val="auto"/>
          <w:highlight w:val="none"/>
        </w:rPr>
        <w:t>第一章  询比采购公告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_Toc31761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p>
    <w:p w14:paraId="0B47269E">
      <w:pPr>
        <w:pStyle w:val="28"/>
        <w:tabs>
          <w:tab w:val="right" w:leader="dot" w:pos="9638"/>
        </w:tabs>
        <w:rPr>
          <w:rFonts w:hint="eastAsia" w:ascii="宋体" w:hAnsi="宋体" w:cs="宋体"/>
          <w:color w:val="auto"/>
          <w:highlight w:val="none"/>
        </w:rPr>
      </w:pPr>
      <w:r>
        <w:rPr>
          <w:rFonts w:hint="eastAsia" w:ascii="宋体" w:hAnsi="宋体" w:cs="宋体"/>
          <w:color w:val="auto"/>
          <w:highlight w:val="none"/>
        </w:rPr>
        <w:t>第二章  询比须知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_Toc11564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p>
    <w:p w14:paraId="43A12AFA">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_Toc16389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p>
    <w:p w14:paraId="18FA9FC6">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一、总  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_Toc19629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p>
    <w:p w14:paraId="61D0386F">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二、询比采购文件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_Toc28687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p>
    <w:p w14:paraId="0C11DB6F">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_Toc7943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p>
    <w:p w14:paraId="241BF463">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四、响应文件的提交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_Toc10037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p>
    <w:p w14:paraId="5F7B433E">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五、响应文件开启与评审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_Toc28180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p>
    <w:p w14:paraId="16CF9417">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六、成交结果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_Toc24368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p>
    <w:p w14:paraId="347105C8">
      <w:pPr>
        <w:pStyle w:val="28"/>
        <w:tabs>
          <w:tab w:val="right" w:leader="dot" w:pos="9638"/>
        </w:tabs>
        <w:rPr>
          <w:rFonts w:hint="eastAsia" w:ascii="宋体" w:hAnsi="宋体" w:cs="宋体"/>
          <w:color w:val="auto"/>
          <w:highlight w:val="none"/>
        </w:rPr>
      </w:pPr>
      <w:r>
        <w:rPr>
          <w:rFonts w:hint="eastAsia" w:ascii="宋体" w:hAnsi="宋体" w:cs="宋体"/>
          <w:color w:val="auto"/>
          <w:highlight w:val="none"/>
        </w:rPr>
        <w:t>第三章  评审办法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_Toc20199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p>
    <w:p w14:paraId="6EF791CF">
      <w:pPr>
        <w:pStyle w:val="28"/>
        <w:tabs>
          <w:tab w:val="right" w:leader="dot" w:pos="9638"/>
        </w:tabs>
        <w:rPr>
          <w:rFonts w:hint="eastAsia" w:ascii="宋体" w:hAnsi="宋体" w:cs="宋体"/>
          <w:color w:val="auto"/>
          <w:highlight w:val="none"/>
        </w:rPr>
      </w:pPr>
      <w:r>
        <w:rPr>
          <w:rFonts w:hint="eastAsia" w:ascii="宋体" w:hAnsi="宋体" w:cs="宋体"/>
          <w:color w:val="auto"/>
          <w:highlight w:val="none"/>
        </w:rPr>
        <w:t>第四章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_Toc14867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p>
    <w:p w14:paraId="2AA1AF55">
      <w:pPr>
        <w:pStyle w:val="28"/>
        <w:tabs>
          <w:tab w:val="right" w:leader="dot" w:pos="9638"/>
        </w:tabs>
        <w:rPr>
          <w:rFonts w:hint="eastAsia" w:ascii="宋体" w:hAnsi="宋体" w:cs="宋体"/>
          <w:color w:val="auto"/>
          <w:highlight w:val="none"/>
        </w:rPr>
      </w:pPr>
      <w:r>
        <w:rPr>
          <w:rFonts w:hint="eastAsia" w:ascii="宋体" w:hAnsi="宋体" w:cs="宋体"/>
          <w:color w:val="auto"/>
          <w:highlight w:val="none"/>
        </w:rPr>
        <w:t>第五章  采购合同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_Toc32586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p>
    <w:p w14:paraId="17D0108B">
      <w:pPr>
        <w:pStyle w:val="28"/>
        <w:tabs>
          <w:tab w:val="right" w:leader="dot" w:pos="9638"/>
        </w:tabs>
        <w:rPr>
          <w:rFonts w:hint="eastAsia" w:ascii="宋体" w:hAnsi="宋体" w:cs="宋体"/>
          <w:color w:val="auto"/>
          <w:highlight w:val="none"/>
        </w:rPr>
      </w:pPr>
      <w:r>
        <w:rPr>
          <w:rFonts w:hint="eastAsia" w:ascii="宋体" w:hAnsi="宋体" w:cs="宋体"/>
          <w:color w:val="auto"/>
          <w:highlight w:val="none"/>
        </w:rPr>
        <w:t>第六章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_Toc19462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p>
    <w:p w14:paraId="241774F9">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一、报价一览表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_Toc25784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p>
    <w:p w14:paraId="32EF2B15">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二、询比函部分格式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_Toc11916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p>
    <w:p w14:paraId="1C548811">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三、竞标报价部分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_Toc24388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p>
    <w:p w14:paraId="71F4B9EE">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四、响应文件技术部分格式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_Toc1203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p>
    <w:p w14:paraId="548DE3C9">
      <w:pPr>
        <w:pStyle w:val="16"/>
        <w:tabs>
          <w:tab w:val="right" w:leader="dot" w:pos="9638"/>
        </w:tabs>
        <w:rPr>
          <w:rFonts w:hint="eastAsia" w:ascii="宋体" w:hAnsi="宋体" w:cs="宋体"/>
          <w:color w:val="auto"/>
          <w:highlight w:val="none"/>
        </w:rPr>
      </w:pPr>
      <w:r>
        <w:rPr>
          <w:rFonts w:hint="eastAsia" w:ascii="宋体" w:hAnsi="宋体" w:cs="宋体"/>
          <w:color w:val="auto"/>
          <w:highlight w:val="none"/>
        </w:rPr>
        <w:t>五、相关资料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_Toc1809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p>
    <w:p w14:paraId="62686777">
      <w:pPr>
        <w:rPr>
          <w:rFonts w:hint="eastAsia" w:ascii="宋体" w:hAnsi="宋体" w:cs="宋体"/>
          <w:color w:val="auto"/>
          <w:highlight w:val="none"/>
        </w:rPr>
      </w:pPr>
    </w:p>
    <w:p w14:paraId="5A562B14">
      <w:pPr>
        <w:pStyle w:val="43"/>
        <w:rPr>
          <w:rFonts w:hint="eastAsia" w:ascii="宋体" w:hAnsi="宋体" w:cs="宋体"/>
          <w:color w:val="auto"/>
          <w:highlight w:val="none"/>
        </w:rPr>
      </w:pPr>
    </w:p>
    <w:p w14:paraId="36BF78DB">
      <w:pPr>
        <w:rPr>
          <w:rFonts w:hint="eastAsia" w:ascii="宋体" w:hAnsi="宋体" w:cs="宋体"/>
          <w:color w:val="auto"/>
          <w:highlight w:val="none"/>
        </w:rPr>
      </w:pPr>
    </w:p>
    <w:p w14:paraId="6A8C342F">
      <w:pPr>
        <w:pStyle w:val="43"/>
        <w:rPr>
          <w:rFonts w:hint="eastAsia" w:ascii="宋体" w:hAnsi="宋体" w:cs="宋体"/>
          <w:color w:val="auto"/>
          <w:highlight w:val="none"/>
        </w:rPr>
      </w:pPr>
    </w:p>
    <w:p w14:paraId="1FBAEBFB">
      <w:pPr>
        <w:rPr>
          <w:rFonts w:hint="eastAsia" w:ascii="宋体" w:hAnsi="宋体" w:cs="宋体"/>
          <w:color w:val="auto"/>
          <w:highlight w:val="none"/>
        </w:rPr>
      </w:pPr>
    </w:p>
    <w:p w14:paraId="60FBCE27">
      <w:pPr>
        <w:pStyle w:val="43"/>
        <w:rPr>
          <w:rFonts w:hint="eastAsia" w:ascii="宋体" w:hAnsi="宋体" w:cs="宋体"/>
          <w:color w:val="auto"/>
          <w:highlight w:val="none"/>
        </w:rPr>
      </w:pPr>
    </w:p>
    <w:p w14:paraId="3720A36E">
      <w:pPr>
        <w:rPr>
          <w:rFonts w:hint="eastAsia" w:ascii="宋体" w:hAnsi="宋体" w:cs="宋体"/>
          <w:color w:val="auto"/>
          <w:highlight w:val="none"/>
        </w:rPr>
      </w:pPr>
    </w:p>
    <w:p w14:paraId="7A2A9710">
      <w:pPr>
        <w:pStyle w:val="43"/>
        <w:rPr>
          <w:rFonts w:hint="eastAsia" w:ascii="宋体" w:hAnsi="宋体" w:cs="宋体"/>
          <w:color w:val="auto"/>
          <w:highlight w:val="none"/>
        </w:rPr>
      </w:pPr>
    </w:p>
    <w:p w14:paraId="4EF2346D">
      <w:pPr>
        <w:rPr>
          <w:rFonts w:hint="eastAsia" w:ascii="宋体" w:hAnsi="宋体" w:cs="宋体"/>
          <w:color w:val="auto"/>
          <w:highlight w:val="none"/>
        </w:rPr>
      </w:pPr>
    </w:p>
    <w:p w14:paraId="3CD21DED">
      <w:pPr>
        <w:pStyle w:val="43"/>
        <w:rPr>
          <w:rFonts w:hint="eastAsia" w:ascii="宋体" w:hAnsi="宋体" w:cs="宋体"/>
          <w:color w:val="auto"/>
          <w:highlight w:val="none"/>
        </w:rPr>
      </w:pPr>
    </w:p>
    <w:p w14:paraId="63D2EF40">
      <w:pPr>
        <w:pStyle w:val="3"/>
        <w:spacing w:before="0" w:after="0" w:line="360" w:lineRule="auto"/>
        <w:jc w:val="center"/>
        <w:rPr>
          <w:rFonts w:hint="eastAsia" w:ascii="宋体" w:hAnsi="宋体" w:eastAsia="宋体" w:cs="宋体"/>
          <w:b w:val="0"/>
          <w:color w:val="auto"/>
          <w:highlight w:val="none"/>
          <w:lang w:val="en-US"/>
        </w:rPr>
      </w:pPr>
      <w:r>
        <w:rPr>
          <w:rFonts w:hint="eastAsia" w:ascii="宋体" w:hAnsi="宋体" w:eastAsia="宋体" w:cs="宋体"/>
          <w:color w:val="auto"/>
          <w:szCs w:val="24"/>
          <w:highlight w:val="none"/>
        </w:rPr>
        <w:fldChar w:fldCharType="end"/>
      </w:r>
      <w:bookmarkStart w:id="1" w:name="_Toc202173300"/>
      <w:bookmarkStart w:id="2" w:name="_Toc234057356"/>
      <w:bookmarkStart w:id="3" w:name="_Toc31761"/>
      <w:r>
        <w:rPr>
          <w:rFonts w:hint="eastAsia" w:ascii="宋体" w:hAnsi="宋体" w:eastAsia="宋体" w:cs="宋体"/>
          <w:b w:val="0"/>
          <w:color w:val="auto"/>
          <w:highlight w:val="none"/>
        </w:rPr>
        <w:t xml:space="preserve">第一章  </w:t>
      </w:r>
      <w:bookmarkEnd w:id="1"/>
      <w:bookmarkEnd w:id="2"/>
      <w:bookmarkStart w:id="4" w:name="_Hlk23149401"/>
      <w:bookmarkStart w:id="5" w:name="_Toc234057357"/>
      <w:bookmarkStart w:id="6" w:name="_Toc202173301"/>
      <w:bookmarkStart w:id="7" w:name="_Toc280658074"/>
      <w:r>
        <w:rPr>
          <w:rFonts w:hint="eastAsia" w:ascii="宋体" w:hAnsi="宋体" w:eastAsia="宋体" w:cs="宋体"/>
          <w:b w:val="0"/>
          <w:color w:val="auto"/>
          <w:highlight w:val="none"/>
          <w:lang w:val="en-US"/>
        </w:rPr>
        <w:t>询比采购公告</w:t>
      </w:r>
      <w:bookmarkEnd w:id="3"/>
    </w:p>
    <w:bookmarkEnd w:id="4"/>
    <w:p w14:paraId="2E316881">
      <w:pPr>
        <w:spacing w:line="288" w:lineRule="auto"/>
        <w:rPr>
          <w:rFonts w:hint="eastAsia" w:ascii="宋体" w:hAnsi="宋体" w:cs="宋体"/>
          <w:bCs/>
          <w:color w:val="auto"/>
          <w:sz w:val="24"/>
          <w:szCs w:val="24"/>
          <w:highlight w:val="none"/>
        </w:rPr>
      </w:pPr>
      <w:bookmarkStart w:id="116" w:name="_GoBack"/>
      <w:bookmarkEnd w:id="116"/>
      <w:r>
        <w:rPr>
          <w:rFonts w:hint="eastAsia" w:ascii="宋体" w:hAnsi="宋体" w:cs="宋体"/>
          <w:b/>
          <w:color w:val="auto"/>
          <w:kern w:val="0"/>
          <w:sz w:val="24"/>
          <w:szCs w:val="24"/>
          <w:highlight w:val="none"/>
        </w:rPr>
        <mc:AlternateContent>
          <mc:Choice Requires="wps">
            <w:drawing>
              <wp:inline distT="0" distB="0" distL="0" distR="0">
                <wp:extent cx="6315710" cy="1511300"/>
                <wp:effectExtent l="4445" t="5080" r="17145" b="762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15739" cy="1511300"/>
                        </a:xfrm>
                        <a:prstGeom prst="rect">
                          <a:avLst/>
                        </a:prstGeom>
                        <a:solidFill>
                          <a:srgbClr val="FFFFFF"/>
                        </a:solidFill>
                        <a:ln w="9525">
                          <a:solidFill>
                            <a:srgbClr val="000000"/>
                          </a:solidFill>
                          <a:miter lim="800000"/>
                        </a:ln>
                      </wps:spPr>
                      <wps:txbx>
                        <w:txbxContent>
                          <w:p w14:paraId="56F5EE08">
                            <w:pPr>
                              <w:snapToGrid w:val="0"/>
                              <w:spacing w:line="360" w:lineRule="auto"/>
                              <w:ind w:firstLine="482" w:firstLineChars="200"/>
                              <w:contextualSpacing/>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一、项目概况</w:t>
                            </w:r>
                          </w:p>
                          <w:p w14:paraId="33B9830C">
                            <w:pPr>
                              <w:snapToGrid w:val="0"/>
                              <w:spacing w:line="360" w:lineRule="auto"/>
                              <w:ind w:firstLine="480" w:firstLineChars="200"/>
                              <w:contextualSpacing/>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玉溪第六小学</w:t>
                            </w:r>
                            <w:r>
                              <w:rPr>
                                <w:rFonts w:hint="eastAsia" w:ascii="宋体" w:hAnsi="宋体"/>
                                <w:bCs/>
                                <w:color w:val="000000" w:themeColor="text1"/>
                                <w:sz w:val="24"/>
                                <w:szCs w:val="24"/>
                                <w14:textFill>
                                  <w14:solidFill>
                                    <w14:schemeClr w14:val="tx1"/>
                                  </w14:solidFill>
                                </w14:textFill>
                              </w:rPr>
                              <w:t>智慧校园云广播升级服务项目的潜在供应商应在玉溪市限额标准以下市场（https://cg.zbj.com/）网站获取采购文件，</w:t>
                            </w:r>
                            <w:r>
                              <w:rPr>
                                <w:rFonts w:hint="eastAsia" w:ascii="宋体" w:hAnsi="宋体"/>
                                <w:bCs/>
                                <w:color w:val="000000" w:themeColor="text1"/>
                                <w:sz w:val="24"/>
                                <w:szCs w:val="24"/>
                                <w:highlight w:val="none"/>
                                <w14:textFill>
                                  <w14:solidFill>
                                    <w14:schemeClr w14:val="tx1"/>
                                  </w14:solidFill>
                                </w14:textFill>
                              </w:rPr>
                              <w:t>并于</w:t>
                            </w:r>
                            <w:r>
                              <w:rPr>
                                <w:rFonts w:hint="eastAsia" w:ascii="宋体" w:hAnsi="宋体"/>
                                <w:b/>
                                <w:sz w:val="24"/>
                                <w:szCs w:val="24"/>
                                <w:highlight w:val="none"/>
                              </w:rPr>
                              <w:t>2024年06月</w:t>
                            </w:r>
                            <w:r>
                              <w:rPr>
                                <w:rFonts w:hint="eastAsia" w:ascii="宋体" w:hAnsi="宋体"/>
                                <w:b/>
                                <w:sz w:val="24"/>
                                <w:szCs w:val="24"/>
                                <w:highlight w:val="none"/>
                                <w:lang w:val="en-US" w:eastAsia="zh-CN"/>
                              </w:rPr>
                              <w:t>19日</w:t>
                            </w:r>
                            <w:r>
                              <w:rPr>
                                <w:rFonts w:hint="eastAsia" w:ascii="宋体" w:hAnsi="宋体"/>
                                <w:b/>
                                <w:sz w:val="24"/>
                                <w:szCs w:val="24"/>
                                <w:highlight w:val="none"/>
                              </w:rPr>
                              <w:t>15时00分</w:t>
                            </w:r>
                            <w:r>
                              <w:rPr>
                                <w:rFonts w:hint="eastAsia" w:ascii="宋体" w:hAnsi="宋体"/>
                                <w:bCs/>
                                <w:color w:val="000000" w:themeColor="text1"/>
                                <w:sz w:val="24"/>
                                <w:szCs w:val="24"/>
                                <w:highlight w:val="none"/>
                                <w14:textFill>
                                  <w14:solidFill>
                                    <w14:schemeClr w14:val="tx1"/>
                                  </w14:solidFill>
                                </w14:textFill>
                              </w:rPr>
                              <w:t>（北</w:t>
                            </w:r>
                            <w:r>
                              <w:rPr>
                                <w:rFonts w:hint="eastAsia" w:ascii="宋体" w:hAnsi="宋体"/>
                                <w:bCs/>
                                <w:color w:val="000000" w:themeColor="text1"/>
                                <w:sz w:val="24"/>
                                <w:szCs w:val="24"/>
                                <w14:textFill>
                                  <w14:solidFill>
                                    <w14:schemeClr w14:val="tx1"/>
                                  </w14:solidFill>
                                </w14:textFill>
                              </w:rPr>
                              <w:t>京时间）前在玉溪市限额标准以下市场（https://cg.zbj.com/）、云南中诏项目管理有限公司会议室提交响应文件。</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19pt;width:497.3pt;" fillcolor="#FFFFFF" filled="t" stroked="t" coordsize="21600,21600" o:gfxdata="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lH+B1gAAAAUBAAAPAAAAAAAAAAEAIAAAACIAAABkcnMv&#10;ZG93bnJldi54bWxQSwECFAAUAAAACACHTuJA4FEOcD4CAAB+BAAADgAAAAAAAAABACAAAAAlAQAA&#10;ZHJzL2Uyb0RvYy54bWxQSwUGAAAAAAYABgBZAQAA1QUAAAAA&#10;">
                <v:fill on="t" focussize="0,0"/>
                <v:stroke color="#000000" miterlimit="8" joinstyle="miter"/>
                <v:imagedata o:title=""/>
                <o:lock v:ext="edit" aspectratio="f"/>
                <v:textbox>
                  <w:txbxContent>
                    <w:p w14:paraId="56F5EE08">
                      <w:pPr>
                        <w:snapToGrid w:val="0"/>
                        <w:spacing w:line="360" w:lineRule="auto"/>
                        <w:ind w:firstLine="482" w:firstLineChars="200"/>
                        <w:contextualSpacing/>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一、项目概况</w:t>
                      </w:r>
                    </w:p>
                    <w:p w14:paraId="33B9830C">
                      <w:pPr>
                        <w:snapToGrid w:val="0"/>
                        <w:spacing w:line="360" w:lineRule="auto"/>
                        <w:ind w:firstLine="480" w:firstLineChars="200"/>
                        <w:contextualSpacing/>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玉溪第六小学</w:t>
                      </w:r>
                      <w:r>
                        <w:rPr>
                          <w:rFonts w:hint="eastAsia" w:ascii="宋体" w:hAnsi="宋体"/>
                          <w:bCs/>
                          <w:color w:val="000000" w:themeColor="text1"/>
                          <w:sz w:val="24"/>
                          <w:szCs w:val="24"/>
                          <w14:textFill>
                            <w14:solidFill>
                              <w14:schemeClr w14:val="tx1"/>
                            </w14:solidFill>
                          </w14:textFill>
                        </w:rPr>
                        <w:t>智慧校园云广播升级服务项目的潜在供应商应在玉溪市限额标准以下市场（https://cg.zbj.com/）网站获取采购文件，</w:t>
                      </w:r>
                      <w:r>
                        <w:rPr>
                          <w:rFonts w:hint="eastAsia" w:ascii="宋体" w:hAnsi="宋体"/>
                          <w:bCs/>
                          <w:color w:val="000000" w:themeColor="text1"/>
                          <w:sz w:val="24"/>
                          <w:szCs w:val="24"/>
                          <w:highlight w:val="none"/>
                          <w14:textFill>
                            <w14:solidFill>
                              <w14:schemeClr w14:val="tx1"/>
                            </w14:solidFill>
                          </w14:textFill>
                        </w:rPr>
                        <w:t>并于</w:t>
                      </w:r>
                      <w:r>
                        <w:rPr>
                          <w:rFonts w:hint="eastAsia" w:ascii="宋体" w:hAnsi="宋体"/>
                          <w:b/>
                          <w:sz w:val="24"/>
                          <w:szCs w:val="24"/>
                          <w:highlight w:val="none"/>
                        </w:rPr>
                        <w:t>2024年06月</w:t>
                      </w:r>
                      <w:r>
                        <w:rPr>
                          <w:rFonts w:hint="eastAsia" w:ascii="宋体" w:hAnsi="宋体"/>
                          <w:b/>
                          <w:sz w:val="24"/>
                          <w:szCs w:val="24"/>
                          <w:highlight w:val="none"/>
                          <w:lang w:val="en-US" w:eastAsia="zh-CN"/>
                        </w:rPr>
                        <w:t>19日</w:t>
                      </w:r>
                      <w:r>
                        <w:rPr>
                          <w:rFonts w:hint="eastAsia" w:ascii="宋体" w:hAnsi="宋体"/>
                          <w:b/>
                          <w:sz w:val="24"/>
                          <w:szCs w:val="24"/>
                          <w:highlight w:val="none"/>
                        </w:rPr>
                        <w:t>15时00分</w:t>
                      </w:r>
                      <w:r>
                        <w:rPr>
                          <w:rFonts w:hint="eastAsia" w:ascii="宋体" w:hAnsi="宋体"/>
                          <w:bCs/>
                          <w:color w:val="000000" w:themeColor="text1"/>
                          <w:sz w:val="24"/>
                          <w:szCs w:val="24"/>
                          <w:highlight w:val="none"/>
                          <w14:textFill>
                            <w14:solidFill>
                              <w14:schemeClr w14:val="tx1"/>
                            </w14:solidFill>
                          </w14:textFill>
                        </w:rPr>
                        <w:t>（北</w:t>
                      </w:r>
                      <w:r>
                        <w:rPr>
                          <w:rFonts w:hint="eastAsia" w:ascii="宋体" w:hAnsi="宋体"/>
                          <w:bCs/>
                          <w:color w:val="000000" w:themeColor="text1"/>
                          <w:sz w:val="24"/>
                          <w:szCs w:val="24"/>
                          <w14:textFill>
                            <w14:solidFill>
                              <w14:schemeClr w14:val="tx1"/>
                            </w14:solidFill>
                          </w14:textFill>
                        </w:rPr>
                        <w:t>京时间）前在玉溪市限额标准以下市场（https://cg.zbj.com/）、云南中诏项目管理有限公司会议室提交响应文件。</w:t>
                      </w:r>
                    </w:p>
                  </w:txbxContent>
                </v:textbox>
                <w10:wrap type="none"/>
                <w10:anchorlock/>
              </v:shape>
            </w:pict>
          </mc:Fallback>
        </mc:AlternateContent>
      </w:r>
    </w:p>
    <w:p w14:paraId="3882F92D">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二、项目基本情况</w:t>
      </w:r>
    </w:p>
    <w:p w14:paraId="139E04CC">
      <w:pPr>
        <w:adjustRightInd w:val="0"/>
        <w:snapToGrid w:val="0"/>
        <w:spacing w:line="360" w:lineRule="auto"/>
        <w:ind w:firstLine="480" w:firstLineChars="200"/>
        <w:rPr>
          <w:rFonts w:hint="eastAsia" w:ascii="宋体" w:hAnsi="宋体" w:cs="宋体"/>
          <w:bCs/>
          <w:color w:val="auto"/>
          <w:kern w:val="0"/>
          <w:sz w:val="24"/>
          <w:szCs w:val="24"/>
          <w:highlight w:val="none"/>
        </w:rPr>
      </w:pPr>
      <w:bookmarkStart w:id="8" w:name="_Toc357500908"/>
      <w:r>
        <w:rPr>
          <w:rFonts w:hint="eastAsia" w:ascii="宋体" w:hAnsi="宋体" w:cs="宋体"/>
          <w:bCs/>
          <w:color w:val="auto"/>
          <w:kern w:val="0"/>
          <w:sz w:val="24"/>
          <w:szCs w:val="24"/>
          <w:highlight w:val="none"/>
        </w:rPr>
        <w:t>1.</w:t>
      </w:r>
      <w:bookmarkEnd w:id="8"/>
      <w:bookmarkStart w:id="9" w:name="_Toc357500909"/>
      <w:r>
        <w:rPr>
          <w:rFonts w:hint="eastAsia" w:ascii="宋体" w:hAnsi="宋体" w:cs="宋体"/>
          <w:bCs/>
          <w:color w:val="auto"/>
          <w:kern w:val="0"/>
          <w:sz w:val="24"/>
          <w:szCs w:val="24"/>
          <w:highlight w:val="none"/>
        </w:rPr>
        <w:t>项目编号：</w:t>
      </w:r>
      <w:r>
        <w:rPr>
          <w:rFonts w:hint="eastAsia" w:ascii="宋体" w:hAnsi="宋体" w:cs="宋体"/>
          <w:color w:val="auto"/>
          <w:kern w:val="0"/>
          <w:sz w:val="24"/>
          <w:szCs w:val="24"/>
          <w:highlight w:val="none"/>
        </w:rPr>
        <w:t>ZZGL-2025089F；</w:t>
      </w:r>
    </w:p>
    <w:p w14:paraId="302ACA98">
      <w:pPr>
        <w:adjustRightInd w:val="0"/>
        <w:snapToGrid w:val="0"/>
        <w:spacing w:line="360" w:lineRule="auto"/>
        <w:ind w:firstLine="480" w:firstLineChars="200"/>
        <w:rPr>
          <w:rFonts w:hint="eastAsia" w:ascii="宋体" w:hAnsi="宋体" w:cs="宋体"/>
          <w:bCs/>
          <w:color w:val="auto"/>
          <w:kern w:val="0"/>
          <w:sz w:val="24"/>
          <w:szCs w:val="24"/>
          <w:highlight w:val="none"/>
        </w:rPr>
      </w:pPr>
      <w:bookmarkStart w:id="10" w:name="_Hlk134621111"/>
      <w:r>
        <w:rPr>
          <w:rFonts w:hint="eastAsia" w:ascii="宋体" w:hAnsi="宋体" w:cs="宋体"/>
          <w:bCs/>
          <w:color w:val="auto"/>
          <w:kern w:val="0"/>
          <w:sz w:val="24"/>
          <w:szCs w:val="24"/>
          <w:highlight w:val="none"/>
        </w:rPr>
        <w:t>2.</w:t>
      </w:r>
      <w:bookmarkEnd w:id="9"/>
      <w:bookmarkStart w:id="11" w:name="_Toc357500910"/>
      <w:r>
        <w:rPr>
          <w:rFonts w:hint="eastAsia" w:ascii="宋体" w:hAnsi="宋体" w:cs="宋体"/>
          <w:bCs/>
          <w:color w:val="auto"/>
          <w:kern w:val="0"/>
          <w:sz w:val="24"/>
          <w:szCs w:val="24"/>
          <w:highlight w:val="none"/>
        </w:rPr>
        <w:t>项目名称：</w:t>
      </w:r>
      <w:bookmarkStart w:id="12" w:name="_Hlk80799854"/>
      <w:r>
        <w:rPr>
          <w:rFonts w:hint="eastAsia" w:ascii="宋体" w:hAnsi="宋体" w:cs="宋体"/>
          <w:bCs/>
          <w:color w:val="auto"/>
          <w:kern w:val="0"/>
          <w:sz w:val="24"/>
          <w:szCs w:val="24"/>
          <w:highlight w:val="none"/>
          <w:lang w:eastAsia="zh-CN"/>
        </w:rPr>
        <w:t>玉溪第六小学</w:t>
      </w:r>
      <w:r>
        <w:rPr>
          <w:rFonts w:hint="eastAsia" w:ascii="宋体" w:hAnsi="宋体" w:cs="宋体"/>
          <w:bCs/>
          <w:color w:val="auto"/>
          <w:kern w:val="0"/>
          <w:sz w:val="24"/>
          <w:szCs w:val="24"/>
          <w:highlight w:val="none"/>
        </w:rPr>
        <w:t>智慧校园云广播升级服务项目；</w:t>
      </w:r>
    </w:p>
    <w:bookmarkEnd w:id="12"/>
    <w:p w14:paraId="74AB03CE">
      <w:pPr>
        <w:adjustRightInd w:val="0"/>
        <w:snapToGrid w:val="0"/>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bookmarkEnd w:id="11"/>
      <w:r>
        <w:rPr>
          <w:rFonts w:hint="eastAsia" w:ascii="宋体" w:hAnsi="宋体" w:cs="宋体"/>
          <w:bCs/>
          <w:color w:val="auto"/>
          <w:kern w:val="0"/>
          <w:sz w:val="24"/>
          <w:szCs w:val="24"/>
          <w:highlight w:val="none"/>
        </w:rPr>
        <w:t>采购方式：询比采购；</w:t>
      </w:r>
    </w:p>
    <w:p w14:paraId="5FBDE6D4">
      <w:pPr>
        <w:adjustRightInd w:val="0"/>
        <w:snapToGrid w:val="0"/>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4.采购预算价：¥329029.00元（人民币叁拾贰万玖仟零贰拾玖元整）</w:t>
      </w:r>
    </w:p>
    <w:bookmarkEnd w:id="10"/>
    <w:p w14:paraId="134D2990">
      <w:pPr>
        <w:pStyle w:val="30"/>
        <w:spacing w:before="0" w:beforeAutospacing="0" w:after="0" w:afterAutospacing="0" w:line="360" w:lineRule="auto"/>
        <w:ind w:firstLine="480" w:firstLineChars="200"/>
        <w:jc w:val="both"/>
        <w:rPr>
          <w:rFonts w:hint="eastAsia" w:eastAsia="宋体"/>
          <w:bCs/>
          <w:color w:val="auto"/>
          <w:highlight w:val="none"/>
          <w:lang w:val="en-US" w:eastAsia="zh-CN"/>
        </w:rPr>
      </w:pPr>
      <w:bookmarkStart w:id="13" w:name="_Toc357500911"/>
      <w:bookmarkStart w:id="14" w:name="_Toc357500912"/>
      <w:r>
        <w:rPr>
          <w:rFonts w:hint="eastAsia"/>
          <w:bCs/>
          <w:color w:val="auto"/>
          <w:highlight w:val="none"/>
        </w:rPr>
        <w:t>5.</w:t>
      </w:r>
      <w:bookmarkEnd w:id="13"/>
      <w:r>
        <w:rPr>
          <w:rFonts w:hint="eastAsia"/>
          <w:bCs/>
          <w:color w:val="auto"/>
          <w:highlight w:val="none"/>
        </w:rPr>
        <w:t>采购内容：</w:t>
      </w:r>
      <w:bookmarkStart w:id="15" w:name="_Hlk89152592"/>
      <w:r>
        <w:rPr>
          <w:rFonts w:hint="eastAsia"/>
          <w:bCs/>
          <w:color w:val="auto"/>
          <w:highlight w:val="none"/>
          <w:lang w:eastAsia="zh-CN"/>
        </w:rPr>
        <w:t>玉溪第六小学</w:t>
      </w:r>
      <w:r>
        <w:rPr>
          <w:rFonts w:hint="eastAsia"/>
          <w:bCs/>
          <w:color w:val="auto"/>
          <w:highlight w:val="none"/>
        </w:rPr>
        <w:t>智慧校园云广播升级服务，</w:t>
      </w:r>
      <w:r>
        <w:rPr>
          <w:rFonts w:hint="eastAsia"/>
          <w:bCs/>
          <w:color w:val="auto"/>
          <w:highlight w:val="none"/>
          <w:lang w:val="en-US" w:eastAsia="zh-CN"/>
        </w:rPr>
        <w:t>其中桥架部分包含</w:t>
      </w:r>
      <w:r>
        <w:rPr>
          <w:rFonts w:hint="eastAsia"/>
          <w:bCs/>
          <w:color w:val="auto"/>
          <w:highlight w:val="none"/>
        </w:rPr>
        <w:t>郑井小学、中卫小学、冯井中心校区</w:t>
      </w:r>
      <w:r>
        <w:rPr>
          <w:rFonts w:hint="eastAsia"/>
          <w:bCs/>
          <w:color w:val="auto"/>
          <w:highlight w:val="none"/>
          <w:lang w:eastAsia="zh-CN"/>
        </w:rPr>
        <w:t>，</w:t>
      </w:r>
      <w:r>
        <w:rPr>
          <w:rFonts w:hint="eastAsia"/>
          <w:bCs/>
          <w:color w:val="auto"/>
          <w:highlight w:val="none"/>
          <w:lang w:val="en-US" w:eastAsia="zh-CN"/>
        </w:rPr>
        <w:t>广播部分为</w:t>
      </w:r>
      <w:r>
        <w:rPr>
          <w:rFonts w:hint="eastAsia"/>
          <w:bCs/>
          <w:color w:val="auto"/>
          <w:highlight w:val="none"/>
        </w:rPr>
        <w:t>冯井中心校区</w:t>
      </w:r>
      <w:r>
        <w:rPr>
          <w:rFonts w:hint="eastAsia"/>
          <w:bCs/>
          <w:color w:val="auto"/>
          <w:highlight w:val="none"/>
          <w:lang w:eastAsia="zh-CN"/>
        </w:rPr>
        <w:t>；</w:t>
      </w:r>
    </w:p>
    <w:bookmarkEnd w:id="15"/>
    <w:p w14:paraId="124024ED">
      <w:pPr>
        <w:pStyle w:val="3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rPr>
        <w:t>6.合同履行期限（建设周期）：30日历天，自合同签订之日起计算；</w:t>
      </w:r>
    </w:p>
    <w:p w14:paraId="41D540A2">
      <w:pPr>
        <w:pStyle w:val="30"/>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7.</w:t>
      </w:r>
      <w:bookmarkStart w:id="16" w:name="_Hlk134621187"/>
      <w:r>
        <w:rPr>
          <w:rFonts w:hint="eastAsia"/>
          <w:bCs/>
          <w:color w:val="auto"/>
          <w:highlight w:val="none"/>
        </w:rPr>
        <w:t>质量要求：</w:t>
      </w:r>
      <w:bookmarkStart w:id="17" w:name="_Hlk135296522"/>
      <w:r>
        <w:rPr>
          <w:rFonts w:hint="eastAsia"/>
          <w:bCs/>
          <w:color w:val="auto"/>
          <w:highlight w:val="none"/>
        </w:rPr>
        <w:t>符合国家及行业相关规定以及满足业主需求</w:t>
      </w:r>
      <w:bookmarkEnd w:id="17"/>
      <w:r>
        <w:rPr>
          <w:rFonts w:hint="eastAsia"/>
          <w:bCs/>
          <w:color w:val="auto"/>
          <w:highlight w:val="none"/>
        </w:rPr>
        <w:t>；</w:t>
      </w:r>
      <w:bookmarkEnd w:id="16"/>
    </w:p>
    <w:p w14:paraId="2D1D6AF5">
      <w:pPr>
        <w:pStyle w:val="30"/>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8.本项目不接受联合体。</w:t>
      </w:r>
    </w:p>
    <w:bookmarkEnd w:id="14"/>
    <w:p w14:paraId="5C9D0641">
      <w:pPr>
        <w:pStyle w:val="30"/>
        <w:spacing w:before="0" w:beforeAutospacing="0" w:after="0" w:afterAutospacing="0" w:line="360" w:lineRule="auto"/>
        <w:ind w:firstLine="482" w:firstLineChars="200"/>
        <w:rPr>
          <w:rFonts w:hint="eastAsia"/>
          <w:b/>
          <w:color w:val="auto"/>
          <w:highlight w:val="none"/>
        </w:rPr>
      </w:pPr>
      <w:r>
        <w:rPr>
          <w:rFonts w:hint="eastAsia"/>
          <w:b/>
          <w:color w:val="auto"/>
          <w:highlight w:val="none"/>
        </w:rPr>
        <w:t>三、申请人的资格要求</w:t>
      </w:r>
    </w:p>
    <w:p w14:paraId="0F05CFDF">
      <w:pPr>
        <w:adjustRightInd w:val="0"/>
        <w:snapToGrid w:val="0"/>
        <w:spacing w:line="360" w:lineRule="auto"/>
        <w:ind w:firstLine="480" w:firstLineChars="200"/>
        <w:rPr>
          <w:rFonts w:hint="eastAsia" w:ascii="宋体" w:hAnsi="宋体" w:cs="宋体"/>
          <w:color w:val="auto"/>
          <w:highlight w:val="none"/>
        </w:rPr>
      </w:pPr>
      <w:r>
        <w:rPr>
          <w:rFonts w:hint="eastAsia" w:ascii="宋体" w:hAnsi="宋体" w:cs="宋体"/>
          <w:bCs/>
          <w:color w:val="auto"/>
          <w:sz w:val="24"/>
          <w:szCs w:val="24"/>
          <w:highlight w:val="none"/>
        </w:rPr>
        <w:t>1.具备《中华人民共和国政府采购法》第二十二条规定的条件</w:t>
      </w:r>
    </w:p>
    <w:p w14:paraId="26BCBE32">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须在中华人民共和国境内注册，具备有效的营业执照（或事业单位法人证书）的独立法人企业（单位）。省级分支机构参加投标的须具有总公司的相关授权（二级授权）；地市级分支机构参加投标的须具有可追溯至总公司的相关授权（三级授权）。同一家总公司下属的不同分支机构不能同时参与本项目投标；</w:t>
      </w:r>
    </w:p>
    <w:p w14:paraId="6D0452D5">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1.2供应商自行承诺符合《中华人民共和国政府采购法》第二十二条规定及《中华人民共和国政府采购法实施条例》第十七条的相关要求；</w:t>
      </w:r>
    </w:p>
    <w:p w14:paraId="59EAB7C1">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1.2参加采购活动前3年内，在经营活动中没有重大违法记录（自行声明）；</w:t>
      </w:r>
    </w:p>
    <w:p w14:paraId="1C98430E">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1.3自行声明在“信用中国”网站(www.creditchina.gov.cn) 中未被列入：税收违法黑名单；在中国执行信息公开网（http://zxgk.court.gov.cn/shixin/）中未被列入：失信被执行人名单；在“中国政府采购网”(www.ccgp.gov.cn)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中未被列入：政府采购严重违法失信行为记录名单；（供应商自拟格式承诺以上内容，加盖供应商公章在响应文件中提供，若供应商如存在查证的以上相关记录，采购人有权取消其投标（成交）资格）；</w:t>
      </w:r>
    </w:p>
    <w:p w14:paraId="18511EB2">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2.本次采购不接受联合体询比；</w:t>
      </w:r>
    </w:p>
    <w:p w14:paraId="7B134563">
      <w:pPr>
        <w:pStyle w:val="43"/>
        <w:adjustRightInd w:val="0"/>
        <w:snapToGrid w:val="0"/>
        <w:spacing w:before="0" w:after="0" w:line="360" w:lineRule="auto"/>
        <w:ind w:firstLine="480" w:firstLineChars="200"/>
        <w:rPr>
          <w:rFonts w:hint="eastAsia" w:ascii="宋体" w:hAnsi="宋体" w:cs="宋体"/>
          <w:color w:val="auto"/>
          <w:spacing w:val="0"/>
          <w:kern w:val="2"/>
          <w:szCs w:val="24"/>
          <w:highlight w:val="none"/>
        </w:rPr>
      </w:pPr>
      <w:r>
        <w:rPr>
          <w:rFonts w:hint="eastAsia" w:ascii="宋体" w:hAnsi="宋体" w:cs="宋体"/>
          <w:color w:val="auto"/>
          <w:spacing w:val="0"/>
          <w:kern w:val="2"/>
          <w:szCs w:val="24"/>
          <w:highlight w:val="none"/>
        </w:rPr>
        <w:t>3.不同供应商之间有下列情形之一，不接受作为参加同一采购项目竞争的供应商：①为采购项目提供整体设计、规范编制或者项目管理、监理、检测等服务的供应商；②单位负责人为同一人或者存在直接控股、管理关系的不同供应商；</w:t>
      </w:r>
    </w:p>
    <w:p w14:paraId="2D59E60B">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4.本项目的特定资格要求：无</w:t>
      </w:r>
    </w:p>
    <w:p w14:paraId="6CDB103B">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四、询比文件获取</w:t>
      </w:r>
    </w:p>
    <w:p w14:paraId="2B0A9847">
      <w:pPr>
        <w:snapToGrid w:val="0"/>
        <w:spacing w:line="360" w:lineRule="auto"/>
        <w:ind w:firstLine="480" w:firstLineChars="200"/>
        <w:contextualSpacing/>
        <w:rPr>
          <w:rFonts w:hint="eastAsia" w:ascii="宋体" w:hAnsi="宋体" w:cs="宋体"/>
          <w:bCs/>
          <w:color w:val="auto"/>
          <w:sz w:val="24"/>
          <w:szCs w:val="24"/>
          <w:highlight w:val="none"/>
        </w:rPr>
      </w:pPr>
      <w:bookmarkStart w:id="18" w:name="_Hlk36630526"/>
      <w:r>
        <w:rPr>
          <w:rFonts w:hint="eastAsia" w:ascii="宋体" w:hAnsi="宋体" w:cs="宋体"/>
          <w:bCs/>
          <w:color w:val="auto"/>
          <w:sz w:val="24"/>
          <w:szCs w:val="24"/>
          <w:highlight w:val="none"/>
        </w:rPr>
        <w:t>1.</w:t>
      </w:r>
      <w:bookmarkEnd w:id="18"/>
      <w:r>
        <w:rPr>
          <w:rFonts w:hint="eastAsia" w:ascii="宋体" w:hAnsi="宋体" w:cs="宋体"/>
          <w:bCs/>
          <w:color w:val="auto"/>
          <w:sz w:val="24"/>
          <w:szCs w:val="24"/>
          <w:highlight w:val="none"/>
        </w:rPr>
        <w:t>时间：</w:t>
      </w:r>
      <w:r>
        <w:rPr>
          <w:rFonts w:hint="eastAsia" w:ascii="宋体" w:hAnsi="宋体" w:cs="宋体"/>
          <w:b/>
          <w:color w:val="auto"/>
          <w:sz w:val="24"/>
          <w:szCs w:val="24"/>
          <w:highlight w:val="none"/>
        </w:rPr>
        <w:t>2025年06月</w:t>
      </w:r>
      <w:r>
        <w:rPr>
          <w:rFonts w:hint="eastAsia" w:ascii="宋体" w:hAnsi="宋体" w:cs="宋体"/>
          <w:b/>
          <w:color w:val="auto"/>
          <w:sz w:val="24"/>
          <w:szCs w:val="24"/>
          <w:highlight w:val="none"/>
          <w:lang w:val="en-US" w:eastAsia="zh-CN"/>
        </w:rPr>
        <w:t>16日</w:t>
      </w:r>
      <w:r>
        <w:rPr>
          <w:rFonts w:hint="eastAsia" w:ascii="宋体" w:hAnsi="宋体" w:cs="宋体"/>
          <w:b/>
          <w:color w:val="auto"/>
          <w:sz w:val="24"/>
          <w:szCs w:val="24"/>
          <w:highlight w:val="none"/>
        </w:rPr>
        <w:t>起至2025年06月</w:t>
      </w:r>
      <w:r>
        <w:rPr>
          <w:rFonts w:hint="eastAsia" w:ascii="宋体" w:hAnsi="宋体" w:cs="宋体"/>
          <w:b/>
          <w:color w:val="auto"/>
          <w:sz w:val="24"/>
          <w:szCs w:val="24"/>
          <w:highlight w:val="none"/>
          <w:lang w:val="en-US" w:eastAsia="zh-CN"/>
        </w:rPr>
        <w:t>19日</w:t>
      </w:r>
      <w:r>
        <w:rPr>
          <w:rFonts w:hint="eastAsia" w:ascii="宋体" w:hAnsi="宋体" w:cs="宋体"/>
          <w:b/>
          <w:color w:val="auto"/>
          <w:kern w:val="0"/>
          <w:sz w:val="24"/>
          <w:szCs w:val="24"/>
          <w:highlight w:val="none"/>
        </w:rPr>
        <w:t>14:59时</w:t>
      </w:r>
      <w:r>
        <w:rPr>
          <w:rFonts w:hint="eastAsia" w:ascii="宋体" w:hAnsi="宋体" w:cs="宋体"/>
          <w:bCs/>
          <w:color w:val="auto"/>
          <w:sz w:val="24"/>
          <w:szCs w:val="24"/>
          <w:highlight w:val="none"/>
        </w:rPr>
        <w:t>，在玉溪市限额标准以下市场（https://cg.zbj.com/）网站下载查看本项目询比文件以及变更公告（若有）等询比前公布的所有项目资料，无论供应商下载查看与否，均视为已知晓所有询比文件实质性要求内容；</w:t>
      </w:r>
    </w:p>
    <w:p w14:paraId="5080A48C">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2.地点：玉溪市限额标准以下市场（https://cg.zbj.com/）及云南中诏项目管理有限公司官网（http://www.ynzzgl.com）；</w:t>
      </w:r>
    </w:p>
    <w:p w14:paraId="72357702">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3.方式：现场获取或网上获取，供应商需将以下材料上传至云南中诏项目管理有限公司官网（http://www.ynzzgl.com）：</w:t>
      </w:r>
    </w:p>
    <w:p w14:paraId="08237400">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3.1有效的营业执照；</w:t>
      </w:r>
    </w:p>
    <w:p w14:paraId="5325E99C">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3.2</w:t>
      </w:r>
      <w:r>
        <w:rPr>
          <w:rFonts w:hint="eastAsia" w:ascii="宋体" w:hAnsi="宋体" w:cs="宋体"/>
          <w:bCs/>
          <w:color w:val="auto"/>
          <w:sz w:val="24"/>
          <w:szCs w:val="24"/>
          <w:highlight w:val="none"/>
          <w:lang w:eastAsia="zh-CN"/>
        </w:rPr>
        <w:t>法定代表人（单位负责人）</w:t>
      </w:r>
      <w:r>
        <w:rPr>
          <w:rFonts w:hint="eastAsia" w:ascii="宋体" w:hAnsi="宋体" w:cs="宋体"/>
          <w:bCs/>
          <w:color w:val="auto"/>
          <w:sz w:val="24"/>
          <w:szCs w:val="24"/>
          <w:highlight w:val="none"/>
        </w:rPr>
        <w:t>（负责人）身份证明书或</w:t>
      </w:r>
      <w:r>
        <w:rPr>
          <w:rFonts w:hint="eastAsia" w:ascii="宋体" w:hAnsi="宋体" w:cs="宋体"/>
          <w:bCs/>
          <w:color w:val="auto"/>
          <w:sz w:val="24"/>
          <w:szCs w:val="24"/>
          <w:highlight w:val="none"/>
          <w:lang w:eastAsia="zh-CN"/>
        </w:rPr>
        <w:t>法定代表人（单位负责人）</w:t>
      </w:r>
      <w:r>
        <w:rPr>
          <w:rFonts w:hint="eastAsia" w:ascii="宋体" w:hAnsi="宋体" w:cs="宋体"/>
          <w:bCs/>
          <w:color w:val="auto"/>
          <w:sz w:val="24"/>
          <w:szCs w:val="24"/>
          <w:highlight w:val="none"/>
        </w:rPr>
        <w:t>（负责人）身份证明书、</w:t>
      </w:r>
      <w:r>
        <w:rPr>
          <w:rFonts w:hint="eastAsia" w:ascii="宋体" w:hAnsi="宋体" w:cs="宋体"/>
          <w:bCs/>
          <w:color w:val="auto"/>
          <w:sz w:val="24"/>
          <w:szCs w:val="24"/>
          <w:highlight w:val="none"/>
          <w:lang w:eastAsia="zh-CN"/>
        </w:rPr>
        <w:t>法定代表人（单位负责人）</w:t>
      </w:r>
      <w:r>
        <w:rPr>
          <w:rFonts w:hint="eastAsia" w:ascii="宋体" w:hAnsi="宋体" w:cs="宋体"/>
          <w:bCs/>
          <w:color w:val="auto"/>
          <w:sz w:val="24"/>
          <w:szCs w:val="24"/>
          <w:highlight w:val="none"/>
        </w:rPr>
        <w:t>（负责人）授权委托书、委托代理人身份证件；</w:t>
      </w:r>
    </w:p>
    <w:p w14:paraId="707FD5B1">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注：供应商在玉溪市限额标准以下市场（https://cg.zbj.com/）登记、注册成功后，需前往云南中诏项目管理有限公司官网（http://www.ynzzgl.com）进行文件获取登记。</w:t>
      </w:r>
    </w:p>
    <w:p w14:paraId="7335E733">
      <w:pPr>
        <w:snapToGrid w:val="0"/>
        <w:spacing w:line="360" w:lineRule="auto"/>
        <w:ind w:firstLine="482" w:firstLineChars="200"/>
        <w:contextualSpacing/>
        <w:rPr>
          <w:rFonts w:hint="eastAsia" w:ascii="宋体" w:hAnsi="宋体" w:cs="宋体"/>
          <w:color w:val="auto"/>
          <w:highlight w:val="none"/>
        </w:rPr>
      </w:pPr>
      <w:r>
        <w:rPr>
          <w:rFonts w:hint="eastAsia" w:ascii="宋体" w:hAnsi="宋体" w:cs="宋体"/>
          <w:b/>
          <w:color w:val="auto"/>
          <w:sz w:val="24"/>
          <w:szCs w:val="24"/>
          <w:highlight w:val="none"/>
        </w:rPr>
        <w:t>4.售价：0元/份。</w:t>
      </w:r>
    </w:p>
    <w:p w14:paraId="75F39220">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五、</w:t>
      </w:r>
      <w:bookmarkStart w:id="19" w:name="_Hlk36633452"/>
      <w:r>
        <w:rPr>
          <w:rFonts w:hint="eastAsia" w:ascii="宋体" w:hAnsi="宋体" w:cs="宋体"/>
          <w:bCs/>
          <w:color w:val="auto"/>
          <w:sz w:val="24"/>
          <w:szCs w:val="24"/>
          <w:highlight w:val="none"/>
        </w:rPr>
        <w:t>响应文件</w:t>
      </w:r>
      <w:bookmarkEnd w:id="19"/>
      <w:r>
        <w:rPr>
          <w:rFonts w:hint="eastAsia" w:ascii="宋体" w:hAnsi="宋体" w:cs="宋体"/>
          <w:bCs/>
          <w:color w:val="auto"/>
          <w:sz w:val="24"/>
          <w:szCs w:val="24"/>
          <w:highlight w:val="none"/>
        </w:rPr>
        <w:t xml:space="preserve">的提交 </w:t>
      </w:r>
    </w:p>
    <w:p w14:paraId="1C39C68B">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1.响应文件截止时间：</w:t>
      </w:r>
      <w:r>
        <w:rPr>
          <w:rFonts w:hint="eastAsia" w:ascii="宋体" w:hAnsi="宋体" w:cs="宋体"/>
          <w:b/>
          <w:color w:val="auto"/>
          <w:sz w:val="24"/>
          <w:szCs w:val="24"/>
          <w:highlight w:val="none"/>
        </w:rPr>
        <w:t>2025年06月</w:t>
      </w:r>
      <w:r>
        <w:rPr>
          <w:rFonts w:hint="eastAsia" w:ascii="宋体" w:hAnsi="宋体" w:cs="宋体"/>
          <w:b/>
          <w:color w:val="auto"/>
          <w:sz w:val="24"/>
          <w:szCs w:val="24"/>
          <w:highlight w:val="none"/>
          <w:lang w:val="en-US" w:eastAsia="zh-CN"/>
        </w:rPr>
        <w:t>19日</w:t>
      </w:r>
      <w:r>
        <w:rPr>
          <w:rFonts w:hint="eastAsia" w:ascii="宋体" w:hAnsi="宋体" w:cs="宋体"/>
          <w:b/>
          <w:color w:val="auto"/>
          <w:sz w:val="24"/>
          <w:szCs w:val="24"/>
          <w:highlight w:val="none"/>
        </w:rPr>
        <w:t>15时00分</w:t>
      </w:r>
      <w:r>
        <w:rPr>
          <w:rFonts w:hint="eastAsia" w:ascii="宋体" w:hAnsi="宋体" w:cs="宋体"/>
          <w:bCs/>
          <w:color w:val="auto"/>
          <w:sz w:val="24"/>
          <w:szCs w:val="24"/>
          <w:highlight w:val="none"/>
        </w:rPr>
        <w:t>（北京时间）；</w:t>
      </w:r>
    </w:p>
    <w:p w14:paraId="6F829224">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2.地点：</w:t>
      </w:r>
      <w:r>
        <w:rPr>
          <w:rFonts w:hint="eastAsia" w:ascii="宋体" w:hAnsi="宋体" w:cs="宋体"/>
          <w:color w:val="auto"/>
          <w:kern w:val="0"/>
          <w:sz w:val="24"/>
          <w:szCs w:val="24"/>
          <w:highlight w:val="none"/>
        </w:rPr>
        <w:t>云南中诏项目管理有限公司（玉溪市红塔区李棋街道科创大道9号（数字玉溪运营中心）二楼），</w:t>
      </w:r>
      <w:r>
        <w:rPr>
          <w:rFonts w:hint="eastAsia" w:ascii="宋体" w:hAnsi="宋体" w:cs="宋体"/>
          <w:bCs/>
          <w:color w:val="auto"/>
          <w:sz w:val="24"/>
          <w:szCs w:val="24"/>
          <w:highlight w:val="none"/>
        </w:rPr>
        <w:t>逾期送达的或者未送达指定地点的响应文件，采购人不予受理。</w:t>
      </w:r>
    </w:p>
    <w:p w14:paraId="7F2D7280">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
          <w:color w:val="auto"/>
          <w:sz w:val="24"/>
          <w:szCs w:val="24"/>
          <w:highlight w:val="none"/>
        </w:rPr>
        <w:t>①供应商须将签字、盖章后的PDF格式响应文件在截止时间前上传至玉溪市限额标准以下市场平台, 采购人将以平台的线上线下资料作为评审依据，采购人不接受未在平台登记并上传响应文件的供应商。</w:t>
      </w:r>
      <w:r>
        <w:rPr>
          <w:rFonts w:hint="eastAsia" w:ascii="宋体" w:hAnsi="宋体" w:cs="宋体"/>
          <w:bCs/>
          <w:color w:val="auto"/>
          <w:sz w:val="24"/>
          <w:szCs w:val="24"/>
          <w:highlight w:val="none"/>
        </w:rPr>
        <w:t>②供应商须在响应文件递交截止时间前到线下提交地点（玉溪市红塔区李棋街道科创大道9号（数字玉溪运营中心）二楼）签到并递交响应文件，参与询比。未按以上要求提交的响应文件，采购人不予受理。</w:t>
      </w:r>
    </w:p>
    <w:p w14:paraId="0D8E896C">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六、响应文件开启</w:t>
      </w:r>
    </w:p>
    <w:p w14:paraId="303A9D85">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时间：</w:t>
      </w:r>
      <w:r>
        <w:rPr>
          <w:rFonts w:hint="eastAsia" w:ascii="宋体" w:hAnsi="宋体" w:cs="宋体"/>
          <w:b/>
          <w:color w:val="auto"/>
          <w:sz w:val="24"/>
          <w:szCs w:val="24"/>
          <w:highlight w:val="none"/>
        </w:rPr>
        <w:t>2025年06月</w:t>
      </w:r>
      <w:r>
        <w:rPr>
          <w:rFonts w:hint="eastAsia" w:ascii="宋体" w:hAnsi="宋体" w:cs="宋体"/>
          <w:b/>
          <w:color w:val="auto"/>
          <w:sz w:val="24"/>
          <w:szCs w:val="24"/>
          <w:highlight w:val="none"/>
          <w:lang w:val="en-US" w:eastAsia="zh-CN"/>
        </w:rPr>
        <w:t>19日</w:t>
      </w:r>
      <w:r>
        <w:rPr>
          <w:rFonts w:hint="eastAsia" w:ascii="宋体" w:hAnsi="宋体" w:cs="宋体"/>
          <w:b/>
          <w:color w:val="auto"/>
          <w:sz w:val="24"/>
          <w:szCs w:val="24"/>
          <w:highlight w:val="none"/>
        </w:rPr>
        <w:t>15时00分</w:t>
      </w:r>
      <w:r>
        <w:rPr>
          <w:rFonts w:hint="eastAsia" w:ascii="宋体" w:hAnsi="宋体" w:cs="宋体"/>
          <w:bCs/>
          <w:color w:val="auto"/>
          <w:sz w:val="24"/>
          <w:szCs w:val="24"/>
          <w:highlight w:val="none"/>
        </w:rPr>
        <w:t>（北京时间）；</w:t>
      </w:r>
    </w:p>
    <w:p w14:paraId="53B9D460">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地点：云南中诏项目管理有限公司会议室（玉溪市红塔区李棋街道科创大道9号（数字玉溪运营中心）二楼）；</w:t>
      </w:r>
    </w:p>
    <w:p w14:paraId="1B1557A5">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七、公告期限及发布媒介</w:t>
      </w:r>
    </w:p>
    <w:p w14:paraId="1CD01695">
      <w:pPr>
        <w:adjustRightInd w:val="0"/>
        <w:snapToGrid w:val="0"/>
        <w:spacing w:line="360" w:lineRule="auto"/>
        <w:ind w:firstLine="480" w:firstLineChars="200"/>
        <w:rPr>
          <w:rFonts w:hint="eastAsia" w:ascii="宋体" w:hAnsi="宋体" w:cs="宋体"/>
          <w:bCs/>
          <w:color w:val="auto"/>
          <w:sz w:val="24"/>
          <w:szCs w:val="24"/>
          <w:highlight w:val="none"/>
        </w:rPr>
      </w:pPr>
      <w:bookmarkStart w:id="20" w:name="_Toc357500938"/>
      <w:r>
        <w:rPr>
          <w:rFonts w:hint="eastAsia" w:ascii="宋体" w:hAnsi="宋体" w:cs="宋体"/>
          <w:bCs/>
          <w:color w:val="auto"/>
          <w:sz w:val="24"/>
          <w:szCs w:val="24"/>
          <w:highlight w:val="none"/>
        </w:rPr>
        <w:t>1.期限：本公告发布之日2个工作日。</w:t>
      </w:r>
    </w:p>
    <w:p w14:paraId="75FF0A19">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2.发布媒介：</w:t>
      </w:r>
      <w:bookmarkEnd w:id="20"/>
      <w:r>
        <w:rPr>
          <w:rFonts w:hint="eastAsia" w:ascii="宋体" w:hAnsi="宋体" w:cs="宋体"/>
          <w:bCs/>
          <w:color w:val="auto"/>
          <w:sz w:val="24"/>
          <w:szCs w:val="24"/>
          <w:highlight w:val="none"/>
        </w:rPr>
        <w:t>本项目询比公告在玉溪市限额标准以下市场（https://cg.zbj.com/）及及云南中诏项目管理有限公司官网（http://www.ynzzgl.com）公布发布。</w:t>
      </w:r>
    </w:p>
    <w:p w14:paraId="54335538">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八、凡对本次采购提出询问，请按以下方式联系</w:t>
      </w:r>
    </w:p>
    <w:p w14:paraId="50593429">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1.采购人信息</w:t>
      </w:r>
    </w:p>
    <w:p w14:paraId="393EF4FA">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bCs/>
          <w:color w:val="auto"/>
          <w:kern w:val="0"/>
          <w:sz w:val="24"/>
          <w:szCs w:val="24"/>
          <w:highlight w:val="none"/>
        </w:rPr>
        <w:t>玉溪第六小学</w:t>
      </w:r>
    </w:p>
    <w:p w14:paraId="3F48EBD1">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地址：玉溪市红塔区玉带路街道办事处冯井村</w:t>
      </w:r>
    </w:p>
    <w:p w14:paraId="660B6D95">
      <w:pPr>
        <w:adjustRightInd w:val="0"/>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w:t>
      </w:r>
      <w:r>
        <w:rPr>
          <w:rFonts w:hint="eastAsia" w:ascii="宋体" w:hAnsi="宋体" w:cs="宋体"/>
          <w:color w:val="auto"/>
          <w:sz w:val="24"/>
          <w:szCs w:val="24"/>
          <w:highlight w:val="none"/>
        </w:rPr>
        <w:t>殷主任</w:t>
      </w:r>
    </w:p>
    <w:p w14:paraId="5C700787">
      <w:pPr>
        <w:adjustRightInd w:val="0"/>
        <w:snapToGrid w:val="0"/>
        <w:spacing w:line="360" w:lineRule="auto"/>
        <w:ind w:firstLine="480" w:firstLineChars="200"/>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联系方式：13987765559</w:t>
      </w:r>
      <w:r>
        <w:rPr>
          <w:rFonts w:hint="eastAsia" w:ascii="宋体" w:hAnsi="宋体" w:cs="宋体"/>
          <w:color w:val="auto"/>
          <w:sz w:val="24"/>
          <w:szCs w:val="24"/>
          <w:highlight w:val="none"/>
          <w:lang w:val="en-US" w:eastAsia="zh-CN"/>
        </w:rPr>
        <w:t xml:space="preserve"> </w:t>
      </w:r>
    </w:p>
    <w:p w14:paraId="39EE3C63">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038F8553">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采购代理机构：云南中诏项目管理有限公司</w:t>
      </w:r>
    </w:p>
    <w:p w14:paraId="33FA6F16">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地址：云南省玉溪市红塔区李棋街道科创大道9号（数字玉溪运营中心）二楼</w:t>
      </w:r>
    </w:p>
    <w:p w14:paraId="29845FBB">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56596060">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项目联系人：张瑜、王海涛、夏苋春、李艳菠、李悦</w:t>
      </w:r>
    </w:p>
    <w:p w14:paraId="3DD31BBE">
      <w:pPr>
        <w:adjustRightInd w:val="0"/>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bCs/>
          <w:color w:val="auto"/>
          <w:sz w:val="24"/>
          <w:szCs w:val="24"/>
          <w:highlight w:val="none"/>
        </w:rPr>
        <w:t>0877-6168806/13608772096</w:t>
      </w:r>
    </w:p>
    <w:p w14:paraId="66DC0BD5">
      <w:pPr>
        <w:adjustRightInd w:val="0"/>
        <w:snapToGrid w:val="0"/>
        <w:spacing w:line="360" w:lineRule="auto"/>
        <w:ind w:firstLine="480" w:firstLineChars="200"/>
        <w:contextualSpacing/>
        <w:rPr>
          <w:rFonts w:hint="eastAsia" w:ascii="宋体" w:hAnsi="宋体" w:cs="宋体"/>
          <w:b/>
          <w:bCs/>
          <w:color w:val="auto"/>
          <w:sz w:val="24"/>
          <w:highlight w:val="none"/>
        </w:rPr>
      </w:pPr>
      <w:r>
        <w:rPr>
          <w:rFonts w:hint="eastAsia" w:ascii="宋体" w:hAnsi="宋体" w:cs="宋体"/>
          <w:color w:val="auto"/>
          <w:sz w:val="24"/>
          <w:szCs w:val="24"/>
          <w:highlight w:val="none"/>
        </w:rPr>
        <w:t>日期：</w:t>
      </w:r>
      <w:r>
        <w:rPr>
          <w:rFonts w:hint="eastAsia" w:ascii="宋体" w:hAnsi="宋体" w:cs="宋体"/>
          <w:b/>
          <w:bCs/>
          <w:color w:val="auto"/>
          <w:sz w:val="24"/>
          <w:szCs w:val="24"/>
          <w:highlight w:val="none"/>
        </w:rPr>
        <w:t>2025年06月</w:t>
      </w:r>
      <w:r>
        <w:rPr>
          <w:rFonts w:hint="eastAsia" w:ascii="宋体" w:hAnsi="宋体" w:cs="宋体"/>
          <w:b/>
          <w:bCs/>
          <w:color w:val="auto"/>
          <w:sz w:val="24"/>
          <w:szCs w:val="24"/>
          <w:highlight w:val="none"/>
          <w:lang w:val="en-US" w:eastAsia="zh-CN"/>
        </w:rPr>
        <w:t>16日</w:t>
      </w:r>
    </w:p>
    <w:p w14:paraId="22BED2FB">
      <w:pPr>
        <w:pStyle w:val="3"/>
        <w:snapToGrid w:val="0"/>
        <w:spacing w:before="0" w:after="0" w:line="240" w:lineRule="auto"/>
        <w:jc w:val="center"/>
        <w:rPr>
          <w:rFonts w:hint="eastAsia" w:ascii="宋体" w:hAnsi="宋体" w:eastAsia="宋体" w:cs="宋体"/>
          <w:b w:val="0"/>
          <w:color w:val="auto"/>
          <w:highlight w:val="none"/>
        </w:rPr>
        <w:sectPr>
          <w:headerReference r:id="rId7" w:type="first"/>
          <w:footerReference r:id="rId9" w:type="first"/>
          <w:footerReference r:id="rId8" w:type="default"/>
          <w:pgSz w:w="11906" w:h="16838"/>
          <w:pgMar w:top="1134" w:right="1134" w:bottom="1134" w:left="1134" w:header="851" w:footer="907" w:gutter="0"/>
          <w:pgNumType w:start="1"/>
          <w:cols w:space="720" w:num="1"/>
          <w:titlePg/>
          <w:docGrid w:type="lines" w:linePitch="312" w:charSpace="0"/>
        </w:sectPr>
      </w:pPr>
    </w:p>
    <w:p w14:paraId="0DB0B08B">
      <w:pPr>
        <w:pStyle w:val="3"/>
        <w:snapToGrid w:val="0"/>
        <w:spacing w:before="0" w:after="0" w:line="240" w:lineRule="auto"/>
        <w:jc w:val="center"/>
        <w:rPr>
          <w:rFonts w:hint="eastAsia" w:ascii="宋体" w:hAnsi="宋体" w:eastAsia="宋体" w:cs="宋体"/>
          <w:b w:val="0"/>
          <w:color w:val="auto"/>
          <w:highlight w:val="none"/>
        </w:rPr>
      </w:pPr>
      <w:bookmarkStart w:id="21" w:name="_Toc11564"/>
      <w:r>
        <w:rPr>
          <w:rFonts w:hint="eastAsia" w:ascii="宋体" w:hAnsi="宋体" w:eastAsia="宋体" w:cs="宋体"/>
          <w:b w:val="0"/>
          <w:color w:val="auto"/>
          <w:highlight w:val="none"/>
        </w:rPr>
        <w:t xml:space="preserve">第二章  </w:t>
      </w:r>
      <w:r>
        <w:rPr>
          <w:rFonts w:hint="eastAsia" w:ascii="宋体" w:hAnsi="宋体" w:eastAsia="宋体" w:cs="宋体"/>
          <w:b w:val="0"/>
          <w:color w:val="auto"/>
          <w:highlight w:val="none"/>
          <w:lang w:val="en-US"/>
        </w:rPr>
        <w:t>询比</w:t>
      </w:r>
      <w:r>
        <w:rPr>
          <w:rFonts w:hint="eastAsia" w:ascii="宋体" w:hAnsi="宋体" w:eastAsia="宋体" w:cs="宋体"/>
          <w:b w:val="0"/>
          <w:color w:val="auto"/>
          <w:highlight w:val="none"/>
        </w:rPr>
        <w:t>须知</w:t>
      </w:r>
      <w:bookmarkEnd w:id="5"/>
      <w:bookmarkEnd w:id="6"/>
      <w:bookmarkEnd w:id="7"/>
      <w:bookmarkEnd w:id="21"/>
    </w:p>
    <w:p w14:paraId="4E71714D">
      <w:pPr>
        <w:pStyle w:val="4"/>
        <w:spacing w:before="0" w:after="0" w:line="360" w:lineRule="auto"/>
        <w:rPr>
          <w:rFonts w:hint="eastAsia" w:ascii="宋体" w:hAnsi="宋体" w:cs="宋体"/>
          <w:b w:val="0"/>
          <w:color w:val="auto"/>
          <w:highlight w:val="none"/>
        </w:rPr>
      </w:pPr>
      <w:bookmarkStart w:id="22" w:name="_Toc217728570"/>
      <w:bookmarkStart w:id="23" w:name="_Toc16389"/>
      <w:bookmarkStart w:id="24" w:name="_Toc234057358"/>
      <w:bookmarkStart w:id="25" w:name="_Toc357501452"/>
      <w:bookmarkStart w:id="26" w:name="_Toc357158887"/>
      <w:r>
        <w:rPr>
          <w:rFonts w:hint="eastAsia" w:ascii="宋体" w:hAnsi="宋体" w:cs="宋体"/>
          <w:b w:val="0"/>
          <w:color w:val="auto"/>
          <w:highlight w:val="none"/>
        </w:rPr>
        <w:t>须知前附表</w:t>
      </w:r>
      <w:bookmarkEnd w:id="22"/>
      <w:bookmarkEnd w:id="23"/>
      <w:bookmarkEnd w:id="24"/>
    </w:p>
    <w:tbl>
      <w:tblPr>
        <w:tblStyle w:val="34"/>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668"/>
        <w:gridCol w:w="7534"/>
      </w:tblGrid>
      <w:tr w14:paraId="57F1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11488A3">
            <w:pPr>
              <w:spacing w:line="360" w:lineRule="auto"/>
              <w:jc w:val="center"/>
              <w:rPr>
                <w:rFonts w:hint="eastAsia" w:ascii="宋体" w:hAnsi="宋体" w:cs="宋体"/>
                <w:color w:val="auto"/>
                <w:szCs w:val="21"/>
                <w:highlight w:val="none"/>
              </w:rPr>
            </w:pPr>
            <w:bookmarkStart w:id="27" w:name="_Toc351472521"/>
            <w:r>
              <w:rPr>
                <w:rFonts w:hint="eastAsia" w:ascii="宋体" w:hAnsi="宋体" w:cs="宋体"/>
                <w:color w:val="auto"/>
                <w:szCs w:val="21"/>
                <w:highlight w:val="none"/>
              </w:rPr>
              <w:t>序号</w:t>
            </w:r>
          </w:p>
        </w:tc>
        <w:tc>
          <w:tcPr>
            <w:tcW w:w="1668" w:type="dxa"/>
            <w:tcBorders>
              <w:top w:val="single" w:color="auto" w:sz="4" w:space="0"/>
              <w:left w:val="single" w:color="auto" w:sz="4" w:space="0"/>
              <w:bottom w:val="single" w:color="auto" w:sz="4" w:space="0"/>
              <w:right w:val="single" w:color="auto" w:sz="4" w:space="0"/>
            </w:tcBorders>
            <w:vAlign w:val="center"/>
          </w:tcPr>
          <w:p w14:paraId="3BCAC41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    容</w:t>
            </w:r>
          </w:p>
        </w:tc>
        <w:tc>
          <w:tcPr>
            <w:tcW w:w="7534" w:type="dxa"/>
            <w:tcBorders>
              <w:top w:val="single" w:color="auto" w:sz="4" w:space="0"/>
              <w:left w:val="single" w:color="auto" w:sz="4" w:space="0"/>
              <w:bottom w:val="single" w:color="auto" w:sz="4" w:space="0"/>
              <w:right w:val="single" w:color="auto" w:sz="4" w:space="0"/>
            </w:tcBorders>
            <w:vAlign w:val="center"/>
          </w:tcPr>
          <w:p w14:paraId="6CD239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说明与要求</w:t>
            </w:r>
          </w:p>
        </w:tc>
      </w:tr>
      <w:tr w14:paraId="6B7F0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933A0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68" w:type="dxa"/>
            <w:tcBorders>
              <w:top w:val="single" w:color="auto" w:sz="4" w:space="0"/>
              <w:left w:val="single" w:color="auto" w:sz="4" w:space="0"/>
              <w:bottom w:val="single" w:color="auto" w:sz="4" w:space="0"/>
              <w:right w:val="single" w:color="auto" w:sz="4" w:space="0"/>
            </w:tcBorders>
            <w:vAlign w:val="center"/>
          </w:tcPr>
          <w:p w14:paraId="7C8E01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534" w:type="dxa"/>
            <w:tcBorders>
              <w:top w:val="single" w:color="auto" w:sz="4" w:space="0"/>
              <w:left w:val="single" w:color="auto" w:sz="4" w:space="0"/>
              <w:bottom w:val="single" w:color="auto" w:sz="4" w:space="0"/>
              <w:right w:val="single" w:color="auto" w:sz="4" w:space="0"/>
            </w:tcBorders>
            <w:vAlign w:val="center"/>
          </w:tcPr>
          <w:p w14:paraId="6EDE917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玉溪第六小学</w:t>
            </w:r>
            <w:r>
              <w:rPr>
                <w:rFonts w:hint="eastAsia" w:ascii="宋体" w:hAnsi="宋体" w:cs="宋体"/>
                <w:color w:val="auto"/>
                <w:szCs w:val="21"/>
                <w:highlight w:val="none"/>
              </w:rPr>
              <w:t>智慧校园云广播升级服务项目</w:t>
            </w:r>
          </w:p>
        </w:tc>
      </w:tr>
      <w:tr w14:paraId="4EEEF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40F39A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68" w:type="dxa"/>
            <w:tcBorders>
              <w:top w:val="single" w:color="auto" w:sz="4" w:space="0"/>
              <w:left w:val="single" w:color="auto" w:sz="4" w:space="0"/>
              <w:bottom w:val="single" w:color="auto" w:sz="4" w:space="0"/>
              <w:right w:val="single" w:color="auto" w:sz="4" w:space="0"/>
            </w:tcBorders>
            <w:vAlign w:val="center"/>
          </w:tcPr>
          <w:p w14:paraId="5722B9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服务地点</w:t>
            </w:r>
          </w:p>
        </w:tc>
        <w:tc>
          <w:tcPr>
            <w:tcW w:w="7534" w:type="dxa"/>
            <w:tcBorders>
              <w:top w:val="single" w:color="auto" w:sz="4" w:space="0"/>
              <w:left w:val="single" w:color="auto" w:sz="4" w:space="0"/>
              <w:bottom w:val="single" w:color="auto" w:sz="4" w:space="0"/>
              <w:right w:val="single" w:color="auto" w:sz="4" w:space="0"/>
            </w:tcBorders>
            <w:vAlign w:val="center"/>
          </w:tcPr>
          <w:p w14:paraId="6A22AA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采购人指定地点</w:t>
            </w:r>
          </w:p>
        </w:tc>
      </w:tr>
      <w:tr w14:paraId="63D7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1D102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68" w:type="dxa"/>
            <w:tcBorders>
              <w:top w:val="single" w:color="auto" w:sz="4" w:space="0"/>
              <w:left w:val="single" w:color="auto" w:sz="4" w:space="0"/>
              <w:bottom w:val="single" w:color="auto" w:sz="4" w:space="0"/>
              <w:right w:val="single" w:color="auto" w:sz="4" w:space="0"/>
            </w:tcBorders>
            <w:vAlign w:val="center"/>
          </w:tcPr>
          <w:p w14:paraId="0A5D9C40">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采购内容</w:t>
            </w:r>
          </w:p>
        </w:tc>
        <w:tc>
          <w:tcPr>
            <w:tcW w:w="7534" w:type="dxa"/>
            <w:tcBorders>
              <w:top w:val="single" w:color="auto" w:sz="4" w:space="0"/>
              <w:left w:val="single" w:color="auto" w:sz="4" w:space="0"/>
              <w:bottom w:val="single" w:color="auto" w:sz="4" w:space="0"/>
              <w:right w:val="single" w:color="auto" w:sz="4" w:space="0"/>
            </w:tcBorders>
            <w:vAlign w:val="center"/>
          </w:tcPr>
          <w:p w14:paraId="443FEF9C">
            <w:pPr>
              <w:spacing w:line="360" w:lineRule="auto"/>
              <w:jc w:val="left"/>
              <w:rPr>
                <w:rFonts w:hint="eastAsia" w:ascii="宋体" w:hAnsi="宋体" w:cs="宋体"/>
                <w:color w:val="auto"/>
                <w:szCs w:val="21"/>
                <w:highlight w:val="none"/>
              </w:rPr>
            </w:pPr>
            <w:r>
              <w:rPr>
                <w:rFonts w:hint="eastAsia"/>
                <w:bCs/>
                <w:color w:val="auto"/>
                <w:highlight w:val="none"/>
                <w:lang w:eastAsia="zh-CN"/>
              </w:rPr>
              <w:t>玉溪第六小学</w:t>
            </w:r>
            <w:r>
              <w:rPr>
                <w:rFonts w:hint="eastAsia"/>
                <w:bCs/>
                <w:color w:val="auto"/>
                <w:highlight w:val="none"/>
              </w:rPr>
              <w:t>智慧校园云广播升级服务，</w:t>
            </w:r>
            <w:r>
              <w:rPr>
                <w:rFonts w:hint="eastAsia"/>
                <w:bCs/>
                <w:color w:val="auto"/>
                <w:highlight w:val="none"/>
                <w:lang w:val="en-US" w:eastAsia="zh-CN"/>
              </w:rPr>
              <w:t>其中桥架部分包含</w:t>
            </w:r>
            <w:r>
              <w:rPr>
                <w:rFonts w:hint="eastAsia"/>
                <w:bCs/>
                <w:color w:val="auto"/>
                <w:highlight w:val="none"/>
              </w:rPr>
              <w:t>郑井小学、中卫小学、冯井中心校区</w:t>
            </w:r>
            <w:r>
              <w:rPr>
                <w:rFonts w:hint="eastAsia"/>
                <w:bCs/>
                <w:color w:val="auto"/>
                <w:highlight w:val="none"/>
                <w:lang w:eastAsia="zh-CN"/>
              </w:rPr>
              <w:t>，</w:t>
            </w:r>
            <w:r>
              <w:rPr>
                <w:rFonts w:hint="eastAsia"/>
                <w:bCs/>
                <w:color w:val="auto"/>
                <w:highlight w:val="none"/>
                <w:lang w:val="en-US" w:eastAsia="zh-CN"/>
              </w:rPr>
              <w:t>广播部分为</w:t>
            </w:r>
            <w:r>
              <w:rPr>
                <w:rFonts w:hint="eastAsia"/>
                <w:bCs/>
                <w:color w:val="auto"/>
                <w:highlight w:val="none"/>
              </w:rPr>
              <w:t>冯井中心校区</w:t>
            </w:r>
            <w:r>
              <w:rPr>
                <w:rFonts w:hint="eastAsia"/>
                <w:bCs/>
                <w:color w:val="auto"/>
                <w:highlight w:val="none"/>
                <w:lang w:eastAsia="zh-CN"/>
              </w:rPr>
              <w:t>；</w:t>
            </w:r>
          </w:p>
        </w:tc>
      </w:tr>
      <w:tr w14:paraId="76C13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FD94B4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68" w:type="dxa"/>
            <w:tcBorders>
              <w:top w:val="single" w:color="auto" w:sz="4" w:space="0"/>
              <w:left w:val="single" w:color="auto" w:sz="4" w:space="0"/>
              <w:bottom w:val="single" w:color="auto" w:sz="4" w:space="0"/>
              <w:right w:val="single" w:color="auto" w:sz="4" w:space="0"/>
            </w:tcBorders>
            <w:vAlign w:val="center"/>
          </w:tcPr>
          <w:p w14:paraId="7E2A99F7">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合同履行期限</w:t>
            </w:r>
          </w:p>
          <w:p w14:paraId="4361A692">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（建设周期）</w:t>
            </w:r>
          </w:p>
        </w:tc>
        <w:tc>
          <w:tcPr>
            <w:tcW w:w="7534" w:type="dxa"/>
            <w:tcBorders>
              <w:top w:val="single" w:color="auto" w:sz="4" w:space="0"/>
              <w:left w:val="single" w:color="auto" w:sz="4" w:space="0"/>
              <w:bottom w:val="single" w:color="auto" w:sz="4" w:space="0"/>
              <w:right w:val="single" w:color="auto" w:sz="4" w:space="0"/>
            </w:tcBorders>
            <w:vAlign w:val="center"/>
          </w:tcPr>
          <w:p w14:paraId="14400309">
            <w:pPr>
              <w:spacing w:line="360" w:lineRule="auto"/>
              <w:rPr>
                <w:rFonts w:hint="eastAsia" w:ascii="宋体" w:hAnsi="宋体" w:cs="宋体"/>
                <w:color w:val="auto"/>
                <w:highlight w:val="none"/>
              </w:rPr>
            </w:pPr>
            <w:r>
              <w:rPr>
                <w:rFonts w:hint="eastAsia" w:ascii="宋体" w:hAnsi="宋体" w:cs="宋体"/>
                <w:color w:val="auto"/>
                <w:highlight w:val="none"/>
              </w:rPr>
              <w:t>30日历天，自合同签订之日起计算；</w:t>
            </w:r>
          </w:p>
        </w:tc>
      </w:tr>
      <w:tr w14:paraId="2C385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E145F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68" w:type="dxa"/>
            <w:tcBorders>
              <w:top w:val="single" w:color="auto" w:sz="4" w:space="0"/>
              <w:left w:val="single" w:color="auto" w:sz="4" w:space="0"/>
              <w:bottom w:val="single" w:color="auto" w:sz="4" w:space="0"/>
              <w:right w:val="single" w:color="auto" w:sz="4" w:space="0"/>
            </w:tcBorders>
            <w:vAlign w:val="center"/>
          </w:tcPr>
          <w:p w14:paraId="1E8FC0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w:t>
            </w:r>
          </w:p>
        </w:tc>
        <w:tc>
          <w:tcPr>
            <w:tcW w:w="7534" w:type="dxa"/>
            <w:tcBorders>
              <w:top w:val="single" w:color="auto" w:sz="4" w:space="0"/>
              <w:left w:val="single" w:color="auto" w:sz="4" w:space="0"/>
              <w:bottom w:val="single" w:color="auto" w:sz="4" w:space="0"/>
              <w:right w:val="single" w:color="auto" w:sz="4" w:space="0"/>
            </w:tcBorders>
            <w:vAlign w:val="center"/>
          </w:tcPr>
          <w:p w14:paraId="0BCF56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资金来源已落实</w:t>
            </w:r>
          </w:p>
        </w:tc>
      </w:tr>
      <w:tr w14:paraId="4EBE0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76FE4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68" w:type="dxa"/>
            <w:tcBorders>
              <w:top w:val="single" w:color="auto" w:sz="4" w:space="0"/>
              <w:left w:val="single" w:color="auto" w:sz="4" w:space="0"/>
              <w:bottom w:val="single" w:color="auto" w:sz="4" w:space="0"/>
              <w:right w:val="single" w:color="auto" w:sz="4" w:space="0"/>
            </w:tcBorders>
            <w:vAlign w:val="center"/>
          </w:tcPr>
          <w:p w14:paraId="6A94CE6E">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申请人的资格要求</w:t>
            </w:r>
          </w:p>
        </w:tc>
        <w:tc>
          <w:tcPr>
            <w:tcW w:w="7534" w:type="dxa"/>
            <w:tcBorders>
              <w:top w:val="single" w:color="auto" w:sz="4" w:space="0"/>
              <w:left w:val="single" w:color="auto" w:sz="4" w:space="0"/>
              <w:bottom w:val="single" w:color="auto" w:sz="4" w:space="0"/>
              <w:right w:val="single" w:color="auto" w:sz="4" w:space="0"/>
            </w:tcBorders>
            <w:vAlign w:val="center"/>
          </w:tcPr>
          <w:p w14:paraId="69C047F9">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1.具备《中华人民共和国政府采购法》第二十二条规定的条件</w:t>
            </w:r>
          </w:p>
          <w:p w14:paraId="5B0F17A2">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须在中华人民共和国境内注册，具备有效的营业执照（或事业单位法人证书）的独立法人企业（单位）。省级分支机构参加投标的须具有总公司的相关授权（二级授权）；地市级分支机构参加投标的须具有可追溯至总公司的相关授权（三级授权）。同一家总公司下属的不同分支机构不能同时参与本项目投标；</w:t>
            </w:r>
          </w:p>
          <w:p w14:paraId="1095F885">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1.2供应商自行承诺符合《中华人民共和国政府采购法》第二十二条规定及《中华人民共和国政府采购法实施条例》第十七条的相关要求；</w:t>
            </w:r>
          </w:p>
          <w:p w14:paraId="646BD0B8">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1.2参加采购活动前3年内，在经营活动中没有重大违法记录（自行声明）；</w:t>
            </w:r>
          </w:p>
          <w:p w14:paraId="17330AD9">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1.3自行声明在“信用中国”网站(www.creditchina.gov.cn) 中未被列入：税收违法黑名单；在中国执行信息公开网（http://zxgk.court.gov.cn/shixin/）中未被列入：失信被执行人名单；在“中国政府采购网”(www.ccgp.gov.cn)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中未被列入：政府采购严重违法失信行为记录名单；（供应商自拟格式承诺以上内容，加盖供应商公章在响应文件中提供，若供应商如存在查证的以上相关记录，采购人有权取消其投标（成交）资格）；</w:t>
            </w:r>
          </w:p>
          <w:p w14:paraId="1C33DECE">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2.本次采购不接受联合体询比；</w:t>
            </w:r>
          </w:p>
          <w:p w14:paraId="0CF7529D">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不同供应商之间有下列情形之一，不接受作为参加同一采购项目竞争的供应商：①为采购项目提供整体设计、规范编制或者项目管理、监理、检测等服务的供应商；②单位负责人为同一人或者存在直接控股、管理关系的不同供应商；</w:t>
            </w:r>
          </w:p>
          <w:p w14:paraId="07291958">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4.本项目的特定资格要求：无</w:t>
            </w:r>
          </w:p>
        </w:tc>
      </w:tr>
      <w:tr w14:paraId="1719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A91CC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68" w:type="dxa"/>
            <w:tcBorders>
              <w:top w:val="single" w:color="auto" w:sz="4" w:space="0"/>
              <w:left w:val="single" w:color="auto" w:sz="4" w:space="0"/>
              <w:bottom w:val="single" w:color="auto" w:sz="4" w:space="0"/>
              <w:right w:val="single" w:color="auto" w:sz="4" w:space="0"/>
            </w:tcBorders>
            <w:vAlign w:val="center"/>
          </w:tcPr>
          <w:p w14:paraId="7658C2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7534" w:type="dxa"/>
            <w:tcBorders>
              <w:top w:val="single" w:color="auto" w:sz="4" w:space="0"/>
              <w:left w:val="single" w:color="auto" w:sz="4" w:space="0"/>
              <w:bottom w:val="single" w:color="auto" w:sz="4" w:space="0"/>
              <w:right w:val="single" w:color="auto" w:sz="4" w:space="0"/>
            </w:tcBorders>
            <w:vAlign w:val="center"/>
          </w:tcPr>
          <w:p w14:paraId="462B933A">
            <w:pPr>
              <w:spacing w:line="360" w:lineRule="auto"/>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报价方式：总价包干</w:t>
            </w:r>
          </w:p>
          <w:p w14:paraId="10BBFE5A">
            <w:pPr>
              <w:spacing w:line="360" w:lineRule="auto"/>
              <w:rPr>
                <w:rFonts w:hint="eastAsia" w:ascii="宋体" w:hAnsi="宋体" w:cs="宋体"/>
                <w:color w:val="auto"/>
                <w:szCs w:val="21"/>
                <w:highlight w:val="none"/>
              </w:rPr>
            </w:pPr>
            <w:r>
              <w:rPr>
                <w:rFonts w:hint="eastAsia" w:ascii="宋体" w:hAnsi="宋体" w:cs="宋体"/>
                <w:b/>
                <w:color w:val="auto"/>
                <w:kern w:val="0"/>
                <w:szCs w:val="21"/>
                <w:highlight w:val="none"/>
                <w:u w:val="single"/>
              </w:rPr>
              <w:t>注：供应商的报价不得超过本项目招标控制总价，否则视为实质上未响应询比文件要求</w:t>
            </w:r>
          </w:p>
        </w:tc>
      </w:tr>
      <w:tr w14:paraId="68AF6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67E2B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68" w:type="dxa"/>
            <w:tcBorders>
              <w:top w:val="single" w:color="auto" w:sz="4" w:space="0"/>
              <w:left w:val="single" w:color="auto" w:sz="4" w:space="0"/>
              <w:bottom w:val="single" w:color="auto" w:sz="4" w:space="0"/>
              <w:right w:val="single" w:color="auto" w:sz="4" w:space="0"/>
            </w:tcBorders>
            <w:vAlign w:val="center"/>
          </w:tcPr>
          <w:p w14:paraId="715DFE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保证金</w:t>
            </w:r>
          </w:p>
        </w:tc>
        <w:tc>
          <w:tcPr>
            <w:tcW w:w="7534" w:type="dxa"/>
            <w:tcBorders>
              <w:top w:val="single" w:color="auto" w:sz="4" w:space="0"/>
              <w:left w:val="single" w:color="auto" w:sz="4" w:space="0"/>
              <w:bottom w:val="single" w:color="auto" w:sz="4" w:space="0"/>
              <w:right w:val="single" w:color="auto" w:sz="4" w:space="0"/>
            </w:tcBorders>
            <w:vAlign w:val="center"/>
          </w:tcPr>
          <w:p w14:paraId="3E05342D">
            <w:pPr>
              <w:adjustRightInd w:val="0"/>
              <w:snapToGrid w:val="0"/>
              <w:spacing w:before="93" w:beforeLines="30" w:line="360" w:lineRule="auto"/>
              <w:rPr>
                <w:rFonts w:hint="eastAsia" w:ascii="宋体" w:hAnsi="宋体" w:cs="宋体"/>
                <w:b/>
                <w:color w:val="auto"/>
                <w:szCs w:val="21"/>
                <w:highlight w:val="none"/>
              </w:rPr>
            </w:pPr>
            <w:r>
              <w:rPr>
                <w:rFonts w:hint="eastAsia" w:ascii="宋体" w:hAnsi="宋体" w:cs="宋体"/>
                <w:b/>
                <w:color w:val="auto"/>
                <w:szCs w:val="21"/>
                <w:highlight w:val="none"/>
              </w:rPr>
              <w:t>本项目不收取保证金</w:t>
            </w:r>
          </w:p>
        </w:tc>
      </w:tr>
      <w:tr w14:paraId="6D703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C3F71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68" w:type="dxa"/>
            <w:tcBorders>
              <w:top w:val="single" w:color="auto" w:sz="4" w:space="0"/>
              <w:left w:val="single" w:color="auto" w:sz="4" w:space="0"/>
              <w:bottom w:val="single" w:color="auto" w:sz="4" w:space="0"/>
              <w:right w:val="single" w:color="auto" w:sz="4" w:space="0"/>
            </w:tcBorders>
            <w:vAlign w:val="center"/>
          </w:tcPr>
          <w:p w14:paraId="18F277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响应文件份数</w:t>
            </w:r>
          </w:p>
        </w:tc>
        <w:tc>
          <w:tcPr>
            <w:tcW w:w="7534" w:type="dxa"/>
            <w:tcBorders>
              <w:top w:val="single" w:color="auto" w:sz="4" w:space="0"/>
              <w:left w:val="single" w:color="auto" w:sz="4" w:space="0"/>
              <w:bottom w:val="single" w:color="auto" w:sz="4" w:space="0"/>
              <w:right w:val="single" w:color="auto" w:sz="4" w:space="0"/>
            </w:tcBorders>
            <w:vAlign w:val="center"/>
          </w:tcPr>
          <w:p w14:paraId="28E4D29A">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纸质响应文件正本壹份、副本壹份（可以为正本的复件），用A4纸打印装订成册，并编制目录和连续页码。电子响应文件一份（正本响应文件签字盖章完整扫描件，U盘或光盘为载体,格式为PDF格式，与纸质响应合并密封一并提交）。</w:t>
            </w:r>
          </w:p>
        </w:tc>
      </w:tr>
      <w:tr w14:paraId="0159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563A8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68" w:type="dxa"/>
            <w:tcBorders>
              <w:top w:val="single" w:color="auto" w:sz="4" w:space="0"/>
              <w:left w:val="single" w:color="auto" w:sz="4" w:space="0"/>
              <w:bottom w:val="single" w:color="auto" w:sz="4" w:space="0"/>
              <w:right w:val="single" w:color="auto" w:sz="4" w:space="0"/>
            </w:tcBorders>
            <w:vAlign w:val="center"/>
          </w:tcPr>
          <w:p w14:paraId="5B3D7FD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响应文件的密封与标记</w:t>
            </w:r>
          </w:p>
        </w:tc>
        <w:tc>
          <w:tcPr>
            <w:tcW w:w="7534" w:type="dxa"/>
            <w:tcBorders>
              <w:top w:val="single" w:color="auto" w:sz="4" w:space="0"/>
              <w:left w:val="single" w:color="auto" w:sz="4" w:space="0"/>
              <w:bottom w:val="single" w:color="auto" w:sz="4" w:space="0"/>
              <w:right w:val="single" w:color="auto" w:sz="4" w:space="0"/>
            </w:tcBorders>
            <w:vAlign w:val="center"/>
          </w:tcPr>
          <w:p w14:paraId="615E7F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供应商应将响应文件装入响应文件袋中加以密封，并在封贴处盖密封章（或公章），封皮上应标明项目名称、项目编号、供应商名称等内容。</w:t>
            </w:r>
          </w:p>
        </w:tc>
      </w:tr>
      <w:tr w14:paraId="3A4CC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53801A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68" w:type="dxa"/>
            <w:tcBorders>
              <w:top w:val="single" w:color="auto" w:sz="4" w:space="0"/>
              <w:left w:val="single" w:color="auto" w:sz="4" w:space="0"/>
              <w:bottom w:val="single" w:color="auto" w:sz="4" w:space="0"/>
              <w:right w:val="single" w:color="auto" w:sz="4" w:space="0"/>
            </w:tcBorders>
            <w:vAlign w:val="center"/>
          </w:tcPr>
          <w:p w14:paraId="30A44E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响应文件提交截止时间及地点</w:t>
            </w:r>
          </w:p>
        </w:tc>
        <w:tc>
          <w:tcPr>
            <w:tcW w:w="7534" w:type="dxa"/>
            <w:tcBorders>
              <w:top w:val="single" w:color="auto" w:sz="4" w:space="0"/>
              <w:left w:val="single" w:color="auto" w:sz="4" w:space="0"/>
              <w:bottom w:val="single" w:color="auto" w:sz="4" w:space="0"/>
              <w:right w:val="single" w:color="auto" w:sz="4" w:space="0"/>
            </w:tcBorders>
            <w:vAlign w:val="center"/>
          </w:tcPr>
          <w:p w14:paraId="2A7363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1.提交截止时间：</w:t>
            </w:r>
            <w:r>
              <w:rPr>
                <w:rFonts w:hint="eastAsia" w:ascii="宋体" w:hAnsi="宋体" w:cs="宋体"/>
                <w:b/>
                <w:bCs/>
                <w:color w:val="auto"/>
                <w:szCs w:val="21"/>
                <w:highlight w:val="none"/>
              </w:rPr>
              <w:t>2025年06月</w:t>
            </w:r>
            <w:r>
              <w:rPr>
                <w:rFonts w:hint="eastAsia" w:ascii="宋体" w:hAnsi="宋体" w:cs="宋体"/>
                <w:b/>
                <w:bCs/>
                <w:color w:val="auto"/>
                <w:szCs w:val="21"/>
                <w:highlight w:val="none"/>
                <w:lang w:val="en-US" w:eastAsia="zh-CN"/>
              </w:rPr>
              <w:t>19日</w:t>
            </w:r>
            <w:r>
              <w:rPr>
                <w:rFonts w:hint="eastAsia" w:ascii="宋体" w:hAnsi="宋体" w:cs="宋体"/>
                <w:b/>
                <w:bCs/>
                <w:color w:val="auto"/>
                <w:szCs w:val="21"/>
                <w:highlight w:val="none"/>
              </w:rPr>
              <w:t>15时00分</w:t>
            </w:r>
            <w:r>
              <w:rPr>
                <w:rFonts w:hint="eastAsia" w:ascii="宋体" w:hAnsi="宋体" w:cs="宋体"/>
                <w:color w:val="auto"/>
                <w:szCs w:val="21"/>
                <w:highlight w:val="none"/>
              </w:rPr>
              <w:t>（北京时间）</w:t>
            </w:r>
          </w:p>
          <w:p w14:paraId="27B794CB">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2.地点：</w:t>
            </w:r>
            <w:r>
              <w:rPr>
                <w:rFonts w:hint="eastAsia" w:ascii="宋体" w:hAnsi="宋体" w:cs="宋体"/>
                <w:bCs/>
                <w:color w:val="auto"/>
                <w:szCs w:val="21"/>
                <w:highlight w:val="none"/>
              </w:rPr>
              <w:t>云南中诏项目管理有限公司会议室（玉溪市红塔区李棋街道科创大道9号（数字玉溪运营中心）二楼）</w:t>
            </w:r>
          </w:p>
          <w:p w14:paraId="48D3F77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3.在你单位出席询比会议时，除携带你们认为必需的资料外，还需随身携带以下证明文件到现场：</w:t>
            </w:r>
          </w:p>
          <w:p w14:paraId="06C8F07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法定代表人（单位负责人）</w:t>
            </w:r>
            <w:r>
              <w:rPr>
                <w:rFonts w:hint="eastAsia" w:ascii="宋体" w:hAnsi="宋体" w:cs="宋体"/>
                <w:bCs/>
                <w:color w:val="auto"/>
                <w:szCs w:val="21"/>
                <w:highlight w:val="none"/>
              </w:rPr>
              <w:t>身份证明书、身份证原件（</w:t>
            </w:r>
            <w:r>
              <w:rPr>
                <w:rFonts w:hint="eastAsia" w:ascii="宋体" w:hAnsi="宋体" w:cs="宋体"/>
                <w:bCs/>
                <w:color w:val="auto"/>
                <w:szCs w:val="21"/>
                <w:highlight w:val="none"/>
                <w:lang w:eastAsia="zh-CN"/>
              </w:rPr>
              <w:t>法定代表人（单位负责人）</w:t>
            </w:r>
            <w:r>
              <w:rPr>
                <w:rFonts w:hint="eastAsia" w:ascii="宋体" w:hAnsi="宋体" w:cs="宋体"/>
                <w:bCs/>
                <w:color w:val="auto"/>
                <w:szCs w:val="21"/>
                <w:highlight w:val="none"/>
              </w:rPr>
              <w:t>无授权）；</w:t>
            </w:r>
          </w:p>
          <w:p w14:paraId="65BDB81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法定代表人（单位负责人）</w:t>
            </w:r>
            <w:r>
              <w:rPr>
                <w:rFonts w:hint="eastAsia" w:ascii="宋体" w:hAnsi="宋体" w:cs="宋体"/>
                <w:bCs/>
                <w:color w:val="auto"/>
                <w:szCs w:val="21"/>
                <w:highlight w:val="none"/>
              </w:rPr>
              <w:t>身份证明书、</w:t>
            </w:r>
            <w:r>
              <w:rPr>
                <w:rFonts w:hint="eastAsia" w:ascii="宋体" w:hAnsi="宋体" w:cs="宋体"/>
                <w:bCs/>
                <w:color w:val="auto"/>
                <w:szCs w:val="21"/>
                <w:highlight w:val="none"/>
                <w:lang w:eastAsia="zh-CN"/>
              </w:rPr>
              <w:t>法定代表人（单位负责人）</w:t>
            </w:r>
            <w:r>
              <w:rPr>
                <w:rFonts w:hint="eastAsia" w:ascii="宋体" w:hAnsi="宋体" w:cs="宋体"/>
                <w:bCs/>
                <w:color w:val="auto"/>
                <w:szCs w:val="21"/>
                <w:highlight w:val="none"/>
              </w:rPr>
              <w:t>授权委托书（</w:t>
            </w:r>
            <w:r>
              <w:rPr>
                <w:rFonts w:hint="eastAsia" w:ascii="宋体" w:hAnsi="宋体" w:cs="宋体"/>
                <w:bCs/>
                <w:color w:val="auto"/>
                <w:szCs w:val="21"/>
                <w:highlight w:val="none"/>
                <w:lang w:eastAsia="zh-CN"/>
              </w:rPr>
              <w:t>法定代表人（单位负责人）</w:t>
            </w:r>
            <w:r>
              <w:rPr>
                <w:rFonts w:hint="eastAsia" w:ascii="宋体" w:hAnsi="宋体" w:cs="宋体"/>
                <w:bCs/>
                <w:color w:val="auto"/>
                <w:szCs w:val="21"/>
                <w:highlight w:val="none"/>
              </w:rPr>
              <w:t>亲笔签署）、委托代理人身份证原件（</w:t>
            </w:r>
            <w:r>
              <w:rPr>
                <w:rFonts w:hint="eastAsia" w:ascii="宋体" w:hAnsi="宋体" w:cs="宋体"/>
                <w:bCs/>
                <w:color w:val="auto"/>
                <w:szCs w:val="21"/>
                <w:highlight w:val="none"/>
                <w:lang w:eastAsia="zh-CN"/>
              </w:rPr>
              <w:t>法定代表人（单位负责人）</w:t>
            </w:r>
            <w:r>
              <w:rPr>
                <w:rFonts w:hint="eastAsia" w:ascii="宋体" w:hAnsi="宋体" w:cs="宋体"/>
                <w:bCs/>
                <w:color w:val="auto"/>
                <w:szCs w:val="21"/>
                <w:highlight w:val="none"/>
              </w:rPr>
              <w:t>有授权）。</w:t>
            </w:r>
          </w:p>
        </w:tc>
      </w:tr>
      <w:tr w14:paraId="1AD0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EFFE4D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68" w:type="dxa"/>
            <w:tcBorders>
              <w:top w:val="single" w:color="auto" w:sz="4" w:space="0"/>
              <w:left w:val="single" w:color="auto" w:sz="4" w:space="0"/>
              <w:bottom w:val="single" w:color="auto" w:sz="4" w:space="0"/>
              <w:right w:val="single" w:color="auto" w:sz="4" w:space="0"/>
            </w:tcBorders>
            <w:vAlign w:val="center"/>
          </w:tcPr>
          <w:p w14:paraId="29FBBD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响应文件开启时间及地点</w:t>
            </w:r>
          </w:p>
        </w:tc>
        <w:tc>
          <w:tcPr>
            <w:tcW w:w="7534" w:type="dxa"/>
            <w:tcBorders>
              <w:top w:val="single" w:color="auto" w:sz="4" w:space="0"/>
              <w:left w:val="single" w:color="auto" w:sz="4" w:space="0"/>
              <w:bottom w:val="single" w:color="auto" w:sz="4" w:space="0"/>
              <w:right w:val="single" w:color="auto" w:sz="4" w:space="0"/>
            </w:tcBorders>
            <w:vAlign w:val="center"/>
          </w:tcPr>
          <w:p w14:paraId="39A232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b/>
                <w:bCs/>
                <w:color w:val="auto"/>
                <w:szCs w:val="21"/>
                <w:highlight w:val="none"/>
              </w:rPr>
              <w:t>2025年06月</w:t>
            </w:r>
            <w:r>
              <w:rPr>
                <w:rFonts w:hint="eastAsia" w:ascii="宋体" w:hAnsi="宋体" w:cs="宋体"/>
                <w:b/>
                <w:bCs/>
                <w:color w:val="auto"/>
                <w:szCs w:val="21"/>
                <w:highlight w:val="none"/>
                <w:lang w:val="en-US" w:eastAsia="zh-CN"/>
              </w:rPr>
              <w:t>19日</w:t>
            </w:r>
            <w:r>
              <w:rPr>
                <w:rFonts w:hint="eastAsia" w:ascii="宋体" w:hAnsi="宋体" w:cs="宋体"/>
                <w:b/>
                <w:bCs/>
                <w:color w:val="auto"/>
                <w:szCs w:val="21"/>
                <w:highlight w:val="none"/>
              </w:rPr>
              <w:t>15时00分</w:t>
            </w:r>
            <w:r>
              <w:rPr>
                <w:rFonts w:hint="eastAsia" w:ascii="宋体" w:hAnsi="宋体" w:cs="宋体"/>
                <w:color w:val="auto"/>
                <w:szCs w:val="21"/>
                <w:highlight w:val="none"/>
              </w:rPr>
              <w:t>（北京时间）</w:t>
            </w:r>
          </w:p>
          <w:p w14:paraId="1E78C952">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2.地点：</w:t>
            </w:r>
            <w:r>
              <w:rPr>
                <w:rFonts w:hint="eastAsia" w:ascii="宋体" w:hAnsi="宋体" w:cs="宋体"/>
                <w:bCs/>
                <w:color w:val="auto"/>
                <w:szCs w:val="21"/>
                <w:highlight w:val="none"/>
              </w:rPr>
              <w:t>云南中诏项目管理有限公司会议室云南省玉溪市红塔区李棋街道科创大道9号（数字玉溪运营中心）二楼；</w:t>
            </w:r>
          </w:p>
        </w:tc>
      </w:tr>
      <w:tr w14:paraId="11FE1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D82C7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68" w:type="dxa"/>
            <w:tcBorders>
              <w:top w:val="single" w:color="auto" w:sz="4" w:space="0"/>
              <w:left w:val="single" w:color="auto" w:sz="4" w:space="0"/>
              <w:bottom w:val="single" w:color="auto" w:sz="4" w:space="0"/>
              <w:right w:val="single" w:color="auto" w:sz="4" w:space="0"/>
            </w:tcBorders>
            <w:vAlign w:val="center"/>
          </w:tcPr>
          <w:p w14:paraId="5D3A77D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询比有效</w:t>
            </w:r>
          </w:p>
          <w:p w14:paraId="271599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期限</w:t>
            </w:r>
          </w:p>
        </w:tc>
        <w:tc>
          <w:tcPr>
            <w:tcW w:w="7534" w:type="dxa"/>
            <w:tcBorders>
              <w:top w:val="single" w:color="auto" w:sz="4" w:space="0"/>
              <w:left w:val="single" w:color="auto" w:sz="4" w:space="0"/>
              <w:bottom w:val="single" w:color="auto" w:sz="4" w:space="0"/>
              <w:right w:val="single" w:color="auto" w:sz="4" w:space="0"/>
            </w:tcBorders>
            <w:vAlign w:val="center"/>
          </w:tcPr>
          <w:p w14:paraId="02A514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90日历天</w:t>
            </w:r>
          </w:p>
        </w:tc>
      </w:tr>
      <w:tr w14:paraId="53FB1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C373F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68" w:type="dxa"/>
            <w:tcBorders>
              <w:top w:val="single" w:color="auto" w:sz="4" w:space="0"/>
              <w:left w:val="single" w:color="auto" w:sz="4" w:space="0"/>
              <w:bottom w:val="single" w:color="auto" w:sz="4" w:space="0"/>
              <w:right w:val="single" w:color="auto" w:sz="4" w:space="0"/>
            </w:tcBorders>
            <w:vAlign w:val="center"/>
          </w:tcPr>
          <w:p w14:paraId="4E8FAE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评审办法</w:t>
            </w:r>
          </w:p>
        </w:tc>
        <w:tc>
          <w:tcPr>
            <w:tcW w:w="7534" w:type="dxa"/>
            <w:tcBorders>
              <w:top w:val="single" w:color="auto" w:sz="4" w:space="0"/>
              <w:left w:val="single" w:color="auto" w:sz="4" w:space="0"/>
              <w:bottom w:val="single" w:color="auto" w:sz="4" w:space="0"/>
              <w:right w:val="single" w:color="auto" w:sz="4" w:space="0"/>
            </w:tcBorders>
            <w:vAlign w:val="center"/>
          </w:tcPr>
          <w:p w14:paraId="79307B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14:paraId="2B7E8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26E1B8B">
            <w:pPr>
              <w:spacing w:line="360" w:lineRule="auto"/>
              <w:jc w:val="center"/>
              <w:rPr>
                <w:rFonts w:hint="eastAsia" w:ascii="宋体" w:hAnsi="宋体" w:cs="宋体"/>
                <w:color w:val="auto"/>
                <w:szCs w:val="21"/>
                <w:highlight w:val="none"/>
              </w:rPr>
            </w:pPr>
            <w:bookmarkStart w:id="28" w:name="_Toc19629"/>
            <w:bookmarkStart w:id="29" w:name="_Toc485710385"/>
            <w:r>
              <w:rPr>
                <w:rFonts w:hint="eastAsia" w:ascii="宋体" w:hAnsi="宋体" w:cs="宋体"/>
                <w:color w:val="auto"/>
                <w:szCs w:val="21"/>
                <w:highlight w:val="none"/>
              </w:rPr>
              <w:t>15</w:t>
            </w:r>
          </w:p>
        </w:tc>
        <w:tc>
          <w:tcPr>
            <w:tcW w:w="1668" w:type="dxa"/>
            <w:tcBorders>
              <w:top w:val="single" w:color="auto" w:sz="4" w:space="0"/>
              <w:left w:val="single" w:color="auto" w:sz="4" w:space="0"/>
              <w:bottom w:val="single" w:color="auto" w:sz="4" w:space="0"/>
              <w:right w:val="single" w:color="auto" w:sz="4" w:space="0"/>
            </w:tcBorders>
            <w:vAlign w:val="center"/>
          </w:tcPr>
          <w:p w14:paraId="352390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7534" w:type="dxa"/>
            <w:tcBorders>
              <w:top w:val="single" w:color="auto" w:sz="4" w:space="0"/>
              <w:left w:val="single" w:color="auto" w:sz="4" w:space="0"/>
              <w:bottom w:val="single" w:color="auto" w:sz="4" w:space="0"/>
              <w:right w:val="single" w:color="auto" w:sz="4" w:space="0"/>
            </w:tcBorders>
            <w:vAlign w:val="center"/>
          </w:tcPr>
          <w:p w14:paraId="305D9D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本项目不组织统一踏勘；</w:t>
            </w:r>
          </w:p>
          <w:p w14:paraId="126E45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供应商根据项目特点经采购人同意后，可自行踏勘现场。</w:t>
            </w:r>
          </w:p>
        </w:tc>
      </w:tr>
      <w:tr w14:paraId="641EA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F2E65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9202" w:type="dxa"/>
            <w:gridSpan w:val="2"/>
            <w:tcBorders>
              <w:top w:val="single" w:color="auto" w:sz="4" w:space="0"/>
              <w:left w:val="single" w:color="auto" w:sz="4" w:space="0"/>
              <w:bottom w:val="single" w:color="auto" w:sz="4" w:space="0"/>
              <w:right w:val="single" w:color="auto" w:sz="4" w:space="0"/>
            </w:tcBorders>
            <w:vAlign w:val="center"/>
          </w:tcPr>
          <w:p w14:paraId="21F9BF24">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1、小型和微型企业价格评分优惠政策</w:t>
            </w:r>
          </w:p>
          <w:p w14:paraId="05268C6B">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是否适用于本项目：☑适用 □不适用。</w:t>
            </w:r>
          </w:p>
          <w:p w14:paraId="32E58B2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扶持中小企业政策：按照《政府采购促进中小企业发展管理办法》的通知，财库〔2020〕46号，《财政部关于进一步加大政府采购支持中小企业力度的通知》的通知，财库〔2022〕19号的规定，按以下价格扣除幅度对报价进行扣除。小型和微型企业价格扣除幅度：报价的</w:t>
            </w:r>
            <w:r>
              <w:rPr>
                <w:rFonts w:hint="eastAsia" w:ascii="宋体" w:hAnsi="宋体" w:cs="宋体"/>
                <w:b/>
                <w:bCs/>
                <w:color w:val="auto"/>
                <w:szCs w:val="21"/>
                <w:highlight w:val="none"/>
              </w:rPr>
              <w:t>10%</w:t>
            </w:r>
            <w:r>
              <w:rPr>
                <w:rFonts w:hint="eastAsia" w:ascii="宋体" w:hAnsi="宋体" w:cs="宋体"/>
                <w:color w:val="auto"/>
                <w:szCs w:val="21"/>
                <w:highlight w:val="none"/>
              </w:rPr>
              <w:t>，本项目采购标的对应所属行业为：</w:t>
            </w:r>
            <w:r>
              <w:rPr>
                <w:rFonts w:hint="eastAsia" w:ascii="宋体" w:hAnsi="宋体" w:cs="宋体"/>
                <w:b/>
                <w:bCs/>
                <w:color w:val="auto"/>
                <w:szCs w:val="21"/>
                <w:highlight w:val="none"/>
              </w:rPr>
              <w:t>其他未列明服务业。</w:t>
            </w:r>
          </w:p>
          <w:p w14:paraId="2B1876C4">
            <w:pPr>
              <w:widowControl/>
              <w:adjustRightInd w:val="0"/>
              <w:snapToGrid w:val="0"/>
              <w:spacing w:line="360" w:lineRule="auto"/>
              <w:rPr>
                <w:rFonts w:hint="eastAsia" w:ascii="宋体" w:hAnsi="宋体" w:cs="宋体"/>
                <w:b/>
                <w:bCs/>
                <w:color w:val="auto"/>
                <w:szCs w:val="21"/>
                <w:highlight w:val="none"/>
              </w:rPr>
            </w:pPr>
            <w:r>
              <w:rPr>
                <w:rFonts w:hint="eastAsia" w:ascii="宋体" w:hAnsi="宋体" w:cs="宋体"/>
                <w:bCs/>
                <w:color w:val="auto"/>
                <w:szCs w:val="21"/>
                <w:highlight w:val="none"/>
              </w:rPr>
              <w:t>计算方法是：</w:t>
            </w:r>
          </w:p>
          <w:p w14:paraId="649112FE">
            <w:pPr>
              <w:widowControl/>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评审价格＝投标报价×90%。</w:t>
            </w:r>
          </w:p>
          <w:p w14:paraId="2C9299A7">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2、监狱企业价格评分优惠政策</w:t>
            </w:r>
          </w:p>
          <w:p w14:paraId="0F1D6D6B">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是否适用于本项目：☑适用 □不适用。</w:t>
            </w:r>
          </w:p>
          <w:p w14:paraId="76FB5BDD">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根据《关于政府采购支持监狱企业发展有关问题的通知》（财库[2014]68号）的规定，监狱企业参与本项目投标时，视同小型、微型企业享受价格扣除等优惠政策。</w:t>
            </w:r>
          </w:p>
          <w:p w14:paraId="24001DC1">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注：监狱企业参加政府采购活动时，应当提供由省级以上监狱管理局、戒毒管理局(含新疆生产建设兵团)出具的属于监狱企业的证明文件。</w:t>
            </w:r>
          </w:p>
          <w:p w14:paraId="33824151">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3、残疾人福利性单位价格评分优惠政策</w:t>
            </w:r>
          </w:p>
          <w:p w14:paraId="27108FD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是否适用于本项目：☑适用 □不适用。</w:t>
            </w:r>
          </w:p>
          <w:p w14:paraId="416B665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根据《关于促进残疾人就业政府采购政策的通知》（财库[2017]141号）的规定，残疾人福利性单位参与本项目投标时，视同小型、微型企业享受价格扣除等优惠政策。</w:t>
            </w:r>
          </w:p>
          <w:p w14:paraId="50426176">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残疾人福利性单位在参加政府采购活动时，应当提供《残疾人福利性单位声明函》，并对声明的真实性负责。中标单位为残疾人福利性单位的，采购人或者其委托的采购代理机构应当随中标、中标结果同时公告其《残疾人福利性单位声明函》，接受社会监督。《残疾人福利性单位声明函》格式详见招标文件第六章 附件。</w:t>
            </w:r>
          </w:p>
          <w:p w14:paraId="1DA1D2BF">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注：监狱企业或残疾人福利性单位属于小型、微型企业的，不重复享受以上价格扣除幅度的政策。</w:t>
            </w:r>
          </w:p>
        </w:tc>
      </w:tr>
      <w:bookmarkEnd w:id="27"/>
    </w:tbl>
    <w:p w14:paraId="07B661F7">
      <w:pPr>
        <w:pStyle w:val="4"/>
        <w:spacing w:before="0" w:after="0" w:line="360" w:lineRule="auto"/>
        <w:rPr>
          <w:rFonts w:hint="eastAsia" w:ascii="宋体" w:hAnsi="宋体" w:cs="宋体"/>
          <w:b w:val="0"/>
          <w:color w:val="auto"/>
          <w:highlight w:val="none"/>
        </w:rPr>
      </w:pPr>
      <w:r>
        <w:rPr>
          <w:rFonts w:hint="eastAsia" w:ascii="宋体" w:hAnsi="宋体" w:cs="宋体"/>
          <w:b w:val="0"/>
          <w:color w:val="auto"/>
          <w:highlight w:val="none"/>
        </w:rPr>
        <w:t>一、总  则</w:t>
      </w:r>
      <w:bookmarkEnd w:id="28"/>
      <w:bookmarkEnd w:id="29"/>
    </w:p>
    <w:p w14:paraId="7AD9036A">
      <w:pPr>
        <w:pStyle w:val="17"/>
        <w:adjustRightInd w:val="0"/>
        <w:snapToGrid w:val="0"/>
        <w:spacing w:line="360" w:lineRule="auto"/>
        <w:ind w:firstLine="480"/>
        <w:jc w:val="left"/>
        <w:rPr>
          <w:rFonts w:hint="eastAsia" w:hAnsi="宋体" w:cs="宋体"/>
          <w:color w:val="auto"/>
          <w:sz w:val="24"/>
          <w:szCs w:val="24"/>
          <w:highlight w:val="none"/>
        </w:rPr>
      </w:pPr>
      <w:r>
        <w:rPr>
          <w:rFonts w:hint="eastAsia" w:hAnsi="宋体" w:cs="宋体"/>
          <w:color w:val="auto"/>
          <w:sz w:val="24"/>
          <w:szCs w:val="24"/>
          <w:highlight w:val="none"/>
        </w:rPr>
        <w:t>1. 采购人、采购代理机构、项目名称及项目编号，详见采购文件“</w:t>
      </w:r>
      <w:r>
        <w:rPr>
          <w:rFonts w:hint="eastAsia" w:hAnsi="宋体" w:cs="宋体"/>
          <w:color w:val="auto"/>
          <w:sz w:val="24"/>
          <w:szCs w:val="24"/>
          <w:highlight w:val="none"/>
          <w:lang w:val="en-US"/>
        </w:rPr>
        <w:t>询比</w:t>
      </w:r>
      <w:r>
        <w:rPr>
          <w:rFonts w:hint="eastAsia" w:hAnsi="宋体" w:cs="宋体"/>
          <w:color w:val="auto"/>
          <w:sz w:val="24"/>
          <w:szCs w:val="24"/>
          <w:highlight w:val="none"/>
        </w:rPr>
        <w:t>须知前附表”。</w:t>
      </w:r>
    </w:p>
    <w:p w14:paraId="7264ECAB">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 采购范围</w:t>
      </w:r>
    </w:p>
    <w:p w14:paraId="24D8635E">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2.1 本项目采购内容：见“询比须知前附表”。</w:t>
      </w:r>
    </w:p>
    <w:p w14:paraId="1C68E1BF">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2.2 本项目合同履行期限（建设周期）：见“询比须知前附表”。</w:t>
      </w:r>
    </w:p>
    <w:p w14:paraId="7EA912A2">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 合格的供应商</w:t>
      </w:r>
    </w:p>
    <w:p w14:paraId="373CBE2C">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3.1供应商应符合采购文件“询比须知前附表”中规定的条件。</w:t>
      </w:r>
    </w:p>
    <w:p w14:paraId="3058786D">
      <w:pPr>
        <w:adjustRightInd w:val="0"/>
        <w:snapToGrid w:val="0"/>
        <w:spacing w:line="360" w:lineRule="auto"/>
        <w:ind w:left="479" w:leftChars="228"/>
        <w:jc w:val="left"/>
        <w:rPr>
          <w:rFonts w:hint="eastAsia" w:ascii="宋体" w:hAnsi="宋体" w:cs="宋体"/>
          <w:color w:val="auto"/>
          <w:sz w:val="24"/>
          <w:highlight w:val="none"/>
        </w:rPr>
      </w:pPr>
      <w:r>
        <w:rPr>
          <w:rFonts w:hint="eastAsia" w:ascii="宋体" w:hAnsi="宋体" w:cs="宋体"/>
          <w:color w:val="auto"/>
          <w:sz w:val="24"/>
          <w:highlight w:val="none"/>
        </w:rPr>
        <w:t>3.2 符合上述条件的供应商应承担询比及履约中应承担的全部责任与义务。</w:t>
      </w:r>
      <w:r>
        <w:rPr>
          <w:rFonts w:hint="eastAsia" w:ascii="宋体" w:hAnsi="宋体" w:cs="宋体"/>
          <w:color w:val="auto"/>
          <w:sz w:val="24"/>
          <w:highlight w:val="none"/>
        </w:rPr>
        <w:cr/>
      </w:r>
      <w:r>
        <w:rPr>
          <w:rFonts w:hint="eastAsia" w:ascii="宋体" w:hAnsi="宋体" w:cs="宋体"/>
          <w:color w:val="auto"/>
          <w:sz w:val="24"/>
          <w:highlight w:val="none"/>
        </w:rPr>
        <w:t>4.费用</w:t>
      </w:r>
    </w:p>
    <w:p w14:paraId="4D10AA4A">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4.1不论询比结果如何，供应商均应自行承担所有与编写和提交响应文件有关的全部费用。</w:t>
      </w:r>
    </w:p>
    <w:p w14:paraId="465C28B3">
      <w:pPr>
        <w:snapToGrid w:val="0"/>
        <w:spacing w:line="360" w:lineRule="auto"/>
        <w:ind w:firstLine="487" w:firstLineChars="202"/>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4.2成交供应商还须向采购代理机构支付本次采购项目的采购代理服务费：</w:t>
      </w:r>
      <w:r>
        <w:rPr>
          <w:rFonts w:hint="eastAsia" w:ascii="宋体" w:hAnsi="宋体" w:eastAsia="宋体" w:cs="宋体"/>
          <w:b/>
          <w:bCs/>
          <w:color w:val="auto"/>
          <w:sz w:val="24"/>
          <w:szCs w:val="24"/>
          <w:highlight w:val="none"/>
          <w:lang w:val="en-US" w:eastAsia="zh-CN"/>
        </w:rPr>
        <w:t>以中标通知书中标金额为计算基数，根据《招标代理服务收费管理暂行办法》（计价格〔2002〕1980号）的标准，下浮30%收取</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不足3000.00元按3000.00元计收，</w:t>
      </w:r>
      <w:r>
        <w:rPr>
          <w:rFonts w:hint="eastAsia" w:ascii="宋体" w:hAnsi="宋体" w:cs="宋体"/>
          <w:b/>
          <w:color w:val="auto"/>
          <w:sz w:val="24"/>
          <w:szCs w:val="24"/>
          <w:highlight w:val="none"/>
        </w:rPr>
        <w:t>由成交单位在领取成交通知书前一次性支付。</w:t>
      </w:r>
    </w:p>
    <w:p w14:paraId="26CFEC58">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lang w:val="en-US"/>
        </w:rPr>
        <w:t>4.3</w:t>
      </w:r>
      <w:r>
        <w:rPr>
          <w:rFonts w:hint="eastAsia" w:hAnsi="宋体" w:cs="宋体"/>
          <w:color w:val="auto"/>
          <w:sz w:val="24"/>
          <w:szCs w:val="24"/>
          <w:highlight w:val="none"/>
        </w:rPr>
        <w:t>通过公司基本账户转账缴纳（转账时备注“</w:t>
      </w:r>
      <w:r>
        <w:rPr>
          <w:rFonts w:hint="eastAsia" w:hAnsi="宋体" w:cs="宋体"/>
          <w:color w:val="auto"/>
          <w:sz w:val="24"/>
          <w:szCs w:val="24"/>
          <w:highlight w:val="none"/>
          <w:lang w:val="en-US"/>
        </w:rPr>
        <w:t>项目名称简写+采购代理服务费</w:t>
      </w:r>
      <w:r>
        <w:rPr>
          <w:rFonts w:hint="eastAsia" w:hAnsi="宋体" w:cs="宋体"/>
          <w:color w:val="auto"/>
          <w:sz w:val="24"/>
          <w:szCs w:val="24"/>
          <w:highlight w:val="none"/>
        </w:rPr>
        <w:t>”）</w:t>
      </w:r>
    </w:p>
    <w:p w14:paraId="11AAC1EA">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账户名称：云南中诏项目管理有限公司</w:t>
      </w:r>
    </w:p>
    <w:p w14:paraId="5EDDEE98">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开户银行：云南红塔银行股份有限公司万商汇支行</w:t>
      </w:r>
    </w:p>
    <w:p w14:paraId="03172D17">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账号：3201520000000038</w:t>
      </w:r>
      <w:r>
        <w:rPr>
          <w:rFonts w:hint="eastAsia" w:hAnsi="宋体" w:cs="宋体"/>
          <w:color w:val="auto"/>
          <w:sz w:val="24"/>
          <w:szCs w:val="24"/>
          <w:highlight w:val="none"/>
        </w:rPr>
        <w:tab/>
      </w:r>
    </w:p>
    <w:p w14:paraId="2B29861A">
      <w:pPr>
        <w:pStyle w:val="17"/>
        <w:adjustRightInd w:val="0"/>
        <w:snapToGrid w:val="0"/>
        <w:spacing w:line="360" w:lineRule="auto"/>
        <w:ind w:firstLine="480"/>
        <w:rPr>
          <w:rFonts w:hint="eastAsia" w:hAnsi="宋体" w:cs="宋体"/>
          <w:color w:val="auto"/>
          <w:highlight w:val="none"/>
        </w:rPr>
      </w:pPr>
      <w:r>
        <w:rPr>
          <w:rFonts w:hint="eastAsia" w:hAnsi="宋体" w:cs="宋体"/>
          <w:color w:val="auto"/>
          <w:sz w:val="24"/>
          <w:szCs w:val="24"/>
          <w:highlight w:val="none"/>
        </w:rPr>
        <w:t>联系电话：13187714881</w:t>
      </w:r>
    </w:p>
    <w:p w14:paraId="730A5681">
      <w:pPr>
        <w:pStyle w:val="4"/>
        <w:spacing w:before="0" w:after="0" w:line="360" w:lineRule="auto"/>
        <w:rPr>
          <w:rFonts w:hint="eastAsia" w:ascii="宋体" w:hAnsi="宋体" w:cs="宋体"/>
          <w:b w:val="0"/>
          <w:color w:val="auto"/>
          <w:highlight w:val="none"/>
        </w:rPr>
      </w:pPr>
      <w:bookmarkStart w:id="30" w:name="_Toc485710386"/>
      <w:bookmarkStart w:id="31" w:name="_Toc28687"/>
      <w:bookmarkStart w:id="32" w:name="_Toc350930211"/>
      <w:bookmarkStart w:id="33" w:name="_Toc351117880"/>
      <w:bookmarkStart w:id="34" w:name="_Toc350929996"/>
      <w:bookmarkStart w:id="35" w:name="_Toc350330497"/>
      <w:bookmarkStart w:id="36" w:name="_Toc485710387"/>
      <w:bookmarkStart w:id="37" w:name="_Toc350929997"/>
      <w:bookmarkStart w:id="38" w:name="_Toc7943"/>
      <w:bookmarkStart w:id="39" w:name="_Toc350330498"/>
      <w:bookmarkStart w:id="40" w:name="_Toc351117881"/>
      <w:bookmarkStart w:id="41" w:name="_Toc350930212"/>
      <w:r>
        <w:rPr>
          <w:rFonts w:hint="eastAsia" w:ascii="宋体" w:hAnsi="宋体" w:cs="宋体"/>
          <w:b w:val="0"/>
          <w:color w:val="auto"/>
          <w:highlight w:val="none"/>
        </w:rPr>
        <w:t>二、询比采购文件</w:t>
      </w:r>
      <w:bookmarkEnd w:id="30"/>
      <w:bookmarkEnd w:id="31"/>
      <w:bookmarkEnd w:id="32"/>
      <w:bookmarkEnd w:id="33"/>
      <w:bookmarkEnd w:id="34"/>
      <w:bookmarkEnd w:id="35"/>
    </w:p>
    <w:p w14:paraId="6EA59982">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5. 采购文件构成</w:t>
      </w:r>
    </w:p>
    <w:p w14:paraId="61FEF9CC">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5.1本项目采购文件由以下所列内容组成。</w:t>
      </w:r>
    </w:p>
    <w:p w14:paraId="0DC204C4">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第一章 询比采购公告</w:t>
      </w:r>
    </w:p>
    <w:p w14:paraId="673D9E21">
      <w:pPr>
        <w:pStyle w:val="17"/>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 xml:space="preserve">第二章 </w:t>
      </w:r>
      <w:r>
        <w:rPr>
          <w:rFonts w:hint="eastAsia" w:hAnsi="宋体" w:cs="宋体"/>
          <w:color w:val="auto"/>
          <w:sz w:val="24"/>
          <w:szCs w:val="24"/>
          <w:highlight w:val="none"/>
          <w:lang w:val="en-US"/>
        </w:rPr>
        <w:t>询比</w:t>
      </w:r>
      <w:r>
        <w:rPr>
          <w:rFonts w:hint="eastAsia" w:hAnsi="宋体" w:cs="宋体"/>
          <w:color w:val="auto"/>
          <w:sz w:val="24"/>
          <w:szCs w:val="24"/>
          <w:highlight w:val="none"/>
        </w:rPr>
        <w:t>须知</w:t>
      </w:r>
    </w:p>
    <w:p w14:paraId="41E84A67">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 xml:space="preserve">第三章 </w:t>
      </w:r>
      <w:r>
        <w:rPr>
          <w:rFonts w:hint="eastAsia" w:hAnsi="宋体" w:cs="宋体"/>
          <w:color w:val="auto"/>
          <w:sz w:val="24"/>
          <w:szCs w:val="24"/>
          <w:highlight w:val="none"/>
          <w:lang w:val="en-US"/>
        </w:rPr>
        <w:t>评审办法</w:t>
      </w:r>
    </w:p>
    <w:p w14:paraId="077B3946">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 xml:space="preserve">第四章 </w:t>
      </w:r>
      <w:r>
        <w:rPr>
          <w:rFonts w:hint="eastAsia" w:hAnsi="宋体" w:cs="宋体"/>
          <w:color w:val="auto"/>
          <w:sz w:val="24"/>
          <w:szCs w:val="24"/>
          <w:highlight w:val="none"/>
          <w:lang w:val="en-US"/>
        </w:rPr>
        <w:t>采购需求</w:t>
      </w:r>
    </w:p>
    <w:p w14:paraId="1D50DC78">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第五章 采购合同</w:t>
      </w:r>
    </w:p>
    <w:p w14:paraId="42269740">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第六章 响应文件格式</w:t>
      </w:r>
    </w:p>
    <w:p w14:paraId="5D8539CE">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5.2根据项目对采购文件所作的澄清、修改，构成采购文件的组成部分。</w:t>
      </w:r>
    </w:p>
    <w:p w14:paraId="5B077F95">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6. 采购文件的澄清</w:t>
      </w:r>
    </w:p>
    <w:p w14:paraId="49B6589C">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6.1供应商应仔细阅读和检查采购文件的全部内容。如发现缺页或附件不全，应及时向采购人提出，以便补齐。如发现清单有误或要求不合理的，供应商必须在收到采购文件后以信函或传真等书面形式（加盖公章）要求采购代理机构对采购文件予以澄清，否则，由此产生的后果由供应商负责。</w:t>
      </w:r>
    </w:p>
    <w:p w14:paraId="73723E92">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6.2采购代理机构将以书面形式答复所有购买采购文件的供应商（答复中不包含问题的来源）要求澄清的问题，其他澄清方式为无效。</w:t>
      </w:r>
    </w:p>
    <w:p w14:paraId="00D76872">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6.3供应商在收到澄清后，以书面形式通知采购人或采购代理机构，确认已收到该澄清。</w:t>
      </w:r>
    </w:p>
    <w:p w14:paraId="62CE8533">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7. 采购文件的修改</w:t>
      </w:r>
    </w:p>
    <w:p w14:paraId="27D8E0AE">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7.1采购代理机构对已发出的采购文件进行必要澄清或者修改的，于采购文件要求提交采购文件截止时间2日前，以书面形式通知所有采购文件收受人。该澄清或者修改的内容为采购文件的组成部分。</w:t>
      </w:r>
    </w:p>
    <w:p w14:paraId="46302869">
      <w:pPr>
        <w:pStyle w:val="17"/>
        <w:adjustRightInd w:val="0"/>
        <w:snapToGrid w:val="0"/>
        <w:spacing w:line="360" w:lineRule="auto"/>
        <w:ind w:firstLine="482"/>
        <w:jc w:val="left"/>
        <w:rPr>
          <w:rFonts w:hint="eastAsia" w:hAnsi="宋体" w:cs="宋体"/>
          <w:color w:val="auto"/>
          <w:sz w:val="24"/>
          <w:szCs w:val="24"/>
          <w:highlight w:val="none"/>
        </w:rPr>
      </w:pPr>
      <w:r>
        <w:rPr>
          <w:rFonts w:hint="eastAsia" w:hAnsi="宋体" w:cs="宋体"/>
          <w:color w:val="auto"/>
          <w:sz w:val="24"/>
          <w:szCs w:val="24"/>
          <w:highlight w:val="none"/>
        </w:rPr>
        <w:t>7.2供应商收到修改内容后，应在询比须知前附表规定的时间内以书面形式通知采购人，确认已收到该修改。</w:t>
      </w:r>
    </w:p>
    <w:p w14:paraId="408B1CA3">
      <w:pPr>
        <w:pStyle w:val="17"/>
        <w:adjustRightInd w:val="0"/>
        <w:snapToGrid w:val="0"/>
        <w:spacing w:line="360" w:lineRule="auto"/>
        <w:ind w:firstLine="482"/>
        <w:jc w:val="left"/>
        <w:rPr>
          <w:rFonts w:hint="eastAsia" w:hAnsi="宋体" w:cs="宋体"/>
          <w:color w:val="auto"/>
          <w:highlight w:val="none"/>
        </w:rPr>
      </w:pPr>
      <w:r>
        <w:rPr>
          <w:rFonts w:hint="eastAsia" w:hAnsi="宋体" w:cs="宋体"/>
          <w:color w:val="auto"/>
          <w:sz w:val="24"/>
          <w:szCs w:val="24"/>
          <w:highlight w:val="none"/>
        </w:rPr>
        <w:t>7.3采购代理机构和采购人可以视采购具体情况，延长响应文件提交截止时间和开标时间，但至少在采购文件要求提交采购文件的截止时间2日前，将变更时间书面通知所有采购文件收受人。</w:t>
      </w:r>
    </w:p>
    <w:p w14:paraId="33D6608C">
      <w:pPr>
        <w:pStyle w:val="4"/>
        <w:spacing w:before="0" w:after="0" w:line="360" w:lineRule="auto"/>
        <w:rPr>
          <w:rFonts w:hint="eastAsia" w:ascii="宋体" w:hAnsi="宋体" w:cs="宋体"/>
          <w:b w:val="0"/>
          <w:color w:val="auto"/>
          <w:highlight w:val="none"/>
        </w:rPr>
      </w:pPr>
      <w:r>
        <w:rPr>
          <w:rFonts w:hint="eastAsia" w:ascii="宋体" w:hAnsi="宋体" w:cs="宋体"/>
          <w:b w:val="0"/>
          <w:color w:val="auto"/>
          <w:highlight w:val="none"/>
        </w:rPr>
        <w:t>三、响应文件的编制</w:t>
      </w:r>
      <w:bookmarkEnd w:id="36"/>
      <w:bookmarkEnd w:id="37"/>
      <w:bookmarkEnd w:id="38"/>
      <w:bookmarkEnd w:id="39"/>
      <w:bookmarkEnd w:id="40"/>
      <w:bookmarkEnd w:id="41"/>
    </w:p>
    <w:p w14:paraId="4242B1B4">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8. 响应文件编写注意事项</w:t>
      </w:r>
    </w:p>
    <w:p w14:paraId="13A80DE0">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8.1供应商应仔细阅读采购文件，在完全了解采购需求、技术性能要求、工程量清单(详见“采购需求”)和商务条件后，编写响应文件。</w:t>
      </w:r>
    </w:p>
    <w:p w14:paraId="312908CB">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8.2 对采购文件提出的实质性要求和条件作出响应是指供应商必须对采购文件中标明实质性要求和采购需求、合同主要条款及其它要求等内容作出满足或者优于原要求和条件的承诺。</w:t>
      </w:r>
    </w:p>
    <w:p w14:paraId="0E4312FD">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9.语言及计量单位</w:t>
      </w:r>
    </w:p>
    <w:p w14:paraId="3E3C3313">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9.1供应商的响应文件以及供应商与采购代理机构就有关询比的所有来往函电统一使用中文（特别规定除外）。</w:t>
      </w:r>
    </w:p>
    <w:p w14:paraId="26803E77">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9.2响应文件中使用的计量单位除采购文件中有特殊规定外，一律使用中国法定计量单位。</w:t>
      </w:r>
    </w:p>
    <w:p w14:paraId="20E9178D">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10. 响应文件构成</w:t>
      </w:r>
    </w:p>
    <w:p w14:paraId="2939382B">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供应商编写的响应文件应由下列部分构成，并按第六章“响应文件格式”要求填写。有关文件的提交如未特别注明需提供原件的，可提供复印件。</w:t>
      </w:r>
    </w:p>
    <w:p w14:paraId="132C8917">
      <w:pPr>
        <w:adjustRightInd w:val="0"/>
        <w:snapToGrid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10.1报价一览表</w:t>
      </w:r>
    </w:p>
    <w:p w14:paraId="2E93E510">
      <w:pPr>
        <w:adjustRightInd w:val="0"/>
        <w:snapToGrid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10.2询比函部分格式</w:t>
      </w:r>
    </w:p>
    <w:p w14:paraId="7AC76901">
      <w:pPr>
        <w:adjustRightInd w:val="0"/>
        <w:snapToGrid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10.3响应文件技术部分格式</w:t>
      </w:r>
    </w:p>
    <w:p w14:paraId="4F145588">
      <w:pPr>
        <w:adjustRightInd w:val="0"/>
        <w:snapToGrid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10.4相关资料</w:t>
      </w:r>
    </w:p>
    <w:p w14:paraId="5A221A25">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11. 响应文件的格式要求</w:t>
      </w:r>
    </w:p>
    <w:p w14:paraId="6951F22D">
      <w:pPr>
        <w:pStyle w:val="17"/>
        <w:tabs>
          <w:tab w:val="left" w:pos="3030"/>
        </w:tabs>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11.1供应商应按第六章“响应文件格式”提供的格式完整地填写，未提供格式的各供应商自拟。</w:t>
      </w:r>
    </w:p>
    <w:p w14:paraId="07C4A867">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12.报价说明</w:t>
      </w:r>
    </w:p>
    <w:p w14:paraId="1E7D3B28">
      <w:pPr>
        <w:pStyle w:val="17"/>
        <w:adjustRightInd w:val="0"/>
        <w:snapToGrid w:val="0"/>
        <w:spacing w:line="360" w:lineRule="auto"/>
        <w:ind w:firstLine="480"/>
        <w:rPr>
          <w:rFonts w:hint="eastAsia" w:hAnsi="宋体" w:cs="宋体"/>
          <w:b/>
          <w:color w:val="auto"/>
          <w:sz w:val="24"/>
          <w:szCs w:val="24"/>
          <w:highlight w:val="none"/>
        </w:rPr>
      </w:pPr>
      <w:r>
        <w:rPr>
          <w:rFonts w:hint="eastAsia" w:hAnsi="宋体" w:cs="宋体"/>
          <w:b/>
          <w:color w:val="auto"/>
          <w:sz w:val="24"/>
          <w:szCs w:val="24"/>
          <w:highlight w:val="none"/>
        </w:rPr>
        <w:t>12.</w:t>
      </w:r>
      <w:r>
        <w:rPr>
          <w:rFonts w:hint="eastAsia" w:hAnsi="宋体" w:cs="宋体"/>
          <w:b/>
          <w:color w:val="auto"/>
          <w:sz w:val="24"/>
          <w:szCs w:val="24"/>
          <w:highlight w:val="none"/>
          <w:lang w:val="en-US"/>
        </w:rPr>
        <w:t>1本项目采用总价包干方式报价</w:t>
      </w:r>
      <w:r>
        <w:rPr>
          <w:rFonts w:hint="eastAsia" w:hAnsi="宋体" w:cs="宋体"/>
          <w:b/>
          <w:color w:val="auto"/>
          <w:sz w:val="24"/>
          <w:szCs w:val="24"/>
          <w:highlight w:val="none"/>
        </w:rPr>
        <w:t>，</w:t>
      </w:r>
      <w:r>
        <w:rPr>
          <w:rFonts w:hint="eastAsia" w:hAnsi="宋体" w:cs="宋体"/>
          <w:b/>
          <w:color w:val="auto"/>
          <w:sz w:val="24"/>
          <w:szCs w:val="24"/>
          <w:highlight w:val="none"/>
          <w:lang w:val="en-US"/>
        </w:rPr>
        <w:t>并</w:t>
      </w:r>
      <w:r>
        <w:rPr>
          <w:rFonts w:hint="eastAsia" w:hAnsi="宋体" w:cs="宋体"/>
          <w:b/>
          <w:color w:val="auto"/>
          <w:sz w:val="24"/>
          <w:szCs w:val="24"/>
          <w:highlight w:val="none"/>
        </w:rPr>
        <w:t>设</w:t>
      </w:r>
      <w:r>
        <w:rPr>
          <w:rFonts w:hint="eastAsia" w:hAnsi="宋体" w:cs="宋体"/>
          <w:b/>
          <w:color w:val="auto"/>
          <w:sz w:val="24"/>
          <w:szCs w:val="24"/>
          <w:highlight w:val="none"/>
          <w:lang w:val="en-US"/>
        </w:rPr>
        <w:t>有</w:t>
      </w:r>
      <w:r>
        <w:rPr>
          <w:rFonts w:hint="eastAsia" w:hAnsi="宋体" w:cs="宋体"/>
          <w:b/>
          <w:color w:val="auto"/>
          <w:sz w:val="24"/>
          <w:szCs w:val="24"/>
          <w:highlight w:val="none"/>
        </w:rPr>
        <w:t>最高限价</w:t>
      </w:r>
      <w:r>
        <w:rPr>
          <w:rFonts w:hint="eastAsia" w:hAnsi="宋体" w:cs="宋体"/>
          <w:b/>
          <w:color w:val="auto"/>
          <w:sz w:val="24"/>
          <w:szCs w:val="24"/>
          <w:highlight w:val="none"/>
          <w:lang w:val="en-US"/>
        </w:rPr>
        <w:t>¥329029.00元（人民币叁拾贰万玖仟零贰拾玖元整）</w:t>
      </w:r>
      <w:r>
        <w:rPr>
          <w:rFonts w:hint="eastAsia" w:hAnsi="宋体" w:cs="宋体"/>
          <w:b/>
          <w:color w:val="auto"/>
          <w:sz w:val="24"/>
          <w:szCs w:val="24"/>
          <w:highlight w:val="none"/>
        </w:rPr>
        <w:t>。供应商的报价不得超过本项目招标控制</w:t>
      </w:r>
      <w:r>
        <w:rPr>
          <w:rFonts w:hint="eastAsia" w:hAnsi="宋体" w:cs="宋体"/>
          <w:b/>
          <w:color w:val="auto"/>
          <w:sz w:val="24"/>
          <w:szCs w:val="24"/>
          <w:highlight w:val="none"/>
          <w:lang w:val="en-US"/>
        </w:rPr>
        <w:t>总价</w:t>
      </w:r>
      <w:r>
        <w:rPr>
          <w:rFonts w:hint="eastAsia" w:hAnsi="宋体" w:cs="宋体"/>
          <w:b/>
          <w:color w:val="auto"/>
          <w:sz w:val="24"/>
          <w:szCs w:val="24"/>
          <w:highlight w:val="none"/>
        </w:rPr>
        <w:t>，否则视为实质上未响应</w:t>
      </w:r>
      <w:r>
        <w:rPr>
          <w:rFonts w:hint="eastAsia" w:hAnsi="宋体" w:cs="宋体"/>
          <w:b/>
          <w:color w:val="auto"/>
          <w:sz w:val="24"/>
          <w:szCs w:val="24"/>
          <w:highlight w:val="none"/>
          <w:lang w:val="en-US"/>
        </w:rPr>
        <w:t>询比</w:t>
      </w:r>
      <w:r>
        <w:rPr>
          <w:rFonts w:hint="eastAsia" w:hAnsi="宋体" w:cs="宋体"/>
          <w:b/>
          <w:color w:val="auto"/>
          <w:sz w:val="24"/>
          <w:szCs w:val="24"/>
          <w:highlight w:val="none"/>
        </w:rPr>
        <w:t>文件要求。</w:t>
      </w:r>
    </w:p>
    <w:p w14:paraId="455328CD">
      <w:pPr>
        <w:pStyle w:val="17"/>
        <w:adjustRightInd w:val="0"/>
        <w:snapToGrid w:val="0"/>
        <w:spacing w:line="360" w:lineRule="auto"/>
        <w:ind w:firstLine="480"/>
        <w:rPr>
          <w:rFonts w:hint="eastAsia" w:hAnsi="宋体" w:cs="宋体"/>
          <w:bCs/>
          <w:color w:val="auto"/>
          <w:sz w:val="24"/>
          <w:szCs w:val="24"/>
          <w:highlight w:val="none"/>
        </w:rPr>
      </w:pPr>
      <w:r>
        <w:rPr>
          <w:rFonts w:hint="eastAsia" w:hAnsi="宋体" w:cs="宋体"/>
          <w:color w:val="auto"/>
          <w:sz w:val="24"/>
          <w:szCs w:val="24"/>
          <w:highlight w:val="none"/>
        </w:rPr>
        <w:t>12.</w:t>
      </w:r>
      <w:r>
        <w:rPr>
          <w:rFonts w:hint="eastAsia" w:hAnsi="宋体" w:cs="宋体"/>
          <w:color w:val="auto"/>
          <w:sz w:val="24"/>
          <w:szCs w:val="24"/>
          <w:highlight w:val="none"/>
          <w:lang w:val="en-US"/>
        </w:rPr>
        <w:t>2</w:t>
      </w:r>
      <w:r>
        <w:rPr>
          <w:rFonts w:hint="eastAsia" w:hAnsi="宋体" w:cs="宋体"/>
          <w:bCs/>
          <w:color w:val="auto"/>
          <w:sz w:val="24"/>
          <w:szCs w:val="24"/>
          <w:highlight w:val="none"/>
        </w:rPr>
        <w:t>供应商应充分考虑本项目合同实施期间可能发生的一切费用，并承担由此而带来的风险。该报价为一次性报出并不得更改的</w:t>
      </w:r>
      <w:r>
        <w:rPr>
          <w:rFonts w:hint="eastAsia" w:hAnsi="宋体" w:cs="宋体"/>
          <w:bCs/>
          <w:color w:val="auto"/>
          <w:sz w:val="24"/>
          <w:szCs w:val="24"/>
          <w:highlight w:val="none"/>
          <w:lang w:val="en-US"/>
        </w:rPr>
        <w:t>唯一报价</w:t>
      </w:r>
      <w:r>
        <w:rPr>
          <w:rFonts w:hint="eastAsia" w:hAnsi="宋体" w:cs="宋体"/>
          <w:bCs/>
          <w:color w:val="auto"/>
          <w:sz w:val="24"/>
          <w:szCs w:val="24"/>
          <w:highlight w:val="none"/>
        </w:rPr>
        <w:t>，报价以人民币表示，单位：元。</w:t>
      </w:r>
      <w:r>
        <w:rPr>
          <w:rFonts w:hint="eastAsia" w:hAnsi="宋体" w:cs="宋体"/>
          <w:color w:val="auto"/>
          <w:sz w:val="24"/>
          <w:szCs w:val="24"/>
          <w:highlight w:val="none"/>
        </w:rPr>
        <w:t>供应商的竞标报价应包括采购清单中的全部</w:t>
      </w:r>
      <w:r>
        <w:rPr>
          <w:rFonts w:hint="eastAsia" w:hAnsi="宋体" w:cs="宋体"/>
          <w:color w:val="auto"/>
          <w:sz w:val="24"/>
          <w:szCs w:val="24"/>
          <w:highlight w:val="none"/>
          <w:lang w:val="en-US"/>
        </w:rPr>
        <w:t>内容</w:t>
      </w:r>
      <w:r>
        <w:rPr>
          <w:rFonts w:hint="eastAsia" w:hAnsi="宋体" w:cs="宋体"/>
          <w:color w:val="auto"/>
          <w:sz w:val="24"/>
          <w:szCs w:val="24"/>
          <w:highlight w:val="none"/>
        </w:rPr>
        <w:t>，包含人工费、材料费、管理费</w:t>
      </w:r>
      <w:r>
        <w:rPr>
          <w:rFonts w:hint="eastAsia" w:hAnsi="宋体" w:cs="宋体"/>
          <w:color w:val="auto"/>
          <w:sz w:val="24"/>
          <w:szCs w:val="24"/>
          <w:highlight w:val="none"/>
          <w:lang w:val="en-US"/>
        </w:rPr>
        <w:t>、</w:t>
      </w:r>
      <w:r>
        <w:rPr>
          <w:rFonts w:hint="eastAsia" w:hAnsi="宋体" w:cs="宋体"/>
          <w:color w:val="auto"/>
          <w:sz w:val="24"/>
          <w:szCs w:val="24"/>
          <w:highlight w:val="none"/>
        </w:rPr>
        <w:t>各种税费、利润、</w:t>
      </w:r>
      <w:r>
        <w:rPr>
          <w:rFonts w:hint="eastAsia" w:hAnsi="宋体" w:cs="宋体"/>
          <w:color w:val="auto"/>
          <w:sz w:val="24"/>
          <w:szCs w:val="24"/>
          <w:highlight w:val="none"/>
          <w:lang w:val="en-US"/>
        </w:rPr>
        <w:t>所有材料价格、主材价格包含材料原价、运输费、上、下车费到工程项目所在地位置产生的一切费用</w:t>
      </w:r>
      <w:r>
        <w:rPr>
          <w:rFonts w:hint="eastAsia" w:hAnsi="宋体" w:cs="宋体"/>
          <w:color w:val="auto"/>
          <w:sz w:val="24"/>
          <w:szCs w:val="24"/>
          <w:highlight w:val="none"/>
        </w:rPr>
        <w:t>。</w:t>
      </w:r>
      <w:r>
        <w:rPr>
          <w:rFonts w:hint="eastAsia" w:hAnsi="宋体" w:cs="宋体"/>
          <w:bCs/>
          <w:color w:val="auto"/>
          <w:sz w:val="24"/>
          <w:szCs w:val="24"/>
          <w:highlight w:val="none"/>
        </w:rPr>
        <w:t>报价一经确定为成交价，在合同实施期间将不因市场价格的变化而调整。</w:t>
      </w:r>
    </w:p>
    <w:p w14:paraId="22510DF3">
      <w:pPr>
        <w:pStyle w:val="17"/>
        <w:adjustRightInd w:val="0"/>
        <w:snapToGrid w:val="0"/>
        <w:spacing w:line="360" w:lineRule="auto"/>
        <w:ind w:firstLine="480"/>
        <w:rPr>
          <w:rFonts w:hint="eastAsia" w:hAnsi="宋体" w:cs="宋体"/>
          <w:bCs/>
          <w:color w:val="auto"/>
          <w:sz w:val="24"/>
          <w:szCs w:val="24"/>
          <w:highlight w:val="none"/>
          <w:lang w:val="en-US"/>
        </w:rPr>
      </w:pPr>
      <w:r>
        <w:rPr>
          <w:rFonts w:hint="eastAsia" w:hAnsi="宋体" w:cs="宋体"/>
          <w:bCs/>
          <w:color w:val="auto"/>
          <w:sz w:val="24"/>
          <w:szCs w:val="24"/>
          <w:highlight w:val="none"/>
          <w:lang w:val="en-US"/>
        </w:rPr>
        <w:t>12.4供应商的竞标报价为整个项目的总报价，如有漏项，视同已包含在竞标报价中，合同的总价和单价不做调整。供应商应充分考虑本项目合同实施期间可能发生的一切费用，并承担由此而带来的风险。</w:t>
      </w:r>
    </w:p>
    <w:p w14:paraId="1A90F613">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13.货币</w:t>
      </w:r>
    </w:p>
    <w:p w14:paraId="463D05BA">
      <w:pPr>
        <w:pStyle w:val="17"/>
        <w:adjustRightInd w:val="0"/>
        <w:snapToGrid w:val="0"/>
        <w:spacing w:line="360" w:lineRule="auto"/>
        <w:ind w:firstLine="480"/>
        <w:rPr>
          <w:rFonts w:hint="eastAsia" w:hAnsi="宋体" w:cs="宋体"/>
          <w:bCs/>
          <w:color w:val="auto"/>
          <w:sz w:val="24"/>
          <w:szCs w:val="24"/>
          <w:highlight w:val="none"/>
        </w:rPr>
      </w:pPr>
      <w:r>
        <w:rPr>
          <w:rFonts w:hint="eastAsia" w:hAnsi="宋体" w:cs="宋体"/>
          <w:color w:val="auto"/>
          <w:sz w:val="24"/>
          <w:szCs w:val="24"/>
          <w:highlight w:val="none"/>
        </w:rPr>
        <w:t>13.1询比应以人民币报价。</w:t>
      </w:r>
    </w:p>
    <w:p w14:paraId="2E118DB5">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14.询比有效期</w:t>
      </w:r>
    </w:p>
    <w:p w14:paraId="72762A20">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14.1响应文件有效期必须按“询比须知前附表”规定的时间保持有效。</w:t>
      </w:r>
    </w:p>
    <w:p w14:paraId="3A3AF181">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14.2在特殊情况下，采购人可与供应商协商延长响应文件的有效期，这种要求与答复均应以书面形式提交。</w:t>
      </w:r>
    </w:p>
    <w:p w14:paraId="024FC0A7">
      <w:pPr>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15. 响应文件的书写要求</w:t>
      </w:r>
    </w:p>
    <w:p w14:paraId="489E7187">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15.1响应文件须用不褪色的墨水书写或打印。</w:t>
      </w:r>
    </w:p>
    <w:p w14:paraId="01761DFE">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15.2响应文件的书写应清楚工整,修改处应由供应商的</w:t>
      </w:r>
      <w:r>
        <w:rPr>
          <w:rFonts w:hint="eastAsia" w:hAnsi="宋体" w:cs="宋体"/>
          <w:color w:val="auto"/>
          <w:sz w:val="24"/>
          <w:szCs w:val="24"/>
          <w:highlight w:val="none"/>
          <w:lang w:eastAsia="zh-CN"/>
        </w:rPr>
        <w:t>法定代表人（单位负责人）</w:t>
      </w:r>
      <w:r>
        <w:rPr>
          <w:rFonts w:hint="eastAsia" w:hAnsi="宋体" w:cs="宋体"/>
          <w:color w:val="auto"/>
          <w:sz w:val="24"/>
          <w:szCs w:val="24"/>
          <w:highlight w:val="none"/>
        </w:rPr>
        <w:t>或其委托代理人签字或盖章。</w:t>
      </w:r>
    </w:p>
    <w:p w14:paraId="2B694A81">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15.3字迹潦草、表达不清、未按要求填写而导致非唯一理解，造成非实质性响应采购文件的响应文件将会被认定为无效的询比。</w:t>
      </w:r>
    </w:p>
    <w:p w14:paraId="015BF74F">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15.4响应文件应由</w:t>
      </w:r>
      <w:r>
        <w:rPr>
          <w:rFonts w:hint="eastAsia" w:hAnsi="宋体" w:cs="宋体"/>
          <w:color w:val="auto"/>
          <w:sz w:val="24"/>
          <w:szCs w:val="24"/>
          <w:highlight w:val="none"/>
          <w:lang w:eastAsia="zh-CN"/>
        </w:rPr>
        <w:t>法定代表人（单位负责人）</w:t>
      </w:r>
      <w:r>
        <w:rPr>
          <w:rFonts w:hint="eastAsia" w:hAnsi="宋体" w:cs="宋体"/>
          <w:color w:val="auto"/>
          <w:sz w:val="24"/>
          <w:szCs w:val="24"/>
          <w:highlight w:val="none"/>
        </w:rPr>
        <w:t>或其委托代理人</w:t>
      </w:r>
      <w:r>
        <w:rPr>
          <w:rFonts w:hint="eastAsia" w:hAnsi="宋体" w:cs="宋体"/>
          <w:bCs/>
          <w:color w:val="auto"/>
          <w:sz w:val="24"/>
          <w:szCs w:val="24"/>
          <w:highlight w:val="none"/>
        </w:rPr>
        <w:t>在凡规定签名处逐一签名；要求盖公章处应盖单位的公章</w:t>
      </w:r>
      <w:r>
        <w:rPr>
          <w:rFonts w:hint="eastAsia" w:hAnsi="宋体" w:cs="宋体"/>
          <w:color w:val="auto"/>
          <w:sz w:val="24"/>
          <w:szCs w:val="24"/>
          <w:highlight w:val="none"/>
        </w:rPr>
        <w:t>。</w:t>
      </w:r>
    </w:p>
    <w:p w14:paraId="402B3268">
      <w:pPr>
        <w:pStyle w:val="17"/>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15.5响应文件应准备正本一份，并按“询比须知前附表”中规定的数量准备文件的副本。响应文件封面上应标明“正本”或“副本”以及项目名称、项目编号、供应商名称等内容。若正本和副本不符，以正本为准，副本可以采用正本的复印件。</w:t>
      </w:r>
    </w:p>
    <w:p w14:paraId="5439916A">
      <w:pPr>
        <w:pStyle w:val="4"/>
        <w:spacing w:before="0" w:after="0" w:line="360" w:lineRule="auto"/>
        <w:rPr>
          <w:rFonts w:hint="eastAsia" w:ascii="宋体" w:hAnsi="宋体" w:cs="宋体"/>
          <w:b w:val="0"/>
          <w:color w:val="auto"/>
          <w:highlight w:val="none"/>
        </w:rPr>
      </w:pPr>
      <w:bookmarkStart w:id="42" w:name="_Toc485710388"/>
      <w:bookmarkStart w:id="43" w:name="_Toc351117882"/>
      <w:bookmarkStart w:id="44" w:name="_Toc350930213"/>
      <w:bookmarkStart w:id="45" w:name="_Toc350330499"/>
      <w:bookmarkStart w:id="46" w:name="_Toc350929998"/>
      <w:bookmarkStart w:id="47" w:name="_Toc10037"/>
      <w:r>
        <w:rPr>
          <w:rFonts w:hint="eastAsia" w:ascii="宋体" w:hAnsi="宋体" w:cs="宋体"/>
          <w:b w:val="0"/>
          <w:color w:val="auto"/>
          <w:highlight w:val="none"/>
        </w:rPr>
        <w:t>四、响应文件的提交</w:t>
      </w:r>
      <w:bookmarkEnd w:id="42"/>
      <w:bookmarkEnd w:id="43"/>
      <w:bookmarkEnd w:id="44"/>
      <w:bookmarkEnd w:id="45"/>
      <w:bookmarkEnd w:id="46"/>
      <w:bookmarkEnd w:id="47"/>
    </w:p>
    <w:p w14:paraId="3F8C8419">
      <w:pPr>
        <w:adjustRightInd w:val="0"/>
        <w:snapToGrid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16. 响应文件的密封与标记</w:t>
      </w:r>
    </w:p>
    <w:p w14:paraId="0CB47ED7">
      <w:pPr>
        <w:pStyle w:val="17"/>
        <w:adjustRightInd w:val="0"/>
        <w:snapToGrid w:val="0"/>
        <w:spacing w:line="360" w:lineRule="auto"/>
        <w:ind w:firstLine="482"/>
        <w:rPr>
          <w:rFonts w:hint="eastAsia" w:hAnsi="宋体" w:cs="宋体"/>
          <w:bCs/>
          <w:color w:val="auto"/>
          <w:sz w:val="24"/>
          <w:szCs w:val="24"/>
          <w:highlight w:val="none"/>
          <w:u w:val="single"/>
        </w:rPr>
      </w:pPr>
      <w:r>
        <w:rPr>
          <w:rFonts w:hint="eastAsia" w:hAnsi="宋体" w:cs="宋体"/>
          <w:color w:val="auto"/>
          <w:sz w:val="24"/>
          <w:szCs w:val="24"/>
          <w:highlight w:val="none"/>
        </w:rPr>
        <w:t>16.1供应商应按“</w:t>
      </w:r>
      <w:r>
        <w:rPr>
          <w:rFonts w:hint="eastAsia" w:hAnsi="宋体" w:cs="宋体"/>
          <w:bCs/>
          <w:color w:val="auto"/>
          <w:sz w:val="24"/>
          <w:szCs w:val="24"/>
          <w:highlight w:val="none"/>
        </w:rPr>
        <w:t>询比须知前附表</w:t>
      </w:r>
      <w:r>
        <w:rPr>
          <w:rFonts w:hint="eastAsia" w:hAnsi="宋体" w:cs="宋体"/>
          <w:color w:val="auto"/>
          <w:sz w:val="24"/>
          <w:szCs w:val="24"/>
          <w:highlight w:val="none"/>
        </w:rPr>
        <w:t>”中规定的正本和副本的数量提交响应文件。</w:t>
      </w:r>
    </w:p>
    <w:p w14:paraId="0372A3B9">
      <w:pPr>
        <w:pStyle w:val="17"/>
        <w:adjustRightInd w:val="0"/>
        <w:snapToGrid w:val="0"/>
        <w:spacing w:line="360" w:lineRule="auto"/>
        <w:ind w:firstLine="482"/>
        <w:rPr>
          <w:rFonts w:hint="eastAsia" w:hAnsi="宋体" w:cs="宋体"/>
          <w:color w:val="auto"/>
          <w:sz w:val="24"/>
          <w:szCs w:val="24"/>
          <w:highlight w:val="none"/>
        </w:rPr>
      </w:pPr>
      <w:r>
        <w:rPr>
          <w:rFonts w:hint="eastAsia" w:hAnsi="宋体" w:cs="宋体"/>
          <w:color w:val="auto"/>
          <w:sz w:val="24"/>
          <w:szCs w:val="24"/>
          <w:highlight w:val="none"/>
        </w:rPr>
        <w:t>16.2供应商应将响应文件正、副本文件装入响应文件袋中加以密封，并在封贴处盖密封章（或公章）。</w:t>
      </w:r>
    </w:p>
    <w:p w14:paraId="5FFFAAB9">
      <w:pPr>
        <w:pStyle w:val="17"/>
        <w:adjustRightInd w:val="0"/>
        <w:snapToGrid w:val="0"/>
        <w:spacing w:line="360" w:lineRule="auto"/>
        <w:ind w:firstLine="482"/>
        <w:rPr>
          <w:rFonts w:hint="eastAsia" w:hAnsi="宋体" w:cs="宋体"/>
          <w:color w:val="auto"/>
          <w:sz w:val="24"/>
          <w:szCs w:val="24"/>
          <w:highlight w:val="none"/>
        </w:rPr>
      </w:pPr>
      <w:r>
        <w:rPr>
          <w:rFonts w:hint="eastAsia" w:hAnsi="宋体" w:cs="宋体"/>
          <w:color w:val="auto"/>
          <w:sz w:val="24"/>
          <w:szCs w:val="24"/>
          <w:highlight w:val="none"/>
        </w:rPr>
        <w:t>16.3响应文件袋的封面应注明项目名称、项目编号、供应商名称、详细通讯地址、邮政编码。</w:t>
      </w:r>
    </w:p>
    <w:p w14:paraId="6E457616">
      <w:pPr>
        <w:pStyle w:val="17"/>
        <w:adjustRightInd w:val="0"/>
        <w:snapToGrid w:val="0"/>
        <w:spacing w:line="360" w:lineRule="auto"/>
        <w:ind w:firstLine="482"/>
        <w:rPr>
          <w:rFonts w:hint="eastAsia" w:hAnsi="宋体" w:cs="宋体"/>
          <w:color w:val="auto"/>
          <w:sz w:val="24"/>
          <w:szCs w:val="24"/>
          <w:highlight w:val="none"/>
        </w:rPr>
      </w:pPr>
      <w:r>
        <w:rPr>
          <w:rFonts w:hint="eastAsia" w:hAnsi="宋体" w:cs="宋体"/>
          <w:color w:val="auto"/>
          <w:sz w:val="24"/>
          <w:szCs w:val="24"/>
          <w:highlight w:val="none"/>
        </w:rPr>
        <w:t>16.4</w:t>
      </w:r>
      <w:r>
        <w:rPr>
          <w:rFonts w:hint="eastAsia" w:hAnsi="宋体" w:cs="宋体"/>
          <w:bCs/>
          <w:color w:val="auto"/>
          <w:sz w:val="24"/>
          <w:szCs w:val="24"/>
          <w:highlight w:val="none"/>
        </w:rPr>
        <w:t>供应商在提交响应文件时，未按本须知要求密封、标记的，采购代理机构不予接收</w:t>
      </w:r>
      <w:r>
        <w:rPr>
          <w:rFonts w:hint="eastAsia" w:hAnsi="宋体" w:cs="宋体"/>
          <w:color w:val="auto"/>
          <w:sz w:val="24"/>
          <w:szCs w:val="24"/>
          <w:highlight w:val="none"/>
        </w:rPr>
        <w:t>。</w:t>
      </w:r>
    </w:p>
    <w:p w14:paraId="79D025FF">
      <w:pPr>
        <w:adjustRightInd w:val="0"/>
        <w:snapToGrid w:val="0"/>
        <w:spacing w:line="360" w:lineRule="auto"/>
        <w:ind w:firstLine="482"/>
        <w:jc w:val="left"/>
        <w:rPr>
          <w:rFonts w:hint="eastAsia" w:ascii="宋体" w:hAnsi="宋体" w:cs="宋体"/>
          <w:color w:val="auto"/>
          <w:sz w:val="24"/>
          <w:highlight w:val="none"/>
        </w:rPr>
      </w:pPr>
      <w:r>
        <w:rPr>
          <w:rFonts w:hint="eastAsia" w:ascii="宋体" w:hAnsi="宋体" w:cs="宋体"/>
          <w:color w:val="auto"/>
          <w:sz w:val="24"/>
          <w:highlight w:val="none"/>
        </w:rPr>
        <w:t>17. 提交响应文件截止时间和地点</w:t>
      </w:r>
    </w:p>
    <w:p w14:paraId="414E9927">
      <w:pPr>
        <w:pStyle w:val="17"/>
        <w:adjustRightInd w:val="0"/>
        <w:snapToGrid w:val="0"/>
        <w:spacing w:line="360" w:lineRule="auto"/>
        <w:ind w:firstLine="482"/>
        <w:rPr>
          <w:rFonts w:hint="eastAsia" w:hAnsi="宋体" w:cs="宋体"/>
          <w:color w:val="auto"/>
          <w:sz w:val="24"/>
          <w:szCs w:val="24"/>
          <w:highlight w:val="none"/>
        </w:rPr>
      </w:pPr>
      <w:r>
        <w:rPr>
          <w:rFonts w:hint="eastAsia" w:hAnsi="宋体" w:cs="宋体"/>
          <w:color w:val="auto"/>
          <w:sz w:val="24"/>
          <w:szCs w:val="24"/>
          <w:highlight w:val="none"/>
        </w:rPr>
        <w:t>17.1响应文件的提交不得迟于“</w:t>
      </w:r>
      <w:r>
        <w:rPr>
          <w:rFonts w:hint="eastAsia" w:hAnsi="宋体" w:cs="宋体"/>
          <w:bCs/>
          <w:color w:val="auto"/>
          <w:sz w:val="24"/>
          <w:szCs w:val="24"/>
          <w:highlight w:val="none"/>
          <w:lang w:val="en-US"/>
        </w:rPr>
        <w:t>询比</w:t>
      </w:r>
      <w:r>
        <w:rPr>
          <w:rFonts w:hint="eastAsia" w:hAnsi="宋体" w:cs="宋体"/>
          <w:bCs/>
          <w:color w:val="auto"/>
          <w:sz w:val="24"/>
          <w:szCs w:val="24"/>
          <w:highlight w:val="none"/>
        </w:rPr>
        <w:t>须知前附表</w:t>
      </w:r>
      <w:r>
        <w:rPr>
          <w:rFonts w:hint="eastAsia" w:hAnsi="宋体" w:cs="宋体"/>
          <w:color w:val="auto"/>
          <w:sz w:val="24"/>
          <w:szCs w:val="24"/>
          <w:highlight w:val="none"/>
        </w:rPr>
        <w:t>”规定的提交响应文件截止时间。</w:t>
      </w:r>
    </w:p>
    <w:p w14:paraId="7F564E32">
      <w:pPr>
        <w:pStyle w:val="17"/>
        <w:adjustRightInd w:val="0"/>
        <w:snapToGrid w:val="0"/>
        <w:spacing w:line="360" w:lineRule="auto"/>
        <w:ind w:firstLine="482"/>
        <w:rPr>
          <w:rFonts w:hint="eastAsia" w:hAnsi="宋体" w:cs="宋体"/>
          <w:color w:val="auto"/>
          <w:sz w:val="24"/>
          <w:szCs w:val="24"/>
          <w:highlight w:val="none"/>
        </w:rPr>
      </w:pPr>
      <w:r>
        <w:rPr>
          <w:rFonts w:hint="eastAsia" w:hAnsi="宋体" w:cs="宋体"/>
          <w:color w:val="auto"/>
          <w:sz w:val="24"/>
          <w:szCs w:val="24"/>
          <w:highlight w:val="none"/>
        </w:rPr>
        <w:t>17.2供应商必须在规定时间内将响应文件提交到“</w:t>
      </w:r>
      <w:r>
        <w:rPr>
          <w:rFonts w:hint="eastAsia" w:hAnsi="宋体" w:cs="宋体"/>
          <w:bCs/>
          <w:color w:val="auto"/>
          <w:sz w:val="24"/>
          <w:szCs w:val="24"/>
          <w:highlight w:val="none"/>
          <w:lang w:val="en-US"/>
        </w:rPr>
        <w:t>询比</w:t>
      </w:r>
      <w:r>
        <w:rPr>
          <w:rFonts w:hint="eastAsia" w:hAnsi="宋体" w:cs="宋体"/>
          <w:bCs/>
          <w:color w:val="auto"/>
          <w:sz w:val="24"/>
          <w:szCs w:val="24"/>
          <w:highlight w:val="none"/>
        </w:rPr>
        <w:t>须知前附表</w:t>
      </w:r>
      <w:r>
        <w:rPr>
          <w:rFonts w:hint="eastAsia" w:hAnsi="宋体" w:cs="宋体"/>
          <w:color w:val="auto"/>
          <w:sz w:val="24"/>
          <w:szCs w:val="24"/>
          <w:highlight w:val="none"/>
        </w:rPr>
        <w:t>”规定的地点。</w:t>
      </w:r>
    </w:p>
    <w:p w14:paraId="2D02DCFC">
      <w:pPr>
        <w:pStyle w:val="4"/>
        <w:spacing w:before="0" w:after="0" w:line="360" w:lineRule="auto"/>
        <w:rPr>
          <w:rFonts w:hint="eastAsia" w:ascii="宋体" w:hAnsi="宋体" w:cs="宋体"/>
          <w:b w:val="0"/>
          <w:color w:val="auto"/>
          <w:highlight w:val="none"/>
        </w:rPr>
      </w:pPr>
      <w:bookmarkStart w:id="48" w:name="_Toc350929999"/>
      <w:bookmarkStart w:id="49" w:name="_Toc351117883"/>
      <w:bookmarkStart w:id="50" w:name="_Toc350330500"/>
      <w:bookmarkStart w:id="51" w:name="_Toc350930214"/>
      <w:bookmarkStart w:id="52" w:name="_Toc485710389"/>
      <w:bookmarkStart w:id="53" w:name="_Toc28180"/>
      <w:r>
        <w:rPr>
          <w:rFonts w:hint="eastAsia" w:ascii="宋体" w:hAnsi="宋体" w:cs="宋体"/>
          <w:b w:val="0"/>
          <w:color w:val="auto"/>
          <w:highlight w:val="none"/>
        </w:rPr>
        <w:t>五、响应文件开启与</w:t>
      </w:r>
      <w:bookmarkEnd w:id="48"/>
      <w:bookmarkEnd w:id="49"/>
      <w:bookmarkEnd w:id="50"/>
      <w:bookmarkEnd w:id="51"/>
      <w:r>
        <w:rPr>
          <w:rFonts w:hint="eastAsia" w:ascii="宋体" w:hAnsi="宋体" w:cs="宋体"/>
          <w:b w:val="0"/>
          <w:color w:val="auto"/>
          <w:highlight w:val="none"/>
        </w:rPr>
        <w:t>评审</w:t>
      </w:r>
      <w:bookmarkEnd w:id="52"/>
      <w:bookmarkEnd w:id="53"/>
    </w:p>
    <w:p w14:paraId="61E47D19">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 xml:space="preserve">18. </w:t>
      </w:r>
      <w:r>
        <w:rPr>
          <w:rFonts w:hint="eastAsia" w:hAnsi="宋体" w:cs="宋体"/>
          <w:color w:val="auto"/>
          <w:sz w:val="24"/>
          <w:highlight w:val="none"/>
          <w:lang w:val="en-US"/>
        </w:rPr>
        <w:t>响应文件开启</w:t>
      </w:r>
    </w:p>
    <w:p w14:paraId="15A001D9">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18.1采购代理机构将在“</w:t>
      </w:r>
      <w:r>
        <w:rPr>
          <w:rFonts w:hint="eastAsia" w:hAnsi="宋体" w:cs="宋体"/>
          <w:color w:val="auto"/>
          <w:sz w:val="24"/>
          <w:highlight w:val="none"/>
          <w:lang w:val="en-US"/>
        </w:rPr>
        <w:t>询比</w:t>
      </w:r>
      <w:r>
        <w:rPr>
          <w:rFonts w:hint="eastAsia" w:hAnsi="宋体" w:cs="宋体"/>
          <w:color w:val="auto"/>
          <w:sz w:val="24"/>
          <w:highlight w:val="none"/>
        </w:rPr>
        <w:t>须知前附表”规定的时间和地点进行</w:t>
      </w:r>
      <w:r>
        <w:rPr>
          <w:rFonts w:hint="eastAsia" w:hAnsi="宋体" w:cs="宋体"/>
          <w:color w:val="auto"/>
          <w:sz w:val="24"/>
          <w:highlight w:val="none"/>
          <w:lang w:val="en-US"/>
        </w:rPr>
        <w:t>响应文件开启</w:t>
      </w:r>
      <w:r>
        <w:rPr>
          <w:rFonts w:hint="eastAsia" w:hAnsi="宋体" w:cs="宋体"/>
          <w:color w:val="auto"/>
          <w:sz w:val="24"/>
          <w:highlight w:val="none"/>
        </w:rPr>
        <w:t>，供应商的</w:t>
      </w:r>
      <w:r>
        <w:rPr>
          <w:rFonts w:hint="eastAsia" w:hAnsi="宋体" w:cs="宋体"/>
          <w:color w:val="auto"/>
          <w:sz w:val="24"/>
          <w:highlight w:val="none"/>
          <w:lang w:eastAsia="zh-CN"/>
        </w:rPr>
        <w:t>法定代表人（单位负责人）</w:t>
      </w:r>
      <w:r>
        <w:rPr>
          <w:rFonts w:hint="eastAsia" w:hAnsi="宋体" w:cs="宋体"/>
          <w:color w:val="auto"/>
          <w:sz w:val="24"/>
          <w:highlight w:val="none"/>
        </w:rPr>
        <w:t>或其委托代理人应参加开标会。</w:t>
      </w:r>
    </w:p>
    <w:p w14:paraId="3673AC89">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18.2开启程序：</w:t>
      </w:r>
    </w:p>
    <w:p w14:paraId="0EAEE149">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(1)会议由采购代理机构主持，主持人宣布会议开始；</w:t>
      </w:r>
    </w:p>
    <w:p w14:paraId="66055501">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(2)介绍参加会议的相关部门；</w:t>
      </w:r>
    </w:p>
    <w:p w14:paraId="759AFCFF">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(3)供应商代表检验响应文件的密封性，采购代理机构开启符合要求的响应文件；</w:t>
      </w:r>
    </w:p>
    <w:p w14:paraId="55E8C995">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(4)会议结束。</w:t>
      </w:r>
    </w:p>
    <w:p w14:paraId="5E8A3836">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19. 评审</w:t>
      </w:r>
    </w:p>
    <w:p w14:paraId="779B5CB6">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19.1评审由采购代理机构依法组建的询比小组成员负责。询比小组由3人以上（含3人）组成，由熟悉相关业务的</w:t>
      </w:r>
      <w:r>
        <w:rPr>
          <w:rFonts w:hint="eastAsia" w:hAnsi="宋体" w:cs="宋体"/>
          <w:color w:val="auto"/>
          <w:sz w:val="24"/>
          <w:highlight w:val="none"/>
          <w:lang w:val="en-US"/>
        </w:rPr>
        <w:t>采购人</w:t>
      </w:r>
      <w:r>
        <w:rPr>
          <w:rFonts w:hint="eastAsia" w:hAnsi="宋体" w:cs="宋体"/>
          <w:color w:val="auto"/>
          <w:sz w:val="24"/>
          <w:highlight w:val="none"/>
        </w:rPr>
        <w:t>代表以及</w:t>
      </w:r>
      <w:r>
        <w:rPr>
          <w:rFonts w:hint="eastAsia" w:hAnsi="宋体" w:cs="宋体"/>
          <w:color w:val="auto"/>
          <w:sz w:val="24"/>
          <w:highlight w:val="none"/>
          <w:lang w:val="en-US"/>
        </w:rPr>
        <w:t>评审</w:t>
      </w:r>
      <w:r>
        <w:rPr>
          <w:rFonts w:hint="eastAsia" w:hAnsi="宋体" w:cs="宋体"/>
          <w:color w:val="auto"/>
          <w:sz w:val="24"/>
          <w:highlight w:val="none"/>
        </w:rPr>
        <w:t>专家组成。其中，</w:t>
      </w:r>
      <w:r>
        <w:rPr>
          <w:rFonts w:hint="eastAsia" w:hAnsi="宋体" w:cs="宋体"/>
          <w:color w:val="auto"/>
          <w:sz w:val="24"/>
          <w:highlight w:val="none"/>
          <w:lang w:val="en-US"/>
        </w:rPr>
        <w:t>评审</w:t>
      </w:r>
      <w:r>
        <w:rPr>
          <w:rFonts w:hint="eastAsia" w:hAnsi="宋体" w:cs="宋体"/>
          <w:color w:val="auto"/>
          <w:sz w:val="24"/>
          <w:highlight w:val="none"/>
        </w:rPr>
        <w:t>专家不得少于成员总数的三分之二。</w:t>
      </w:r>
    </w:p>
    <w:p w14:paraId="1E409DF1">
      <w:pPr>
        <w:pStyle w:val="17"/>
        <w:adjustRightInd w:val="0"/>
        <w:snapToGrid w:val="0"/>
        <w:spacing w:line="360" w:lineRule="auto"/>
        <w:ind w:firstLine="540" w:firstLineChars="225"/>
        <w:rPr>
          <w:rFonts w:hint="eastAsia" w:hAnsi="宋体" w:cs="宋体"/>
          <w:bCs/>
          <w:color w:val="auto"/>
          <w:sz w:val="24"/>
          <w:highlight w:val="none"/>
        </w:rPr>
      </w:pPr>
      <w:bookmarkStart w:id="54" w:name="_Toc191374422"/>
      <w:r>
        <w:rPr>
          <w:rFonts w:hint="eastAsia" w:hAnsi="宋体" w:cs="宋体"/>
          <w:bCs/>
          <w:color w:val="auto"/>
          <w:sz w:val="24"/>
          <w:highlight w:val="none"/>
        </w:rPr>
        <w:t>19.2评审原则</w:t>
      </w:r>
      <w:bookmarkEnd w:id="54"/>
    </w:p>
    <w:p w14:paraId="2FF7E8B7">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评审活动遵循公平、公正、科学和择优的原则。</w:t>
      </w:r>
    </w:p>
    <w:p w14:paraId="54A776DE">
      <w:pPr>
        <w:pStyle w:val="17"/>
        <w:adjustRightInd w:val="0"/>
        <w:snapToGrid w:val="0"/>
        <w:spacing w:line="360" w:lineRule="auto"/>
        <w:ind w:firstLine="540" w:firstLineChars="225"/>
        <w:rPr>
          <w:rFonts w:hint="eastAsia" w:hAnsi="宋体" w:cs="宋体"/>
          <w:bCs/>
          <w:color w:val="auto"/>
          <w:sz w:val="24"/>
          <w:highlight w:val="none"/>
        </w:rPr>
      </w:pPr>
      <w:r>
        <w:rPr>
          <w:rFonts w:hint="eastAsia" w:hAnsi="宋体" w:cs="宋体"/>
          <w:color w:val="auto"/>
          <w:sz w:val="24"/>
          <w:highlight w:val="none"/>
        </w:rPr>
        <w:t>19.3</w:t>
      </w:r>
      <w:r>
        <w:rPr>
          <w:rFonts w:hint="eastAsia" w:hAnsi="宋体" w:cs="宋体"/>
          <w:bCs/>
          <w:color w:val="auto"/>
          <w:sz w:val="24"/>
          <w:highlight w:val="none"/>
        </w:rPr>
        <w:t>评审工作程序</w:t>
      </w:r>
    </w:p>
    <w:p w14:paraId="3787F9F1">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询比小组按照第三章“评审办法”规定的方法、评审因素、标准和程序对响应文件进行评审。</w:t>
      </w:r>
    </w:p>
    <w:p w14:paraId="768C5D7A">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20. 响应文件如果出现计算或表达上的错误，修正错误的原则如下：</w:t>
      </w:r>
    </w:p>
    <w:p w14:paraId="01EB03BD">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20.1响应文件的大写金额和小写金额不一致的，以大写金额为准；</w:t>
      </w:r>
    </w:p>
    <w:p w14:paraId="2FFB2B39">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20.2总价金额与按单价汇总金额不一致的，以单价金额计算结果为准；</w:t>
      </w:r>
    </w:p>
    <w:p w14:paraId="51B60113">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20.3单价金额小数点有明显错位的，应以总价为准，并修改单价；</w:t>
      </w:r>
    </w:p>
    <w:p w14:paraId="4E541ECD">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20.4对不同文字文本响应文件的解释发生异议的，以中文文本为准。</w:t>
      </w:r>
    </w:p>
    <w:p w14:paraId="0C2E83B4">
      <w:pPr>
        <w:pStyle w:val="17"/>
        <w:adjustRightInd w:val="0"/>
        <w:snapToGrid w:val="0"/>
        <w:spacing w:line="360" w:lineRule="auto"/>
        <w:ind w:firstLine="540" w:firstLineChars="225"/>
        <w:rPr>
          <w:rFonts w:hint="eastAsia" w:hAnsi="宋体" w:cs="宋体"/>
          <w:color w:val="auto"/>
          <w:sz w:val="24"/>
          <w:szCs w:val="24"/>
          <w:highlight w:val="none"/>
        </w:rPr>
      </w:pPr>
      <w:r>
        <w:rPr>
          <w:rFonts w:hint="eastAsia" w:hAnsi="宋体" w:cs="宋体"/>
          <w:color w:val="auto"/>
          <w:sz w:val="24"/>
          <w:szCs w:val="24"/>
          <w:highlight w:val="none"/>
        </w:rPr>
        <w:t>20.5按上述修正错误的原则及方法调整或修正响应文件的报价，供应商同意后，调整后的报价对供应商起约束作用。</w:t>
      </w:r>
    </w:p>
    <w:p w14:paraId="6F7F5313">
      <w:pPr>
        <w:pStyle w:val="17"/>
        <w:adjustRightInd w:val="0"/>
        <w:snapToGrid w:val="0"/>
        <w:spacing w:line="360" w:lineRule="auto"/>
        <w:ind w:firstLine="540" w:firstLineChars="225"/>
        <w:rPr>
          <w:rFonts w:hint="eastAsia" w:hAnsi="宋体" w:cs="宋体"/>
          <w:color w:val="auto"/>
          <w:sz w:val="24"/>
          <w:highlight w:val="none"/>
        </w:rPr>
      </w:pPr>
      <w:r>
        <w:rPr>
          <w:rFonts w:hint="eastAsia" w:hAnsi="宋体" w:cs="宋体"/>
          <w:color w:val="auto"/>
          <w:sz w:val="24"/>
          <w:highlight w:val="none"/>
        </w:rPr>
        <w:t xml:space="preserve">21. </w:t>
      </w:r>
      <w:bookmarkStart w:id="55" w:name="_Toc238006460"/>
      <w:r>
        <w:rPr>
          <w:rFonts w:hint="eastAsia" w:hAnsi="宋体" w:cs="宋体"/>
          <w:color w:val="auto"/>
          <w:sz w:val="24"/>
          <w:highlight w:val="none"/>
        </w:rPr>
        <w:t>出现下列情形之一的，应予废标：</w:t>
      </w:r>
      <w:bookmarkEnd w:id="55"/>
    </w:p>
    <w:p w14:paraId="02A2F312">
      <w:pPr>
        <w:pStyle w:val="17"/>
        <w:adjustRightInd w:val="0"/>
        <w:snapToGrid w:val="0"/>
        <w:spacing w:line="360" w:lineRule="auto"/>
        <w:ind w:firstLine="540" w:firstLineChars="225"/>
        <w:rPr>
          <w:rFonts w:hint="eastAsia" w:hAnsi="宋体" w:cs="宋体"/>
          <w:color w:val="auto"/>
          <w:sz w:val="24"/>
          <w:szCs w:val="24"/>
          <w:highlight w:val="none"/>
        </w:rPr>
      </w:pPr>
      <w:r>
        <w:rPr>
          <w:rFonts w:hint="eastAsia" w:hAnsi="宋体" w:cs="宋体"/>
          <w:color w:val="auto"/>
          <w:sz w:val="24"/>
          <w:szCs w:val="24"/>
          <w:highlight w:val="none"/>
        </w:rPr>
        <w:t>21.1出现影响采购公正的违法、违规行为的；</w:t>
      </w:r>
    </w:p>
    <w:p w14:paraId="4053B40F">
      <w:pPr>
        <w:pStyle w:val="17"/>
        <w:adjustRightInd w:val="0"/>
        <w:snapToGrid w:val="0"/>
        <w:spacing w:line="360" w:lineRule="auto"/>
        <w:ind w:firstLine="540" w:firstLineChars="225"/>
        <w:rPr>
          <w:rFonts w:hint="eastAsia" w:hAnsi="宋体" w:cs="宋体"/>
          <w:color w:val="auto"/>
          <w:sz w:val="24"/>
          <w:szCs w:val="24"/>
          <w:highlight w:val="none"/>
        </w:rPr>
      </w:pPr>
      <w:r>
        <w:rPr>
          <w:rFonts w:hint="eastAsia" w:hAnsi="宋体" w:cs="宋体"/>
          <w:color w:val="auto"/>
          <w:sz w:val="24"/>
          <w:szCs w:val="24"/>
          <w:highlight w:val="none"/>
        </w:rPr>
        <w:t>21.2供应商的报价均超过了采购</w:t>
      </w:r>
      <w:r>
        <w:rPr>
          <w:rFonts w:hint="eastAsia" w:hAnsi="宋体" w:cs="宋体"/>
          <w:color w:val="auto"/>
          <w:sz w:val="24"/>
          <w:szCs w:val="24"/>
          <w:highlight w:val="none"/>
          <w:lang w:val="en-US"/>
        </w:rPr>
        <w:t>最高限</w:t>
      </w:r>
      <w:r>
        <w:rPr>
          <w:rFonts w:hint="eastAsia" w:hAnsi="宋体" w:cs="宋体"/>
          <w:color w:val="auto"/>
          <w:sz w:val="24"/>
          <w:szCs w:val="24"/>
          <w:highlight w:val="none"/>
        </w:rPr>
        <w:t>价，采购人不能支付的；</w:t>
      </w:r>
    </w:p>
    <w:p w14:paraId="662F77F8">
      <w:pPr>
        <w:pStyle w:val="17"/>
        <w:adjustRightInd w:val="0"/>
        <w:snapToGrid w:val="0"/>
        <w:spacing w:line="360" w:lineRule="auto"/>
        <w:ind w:firstLine="540" w:firstLineChars="225"/>
        <w:rPr>
          <w:rFonts w:hint="eastAsia" w:hAnsi="宋体" w:cs="宋体"/>
          <w:color w:val="auto"/>
          <w:sz w:val="24"/>
          <w:szCs w:val="24"/>
          <w:highlight w:val="none"/>
        </w:rPr>
      </w:pPr>
      <w:r>
        <w:rPr>
          <w:rFonts w:hint="eastAsia" w:hAnsi="宋体" w:cs="宋体"/>
          <w:color w:val="auto"/>
          <w:sz w:val="24"/>
          <w:szCs w:val="24"/>
          <w:highlight w:val="none"/>
        </w:rPr>
        <w:t>21.3供应商资格条件不符合国家有关规定和采购文件要求的；</w:t>
      </w:r>
    </w:p>
    <w:p w14:paraId="461A51BD">
      <w:pPr>
        <w:pStyle w:val="17"/>
        <w:adjustRightInd w:val="0"/>
        <w:snapToGrid w:val="0"/>
        <w:spacing w:line="360" w:lineRule="auto"/>
        <w:ind w:firstLine="540" w:firstLineChars="225"/>
        <w:rPr>
          <w:rFonts w:hint="eastAsia" w:hAnsi="宋体" w:cs="宋体"/>
          <w:color w:val="auto"/>
          <w:sz w:val="24"/>
          <w:szCs w:val="24"/>
          <w:highlight w:val="none"/>
        </w:rPr>
      </w:pPr>
      <w:r>
        <w:rPr>
          <w:rFonts w:hint="eastAsia" w:hAnsi="宋体" w:cs="宋体"/>
          <w:color w:val="auto"/>
          <w:sz w:val="24"/>
          <w:szCs w:val="24"/>
          <w:highlight w:val="none"/>
        </w:rPr>
        <w:t>21.4不满足采购文件中其它实质性要求的。</w:t>
      </w:r>
    </w:p>
    <w:p w14:paraId="7ABEA808">
      <w:pPr>
        <w:pStyle w:val="4"/>
        <w:spacing w:before="0" w:after="0" w:line="360" w:lineRule="auto"/>
        <w:rPr>
          <w:rFonts w:hint="eastAsia" w:ascii="宋体" w:hAnsi="宋体" w:cs="宋体"/>
          <w:b w:val="0"/>
          <w:color w:val="auto"/>
          <w:highlight w:val="none"/>
        </w:rPr>
      </w:pPr>
      <w:bookmarkStart w:id="56" w:name="_Toc485710390"/>
      <w:bookmarkStart w:id="57" w:name="_Toc350930215"/>
      <w:bookmarkStart w:id="58" w:name="_Toc350930000"/>
      <w:bookmarkStart w:id="59" w:name="_Toc351117884"/>
      <w:bookmarkStart w:id="60" w:name="_Toc24368"/>
      <w:bookmarkStart w:id="61" w:name="_Toc350330501"/>
      <w:r>
        <w:rPr>
          <w:rFonts w:hint="eastAsia" w:ascii="宋体" w:hAnsi="宋体" w:cs="宋体"/>
          <w:b w:val="0"/>
          <w:color w:val="auto"/>
          <w:highlight w:val="none"/>
        </w:rPr>
        <w:t>六、成交结果</w:t>
      </w:r>
      <w:bookmarkEnd w:id="56"/>
      <w:bookmarkEnd w:id="57"/>
      <w:bookmarkEnd w:id="58"/>
      <w:bookmarkEnd w:id="59"/>
      <w:bookmarkEnd w:id="60"/>
      <w:bookmarkEnd w:id="61"/>
    </w:p>
    <w:p w14:paraId="7F413C14">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成交供应商的确定</w:t>
      </w:r>
    </w:p>
    <w:p w14:paraId="04AAD12B">
      <w:pPr>
        <w:tabs>
          <w:tab w:val="left" w:pos="16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22.1询比小组应推荐的成交候选人为三人，并标明排列顺序。若遇最后得分相同的，按报价由低到高排列。</w:t>
      </w:r>
    </w:p>
    <w:p w14:paraId="28270283">
      <w:pPr>
        <w:widowControl/>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22.2采购人从询比小组推荐的成交候选人中确定成交人，采购人原则确定排名第一的成交候选人为成交人。</w:t>
      </w:r>
    </w:p>
    <w:p w14:paraId="7B9835A6">
      <w:pPr>
        <w:widowControl/>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23.授标时更改采购内容的权力，采购人在授予合同时有权对“采购需求”中规定的服务内容予以增加或减少，但不得对单价或其它实质性条款或条件做任何改变。</w:t>
      </w:r>
    </w:p>
    <w:p w14:paraId="194F2E3F">
      <w:pPr>
        <w:widowControl/>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24. 成交通知书</w:t>
      </w:r>
    </w:p>
    <w:p w14:paraId="0DADF3FE">
      <w:pPr>
        <w:widowControl/>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24.1成交结果由采购代理机构向成交供应商发出成交通知书。</w:t>
      </w:r>
    </w:p>
    <w:p w14:paraId="6576073A">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24.2成交通知书是合同的一个组成部分。</w:t>
      </w:r>
    </w:p>
    <w:p w14:paraId="7C001F7F">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24.3采购代理机构无义务向未成交供应商解释落标原因和退回响应文件。</w:t>
      </w:r>
    </w:p>
    <w:p w14:paraId="2BC54CC4">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25. 签订合同</w:t>
      </w:r>
    </w:p>
    <w:p w14:paraId="4B1EB7F8">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成交供应商收到成交通知书后，按采购文件、响应文件及有关澄清承诺书的要求与采购人签订合同。</w:t>
      </w:r>
    </w:p>
    <w:p w14:paraId="74848AD8">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26. 履约保证金</w:t>
      </w:r>
    </w:p>
    <w:p w14:paraId="1BCF73F0">
      <w:pPr>
        <w:snapToGrid w:val="0"/>
        <w:spacing w:line="360" w:lineRule="auto"/>
        <w:ind w:firstLine="480" w:firstLineChars="200"/>
        <w:contextualSpacing/>
        <w:rPr>
          <w:rFonts w:hint="eastAsia" w:ascii="宋体" w:hAnsi="宋体" w:cs="宋体"/>
          <w:color w:val="auto"/>
          <w:sz w:val="24"/>
          <w:szCs w:val="24"/>
          <w:highlight w:val="none"/>
        </w:rPr>
      </w:pPr>
      <w:bookmarkStart w:id="62" w:name="_Toc485710391"/>
      <w:r>
        <w:rPr>
          <w:rFonts w:hint="eastAsia" w:ascii="宋体" w:hAnsi="宋体" w:cs="宋体"/>
          <w:color w:val="auto"/>
          <w:sz w:val="24"/>
          <w:szCs w:val="24"/>
          <w:highlight w:val="none"/>
        </w:rPr>
        <w:t>26.1</w:t>
      </w:r>
      <w:r>
        <w:rPr>
          <w:rFonts w:hint="eastAsia" w:ascii="宋体" w:hAnsi="宋体" w:cs="宋体"/>
          <w:b/>
          <w:bCs/>
          <w:color w:val="auto"/>
          <w:sz w:val="24"/>
          <w:szCs w:val="24"/>
          <w:highlight w:val="none"/>
        </w:rPr>
        <w:t>本项目不收取履约保证金</w:t>
      </w:r>
      <w:r>
        <w:rPr>
          <w:rFonts w:hint="eastAsia" w:ascii="宋体" w:hAnsi="宋体" w:cs="宋体"/>
          <w:color w:val="auto"/>
          <w:sz w:val="24"/>
          <w:szCs w:val="24"/>
          <w:highlight w:val="none"/>
        </w:rPr>
        <w:t>。</w:t>
      </w:r>
    </w:p>
    <w:p w14:paraId="009F6E39">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七、其他事项</w:t>
      </w:r>
      <w:bookmarkEnd w:id="62"/>
    </w:p>
    <w:p w14:paraId="7F541E60">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27.采购人和采购代理机构提供的有关现场的数据和资料是采购人和采购代理机构现有的能被供应商利用的资料，采购人和采购代理机构对供应商做出的任何推论、理解和结论均不负责任。</w:t>
      </w:r>
    </w:p>
    <w:p w14:paraId="591E4661">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28. 解释权</w:t>
      </w:r>
    </w:p>
    <w:p w14:paraId="797EE634">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本采购文件是根据《中华人民共和国政府采购法》、《中华人民共和国政府采购法实施条例》、《玉溪市财政局关于玉溪市本级政府采购标准以下服务市场运行的通知》（玉财采〔2022〕7号）等相关法律法规及规范性文件编制，解释权属采购代理机构。</w:t>
      </w:r>
    </w:p>
    <w:p w14:paraId="14525978">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29. 需要补充的其他内容</w:t>
      </w:r>
    </w:p>
    <w:p w14:paraId="363F1EBF">
      <w:pPr>
        <w:widowControl/>
        <w:adjustRightInd w:val="0"/>
        <w:snapToGrid w:val="0"/>
        <w:spacing w:line="360" w:lineRule="auto"/>
        <w:ind w:left="1" w:firstLine="484" w:firstLineChars="202"/>
        <w:rPr>
          <w:rFonts w:hint="eastAsia" w:ascii="宋体" w:hAnsi="宋体" w:cs="宋体"/>
          <w:color w:val="auto"/>
          <w:sz w:val="24"/>
          <w:highlight w:val="none"/>
        </w:rPr>
      </w:pPr>
      <w:r>
        <w:rPr>
          <w:rFonts w:hint="eastAsia" w:ascii="宋体" w:hAnsi="宋体" w:cs="宋体"/>
          <w:color w:val="auto"/>
          <w:sz w:val="24"/>
          <w:highlight w:val="none"/>
        </w:rPr>
        <w:t>29.1根据《玉溪市人民政府办公室关于在全市预算单位推广使用政府采购限额标准以下服务·工程市场的通知》，满足采购文件要求的报价供应商应不少于 3 家，供应商一次报出不得更改的价格（如遇特殊项目供应商数量不足 3 家，可启动 2 家供应商参与，结果有效）。</w:t>
      </w:r>
    </w:p>
    <w:p w14:paraId="2E8B4A2C">
      <w:pPr>
        <w:rPr>
          <w:rFonts w:hint="eastAsia" w:ascii="宋体" w:hAnsi="宋体" w:cs="宋体"/>
          <w:color w:val="auto"/>
          <w:highlight w:val="none"/>
        </w:rPr>
      </w:pPr>
      <w:r>
        <w:rPr>
          <w:rFonts w:hint="eastAsia" w:ascii="宋体" w:hAnsi="宋体" w:cs="宋体"/>
          <w:color w:val="auto"/>
          <w:highlight w:val="none"/>
        </w:rPr>
        <w:br w:type="page"/>
      </w:r>
    </w:p>
    <w:p w14:paraId="30A94A15">
      <w:pPr>
        <w:pStyle w:val="3"/>
        <w:adjustRightInd w:val="0"/>
        <w:snapToGrid w:val="0"/>
        <w:spacing w:before="0" w:after="0" w:line="415" w:lineRule="auto"/>
        <w:jc w:val="center"/>
        <w:rPr>
          <w:rFonts w:hint="eastAsia" w:ascii="宋体" w:hAnsi="宋体" w:eastAsia="宋体" w:cs="宋体"/>
          <w:b w:val="0"/>
          <w:color w:val="auto"/>
          <w:highlight w:val="none"/>
        </w:rPr>
      </w:pPr>
      <w:bookmarkStart w:id="63" w:name="_Toc20199"/>
      <w:r>
        <w:rPr>
          <w:rFonts w:hint="eastAsia" w:ascii="宋体" w:hAnsi="宋体" w:eastAsia="宋体" w:cs="宋体"/>
          <w:b w:val="0"/>
          <w:color w:val="auto"/>
          <w:highlight w:val="none"/>
        </w:rPr>
        <w:t>第三章  评审办法</w:t>
      </w:r>
      <w:bookmarkEnd w:id="63"/>
    </w:p>
    <w:p w14:paraId="698BE822">
      <w:pPr>
        <w:snapToGrid w:val="0"/>
        <w:spacing w:line="360" w:lineRule="auto"/>
        <w:ind w:firstLine="480" w:firstLineChars="200"/>
        <w:contextualSpacing/>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 评审方法</w:t>
      </w:r>
    </w:p>
    <w:p w14:paraId="37555EC2">
      <w:pPr>
        <w:pStyle w:val="19"/>
        <w:snapToGrid w:val="0"/>
        <w:spacing w:after="0" w:line="360" w:lineRule="auto"/>
        <w:ind w:left="0" w:leftChars="0" w:firstLine="480" w:firstLineChars="200"/>
        <w:contextualSpacing/>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本次评审采用综合评分法。询比小组将按综合评分表中规定的各项分值进行打分并计算出各供应商的综合得分，按得分由高到低推荐成交候选供应商排序的评审方法。</w:t>
      </w:r>
    </w:p>
    <w:p w14:paraId="6120FC5C">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 评审标准</w:t>
      </w:r>
    </w:p>
    <w:p w14:paraId="497E44FD">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color w:val="auto"/>
          <w:sz w:val="24"/>
          <w:szCs w:val="24"/>
          <w:highlight w:val="none"/>
        </w:rPr>
        <w:t>2.1资格</w:t>
      </w:r>
      <w:r>
        <w:rPr>
          <w:rFonts w:hint="eastAsia" w:ascii="宋体" w:hAnsi="宋体" w:cs="宋体"/>
          <w:bCs/>
          <w:color w:val="auto"/>
          <w:sz w:val="24"/>
          <w:szCs w:val="24"/>
          <w:highlight w:val="none"/>
        </w:rPr>
        <w:t>评审标准：详见附件一《资格性评审表》；</w:t>
      </w:r>
    </w:p>
    <w:p w14:paraId="0C298983">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2.2 有效性、完整性和响应程度审查标准 ：详见附件二《有效性、完整性和响应程度审查表》；</w:t>
      </w:r>
    </w:p>
    <w:p w14:paraId="308D13C6">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2.2 详细评审标准：详见附件三《综合评分表》。</w:t>
      </w:r>
    </w:p>
    <w:p w14:paraId="2F3C5AB6">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3.评审程序</w:t>
      </w:r>
    </w:p>
    <w:p w14:paraId="3970D268">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color w:val="auto"/>
          <w:sz w:val="24"/>
          <w:szCs w:val="24"/>
          <w:highlight w:val="none"/>
        </w:rPr>
        <w:t>3.1</w:t>
      </w:r>
      <w:r>
        <w:rPr>
          <w:rFonts w:hint="eastAsia" w:ascii="宋体" w:hAnsi="宋体" w:cs="宋体"/>
          <w:bCs/>
          <w:color w:val="auto"/>
          <w:sz w:val="24"/>
          <w:szCs w:val="24"/>
          <w:highlight w:val="none"/>
        </w:rPr>
        <w:t>资格性评审</w:t>
      </w:r>
    </w:p>
    <w:p w14:paraId="3844B4E7">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bCs/>
          <w:color w:val="auto"/>
          <w:sz w:val="24"/>
          <w:szCs w:val="24"/>
          <w:highlight w:val="none"/>
        </w:rPr>
        <w:t>只有通过资格性评审，才能进入</w:t>
      </w:r>
      <w:r>
        <w:rPr>
          <w:rFonts w:hint="eastAsia" w:ascii="宋体" w:hAnsi="宋体" w:cs="宋体"/>
          <w:color w:val="auto"/>
          <w:sz w:val="24"/>
          <w:szCs w:val="24"/>
          <w:highlight w:val="none"/>
        </w:rPr>
        <w:t>下一步评审；</w:t>
      </w:r>
    </w:p>
    <w:p w14:paraId="3EDCC295">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3.2有效性、完整性和响应程度审查</w:t>
      </w:r>
    </w:p>
    <w:p w14:paraId="36219E9A">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bCs/>
          <w:color w:val="auto"/>
          <w:sz w:val="24"/>
          <w:szCs w:val="24"/>
          <w:highlight w:val="none"/>
        </w:rPr>
        <w:t>只有通过</w:t>
      </w:r>
      <w:r>
        <w:rPr>
          <w:rFonts w:hint="eastAsia" w:ascii="宋体" w:hAnsi="宋体" w:cs="宋体"/>
          <w:color w:val="auto"/>
          <w:sz w:val="24"/>
          <w:szCs w:val="24"/>
          <w:highlight w:val="none"/>
        </w:rPr>
        <w:t>有效性、完整性和响应程度审查</w:t>
      </w:r>
      <w:r>
        <w:rPr>
          <w:rFonts w:hint="eastAsia" w:ascii="宋体" w:hAnsi="宋体" w:cs="宋体"/>
          <w:bCs/>
          <w:color w:val="auto"/>
          <w:sz w:val="24"/>
          <w:szCs w:val="24"/>
          <w:highlight w:val="none"/>
        </w:rPr>
        <w:t>，才能进入</w:t>
      </w:r>
      <w:r>
        <w:rPr>
          <w:rFonts w:hint="eastAsia" w:ascii="宋体" w:hAnsi="宋体" w:cs="宋体"/>
          <w:color w:val="auto"/>
          <w:sz w:val="24"/>
          <w:szCs w:val="24"/>
          <w:highlight w:val="none"/>
        </w:rPr>
        <w:t>下一步评审；</w:t>
      </w:r>
    </w:p>
    <w:p w14:paraId="42CE56EE">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3.3</w:t>
      </w:r>
      <w:r>
        <w:rPr>
          <w:rFonts w:hint="eastAsia" w:ascii="宋体" w:hAnsi="宋体" w:cs="宋体"/>
          <w:color w:val="auto"/>
          <w:sz w:val="24"/>
          <w:szCs w:val="24"/>
          <w:highlight w:val="none"/>
        </w:rPr>
        <w:t>详细评审</w:t>
      </w:r>
    </w:p>
    <w:p w14:paraId="00E9D244">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3.3.1询比小组成员按附件三《综合评分表》规定的评分因素进行综合评分。</w:t>
      </w:r>
    </w:p>
    <w:p w14:paraId="25341A1A">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14:paraId="5ADA0F0B">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3.3.3价格分评审办法</w:t>
      </w:r>
    </w:p>
    <w:p w14:paraId="7A7FF5CB">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满足询比文件要求且最后报价最低的供应商的价格为基准价。</w:t>
      </w:r>
    </w:p>
    <w:p w14:paraId="1A055859">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报价得分=（基准价/供应商报价）×价格权值×100 (扣减分值中间值用插入法, 小数点后保留两位)。</w:t>
      </w:r>
    </w:p>
    <w:p w14:paraId="5A1AFB83">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3.4统分原则</w:t>
      </w:r>
    </w:p>
    <w:p w14:paraId="582FBEBC">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3.4.1询比小组应首先对各供应商响应文件进行评审，各分档评分中间采用插入法评分（小数点保留二位），由各小组成员自主评分并签字确认。</w:t>
      </w:r>
    </w:p>
    <w:p w14:paraId="3AB50C96">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3.4.2报价分值按公式计算，小数点后保留两位。</w:t>
      </w:r>
    </w:p>
    <w:p w14:paraId="4EB0AB9C">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3.4.3统计分数原则：所有询比小组成员打分的算术平均值为供应商的最后得分（保留小数点后两位）。</w:t>
      </w:r>
    </w:p>
    <w:p w14:paraId="6AB466B2">
      <w:pPr>
        <w:pStyle w:val="17"/>
        <w:snapToGrid w:val="0"/>
        <w:spacing w:line="360" w:lineRule="auto"/>
        <w:ind w:firstLine="480" w:firstLineChars="200"/>
        <w:contextualSpacing/>
        <w:jc w:val="left"/>
        <w:rPr>
          <w:rFonts w:hint="eastAsia" w:hAnsi="宋体" w:cs="宋体"/>
          <w:color w:val="auto"/>
          <w:sz w:val="24"/>
          <w:szCs w:val="24"/>
          <w:highlight w:val="none"/>
        </w:rPr>
      </w:pPr>
      <w:r>
        <w:rPr>
          <w:rFonts w:hint="eastAsia" w:hAnsi="宋体" w:cs="宋体"/>
          <w:color w:val="auto"/>
          <w:sz w:val="24"/>
          <w:szCs w:val="24"/>
          <w:highlight w:val="none"/>
        </w:rPr>
        <w:t>3.4.4将综合评分从高到低排序，得分相同的，按最后报价由低到高顺序排列。得分且询比报价相同的，按技术优劣顺序排列。</w:t>
      </w:r>
    </w:p>
    <w:p w14:paraId="25D4B181">
      <w:pPr>
        <w:pStyle w:val="19"/>
        <w:adjustRightInd w:val="0"/>
        <w:snapToGrid w:val="0"/>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附件一：资格性评审表</w:t>
      </w:r>
    </w:p>
    <w:tbl>
      <w:tblPr>
        <w:tblStyle w:val="34"/>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67"/>
        <w:gridCol w:w="5607"/>
        <w:gridCol w:w="1696"/>
      </w:tblGrid>
      <w:tr w14:paraId="1B5B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6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BAA587C">
            <w:pPr>
              <w:autoSpaceDE w:val="0"/>
              <w:autoSpaceDN w:val="0"/>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highlight w:val="none"/>
              </w:rPr>
              <w:t>评审</w:t>
            </w:r>
          </w:p>
          <w:p w14:paraId="011176DA">
            <w:pPr>
              <w:autoSpaceDE w:val="0"/>
              <w:autoSpaceDN w:val="0"/>
              <w:adjustRightInd w:val="0"/>
              <w:snapToGrid w:val="0"/>
              <w:spacing w:line="400" w:lineRule="atLeast"/>
              <w:jc w:val="center"/>
              <w:rPr>
                <w:rFonts w:hint="eastAsia" w:ascii="宋体" w:hAnsi="宋体" w:cs="宋体"/>
                <w:color w:val="auto"/>
                <w:highlight w:val="none"/>
              </w:rPr>
            </w:pPr>
            <w:r>
              <w:rPr>
                <w:rFonts w:hint="eastAsia" w:ascii="宋体" w:hAnsi="宋体" w:cs="宋体"/>
                <w:color w:val="auto"/>
                <w:highlight w:val="none"/>
              </w:rPr>
              <w:t>内容</w:t>
            </w:r>
          </w:p>
        </w:tc>
        <w:tc>
          <w:tcPr>
            <w:tcW w:w="1967" w:type="dxa"/>
            <w:tcBorders>
              <w:top w:val="single" w:color="auto" w:sz="4" w:space="0"/>
              <w:left w:val="nil"/>
              <w:bottom w:val="single" w:color="auto" w:sz="4" w:space="0"/>
              <w:right w:val="single" w:color="auto" w:sz="4" w:space="0"/>
            </w:tcBorders>
            <w:vAlign w:val="center"/>
          </w:tcPr>
          <w:p w14:paraId="16092898">
            <w:pPr>
              <w:autoSpaceDE w:val="0"/>
              <w:autoSpaceDN w:val="0"/>
              <w:adjustRightInd w:val="0"/>
              <w:snapToGrid w:val="0"/>
              <w:spacing w:line="400" w:lineRule="atLeast"/>
              <w:jc w:val="center"/>
              <w:rPr>
                <w:rFonts w:hint="eastAsia" w:ascii="宋体" w:hAnsi="宋体" w:cs="宋体"/>
                <w:color w:val="auto"/>
                <w:highlight w:val="none"/>
              </w:rPr>
            </w:pPr>
            <w:r>
              <w:rPr>
                <w:rFonts w:hint="eastAsia" w:ascii="宋体" w:hAnsi="宋体" w:cs="宋体"/>
                <w:color w:val="auto"/>
                <w:highlight w:val="none"/>
              </w:rPr>
              <w:t>评审项目</w:t>
            </w:r>
          </w:p>
        </w:tc>
        <w:tc>
          <w:tcPr>
            <w:tcW w:w="5607" w:type="dxa"/>
            <w:tcBorders>
              <w:top w:val="single" w:color="auto" w:sz="4" w:space="0"/>
              <w:left w:val="nil"/>
              <w:bottom w:val="single" w:color="auto" w:sz="4" w:space="0"/>
              <w:right w:val="single" w:color="auto" w:sz="4" w:space="0"/>
            </w:tcBorders>
            <w:vAlign w:val="center"/>
          </w:tcPr>
          <w:p w14:paraId="786706D0">
            <w:pPr>
              <w:autoSpaceDE w:val="0"/>
              <w:autoSpaceDN w:val="0"/>
              <w:adjustRightInd w:val="0"/>
              <w:snapToGrid w:val="0"/>
              <w:spacing w:line="400" w:lineRule="atLeast"/>
              <w:jc w:val="center"/>
              <w:rPr>
                <w:rFonts w:hint="eastAsia" w:ascii="宋体" w:hAnsi="宋体" w:cs="宋体"/>
                <w:color w:val="auto"/>
                <w:highlight w:val="none"/>
              </w:rPr>
            </w:pPr>
            <w:r>
              <w:rPr>
                <w:rFonts w:hint="eastAsia" w:ascii="宋体" w:hAnsi="宋体" w:cs="宋体"/>
                <w:color w:val="auto"/>
                <w:highlight w:val="none"/>
              </w:rPr>
              <w:t>评审标准</w:t>
            </w:r>
          </w:p>
        </w:tc>
        <w:tc>
          <w:tcPr>
            <w:tcW w:w="1696" w:type="dxa"/>
            <w:tcBorders>
              <w:top w:val="single" w:color="auto" w:sz="4" w:space="0"/>
              <w:left w:val="nil"/>
              <w:bottom w:val="single" w:color="auto" w:sz="4" w:space="0"/>
              <w:right w:val="single" w:color="auto" w:sz="4" w:space="0"/>
            </w:tcBorders>
            <w:vAlign w:val="center"/>
          </w:tcPr>
          <w:p w14:paraId="237D5CBA">
            <w:pPr>
              <w:autoSpaceDE w:val="0"/>
              <w:autoSpaceDN w:val="0"/>
              <w:adjustRightInd w:val="0"/>
              <w:snapToGrid w:val="0"/>
              <w:spacing w:line="400" w:lineRule="atLeast"/>
              <w:jc w:val="center"/>
              <w:rPr>
                <w:rFonts w:hint="eastAsia" w:ascii="宋体" w:hAnsi="宋体" w:cs="宋体"/>
                <w:color w:val="auto"/>
                <w:highlight w:val="none"/>
              </w:rPr>
            </w:pPr>
            <w:r>
              <w:rPr>
                <w:rFonts w:hint="eastAsia" w:ascii="宋体" w:hAnsi="宋体" w:cs="宋体"/>
                <w:color w:val="auto"/>
                <w:highlight w:val="none"/>
              </w:rPr>
              <w:t>评审要求</w:t>
            </w:r>
          </w:p>
        </w:tc>
      </w:tr>
      <w:tr w14:paraId="3921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21" w:type="dxa"/>
            <w:vMerge w:val="restart"/>
            <w:tcBorders>
              <w:top w:val="nil"/>
              <w:left w:val="single" w:color="auto" w:sz="4" w:space="0"/>
              <w:bottom w:val="single" w:color="auto" w:sz="4" w:space="0"/>
              <w:right w:val="single" w:color="auto" w:sz="4" w:space="0"/>
            </w:tcBorders>
            <w:vAlign w:val="center"/>
          </w:tcPr>
          <w:p w14:paraId="0FA36241">
            <w:pPr>
              <w:widowControl/>
              <w:jc w:val="left"/>
              <w:rPr>
                <w:rFonts w:hint="eastAsia" w:ascii="宋体" w:hAnsi="宋体" w:cs="宋体"/>
                <w:color w:val="auto"/>
                <w:szCs w:val="21"/>
                <w:highlight w:val="none"/>
              </w:rPr>
            </w:pPr>
          </w:p>
        </w:tc>
        <w:tc>
          <w:tcPr>
            <w:tcW w:w="1967" w:type="dxa"/>
            <w:tcBorders>
              <w:top w:val="single" w:color="auto" w:sz="4" w:space="0"/>
              <w:left w:val="nil"/>
              <w:bottom w:val="single" w:color="auto" w:sz="4" w:space="0"/>
              <w:right w:val="single" w:color="auto" w:sz="4" w:space="0"/>
            </w:tcBorders>
            <w:vAlign w:val="center"/>
          </w:tcPr>
          <w:p w14:paraId="09FD1B47">
            <w:pPr>
              <w:adjustRightInd w:val="0"/>
              <w:snapToGrid w:val="0"/>
              <w:spacing w:line="400" w:lineRule="atLeast"/>
              <w:jc w:val="center"/>
              <w:rPr>
                <w:rFonts w:hint="eastAsia" w:ascii="宋体" w:hAnsi="宋体" w:cs="宋体"/>
                <w:bCs/>
                <w:color w:val="auto"/>
                <w:kern w:val="0"/>
                <w:highlight w:val="none"/>
              </w:rPr>
            </w:pPr>
            <w:r>
              <w:rPr>
                <w:rFonts w:hint="eastAsia" w:ascii="宋体" w:hAnsi="宋体" w:cs="宋体"/>
                <w:bCs/>
                <w:color w:val="auto"/>
                <w:kern w:val="0"/>
                <w:highlight w:val="none"/>
              </w:rPr>
              <w:t>营业执照</w:t>
            </w:r>
          </w:p>
        </w:tc>
        <w:tc>
          <w:tcPr>
            <w:tcW w:w="5607" w:type="dxa"/>
            <w:tcBorders>
              <w:top w:val="single" w:color="auto" w:sz="4" w:space="0"/>
              <w:left w:val="nil"/>
              <w:bottom w:val="single" w:color="auto" w:sz="4" w:space="0"/>
              <w:right w:val="single" w:color="auto" w:sz="4" w:space="0"/>
            </w:tcBorders>
            <w:vAlign w:val="center"/>
          </w:tcPr>
          <w:p w14:paraId="1A444366">
            <w:pPr>
              <w:autoSpaceDE w:val="0"/>
              <w:autoSpaceDN w:val="0"/>
              <w:adjustRightInd w:val="0"/>
              <w:snapToGrid w:val="0"/>
              <w:spacing w:line="400" w:lineRule="atLeast"/>
              <w:jc w:val="left"/>
              <w:rPr>
                <w:rFonts w:hint="eastAsia" w:ascii="宋体" w:hAnsi="宋体" w:cs="宋体"/>
                <w:bCs/>
                <w:color w:val="auto"/>
                <w:kern w:val="0"/>
                <w:highlight w:val="none"/>
              </w:rPr>
            </w:pPr>
            <w:r>
              <w:rPr>
                <w:rFonts w:hint="eastAsia" w:ascii="宋体" w:hAnsi="宋体" w:cs="宋体"/>
                <w:bCs/>
                <w:color w:val="auto"/>
                <w:kern w:val="0"/>
                <w:highlight w:val="none"/>
              </w:rPr>
              <w:t>须在中华人民共和国境内注册，具备有效的营业执照（或事业单位法人证书）的独立法人企业（单位）。省级分支机构参加投标的须具有总公司的相关授权（二级授权）；地市级分支机构参加投标的须具有可追溯至总公司的相关授权（三级授权）。同一家总公司下属的不同分支机构不能同时参与本项目投标；</w:t>
            </w:r>
          </w:p>
        </w:tc>
        <w:tc>
          <w:tcPr>
            <w:tcW w:w="1696" w:type="dxa"/>
            <w:tcBorders>
              <w:top w:val="single" w:color="auto" w:sz="4" w:space="0"/>
              <w:left w:val="nil"/>
              <w:bottom w:val="single" w:color="auto" w:sz="4" w:space="0"/>
              <w:right w:val="single" w:color="auto" w:sz="4" w:space="0"/>
            </w:tcBorders>
            <w:vAlign w:val="center"/>
          </w:tcPr>
          <w:p w14:paraId="43449551">
            <w:pPr>
              <w:autoSpaceDE w:val="0"/>
              <w:autoSpaceDN w:val="0"/>
              <w:adjustRightInd w:val="0"/>
              <w:snapToGrid w:val="0"/>
              <w:spacing w:line="400" w:lineRule="atLeast"/>
              <w:jc w:val="center"/>
              <w:rPr>
                <w:rFonts w:hint="eastAsia" w:ascii="宋体" w:hAnsi="宋体" w:cs="宋体"/>
                <w:bCs/>
                <w:color w:val="auto"/>
                <w:highlight w:val="none"/>
              </w:rPr>
            </w:pPr>
            <w:r>
              <w:rPr>
                <w:rFonts w:hint="eastAsia" w:ascii="宋体" w:hAnsi="宋体" w:cs="宋体"/>
                <w:bCs/>
                <w:color w:val="auto"/>
                <w:highlight w:val="none"/>
              </w:rPr>
              <w:t>审核响应文件</w:t>
            </w:r>
          </w:p>
        </w:tc>
      </w:tr>
      <w:tr w14:paraId="69EB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1" w:type="dxa"/>
            <w:vMerge w:val="continue"/>
            <w:tcBorders>
              <w:top w:val="nil"/>
              <w:left w:val="single" w:color="auto" w:sz="4" w:space="0"/>
              <w:bottom w:val="single" w:color="auto" w:sz="4" w:space="0"/>
              <w:right w:val="single" w:color="auto" w:sz="4" w:space="0"/>
            </w:tcBorders>
            <w:vAlign w:val="center"/>
          </w:tcPr>
          <w:p w14:paraId="4576552E">
            <w:pPr>
              <w:widowControl/>
              <w:jc w:val="left"/>
              <w:rPr>
                <w:rFonts w:hint="eastAsia" w:ascii="宋体" w:hAnsi="宋体" w:cs="宋体"/>
                <w:color w:val="auto"/>
                <w:szCs w:val="21"/>
                <w:highlight w:val="none"/>
              </w:rPr>
            </w:pPr>
          </w:p>
        </w:tc>
        <w:tc>
          <w:tcPr>
            <w:tcW w:w="1967" w:type="dxa"/>
            <w:tcBorders>
              <w:top w:val="single" w:color="auto" w:sz="4" w:space="0"/>
              <w:left w:val="nil"/>
              <w:bottom w:val="single" w:color="auto" w:sz="4" w:space="0"/>
              <w:right w:val="single" w:color="auto" w:sz="4" w:space="0"/>
            </w:tcBorders>
            <w:vAlign w:val="center"/>
          </w:tcPr>
          <w:p w14:paraId="67AE9116">
            <w:pPr>
              <w:adjustRightInd w:val="0"/>
              <w:snapToGrid w:val="0"/>
              <w:spacing w:line="400" w:lineRule="atLeast"/>
              <w:jc w:val="center"/>
              <w:rPr>
                <w:rFonts w:hint="eastAsia" w:ascii="宋体" w:hAnsi="宋体" w:cs="宋体"/>
                <w:bCs/>
                <w:color w:val="auto"/>
                <w:kern w:val="0"/>
                <w:highlight w:val="none"/>
              </w:rPr>
            </w:pPr>
            <w:r>
              <w:rPr>
                <w:rFonts w:hint="eastAsia" w:ascii="宋体" w:hAnsi="宋体" w:cs="宋体"/>
                <w:bCs/>
                <w:color w:val="auto"/>
                <w:kern w:val="0"/>
                <w:highlight w:val="none"/>
              </w:rPr>
              <w:t>承诺函</w:t>
            </w:r>
          </w:p>
        </w:tc>
        <w:tc>
          <w:tcPr>
            <w:tcW w:w="5607" w:type="dxa"/>
            <w:tcBorders>
              <w:top w:val="single" w:color="auto" w:sz="4" w:space="0"/>
              <w:left w:val="nil"/>
              <w:bottom w:val="single" w:color="auto" w:sz="4" w:space="0"/>
              <w:right w:val="single" w:color="auto" w:sz="4" w:space="0"/>
            </w:tcBorders>
            <w:vAlign w:val="center"/>
          </w:tcPr>
          <w:p w14:paraId="2F00EEDB">
            <w:pPr>
              <w:autoSpaceDE w:val="0"/>
              <w:autoSpaceDN w:val="0"/>
              <w:adjustRightInd w:val="0"/>
              <w:snapToGrid w:val="0"/>
              <w:spacing w:line="400" w:lineRule="atLeast"/>
              <w:jc w:val="left"/>
              <w:rPr>
                <w:rFonts w:hint="eastAsia" w:ascii="宋体" w:hAnsi="宋体" w:cs="宋体"/>
                <w:bCs/>
                <w:color w:val="auto"/>
                <w:kern w:val="0"/>
                <w:highlight w:val="none"/>
              </w:rPr>
            </w:pPr>
            <w:r>
              <w:rPr>
                <w:rFonts w:hint="eastAsia" w:ascii="宋体" w:hAnsi="宋体" w:cs="宋体"/>
                <w:bCs/>
                <w:color w:val="auto"/>
                <w:kern w:val="0"/>
                <w:highlight w:val="none"/>
              </w:rPr>
              <w:t>供应商自行承诺符合《中华人民共和国政府采购法》第二十二条规定及《中华人民共和国政府采购法实施条例》第十七条的相关要求；</w:t>
            </w:r>
          </w:p>
        </w:tc>
        <w:tc>
          <w:tcPr>
            <w:tcW w:w="1696" w:type="dxa"/>
            <w:tcBorders>
              <w:top w:val="single" w:color="auto" w:sz="4" w:space="0"/>
              <w:left w:val="nil"/>
              <w:bottom w:val="single" w:color="auto" w:sz="4" w:space="0"/>
              <w:right w:val="single" w:color="auto" w:sz="4" w:space="0"/>
            </w:tcBorders>
            <w:vAlign w:val="center"/>
          </w:tcPr>
          <w:p w14:paraId="51D816AF">
            <w:pPr>
              <w:autoSpaceDE w:val="0"/>
              <w:autoSpaceDN w:val="0"/>
              <w:adjustRightInd w:val="0"/>
              <w:snapToGrid w:val="0"/>
              <w:spacing w:line="400" w:lineRule="atLeast"/>
              <w:jc w:val="center"/>
              <w:rPr>
                <w:rFonts w:hint="eastAsia" w:ascii="宋体" w:hAnsi="宋体" w:cs="宋体"/>
                <w:bCs/>
                <w:color w:val="auto"/>
                <w:highlight w:val="none"/>
              </w:rPr>
            </w:pPr>
            <w:r>
              <w:rPr>
                <w:rFonts w:hint="eastAsia" w:ascii="宋体" w:hAnsi="宋体" w:cs="宋体"/>
                <w:bCs/>
                <w:color w:val="auto"/>
                <w:highlight w:val="none"/>
              </w:rPr>
              <w:t>审核响应文件</w:t>
            </w:r>
          </w:p>
        </w:tc>
      </w:tr>
      <w:tr w14:paraId="14B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1" w:type="dxa"/>
            <w:vMerge w:val="continue"/>
            <w:tcBorders>
              <w:top w:val="nil"/>
              <w:left w:val="single" w:color="auto" w:sz="4" w:space="0"/>
              <w:bottom w:val="single" w:color="auto" w:sz="4" w:space="0"/>
              <w:right w:val="single" w:color="auto" w:sz="4" w:space="0"/>
            </w:tcBorders>
            <w:vAlign w:val="center"/>
          </w:tcPr>
          <w:p w14:paraId="78F3ED97">
            <w:pPr>
              <w:widowControl/>
              <w:jc w:val="left"/>
              <w:rPr>
                <w:rFonts w:hint="eastAsia" w:ascii="宋体" w:hAnsi="宋体" w:cs="宋体"/>
                <w:color w:val="auto"/>
                <w:szCs w:val="21"/>
                <w:highlight w:val="none"/>
              </w:rPr>
            </w:pPr>
          </w:p>
        </w:tc>
        <w:tc>
          <w:tcPr>
            <w:tcW w:w="1967" w:type="dxa"/>
            <w:vMerge w:val="restart"/>
            <w:tcBorders>
              <w:top w:val="single" w:color="auto" w:sz="4" w:space="0"/>
              <w:left w:val="nil"/>
              <w:right w:val="single" w:color="auto" w:sz="4" w:space="0"/>
            </w:tcBorders>
            <w:vAlign w:val="center"/>
          </w:tcPr>
          <w:p w14:paraId="40EEC599">
            <w:pPr>
              <w:adjustRightInd w:val="0"/>
              <w:snapToGrid w:val="0"/>
              <w:spacing w:line="400" w:lineRule="atLeast"/>
              <w:jc w:val="center"/>
              <w:rPr>
                <w:rFonts w:hint="eastAsia" w:ascii="宋体" w:hAnsi="宋体" w:cs="宋体"/>
                <w:bCs/>
                <w:color w:val="auto"/>
                <w:kern w:val="0"/>
                <w:highlight w:val="none"/>
              </w:rPr>
            </w:pPr>
            <w:r>
              <w:rPr>
                <w:rFonts w:hint="eastAsia" w:ascii="宋体" w:hAnsi="宋体" w:cs="宋体"/>
                <w:bCs/>
                <w:color w:val="auto"/>
                <w:kern w:val="0"/>
                <w:highlight w:val="none"/>
              </w:rPr>
              <w:t>声明</w:t>
            </w:r>
          </w:p>
        </w:tc>
        <w:tc>
          <w:tcPr>
            <w:tcW w:w="5607" w:type="dxa"/>
            <w:tcBorders>
              <w:top w:val="single" w:color="auto" w:sz="4" w:space="0"/>
              <w:left w:val="nil"/>
              <w:bottom w:val="single" w:color="auto" w:sz="4" w:space="0"/>
              <w:right w:val="single" w:color="auto" w:sz="4" w:space="0"/>
            </w:tcBorders>
            <w:vAlign w:val="center"/>
          </w:tcPr>
          <w:p w14:paraId="231F4F48">
            <w:pPr>
              <w:autoSpaceDE w:val="0"/>
              <w:autoSpaceDN w:val="0"/>
              <w:adjustRightInd w:val="0"/>
              <w:snapToGrid w:val="0"/>
              <w:spacing w:line="400" w:lineRule="atLeast"/>
              <w:jc w:val="left"/>
              <w:rPr>
                <w:rFonts w:hint="eastAsia" w:ascii="宋体" w:hAnsi="宋体" w:cs="宋体"/>
                <w:bCs/>
                <w:color w:val="auto"/>
                <w:kern w:val="0"/>
                <w:highlight w:val="none"/>
              </w:rPr>
            </w:pPr>
            <w:r>
              <w:rPr>
                <w:rFonts w:hint="eastAsia" w:ascii="宋体" w:hAnsi="宋体" w:cs="宋体"/>
                <w:bCs/>
                <w:color w:val="auto"/>
                <w:kern w:val="0"/>
                <w:highlight w:val="none"/>
              </w:rPr>
              <w:t>参加采购活动前3年内，在经营活动中没有重大违法记录；</w:t>
            </w:r>
          </w:p>
        </w:tc>
        <w:tc>
          <w:tcPr>
            <w:tcW w:w="1696" w:type="dxa"/>
            <w:tcBorders>
              <w:top w:val="single" w:color="auto" w:sz="4" w:space="0"/>
              <w:left w:val="nil"/>
              <w:bottom w:val="single" w:color="auto" w:sz="4" w:space="0"/>
              <w:right w:val="single" w:color="auto" w:sz="4" w:space="0"/>
            </w:tcBorders>
            <w:vAlign w:val="center"/>
          </w:tcPr>
          <w:p w14:paraId="033148B0">
            <w:pPr>
              <w:autoSpaceDE w:val="0"/>
              <w:autoSpaceDN w:val="0"/>
              <w:adjustRightInd w:val="0"/>
              <w:snapToGrid w:val="0"/>
              <w:spacing w:line="400" w:lineRule="atLeast"/>
              <w:jc w:val="center"/>
              <w:rPr>
                <w:rFonts w:hint="eastAsia" w:ascii="宋体" w:hAnsi="宋体" w:cs="宋体"/>
                <w:bCs/>
                <w:color w:val="auto"/>
                <w:highlight w:val="none"/>
              </w:rPr>
            </w:pPr>
            <w:r>
              <w:rPr>
                <w:rFonts w:hint="eastAsia" w:ascii="宋体" w:hAnsi="宋体" w:cs="宋体"/>
                <w:bCs/>
                <w:color w:val="auto"/>
                <w:highlight w:val="none"/>
              </w:rPr>
              <w:t>审核响应文件</w:t>
            </w:r>
          </w:p>
        </w:tc>
      </w:tr>
      <w:tr w14:paraId="18D7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top w:val="nil"/>
              <w:left w:val="single" w:color="auto" w:sz="4" w:space="0"/>
              <w:bottom w:val="single" w:color="auto" w:sz="4" w:space="0"/>
              <w:right w:val="single" w:color="auto" w:sz="4" w:space="0"/>
            </w:tcBorders>
            <w:vAlign w:val="center"/>
          </w:tcPr>
          <w:p w14:paraId="61841CF9">
            <w:pPr>
              <w:widowControl/>
              <w:jc w:val="left"/>
              <w:rPr>
                <w:rFonts w:hint="eastAsia" w:ascii="宋体" w:hAnsi="宋体" w:cs="宋体"/>
                <w:color w:val="auto"/>
                <w:szCs w:val="21"/>
                <w:highlight w:val="none"/>
              </w:rPr>
            </w:pPr>
          </w:p>
        </w:tc>
        <w:tc>
          <w:tcPr>
            <w:tcW w:w="1967" w:type="dxa"/>
            <w:vMerge w:val="continue"/>
            <w:tcBorders>
              <w:left w:val="nil"/>
              <w:bottom w:val="single" w:color="auto" w:sz="4" w:space="0"/>
              <w:right w:val="single" w:color="auto" w:sz="4" w:space="0"/>
            </w:tcBorders>
            <w:vAlign w:val="center"/>
          </w:tcPr>
          <w:p w14:paraId="245866DB">
            <w:pPr>
              <w:adjustRightInd w:val="0"/>
              <w:snapToGrid w:val="0"/>
              <w:spacing w:line="400" w:lineRule="atLeast"/>
              <w:jc w:val="center"/>
              <w:rPr>
                <w:rFonts w:hint="eastAsia" w:ascii="宋体" w:hAnsi="宋体" w:cs="宋体"/>
                <w:bCs/>
                <w:color w:val="auto"/>
                <w:kern w:val="0"/>
                <w:highlight w:val="none"/>
              </w:rPr>
            </w:pPr>
          </w:p>
        </w:tc>
        <w:tc>
          <w:tcPr>
            <w:tcW w:w="5607" w:type="dxa"/>
            <w:tcBorders>
              <w:top w:val="single" w:color="auto" w:sz="4" w:space="0"/>
              <w:left w:val="nil"/>
              <w:bottom w:val="single" w:color="auto" w:sz="4" w:space="0"/>
              <w:right w:val="single" w:color="auto" w:sz="4" w:space="0"/>
            </w:tcBorders>
            <w:vAlign w:val="center"/>
          </w:tcPr>
          <w:p w14:paraId="6E6EB6B3">
            <w:pPr>
              <w:autoSpaceDE w:val="0"/>
              <w:autoSpaceDN w:val="0"/>
              <w:adjustRightInd w:val="0"/>
              <w:snapToGrid w:val="0"/>
              <w:spacing w:line="400" w:lineRule="atLeast"/>
              <w:jc w:val="left"/>
              <w:rPr>
                <w:rFonts w:hint="eastAsia" w:ascii="宋体" w:hAnsi="宋体" w:cs="宋体"/>
                <w:bCs/>
                <w:color w:val="auto"/>
                <w:kern w:val="0"/>
                <w:highlight w:val="none"/>
              </w:rPr>
            </w:pPr>
            <w:r>
              <w:rPr>
                <w:rFonts w:hint="eastAsia" w:ascii="宋体" w:hAnsi="宋体" w:cs="宋体"/>
                <w:bCs/>
                <w:color w:val="auto"/>
                <w:kern w:val="0"/>
                <w:highlight w:val="none"/>
              </w:rPr>
              <w:t xml:space="preserve">自行声明在“信用中国”网站(www.creditchina.gov.cn) 中未被列入：税收违法黑名单；在中国执行信息公开网（http://zxgk.court.gov.cn/shixin/）中未被列入：失信被执行人名单；在“中国政府采购网”(www.ccgp.gov.cn) 中未被列入：政府采购严重违法失信行为记录名单； </w:t>
            </w:r>
          </w:p>
        </w:tc>
        <w:tc>
          <w:tcPr>
            <w:tcW w:w="1696" w:type="dxa"/>
            <w:tcBorders>
              <w:top w:val="single" w:color="auto" w:sz="4" w:space="0"/>
              <w:left w:val="nil"/>
              <w:bottom w:val="single" w:color="auto" w:sz="4" w:space="0"/>
              <w:right w:val="single" w:color="auto" w:sz="4" w:space="0"/>
            </w:tcBorders>
            <w:vAlign w:val="center"/>
          </w:tcPr>
          <w:p w14:paraId="2863D462">
            <w:pPr>
              <w:autoSpaceDE w:val="0"/>
              <w:autoSpaceDN w:val="0"/>
              <w:adjustRightInd w:val="0"/>
              <w:snapToGrid w:val="0"/>
              <w:spacing w:line="400" w:lineRule="atLeast"/>
              <w:jc w:val="center"/>
              <w:rPr>
                <w:rFonts w:hint="eastAsia" w:ascii="宋体" w:hAnsi="宋体" w:cs="宋体"/>
                <w:bCs/>
                <w:color w:val="auto"/>
                <w:highlight w:val="none"/>
              </w:rPr>
            </w:pPr>
            <w:r>
              <w:rPr>
                <w:rFonts w:hint="eastAsia" w:ascii="宋体" w:hAnsi="宋体" w:cs="宋体"/>
                <w:bCs/>
                <w:color w:val="auto"/>
                <w:highlight w:val="none"/>
              </w:rPr>
              <w:t>审核响应文件</w:t>
            </w:r>
          </w:p>
        </w:tc>
      </w:tr>
      <w:tr w14:paraId="1FD4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14:paraId="1F8B0309">
            <w:pPr>
              <w:widowControl/>
              <w:jc w:val="left"/>
              <w:rPr>
                <w:rFonts w:hint="eastAsia" w:ascii="宋体" w:hAnsi="宋体" w:cs="宋体"/>
                <w:color w:val="auto"/>
                <w:szCs w:val="21"/>
                <w:highlight w:val="none"/>
              </w:rPr>
            </w:pPr>
          </w:p>
        </w:tc>
        <w:tc>
          <w:tcPr>
            <w:tcW w:w="1967" w:type="dxa"/>
            <w:tcBorders>
              <w:top w:val="single" w:color="auto" w:sz="4" w:space="0"/>
              <w:left w:val="nil"/>
              <w:bottom w:val="single" w:color="auto" w:sz="4" w:space="0"/>
              <w:right w:val="single" w:color="auto" w:sz="4" w:space="0"/>
            </w:tcBorders>
            <w:vAlign w:val="center"/>
          </w:tcPr>
          <w:p w14:paraId="33003F78">
            <w:pPr>
              <w:adjustRightInd w:val="0"/>
              <w:snapToGrid w:val="0"/>
              <w:spacing w:line="400" w:lineRule="atLeast"/>
              <w:jc w:val="center"/>
              <w:rPr>
                <w:rFonts w:hint="eastAsia" w:ascii="宋体" w:hAnsi="宋体" w:cs="宋体"/>
                <w:bCs/>
                <w:color w:val="auto"/>
                <w:kern w:val="0"/>
                <w:highlight w:val="none"/>
              </w:rPr>
            </w:pPr>
            <w:r>
              <w:rPr>
                <w:rFonts w:hint="eastAsia" w:ascii="宋体" w:hAnsi="宋体" w:cs="宋体"/>
                <w:bCs/>
                <w:color w:val="auto"/>
                <w:kern w:val="0"/>
                <w:highlight w:val="none"/>
              </w:rPr>
              <w:t>特定资格要求</w:t>
            </w:r>
          </w:p>
        </w:tc>
        <w:tc>
          <w:tcPr>
            <w:tcW w:w="5607" w:type="dxa"/>
            <w:tcBorders>
              <w:top w:val="single" w:color="auto" w:sz="4" w:space="0"/>
              <w:left w:val="nil"/>
              <w:bottom w:val="single" w:color="auto" w:sz="4" w:space="0"/>
              <w:right w:val="single" w:color="auto" w:sz="4" w:space="0"/>
            </w:tcBorders>
            <w:vAlign w:val="center"/>
          </w:tcPr>
          <w:p w14:paraId="2B8FB836">
            <w:pPr>
              <w:autoSpaceDE w:val="0"/>
              <w:autoSpaceDN w:val="0"/>
              <w:adjustRightInd w:val="0"/>
              <w:snapToGrid w:val="0"/>
              <w:spacing w:line="400" w:lineRule="atLeast"/>
              <w:jc w:val="left"/>
              <w:rPr>
                <w:rFonts w:hint="eastAsia" w:ascii="宋体" w:hAnsi="宋体" w:cs="宋体"/>
                <w:bCs/>
                <w:color w:val="auto"/>
                <w:kern w:val="0"/>
                <w:highlight w:val="none"/>
              </w:rPr>
            </w:pPr>
            <w:r>
              <w:rPr>
                <w:rFonts w:hint="eastAsia" w:ascii="宋体" w:hAnsi="宋体" w:cs="宋体"/>
                <w:bCs/>
                <w:color w:val="auto"/>
                <w:kern w:val="0"/>
                <w:highlight w:val="none"/>
              </w:rPr>
              <w:t>无</w:t>
            </w:r>
          </w:p>
        </w:tc>
        <w:tc>
          <w:tcPr>
            <w:tcW w:w="1696" w:type="dxa"/>
            <w:tcBorders>
              <w:top w:val="single" w:color="auto" w:sz="4" w:space="0"/>
              <w:left w:val="nil"/>
              <w:bottom w:val="single" w:color="auto" w:sz="4" w:space="0"/>
              <w:right w:val="single" w:color="auto" w:sz="4" w:space="0"/>
            </w:tcBorders>
            <w:vAlign w:val="center"/>
          </w:tcPr>
          <w:p w14:paraId="439AAC62">
            <w:pPr>
              <w:autoSpaceDE w:val="0"/>
              <w:autoSpaceDN w:val="0"/>
              <w:adjustRightInd w:val="0"/>
              <w:snapToGrid w:val="0"/>
              <w:spacing w:line="400" w:lineRule="atLeast"/>
              <w:jc w:val="center"/>
              <w:rPr>
                <w:rFonts w:hint="eastAsia" w:ascii="宋体" w:hAnsi="宋体" w:cs="宋体"/>
                <w:bCs/>
                <w:color w:val="auto"/>
                <w:highlight w:val="none"/>
              </w:rPr>
            </w:pPr>
            <w:r>
              <w:rPr>
                <w:rFonts w:hint="eastAsia" w:ascii="宋体" w:hAnsi="宋体" w:cs="宋体"/>
                <w:bCs/>
                <w:color w:val="auto"/>
                <w:highlight w:val="none"/>
              </w:rPr>
              <w:t>——</w:t>
            </w:r>
          </w:p>
        </w:tc>
      </w:tr>
    </w:tbl>
    <w:p w14:paraId="25AA9D29">
      <w:pPr>
        <w:adjustRightInd w:val="0"/>
        <w:snapToGrid w:val="0"/>
        <w:spacing w:line="360" w:lineRule="auto"/>
        <w:jc w:val="left"/>
        <w:rPr>
          <w:rFonts w:hint="eastAsia" w:ascii="宋体" w:hAnsi="宋体" w:cs="宋体"/>
          <w:bCs/>
          <w:color w:val="auto"/>
          <w:sz w:val="24"/>
          <w:szCs w:val="24"/>
          <w:highlight w:val="none"/>
        </w:rPr>
      </w:pPr>
    </w:p>
    <w:p w14:paraId="1D5C0437">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6E1A6F0B">
      <w:pPr>
        <w:adjustRightInd w:val="0"/>
        <w:snapToGrid w:val="0"/>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附件二：</w:t>
      </w:r>
      <w:r>
        <w:rPr>
          <w:rFonts w:hint="eastAsia" w:ascii="宋体" w:hAnsi="宋体" w:cs="宋体"/>
          <w:color w:val="auto"/>
          <w:sz w:val="24"/>
          <w:szCs w:val="24"/>
          <w:highlight w:val="none"/>
        </w:rPr>
        <w:t>有效性、完整性和响应程度</w:t>
      </w:r>
      <w:r>
        <w:rPr>
          <w:rFonts w:hint="eastAsia" w:ascii="宋体" w:hAnsi="宋体" w:cs="宋体"/>
          <w:bCs/>
          <w:color w:val="auto"/>
          <w:sz w:val="24"/>
          <w:szCs w:val="24"/>
          <w:highlight w:val="none"/>
        </w:rPr>
        <w:t>检查表</w:t>
      </w:r>
    </w:p>
    <w:p w14:paraId="0722FAA0">
      <w:pPr>
        <w:adjustRightInd w:val="0"/>
        <w:snapToGrid w:val="0"/>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r>
        <w:rPr>
          <w:rFonts w:hint="eastAsia" w:ascii="宋体" w:hAnsi="宋体" w:cs="宋体"/>
          <w:bCs/>
          <w:color w:val="auto"/>
          <w:sz w:val="24"/>
          <w:szCs w:val="24"/>
          <w:highlight w:val="none"/>
          <w:u w:val="single"/>
        </w:rPr>
        <w:t xml:space="preserve">                        </w:t>
      </w:r>
    </w:p>
    <w:p w14:paraId="63F588E4">
      <w:pPr>
        <w:adjustRightInd w:val="0"/>
        <w:snapToGrid w:val="0"/>
        <w:spacing w:line="360" w:lineRule="auto"/>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评审地点：</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日期：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tbl>
      <w:tblPr>
        <w:tblStyle w:val="3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70"/>
        <w:gridCol w:w="705"/>
        <w:gridCol w:w="718"/>
        <w:gridCol w:w="636"/>
        <w:gridCol w:w="1401"/>
      </w:tblGrid>
      <w:tr w14:paraId="6840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299" w:type="dxa"/>
            <w:gridSpan w:val="2"/>
            <w:vMerge w:val="restart"/>
            <w:tcBorders>
              <w:top w:val="single" w:color="auto" w:sz="4" w:space="0"/>
              <w:left w:val="single" w:color="auto" w:sz="4" w:space="0"/>
              <w:bottom w:val="single" w:color="auto" w:sz="4" w:space="0"/>
              <w:right w:val="single" w:color="auto" w:sz="4" w:space="0"/>
            </w:tcBorders>
            <w:vAlign w:val="center"/>
          </w:tcPr>
          <w:p w14:paraId="5D917894">
            <w:pPr>
              <w:spacing w:line="312"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审 查 内 容</w:t>
            </w:r>
          </w:p>
        </w:tc>
        <w:tc>
          <w:tcPr>
            <w:tcW w:w="2059" w:type="dxa"/>
            <w:gridSpan w:val="3"/>
            <w:tcBorders>
              <w:top w:val="single" w:color="auto" w:sz="4" w:space="0"/>
              <w:left w:val="single" w:color="auto" w:sz="4" w:space="0"/>
              <w:bottom w:val="single" w:color="auto" w:sz="4" w:space="0"/>
              <w:right w:val="single" w:color="auto" w:sz="4" w:space="0"/>
            </w:tcBorders>
            <w:vAlign w:val="center"/>
          </w:tcPr>
          <w:p w14:paraId="30CBB93B">
            <w:pPr>
              <w:spacing w:line="312"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w:t>
            </w:r>
          </w:p>
        </w:tc>
        <w:tc>
          <w:tcPr>
            <w:tcW w:w="1401" w:type="dxa"/>
            <w:vMerge w:val="restart"/>
            <w:tcBorders>
              <w:top w:val="single" w:color="auto" w:sz="4" w:space="0"/>
              <w:left w:val="single" w:color="auto" w:sz="4" w:space="0"/>
              <w:bottom w:val="single" w:color="auto" w:sz="4" w:space="0"/>
              <w:right w:val="single" w:color="auto" w:sz="4" w:space="0"/>
            </w:tcBorders>
            <w:vAlign w:val="center"/>
          </w:tcPr>
          <w:p w14:paraId="128DE2C1">
            <w:pPr>
              <w:spacing w:line="312"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询比小组成员签字</w:t>
            </w:r>
          </w:p>
        </w:tc>
      </w:tr>
      <w:tr w14:paraId="3AC2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299" w:type="dxa"/>
            <w:gridSpan w:val="2"/>
            <w:vMerge w:val="continue"/>
            <w:tcBorders>
              <w:top w:val="single" w:color="auto" w:sz="4" w:space="0"/>
              <w:left w:val="single" w:color="auto" w:sz="4" w:space="0"/>
              <w:bottom w:val="single" w:color="auto" w:sz="4" w:space="0"/>
              <w:right w:val="single" w:color="auto" w:sz="4" w:space="0"/>
            </w:tcBorders>
            <w:vAlign w:val="center"/>
          </w:tcPr>
          <w:p w14:paraId="178C96FA">
            <w:pPr>
              <w:widowControl/>
              <w:jc w:val="left"/>
              <w:rPr>
                <w:rFonts w:hint="eastAsia" w:ascii="宋体" w:hAnsi="宋体" w:cs="宋体"/>
                <w:bCs/>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0788B171">
            <w:pPr>
              <w:spacing w:line="312" w:lineRule="auto"/>
              <w:jc w:val="left"/>
              <w:rPr>
                <w:rFonts w:hint="eastAsia" w:ascii="宋体" w:hAnsi="宋体" w:cs="宋体"/>
                <w:bCs/>
                <w:color w:val="auto"/>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220BED81">
            <w:pPr>
              <w:spacing w:line="312" w:lineRule="auto"/>
              <w:jc w:val="left"/>
              <w:rPr>
                <w:rFonts w:hint="eastAsia" w:ascii="宋体" w:hAnsi="宋体" w:cs="宋体"/>
                <w:bCs/>
                <w:color w:val="auto"/>
                <w:sz w:val="24"/>
                <w:szCs w:val="24"/>
                <w:highlight w:val="none"/>
              </w:rPr>
            </w:pPr>
          </w:p>
        </w:tc>
        <w:tc>
          <w:tcPr>
            <w:tcW w:w="636" w:type="dxa"/>
            <w:tcBorders>
              <w:top w:val="single" w:color="auto" w:sz="4" w:space="0"/>
              <w:left w:val="single" w:color="auto" w:sz="4" w:space="0"/>
              <w:bottom w:val="single" w:color="auto" w:sz="6" w:space="0"/>
              <w:right w:val="single" w:color="auto" w:sz="4" w:space="0"/>
            </w:tcBorders>
            <w:vAlign w:val="center"/>
          </w:tcPr>
          <w:p w14:paraId="3EA34335">
            <w:pPr>
              <w:spacing w:line="312" w:lineRule="auto"/>
              <w:jc w:val="left"/>
              <w:rPr>
                <w:rFonts w:hint="eastAsia" w:ascii="宋体" w:hAnsi="宋体" w:cs="宋体"/>
                <w:bCs/>
                <w:color w:val="auto"/>
                <w:sz w:val="24"/>
                <w:szCs w:val="24"/>
                <w:highlight w:val="none"/>
              </w:rPr>
            </w:pPr>
          </w:p>
        </w:tc>
        <w:tc>
          <w:tcPr>
            <w:tcW w:w="1401" w:type="dxa"/>
            <w:vMerge w:val="continue"/>
            <w:tcBorders>
              <w:top w:val="single" w:color="auto" w:sz="4" w:space="0"/>
              <w:left w:val="single" w:color="auto" w:sz="4" w:space="0"/>
              <w:bottom w:val="single" w:color="auto" w:sz="4" w:space="0"/>
              <w:right w:val="single" w:color="auto" w:sz="4" w:space="0"/>
            </w:tcBorders>
            <w:vAlign w:val="center"/>
          </w:tcPr>
          <w:p w14:paraId="18561DD3">
            <w:pPr>
              <w:widowControl/>
              <w:jc w:val="left"/>
              <w:rPr>
                <w:rFonts w:hint="eastAsia" w:ascii="宋体" w:hAnsi="宋体" w:cs="宋体"/>
                <w:bCs/>
                <w:color w:val="auto"/>
                <w:sz w:val="24"/>
                <w:szCs w:val="24"/>
                <w:highlight w:val="none"/>
              </w:rPr>
            </w:pPr>
          </w:p>
        </w:tc>
      </w:tr>
      <w:tr w14:paraId="3EA3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62DB75F3">
            <w:pPr>
              <w:spacing w:line="312"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有效性、完整性和响应程度检查表</w:t>
            </w:r>
          </w:p>
        </w:tc>
        <w:tc>
          <w:tcPr>
            <w:tcW w:w="5170" w:type="dxa"/>
            <w:tcBorders>
              <w:top w:val="single" w:color="auto" w:sz="4" w:space="0"/>
              <w:left w:val="single" w:color="auto" w:sz="4" w:space="0"/>
              <w:bottom w:val="single" w:color="auto" w:sz="4" w:space="0"/>
              <w:right w:val="single" w:color="auto" w:sz="4" w:space="0"/>
            </w:tcBorders>
            <w:vAlign w:val="center"/>
          </w:tcPr>
          <w:p w14:paraId="1848CA84">
            <w:pPr>
              <w:spacing w:line="312"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未按照询比文件规定要求签署、盖章的；</w:t>
            </w:r>
          </w:p>
        </w:tc>
        <w:tc>
          <w:tcPr>
            <w:tcW w:w="705" w:type="dxa"/>
            <w:tcBorders>
              <w:top w:val="single" w:color="auto" w:sz="4" w:space="0"/>
              <w:left w:val="single" w:color="auto" w:sz="4" w:space="0"/>
              <w:bottom w:val="single" w:color="auto" w:sz="4" w:space="0"/>
              <w:right w:val="single" w:color="auto" w:sz="4" w:space="0"/>
            </w:tcBorders>
            <w:vAlign w:val="center"/>
          </w:tcPr>
          <w:p w14:paraId="3B8DD842">
            <w:pPr>
              <w:spacing w:line="312" w:lineRule="auto"/>
              <w:jc w:val="left"/>
              <w:rPr>
                <w:rFonts w:hint="eastAsia" w:ascii="宋体" w:hAnsi="宋体" w:cs="宋体"/>
                <w:bCs/>
                <w:color w:val="auto"/>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4BAE3F8E">
            <w:pPr>
              <w:spacing w:line="312" w:lineRule="auto"/>
              <w:jc w:val="left"/>
              <w:rPr>
                <w:rFonts w:hint="eastAsia" w:ascii="宋体" w:hAnsi="宋体" w:cs="宋体"/>
                <w:bCs/>
                <w:color w:val="auto"/>
                <w:sz w:val="24"/>
                <w:szCs w:val="24"/>
                <w:highlight w:val="none"/>
              </w:rPr>
            </w:pPr>
          </w:p>
        </w:tc>
        <w:tc>
          <w:tcPr>
            <w:tcW w:w="636" w:type="dxa"/>
            <w:tcBorders>
              <w:top w:val="single" w:color="auto" w:sz="6" w:space="0"/>
              <w:left w:val="single" w:color="auto" w:sz="4" w:space="0"/>
              <w:bottom w:val="single" w:color="auto" w:sz="4" w:space="0"/>
              <w:right w:val="single" w:color="auto" w:sz="4" w:space="0"/>
            </w:tcBorders>
            <w:vAlign w:val="center"/>
          </w:tcPr>
          <w:p w14:paraId="76C913C8">
            <w:pPr>
              <w:spacing w:line="312" w:lineRule="auto"/>
              <w:jc w:val="left"/>
              <w:rPr>
                <w:rFonts w:hint="eastAsia" w:ascii="宋体" w:hAnsi="宋体" w:cs="宋体"/>
                <w:bCs/>
                <w:color w:val="auto"/>
                <w:sz w:val="24"/>
                <w:szCs w:val="24"/>
                <w:highlight w:val="none"/>
              </w:rPr>
            </w:pPr>
          </w:p>
        </w:tc>
        <w:tc>
          <w:tcPr>
            <w:tcW w:w="1401" w:type="dxa"/>
            <w:vMerge w:val="restart"/>
            <w:tcBorders>
              <w:top w:val="single" w:color="auto" w:sz="6" w:space="0"/>
              <w:left w:val="single" w:color="auto" w:sz="4" w:space="0"/>
              <w:bottom w:val="single" w:color="auto" w:sz="4" w:space="0"/>
              <w:right w:val="single" w:color="auto" w:sz="4" w:space="0"/>
            </w:tcBorders>
          </w:tcPr>
          <w:p w14:paraId="1B08E0C3">
            <w:pPr>
              <w:spacing w:line="312" w:lineRule="auto"/>
              <w:jc w:val="center"/>
              <w:rPr>
                <w:rFonts w:hint="eastAsia" w:ascii="宋体" w:hAnsi="宋体" w:cs="宋体"/>
                <w:bCs/>
                <w:color w:val="auto"/>
                <w:sz w:val="24"/>
                <w:szCs w:val="24"/>
                <w:highlight w:val="none"/>
              </w:rPr>
            </w:pPr>
          </w:p>
        </w:tc>
      </w:tr>
      <w:tr w14:paraId="5267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1985932B">
            <w:pPr>
              <w:widowControl/>
              <w:jc w:val="left"/>
              <w:rPr>
                <w:rFonts w:hint="eastAsia" w:ascii="宋体" w:hAnsi="宋体" w:cs="宋体"/>
                <w:bCs/>
                <w:color w:val="auto"/>
                <w:sz w:val="24"/>
                <w:szCs w:val="24"/>
                <w:highlight w:val="none"/>
              </w:rPr>
            </w:pPr>
          </w:p>
        </w:tc>
        <w:tc>
          <w:tcPr>
            <w:tcW w:w="5170" w:type="dxa"/>
            <w:tcBorders>
              <w:top w:val="single" w:color="auto" w:sz="4" w:space="0"/>
              <w:left w:val="single" w:color="auto" w:sz="4" w:space="0"/>
              <w:bottom w:val="single" w:color="auto" w:sz="4" w:space="0"/>
              <w:right w:val="single" w:color="auto" w:sz="4" w:space="0"/>
            </w:tcBorders>
            <w:vAlign w:val="center"/>
          </w:tcPr>
          <w:p w14:paraId="346BA739">
            <w:pPr>
              <w:spacing w:line="312"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合同履行期限、质量要求不满足询比文件要求的；</w:t>
            </w:r>
          </w:p>
        </w:tc>
        <w:tc>
          <w:tcPr>
            <w:tcW w:w="705" w:type="dxa"/>
            <w:tcBorders>
              <w:top w:val="single" w:color="auto" w:sz="4" w:space="0"/>
              <w:left w:val="single" w:color="auto" w:sz="4" w:space="0"/>
              <w:bottom w:val="single" w:color="auto" w:sz="4" w:space="0"/>
              <w:right w:val="single" w:color="auto" w:sz="4" w:space="0"/>
            </w:tcBorders>
            <w:vAlign w:val="center"/>
          </w:tcPr>
          <w:p w14:paraId="20FAFDF1">
            <w:pPr>
              <w:spacing w:line="312" w:lineRule="auto"/>
              <w:jc w:val="left"/>
              <w:rPr>
                <w:rFonts w:hint="eastAsia" w:ascii="宋体" w:hAnsi="宋体" w:cs="宋体"/>
                <w:bCs/>
                <w:color w:val="auto"/>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57ECBDEC">
            <w:pPr>
              <w:spacing w:line="312" w:lineRule="auto"/>
              <w:jc w:val="left"/>
              <w:rPr>
                <w:rFonts w:hint="eastAsia" w:ascii="宋体" w:hAnsi="宋体" w:cs="宋体"/>
                <w:bCs/>
                <w:color w:val="auto"/>
                <w:sz w:val="24"/>
                <w:szCs w:val="24"/>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303EE97E">
            <w:pPr>
              <w:spacing w:line="312" w:lineRule="auto"/>
              <w:jc w:val="left"/>
              <w:rPr>
                <w:rFonts w:hint="eastAsia" w:ascii="宋体" w:hAnsi="宋体" w:cs="宋体"/>
                <w:bCs/>
                <w:color w:val="auto"/>
                <w:sz w:val="24"/>
                <w:szCs w:val="24"/>
                <w:highlight w:val="none"/>
              </w:rPr>
            </w:pPr>
          </w:p>
        </w:tc>
        <w:tc>
          <w:tcPr>
            <w:tcW w:w="1401" w:type="dxa"/>
            <w:vMerge w:val="continue"/>
            <w:tcBorders>
              <w:top w:val="single" w:color="auto" w:sz="6" w:space="0"/>
              <w:left w:val="single" w:color="auto" w:sz="4" w:space="0"/>
              <w:bottom w:val="single" w:color="auto" w:sz="4" w:space="0"/>
              <w:right w:val="single" w:color="auto" w:sz="4" w:space="0"/>
            </w:tcBorders>
            <w:vAlign w:val="center"/>
          </w:tcPr>
          <w:p w14:paraId="789049AE">
            <w:pPr>
              <w:widowControl/>
              <w:jc w:val="left"/>
              <w:rPr>
                <w:rFonts w:hint="eastAsia" w:ascii="宋体" w:hAnsi="宋体" w:cs="宋体"/>
                <w:bCs/>
                <w:color w:val="auto"/>
                <w:sz w:val="24"/>
                <w:szCs w:val="24"/>
                <w:highlight w:val="none"/>
              </w:rPr>
            </w:pPr>
          </w:p>
        </w:tc>
      </w:tr>
      <w:tr w14:paraId="1A2A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6C7CBE99">
            <w:pPr>
              <w:widowControl/>
              <w:jc w:val="left"/>
              <w:rPr>
                <w:rFonts w:hint="eastAsia" w:ascii="宋体" w:hAnsi="宋体" w:cs="宋体"/>
                <w:bCs/>
                <w:color w:val="auto"/>
                <w:sz w:val="24"/>
                <w:szCs w:val="24"/>
                <w:highlight w:val="none"/>
              </w:rPr>
            </w:pPr>
          </w:p>
        </w:tc>
        <w:tc>
          <w:tcPr>
            <w:tcW w:w="5170" w:type="dxa"/>
            <w:tcBorders>
              <w:top w:val="single" w:color="auto" w:sz="4" w:space="0"/>
              <w:left w:val="single" w:color="auto" w:sz="4" w:space="0"/>
              <w:bottom w:val="single" w:color="auto" w:sz="4" w:space="0"/>
              <w:right w:val="single" w:color="auto" w:sz="4" w:space="0"/>
            </w:tcBorders>
            <w:vAlign w:val="center"/>
          </w:tcPr>
          <w:p w14:paraId="08A8E8A0">
            <w:pPr>
              <w:spacing w:line="312"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响应文件附有采购人不能接受的附加条件得；</w:t>
            </w:r>
          </w:p>
        </w:tc>
        <w:tc>
          <w:tcPr>
            <w:tcW w:w="705" w:type="dxa"/>
            <w:tcBorders>
              <w:top w:val="single" w:color="auto" w:sz="4" w:space="0"/>
              <w:left w:val="single" w:color="auto" w:sz="4" w:space="0"/>
              <w:bottom w:val="single" w:color="auto" w:sz="4" w:space="0"/>
              <w:right w:val="single" w:color="auto" w:sz="4" w:space="0"/>
            </w:tcBorders>
            <w:vAlign w:val="center"/>
          </w:tcPr>
          <w:p w14:paraId="52F0EB1C">
            <w:pPr>
              <w:spacing w:line="312" w:lineRule="auto"/>
              <w:jc w:val="left"/>
              <w:rPr>
                <w:rFonts w:hint="eastAsia" w:ascii="宋体" w:hAnsi="宋体" w:cs="宋体"/>
                <w:bCs/>
                <w:color w:val="auto"/>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7F7878B8">
            <w:pPr>
              <w:spacing w:line="312" w:lineRule="auto"/>
              <w:jc w:val="left"/>
              <w:rPr>
                <w:rFonts w:hint="eastAsia" w:ascii="宋体" w:hAnsi="宋体" w:cs="宋体"/>
                <w:bCs/>
                <w:color w:val="auto"/>
                <w:sz w:val="24"/>
                <w:szCs w:val="24"/>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4BBC2C18">
            <w:pPr>
              <w:spacing w:line="312" w:lineRule="auto"/>
              <w:jc w:val="left"/>
              <w:rPr>
                <w:rFonts w:hint="eastAsia" w:ascii="宋体" w:hAnsi="宋体" w:cs="宋体"/>
                <w:bCs/>
                <w:color w:val="auto"/>
                <w:sz w:val="24"/>
                <w:szCs w:val="24"/>
                <w:highlight w:val="none"/>
              </w:rPr>
            </w:pPr>
          </w:p>
        </w:tc>
        <w:tc>
          <w:tcPr>
            <w:tcW w:w="1401" w:type="dxa"/>
            <w:vMerge w:val="continue"/>
            <w:tcBorders>
              <w:top w:val="single" w:color="auto" w:sz="6" w:space="0"/>
              <w:left w:val="single" w:color="auto" w:sz="4" w:space="0"/>
              <w:bottom w:val="single" w:color="auto" w:sz="4" w:space="0"/>
              <w:right w:val="single" w:color="auto" w:sz="4" w:space="0"/>
            </w:tcBorders>
            <w:vAlign w:val="center"/>
          </w:tcPr>
          <w:p w14:paraId="0CF47B4D">
            <w:pPr>
              <w:widowControl/>
              <w:jc w:val="left"/>
              <w:rPr>
                <w:rFonts w:hint="eastAsia" w:ascii="宋体" w:hAnsi="宋体" w:cs="宋体"/>
                <w:bCs/>
                <w:color w:val="auto"/>
                <w:sz w:val="24"/>
                <w:szCs w:val="24"/>
                <w:highlight w:val="none"/>
              </w:rPr>
            </w:pPr>
          </w:p>
        </w:tc>
      </w:tr>
      <w:tr w14:paraId="2943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9D23F90">
            <w:pPr>
              <w:widowControl/>
              <w:jc w:val="left"/>
              <w:rPr>
                <w:rFonts w:hint="eastAsia" w:ascii="宋体" w:hAnsi="宋体" w:cs="宋体"/>
                <w:bCs/>
                <w:color w:val="auto"/>
                <w:sz w:val="24"/>
                <w:szCs w:val="24"/>
                <w:highlight w:val="none"/>
              </w:rPr>
            </w:pPr>
          </w:p>
        </w:tc>
        <w:tc>
          <w:tcPr>
            <w:tcW w:w="5170" w:type="dxa"/>
            <w:tcBorders>
              <w:top w:val="single" w:color="auto" w:sz="4" w:space="0"/>
              <w:left w:val="single" w:color="auto" w:sz="4" w:space="0"/>
              <w:bottom w:val="single" w:color="auto" w:sz="4" w:space="0"/>
              <w:right w:val="single" w:color="auto" w:sz="4" w:space="0"/>
            </w:tcBorders>
            <w:vAlign w:val="center"/>
          </w:tcPr>
          <w:p w14:paraId="11DD5EDE">
            <w:pPr>
              <w:spacing w:line="312"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不符合法律、法规和询比文件中规定的其它实质性要求的；</w:t>
            </w:r>
          </w:p>
        </w:tc>
        <w:tc>
          <w:tcPr>
            <w:tcW w:w="705" w:type="dxa"/>
            <w:tcBorders>
              <w:top w:val="single" w:color="auto" w:sz="4" w:space="0"/>
              <w:left w:val="single" w:color="auto" w:sz="4" w:space="0"/>
              <w:bottom w:val="single" w:color="auto" w:sz="4" w:space="0"/>
              <w:right w:val="single" w:color="auto" w:sz="4" w:space="0"/>
            </w:tcBorders>
            <w:vAlign w:val="center"/>
          </w:tcPr>
          <w:p w14:paraId="748D1F52">
            <w:pPr>
              <w:spacing w:line="312" w:lineRule="auto"/>
              <w:jc w:val="left"/>
              <w:rPr>
                <w:rFonts w:hint="eastAsia" w:ascii="宋体" w:hAnsi="宋体" w:cs="宋体"/>
                <w:bCs/>
                <w:color w:val="auto"/>
                <w:sz w:val="24"/>
                <w:szCs w:val="24"/>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64F7813A">
            <w:pPr>
              <w:spacing w:line="312" w:lineRule="auto"/>
              <w:jc w:val="left"/>
              <w:rPr>
                <w:rFonts w:hint="eastAsia" w:ascii="宋体" w:hAnsi="宋体" w:cs="宋体"/>
                <w:bCs/>
                <w:color w:val="auto"/>
                <w:sz w:val="24"/>
                <w:szCs w:val="24"/>
                <w:highlight w:val="none"/>
              </w:rPr>
            </w:pPr>
          </w:p>
        </w:tc>
        <w:tc>
          <w:tcPr>
            <w:tcW w:w="636" w:type="dxa"/>
            <w:tcBorders>
              <w:top w:val="single" w:color="auto" w:sz="4" w:space="0"/>
              <w:left w:val="single" w:color="auto" w:sz="4" w:space="0"/>
              <w:bottom w:val="single" w:color="auto" w:sz="4" w:space="0"/>
              <w:right w:val="single" w:color="auto" w:sz="4" w:space="0"/>
            </w:tcBorders>
            <w:vAlign w:val="center"/>
          </w:tcPr>
          <w:p w14:paraId="06257267">
            <w:pPr>
              <w:spacing w:line="312" w:lineRule="auto"/>
              <w:jc w:val="left"/>
              <w:rPr>
                <w:rFonts w:hint="eastAsia" w:ascii="宋体" w:hAnsi="宋体" w:cs="宋体"/>
                <w:bCs/>
                <w:color w:val="auto"/>
                <w:sz w:val="24"/>
                <w:szCs w:val="24"/>
                <w:highlight w:val="none"/>
              </w:rPr>
            </w:pPr>
          </w:p>
        </w:tc>
        <w:tc>
          <w:tcPr>
            <w:tcW w:w="1401" w:type="dxa"/>
            <w:vMerge w:val="continue"/>
            <w:tcBorders>
              <w:top w:val="single" w:color="auto" w:sz="6" w:space="0"/>
              <w:left w:val="single" w:color="auto" w:sz="4" w:space="0"/>
              <w:bottom w:val="single" w:color="auto" w:sz="4" w:space="0"/>
              <w:right w:val="single" w:color="auto" w:sz="4" w:space="0"/>
            </w:tcBorders>
            <w:vAlign w:val="center"/>
          </w:tcPr>
          <w:p w14:paraId="65A29535">
            <w:pPr>
              <w:widowControl/>
              <w:jc w:val="left"/>
              <w:rPr>
                <w:rFonts w:hint="eastAsia" w:ascii="宋体" w:hAnsi="宋体" w:cs="宋体"/>
                <w:bCs/>
                <w:color w:val="auto"/>
                <w:sz w:val="24"/>
                <w:szCs w:val="24"/>
                <w:highlight w:val="none"/>
              </w:rPr>
            </w:pPr>
          </w:p>
        </w:tc>
      </w:tr>
    </w:tbl>
    <w:p w14:paraId="0CDD278B">
      <w:pPr>
        <w:spacing w:line="312" w:lineRule="auto"/>
        <w:jc w:val="left"/>
        <w:rPr>
          <w:rFonts w:hint="eastAsia" w:ascii="宋体" w:hAnsi="宋体" w:cs="宋体"/>
          <w:bCs/>
          <w:color w:val="auto"/>
          <w:szCs w:val="21"/>
          <w:highlight w:val="none"/>
        </w:rPr>
      </w:pPr>
      <w:r>
        <w:rPr>
          <w:rFonts w:hint="eastAsia" w:ascii="宋体" w:hAnsi="宋体" w:cs="宋体"/>
          <w:bCs/>
          <w:color w:val="auto"/>
          <w:highlight w:val="none"/>
        </w:rPr>
        <w:t xml:space="preserve"> </w:t>
      </w:r>
    </w:p>
    <w:p w14:paraId="1B42AA95">
      <w:pPr>
        <w:spacing w:line="312"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注：上述评审内容对应填写“合格”或“不合格”，评审结论对应填写“不通过”或“通过”，响应文件属上述情况之一的，询比小组将在有效性、完整性和响应程度评审时作为无效标处理。</w:t>
      </w:r>
    </w:p>
    <w:p w14:paraId="6796DA9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附件三:综合评分表</w:t>
      </w:r>
    </w:p>
    <w:tbl>
      <w:tblPr>
        <w:tblStyle w:val="34"/>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00"/>
        <w:gridCol w:w="6976"/>
        <w:gridCol w:w="720"/>
      </w:tblGrid>
      <w:tr w14:paraId="1509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214D93A0">
            <w:pPr>
              <w:pStyle w:val="17"/>
              <w:adjustRightInd w:val="0"/>
              <w:snapToGrid w:val="0"/>
              <w:spacing w:before="156" w:beforeLines="50" w:line="360" w:lineRule="auto"/>
              <w:jc w:val="center"/>
              <w:rPr>
                <w:rFonts w:hint="eastAsia" w:hAnsi="宋体" w:cs="宋体"/>
                <w:color w:val="auto"/>
                <w:kern w:val="2"/>
                <w:sz w:val="21"/>
                <w:highlight w:val="none"/>
              </w:rPr>
            </w:pPr>
            <w:r>
              <w:rPr>
                <w:rFonts w:hint="eastAsia" w:hAnsi="宋体" w:cs="宋体"/>
                <w:color w:val="auto"/>
                <w:kern w:val="2"/>
                <w:sz w:val="21"/>
                <w:highlight w:val="none"/>
              </w:rPr>
              <w:t>评分因素</w:t>
            </w:r>
          </w:p>
        </w:tc>
        <w:tc>
          <w:tcPr>
            <w:tcW w:w="700" w:type="dxa"/>
            <w:tcBorders>
              <w:top w:val="single" w:color="auto" w:sz="4" w:space="0"/>
              <w:left w:val="nil"/>
              <w:bottom w:val="single" w:color="auto" w:sz="4" w:space="0"/>
              <w:right w:val="single" w:color="auto" w:sz="4" w:space="0"/>
            </w:tcBorders>
            <w:vAlign w:val="center"/>
          </w:tcPr>
          <w:p w14:paraId="38252BC1">
            <w:pPr>
              <w:pStyle w:val="153"/>
              <w:adjustRightInd w:val="0"/>
              <w:snapToGrid w:val="0"/>
              <w:spacing w:before="156" w:beforeLines="50" w:beforeAutospacing="0" w:after="0" w:afterAutospacing="0" w:line="360" w:lineRule="auto"/>
              <w:jc w:val="center"/>
              <w:rPr>
                <w:rFonts w:hint="eastAsia"/>
                <w:color w:val="auto"/>
                <w:sz w:val="21"/>
                <w:szCs w:val="21"/>
                <w:highlight w:val="none"/>
              </w:rPr>
            </w:pPr>
            <w:r>
              <w:rPr>
                <w:rFonts w:hint="eastAsia"/>
                <w:color w:val="auto"/>
                <w:sz w:val="21"/>
                <w:szCs w:val="21"/>
                <w:highlight w:val="none"/>
              </w:rPr>
              <w:t>分数</w:t>
            </w:r>
          </w:p>
        </w:tc>
        <w:tc>
          <w:tcPr>
            <w:tcW w:w="6976" w:type="dxa"/>
            <w:tcBorders>
              <w:top w:val="single" w:color="auto" w:sz="4" w:space="0"/>
              <w:left w:val="nil"/>
              <w:bottom w:val="single" w:color="auto" w:sz="4" w:space="0"/>
              <w:right w:val="single" w:color="auto" w:sz="4" w:space="0"/>
            </w:tcBorders>
            <w:vAlign w:val="center"/>
          </w:tcPr>
          <w:p w14:paraId="050C61A9">
            <w:pPr>
              <w:pStyle w:val="153"/>
              <w:adjustRightInd w:val="0"/>
              <w:snapToGrid w:val="0"/>
              <w:spacing w:before="156" w:beforeLines="50" w:beforeAutospacing="0" w:after="0" w:afterAutospacing="0" w:line="360" w:lineRule="auto"/>
              <w:jc w:val="center"/>
              <w:rPr>
                <w:rFonts w:hint="eastAsia"/>
                <w:color w:val="auto"/>
                <w:sz w:val="21"/>
                <w:szCs w:val="21"/>
                <w:highlight w:val="none"/>
              </w:rPr>
            </w:pPr>
            <w:r>
              <w:rPr>
                <w:rFonts w:hint="eastAsia"/>
                <w:color w:val="auto"/>
                <w:sz w:val="21"/>
                <w:szCs w:val="21"/>
                <w:highlight w:val="none"/>
              </w:rPr>
              <w:t>评分规则及说明</w:t>
            </w:r>
          </w:p>
        </w:tc>
        <w:tc>
          <w:tcPr>
            <w:tcW w:w="720" w:type="dxa"/>
            <w:tcBorders>
              <w:top w:val="single" w:color="auto" w:sz="4" w:space="0"/>
              <w:left w:val="nil"/>
              <w:bottom w:val="single" w:color="auto" w:sz="4" w:space="0"/>
              <w:right w:val="single" w:color="auto" w:sz="4" w:space="0"/>
            </w:tcBorders>
            <w:vAlign w:val="center"/>
          </w:tcPr>
          <w:p w14:paraId="470B3C01">
            <w:pPr>
              <w:pStyle w:val="154"/>
              <w:adjustRightInd w:val="0"/>
              <w:snapToGrid w:val="0"/>
              <w:spacing w:before="156" w:beforeLines="50" w:beforeAutospacing="0" w:after="0" w:afterAutospacing="0" w:line="360" w:lineRule="auto"/>
              <w:rPr>
                <w:rFonts w:hint="eastAsia"/>
                <w:color w:val="auto"/>
                <w:sz w:val="21"/>
                <w:szCs w:val="21"/>
                <w:highlight w:val="none"/>
              </w:rPr>
            </w:pPr>
            <w:r>
              <w:rPr>
                <w:rFonts w:hint="eastAsia"/>
                <w:color w:val="auto"/>
                <w:sz w:val="21"/>
                <w:szCs w:val="21"/>
                <w:highlight w:val="none"/>
              </w:rPr>
              <w:t>得分</w:t>
            </w:r>
          </w:p>
        </w:tc>
      </w:tr>
      <w:tr w14:paraId="5299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32480B72">
            <w:pPr>
              <w:pStyle w:val="17"/>
              <w:adjustRightInd w:val="0"/>
              <w:snapToGrid w:val="0"/>
              <w:spacing w:line="360" w:lineRule="auto"/>
              <w:jc w:val="center"/>
              <w:rPr>
                <w:rFonts w:hint="eastAsia" w:hAnsi="宋体" w:cs="宋体"/>
                <w:color w:val="auto"/>
                <w:kern w:val="2"/>
                <w:sz w:val="21"/>
                <w:highlight w:val="none"/>
              </w:rPr>
            </w:pPr>
            <w:r>
              <w:rPr>
                <w:rFonts w:hint="eastAsia" w:hAnsi="宋体" w:cs="宋体"/>
                <w:color w:val="auto"/>
                <w:kern w:val="2"/>
                <w:sz w:val="21"/>
                <w:highlight w:val="none"/>
              </w:rPr>
              <w:t>价格</w:t>
            </w:r>
          </w:p>
        </w:tc>
        <w:tc>
          <w:tcPr>
            <w:tcW w:w="700" w:type="dxa"/>
            <w:tcBorders>
              <w:top w:val="single" w:color="auto" w:sz="4" w:space="0"/>
              <w:left w:val="nil"/>
              <w:bottom w:val="single" w:color="auto" w:sz="4" w:space="0"/>
              <w:right w:val="single" w:color="auto" w:sz="4" w:space="0"/>
            </w:tcBorders>
            <w:vAlign w:val="center"/>
          </w:tcPr>
          <w:p w14:paraId="10EBE1AB">
            <w:pPr>
              <w:pStyle w:val="154"/>
              <w:adjustRightInd w:val="0"/>
              <w:snapToGrid w:val="0"/>
              <w:spacing w:before="0" w:beforeAutospacing="0" w:after="0" w:afterAutospacing="0" w:line="360" w:lineRule="auto"/>
              <w:jc w:val="center"/>
              <w:rPr>
                <w:rFonts w:hint="eastAsia"/>
                <w:color w:val="auto"/>
                <w:sz w:val="21"/>
                <w:szCs w:val="21"/>
                <w:highlight w:val="none"/>
              </w:rPr>
            </w:pPr>
            <w:r>
              <w:rPr>
                <w:rFonts w:hint="eastAsia"/>
                <w:color w:val="auto"/>
                <w:sz w:val="21"/>
                <w:szCs w:val="21"/>
                <w:highlight w:val="none"/>
              </w:rPr>
              <w:t>20分</w:t>
            </w:r>
          </w:p>
        </w:tc>
        <w:tc>
          <w:tcPr>
            <w:tcW w:w="6976" w:type="dxa"/>
            <w:tcBorders>
              <w:top w:val="single" w:color="auto" w:sz="4" w:space="0"/>
              <w:left w:val="nil"/>
              <w:bottom w:val="single" w:color="auto" w:sz="4" w:space="0"/>
              <w:right w:val="single" w:color="auto" w:sz="4" w:space="0"/>
            </w:tcBorders>
            <w:vAlign w:val="center"/>
          </w:tcPr>
          <w:p w14:paraId="443D1B0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满足询比文件要求且报价最低的供应商的价格为基准价。</w:t>
            </w:r>
          </w:p>
          <w:p w14:paraId="77421D46">
            <w:pPr>
              <w:pStyle w:val="155"/>
              <w:adjustRightInd w:val="0"/>
              <w:snapToGrid w:val="0"/>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报价得分=（基准价/供应商报价）×20</w:t>
            </w:r>
          </w:p>
          <w:p w14:paraId="3E6A08CE">
            <w:pPr>
              <w:pStyle w:val="156"/>
              <w:adjustRightInd w:val="0"/>
              <w:snapToGrid w:val="0"/>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(扣减分值中间值用插入法,小数点后保留两位)。</w:t>
            </w:r>
          </w:p>
          <w:p w14:paraId="04E0A2C7">
            <w:pPr>
              <w:pStyle w:val="156"/>
              <w:adjustRightInd w:val="0"/>
              <w:snapToGrid w:val="0"/>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注：符合本项目询比文件第二章《须知前附表》第16项相关规定的，其最后报价给以10%的价格扣除，即最终评审价=最后报价*90%。</w:t>
            </w:r>
          </w:p>
        </w:tc>
        <w:tc>
          <w:tcPr>
            <w:tcW w:w="720" w:type="dxa"/>
            <w:tcBorders>
              <w:top w:val="single" w:color="auto" w:sz="4" w:space="0"/>
              <w:left w:val="nil"/>
              <w:bottom w:val="single" w:color="auto" w:sz="4" w:space="0"/>
              <w:right w:val="single" w:color="auto" w:sz="4" w:space="0"/>
            </w:tcBorders>
            <w:vAlign w:val="center"/>
          </w:tcPr>
          <w:p w14:paraId="38D15AE6">
            <w:pPr>
              <w:pStyle w:val="154"/>
              <w:adjustRightInd w:val="0"/>
              <w:snapToGrid w:val="0"/>
              <w:spacing w:before="0" w:beforeAutospacing="0" w:after="0" w:afterAutospacing="0" w:line="360" w:lineRule="auto"/>
              <w:ind w:left="2100"/>
              <w:rPr>
                <w:rFonts w:hint="eastAsia"/>
                <w:color w:val="auto"/>
                <w:sz w:val="21"/>
                <w:szCs w:val="21"/>
                <w:highlight w:val="none"/>
              </w:rPr>
            </w:pPr>
          </w:p>
        </w:tc>
      </w:tr>
      <w:tr w14:paraId="4D83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53074CA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技术参数</w:t>
            </w:r>
          </w:p>
        </w:tc>
        <w:tc>
          <w:tcPr>
            <w:tcW w:w="700" w:type="dxa"/>
            <w:tcBorders>
              <w:top w:val="single" w:color="auto" w:sz="4" w:space="0"/>
              <w:left w:val="nil"/>
              <w:bottom w:val="single" w:color="auto" w:sz="4" w:space="0"/>
              <w:right w:val="single" w:color="auto" w:sz="4" w:space="0"/>
            </w:tcBorders>
            <w:vAlign w:val="center"/>
          </w:tcPr>
          <w:p w14:paraId="5A14A544">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29分</w:t>
            </w:r>
          </w:p>
        </w:tc>
        <w:tc>
          <w:tcPr>
            <w:tcW w:w="6976" w:type="dxa"/>
            <w:tcBorders>
              <w:top w:val="single" w:color="auto" w:sz="4" w:space="0"/>
              <w:left w:val="nil"/>
              <w:bottom w:val="single" w:color="auto" w:sz="4" w:space="0"/>
              <w:right w:val="single" w:color="auto" w:sz="4" w:space="0"/>
            </w:tcBorders>
            <w:vAlign w:val="center"/>
          </w:tcPr>
          <w:p w14:paraId="6515128B">
            <w:pPr>
              <w:snapToGrid w:val="0"/>
              <w:spacing w:line="46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据供应商提供的技术指标参数偏离表和技术支持资料，对照询比文件中标注</w:t>
            </w:r>
            <w:r>
              <w:rPr>
                <w:rFonts w:hint="eastAsia" w:ascii="宋体" w:hAnsi="宋体"/>
                <w:color w:val="auto"/>
                <w:szCs w:val="21"/>
                <w:highlight w:val="none"/>
              </w:rPr>
              <w:t>设备</w:t>
            </w:r>
            <w:r>
              <w:rPr>
                <w:rFonts w:hint="eastAsia" w:ascii="宋体" w:hAnsi="宋体" w:cs="宋体"/>
                <w:color w:val="auto"/>
                <w:szCs w:val="21"/>
                <w:highlight w:val="none"/>
              </w:rPr>
              <w:t>技术参数进行评审。</w:t>
            </w:r>
          </w:p>
          <w:p w14:paraId="74754D76">
            <w:pPr>
              <w:snapToGrid w:val="0"/>
              <w:spacing w:line="400" w:lineRule="exact"/>
              <w:contextualSpacing/>
              <w:rPr>
                <w:rFonts w:hint="eastAsia" w:ascii="宋体" w:hAnsi="宋体" w:cs="宋体"/>
                <w:color w:val="auto"/>
                <w:szCs w:val="21"/>
                <w:highlight w:val="none"/>
              </w:rPr>
            </w:pPr>
            <w:r>
              <w:rPr>
                <w:rFonts w:hint="eastAsia" w:ascii="宋体" w:hAnsi="宋体"/>
                <w:b/>
                <w:bCs/>
                <w:color w:val="auto"/>
                <w:highlight w:val="none"/>
              </w:rPr>
              <w:t>1.技术资料响应(15分)</w:t>
            </w:r>
          </w:p>
          <w:p w14:paraId="5329A871">
            <w:pPr>
              <w:snapToGrid w:val="0"/>
              <w:spacing w:line="400" w:lineRule="exact"/>
              <w:contextualSpacing/>
              <w:rPr>
                <w:rFonts w:hint="eastAsia" w:ascii="宋体" w:hAnsi="宋体"/>
                <w:color w:val="auto"/>
                <w:szCs w:val="21"/>
                <w:highlight w:val="none"/>
              </w:rPr>
            </w:pPr>
            <w:r>
              <w:rPr>
                <w:rFonts w:hint="eastAsia" w:ascii="宋体" w:hAnsi="宋体"/>
                <w:color w:val="auto"/>
                <w:szCs w:val="21"/>
                <w:highlight w:val="none"/>
              </w:rPr>
              <w:t>（1）设备技术性能、可靠性、稳定性优；产品技术参数填列详细，品牌及生产企业描述清晰，来源明确，用料及配件材质质量较好；能提供齐全、完整的技术资料的得15分；</w:t>
            </w:r>
          </w:p>
          <w:p w14:paraId="002FEB92">
            <w:pPr>
              <w:snapToGrid w:val="0"/>
              <w:spacing w:line="400" w:lineRule="exact"/>
              <w:contextualSpacing/>
              <w:rPr>
                <w:rFonts w:hint="eastAsia" w:ascii="宋体" w:hAnsi="宋体"/>
                <w:color w:val="auto"/>
                <w:szCs w:val="21"/>
                <w:highlight w:val="none"/>
              </w:rPr>
            </w:pPr>
            <w:r>
              <w:rPr>
                <w:rFonts w:hint="eastAsia" w:ascii="宋体" w:hAnsi="宋体"/>
                <w:color w:val="auto"/>
                <w:szCs w:val="21"/>
                <w:highlight w:val="none"/>
              </w:rPr>
              <w:t>（2）设备技术性能、可靠性、稳定性良好；产品技术参数填列详细，品牌及生产企业描述清晰，来源明确，用料及配件材质质量良好；能提供齐全、完整的技术资料的得12分；</w:t>
            </w:r>
          </w:p>
          <w:p w14:paraId="496CDE76">
            <w:pPr>
              <w:snapToGrid w:val="0"/>
              <w:spacing w:line="400" w:lineRule="exact"/>
              <w:contextualSpacing/>
              <w:rPr>
                <w:rFonts w:hint="eastAsia" w:ascii="宋体" w:hAnsi="宋体"/>
                <w:color w:val="auto"/>
                <w:szCs w:val="21"/>
                <w:highlight w:val="none"/>
              </w:rPr>
            </w:pPr>
            <w:r>
              <w:rPr>
                <w:rFonts w:hint="eastAsia" w:ascii="宋体" w:hAnsi="宋体"/>
                <w:color w:val="auto"/>
                <w:szCs w:val="21"/>
                <w:highlight w:val="none"/>
              </w:rPr>
              <w:t>（3）产品技术性能、可靠性、稳定性一般；产品技术多数填列与询比文件一致，品牌及生产企业基本明确,用料及配件材质质量一般，提供的产品技术资料相对较少的得8分；</w:t>
            </w:r>
          </w:p>
          <w:p w14:paraId="709F24F7">
            <w:pPr>
              <w:snapToGrid w:val="0"/>
              <w:spacing w:line="400" w:lineRule="exact"/>
              <w:contextualSpacing/>
              <w:rPr>
                <w:rFonts w:hint="eastAsia" w:ascii="宋体" w:hAnsi="宋体"/>
                <w:color w:val="auto"/>
                <w:szCs w:val="21"/>
                <w:highlight w:val="none"/>
              </w:rPr>
            </w:pPr>
            <w:r>
              <w:rPr>
                <w:rFonts w:hint="eastAsia" w:ascii="宋体" w:hAnsi="宋体"/>
                <w:color w:val="auto"/>
                <w:szCs w:val="21"/>
                <w:highlight w:val="none"/>
              </w:rPr>
              <w:t>（4）产品技术性能、可靠性、稳定性较差；产品技术参数响应性较差，部分设备品牌及生产企业不明确，用料及配件材质质量较差；未提供产品技术资料或产品资料缺失严重的得4分；</w:t>
            </w:r>
          </w:p>
          <w:p w14:paraId="245A06A0">
            <w:pPr>
              <w:snapToGrid w:val="0"/>
              <w:spacing w:line="440" w:lineRule="exact"/>
              <w:contextualSpacing/>
              <w:rPr>
                <w:rFonts w:hint="eastAsia" w:ascii="宋体" w:hAnsi="宋体"/>
                <w:color w:val="auto"/>
                <w:szCs w:val="21"/>
                <w:highlight w:val="none"/>
              </w:rPr>
            </w:pPr>
            <w:r>
              <w:rPr>
                <w:rFonts w:hint="eastAsia" w:ascii="宋体" w:hAnsi="宋体"/>
                <w:color w:val="auto"/>
                <w:szCs w:val="21"/>
                <w:highlight w:val="none"/>
              </w:rPr>
              <w:t>（5）未响应产品技术参数的不得分。</w:t>
            </w:r>
          </w:p>
          <w:p w14:paraId="2CBCFB5F">
            <w:pPr>
              <w:snapToGrid w:val="0"/>
              <w:spacing w:line="400" w:lineRule="exact"/>
              <w:contextualSpacing/>
              <w:rPr>
                <w:rFonts w:hint="eastAsia" w:ascii="宋体" w:hAnsi="宋体"/>
                <w:b/>
                <w:bCs/>
                <w:color w:val="auto"/>
                <w:szCs w:val="21"/>
                <w:highlight w:val="none"/>
              </w:rPr>
            </w:pPr>
            <w:r>
              <w:rPr>
                <w:rFonts w:hint="eastAsia" w:ascii="宋体" w:hAnsi="宋体"/>
                <w:b/>
                <w:bCs/>
                <w:color w:val="auto"/>
                <w:szCs w:val="21"/>
                <w:highlight w:val="none"/>
              </w:rPr>
              <w:t>2.重要技术参数响应(14分)</w:t>
            </w:r>
          </w:p>
          <w:p w14:paraId="69043DC8">
            <w:pPr>
              <w:snapToGrid w:val="0"/>
              <w:spacing w:line="400" w:lineRule="exact"/>
              <w:contextualSpacing/>
              <w:rPr>
                <w:rFonts w:hint="eastAsia" w:ascii="宋体" w:hAnsi="宋体"/>
                <w:color w:val="auto"/>
                <w:szCs w:val="21"/>
                <w:highlight w:val="none"/>
              </w:rPr>
            </w:pPr>
            <w:r>
              <w:rPr>
                <w:rFonts w:hint="eastAsia" w:ascii="宋体" w:hAnsi="宋体"/>
                <w:color w:val="auto"/>
                <w:szCs w:val="21"/>
                <w:highlight w:val="none"/>
              </w:rPr>
              <w:t>完全响应谈判文件“第四章 采购需求”中技术参数及详细性能要求(标</w:t>
            </w:r>
            <w:r>
              <w:rPr>
                <w:rFonts w:hint="eastAsia" w:ascii="宋体" w:hAnsi="宋体" w:cs="宋体"/>
                <w:color w:val="auto"/>
                <w:kern w:val="0"/>
                <w:sz w:val="20"/>
                <w:szCs w:val="20"/>
                <w:highlight w:val="none"/>
                <w:lang w:bidi="ar"/>
              </w:rPr>
              <w:t>★</w:t>
            </w:r>
            <w:r>
              <w:rPr>
                <w:rFonts w:hint="eastAsia" w:ascii="宋体" w:hAnsi="宋体"/>
                <w:color w:val="auto"/>
                <w:szCs w:val="21"/>
                <w:highlight w:val="none"/>
              </w:rPr>
              <w:t>)要求的得14分；</w:t>
            </w:r>
          </w:p>
          <w:p w14:paraId="62C30C6D">
            <w:pPr>
              <w:snapToGrid w:val="0"/>
              <w:spacing w:line="440" w:lineRule="exact"/>
              <w:contextualSpacing/>
              <w:rPr>
                <w:rFonts w:hint="eastAsia" w:ascii="宋体" w:hAnsi="宋体"/>
                <w:color w:val="auto"/>
                <w:szCs w:val="21"/>
                <w:highlight w:val="none"/>
              </w:rPr>
            </w:pPr>
            <w:r>
              <w:rPr>
                <w:rFonts w:hint="eastAsia" w:ascii="宋体" w:hAnsi="宋体"/>
                <w:color w:val="auto"/>
                <w:szCs w:val="21"/>
                <w:highlight w:val="none"/>
              </w:rPr>
              <w:t>标</w:t>
            </w:r>
            <w:r>
              <w:rPr>
                <w:rFonts w:hint="eastAsia" w:ascii="宋体" w:hAnsi="宋体" w:cs="宋体"/>
                <w:color w:val="auto"/>
                <w:kern w:val="0"/>
                <w:sz w:val="20"/>
                <w:szCs w:val="20"/>
                <w:highlight w:val="none"/>
                <w:lang w:bidi="ar"/>
              </w:rPr>
              <w:t>★</w:t>
            </w:r>
            <w:r>
              <w:rPr>
                <w:rFonts w:hint="eastAsia" w:ascii="宋体" w:hAnsi="宋体"/>
                <w:color w:val="auto"/>
                <w:szCs w:val="21"/>
                <w:highlight w:val="none"/>
              </w:rPr>
              <w:t>的重要参数有负偏离(低于谈判文件要求或未提供有效证明材料)的每一项扣2分，直至此项分值扣完为止。（此项共计7项）</w:t>
            </w:r>
          </w:p>
        </w:tc>
        <w:tc>
          <w:tcPr>
            <w:tcW w:w="720" w:type="dxa"/>
            <w:tcBorders>
              <w:top w:val="single" w:color="auto" w:sz="4" w:space="0"/>
              <w:left w:val="nil"/>
              <w:bottom w:val="single" w:color="auto" w:sz="4" w:space="0"/>
              <w:right w:val="single" w:color="auto" w:sz="4" w:space="0"/>
            </w:tcBorders>
            <w:vAlign w:val="center"/>
          </w:tcPr>
          <w:p w14:paraId="6FC0AB94">
            <w:pPr>
              <w:pStyle w:val="154"/>
              <w:adjustRightInd w:val="0"/>
              <w:snapToGrid w:val="0"/>
              <w:spacing w:before="0" w:beforeAutospacing="0" w:after="0" w:afterAutospacing="0" w:line="360" w:lineRule="auto"/>
              <w:ind w:left="2100"/>
              <w:rPr>
                <w:rFonts w:hint="eastAsia"/>
                <w:color w:val="auto"/>
                <w:sz w:val="21"/>
                <w:szCs w:val="21"/>
                <w:highlight w:val="none"/>
              </w:rPr>
            </w:pPr>
          </w:p>
        </w:tc>
      </w:tr>
      <w:tr w14:paraId="432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3F832AF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实施方案</w:t>
            </w:r>
          </w:p>
        </w:tc>
        <w:tc>
          <w:tcPr>
            <w:tcW w:w="700" w:type="dxa"/>
            <w:tcBorders>
              <w:top w:val="single" w:color="auto" w:sz="4" w:space="0"/>
              <w:left w:val="nil"/>
              <w:bottom w:val="single" w:color="auto" w:sz="4" w:space="0"/>
              <w:right w:val="single" w:color="auto" w:sz="4" w:space="0"/>
            </w:tcBorders>
            <w:vAlign w:val="center"/>
          </w:tcPr>
          <w:p w14:paraId="2614BBA6">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6976" w:type="dxa"/>
            <w:tcBorders>
              <w:top w:val="single" w:color="auto" w:sz="4" w:space="0"/>
              <w:left w:val="nil"/>
              <w:bottom w:val="single" w:color="auto" w:sz="4" w:space="0"/>
              <w:right w:val="single" w:color="auto" w:sz="4" w:space="0"/>
            </w:tcBorders>
            <w:vAlign w:val="center"/>
          </w:tcPr>
          <w:p w14:paraId="046F8854">
            <w:pPr>
              <w:numPr>
                <w:ilvl w:val="0"/>
                <w:numId w:val="2"/>
              </w:num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针对采购单位的性质制定的实施方案完整、具体、切实可行；工作流程和内容表述全面、标准、规范；重难点分析透彻、有详细的解决措施以及合理的承诺。完全优于采购需求的，得20分；</w:t>
            </w:r>
          </w:p>
          <w:p w14:paraId="45CDBAC2">
            <w:pPr>
              <w:numPr>
                <w:ilvl w:val="0"/>
                <w:numId w:val="2"/>
              </w:num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针对采购单位的性质制定的实施方案完整、可行；工作流程和内容表述全面、规范；重难点分析透彻、有详细的解决措施以及合理的承诺。完全满足采购需求的，得17分</w:t>
            </w:r>
          </w:p>
          <w:p w14:paraId="00827FD1">
            <w:p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（2）针对采购单位的性质制定的实施方案完整、可行；工作流程和内容表述全面、规范；重难点分析合理、有合理的解决措施以及承诺。满足采购需求的，得14分；</w:t>
            </w:r>
          </w:p>
          <w:p w14:paraId="296E3883">
            <w:p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（3）针对采购单位的性质制定的实施方案基本完整、可行；工作流程和内容表述基本全面；重难点分析基本合理、有解决措施以及承诺。基本满足采购需求的，得10分；</w:t>
            </w:r>
          </w:p>
          <w:p w14:paraId="047ACD4A">
            <w:p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（4）针对采购单位的性质制定的实施方案一般；工作流程和内容表述一般；重难点分析不透彻，解决措施以及承诺较弱。基本满足采购需求的，得7分；</w:t>
            </w:r>
          </w:p>
          <w:p w14:paraId="76224ABC">
            <w:p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（5）针对采购单位的性质制定的实施方案较差；工作流程和内容表述不合理或有缺失严重；无重难点分析或分析较差，无解决措施或无承诺，不能满足采购需求的，得3分；</w:t>
            </w:r>
          </w:p>
          <w:p w14:paraId="1C9A155C">
            <w:pPr>
              <w:snapToGrid w:val="0"/>
              <w:spacing w:before="156" w:beforeLines="50"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（6）未提供实施方案不得分。</w:t>
            </w:r>
          </w:p>
        </w:tc>
        <w:tc>
          <w:tcPr>
            <w:tcW w:w="720" w:type="dxa"/>
            <w:tcBorders>
              <w:top w:val="single" w:color="auto" w:sz="4" w:space="0"/>
              <w:left w:val="nil"/>
              <w:bottom w:val="single" w:color="auto" w:sz="4" w:space="0"/>
              <w:right w:val="single" w:color="auto" w:sz="4" w:space="0"/>
            </w:tcBorders>
            <w:vAlign w:val="center"/>
          </w:tcPr>
          <w:p w14:paraId="5E321A73">
            <w:pPr>
              <w:pStyle w:val="154"/>
              <w:adjustRightInd w:val="0"/>
              <w:snapToGrid w:val="0"/>
              <w:spacing w:before="0" w:beforeAutospacing="0" w:after="0" w:afterAutospacing="0" w:line="360" w:lineRule="auto"/>
              <w:ind w:left="2100"/>
              <w:rPr>
                <w:rFonts w:hint="eastAsia"/>
                <w:color w:val="auto"/>
                <w:sz w:val="21"/>
                <w:szCs w:val="21"/>
                <w:highlight w:val="none"/>
              </w:rPr>
            </w:pPr>
          </w:p>
        </w:tc>
      </w:tr>
      <w:tr w14:paraId="30E8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4733CD7D">
            <w:pPr>
              <w:spacing w:line="400" w:lineRule="exact"/>
              <w:jc w:val="center"/>
              <w:rPr>
                <w:rFonts w:hint="eastAsia" w:ascii="宋体" w:hAnsi="宋体" w:cs="宋体"/>
                <w:color w:val="auto"/>
                <w:szCs w:val="21"/>
                <w:highlight w:val="none"/>
              </w:rPr>
            </w:pPr>
            <w:bookmarkStart w:id="64" w:name="_Toc14758"/>
            <w:bookmarkStart w:id="65" w:name="_Toc6885"/>
            <w:r>
              <w:rPr>
                <w:rFonts w:hint="eastAsia" w:ascii="宋体" w:hAnsi="宋体" w:cs="宋体"/>
                <w:color w:val="auto"/>
                <w:highlight w:val="none"/>
              </w:rPr>
              <w:t>质量承诺及保证措施</w:t>
            </w:r>
          </w:p>
        </w:tc>
        <w:tc>
          <w:tcPr>
            <w:tcW w:w="700" w:type="dxa"/>
            <w:tcBorders>
              <w:top w:val="single" w:color="auto" w:sz="4" w:space="0"/>
              <w:left w:val="nil"/>
              <w:bottom w:val="single" w:color="auto" w:sz="4" w:space="0"/>
              <w:right w:val="single" w:color="auto" w:sz="4" w:space="0"/>
            </w:tcBorders>
            <w:vAlign w:val="center"/>
          </w:tcPr>
          <w:p w14:paraId="295F17C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6分</w:t>
            </w:r>
          </w:p>
        </w:tc>
        <w:tc>
          <w:tcPr>
            <w:tcW w:w="6976" w:type="dxa"/>
            <w:tcBorders>
              <w:top w:val="single" w:color="auto" w:sz="4" w:space="0"/>
              <w:left w:val="nil"/>
              <w:bottom w:val="single" w:color="auto" w:sz="4" w:space="0"/>
              <w:right w:val="single" w:color="auto" w:sz="4" w:space="0"/>
            </w:tcBorders>
            <w:vAlign w:val="center"/>
          </w:tcPr>
          <w:p w14:paraId="401F8E7F">
            <w:pPr>
              <w:pStyle w:val="162"/>
              <w:tabs>
                <w:tab w:val="left" w:pos="349"/>
              </w:tabs>
              <w:snapToGrid w:val="0"/>
              <w:spacing w:before="156" w:beforeLines="50" w:line="360" w:lineRule="auto"/>
              <w:contextualSpacing/>
              <w:rPr>
                <w:rFonts w:hint="eastAsia"/>
                <w:color w:val="auto"/>
                <w:highlight w:val="none"/>
              </w:rPr>
            </w:pPr>
            <w:r>
              <w:rPr>
                <w:rFonts w:hint="eastAsia"/>
                <w:color w:val="auto"/>
                <w:highlight w:val="none"/>
              </w:rPr>
              <w:t>（1）供应商质量承诺完全满足采购人需求且有具体的违约责任承诺；保证措施严格按照行业技术规范编制且针对性好的，得6分，</w:t>
            </w:r>
          </w:p>
          <w:p w14:paraId="15AA853E">
            <w:pPr>
              <w:pStyle w:val="162"/>
              <w:tabs>
                <w:tab w:val="left" w:pos="349"/>
              </w:tabs>
              <w:snapToGrid w:val="0"/>
              <w:spacing w:before="156" w:beforeLines="50" w:line="360" w:lineRule="auto"/>
              <w:contextualSpacing/>
              <w:rPr>
                <w:rFonts w:hint="eastAsia"/>
                <w:color w:val="auto"/>
                <w:highlight w:val="none"/>
              </w:rPr>
            </w:pPr>
            <w:r>
              <w:rPr>
                <w:rFonts w:hint="eastAsia"/>
                <w:color w:val="auto"/>
                <w:highlight w:val="none"/>
              </w:rPr>
              <w:t>（2）供应商质量承诺满足采购人需求且有具体的违约责任承诺；质量保证措施基本按照行业技术规范编制但缺乏针对性的，得4分，</w:t>
            </w:r>
          </w:p>
          <w:p w14:paraId="49C64C9A">
            <w:pPr>
              <w:pStyle w:val="162"/>
              <w:tabs>
                <w:tab w:val="left" w:pos="349"/>
              </w:tabs>
              <w:snapToGrid w:val="0"/>
              <w:spacing w:before="156" w:beforeLines="50" w:line="360" w:lineRule="auto"/>
              <w:contextualSpacing/>
              <w:rPr>
                <w:rFonts w:hint="eastAsia"/>
                <w:color w:val="auto"/>
                <w:highlight w:val="none"/>
              </w:rPr>
            </w:pPr>
            <w:r>
              <w:rPr>
                <w:rFonts w:hint="eastAsia"/>
                <w:color w:val="auto"/>
                <w:highlight w:val="none"/>
              </w:rPr>
              <w:t>（3）供应商义务或责任阐述简单、质量保证措施及处罚措施，针对性一般的，得3分；</w:t>
            </w:r>
          </w:p>
          <w:p w14:paraId="577588CF">
            <w:pPr>
              <w:pStyle w:val="162"/>
              <w:tabs>
                <w:tab w:val="left" w:pos="349"/>
              </w:tabs>
              <w:snapToGrid w:val="0"/>
              <w:spacing w:before="156" w:beforeLines="50" w:line="360" w:lineRule="auto"/>
              <w:contextualSpacing/>
              <w:rPr>
                <w:rFonts w:hint="eastAsia"/>
                <w:color w:val="auto"/>
                <w:highlight w:val="none"/>
              </w:rPr>
            </w:pPr>
            <w:r>
              <w:rPr>
                <w:rFonts w:hint="eastAsia"/>
                <w:color w:val="auto"/>
                <w:highlight w:val="none"/>
              </w:rPr>
              <w:t>（4）无供应商义务或责任阐述、无质量保证措施及处罚措施或针对性较差的，得1分；</w:t>
            </w:r>
          </w:p>
          <w:p w14:paraId="530E575F">
            <w:pPr>
              <w:pStyle w:val="162"/>
              <w:tabs>
                <w:tab w:val="left" w:pos="349"/>
              </w:tabs>
              <w:snapToGrid w:val="0"/>
              <w:spacing w:before="156" w:beforeLines="50" w:line="360" w:lineRule="auto"/>
              <w:contextualSpacing/>
              <w:rPr>
                <w:rFonts w:hint="eastAsia"/>
                <w:color w:val="auto"/>
                <w:szCs w:val="21"/>
                <w:highlight w:val="none"/>
              </w:rPr>
            </w:pPr>
            <w:r>
              <w:rPr>
                <w:rFonts w:hint="eastAsia"/>
                <w:color w:val="auto"/>
                <w:highlight w:val="none"/>
              </w:rPr>
              <w:t>（5）未提供质量承诺及保证措施不得分。</w:t>
            </w:r>
          </w:p>
        </w:tc>
        <w:tc>
          <w:tcPr>
            <w:tcW w:w="720" w:type="dxa"/>
            <w:tcBorders>
              <w:top w:val="single" w:color="auto" w:sz="4" w:space="0"/>
              <w:left w:val="nil"/>
              <w:bottom w:val="single" w:color="auto" w:sz="4" w:space="0"/>
              <w:right w:val="single" w:color="auto" w:sz="4" w:space="0"/>
            </w:tcBorders>
            <w:vAlign w:val="center"/>
          </w:tcPr>
          <w:p w14:paraId="683AC01C">
            <w:pPr>
              <w:pStyle w:val="154"/>
              <w:adjustRightInd w:val="0"/>
              <w:snapToGrid w:val="0"/>
              <w:spacing w:before="0" w:beforeAutospacing="0" w:after="0" w:afterAutospacing="0" w:line="360" w:lineRule="auto"/>
              <w:ind w:left="2100"/>
              <w:rPr>
                <w:rFonts w:hint="eastAsia"/>
                <w:color w:val="auto"/>
                <w:sz w:val="21"/>
                <w:szCs w:val="21"/>
                <w:highlight w:val="none"/>
              </w:rPr>
            </w:pPr>
          </w:p>
        </w:tc>
      </w:tr>
      <w:tr w14:paraId="1C16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712EBAFF">
            <w:pPr>
              <w:spacing w:line="400" w:lineRule="exact"/>
              <w:jc w:val="center"/>
              <w:rPr>
                <w:rFonts w:hint="eastAsia" w:ascii="宋体" w:hAnsi="宋体" w:cs="宋体"/>
                <w:color w:val="auto"/>
                <w:szCs w:val="21"/>
                <w:highlight w:val="none"/>
              </w:rPr>
            </w:pPr>
            <w:r>
              <w:rPr>
                <w:rFonts w:hint="eastAsia" w:ascii="宋体" w:hAnsi="宋体" w:cs="宋体"/>
                <w:color w:val="auto"/>
                <w:highlight w:val="none"/>
              </w:rPr>
              <w:t>资源配备计划</w:t>
            </w:r>
          </w:p>
        </w:tc>
        <w:tc>
          <w:tcPr>
            <w:tcW w:w="700" w:type="dxa"/>
            <w:tcBorders>
              <w:top w:val="single" w:color="auto" w:sz="4" w:space="0"/>
              <w:left w:val="nil"/>
              <w:bottom w:val="single" w:color="auto" w:sz="4" w:space="0"/>
              <w:right w:val="single" w:color="auto" w:sz="4" w:space="0"/>
            </w:tcBorders>
            <w:vAlign w:val="center"/>
          </w:tcPr>
          <w:p w14:paraId="28C8BA4E">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5分</w:t>
            </w:r>
          </w:p>
        </w:tc>
        <w:tc>
          <w:tcPr>
            <w:tcW w:w="6976" w:type="dxa"/>
            <w:tcBorders>
              <w:top w:val="single" w:color="auto" w:sz="4" w:space="0"/>
              <w:left w:val="nil"/>
              <w:bottom w:val="single" w:color="auto" w:sz="4" w:space="0"/>
              <w:right w:val="single" w:color="auto" w:sz="4" w:space="0"/>
            </w:tcBorders>
            <w:vAlign w:val="center"/>
          </w:tcPr>
          <w:p w14:paraId="37A00AF1">
            <w:pPr>
              <w:pStyle w:val="162"/>
              <w:numPr>
                <w:ilvl w:val="0"/>
                <w:numId w:val="3"/>
              </w:numPr>
              <w:tabs>
                <w:tab w:val="left" w:pos="349"/>
              </w:tabs>
              <w:snapToGrid w:val="0"/>
              <w:spacing w:before="156" w:beforeLines="50" w:line="360" w:lineRule="auto"/>
              <w:contextualSpacing/>
              <w:rPr>
                <w:rFonts w:hint="eastAsia"/>
                <w:color w:val="auto"/>
                <w:highlight w:val="none"/>
              </w:rPr>
            </w:pPr>
            <w:r>
              <w:rPr>
                <w:rFonts w:hint="eastAsia"/>
                <w:color w:val="auto"/>
                <w:highlight w:val="none"/>
              </w:rPr>
              <w:t>主要产品材料、人员安排计划、其他材料使用计划、工器具投入计划表述清晰与采购需求、进度计划呼应且准确、全面，能够提前完成本项目的，得5分；</w:t>
            </w:r>
          </w:p>
          <w:p w14:paraId="11D099C5">
            <w:pPr>
              <w:pStyle w:val="162"/>
              <w:numPr>
                <w:ilvl w:val="0"/>
                <w:numId w:val="3"/>
              </w:numPr>
              <w:tabs>
                <w:tab w:val="left" w:pos="349"/>
              </w:tabs>
              <w:snapToGrid w:val="0"/>
              <w:spacing w:before="156" w:beforeLines="50" w:line="360" w:lineRule="auto"/>
              <w:contextualSpacing/>
              <w:rPr>
                <w:rFonts w:hint="eastAsia"/>
                <w:color w:val="auto"/>
                <w:highlight w:val="none"/>
              </w:rPr>
            </w:pPr>
            <w:r>
              <w:rPr>
                <w:rFonts w:hint="eastAsia"/>
                <w:color w:val="auto"/>
                <w:highlight w:val="none"/>
              </w:rPr>
              <w:t>主要产品材料、人员安排计划、其他材料使用计划、工器具投入计划表述合理与采购需求、进度计划呼应且准确、能够按时完成本项目的，得4分；</w:t>
            </w:r>
          </w:p>
          <w:p w14:paraId="0AA7C25B">
            <w:pPr>
              <w:pStyle w:val="162"/>
              <w:numPr>
                <w:ilvl w:val="0"/>
                <w:numId w:val="3"/>
              </w:numPr>
              <w:tabs>
                <w:tab w:val="left" w:pos="349"/>
              </w:tabs>
              <w:snapToGrid w:val="0"/>
              <w:spacing w:before="156" w:beforeLines="50" w:line="360" w:lineRule="auto"/>
              <w:contextualSpacing/>
              <w:rPr>
                <w:rFonts w:hint="eastAsia"/>
                <w:color w:val="auto"/>
                <w:highlight w:val="none"/>
              </w:rPr>
            </w:pPr>
            <w:r>
              <w:rPr>
                <w:rFonts w:hint="eastAsia"/>
                <w:color w:val="auto"/>
                <w:highlight w:val="none"/>
              </w:rPr>
              <w:t>主要产品材料、人员安排计划、其他材料使用计划、工器具投入计划表述粗略与采购需求、进度计划基本呼应，基本能够按时完成本项目的，得3分；</w:t>
            </w:r>
          </w:p>
          <w:p w14:paraId="60D7E1D7">
            <w:pPr>
              <w:pStyle w:val="162"/>
              <w:numPr>
                <w:ilvl w:val="0"/>
                <w:numId w:val="3"/>
              </w:numPr>
              <w:tabs>
                <w:tab w:val="left" w:pos="349"/>
              </w:tabs>
              <w:snapToGrid w:val="0"/>
              <w:spacing w:before="156" w:beforeLines="50" w:line="360" w:lineRule="auto"/>
              <w:contextualSpacing/>
              <w:rPr>
                <w:rFonts w:hint="eastAsia"/>
                <w:color w:val="auto"/>
                <w:highlight w:val="none"/>
              </w:rPr>
            </w:pPr>
            <w:r>
              <w:rPr>
                <w:rFonts w:hint="eastAsia"/>
                <w:color w:val="auto"/>
                <w:highlight w:val="none"/>
              </w:rPr>
              <w:t>主要产品材料、人员安排计划、其他材料使用计划、工器具投入计划表述缺失严重或较差与采购需求、进度计划基本未呼应，不能够按时完成本项目的，得1分；</w:t>
            </w:r>
          </w:p>
          <w:p w14:paraId="54FFEB91">
            <w:pPr>
              <w:pStyle w:val="162"/>
              <w:numPr>
                <w:ilvl w:val="0"/>
                <w:numId w:val="3"/>
              </w:numPr>
              <w:tabs>
                <w:tab w:val="left" w:pos="349"/>
              </w:tabs>
              <w:snapToGrid w:val="0"/>
              <w:spacing w:before="156" w:beforeLines="50" w:line="360" w:lineRule="auto"/>
              <w:contextualSpacing/>
              <w:rPr>
                <w:rFonts w:hint="eastAsia"/>
                <w:color w:val="auto"/>
                <w:highlight w:val="none"/>
              </w:rPr>
            </w:pPr>
            <w:r>
              <w:rPr>
                <w:rFonts w:hint="eastAsia"/>
                <w:color w:val="auto"/>
                <w:highlight w:val="none"/>
              </w:rPr>
              <w:t>未提供资源配备计划不得分。</w:t>
            </w:r>
          </w:p>
        </w:tc>
        <w:tc>
          <w:tcPr>
            <w:tcW w:w="720" w:type="dxa"/>
            <w:tcBorders>
              <w:top w:val="single" w:color="auto" w:sz="4" w:space="0"/>
              <w:left w:val="nil"/>
              <w:bottom w:val="single" w:color="auto" w:sz="4" w:space="0"/>
              <w:right w:val="single" w:color="auto" w:sz="4" w:space="0"/>
            </w:tcBorders>
            <w:vAlign w:val="center"/>
          </w:tcPr>
          <w:p w14:paraId="78FCFA2E">
            <w:pPr>
              <w:pStyle w:val="154"/>
              <w:adjustRightInd w:val="0"/>
              <w:snapToGrid w:val="0"/>
              <w:spacing w:before="0" w:beforeAutospacing="0" w:after="0" w:afterAutospacing="0" w:line="360" w:lineRule="auto"/>
              <w:ind w:left="2100"/>
              <w:rPr>
                <w:rFonts w:hint="eastAsia"/>
                <w:color w:val="auto"/>
                <w:sz w:val="21"/>
                <w:szCs w:val="21"/>
                <w:highlight w:val="none"/>
              </w:rPr>
            </w:pPr>
          </w:p>
        </w:tc>
      </w:tr>
      <w:bookmarkEnd w:id="64"/>
      <w:bookmarkEnd w:id="65"/>
      <w:tr w14:paraId="498F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2E2F03DC">
            <w:pPr>
              <w:spacing w:line="400" w:lineRule="exact"/>
              <w:jc w:val="center"/>
              <w:rPr>
                <w:rFonts w:hint="eastAsia" w:ascii="宋体" w:hAnsi="宋体" w:cs="宋体"/>
                <w:color w:val="auto"/>
                <w:szCs w:val="21"/>
                <w:highlight w:val="none"/>
              </w:rPr>
            </w:pPr>
            <w:r>
              <w:rPr>
                <w:rFonts w:hint="eastAsia" w:ascii="宋体" w:hAnsi="宋体" w:cs="宋体"/>
                <w:color w:val="auto"/>
                <w:highlight w:val="none"/>
              </w:rPr>
              <w:t>建设周期承诺和保证措施</w:t>
            </w:r>
          </w:p>
        </w:tc>
        <w:tc>
          <w:tcPr>
            <w:tcW w:w="700" w:type="dxa"/>
            <w:tcBorders>
              <w:top w:val="single" w:color="auto" w:sz="4" w:space="0"/>
              <w:left w:val="nil"/>
              <w:bottom w:val="single" w:color="auto" w:sz="4" w:space="0"/>
              <w:right w:val="single" w:color="auto" w:sz="4" w:space="0"/>
            </w:tcBorders>
            <w:vAlign w:val="center"/>
          </w:tcPr>
          <w:p w14:paraId="5CB3DF1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5分</w:t>
            </w:r>
          </w:p>
        </w:tc>
        <w:tc>
          <w:tcPr>
            <w:tcW w:w="6976" w:type="dxa"/>
            <w:tcBorders>
              <w:top w:val="single" w:color="auto" w:sz="4" w:space="0"/>
              <w:left w:val="nil"/>
              <w:bottom w:val="single" w:color="auto" w:sz="4" w:space="0"/>
              <w:right w:val="single" w:color="auto" w:sz="4" w:space="0"/>
            </w:tcBorders>
            <w:vAlign w:val="center"/>
          </w:tcPr>
          <w:p w14:paraId="7B828331">
            <w:pPr>
              <w:pStyle w:val="162"/>
              <w:tabs>
                <w:tab w:val="left" w:pos="349"/>
              </w:tabs>
              <w:snapToGrid w:val="0"/>
              <w:spacing w:before="156" w:beforeLines="50" w:line="360" w:lineRule="auto"/>
              <w:contextualSpacing/>
              <w:rPr>
                <w:rFonts w:hint="eastAsia"/>
                <w:color w:val="auto"/>
                <w:szCs w:val="21"/>
                <w:highlight w:val="none"/>
              </w:rPr>
            </w:pPr>
            <w:r>
              <w:rPr>
                <w:rFonts w:hint="eastAsia"/>
                <w:color w:val="auto"/>
                <w:szCs w:val="21"/>
                <w:highlight w:val="none"/>
              </w:rPr>
              <w:t>（1）建设周期承诺完全满足询比文件要求；进度计划编排科学、流程清晰；</w:t>
            </w:r>
          </w:p>
          <w:p w14:paraId="58EFE915">
            <w:pPr>
              <w:pStyle w:val="162"/>
              <w:tabs>
                <w:tab w:val="left" w:pos="349"/>
              </w:tabs>
              <w:snapToGrid w:val="0"/>
              <w:spacing w:before="156" w:beforeLines="50" w:line="360" w:lineRule="auto"/>
              <w:contextualSpacing/>
              <w:rPr>
                <w:rFonts w:hint="eastAsia"/>
                <w:color w:val="auto"/>
                <w:highlight w:val="none"/>
              </w:rPr>
            </w:pPr>
            <w:r>
              <w:rPr>
                <w:rFonts w:hint="eastAsia"/>
                <w:color w:val="auto"/>
                <w:szCs w:val="21"/>
                <w:highlight w:val="none"/>
              </w:rPr>
              <w:t>保证措施合理</w:t>
            </w:r>
            <w:r>
              <w:rPr>
                <w:rFonts w:hint="eastAsia"/>
                <w:color w:val="auto"/>
                <w:highlight w:val="none"/>
              </w:rPr>
              <w:t>有力、切实可行，有具体的违约处罚措施的，得5分；</w:t>
            </w:r>
          </w:p>
          <w:p w14:paraId="06CDB541">
            <w:pPr>
              <w:pStyle w:val="162"/>
              <w:numPr>
                <w:ilvl w:val="0"/>
                <w:numId w:val="4"/>
              </w:numPr>
              <w:tabs>
                <w:tab w:val="left" w:pos="349"/>
              </w:tabs>
              <w:snapToGrid w:val="0"/>
              <w:spacing w:before="156" w:beforeLines="50" w:line="360" w:lineRule="auto"/>
              <w:contextualSpacing/>
              <w:rPr>
                <w:rFonts w:hint="eastAsia"/>
                <w:color w:val="auto"/>
                <w:highlight w:val="none"/>
              </w:rPr>
            </w:pPr>
            <w:r>
              <w:rPr>
                <w:rFonts w:hint="eastAsia"/>
                <w:color w:val="auto"/>
                <w:szCs w:val="21"/>
                <w:highlight w:val="none"/>
              </w:rPr>
              <w:t>建设周期承诺满足询比文件要求；进度计划编排流程清晰；保证措施合理</w:t>
            </w:r>
            <w:r>
              <w:rPr>
                <w:rFonts w:hint="eastAsia"/>
                <w:color w:val="auto"/>
                <w:highlight w:val="none"/>
              </w:rPr>
              <w:t>、可行，有合理违约处罚措施的，得4分；</w:t>
            </w:r>
          </w:p>
          <w:p w14:paraId="1CAF444D">
            <w:pPr>
              <w:pStyle w:val="162"/>
              <w:numPr>
                <w:ilvl w:val="0"/>
                <w:numId w:val="4"/>
              </w:numPr>
              <w:tabs>
                <w:tab w:val="left" w:pos="349"/>
              </w:tabs>
              <w:snapToGrid w:val="0"/>
              <w:spacing w:before="156" w:beforeLines="50" w:line="360" w:lineRule="auto"/>
              <w:contextualSpacing/>
              <w:rPr>
                <w:rFonts w:hint="eastAsia"/>
                <w:color w:val="auto"/>
                <w:highlight w:val="none"/>
              </w:rPr>
            </w:pPr>
            <w:r>
              <w:rPr>
                <w:rFonts w:hint="eastAsia"/>
                <w:color w:val="auto"/>
                <w:szCs w:val="21"/>
                <w:highlight w:val="none"/>
              </w:rPr>
              <w:t>建设周期承诺满足询比文件要求；进度计划编排流程一般；有保证措施但一般</w:t>
            </w:r>
            <w:r>
              <w:rPr>
                <w:rFonts w:hint="eastAsia"/>
                <w:color w:val="auto"/>
                <w:highlight w:val="none"/>
              </w:rPr>
              <w:t>，有简单违约处罚措施的，得3分；</w:t>
            </w:r>
          </w:p>
          <w:p w14:paraId="0ADBEE9B">
            <w:pPr>
              <w:pStyle w:val="162"/>
              <w:tabs>
                <w:tab w:val="left" w:pos="349"/>
              </w:tabs>
              <w:snapToGrid w:val="0"/>
              <w:spacing w:before="156" w:beforeLines="50" w:line="360" w:lineRule="auto"/>
              <w:contextualSpacing/>
              <w:rPr>
                <w:rFonts w:hint="eastAsia"/>
                <w:color w:val="auto"/>
                <w:highlight w:val="none"/>
              </w:rPr>
            </w:pPr>
            <w:r>
              <w:rPr>
                <w:rFonts w:hint="eastAsia"/>
                <w:color w:val="auto"/>
                <w:szCs w:val="21"/>
                <w:highlight w:val="none"/>
              </w:rPr>
              <w:t>（4）建设周期承诺满足询比文件要求；进度计划编排流程粗略；有保证措施较差</w:t>
            </w:r>
            <w:r>
              <w:rPr>
                <w:rFonts w:hint="eastAsia"/>
                <w:color w:val="auto"/>
                <w:highlight w:val="none"/>
              </w:rPr>
              <w:t>，违约处罚措施较差，得1分；</w:t>
            </w:r>
          </w:p>
          <w:p w14:paraId="325D5F5D">
            <w:pPr>
              <w:pStyle w:val="162"/>
              <w:tabs>
                <w:tab w:val="left" w:pos="349"/>
              </w:tabs>
              <w:snapToGrid w:val="0"/>
              <w:spacing w:before="156" w:beforeLines="50" w:line="360" w:lineRule="auto"/>
              <w:contextualSpacing/>
              <w:rPr>
                <w:rFonts w:hint="eastAsia"/>
                <w:color w:val="auto"/>
                <w:highlight w:val="none"/>
              </w:rPr>
            </w:pPr>
            <w:r>
              <w:rPr>
                <w:rFonts w:hint="eastAsia"/>
                <w:color w:val="auto"/>
                <w:highlight w:val="none"/>
              </w:rPr>
              <w:t>（5）未提供建设周期承诺和保证措施不得分。</w:t>
            </w:r>
          </w:p>
        </w:tc>
        <w:tc>
          <w:tcPr>
            <w:tcW w:w="720" w:type="dxa"/>
            <w:tcBorders>
              <w:top w:val="single" w:color="auto" w:sz="4" w:space="0"/>
              <w:left w:val="nil"/>
              <w:bottom w:val="single" w:color="auto" w:sz="4" w:space="0"/>
              <w:right w:val="single" w:color="auto" w:sz="4" w:space="0"/>
            </w:tcBorders>
            <w:vAlign w:val="center"/>
          </w:tcPr>
          <w:p w14:paraId="43204F52">
            <w:pPr>
              <w:pStyle w:val="154"/>
              <w:adjustRightInd w:val="0"/>
              <w:snapToGrid w:val="0"/>
              <w:spacing w:before="0" w:beforeAutospacing="0" w:after="0" w:afterAutospacing="0" w:line="360" w:lineRule="auto"/>
              <w:ind w:left="2100"/>
              <w:rPr>
                <w:rFonts w:hint="eastAsia"/>
                <w:color w:val="auto"/>
                <w:sz w:val="21"/>
                <w:szCs w:val="21"/>
                <w:highlight w:val="none"/>
              </w:rPr>
            </w:pPr>
          </w:p>
        </w:tc>
      </w:tr>
      <w:tr w14:paraId="6878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3009BA90">
            <w:pPr>
              <w:spacing w:line="400" w:lineRule="exact"/>
              <w:jc w:val="center"/>
              <w:rPr>
                <w:rFonts w:hint="eastAsia" w:ascii="宋体" w:hAnsi="宋体" w:cs="宋体"/>
                <w:color w:val="auto"/>
                <w:szCs w:val="21"/>
                <w:highlight w:val="none"/>
              </w:rPr>
            </w:pPr>
            <w:r>
              <w:rPr>
                <w:rFonts w:hint="eastAsia" w:ascii="宋体" w:hAnsi="宋体" w:cs="宋体"/>
                <w:bCs/>
                <w:color w:val="auto"/>
                <w:kern w:val="0"/>
                <w:szCs w:val="21"/>
                <w:highlight w:val="none"/>
              </w:rPr>
              <w:t>后续服务工作安排及承诺</w:t>
            </w:r>
          </w:p>
        </w:tc>
        <w:tc>
          <w:tcPr>
            <w:tcW w:w="700" w:type="dxa"/>
            <w:tcBorders>
              <w:top w:val="single" w:color="auto" w:sz="4" w:space="0"/>
              <w:left w:val="nil"/>
              <w:bottom w:val="single" w:color="auto" w:sz="4" w:space="0"/>
              <w:right w:val="single" w:color="auto" w:sz="4" w:space="0"/>
            </w:tcBorders>
            <w:vAlign w:val="center"/>
          </w:tcPr>
          <w:p w14:paraId="0047020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6976" w:type="dxa"/>
            <w:tcBorders>
              <w:top w:val="single" w:color="auto" w:sz="4" w:space="0"/>
              <w:left w:val="nil"/>
              <w:bottom w:val="single" w:color="auto" w:sz="4" w:space="0"/>
              <w:right w:val="single" w:color="auto" w:sz="4" w:space="0"/>
            </w:tcBorders>
            <w:vAlign w:val="center"/>
          </w:tcPr>
          <w:p w14:paraId="3F25869B">
            <w:pPr>
              <w:numPr>
                <w:ilvl w:val="0"/>
                <w:numId w:val="5"/>
              </w:numPr>
              <w:adjustRightInd w:val="0"/>
              <w:snapToGrid w:val="0"/>
              <w:spacing w:line="348"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供应商针对本项目有比较完善的服务质量保证体系、后期服务方案及后期服务人员，有详细的保证措施，有具体的违约责任承诺，后期响应时间及时高效，能及时提供有效服务的，得10分；</w:t>
            </w:r>
          </w:p>
          <w:p w14:paraId="1DA9CDC4">
            <w:pPr>
              <w:numPr>
                <w:ilvl w:val="0"/>
                <w:numId w:val="5"/>
              </w:numPr>
              <w:adjustRightInd w:val="0"/>
              <w:snapToGrid w:val="0"/>
              <w:spacing w:line="348"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供应商针对本项目有完善的服务质量保证体系、后期服务方案及后期服务人员，有具体的保证措施、违约责任承诺，后期响应能及时提供有效服务的，得7分；</w:t>
            </w:r>
          </w:p>
          <w:p w14:paraId="164797D2">
            <w:pPr>
              <w:adjustRightInd w:val="0"/>
              <w:snapToGrid w:val="0"/>
              <w:spacing w:line="348"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（3）供应商针对本项目有服务质量保证体系、后期服务方案及后期服务人员，有保证措施和违约责任承诺但不具体，后期响应时间基本满足采购单位要求，基本能提供服务的，得4分；</w:t>
            </w:r>
          </w:p>
          <w:p w14:paraId="53980EEE">
            <w:pPr>
              <w:adjustRightInd w:val="0"/>
              <w:snapToGrid w:val="0"/>
              <w:spacing w:line="348"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（4）供应商针对本项目有服务质量保证体系、后期服务方案及后期人员，有欠缺，响应时间不及时，不能提供服务的，得1分</w:t>
            </w:r>
          </w:p>
          <w:p w14:paraId="0B81B0C8">
            <w:pPr>
              <w:spacing w:line="360" w:lineRule="auto"/>
              <w:jc w:val="left"/>
              <w:rPr>
                <w:rFonts w:hint="eastAsia" w:ascii="宋体" w:hAnsi="宋体" w:cs="宋体"/>
                <w:color w:val="auto"/>
                <w:highlight w:val="none"/>
              </w:rPr>
            </w:pPr>
            <w:r>
              <w:rPr>
                <w:rFonts w:hint="eastAsia" w:ascii="宋体" w:hAnsi="宋体" w:cs="宋体"/>
                <w:color w:val="auto"/>
                <w:szCs w:val="21"/>
                <w:highlight w:val="none"/>
              </w:rPr>
              <w:t>（5）未提供</w:t>
            </w:r>
            <w:r>
              <w:rPr>
                <w:rFonts w:hint="eastAsia" w:ascii="宋体" w:hAnsi="宋体" w:cs="宋体"/>
                <w:bCs/>
                <w:color w:val="auto"/>
                <w:kern w:val="0"/>
                <w:szCs w:val="21"/>
                <w:highlight w:val="none"/>
              </w:rPr>
              <w:t>后续服务工作安排及承诺不得分。</w:t>
            </w:r>
          </w:p>
        </w:tc>
        <w:tc>
          <w:tcPr>
            <w:tcW w:w="720" w:type="dxa"/>
            <w:tcBorders>
              <w:top w:val="single" w:color="auto" w:sz="4" w:space="0"/>
              <w:left w:val="nil"/>
              <w:bottom w:val="single" w:color="auto" w:sz="4" w:space="0"/>
              <w:right w:val="single" w:color="auto" w:sz="4" w:space="0"/>
            </w:tcBorders>
            <w:vAlign w:val="center"/>
          </w:tcPr>
          <w:p w14:paraId="0967A6DA">
            <w:pPr>
              <w:pStyle w:val="154"/>
              <w:adjustRightInd w:val="0"/>
              <w:snapToGrid w:val="0"/>
              <w:spacing w:before="0" w:beforeAutospacing="0" w:after="0" w:afterAutospacing="0" w:line="360" w:lineRule="auto"/>
              <w:ind w:left="2100"/>
              <w:rPr>
                <w:rFonts w:hint="eastAsia"/>
                <w:color w:val="auto"/>
                <w:sz w:val="21"/>
                <w:szCs w:val="21"/>
                <w:highlight w:val="none"/>
              </w:rPr>
            </w:pPr>
          </w:p>
        </w:tc>
      </w:tr>
      <w:tr w14:paraId="0CB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14:paraId="772663EE">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700" w:type="dxa"/>
            <w:tcBorders>
              <w:top w:val="single" w:color="auto" w:sz="4" w:space="0"/>
              <w:left w:val="nil"/>
              <w:bottom w:val="single" w:color="auto" w:sz="4" w:space="0"/>
              <w:right w:val="single" w:color="auto" w:sz="4" w:space="0"/>
            </w:tcBorders>
            <w:vAlign w:val="center"/>
          </w:tcPr>
          <w:p w14:paraId="16D4A54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5分</w:t>
            </w:r>
          </w:p>
        </w:tc>
        <w:tc>
          <w:tcPr>
            <w:tcW w:w="6976" w:type="dxa"/>
            <w:tcBorders>
              <w:top w:val="single" w:color="auto" w:sz="4" w:space="0"/>
              <w:left w:val="nil"/>
              <w:bottom w:val="single" w:color="auto" w:sz="4" w:space="0"/>
              <w:right w:val="single" w:color="auto" w:sz="4" w:space="0"/>
            </w:tcBorders>
            <w:vAlign w:val="center"/>
          </w:tcPr>
          <w:p w14:paraId="76D4C24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提供类似项目业绩，每提供一个得1分，满分为5分；</w:t>
            </w:r>
          </w:p>
          <w:p w14:paraId="5B2EB7F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注：响应文件需附成交通知书或合同书扫描件或复印件，否则不得分。</w:t>
            </w:r>
          </w:p>
        </w:tc>
        <w:tc>
          <w:tcPr>
            <w:tcW w:w="720" w:type="dxa"/>
            <w:tcBorders>
              <w:top w:val="single" w:color="auto" w:sz="4" w:space="0"/>
              <w:left w:val="nil"/>
              <w:bottom w:val="single" w:color="auto" w:sz="4" w:space="0"/>
              <w:right w:val="single" w:color="auto" w:sz="4" w:space="0"/>
            </w:tcBorders>
            <w:vAlign w:val="center"/>
          </w:tcPr>
          <w:p w14:paraId="2A54A7B2">
            <w:pPr>
              <w:pStyle w:val="154"/>
              <w:adjustRightInd w:val="0"/>
              <w:snapToGrid w:val="0"/>
              <w:spacing w:before="0" w:beforeAutospacing="0" w:after="0" w:afterAutospacing="0" w:line="360" w:lineRule="auto"/>
              <w:ind w:left="2100"/>
              <w:rPr>
                <w:rFonts w:hint="eastAsia"/>
                <w:color w:val="auto"/>
                <w:sz w:val="21"/>
                <w:szCs w:val="21"/>
                <w:highlight w:val="none"/>
              </w:rPr>
            </w:pPr>
          </w:p>
        </w:tc>
      </w:tr>
    </w:tbl>
    <w:p w14:paraId="28D4AE0C">
      <w:pPr>
        <w:rPr>
          <w:rFonts w:hint="eastAsia" w:ascii="宋体" w:hAnsi="宋体" w:cs="宋体"/>
          <w:color w:val="auto"/>
          <w:highlight w:val="none"/>
        </w:rPr>
        <w:sectPr>
          <w:pgSz w:w="11906" w:h="16838"/>
          <w:pgMar w:top="1134" w:right="1134" w:bottom="1134" w:left="1134" w:header="851" w:footer="907" w:gutter="0"/>
          <w:pgNumType w:start="1"/>
          <w:cols w:space="720" w:num="1"/>
          <w:titlePg/>
          <w:docGrid w:type="lines" w:linePitch="312" w:charSpace="0"/>
        </w:sectPr>
      </w:pPr>
    </w:p>
    <w:p w14:paraId="0225DC94">
      <w:pPr>
        <w:pStyle w:val="33"/>
        <w:ind w:left="0" w:firstLine="0" w:firstLineChars="0"/>
        <w:rPr>
          <w:rFonts w:hint="eastAsia" w:ascii="宋体" w:hAnsi="宋体" w:cs="宋体"/>
          <w:color w:val="auto"/>
          <w:highlight w:val="none"/>
        </w:rPr>
      </w:pPr>
    </w:p>
    <w:p w14:paraId="018BC18F">
      <w:pPr>
        <w:pStyle w:val="3"/>
        <w:numPr>
          <w:ilvl w:val="0"/>
          <w:numId w:val="6"/>
        </w:numPr>
        <w:adjustRightInd w:val="0"/>
        <w:snapToGrid w:val="0"/>
        <w:spacing w:before="0" w:after="0" w:line="415" w:lineRule="auto"/>
        <w:jc w:val="center"/>
        <w:rPr>
          <w:rFonts w:hint="eastAsia" w:ascii="宋体" w:hAnsi="宋体" w:eastAsia="宋体" w:cs="宋体"/>
          <w:bCs w:val="0"/>
          <w:color w:val="auto"/>
          <w:highlight w:val="none"/>
          <w:lang w:val="en-US"/>
        </w:rPr>
      </w:pPr>
      <w:bookmarkStart w:id="66" w:name="_Toc14867"/>
      <w:bookmarkStart w:id="67" w:name="_Toc109728228"/>
      <w:r>
        <w:rPr>
          <w:rFonts w:hint="eastAsia" w:ascii="宋体" w:hAnsi="宋体" w:eastAsia="宋体" w:cs="宋体"/>
          <w:bCs w:val="0"/>
          <w:color w:val="auto"/>
          <w:highlight w:val="none"/>
          <w:lang w:val="en-US"/>
        </w:rPr>
        <w:t xml:space="preserve"> </w:t>
      </w:r>
      <w:r>
        <w:rPr>
          <w:rFonts w:hint="eastAsia" w:ascii="宋体" w:hAnsi="宋体" w:eastAsia="宋体" w:cs="宋体"/>
          <w:bCs w:val="0"/>
          <w:color w:val="auto"/>
          <w:highlight w:val="none"/>
        </w:rPr>
        <w:t xml:space="preserve"> </w:t>
      </w:r>
      <w:r>
        <w:rPr>
          <w:rFonts w:hint="eastAsia" w:ascii="宋体" w:hAnsi="宋体" w:eastAsia="宋体" w:cs="宋体"/>
          <w:bCs w:val="0"/>
          <w:color w:val="auto"/>
          <w:highlight w:val="none"/>
          <w:lang w:val="en-US"/>
        </w:rPr>
        <w:t>采购需求</w:t>
      </w:r>
      <w:bookmarkEnd w:id="66"/>
      <w:bookmarkEnd w:id="67"/>
    </w:p>
    <w:p w14:paraId="698D295F">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bookmarkStart w:id="68" w:name="_Toc140517909"/>
      <w:r>
        <w:rPr>
          <w:rFonts w:hint="eastAsia" w:ascii="宋体" w:hAnsi="宋体" w:cs="宋体"/>
          <w:b/>
          <w:bCs/>
          <w:color w:val="auto"/>
          <w:sz w:val="24"/>
          <w:szCs w:val="24"/>
          <w:highlight w:val="none"/>
          <w:shd w:val="clear" w:color="auto" w:fill="FFFFFF"/>
        </w:rPr>
        <w:t>一、采购标的目标以及为落实政府采购政策需满足的要求</w:t>
      </w:r>
    </w:p>
    <w:p w14:paraId="6779089B">
      <w:pPr>
        <w:pStyle w:val="7"/>
        <w:spacing w:line="360" w:lineRule="auto"/>
        <w:ind w:firstLine="480"/>
        <w:rPr>
          <w:rFonts w:hint="eastAsia" w:ascii="宋体" w:hAnsi="宋体"/>
          <w:color w:val="auto"/>
          <w:sz w:val="24"/>
          <w:szCs w:val="28"/>
          <w:highlight w:val="none"/>
        </w:rPr>
      </w:pPr>
      <w:bookmarkStart w:id="69" w:name="_Toc17744"/>
      <w:r>
        <w:rPr>
          <w:rFonts w:hint="eastAsia" w:ascii="宋体" w:hAnsi="宋体"/>
          <w:color w:val="auto"/>
          <w:sz w:val="24"/>
          <w:szCs w:val="28"/>
          <w:highlight w:val="none"/>
        </w:rPr>
        <w:t>（一）采购标的</w:t>
      </w:r>
      <w:bookmarkEnd w:id="69"/>
      <w:r>
        <w:rPr>
          <w:rFonts w:hint="eastAsia" w:ascii="宋体" w:hAnsi="宋体"/>
          <w:color w:val="auto"/>
          <w:sz w:val="24"/>
          <w:szCs w:val="28"/>
          <w:highlight w:val="none"/>
        </w:rPr>
        <w:t>目标</w:t>
      </w:r>
    </w:p>
    <w:p w14:paraId="294C0D02">
      <w:pPr>
        <w:pStyle w:val="7"/>
        <w:spacing w:line="360" w:lineRule="auto"/>
        <w:ind w:firstLine="480"/>
        <w:rPr>
          <w:rFonts w:hint="eastAsia" w:ascii="宋体" w:hAnsi="宋体"/>
          <w:color w:val="auto"/>
          <w:sz w:val="24"/>
          <w:szCs w:val="28"/>
          <w:highlight w:val="none"/>
        </w:rPr>
      </w:pPr>
      <w:r>
        <w:rPr>
          <w:rFonts w:hint="eastAsia" w:ascii="宋体" w:hAnsi="宋体"/>
          <w:color w:val="auto"/>
          <w:sz w:val="24"/>
          <w:szCs w:val="28"/>
          <w:highlight w:val="none"/>
        </w:rPr>
        <w:t>完成</w:t>
      </w:r>
      <w:r>
        <w:rPr>
          <w:rFonts w:hint="eastAsia" w:ascii="宋体" w:hAnsi="宋体"/>
          <w:color w:val="auto"/>
          <w:sz w:val="24"/>
          <w:szCs w:val="28"/>
          <w:highlight w:val="none"/>
          <w:lang w:eastAsia="zh-CN"/>
        </w:rPr>
        <w:t>玉溪第六小学</w:t>
      </w:r>
      <w:r>
        <w:rPr>
          <w:rFonts w:hint="eastAsia" w:ascii="宋体" w:hAnsi="宋体"/>
          <w:color w:val="auto"/>
          <w:sz w:val="24"/>
          <w:szCs w:val="28"/>
          <w:highlight w:val="none"/>
        </w:rPr>
        <w:t>智慧校园云广播升级服务。</w:t>
      </w:r>
    </w:p>
    <w:p w14:paraId="659BD260">
      <w:pPr>
        <w:pStyle w:val="7"/>
        <w:spacing w:line="360" w:lineRule="auto"/>
        <w:ind w:firstLine="480"/>
        <w:rPr>
          <w:rFonts w:hint="eastAsia" w:ascii="宋体" w:hAnsi="宋体"/>
          <w:color w:val="auto"/>
          <w:sz w:val="24"/>
          <w:szCs w:val="28"/>
          <w:highlight w:val="none"/>
        </w:rPr>
      </w:pPr>
      <w:bookmarkStart w:id="70" w:name="_Toc8315"/>
      <w:r>
        <w:rPr>
          <w:rFonts w:hint="eastAsia" w:ascii="宋体" w:hAnsi="宋体"/>
          <w:color w:val="auto"/>
          <w:sz w:val="24"/>
          <w:szCs w:val="28"/>
          <w:highlight w:val="none"/>
        </w:rPr>
        <w:t>（二）为落实政府采购政策需满足的要求</w:t>
      </w:r>
      <w:bookmarkEnd w:id="70"/>
    </w:p>
    <w:p w14:paraId="25E2A61C">
      <w:pPr>
        <w:pStyle w:val="7"/>
        <w:spacing w:line="360" w:lineRule="auto"/>
        <w:ind w:firstLine="480"/>
        <w:rPr>
          <w:rFonts w:hint="eastAsia" w:ascii="宋体" w:hAnsi="宋体"/>
          <w:color w:val="auto"/>
          <w:sz w:val="24"/>
          <w:szCs w:val="28"/>
          <w:highlight w:val="none"/>
        </w:rPr>
      </w:pPr>
      <w:r>
        <w:rPr>
          <w:rFonts w:hint="eastAsia" w:ascii="宋体" w:hAnsi="宋体"/>
          <w:color w:val="auto"/>
          <w:sz w:val="24"/>
          <w:szCs w:val="28"/>
          <w:highlight w:val="none"/>
        </w:rPr>
        <w:t>1.根据财政部发布的《政府采购促进中小企业发展管理办法》及《云南省进一步帮扶中小微企业纾困工作方案的通知》的规定，本项目对小型和微型企业报价给予10%的扣除，用扣除后的价格参加评审；</w:t>
      </w:r>
    </w:p>
    <w:p w14:paraId="030B55F8">
      <w:pPr>
        <w:pStyle w:val="7"/>
        <w:spacing w:line="360" w:lineRule="auto"/>
        <w:ind w:firstLine="480"/>
        <w:rPr>
          <w:rFonts w:hint="eastAsia" w:ascii="宋体" w:hAnsi="宋体"/>
          <w:color w:val="auto"/>
          <w:sz w:val="24"/>
          <w:szCs w:val="28"/>
          <w:highlight w:val="none"/>
        </w:rPr>
      </w:pPr>
      <w:r>
        <w:rPr>
          <w:rFonts w:hint="eastAsia" w:ascii="宋体" w:hAnsi="宋体"/>
          <w:color w:val="auto"/>
          <w:sz w:val="24"/>
          <w:szCs w:val="28"/>
          <w:highlight w:val="none"/>
        </w:rPr>
        <w:t>2.根据财政部发布的《关于政府采购支持监狱企业发展有关问题的通知》规定，本项目对监狱企业报价给予10%的扣除，用扣除后的价格参加评审（监狱企业视同为小型、微型企业）；</w:t>
      </w:r>
    </w:p>
    <w:p w14:paraId="64EDBDBE">
      <w:pPr>
        <w:pStyle w:val="7"/>
        <w:spacing w:line="360" w:lineRule="auto"/>
        <w:ind w:firstLine="480"/>
        <w:rPr>
          <w:rFonts w:hint="eastAsia" w:ascii="宋体" w:hAnsi="宋体"/>
          <w:color w:val="auto"/>
          <w:sz w:val="24"/>
          <w:szCs w:val="24"/>
          <w:highlight w:val="none"/>
        </w:rPr>
      </w:pPr>
      <w:r>
        <w:rPr>
          <w:rFonts w:hint="eastAsia" w:ascii="宋体" w:hAnsi="宋体"/>
          <w:color w:val="auto"/>
          <w:sz w:val="24"/>
          <w:szCs w:val="28"/>
          <w:highlight w:val="none"/>
        </w:rPr>
        <w:t>3.根据财政部、民政部、中国残疾人联合会发布的《关于促进残疾人就业政府采购政策的通知》规定，本项目对残疾人福利性单位报价给予10%的扣除，用扣除后的价格参加评审（残疾人福利性单位视同为小型、微型企业）；</w:t>
      </w:r>
    </w:p>
    <w:p w14:paraId="0F951A24">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二、执行的国家相关标准、行业标准、地方标准或者其他标准、规范</w:t>
      </w:r>
      <w:bookmarkEnd w:id="68"/>
    </w:p>
    <w:p w14:paraId="661881B6">
      <w:pPr>
        <w:pStyle w:val="7"/>
        <w:adjustRightInd w:val="0"/>
        <w:snapToGrid w:val="0"/>
        <w:spacing w:line="360" w:lineRule="auto"/>
        <w:ind w:firstLine="480"/>
        <w:rPr>
          <w:rFonts w:hint="eastAsia" w:ascii="宋体" w:hAnsi="宋体"/>
          <w:color w:val="auto"/>
          <w:sz w:val="24"/>
          <w:szCs w:val="24"/>
          <w:highlight w:val="none"/>
        </w:rPr>
      </w:pPr>
      <w:bookmarkStart w:id="71" w:name="_Toc152263272"/>
      <w:r>
        <w:rPr>
          <w:rFonts w:hint="eastAsia" w:ascii="宋体" w:hAnsi="宋体"/>
          <w:color w:val="auto"/>
          <w:sz w:val="24"/>
          <w:szCs w:val="24"/>
          <w:highlight w:val="none"/>
        </w:rPr>
        <w:t>1.质量要求：</w:t>
      </w:r>
      <w:r>
        <w:rPr>
          <w:rFonts w:hint="eastAsia" w:ascii="宋体" w:hAnsi="宋体"/>
          <w:bCs/>
          <w:color w:val="auto"/>
          <w:kern w:val="0"/>
          <w:sz w:val="24"/>
          <w:szCs w:val="24"/>
          <w:highlight w:val="none"/>
        </w:rPr>
        <w:t>达到国家、行业相关标准，满足采购人要求。</w:t>
      </w:r>
    </w:p>
    <w:p w14:paraId="55350A84">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2.其他相关标准：符合国家及行业相关规定以及满足采购人需求；</w:t>
      </w:r>
    </w:p>
    <w:p w14:paraId="6EE15D44">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三、采购标的的采购内容及要求</w:t>
      </w:r>
      <w:bookmarkEnd w:id="71"/>
    </w:p>
    <w:p w14:paraId="56C3E872">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1.广播部分</w:t>
      </w:r>
    </w:p>
    <w:tbl>
      <w:tblPr>
        <w:tblStyle w:val="34"/>
        <w:tblW w:w="10536" w:type="dxa"/>
        <w:tblInd w:w="98" w:type="dxa"/>
        <w:tblLayout w:type="autofit"/>
        <w:tblCellMar>
          <w:top w:w="0" w:type="dxa"/>
          <w:left w:w="108" w:type="dxa"/>
          <w:bottom w:w="0" w:type="dxa"/>
          <w:right w:w="108" w:type="dxa"/>
        </w:tblCellMar>
      </w:tblPr>
      <w:tblGrid>
        <w:gridCol w:w="712"/>
        <w:gridCol w:w="2016"/>
        <w:gridCol w:w="3074"/>
        <w:gridCol w:w="1678"/>
        <w:gridCol w:w="734"/>
        <w:gridCol w:w="627"/>
        <w:gridCol w:w="753"/>
        <w:gridCol w:w="942"/>
      </w:tblGrid>
      <w:tr w14:paraId="48D5CBC8">
        <w:tblPrEx>
          <w:tblCellMar>
            <w:top w:w="0" w:type="dxa"/>
            <w:left w:w="108" w:type="dxa"/>
            <w:bottom w:w="0" w:type="dxa"/>
            <w:right w:w="108" w:type="dxa"/>
          </w:tblCellMar>
        </w:tblPrEx>
        <w:trPr>
          <w:trHeight w:val="5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93D">
            <w:pPr>
              <w:widowControl/>
              <w:jc w:val="center"/>
              <w:textAlignment w:val="center"/>
              <w:rPr>
                <w:rFonts w:hint="eastAsia" w:ascii="宋体" w:hAnsi="宋体" w:cs="宋体"/>
                <w:b/>
                <w:bCs/>
                <w:color w:val="auto"/>
                <w:szCs w:val="21"/>
                <w:highlight w:val="none"/>
              </w:rPr>
            </w:pPr>
            <w:bookmarkStart w:id="72" w:name="_Toc152263273"/>
            <w:r>
              <w:rPr>
                <w:rFonts w:hint="eastAsia" w:ascii="宋体" w:hAnsi="宋体" w:cs="宋体"/>
                <w:b/>
                <w:bCs/>
                <w:color w:val="auto"/>
                <w:kern w:val="0"/>
                <w:szCs w:val="21"/>
                <w:highlight w:val="none"/>
                <w:lang w:bidi="ar"/>
              </w:rPr>
              <w:t>序号</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B3F">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设备名称</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1A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技术参数</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889">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示例</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7A54">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91BA">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2AA">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单价(元)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E248">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小计（元)</w:t>
            </w:r>
          </w:p>
        </w:tc>
      </w:tr>
      <w:tr w14:paraId="51C918F8">
        <w:tblPrEx>
          <w:tblCellMar>
            <w:top w:w="0" w:type="dxa"/>
            <w:left w:w="108" w:type="dxa"/>
            <w:bottom w:w="0" w:type="dxa"/>
            <w:right w:w="108" w:type="dxa"/>
          </w:tblCellMar>
        </w:tblPrEx>
        <w:trPr>
          <w:trHeight w:val="300" w:hRule="atLeast"/>
        </w:trPr>
        <w:tc>
          <w:tcPr>
            <w:tcW w:w="10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F79983">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广播中心设备</w:t>
            </w:r>
          </w:p>
        </w:tc>
      </w:tr>
      <w:tr w14:paraId="33F2B3A0">
        <w:tblPrEx>
          <w:tblCellMar>
            <w:top w:w="0" w:type="dxa"/>
            <w:left w:w="108" w:type="dxa"/>
            <w:bottom w:w="0" w:type="dxa"/>
            <w:right w:w="108" w:type="dxa"/>
          </w:tblCellMar>
        </w:tblPrEx>
        <w:trPr>
          <w:trHeight w:val="9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CEE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0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网络广播中心</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4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1、以局域网为主要传输媒介，全数字传输。自带服务器操控软件，直接入网使用；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2、强大的广播矩阵，内置丰富的节目源；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3、具有录音功能，用户可以自己制作节目源，可以通过本机录制，也可从远程控制电脑上复制；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4、支持终端定时点备份功能，定时点的内容能自动备份到网络播放终端上，支持批量修改终端设备IP地址、网络参数等；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5、支持中、英文多种语言切换功能；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6、服务器具有日志管理功能，包括系统日志、操作日志、故障日志及设备日志等，能及时掌握整个广播系统以往的运行情况；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7、服务器系统支持无人值守，可以设置不同的定时任务，定时任务执行方式有：“按天”、“按周循环”和“特殊定时点”；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8、采用≥17寸高清触摸真彩屏，可外扩显示器；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9、★服务器自带≥10路功能模块扩展口，方便更换功能及扩展；（提供服务器后面板实物图片并标识功能模块扩展口，加盖原厂公章）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10、★支持插卡式音频采集功能，支持≥4路音频输入接口；（提供服务器后面板实物图片并标识插卡式音频输入通道，加盖原厂公章）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11、★支持插卡式监听功能，支持≥1路音频输入接口、≥1路话筒输入接口、≥1路6.5mm输出接口；（提供服务器后面板实物图片并标识插卡式监听通道，加盖原厂公章）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12、★支持电源输出控制功能，支持≥4路220V电源输出，可接受定时任务定时控制开关，也可手动控制开关；（提供服务器实物图片并标识≥4路电源插座，加盖原厂公章）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13、采用钥匙开关，开机即进入系统界面，确保系统更安全和稳定。</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E29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152400</wp:posOffset>
                  </wp:positionH>
                  <wp:positionV relativeFrom="paragraph">
                    <wp:posOffset>-224155</wp:posOffset>
                  </wp:positionV>
                  <wp:extent cx="789940" cy="456565"/>
                  <wp:effectExtent l="0" t="0" r="10160" b="635"/>
                  <wp:wrapNone/>
                  <wp:docPr id="18" name="图片_6"/>
                  <wp:cNvGraphicFramePr/>
                  <a:graphic xmlns:a="http://schemas.openxmlformats.org/drawingml/2006/main">
                    <a:graphicData uri="http://schemas.openxmlformats.org/drawingml/2006/picture">
                      <pic:pic xmlns:pic="http://schemas.openxmlformats.org/drawingml/2006/picture">
                        <pic:nvPicPr>
                          <pic:cNvPr id="18" name="图片_6"/>
                          <pic:cNvPicPr/>
                        </pic:nvPicPr>
                        <pic:blipFill>
                          <a:blip r:embed="rId11"/>
                          <a:stretch>
                            <a:fillRect/>
                          </a:stretch>
                        </pic:blipFill>
                        <pic:spPr>
                          <a:xfrm>
                            <a:off x="0" y="0"/>
                            <a:ext cx="789940" cy="45656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C9A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D0B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87F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29000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20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29000</w:t>
            </w:r>
          </w:p>
        </w:tc>
      </w:tr>
      <w:tr w14:paraId="6B1500BF">
        <w:tblPrEx>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C71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70A049A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多媒体播放器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36C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1、采用全轻触按键控制，高亮度LCD屏显示，清晰醒目；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2、支持MP3播放器，内置USB插口、SD卡槽、CD机芯，支持CD、MP3、MP4、VCD、DVD等播放功能；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3、支持蓝牙播放功能；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4、支持收音功能，采用高灵敏度数字收音模块，具有自动搜索电台及存储功能，调频、调幅（AM/FM）各≥40个电台存储功能；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5、★支持≥1路蓝牙输出、≥1路收音信号输出、≥1路CD/MP3音频输出，≥1路混音输出、≥2路RJ45网络接口。（提供设备实物图片并标识相关输出接口和网络接口，加盖原厂公章）</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03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53340</wp:posOffset>
                  </wp:positionH>
                  <wp:positionV relativeFrom="paragraph">
                    <wp:posOffset>270510</wp:posOffset>
                  </wp:positionV>
                  <wp:extent cx="796925" cy="140970"/>
                  <wp:effectExtent l="0" t="0" r="3175" b="11430"/>
                  <wp:wrapNone/>
                  <wp:docPr id="17" name="图片_65"/>
                  <wp:cNvGraphicFramePr/>
                  <a:graphic xmlns:a="http://schemas.openxmlformats.org/drawingml/2006/main">
                    <a:graphicData uri="http://schemas.openxmlformats.org/drawingml/2006/picture">
                      <pic:pic xmlns:pic="http://schemas.openxmlformats.org/drawingml/2006/picture">
                        <pic:nvPicPr>
                          <pic:cNvPr id="17" name="图片_65"/>
                          <pic:cNvPicPr/>
                        </pic:nvPicPr>
                        <pic:blipFill>
                          <a:blip r:embed="rId12"/>
                          <a:stretch>
                            <a:fillRect/>
                          </a:stretch>
                        </pic:blipFill>
                        <pic:spPr>
                          <a:xfrm>
                            <a:off x="0" y="0"/>
                            <a:ext cx="796925" cy="140970"/>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2EA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80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70A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B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4300</w:t>
            </w:r>
          </w:p>
        </w:tc>
      </w:tr>
      <w:tr w14:paraId="0B020C04">
        <w:tblPrEx>
          <w:tblCellMar>
            <w:top w:w="0" w:type="dxa"/>
            <w:left w:w="108" w:type="dxa"/>
            <w:bottom w:w="0" w:type="dxa"/>
            <w:right w:w="108" w:type="dxa"/>
          </w:tblCellMar>
        </w:tblPrEx>
        <w:trPr>
          <w:trHeight w:val="7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88D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37EF5CE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网络化监听音箱</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68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1、网络化终端处理器结合高保真扬声器整体化设计的网络化音箱；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2、可监听到系统主机下发到各个分区的背景音乐、紧急寻呼、告警信号等；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3、支持48kHz采样率16bit的音频流数据解码；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4、内置≥40W数字功放，≥20W高保真扬声器，低功耗设置。</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7DC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336550</wp:posOffset>
                  </wp:positionH>
                  <wp:positionV relativeFrom="paragraph">
                    <wp:posOffset>116840</wp:posOffset>
                  </wp:positionV>
                  <wp:extent cx="260350" cy="351155"/>
                  <wp:effectExtent l="0" t="0" r="6350" b="4445"/>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13"/>
                          <a:stretch>
                            <a:fillRect/>
                          </a:stretch>
                        </pic:blipFill>
                        <pic:spPr>
                          <a:xfrm>
                            <a:off x="0" y="0"/>
                            <a:ext cx="260350" cy="35115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A1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DB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BD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2600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959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2600</w:t>
            </w:r>
          </w:p>
        </w:tc>
      </w:tr>
      <w:tr w14:paraId="1288371B">
        <w:tblPrEx>
          <w:tblCellMar>
            <w:top w:w="0" w:type="dxa"/>
            <w:left w:w="108" w:type="dxa"/>
            <w:bottom w:w="0" w:type="dxa"/>
            <w:right w:w="108" w:type="dxa"/>
          </w:tblCellMar>
        </w:tblPrEx>
        <w:trPr>
          <w:trHeight w:val="9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AB7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04263F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网络化智能寻呼站</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60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1、桌面式结构设计，采用高保真话筒；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2、采用≥7寸真彩触摸彩屏、显示各分区实时状态；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3、可对网络终端选定寻呼，播放网络主机节目库内容；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4、具有音频日志记录功能，可对寻呼的内容实时寻音记录，并可播放查阅；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5、★支持线路输入，可扩展外置节目源、无线话筒等接入，支持≥1路线路输入接口。支持监听功能，支持≥1路3.5mm监听输出接口。（提供设备实物图片并标识线路输入接口和3.5mm监听输出接口，加盖原厂公章）</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1F2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211455</wp:posOffset>
                  </wp:positionH>
                  <wp:positionV relativeFrom="paragraph">
                    <wp:posOffset>81280</wp:posOffset>
                  </wp:positionV>
                  <wp:extent cx="528320" cy="416560"/>
                  <wp:effectExtent l="0" t="0" r="5080" b="2540"/>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14"/>
                          <a:stretch>
                            <a:fillRect/>
                          </a:stretch>
                        </pic:blipFill>
                        <pic:spPr>
                          <a:xfrm>
                            <a:off x="0" y="0"/>
                            <a:ext cx="528320" cy="416560"/>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958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4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6CB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5800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726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5800</w:t>
            </w:r>
          </w:p>
        </w:tc>
      </w:tr>
      <w:tr w14:paraId="11FBA0DE">
        <w:tblPrEx>
          <w:tblCellMar>
            <w:top w:w="0" w:type="dxa"/>
            <w:left w:w="108" w:type="dxa"/>
            <w:bottom w:w="0" w:type="dxa"/>
            <w:right w:w="108" w:type="dxa"/>
          </w:tblCellMar>
        </w:tblPrEx>
        <w:trPr>
          <w:trHeight w:val="300" w:hRule="atLeast"/>
        </w:trPr>
        <w:tc>
          <w:tcPr>
            <w:tcW w:w="10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B6B2F2">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教室</w:t>
            </w:r>
          </w:p>
        </w:tc>
      </w:tr>
      <w:tr w14:paraId="17426B7D">
        <w:tblPrEx>
          <w:tblCellMar>
            <w:top w:w="0" w:type="dxa"/>
            <w:left w:w="108" w:type="dxa"/>
            <w:bottom w:w="0" w:type="dxa"/>
            <w:right w:w="108" w:type="dxa"/>
          </w:tblCellMar>
        </w:tblPrEx>
        <w:trPr>
          <w:trHeight w:val="9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2B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33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网络化室内音箱</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514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1、可播放来自系统主机的背景音乐、紧急寻呼、告警信号等；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2、优质纤维板制造，箱振小，声音清晰、明亮；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3、采用高性能ARM芯片，性能稳定，运行快捷，10/100M自适应；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4、额定功率：≥20W。</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298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217170</wp:posOffset>
                  </wp:positionH>
                  <wp:positionV relativeFrom="paragraph">
                    <wp:posOffset>160655</wp:posOffset>
                  </wp:positionV>
                  <wp:extent cx="421640" cy="266065"/>
                  <wp:effectExtent l="0" t="0" r="10160" b="635"/>
                  <wp:wrapNone/>
                  <wp:docPr id="16" name="图片_9"/>
                  <wp:cNvGraphicFramePr/>
                  <a:graphic xmlns:a="http://schemas.openxmlformats.org/drawingml/2006/main">
                    <a:graphicData uri="http://schemas.openxmlformats.org/drawingml/2006/picture">
                      <pic:pic xmlns:pic="http://schemas.openxmlformats.org/drawingml/2006/picture">
                        <pic:nvPicPr>
                          <pic:cNvPr id="16" name="图片_9"/>
                          <pic:cNvPicPr/>
                        </pic:nvPicPr>
                        <pic:blipFill>
                          <a:blip r:embed="rId15"/>
                          <a:stretch>
                            <a:fillRect/>
                          </a:stretch>
                        </pic:blipFill>
                        <pic:spPr>
                          <a:xfrm>
                            <a:off x="0" y="0"/>
                            <a:ext cx="421640" cy="26606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E0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6A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3AE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E1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40800</w:t>
            </w:r>
          </w:p>
        </w:tc>
      </w:tr>
      <w:tr w14:paraId="41F0252E">
        <w:tblPrEx>
          <w:tblCellMar>
            <w:top w:w="0" w:type="dxa"/>
            <w:left w:w="108" w:type="dxa"/>
            <w:bottom w:w="0" w:type="dxa"/>
            <w:right w:w="108" w:type="dxa"/>
          </w:tblCellMar>
        </w:tblPrEx>
        <w:trPr>
          <w:trHeight w:val="300" w:hRule="atLeast"/>
        </w:trPr>
        <w:tc>
          <w:tcPr>
            <w:tcW w:w="10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2253A7">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厕所</w:t>
            </w:r>
          </w:p>
        </w:tc>
      </w:tr>
      <w:tr w14:paraId="42DD7B6A">
        <w:tblPrEx>
          <w:tblCellMar>
            <w:top w:w="0" w:type="dxa"/>
            <w:left w:w="108" w:type="dxa"/>
            <w:bottom w:w="0" w:type="dxa"/>
            <w:right w:w="108" w:type="dxa"/>
          </w:tblCellMar>
        </w:tblPrEx>
        <w:trPr>
          <w:trHeight w:val="11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24B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09BF38A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室外网络化防水音柱</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17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1、集成网络解码模块、数字功放、高保真扬声器的一体化音柱；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2、采用全天候设计，配置防水单元，铝质面网，寿命长，不生锈；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3、可播放来自系统主机的背景音乐、紧急寻呼、告警信号等；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4、具有网络恢复上线后终端可以自动播放离线前节目的功能。</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3F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427355</wp:posOffset>
                  </wp:positionH>
                  <wp:positionV relativeFrom="paragraph">
                    <wp:posOffset>154940</wp:posOffset>
                  </wp:positionV>
                  <wp:extent cx="129540" cy="339090"/>
                  <wp:effectExtent l="0" t="0" r="10160" b="3810"/>
                  <wp:wrapNone/>
                  <wp:docPr id="14" name="图片_2_SpCnt_1"/>
                  <wp:cNvGraphicFramePr/>
                  <a:graphic xmlns:a="http://schemas.openxmlformats.org/drawingml/2006/main">
                    <a:graphicData uri="http://schemas.openxmlformats.org/drawingml/2006/picture">
                      <pic:pic xmlns:pic="http://schemas.openxmlformats.org/drawingml/2006/picture">
                        <pic:nvPicPr>
                          <pic:cNvPr id="14" name="图片_2_SpCnt_1"/>
                          <pic:cNvPicPr/>
                        </pic:nvPicPr>
                        <pic:blipFill>
                          <a:blip r:embed="rId16"/>
                          <a:stretch>
                            <a:fillRect/>
                          </a:stretch>
                        </pic:blipFill>
                        <pic:spPr>
                          <a:xfrm>
                            <a:off x="0" y="0"/>
                            <a:ext cx="129540" cy="3390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358775</wp:posOffset>
                  </wp:positionH>
                  <wp:positionV relativeFrom="paragraph">
                    <wp:posOffset>805180</wp:posOffset>
                  </wp:positionV>
                  <wp:extent cx="846455" cy="0"/>
                  <wp:effectExtent l="0" t="0" r="0" b="0"/>
                  <wp:wrapNone/>
                  <wp:docPr id="13" name="组合_20"/>
                  <wp:cNvGraphicFramePr/>
                  <a:graphic xmlns:a="http://schemas.openxmlformats.org/drawingml/2006/main">
                    <a:graphicData uri="http://schemas.openxmlformats.org/drawingml/2006/picture">
                      <pic:pic xmlns:pic="http://schemas.openxmlformats.org/drawingml/2006/picture">
                        <pic:nvPicPr>
                          <pic:cNvPr id="13" name="组合_20"/>
                          <pic:cNvPicPr/>
                        </pic:nvPicPr>
                        <pic:blipFill>
                          <a:blip r:embed="rId17"/>
                          <a:stretch>
                            <a:fillRect/>
                          </a:stretch>
                        </pic:blipFill>
                        <pic:spPr>
                          <a:xfrm>
                            <a:off x="0" y="0"/>
                            <a:ext cx="846455" cy="0"/>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DF4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A11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669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A51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2200</w:t>
            </w:r>
          </w:p>
        </w:tc>
      </w:tr>
      <w:tr w14:paraId="0268F886">
        <w:tblPrEx>
          <w:tblCellMar>
            <w:top w:w="0" w:type="dxa"/>
            <w:left w:w="108" w:type="dxa"/>
            <w:bottom w:w="0" w:type="dxa"/>
            <w:right w:w="108" w:type="dxa"/>
          </w:tblCellMar>
        </w:tblPrEx>
        <w:trPr>
          <w:trHeight w:val="300" w:hRule="atLeast"/>
        </w:trPr>
        <w:tc>
          <w:tcPr>
            <w:tcW w:w="10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D473BD">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操场</w:t>
            </w:r>
          </w:p>
        </w:tc>
      </w:tr>
      <w:tr w14:paraId="457B04D1">
        <w:tblPrEx>
          <w:tblCellMar>
            <w:top w:w="0" w:type="dxa"/>
            <w:left w:w="108" w:type="dxa"/>
            <w:bottom w:w="0" w:type="dxa"/>
            <w:right w:w="108" w:type="dxa"/>
          </w:tblCellMar>
        </w:tblPrEx>
        <w:trPr>
          <w:trHeight w:val="8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DE8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3EEEF3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室外音柱</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11B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1、采用铝质面网，不生锈，适宜室内外使用；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2、二分频结构，频带宽；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3、额定功率：≥160W。</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703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446405</wp:posOffset>
                  </wp:positionH>
                  <wp:positionV relativeFrom="paragraph">
                    <wp:posOffset>92710</wp:posOffset>
                  </wp:positionV>
                  <wp:extent cx="151130" cy="444500"/>
                  <wp:effectExtent l="0" t="0" r="1270" b="0"/>
                  <wp:wrapNone/>
                  <wp:docPr id="15" name="图片_51"/>
                  <wp:cNvGraphicFramePr/>
                  <a:graphic xmlns:a="http://schemas.openxmlformats.org/drawingml/2006/main">
                    <a:graphicData uri="http://schemas.openxmlformats.org/drawingml/2006/picture">
                      <pic:pic xmlns:pic="http://schemas.openxmlformats.org/drawingml/2006/picture">
                        <pic:nvPicPr>
                          <pic:cNvPr id="15" name="图片_51"/>
                          <pic:cNvPicPr/>
                        </pic:nvPicPr>
                        <pic:blipFill>
                          <a:blip r:embed="rId18"/>
                          <a:stretch>
                            <a:fillRect/>
                          </a:stretch>
                        </pic:blipFill>
                        <pic:spPr>
                          <a:xfrm>
                            <a:off x="0" y="0"/>
                            <a:ext cx="151130" cy="444500"/>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E1B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283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98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98D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4700</w:t>
            </w:r>
          </w:p>
        </w:tc>
      </w:tr>
      <w:tr w14:paraId="12F42984">
        <w:tblPrEx>
          <w:tblCellMar>
            <w:top w:w="0" w:type="dxa"/>
            <w:left w:w="108" w:type="dxa"/>
            <w:bottom w:w="0" w:type="dxa"/>
            <w:right w:w="108" w:type="dxa"/>
          </w:tblCellMar>
        </w:tblPrEx>
        <w:trPr>
          <w:trHeight w:val="10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98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62F9E1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网络化无线遥控终端</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17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1、内置无线遥控接收模块，实现远程遥控控制，接收灵敏度高，遥控器可控距离远；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2、支持≥12个按键控制，可自定义每个按键的功能；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3、能够控制全区播放特定的音源、全区停止播放、选定分区播放特定音源、选定分区停止等操作。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358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125730</wp:posOffset>
                  </wp:positionH>
                  <wp:positionV relativeFrom="paragraph">
                    <wp:posOffset>142875</wp:posOffset>
                  </wp:positionV>
                  <wp:extent cx="754380" cy="321310"/>
                  <wp:effectExtent l="0" t="0" r="7620" b="8890"/>
                  <wp:wrapNone/>
                  <wp:docPr id="9" name="图片_1_SpCnt_1"/>
                  <wp:cNvGraphicFramePr/>
                  <a:graphic xmlns:a="http://schemas.openxmlformats.org/drawingml/2006/main">
                    <a:graphicData uri="http://schemas.openxmlformats.org/drawingml/2006/picture">
                      <pic:pic xmlns:pic="http://schemas.openxmlformats.org/drawingml/2006/picture">
                        <pic:nvPicPr>
                          <pic:cNvPr id="9" name="图片_1_SpCnt_1"/>
                          <pic:cNvPicPr/>
                        </pic:nvPicPr>
                        <pic:blipFill>
                          <a:blip r:embed="rId19"/>
                          <a:stretch>
                            <a:fillRect/>
                          </a:stretch>
                        </pic:blipFill>
                        <pic:spPr>
                          <a:xfrm>
                            <a:off x="0" y="0"/>
                            <a:ext cx="754380" cy="321310"/>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2B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E21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92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316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3500</w:t>
            </w:r>
          </w:p>
        </w:tc>
      </w:tr>
      <w:tr w14:paraId="3482A915">
        <w:tblPrEx>
          <w:tblCellMar>
            <w:top w:w="0" w:type="dxa"/>
            <w:left w:w="108" w:type="dxa"/>
            <w:bottom w:w="0" w:type="dxa"/>
            <w:right w:w="108" w:type="dxa"/>
          </w:tblCellMar>
        </w:tblPrEx>
        <w:trPr>
          <w:trHeight w:val="9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726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0E9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真分集无线话筒套装</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F0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1、一拖四无线手持话筒；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2、PLL双频道锁相环回路设计；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3、UHF200频道PLL数字锁定自动通讯功能；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4、显示屏显示功能(显示频率、频道、静噪、电平等)；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5、每通道有音量调节功能；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6、★总谐波失真：≤2%，信噪比：≥60dB，提供产品带有“ILAC-MRA/CNAS/CMA”标识的第三方检测报告复印件，加盖原厂公章，报告中需附带设备样品现场测试照片，及体现此项的检测指标合格实测结果。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3E6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64135</wp:posOffset>
                  </wp:positionH>
                  <wp:positionV relativeFrom="paragraph">
                    <wp:posOffset>102235</wp:posOffset>
                  </wp:positionV>
                  <wp:extent cx="815975" cy="442595"/>
                  <wp:effectExtent l="0" t="0" r="9525" b="1905"/>
                  <wp:wrapNone/>
                  <wp:docPr id="4" name="图片_66"/>
                  <wp:cNvGraphicFramePr/>
                  <a:graphic xmlns:a="http://schemas.openxmlformats.org/drawingml/2006/main">
                    <a:graphicData uri="http://schemas.openxmlformats.org/drawingml/2006/picture">
                      <pic:pic xmlns:pic="http://schemas.openxmlformats.org/drawingml/2006/picture">
                        <pic:nvPicPr>
                          <pic:cNvPr id="4" name="图片_66"/>
                          <pic:cNvPicPr/>
                        </pic:nvPicPr>
                        <pic:blipFill>
                          <a:blip r:embed="rId20"/>
                          <a:stretch>
                            <a:fillRect/>
                          </a:stretch>
                        </pic:blipFill>
                        <pic:spPr>
                          <a:xfrm>
                            <a:off x="0" y="0"/>
                            <a:ext cx="815975" cy="44259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3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BC6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F8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5F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6000</w:t>
            </w:r>
          </w:p>
        </w:tc>
      </w:tr>
      <w:tr w14:paraId="0C26227F">
        <w:tblPrEx>
          <w:tblCellMar>
            <w:top w:w="0" w:type="dxa"/>
            <w:left w:w="108" w:type="dxa"/>
            <w:bottom w:w="0" w:type="dxa"/>
            <w:right w:w="108" w:type="dxa"/>
          </w:tblCellMar>
        </w:tblPrEx>
        <w:trPr>
          <w:trHeight w:val="8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6C9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93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八路天线放大器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B34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1、有效工作频率为400MHZ-950MHZ，信号增益+2DBM到+12DBM可调；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2、天线板安装了高效的强滤波电路，有效过滤与隔离了工作范围外的干忧信号的输入；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3、天线板加入了高性能的高频增益芯片，可对话筒信号进行无损的增强与补偿；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4、所有同轴电缆线材为5层结构的带屏蔽铝箔的高频铜芯专用线。</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C7D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41910</wp:posOffset>
                  </wp:positionH>
                  <wp:positionV relativeFrom="paragraph">
                    <wp:posOffset>81280</wp:posOffset>
                  </wp:positionV>
                  <wp:extent cx="818515" cy="372745"/>
                  <wp:effectExtent l="0" t="0" r="6985" b="8255"/>
                  <wp:wrapNone/>
                  <wp:docPr id="6" name="图片_64"/>
                  <wp:cNvGraphicFramePr/>
                  <a:graphic xmlns:a="http://schemas.openxmlformats.org/drawingml/2006/main">
                    <a:graphicData uri="http://schemas.openxmlformats.org/drawingml/2006/picture">
                      <pic:pic xmlns:pic="http://schemas.openxmlformats.org/drawingml/2006/picture">
                        <pic:nvPicPr>
                          <pic:cNvPr id="6" name="图片_64"/>
                          <pic:cNvPicPr/>
                        </pic:nvPicPr>
                        <pic:blipFill>
                          <a:blip r:embed="rId21"/>
                          <a:stretch>
                            <a:fillRect/>
                          </a:stretch>
                        </pic:blipFill>
                        <pic:spPr>
                          <a:xfrm>
                            <a:off x="0" y="0"/>
                            <a:ext cx="818515" cy="37274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788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51F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FA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6250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DF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6250</w:t>
            </w:r>
          </w:p>
        </w:tc>
      </w:tr>
      <w:tr w14:paraId="150EDA30">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14D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3A5B3B0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一路音频输出终端</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4B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1、内置网络解码模块可实时播放网络音乐，可单向接收广播呼叫；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2、两路线输出，外接功率放大器；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3、有以太网口的地方即可接入，支持跨网段和跨路由；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4、全数字化设计，高保真、语音传输指数高。</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DA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13335</wp:posOffset>
                  </wp:positionH>
                  <wp:positionV relativeFrom="paragraph">
                    <wp:posOffset>245110</wp:posOffset>
                  </wp:positionV>
                  <wp:extent cx="775970" cy="79375"/>
                  <wp:effectExtent l="0" t="0" r="11430" b="9525"/>
                  <wp:wrapNone/>
                  <wp:docPr id="3" name="图片_61"/>
                  <wp:cNvGraphicFramePr/>
                  <a:graphic xmlns:a="http://schemas.openxmlformats.org/drawingml/2006/main">
                    <a:graphicData uri="http://schemas.openxmlformats.org/drawingml/2006/picture">
                      <pic:pic xmlns:pic="http://schemas.openxmlformats.org/drawingml/2006/picture">
                        <pic:nvPicPr>
                          <pic:cNvPr id="3" name="图片_61"/>
                          <pic:cNvPicPr/>
                        </pic:nvPicPr>
                        <pic:blipFill>
                          <a:blip r:embed="rId22"/>
                          <a:stretch>
                            <a:fillRect/>
                          </a:stretch>
                        </pic:blipFill>
                        <pic:spPr>
                          <a:xfrm>
                            <a:off x="0" y="0"/>
                            <a:ext cx="775970" cy="7937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53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A64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30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A50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2200</w:t>
            </w:r>
          </w:p>
        </w:tc>
      </w:tr>
      <w:tr w14:paraId="151E41C1">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1D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748" w:type="dxa"/>
            <w:tcBorders>
              <w:top w:val="single" w:color="000000" w:sz="4" w:space="0"/>
              <w:left w:val="nil"/>
              <w:bottom w:val="single" w:color="000000" w:sz="4" w:space="0"/>
              <w:right w:val="single" w:color="000000" w:sz="4" w:space="0"/>
            </w:tcBorders>
            <w:shd w:val="clear" w:color="auto" w:fill="auto"/>
            <w:vAlign w:val="center"/>
          </w:tcPr>
          <w:p w14:paraId="0BDCB52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前置放大器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1CF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1、≥5个话筒口输入，≥3个辅助口音频输入，≥1个优先输入口，≥4个输出口；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2、支持各通道音量独立控制；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3、支持高音和低音音调控制；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4、支持强插功能。</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01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27940</wp:posOffset>
                  </wp:positionH>
                  <wp:positionV relativeFrom="paragraph">
                    <wp:posOffset>217805</wp:posOffset>
                  </wp:positionV>
                  <wp:extent cx="783590" cy="139065"/>
                  <wp:effectExtent l="0" t="0" r="3810" b="635"/>
                  <wp:wrapNone/>
                  <wp:docPr id="11" name="图片_62"/>
                  <wp:cNvGraphicFramePr/>
                  <a:graphic xmlns:a="http://schemas.openxmlformats.org/drawingml/2006/main">
                    <a:graphicData uri="http://schemas.openxmlformats.org/drawingml/2006/picture">
                      <pic:pic xmlns:pic="http://schemas.openxmlformats.org/drawingml/2006/picture">
                        <pic:nvPicPr>
                          <pic:cNvPr id="11" name="图片_62"/>
                          <pic:cNvPicPr/>
                        </pic:nvPicPr>
                        <pic:blipFill>
                          <a:blip r:embed="rId23"/>
                          <a:stretch>
                            <a:fillRect/>
                          </a:stretch>
                        </pic:blipFill>
                        <pic:spPr>
                          <a:xfrm>
                            <a:off x="0" y="0"/>
                            <a:ext cx="783590" cy="13906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37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968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A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A5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1600</w:t>
            </w:r>
          </w:p>
        </w:tc>
      </w:tr>
      <w:tr w14:paraId="12C889A5">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43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E24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纯后级广播功放</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B12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1、100V、70V定压输出，额定输出功率：≥450W；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2、支持6.35mm插口和XLR插口；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3、高温，直流，短路保护，输出短路保护并示警。</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6D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70485</wp:posOffset>
                  </wp:positionH>
                  <wp:positionV relativeFrom="paragraph">
                    <wp:posOffset>216535</wp:posOffset>
                  </wp:positionV>
                  <wp:extent cx="780415" cy="130810"/>
                  <wp:effectExtent l="0" t="0" r="6985" b="8890"/>
                  <wp:wrapNone/>
                  <wp:docPr id="10" name="图片_72"/>
                  <wp:cNvGraphicFramePr/>
                  <a:graphic xmlns:a="http://schemas.openxmlformats.org/drawingml/2006/main">
                    <a:graphicData uri="http://schemas.openxmlformats.org/drawingml/2006/picture">
                      <pic:pic xmlns:pic="http://schemas.openxmlformats.org/drawingml/2006/picture">
                        <pic:nvPicPr>
                          <pic:cNvPr id="10" name="图片_72"/>
                          <pic:cNvPicPr/>
                        </pic:nvPicPr>
                        <pic:blipFill>
                          <a:blip r:embed="rId24"/>
                          <a:stretch>
                            <a:fillRect/>
                          </a:stretch>
                        </pic:blipFill>
                        <pic:spPr>
                          <a:xfrm>
                            <a:off x="0" y="0"/>
                            <a:ext cx="780415" cy="130810"/>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3C4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CB8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08C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719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3300</w:t>
            </w:r>
          </w:p>
        </w:tc>
      </w:tr>
      <w:tr w14:paraId="4B130AF3">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45F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2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电源时序器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175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1、支持独立的八路大功率电源输出，可满足多种三级的电源插座；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2、支持控制和显示八路通道开关状态，可通过面板一键开关时序关启通道；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3、有效的统一管理控制用电设备，确保整个系统的稳定运行。</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949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46355</wp:posOffset>
                  </wp:positionH>
                  <wp:positionV relativeFrom="paragraph">
                    <wp:posOffset>150495</wp:posOffset>
                  </wp:positionV>
                  <wp:extent cx="798830" cy="79375"/>
                  <wp:effectExtent l="0" t="0" r="1270" b="9525"/>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25"/>
                          <a:stretch>
                            <a:fillRect/>
                          </a:stretch>
                        </pic:blipFill>
                        <pic:spPr>
                          <a:xfrm>
                            <a:off x="0" y="0"/>
                            <a:ext cx="798830" cy="79375"/>
                          </a:xfrm>
                          <a:prstGeom prst="rect">
                            <a:avLst/>
                          </a:prstGeom>
                          <a:noFill/>
                          <a:ln>
                            <a:noFill/>
                          </a:ln>
                        </pic:spPr>
                      </pic:pic>
                    </a:graphicData>
                  </a:graphic>
                </wp:anchor>
              </w:drawing>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85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6CA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CD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21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1600</w:t>
            </w:r>
          </w:p>
        </w:tc>
      </w:tr>
      <w:tr w14:paraId="44524854">
        <w:tblPrEx>
          <w:tblCellMar>
            <w:top w:w="0" w:type="dxa"/>
            <w:left w:w="108" w:type="dxa"/>
            <w:bottom w:w="0" w:type="dxa"/>
            <w:right w:w="108" w:type="dxa"/>
          </w:tblCellMar>
        </w:tblPrEx>
        <w:trPr>
          <w:trHeight w:val="360" w:hRule="atLeast"/>
        </w:trPr>
        <w:tc>
          <w:tcPr>
            <w:tcW w:w="10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97F301">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线材及配件</w:t>
            </w:r>
          </w:p>
        </w:tc>
      </w:tr>
      <w:tr w14:paraId="08AEF434">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85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D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18U机柜</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2A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宽600深600高1000，立式，带脚轮，玻璃门，板材0.6mm，顶部散热风扇，立柱净距448mm，孔距455-474mm。</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FAB0">
            <w:pPr>
              <w:jc w:val="left"/>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B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7E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28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31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1400</w:t>
            </w:r>
          </w:p>
        </w:tc>
      </w:tr>
      <w:tr w14:paraId="2EF4D643">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2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DA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6U机柜</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03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宽530深400高300，壁挂，玻璃门，板材0.6mm。</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BD8">
            <w:pPr>
              <w:jc w:val="left"/>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5A9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D94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E0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DDC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800</w:t>
            </w:r>
          </w:p>
        </w:tc>
      </w:tr>
      <w:tr w14:paraId="07EFE135">
        <w:tblPrEx>
          <w:tblCellMar>
            <w:top w:w="0" w:type="dxa"/>
            <w:left w:w="108" w:type="dxa"/>
            <w:bottom w:w="0" w:type="dxa"/>
            <w:right w:w="108" w:type="dxa"/>
          </w:tblCellMar>
        </w:tblPrEx>
        <w:trPr>
          <w:trHeight w:val="6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A04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3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8口千兆交换机</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81B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8口千兆</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86F">
            <w:pPr>
              <w:jc w:val="left"/>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A87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151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D0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0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2100</w:t>
            </w:r>
          </w:p>
        </w:tc>
      </w:tr>
      <w:tr w14:paraId="4ED992CF">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2E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6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六类网络线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0A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六类千兆CAT6e类双绞整箱高速网线纯铜工程级0.55mm/305米</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AB0">
            <w:pPr>
              <w:jc w:val="left"/>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FCD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9CB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箱</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66E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96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8250</w:t>
            </w:r>
          </w:p>
        </w:tc>
      </w:tr>
      <w:tr w14:paraId="76DA956C">
        <w:tblPrEx>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DDB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E9D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PVC管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23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管外径25φ，PVC阻燃材质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4A54">
            <w:pPr>
              <w:jc w:val="center"/>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4CF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600</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48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9D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0C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1800</w:t>
            </w:r>
          </w:p>
        </w:tc>
      </w:tr>
      <w:tr w14:paraId="6CE28EF2">
        <w:tblPrEx>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361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D7F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电源线</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B2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2*1.5护套电源线</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704F">
            <w:pPr>
              <w:jc w:val="center"/>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387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1100</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84F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EFB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51D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3850</w:t>
            </w:r>
          </w:p>
        </w:tc>
      </w:tr>
      <w:tr w14:paraId="2D45DCD6">
        <w:tblPrEx>
          <w:tblCellMar>
            <w:top w:w="0" w:type="dxa"/>
            <w:left w:w="108" w:type="dxa"/>
            <w:bottom w:w="0" w:type="dxa"/>
            <w:right w:w="108" w:type="dxa"/>
          </w:tblCellMar>
        </w:tblPrEx>
        <w:trPr>
          <w:trHeight w:val="4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D9D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032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六位插座</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C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插孔电流：10A；功率：2500W；安装孔距：22mm；开关方式：单开开关；灯路控制：单路。</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76B">
            <w:pPr>
              <w:jc w:val="center"/>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25A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8A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97D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F1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r>
      <w:tr w14:paraId="5FEA876C">
        <w:tblPrEx>
          <w:tblCellMar>
            <w:top w:w="0" w:type="dxa"/>
            <w:left w:w="108" w:type="dxa"/>
            <w:bottom w:w="0" w:type="dxa"/>
            <w:right w:w="108" w:type="dxa"/>
          </w:tblCellMar>
        </w:tblPrEx>
        <w:trPr>
          <w:trHeight w:val="4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D98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147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6类非屏蔽水晶头</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B6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超六类一体式</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DB16">
            <w:pPr>
              <w:jc w:val="center"/>
              <w:rPr>
                <w:rFonts w:hint="eastAsia" w:ascii="宋体" w:hAnsi="宋体" w:cs="宋体"/>
                <w:color w:val="auto"/>
                <w:sz w:val="20"/>
                <w:szCs w:val="20"/>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A1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580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盒</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BD7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19F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300</w:t>
            </w:r>
          </w:p>
        </w:tc>
      </w:tr>
      <w:tr w14:paraId="62EB7E3B">
        <w:tblPrEx>
          <w:tblCellMar>
            <w:top w:w="0" w:type="dxa"/>
            <w:left w:w="108" w:type="dxa"/>
            <w:bottom w:w="0" w:type="dxa"/>
            <w:right w:w="108" w:type="dxa"/>
          </w:tblCellMar>
        </w:tblPrEx>
        <w:trPr>
          <w:trHeight w:val="4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15A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6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D575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D2B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55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0D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1CF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2000</w:t>
            </w:r>
          </w:p>
        </w:tc>
      </w:tr>
      <w:tr w14:paraId="3DC74C43">
        <w:tblPrEx>
          <w:tblCellMar>
            <w:top w:w="0" w:type="dxa"/>
            <w:left w:w="108" w:type="dxa"/>
            <w:bottom w:w="0" w:type="dxa"/>
            <w:right w:w="108" w:type="dxa"/>
          </w:tblCellMar>
        </w:tblPrEx>
        <w:trPr>
          <w:trHeight w:val="3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8E5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6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FE24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安装调试服务费用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74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7E2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CA4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E87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10000</w:t>
            </w:r>
          </w:p>
        </w:tc>
      </w:tr>
      <w:tr w14:paraId="1DDC5580">
        <w:tblPrEx>
          <w:tblCellMar>
            <w:top w:w="0" w:type="dxa"/>
            <w:left w:w="108" w:type="dxa"/>
            <w:bottom w:w="0" w:type="dxa"/>
            <w:right w:w="108" w:type="dxa"/>
          </w:tblCellMar>
        </w:tblPrEx>
        <w:trPr>
          <w:trHeight w:val="420" w:hRule="atLeast"/>
        </w:trPr>
        <w:tc>
          <w:tcPr>
            <w:tcW w:w="9719"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21C58C2B">
            <w:pPr>
              <w:widowControl/>
              <w:jc w:val="center"/>
              <w:textAlignment w:val="bottom"/>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合计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F21B1">
            <w:pPr>
              <w:widowControl/>
              <w:jc w:val="right"/>
              <w:textAlignment w:val="bottom"/>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144650</w:t>
            </w:r>
          </w:p>
        </w:tc>
      </w:tr>
    </w:tbl>
    <w:p w14:paraId="28C8CCF1">
      <w:pPr>
        <w:tabs>
          <w:tab w:val="left" w:pos="142"/>
        </w:tabs>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2.桥架部分</w:t>
      </w:r>
    </w:p>
    <w:tbl>
      <w:tblPr>
        <w:tblStyle w:val="34"/>
        <w:tblW w:w="10420" w:type="dxa"/>
        <w:tblInd w:w="98" w:type="dxa"/>
        <w:tblLayout w:type="autofit"/>
        <w:tblCellMar>
          <w:top w:w="0" w:type="dxa"/>
          <w:left w:w="108" w:type="dxa"/>
          <w:bottom w:w="0" w:type="dxa"/>
          <w:right w:w="108" w:type="dxa"/>
        </w:tblCellMar>
      </w:tblPr>
      <w:tblGrid>
        <w:gridCol w:w="680"/>
        <w:gridCol w:w="2093"/>
        <w:gridCol w:w="2764"/>
        <w:gridCol w:w="680"/>
        <w:gridCol w:w="680"/>
        <w:gridCol w:w="1365"/>
        <w:gridCol w:w="1365"/>
        <w:gridCol w:w="793"/>
      </w:tblGrid>
      <w:tr w14:paraId="3883389F">
        <w:tblPrEx>
          <w:tblCellMar>
            <w:top w:w="0" w:type="dxa"/>
            <w:left w:w="108" w:type="dxa"/>
            <w:bottom w:w="0" w:type="dxa"/>
            <w:right w:w="108" w:type="dxa"/>
          </w:tblCellMar>
        </w:tblPrEx>
        <w:trPr>
          <w:trHeight w:val="396" w:hRule="atLeast"/>
        </w:trPr>
        <w:tc>
          <w:tcPr>
            <w:tcW w:w="10420" w:type="dxa"/>
            <w:gridSpan w:val="8"/>
            <w:tcBorders>
              <w:top w:val="nil"/>
              <w:left w:val="nil"/>
              <w:bottom w:val="nil"/>
              <w:right w:val="nil"/>
            </w:tcBorders>
            <w:shd w:val="clear" w:color="auto" w:fill="auto"/>
            <w:noWrap/>
            <w:vAlign w:val="center"/>
          </w:tcPr>
          <w:p w14:paraId="3A6B114B">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24"/>
                <w:szCs w:val="24"/>
                <w:highlight w:val="none"/>
                <w:lang w:bidi="ar"/>
              </w:rPr>
              <w:t>玉溪第六小学弱电桥架报价</w:t>
            </w:r>
          </w:p>
        </w:tc>
      </w:tr>
      <w:tr w14:paraId="741EB195">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0574">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F6E0">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D102">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规 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0747">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088F">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20A8">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42E">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金额（元）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691">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备注</w:t>
            </w:r>
          </w:p>
        </w:tc>
      </w:tr>
      <w:tr w14:paraId="0DC4699D">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A81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FF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13A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666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3F8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19A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AA5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1230.00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F9D">
            <w:pPr>
              <w:jc w:val="center"/>
              <w:rPr>
                <w:rFonts w:hint="eastAsia" w:ascii="宋体" w:hAnsi="宋体" w:cs="宋体"/>
                <w:color w:val="auto"/>
                <w:sz w:val="22"/>
                <w:highlight w:val="none"/>
              </w:rPr>
            </w:pPr>
          </w:p>
        </w:tc>
      </w:tr>
      <w:tr w14:paraId="663DBED3">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5BC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CB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33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C71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CD1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DD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948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25410.00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815E">
            <w:pPr>
              <w:jc w:val="center"/>
              <w:rPr>
                <w:rFonts w:hint="eastAsia" w:ascii="宋体" w:hAnsi="宋体" w:cs="宋体"/>
                <w:color w:val="auto"/>
                <w:sz w:val="22"/>
                <w:highlight w:val="none"/>
              </w:rPr>
            </w:pPr>
          </w:p>
        </w:tc>
      </w:tr>
      <w:tr w14:paraId="419C5D19">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900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1B2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AE3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738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221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7F8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3A7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8400.00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2027">
            <w:pPr>
              <w:jc w:val="center"/>
              <w:rPr>
                <w:rFonts w:hint="eastAsia" w:ascii="宋体" w:hAnsi="宋体" w:cs="宋体"/>
                <w:color w:val="auto"/>
                <w:sz w:val="22"/>
                <w:highlight w:val="none"/>
              </w:rPr>
            </w:pPr>
          </w:p>
        </w:tc>
      </w:tr>
      <w:tr w14:paraId="40411E2E">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554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24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L型支架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3A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92F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070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C14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7E3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2700.00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F8D6">
            <w:pPr>
              <w:jc w:val="center"/>
              <w:rPr>
                <w:rFonts w:hint="eastAsia" w:ascii="宋体" w:hAnsi="宋体" w:cs="宋体"/>
                <w:color w:val="auto"/>
                <w:sz w:val="22"/>
                <w:highlight w:val="none"/>
              </w:rPr>
            </w:pPr>
          </w:p>
        </w:tc>
      </w:tr>
      <w:tr w14:paraId="16AAE4CD">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AF0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F4C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膨胀螺栓</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14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76B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287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6E7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BFA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480.00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135">
            <w:pPr>
              <w:jc w:val="center"/>
              <w:rPr>
                <w:rFonts w:hint="eastAsia" w:ascii="宋体" w:hAnsi="宋体" w:cs="宋体"/>
                <w:color w:val="auto"/>
                <w:sz w:val="22"/>
                <w:highlight w:val="none"/>
              </w:rPr>
            </w:pPr>
          </w:p>
        </w:tc>
      </w:tr>
      <w:tr w14:paraId="72A0C38C">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381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4C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8#丝杆吊架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B2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L=500  B</w:t>
            </w:r>
            <w:r>
              <w:rPr>
                <w:rStyle w:val="163"/>
                <w:color w:val="auto"/>
                <w:highlight w:val="none"/>
                <w:lang w:bidi="ar"/>
              </w:rPr>
              <w:t>≦</w:t>
            </w:r>
            <w:r>
              <w:rPr>
                <w:rFonts w:hint="eastAsia" w:ascii="宋体" w:hAnsi="宋体" w:cs="宋体"/>
                <w:color w:val="auto"/>
                <w:kern w:val="0"/>
                <w:sz w:val="22"/>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6E0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F35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2B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E6C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8750.00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7C6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含丝杆横担膨胀螺丝焊角码</w:t>
            </w:r>
          </w:p>
        </w:tc>
      </w:tr>
      <w:tr w14:paraId="6C543B8D">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D84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16E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水平弯</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01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AA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B1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8DC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5E7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1260.00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9A4">
            <w:pPr>
              <w:jc w:val="center"/>
              <w:rPr>
                <w:rFonts w:hint="eastAsia" w:ascii="宋体" w:hAnsi="宋体" w:cs="宋体"/>
                <w:color w:val="auto"/>
                <w:sz w:val="22"/>
                <w:highlight w:val="none"/>
              </w:rPr>
            </w:pPr>
          </w:p>
        </w:tc>
      </w:tr>
      <w:tr w14:paraId="1875C901">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7D8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7E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垂直假三通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0EF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8C6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CB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011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A63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2400.00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73C9">
            <w:pPr>
              <w:jc w:val="center"/>
              <w:rPr>
                <w:rFonts w:hint="eastAsia" w:ascii="宋体" w:hAnsi="宋体" w:cs="宋体"/>
                <w:color w:val="auto"/>
                <w:sz w:val="22"/>
                <w:highlight w:val="none"/>
              </w:rPr>
            </w:pPr>
          </w:p>
        </w:tc>
      </w:tr>
      <w:tr w14:paraId="0336182A">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CD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9</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34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水平三通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13B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84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500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D1A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5EA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2600.00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AB64">
            <w:pPr>
              <w:jc w:val="center"/>
              <w:rPr>
                <w:rFonts w:hint="eastAsia" w:ascii="宋体" w:hAnsi="宋体" w:cs="宋体"/>
                <w:color w:val="auto"/>
                <w:sz w:val="22"/>
                <w:highlight w:val="none"/>
              </w:rPr>
            </w:pPr>
          </w:p>
        </w:tc>
      </w:tr>
      <w:tr w14:paraId="79B3E6B4">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A80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55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爬高弯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D6E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BDD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3A4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25A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C89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1300.00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062E">
            <w:pPr>
              <w:jc w:val="center"/>
              <w:rPr>
                <w:rFonts w:hint="eastAsia" w:ascii="宋体" w:hAnsi="宋体" w:cs="宋体"/>
                <w:color w:val="auto"/>
                <w:sz w:val="22"/>
                <w:highlight w:val="none"/>
              </w:rPr>
            </w:pPr>
          </w:p>
        </w:tc>
      </w:tr>
      <w:tr w14:paraId="7B49002E">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78F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1D1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四通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928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8A0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1CD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25F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67F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600.00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7D05">
            <w:pPr>
              <w:jc w:val="center"/>
              <w:rPr>
                <w:rFonts w:hint="eastAsia" w:ascii="宋体" w:hAnsi="宋体" w:cs="宋体"/>
                <w:color w:val="auto"/>
                <w:sz w:val="22"/>
                <w:highlight w:val="none"/>
              </w:rPr>
            </w:pPr>
          </w:p>
        </w:tc>
      </w:tr>
      <w:tr w14:paraId="6FEE692E">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DCF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047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120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B89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7AE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BC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9F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1000.00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130">
            <w:pPr>
              <w:jc w:val="center"/>
              <w:rPr>
                <w:rFonts w:hint="eastAsia" w:ascii="宋体" w:hAnsi="宋体" w:cs="宋体"/>
                <w:color w:val="auto"/>
                <w:sz w:val="22"/>
                <w:highlight w:val="none"/>
              </w:rPr>
            </w:pPr>
          </w:p>
        </w:tc>
      </w:tr>
      <w:tr w14:paraId="0C387B02">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32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13</w:t>
            </w:r>
          </w:p>
        </w:tc>
        <w:tc>
          <w:tcPr>
            <w:tcW w:w="4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D4F1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安装调试服务费用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8B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96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1CC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5E7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10000.00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342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桥架安装、竖向部分开孔</w:t>
            </w:r>
          </w:p>
        </w:tc>
      </w:tr>
      <w:tr w14:paraId="6CE90BB5">
        <w:tblPrEx>
          <w:tblCellMar>
            <w:top w:w="0" w:type="dxa"/>
            <w:left w:w="108" w:type="dxa"/>
            <w:bottom w:w="0" w:type="dxa"/>
            <w:right w:w="108" w:type="dxa"/>
          </w:tblCellMar>
        </w:tblPrEx>
        <w:trPr>
          <w:trHeight w:val="320" w:hRule="atLeast"/>
        </w:trPr>
        <w:tc>
          <w:tcPr>
            <w:tcW w:w="81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3A4DC">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8168">
            <w:pPr>
              <w:widowControl/>
              <w:jc w:val="right"/>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 xml:space="preserve">66130.00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BCB">
            <w:pPr>
              <w:rPr>
                <w:rFonts w:hint="eastAsia" w:ascii="宋体" w:hAnsi="宋体" w:cs="宋体"/>
                <w:b/>
                <w:bCs/>
                <w:color w:val="auto"/>
                <w:sz w:val="22"/>
                <w:highlight w:val="none"/>
              </w:rPr>
            </w:pPr>
          </w:p>
        </w:tc>
      </w:tr>
      <w:tr w14:paraId="2F7DB119">
        <w:tblPrEx>
          <w:tblCellMar>
            <w:top w:w="0" w:type="dxa"/>
            <w:left w:w="108" w:type="dxa"/>
            <w:bottom w:w="0" w:type="dxa"/>
            <w:right w:w="108" w:type="dxa"/>
          </w:tblCellMar>
        </w:tblPrEx>
        <w:trPr>
          <w:trHeight w:val="519" w:hRule="atLeast"/>
        </w:trPr>
        <w:tc>
          <w:tcPr>
            <w:tcW w:w="0" w:type="auto"/>
            <w:gridSpan w:val="8"/>
            <w:tcBorders>
              <w:top w:val="nil"/>
              <w:left w:val="nil"/>
              <w:bottom w:val="nil"/>
              <w:right w:val="nil"/>
            </w:tcBorders>
            <w:shd w:val="clear" w:color="auto" w:fill="auto"/>
            <w:noWrap/>
            <w:vAlign w:val="center"/>
          </w:tcPr>
          <w:p w14:paraId="43730B1A">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24"/>
                <w:szCs w:val="24"/>
                <w:highlight w:val="none"/>
                <w:lang w:bidi="ar"/>
              </w:rPr>
              <w:t>郑井小学弱电桥架报价</w:t>
            </w:r>
          </w:p>
        </w:tc>
      </w:tr>
      <w:tr w14:paraId="0BE6DA05">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DEF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0C7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75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F65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BB2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B20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D7D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3116.00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5C1F">
            <w:pPr>
              <w:jc w:val="center"/>
              <w:rPr>
                <w:rFonts w:hint="eastAsia" w:ascii="宋体" w:hAnsi="宋体" w:cs="宋体"/>
                <w:color w:val="auto"/>
                <w:sz w:val="22"/>
                <w:highlight w:val="none"/>
              </w:rPr>
            </w:pPr>
          </w:p>
        </w:tc>
      </w:tr>
      <w:tr w14:paraId="6152740D">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B39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73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B4E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E4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1D6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FA9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7A1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39200.00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5DE">
            <w:pPr>
              <w:jc w:val="center"/>
              <w:rPr>
                <w:rFonts w:hint="eastAsia" w:ascii="宋体" w:hAnsi="宋体" w:cs="宋体"/>
                <w:color w:val="auto"/>
                <w:sz w:val="22"/>
                <w:highlight w:val="none"/>
              </w:rPr>
            </w:pPr>
          </w:p>
        </w:tc>
      </w:tr>
      <w:tr w14:paraId="2B614D6B">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010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98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丝杆吊架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BDE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L=500 B≦200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5B1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995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53A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F87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9500.00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CBA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含丝杆横担膨胀螺丝焊角码</w:t>
            </w:r>
          </w:p>
        </w:tc>
      </w:tr>
      <w:tr w14:paraId="44E04294">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C3B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02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L型支架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0FC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754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B23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627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2B9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4350.00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5F1">
            <w:pPr>
              <w:jc w:val="center"/>
              <w:rPr>
                <w:rFonts w:hint="eastAsia" w:ascii="宋体" w:hAnsi="宋体" w:cs="宋体"/>
                <w:color w:val="auto"/>
                <w:sz w:val="22"/>
                <w:highlight w:val="none"/>
              </w:rPr>
            </w:pPr>
          </w:p>
        </w:tc>
      </w:tr>
      <w:tr w14:paraId="676F27EB">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146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8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膨胀螺栓</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112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E8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24D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DF0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73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760.00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FC5">
            <w:pPr>
              <w:rPr>
                <w:rFonts w:hint="eastAsia" w:ascii="宋体" w:hAnsi="宋体" w:cs="宋体"/>
                <w:color w:val="auto"/>
                <w:sz w:val="22"/>
                <w:highlight w:val="none"/>
              </w:rPr>
            </w:pPr>
          </w:p>
        </w:tc>
      </w:tr>
      <w:tr w14:paraId="44CEC07A">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5AC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808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垂直变径假三通</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4A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200*100/150*75/200*100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6B6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865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754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C4C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2700.00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425E">
            <w:pPr>
              <w:jc w:val="center"/>
              <w:rPr>
                <w:rFonts w:hint="eastAsia" w:ascii="宋体" w:hAnsi="宋体" w:cs="宋体"/>
                <w:color w:val="auto"/>
                <w:sz w:val="22"/>
                <w:highlight w:val="none"/>
              </w:rPr>
            </w:pPr>
          </w:p>
        </w:tc>
      </w:tr>
      <w:tr w14:paraId="3BDEC781">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E83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D1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5D8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0B5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A44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2C6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312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600.00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F88">
            <w:pPr>
              <w:jc w:val="center"/>
              <w:rPr>
                <w:rFonts w:hint="eastAsia" w:ascii="宋体" w:hAnsi="宋体" w:cs="宋体"/>
                <w:color w:val="auto"/>
                <w:sz w:val="22"/>
                <w:highlight w:val="none"/>
              </w:rPr>
            </w:pPr>
          </w:p>
        </w:tc>
      </w:tr>
      <w:tr w14:paraId="27224ECF">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643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52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封头</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48A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31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0DA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EB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95D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140.00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1B26">
            <w:pPr>
              <w:jc w:val="center"/>
              <w:rPr>
                <w:rFonts w:hint="eastAsia" w:ascii="宋体" w:hAnsi="宋体" w:cs="宋体"/>
                <w:color w:val="auto"/>
                <w:sz w:val="22"/>
                <w:highlight w:val="none"/>
              </w:rPr>
            </w:pPr>
          </w:p>
        </w:tc>
      </w:tr>
      <w:tr w14:paraId="2BE55C21">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120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2EB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水平弯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68C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C61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C08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59F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CE1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A22">
            <w:pPr>
              <w:jc w:val="center"/>
              <w:rPr>
                <w:rFonts w:hint="eastAsia" w:ascii="宋体" w:hAnsi="宋体" w:cs="宋体"/>
                <w:color w:val="auto"/>
                <w:sz w:val="22"/>
                <w:highlight w:val="none"/>
              </w:rPr>
            </w:pPr>
          </w:p>
        </w:tc>
      </w:tr>
      <w:tr w14:paraId="32839FAE">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288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w:t>
            </w:r>
          </w:p>
        </w:tc>
        <w:tc>
          <w:tcPr>
            <w:tcW w:w="4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C2C1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安装调试服务费用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84A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096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A69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5B8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10000.00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02E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桥架安装、竖向部分开孔</w:t>
            </w:r>
          </w:p>
        </w:tc>
      </w:tr>
      <w:tr w14:paraId="52D25DD9">
        <w:tblPrEx>
          <w:tblCellMar>
            <w:top w:w="0" w:type="dxa"/>
            <w:left w:w="108" w:type="dxa"/>
            <w:bottom w:w="0" w:type="dxa"/>
            <w:right w:w="108" w:type="dxa"/>
          </w:tblCellMar>
        </w:tblPrEx>
        <w:trPr>
          <w:trHeight w:val="320" w:hRule="atLeast"/>
        </w:trPr>
        <w:tc>
          <w:tcPr>
            <w:tcW w:w="81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91936D">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A5CC">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 xml:space="preserve">71066.00 </w:t>
            </w:r>
          </w:p>
        </w:tc>
      </w:tr>
      <w:tr w14:paraId="6F38E55A">
        <w:tblPrEx>
          <w:tblCellMar>
            <w:top w:w="0" w:type="dxa"/>
            <w:left w:w="108" w:type="dxa"/>
            <w:bottom w:w="0" w:type="dxa"/>
            <w:right w:w="108" w:type="dxa"/>
          </w:tblCellMar>
        </w:tblPrEx>
        <w:trPr>
          <w:trHeight w:val="581" w:hRule="atLeast"/>
        </w:trPr>
        <w:tc>
          <w:tcPr>
            <w:tcW w:w="0" w:type="auto"/>
            <w:gridSpan w:val="8"/>
            <w:tcBorders>
              <w:top w:val="nil"/>
              <w:left w:val="nil"/>
              <w:bottom w:val="nil"/>
              <w:right w:val="nil"/>
            </w:tcBorders>
            <w:shd w:val="clear" w:color="auto" w:fill="auto"/>
            <w:noWrap/>
            <w:vAlign w:val="center"/>
          </w:tcPr>
          <w:p w14:paraId="6B672665">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24"/>
                <w:szCs w:val="24"/>
                <w:highlight w:val="none"/>
                <w:lang w:bidi="ar"/>
              </w:rPr>
              <w:t>中卫小学弱电桥架报价</w:t>
            </w:r>
          </w:p>
        </w:tc>
      </w:tr>
      <w:tr w14:paraId="776011EF">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A6D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EE7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E2A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7C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76E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714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6F9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1148.00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AF4E">
            <w:pPr>
              <w:jc w:val="center"/>
              <w:rPr>
                <w:rFonts w:hint="eastAsia" w:ascii="宋体" w:hAnsi="宋体" w:cs="宋体"/>
                <w:color w:val="auto"/>
                <w:sz w:val="22"/>
                <w:highlight w:val="none"/>
              </w:rPr>
            </w:pPr>
          </w:p>
        </w:tc>
      </w:tr>
      <w:tr w14:paraId="34E553B5">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EC6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A29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槽式喷塑防火桥架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F71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0A1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CFC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BA5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8C8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27300.00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040">
            <w:pPr>
              <w:jc w:val="center"/>
              <w:rPr>
                <w:rFonts w:hint="eastAsia" w:ascii="宋体" w:hAnsi="宋体" w:cs="宋体"/>
                <w:color w:val="auto"/>
                <w:sz w:val="22"/>
                <w:highlight w:val="none"/>
              </w:rPr>
            </w:pPr>
          </w:p>
        </w:tc>
      </w:tr>
      <w:tr w14:paraId="7271DE57">
        <w:tblPrEx>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155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0C4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异形上边垂直四通</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09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200*100/150*75*200*100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A02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E17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8DC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FE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1360.00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F69">
            <w:pPr>
              <w:jc w:val="center"/>
              <w:rPr>
                <w:rFonts w:hint="eastAsia" w:ascii="宋体" w:hAnsi="宋体" w:cs="宋体"/>
                <w:color w:val="auto"/>
                <w:sz w:val="22"/>
                <w:highlight w:val="none"/>
              </w:rPr>
            </w:pPr>
          </w:p>
        </w:tc>
      </w:tr>
      <w:tr w14:paraId="2A010BF5">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F9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CA4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丝杆吊架</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2BB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L=500 B≦200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720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999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F2E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230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6625.00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3C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含丝杆横担膨胀螺丝焊角码</w:t>
            </w:r>
          </w:p>
        </w:tc>
      </w:tr>
      <w:tr w14:paraId="0D2B31D8">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831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792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L型支架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A40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885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A15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51F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D9F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1800.00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717">
            <w:pPr>
              <w:jc w:val="center"/>
              <w:rPr>
                <w:rFonts w:hint="eastAsia" w:ascii="宋体" w:hAnsi="宋体" w:cs="宋体"/>
                <w:color w:val="auto"/>
                <w:sz w:val="22"/>
                <w:highlight w:val="none"/>
              </w:rPr>
            </w:pPr>
          </w:p>
        </w:tc>
      </w:tr>
      <w:tr w14:paraId="4125739E">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F6B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F29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23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F6C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1FF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CE8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8A6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70.00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E71">
            <w:pPr>
              <w:jc w:val="center"/>
              <w:rPr>
                <w:rFonts w:hint="eastAsia" w:ascii="宋体" w:hAnsi="宋体" w:cs="宋体"/>
                <w:color w:val="auto"/>
                <w:sz w:val="22"/>
                <w:highlight w:val="none"/>
              </w:rPr>
            </w:pPr>
          </w:p>
        </w:tc>
      </w:tr>
      <w:tr w14:paraId="6091BCF4">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419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81A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1C3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88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8C2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044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21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600.00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4368">
            <w:pPr>
              <w:jc w:val="center"/>
              <w:rPr>
                <w:rFonts w:hint="eastAsia" w:ascii="宋体" w:hAnsi="宋体" w:cs="宋体"/>
                <w:color w:val="auto"/>
                <w:sz w:val="22"/>
                <w:highlight w:val="none"/>
              </w:rPr>
            </w:pPr>
          </w:p>
        </w:tc>
      </w:tr>
      <w:tr w14:paraId="2B75B516">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C41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86D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膨胀螺栓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EA8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E8E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FA4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422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62C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280.00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38E7">
            <w:pPr>
              <w:jc w:val="center"/>
              <w:rPr>
                <w:rFonts w:hint="eastAsia" w:ascii="宋体" w:hAnsi="宋体" w:cs="宋体"/>
                <w:color w:val="auto"/>
                <w:sz w:val="22"/>
                <w:highlight w:val="none"/>
              </w:rPr>
            </w:pPr>
          </w:p>
        </w:tc>
      </w:tr>
      <w:tr w14:paraId="04FCDD9D">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C53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9</w:t>
            </w:r>
          </w:p>
        </w:tc>
        <w:tc>
          <w:tcPr>
            <w:tcW w:w="4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9A51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安装调试服务费用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523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7AB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8F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9B1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 xml:space="preserve">8000.00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079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桥架安装、竖向部分开孔</w:t>
            </w:r>
          </w:p>
        </w:tc>
      </w:tr>
      <w:tr w14:paraId="7F3CC81A">
        <w:tblPrEx>
          <w:tblCellMar>
            <w:top w:w="0" w:type="dxa"/>
            <w:left w:w="108" w:type="dxa"/>
            <w:bottom w:w="0" w:type="dxa"/>
            <w:right w:w="108" w:type="dxa"/>
          </w:tblCellMar>
        </w:tblPrEx>
        <w:trPr>
          <w:trHeight w:val="320" w:hRule="atLeast"/>
        </w:trPr>
        <w:tc>
          <w:tcPr>
            <w:tcW w:w="81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CE8B86">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9C6C">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 xml:space="preserve">47183.00 </w:t>
            </w:r>
          </w:p>
        </w:tc>
      </w:tr>
      <w:tr w14:paraId="2834307A">
        <w:tblPrEx>
          <w:tblCellMar>
            <w:top w:w="0" w:type="dxa"/>
            <w:left w:w="108" w:type="dxa"/>
            <w:bottom w:w="0" w:type="dxa"/>
            <w:right w:w="108" w:type="dxa"/>
          </w:tblCellMar>
        </w:tblPrEx>
        <w:trPr>
          <w:trHeight w:val="37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8AB9">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桥架部分合计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D005">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184379</w:t>
            </w:r>
          </w:p>
        </w:tc>
      </w:tr>
    </w:tbl>
    <w:p w14:paraId="75347815">
      <w:pPr>
        <w:tabs>
          <w:tab w:val="left" w:pos="142"/>
        </w:tabs>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本采购内容及要求中的各项指标参数、性能规格，如出现引用品牌、型号、某一特定的专利技术、商标、名称、设计、原产地或供应者等特定要求情况，仅起参考作用。供应商可选用实质上“相当于”或“优于”该参考技术规格要求的产品竞标，同时填写技术规格偏离表。</w:t>
      </w:r>
    </w:p>
    <w:p w14:paraId="78EFAD92">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四、采购数量、采购项目交付或者实施的时间和地点</w:t>
      </w:r>
      <w:bookmarkEnd w:id="72"/>
    </w:p>
    <w:p w14:paraId="1DE2A244">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1.采购标的数量：1项，</w:t>
      </w:r>
      <w:r>
        <w:rPr>
          <w:rFonts w:hint="eastAsia" w:ascii="宋体" w:hAnsi="宋体" w:cs="宋体"/>
          <w:color w:val="auto"/>
          <w:sz w:val="24"/>
          <w:szCs w:val="24"/>
          <w:highlight w:val="none"/>
          <w:lang w:eastAsia="zh-CN"/>
        </w:rPr>
        <w:t>玉溪第六小学</w:t>
      </w:r>
      <w:r>
        <w:rPr>
          <w:rFonts w:hint="eastAsia" w:ascii="宋体" w:hAnsi="宋体" w:cs="宋体"/>
          <w:color w:val="auto"/>
          <w:sz w:val="24"/>
          <w:szCs w:val="24"/>
          <w:highlight w:val="none"/>
        </w:rPr>
        <w:t>智慧校园云广播升级服务；</w:t>
      </w:r>
    </w:p>
    <w:p w14:paraId="1A77D7A8">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2.服务地点：采购人指定地点</w:t>
      </w:r>
    </w:p>
    <w:p w14:paraId="0299106B">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3.合同履行期限（建设周期）：30日历天，自合同签订之日起计算；</w:t>
      </w:r>
    </w:p>
    <w:p w14:paraId="451777D1">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4.支付方式：以双方合同约定为准。</w:t>
      </w:r>
    </w:p>
    <w:p w14:paraId="305C6771">
      <w:pPr>
        <w:adjustRightInd w:val="0"/>
        <w:snapToGrid w:val="0"/>
        <w:spacing w:line="360" w:lineRule="auto"/>
        <w:ind w:firstLine="482" w:firstLineChars="200"/>
        <w:jc w:val="left"/>
        <w:rPr>
          <w:rFonts w:hint="eastAsia" w:ascii="宋体" w:hAnsi="宋体" w:cs="宋体"/>
          <w:b/>
          <w:bCs/>
          <w:color w:val="auto"/>
          <w:sz w:val="24"/>
          <w:szCs w:val="24"/>
          <w:highlight w:val="none"/>
          <w:shd w:val="clear" w:color="auto" w:fill="FFFFFF"/>
        </w:rPr>
      </w:pPr>
      <w:bookmarkStart w:id="73" w:name="_Toc152263274"/>
      <w:r>
        <w:rPr>
          <w:rFonts w:hint="eastAsia" w:ascii="宋体" w:hAnsi="宋体" w:cs="宋体"/>
          <w:b/>
          <w:bCs/>
          <w:color w:val="auto"/>
          <w:sz w:val="24"/>
          <w:szCs w:val="24"/>
          <w:highlight w:val="none"/>
          <w:shd w:val="clear" w:color="auto" w:fill="FFFFFF"/>
        </w:rPr>
        <w:t>五、考核及验收标准</w:t>
      </w:r>
      <w:bookmarkEnd w:id="73"/>
    </w:p>
    <w:p w14:paraId="63F934B6">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1.验收依据：国家及相关行业现行规范标准、采购文件、响应文件、合同文件等；</w:t>
      </w:r>
    </w:p>
    <w:p w14:paraId="6A682213">
      <w:pPr>
        <w:snapToGrid w:val="0"/>
        <w:spacing w:line="360" w:lineRule="auto"/>
        <w:ind w:firstLine="480" w:firstLineChars="200"/>
        <w:contextualSpacing/>
        <w:rPr>
          <w:rFonts w:hint="eastAsia" w:ascii="宋体" w:hAnsi="宋体" w:cs="宋体"/>
          <w:color w:val="auto"/>
          <w:highlight w:val="none"/>
        </w:rPr>
      </w:pPr>
      <w:r>
        <w:rPr>
          <w:rFonts w:hint="eastAsia" w:ascii="宋体" w:hAnsi="宋体" w:cs="宋体"/>
          <w:color w:val="auto"/>
          <w:sz w:val="24"/>
          <w:szCs w:val="24"/>
          <w:highlight w:val="none"/>
        </w:rPr>
        <w:t>2.验收标准：按国家有关规定以及采购文件、响应文件、合同文件和国家及采购人的质量要求，供应商的响应文件及承诺、以及合同的约定进行验收。</w:t>
      </w:r>
    </w:p>
    <w:bookmarkEnd w:id="25"/>
    <w:bookmarkEnd w:id="26"/>
    <w:p w14:paraId="37F02BB0">
      <w:pPr>
        <w:snapToGrid w:val="0"/>
        <w:spacing w:line="360" w:lineRule="auto"/>
        <w:ind w:firstLine="480" w:firstLineChars="200"/>
        <w:contextualSpacing/>
        <w:rPr>
          <w:rFonts w:hint="eastAsia" w:ascii="宋体" w:hAnsi="宋体" w:cs="宋体"/>
          <w:color w:val="auto"/>
          <w:sz w:val="24"/>
          <w:szCs w:val="24"/>
          <w:highlight w:val="none"/>
        </w:rPr>
      </w:pPr>
      <w:bookmarkStart w:id="74" w:name="_Toc109728229"/>
      <w:bookmarkStart w:id="75" w:name="_Toc32586"/>
    </w:p>
    <w:p w14:paraId="13C8D149">
      <w:pPr>
        <w:rPr>
          <w:rFonts w:hint="eastAsia" w:ascii="宋体" w:hAnsi="宋体" w:cs="宋体"/>
          <w:color w:val="auto"/>
          <w:highlight w:val="none"/>
        </w:rPr>
      </w:pPr>
    </w:p>
    <w:p w14:paraId="1A11A8E6">
      <w:pPr>
        <w:rPr>
          <w:rFonts w:hint="eastAsia" w:ascii="宋体" w:hAnsi="宋体" w:cs="宋体"/>
          <w:color w:val="auto"/>
          <w:highlight w:val="none"/>
        </w:rPr>
      </w:pPr>
      <w:r>
        <w:rPr>
          <w:rFonts w:hint="eastAsia" w:ascii="宋体" w:hAnsi="宋体" w:cs="宋体"/>
          <w:color w:val="auto"/>
          <w:highlight w:val="none"/>
        </w:rPr>
        <w:br w:type="page"/>
      </w:r>
    </w:p>
    <w:p w14:paraId="32894F0E">
      <w:pPr>
        <w:pStyle w:val="3"/>
        <w:snapToGrid w:val="0"/>
        <w:spacing w:before="0" w:after="0" w:line="326"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第五章  采购合同</w:t>
      </w:r>
      <w:bookmarkEnd w:id="74"/>
      <w:bookmarkEnd w:id="75"/>
    </w:p>
    <w:p w14:paraId="58AA9B36">
      <w:pPr>
        <w:spacing w:line="360" w:lineRule="auto"/>
        <w:ind w:firstLine="420"/>
        <w:jc w:val="center"/>
        <w:rPr>
          <w:rFonts w:hint="eastAsia" w:ascii="宋体" w:hAnsi="宋体"/>
          <w:color w:val="auto"/>
          <w:highlight w:val="none"/>
        </w:rPr>
      </w:pPr>
      <w:bookmarkStart w:id="76" w:name="_Toc19462"/>
      <w:r>
        <w:rPr>
          <w:rFonts w:hint="eastAsia" w:ascii="宋体" w:hAnsi="宋体"/>
          <w:color w:val="auto"/>
          <w:highlight w:val="none"/>
        </w:rPr>
        <w:t>（此合同格式仅供参考，最终以合同谈判时签订为准）</w:t>
      </w:r>
    </w:p>
    <w:p w14:paraId="24113944">
      <w:pPr>
        <w:autoSpaceDE w:val="0"/>
        <w:autoSpaceDN w:val="0"/>
        <w:adjustRightInd w:val="0"/>
        <w:snapToGrid w:val="0"/>
        <w:spacing w:line="360" w:lineRule="auto"/>
        <w:ind w:firstLine="480" w:firstLineChars="200"/>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服务合同</w:t>
      </w:r>
    </w:p>
    <w:p w14:paraId="43CEA697">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参照《中华人民共和国民法典》及其他有关法律行政法规之规定，遵循平等、自愿公平和诚实信用的原则，甲方同意由乙方承接</w:t>
      </w:r>
      <w:r>
        <w:rPr>
          <w:rFonts w:hint="eastAsia" w:ascii="宋体" w:hAnsi="宋体"/>
          <w:color w:val="auto"/>
          <w:kern w:val="0"/>
          <w:sz w:val="24"/>
          <w:szCs w:val="24"/>
          <w:highlight w:val="none"/>
          <w:u w:val="single"/>
        </w:rPr>
        <w:t xml:space="preserve">        项目</w:t>
      </w:r>
      <w:r>
        <w:rPr>
          <w:rFonts w:hint="eastAsia" w:ascii="宋体" w:hAnsi="宋体"/>
          <w:color w:val="auto"/>
          <w:kern w:val="0"/>
          <w:sz w:val="24"/>
          <w:szCs w:val="24"/>
          <w:highlight w:val="none"/>
        </w:rPr>
        <w:t>。为明确甲乙双方权利和义务，特签订本合同，以便双方共同遵守执行。</w:t>
      </w:r>
    </w:p>
    <w:p w14:paraId="69D9D43B">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1.项目地点：采购人指定地点</w:t>
      </w:r>
    </w:p>
    <w:p w14:paraId="64AFD26B">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2.项目名称：                                </w:t>
      </w:r>
    </w:p>
    <w:p w14:paraId="48283DCB">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3.项目内容：</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p>
    <w:p w14:paraId="4AD7764D">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4.合同履约期限及质量要求：                   </w:t>
      </w:r>
    </w:p>
    <w:p w14:paraId="46E254D8">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5</w:t>
      </w:r>
      <w:r>
        <w:rPr>
          <w:rFonts w:ascii="宋体" w:hAnsi="宋体"/>
          <w:color w:val="auto"/>
          <w:kern w:val="0"/>
          <w:sz w:val="24"/>
          <w:szCs w:val="24"/>
          <w:highlight w:val="none"/>
        </w:rPr>
        <w:t>.</w:t>
      </w:r>
      <w:r>
        <w:rPr>
          <w:rFonts w:hint="eastAsia" w:ascii="宋体" w:hAnsi="宋体"/>
          <w:color w:val="auto"/>
          <w:kern w:val="0"/>
          <w:sz w:val="24"/>
          <w:szCs w:val="24"/>
          <w:highlight w:val="none"/>
        </w:rPr>
        <w:t>合同金额为（大写）：_________________元（￥_______________元）人民币。</w:t>
      </w:r>
    </w:p>
    <w:p w14:paraId="73DDB962">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本合同价款为完成本项目的一切费用。</w:t>
      </w:r>
    </w:p>
    <w:p w14:paraId="1C1DD96B">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6.付款方式：                    </w:t>
      </w:r>
    </w:p>
    <w:p w14:paraId="402A983E">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甲方向乙方支付合同款时，乙方应向甲方提供等额发票，乙方所提供的发票必须符合甲方财务管理要求，否则甲方付款时间顺延，并不承担任何违约责任。</w:t>
      </w:r>
    </w:p>
    <w:p w14:paraId="3D1F491B">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 甲乙双方的权利和义务</w:t>
      </w:r>
    </w:p>
    <w:p w14:paraId="74446EB1">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7.1甲方的权利和义务</w:t>
      </w:r>
    </w:p>
    <w:p w14:paraId="00576CFF">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7.1.1项目在合同期内实施，甲方可随时了解掌握项目工作进度情况。</w:t>
      </w:r>
    </w:p>
    <w:p w14:paraId="34FD2D4E">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7.1.2对工作人员的职业道德规范、工作任务、技能培训、应达到的工作要求、应注意的安全事项、应遵守的各项纪律等履行告知、教育管理督查的义务。</w:t>
      </w:r>
    </w:p>
    <w:p w14:paraId="6FBFEBCA">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7.1.3为开展核查工作，甲方应对乙方制定具体的核查工作要求。</w:t>
      </w:r>
    </w:p>
    <w:p w14:paraId="30C5A689">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7.1.4甲方有权对乙方提供服务质量进行评价。</w:t>
      </w:r>
    </w:p>
    <w:p w14:paraId="29929CE1">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7.2乙方的权利和义务</w:t>
      </w:r>
    </w:p>
    <w:p w14:paraId="789925AC">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7.2.1乙方可要求甲方按本合同的规定按时足额支付项目经费。</w:t>
      </w:r>
    </w:p>
    <w:p w14:paraId="264731B2">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7.2.2乙方在履行合同过程中，不得将服务项目委托给第三人，应按本合同如实报告项目进展情况，按时、按标准完成项目任务。如乙方未能在合同期内完成全部项目的服务内容，合同结束后，应将相应款项返还甲方并承担违约责任。</w:t>
      </w:r>
    </w:p>
    <w:p w14:paraId="144A3709">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w:t>
      </w:r>
      <w:r>
        <w:rPr>
          <w:rFonts w:ascii="宋体" w:hAnsi="宋体"/>
          <w:color w:val="auto"/>
          <w:kern w:val="0"/>
          <w:sz w:val="24"/>
          <w:szCs w:val="24"/>
          <w:highlight w:val="none"/>
        </w:rPr>
        <w:t>3</w:t>
      </w:r>
      <w:r>
        <w:rPr>
          <w:rFonts w:hint="eastAsia" w:ascii="宋体" w:hAnsi="宋体"/>
          <w:color w:val="auto"/>
          <w:kern w:val="0"/>
          <w:sz w:val="24"/>
          <w:szCs w:val="24"/>
          <w:highlight w:val="none"/>
        </w:rPr>
        <w:t xml:space="preserve">乙方对在工作过程中接触到的甲方的任何资料、文件、数据（无论是书面的还是电子的），以及对为甲方服务形成的任何交付物，负有为甲方保密的责任。未经甲方书面同意，乙方不得以任何方式向任何第三方提供或透露。 </w:t>
      </w:r>
    </w:p>
    <w:p w14:paraId="7E2DFEAD">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w:t>
      </w:r>
      <w:r>
        <w:rPr>
          <w:rFonts w:ascii="宋体" w:hAnsi="宋体"/>
          <w:color w:val="auto"/>
          <w:kern w:val="0"/>
          <w:sz w:val="24"/>
          <w:szCs w:val="24"/>
          <w:highlight w:val="none"/>
        </w:rPr>
        <w:t>4</w:t>
      </w:r>
      <w:r>
        <w:rPr>
          <w:rFonts w:hint="eastAsia" w:ascii="宋体" w:hAnsi="宋体"/>
          <w:color w:val="auto"/>
          <w:kern w:val="0"/>
          <w:sz w:val="24"/>
          <w:szCs w:val="24"/>
          <w:highlight w:val="none"/>
        </w:rPr>
        <w:t>甲方向乙方提供的任何资料、文件和信息，在乙方服务结束后，乙方均应及时归还甲方。若属电子文档的，应从乙方的电脑等存储设备上永久删除。</w:t>
      </w:r>
    </w:p>
    <w:p w14:paraId="45902BB5">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w:t>
      </w:r>
      <w:r>
        <w:rPr>
          <w:rFonts w:ascii="宋体" w:hAnsi="宋体"/>
          <w:color w:val="auto"/>
          <w:kern w:val="0"/>
          <w:sz w:val="24"/>
          <w:szCs w:val="24"/>
          <w:highlight w:val="none"/>
        </w:rPr>
        <w:t>5</w:t>
      </w:r>
      <w:r>
        <w:rPr>
          <w:rFonts w:hint="eastAsia" w:ascii="宋体" w:hAnsi="宋体"/>
          <w:color w:val="auto"/>
          <w:kern w:val="0"/>
          <w:sz w:val="24"/>
          <w:szCs w:val="24"/>
          <w:highlight w:val="none"/>
        </w:rPr>
        <w:t xml:space="preserve">乙方人员违反上述保密规定时间，乙方应承担相应法律责任。 </w:t>
      </w:r>
    </w:p>
    <w:p w14:paraId="46E99825">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7.2.</w:t>
      </w:r>
      <w:r>
        <w:rPr>
          <w:rFonts w:ascii="宋体" w:hAnsi="宋体"/>
          <w:color w:val="auto"/>
          <w:kern w:val="0"/>
          <w:sz w:val="24"/>
          <w:szCs w:val="24"/>
          <w:highlight w:val="none"/>
        </w:rPr>
        <w:t>6</w:t>
      </w:r>
      <w:r>
        <w:rPr>
          <w:rFonts w:hint="eastAsia" w:ascii="宋体" w:hAnsi="宋体"/>
          <w:color w:val="auto"/>
          <w:kern w:val="0"/>
          <w:sz w:val="24"/>
          <w:szCs w:val="24"/>
          <w:highlight w:val="none"/>
        </w:rPr>
        <w:t>乙方按照甲方要求，为甲方提供的服务成果涉及知识产权的，归甲方所有。</w:t>
      </w:r>
    </w:p>
    <w:p w14:paraId="0A7E91AC">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8.违约责任与赔偿损失</w:t>
      </w:r>
    </w:p>
    <w:p w14:paraId="34A718E0">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8.1乙方提供的服务不符合询比文件、报价文件或本合同规定的，甲方有权拒收，并且乙方须向甲方支付本合同总价    %的违约金。</w:t>
      </w:r>
    </w:p>
    <w:p w14:paraId="0972155B">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8.2乙方未能按本合同规定的时间提供服务，从逾期之日起每日按本合同总价    ‰的数额向甲方支付违约金；逾期半个月以上的，甲方有权终止合同，由此造成的甲方经济损失由乙方承担。</w:t>
      </w:r>
    </w:p>
    <w:p w14:paraId="78A9FE93">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8.3 甲方无正当理由拒收接受服务，到期拒付服务款项的，甲方向乙方偿付本合同总的   %的违约金。甲方人逾期付款，则每日按本合同总价的   ‰向乙方偿付违约金。</w:t>
      </w:r>
    </w:p>
    <w:p w14:paraId="2C984849">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8.4 其它违约责任按</w:t>
      </w:r>
      <w:r>
        <w:rPr>
          <w:rFonts w:ascii="宋体" w:hAnsi="宋体"/>
          <w:color w:val="auto"/>
          <w:kern w:val="0"/>
          <w:sz w:val="24"/>
          <w:szCs w:val="24"/>
          <w:highlight w:val="none"/>
        </w:rPr>
        <w:t>“按《</w:t>
      </w:r>
      <w:r>
        <w:rPr>
          <w:rFonts w:hint="eastAsia" w:ascii="宋体" w:hAnsi="宋体"/>
          <w:color w:val="auto"/>
          <w:kern w:val="0"/>
          <w:sz w:val="24"/>
          <w:szCs w:val="24"/>
          <w:highlight w:val="none"/>
        </w:rPr>
        <w:t>中华人民共和国</w:t>
      </w:r>
      <w:r>
        <w:rPr>
          <w:rFonts w:ascii="宋体" w:hAnsi="宋体"/>
          <w:color w:val="auto"/>
          <w:kern w:val="0"/>
          <w:sz w:val="24"/>
          <w:szCs w:val="24"/>
          <w:highlight w:val="none"/>
        </w:rPr>
        <w:t>民法典》</w:t>
      </w:r>
      <w:r>
        <w:rPr>
          <w:rFonts w:hint="eastAsia" w:ascii="宋体" w:hAnsi="宋体"/>
          <w:color w:val="auto"/>
          <w:kern w:val="0"/>
          <w:sz w:val="24"/>
          <w:szCs w:val="24"/>
          <w:highlight w:val="none"/>
        </w:rPr>
        <w:t>合同</w:t>
      </w:r>
      <w:r>
        <w:rPr>
          <w:rFonts w:ascii="宋体" w:hAnsi="宋体"/>
          <w:color w:val="auto"/>
          <w:kern w:val="0"/>
          <w:sz w:val="24"/>
          <w:szCs w:val="24"/>
          <w:highlight w:val="none"/>
        </w:rPr>
        <w:t>篇</w:t>
      </w:r>
      <w:r>
        <w:rPr>
          <w:rFonts w:hint="eastAsia" w:ascii="宋体" w:hAnsi="宋体"/>
          <w:color w:val="auto"/>
          <w:kern w:val="0"/>
          <w:sz w:val="24"/>
          <w:szCs w:val="24"/>
          <w:highlight w:val="none"/>
        </w:rPr>
        <w:t>的</w:t>
      </w:r>
      <w:r>
        <w:rPr>
          <w:rFonts w:ascii="宋体" w:hAnsi="宋体"/>
          <w:color w:val="auto"/>
          <w:kern w:val="0"/>
          <w:sz w:val="24"/>
          <w:szCs w:val="24"/>
          <w:highlight w:val="none"/>
        </w:rPr>
        <w:t>规定处理。</w:t>
      </w:r>
    </w:p>
    <w:p w14:paraId="6919EE29">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9.不可抗力</w:t>
      </w:r>
    </w:p>
    <w:p w14:paraId="22D28C57">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25E993C">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10.其它：</w:t>
      </w:r>
    </w:p>
    <w:p w14:paraId="02294C0C">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10.1本合同未尽事宜，由甲乙双方协商，签订的补充协议与本合同具有同等法律效力。</w:t>
      </w:r>
    </w:p>
    <w:p w14:paraId="05571326">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10.2甲乙双方协商一致，可以解除合同。乙方在合同执行中严重违反国家有关规定或合同条款约定的，甲方有权单方解除合同。</w:t>
      </w:r>
    </w:p>
    <w:p w14:paraId="78865869">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10.3本合同在履行过程中发生争议的，双方协商解决，协商不成，可向甲方所在地法院提起诉讼。</w:t>
      </w:r>
    </w:p>
    <w:p w14:paraId="54FAB4E2">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10.4本合同及附件经双方代表签字并加盖公章和骑缝章后生效。一式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 xml:space="preserve">份，甲方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 xml:space="preserve">份，乙方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 xml:space="preserve">份，丙方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份，同时具有同等法律效力。</w:t>
      </w:r>
    </w:p>
    <w:p w14:paraId="30FA351E">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甲方：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乙方：</w:t>
      </w:r>
    </w:p>
    <w:p w14:paraId="09D492C6">
      <w:pPr>
        <w:autoSpaceDE w:val="0"/>
        <w:autoSpaceDN w:val="0"/>
        <w:adjustRightInd w:val="0"/>
        <w:snapToGrid w:val="0"/>
        <w:spacing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（盖章）                            （盖章）：</w:t>
      </w:r>
      <w:r>
        <w:rPr>
          <w:rFonts w:hint="eastAsia" w:ascii="宋体" w:hAnsi="宋体"/>
          <w:color w:val="auto"/>
          <w:kern w:val="0"/>
          <w:sz w:val="24"/>
          <w:szCs w:val="24"/>
          <w:highlight w:val="none"/>
        </w:rPr>
        <w:tab/>
      </w:r>
    </w:p>
    <w:p w14:paraId="3B0F655C">
      <w:pPr>
        <w:autoSpaceDE w:val="0"/>
        <w:autoSpaceDN w:val="0"/>
        <w:adjustRightInd w:val="0"/>
        <w:snapToGrid w:val="0"/>
        <w:spacing w:before="156" w:beforeLines="50" w:after="156" w:afterLines="50"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法定代表人（单位负责人）</w:t>
      </w:r>
      <w:r>
        <w:rPr>
          <w:rFonts w:hint="eastAsia" w:ascii="宋体" w:hAnsi="宋体"/>
          <w:color w:val="auto"/>
          <w:kern w:val="0"/>
          <w:sz w:val="24"/>
          <w:szCs w:val="24"/>
          <w:highlight w:val="none"/>
        </w:rPr>
        <w:t xml:space="preserve">：（签字）                 </w:t>
      </w:r>
      <w:r>
        <w:rPr>
          <w:rFonts w:hint="eastAsia" w:ascii="宋体" w:hAnsi="宋体"/>
          <w:color w:val="auto"/>
          <w:kern w:val="0"/>
          <w:sz w:val="24"/>
          <w:szCs w:val="24"/>
          <w:highlight w:val="none"/>
          <w:lang w:eastAsia="zh-CN"/>
        </w:rPr>
        <w:t>法定代表人（单位负责人）</w:t>
      </w:r>
      <w:r>
        <w:rPr>
          <w:rFonts w:hint="eastAsia" w:ascii="宋体" w:hAnsi="宋体"/>
          <w:color w:val="auto"/>
          <w:kern w:val="0"/>
          <w:sz w:val="24"/>
          <w:szCs w:val="24"/>
          <w:highlight w:val="none"/>
        </w:rPr>
        <w:t>：（签字）</w:t>
      </w:r>
    </w:p>
    <w:p w14:paraId="58B0536F">
      <w:pPr>
        <w:autoSpaceDE w:val="0"/>
        <w:autoSpaceDN w:val="0"/>
        <w:adjustRightInd w:val="0"/>
        <w:snapToGrid w:val="0"/>
        <w:spacing w:before="156" w:beforeLines="50" w:after="156" w:afterLines="50"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委托代理人：（签字）                 委托代理人：（签字）</w:t>
      </w:r>
    </w:p>
    <w:p w14:paraId="7F7DC16E">
      <w:pPr>
        <w:autoSpaceDE w:val="0"/>
        <w:autoSpaceDN w:val="0"/>
        <w:adjustRightInd w:val="0"/>
        <w:snapToGrid w:val="0"/>
        <w:spacing w:before="156" w:beforeLines="50" w:after="156" w:afterLines="50" w:line="440" w:lineRule="exact"/>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住      所：                          住      所： </w:t>
      </w:r>
    </w:p>
    <w:p w14:paraId="16729FAF">
      <w:pPr>
        <w:spacing w:line="440" w:lineRule="exact"/>
        <w:ind w:firstLine="480" w:firstLineChars="200"/>
        <w:rPr>
          <w:color w:val="auto"/>
          <w:szCs w:val="21"/>
          <w:highlight w:val="none"/>
        </w:rPr>
      </w:pPr>
      <w:r>
        <w:rPr>
          <w:rFonts w:hint="eastAsia" w:ascii="宋体" w:hAnsi="宋体"/>
          <w:color w:val="auto"/>
          <w:kern w:val="0"/>
          <w:sz w:val="24"/>
          <w:szCs w:val="24"/>
          <w:highlight w:val="none"/>
        </w:rPr>
        <w:t xml:space="preserve">邮政编码：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邮政编码</w:t>
      </w:r>
    </w:p>
    <w:p w14:paraId="4664C6D4">
      <w:pPr>
        <w:autoSpaceDE w:val="0"/>
        <w:autoSpaceDN w:val="0"/>
        <w:adjustRightInd w:val="0"/>
        <w:snapToGrid w:val="0"/>
        <w:spacing w:line="440" w:lineRule="exact"/>
        <w:ind w:firstLine="480" w:firstLineChars="200"/>
        <w:jc w:val="left"/>
        <w:rPr>
          <w:rFonts w:hint="eastAsia" w:ascii="宋体" w:hAnsi="宋体" w:cs="宋体"/>
          <w:color w:val="auto"/>
          <w:kern w:val="0"/>
          <w:sz w:val="24"/>
          <w:szCs w:val="24"/>
          <w:highlight w:val="none"/>
        </w:rPr>
      </w:pPr>
    </w:p>
    <w:p w14:paraId="232C8D15">
      <w:pPr>
        <w:pStyle w:val="3"/>
        <w:snapToGrid w:val="0"/>
        <w:spacing w:before="0" w:after="0" w:line="326"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第六章  响应文件格式</w:t>
      </w:r>
      <w:bookmarkEnd w:id="76"/>
    </w:p>
    <w:p w14:paraId="7F2D1ED7">
      <w:pPr>
        <w:spacing w:line="480" w:lineRule="auto"/>
        <w:jc w:val="center"/>
        <w:rPr>
          <w:rFonts w:hint="eastAsia" w:ascii="宋体" w:hAnsi="宋体" w:cs="宋体"/>
          <w:color w:val="auto"/>
          <w:sz w:val="48"/>
          <w:szCs w:val="48"/>
          <w:highlight w:val="none"/>
        </w:rPr>
      </w:pPr>
    </w:p>
    <w:p w14:paraId="01051180">
      <w:pPr>
        <w:spacing w:line="48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lang w:eastAsia="zh-CN"/>
        </w:rPr>
        <w:t>玉溪第六小学</w:t>
      </w:r>
      <w:r>
        <w:rPr>
          <w:rFonts w:hint="eastAsia" w:ascii="宋体" w:hAnsi="宋体" w:cs="宋体"/>
          <w:color w:val="auto"/>
          <w:sz w:val="44"/>
          <w:szCs w:val="44"/>
          <w:highlight w:val="none"/>
        </w:rPr>
        <w:t>智慧校园云广播升级服务项目</w:t>
      </w:r>
    </w:p>
    <w:p w14:paraId="3A7D047D">
      <w:pPr>
        <w:spacing w:line="480" w:lineRule="auto"/>
        <w:jc w:val="center"/>
        <w:rPr>
          <w:rFonts w:hint="eastAsia" w:ascii="宋体" w:hAnsi="宋体" w:cs="宋体"/>
          <w:color w:val="auto"/>
          <w:sz w:val="24"/>
          <w:szCs w:val="24"/>
          <w:highlight w:val="none"/>
        </w:rPr>
      </w:pPr>
    </w:p>
    <w:p w14:paraId="6921F099">
      <w:pP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项目编号：ZZGL-2025089F</w:t>
      </w:r>
    </w:p>
    <w:p w14:paraId="561803EF">
      <w:pPr>
        <w:pStyle w:val="14"/>
        <w:rPr>
          <w:rFonts w:hint="eastAsia" w:ascii="宋体" w:hAnsi="宋体" w:cs="宋体"/>
          <w:color w:val="auto"/>
          <w:highlight w:val="none"/>
        </w:rPr>
      </w:pPr>
    </w:p>
    <w:p w14:paraId="725BC64E">
      <w:pPr>
        <w:spacing w:line="400" w:lineRule="exact"/>
        <w:jc w:val="left"/>
        <w:rPr>
          <w:rFonts w:hint="eastAsia" w:ascii="宋体" w:hAnsi="宋体" w:cs="宋体"/>
          <w:color w:val="auto"/>
          <w:sz w:val="24"/>
          <w:szCs w:val="24"/>
          <w:highlight w:val="none"/>
        </w:rPr>
      </w:pPr>
    </w:p>
    <w:p w14:paraId="45D3A069">
      <w:pPr>
        <w:spacing w:line="400" w:lineRule="exact"/>
        <w:jc w:val="left"/>
        <w:rPr>
          <w:rFonts w:hint="eastAsia" w:ascii="宋体" w:hAnsi="宋体" w:cs="宋体"/>
          <w:color w:val="auto"/>
          <w:sz w:val="24"/>
          <w:szCs w:val="24"/>
          <w:highlight w:val="none"/>
        </w:rPr>
      </w:pPr>
    </w:p>
    <w:p w14:paraId="62BDC292">
      <w:pPr>
        <w:spacing w:line="400" w:lineRule="exact"/>
        <w:jc w:val="left"/>
        <w:rPr>
          <w:rFonts w:hint="eastAsia" w:ascii="宋体" w:hAnsi="宋体" w:cs="宋体"/>
          <w:color w:val="auto"/>
          <w:sz w:val="24"/>
          <w:szCs w:val="24"/>
          <w:highlight w:val="none"/>
        </w:rPr>
      </w:pPr>
    </w:p>
    <w:p w14:paraId="24DE407E">
      <w:pPr>
        <w:pStyle w:val="43"/>
        <w:rPr>
          <w:rFonts w:hint="eastAsia" w:ascii="宋体" w:hAnsi="宋体" w:cs="宋体"/>
          <w:color w:val="auto"/>
          <w:highlight w:val="none"/>
        </w:rPr>
      </w:pPr>
    </w:p>
    <w:p w14:paraId="7D5CF95C">
      <w:pPr>
        <w:spacing w:line="48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询比采购</w:t>
      </w:r>
    </w:p>
    <w:p w14:paraId="72D74B96">
      <w:pPr>
        <w:spacing w:line="48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487B9B6C">
      <w:pPr>
        <w:spacing w:line="400" w:lineRule="exact"/>
        <w:jc w:val="left"/>
        <w:rPr>
          <w:rFonts w:hint="eastAsia" w:ascii="宋体" w:hAnsi="宋体" w:cs="宋体"/>
          <w:color w:val="auto"/>
          <w:sz w:val="24"/>
          <w:szCs w:val="24"/>
          <w:highlight w:val="none"/>
        </w:rPr>
      </w:pPr>
    </w:p>
    <w:p w14:paraId="490667A9">
      <w:pPr>
        <w:spacing w:line="400" w:lineRule="exact"/>
        <w:jc w:val="left"/>
        <w:rPr>
          <w:rFonts w:hint="eastAsia" w:ascii="宋体" w:hAnsi="宋体" w:cs="宋体"/>
          <w:color w:val="auto"/>
          <w:sz w:val="24"/>
          <w:szCs w:val="24"/>
          <w:highlight w:val="none"/>
        </w:rPr>
      </w:pPr>
    </w:p>
    <w:p w14:paraId="15C387AD">
      <w:pPr>
        <w:spacing w:line="400" w:lineRule="exact"/>
        <w:jc w:val="left"/>
        <w:rPr>
          <w:rFonts w:hint="eastAsia" w:ascii="宋体" w:hAnsi="宋体" w:cs="宋体"/>
          <w:color w:val="auto"/>
          <w:sz w:val="24"/>
          <w:szCs w:val="24"/>
          <w:highlight w:val="none"/>
        </w:rPr>
      </w:pPr>
    </w:p>
    <w:p w14:paraId="0938C40E">
      <w:pPr>
        <w:spacing w:line="400" w:lineRule="exact"/>
        <w:jc w:val="left"/>
        <w:rPr>
          <w:rFonts w:hint="eastAsia" w:ascii="宋体" w:hAnsi="宋体" w:cs="宋体"/>
          <w:color w:val="auto"/>
          <w:sz w:val="24"/>
          <w:szCs w:val="24"/>
          <w:highlight w:val="none"/>
        </w:rPr>
      </w:pPr>
    </w:p>
    <w:p w14:paraId="61C5F625">
      <w:pPr>
        <w:spacing w:line="400" w:lineRule="exact"/>
        <w:jc w:val="left"/>
        <w:rPr>
          <w:rFonts w:hint="eastAsia" w:ascii="宋体" w:hAnsi="宋体" w:cs="宋体"/>
          <w:color w:val="auto"/>
          <w:sz w:val="24"/>
          <w:szCs w:val="24"/>
          <w:highlight w:val="none"/>
        </w:rPr>
      </w:pPr>
    </w:p>
    <w:p w14:paraId="0280D7F7">
      <w:pPr>
        <w:pStyle w:val="43"/>
        <w:rPr>
          <w:rFonts w:hint="eastAsia" w:ascii="宋体" w:hAnsi="宋体" w:cs="宋体"/>
          <w:color w:val="auto"/>
          <w:highlight w:val="none"/>
        </w:rPr>
      </w:pPr>
    </w:p>
    <w:p w14:paraId="23E9CF23">
      <w:pPr>
        <w:spacing w:line="400" w:lineRule="exact"/>
        <w:jc w:val="left"/>
        <w:rPr>
          <w:rFonts w:hint="eastAsia" w:ascii="宋体" w:hAnsi="宋体" w:cs="宋体"/>
          <w:color w:val="auto"/>
          <w:sz w:val="24"/>
          <w:szCs w:val="24"/>
          <w:highlight w:val="none"/>
        </w:rPr>
      </w:pPr>
    </w:p>
    <w:p w14:paraId="5BBC323B">
      <w:pPr>
        <w:spacing w:line="400" w:lineRule="exact"/>
        <w:jc w:val="left"/>
        <w:rPr>
          <w:rFonts w:hint="eastAsia" w:ascii="宋体" w:hAnsi="宋体" w:cs="宋体"/>
          <w:color w:val="auto"/>
          <w:sz w:val="24"/>
          <w:szCs w:val="24"/>
          <w:highlight w:val="none"/>
        </w:rPr>
      </w:pPr>
    </w:p>
    <w:p w14:paraId="5DDFDAF9">
      <w:pPr>
        <w:spacing w:line="400" w:lineRule="exact"/>
        <w:jc w:val="left"/>
        <w:rPr>
          <w:rFonts w:hint="eastAsia" w:ascii="宋体" w:hAnsi="宋体" w:cs="宋体"/>
          <w:color w:val="auto"/>
          <w:sz w:val="24"/>
          <w:szCs w:val="24"/>
          <w:highlight w:val="none"/>
        </w:rPr>
      </w:pPr>
    </w:p>
    <w:p w14:paraId="6FE05E9E">
      <w:pPr>
        <w:spacing w:line="48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 应 商：</w:t>
      </w:r>
      <w:r>
        <w:rPr>
          <w:rFonts w:hint="eastAsia" w:ascii="宋体" w:hAnsi="宋体" w:cs="宋体"/>
          <w:color w:val="auto"/>
          <w:sz w:val="24"/>
          <w:szCs w:val="24"/>
          <w:highlight w:val="none"/>
          <w:u w:val="single"/>
        </w:rPr>
        <w:t xml:space="preserve">                                                               (盖章) </w:t>
      </w:r>
    </w:p>
    <w:p w14:paraId="0D9ABD47">
      <w:pPr>
        <w:spacing w:line="48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或其委托代理人：</w:t>
      </w:r>
      <w:r>
        <w:rPr>
          <w:rFonts w:hint="eastAsia" w:ascii="宋体" w:hAnsi="宋体" w:cs="宋体"/>
          <w:color w:val="auto"/>
          <w:sz w:val="24"/>
          <w:szCs w:val="24"/>
          <w:highlight w:val="none"/>
          <w:u w:val="single"/>
        </w:rPr>
        <w:t xml:space="preserve">                            （签字或签章) </w:t>
      </w:r>
    </w:p>
    <w:p w14:paraId="045BF33C">
      <w:pPr>
        <w:spacing w:line="48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bookmarkStart w:id="77" w:name="_Toc25784"/>
      <w:bookmarkStart w:id="78" w:name="_Toc350930005"/>
      <w:bookmarkStart w:id="79" w:name="_Toc277679095"/>
      <w:bookmarkStart w:id="80" w:name="_Toc350330506"/>
      <w:bookmarkStart w:id="81" w:name="_Toc351117889"/>
      <w:bookmarkStart w:id="82" w:name="_Toc355054074"/>
      <w:bookmarkStart w:id="83" w:name="_Toc350930220"/>
    </w:p>
    <w:p w14:paraId="568EFF3D">
      <w:pPr>
        <w:pStyle w:val="43"/>
        <w:rPr>
          <w:rFonts w:hint="eastAsia" w:ascii="宋体" w:hAnsi="宋体" w:cs="宋体"/>
          <w:color w:val="auto"/>
          <w:highlight w:val="none"/>
        </w:rPr>
      </w:pPr>
    </w:p>
    <w:p w14:paraId="46E2BB13">
      <w:pPr>
        <w:rPr>
          <w:rFonts w:hint="eastAsia" w:ascii="宋体" w:hAnsi="宋体" w:cs="宋体"/>
          <w:color w:val="auto"/>
          <w:highlight w:val="none"/>
        </w:rPr>
      </w:pPr>
    </w:p>
    <w:p w14:paraId="032FA1AC">
      <w:pPr>
        <w:pStyle w:val="4"/>
        <w:spacing w:before="0" w:after="0" w:line="360" w:lineRule="auto"/>
        <w:jc w:val="center"/>
        <w:rPr>
          <w:rFonts w:hint="eastAsia" w:ascii="宋体" w:hAnsi="宋体" w:cs="宋体"/>
          <w:b w:val="0"/>
          <w:color w:val="auto"/>
          <w:highlight w:val="none"/>
        </w:rPr>
        <w:sectPr>
          <w:pgSz w:w="11906" w:h="16838"/>
          <w:pgMar w:top="1134" w:right="1134" w:bottom="1134" w:left="1134" w:header="851" w:footer="992" w:gutter="0"/>
          <w:cols w:space="720" w:num="1"/>
          <w:titlePg/>
          <w:docGrid w:type="lines" w:linePitch="312" w:charSpace="0"/>
        </w:sectPr>
      </w:pPr>
    </w:p>
    <w:p w14:paraId="5559E7D3">
      <w:pPr>
        <w:pStyle w:val="4"/>
        <w:spacing w:before="0" w:after="0" w:line="360" w:lineRule="auto"/>
        <w:jc w:val="center"/>
        <w:rPr>
          <w:rFonts w:hint="eastAsia" w:ascii="宋体" w:hAnsi="宋体" w:cs="宋体"/>
          <w:b w:val="0"/>
          <w:color w:val="auto"/>
          <w:highlight w:val="none"/>
        </w:rPr>
      </w:pPr>
      <w:r>
        <w:rPr>
          <w:rFonts w:hint="eastAsia" w:ascii="宋体" w:hAnsi="宋体" w:cs="宋体"/>
          <w:b w:val="0"/>
          <w:color w:val="auto"/>
          <w:highlight w:val="none"/>
        </w:rPr>
        <w:t>一、报价一览表</w:t>
      </w:r>
      <w:bookmarkEnd w:id="77"/>
    </w:p>
    <w:tbl>
      <w:tblPr>
        <w:tblStyle w:val="34"/>
        <w:tblW w:w="947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836"/>
      </w:tblGrid>
      <w:tr w14:paraId="47DC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643" w:type="dxa"/>
            <w:tcBorders>
              <w:top w:val="single" w:color="auto" w:sz="4" w:space="0"/>
              <w:left w:val="single" w:color="auto" w:sz="4" w:space="0"/>
              <w:bottom w:val="single" w:color="auto" w:sz="4" w:space="0"/>
              <w:right w:val="single" w:color="auto" w:sz="4" w:space="0"/>
            </w:tcBorders>
            <w:vAlign w:val="center"/>
          </w:tcPr>
          <w:p w14:paraId="751F672A">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836" w:type="dxa"/>
            <w:tcBorders>
              <w:top w:val="single" w:color="auto" w:sz="4" w:space="0"/>
              <w:left w:val="single" w:color="auto" w:sz="4" w:space="0"/>
              <w:bottom w:val="single" w:color="auto" w:sz="4" w:space="0"/>
              <w:right w:val="single" w:color="auto" w:sz="4" w:space="0"/>
            </w:tcBorders>
            <w:vAlign w:val="center"/>
          </w:tcPr>
          <w:p w14:paraId="50C59B1C">
            <w:pPr>
              <w:adjustRightInd w:val="0"/>
              <w:snapToGrid w:val="0"/>
              <w:spacing w:line="360" w:lineRule="auto"/>
              <w:jc w:val="center"/>
              <w:rPr>
                <w:rFonts w:hint="eastAsia" w:ascii="宋体" w:hAnsi="宋体" w:cs="宋体"/>
                <w:color w:val="auto"/>
                <w:sz w:val="24"/>
                <w:szCs w:val="24"/>
                <w:highlight w:val="none"/>
              </w:rPr>
            </w:pPr>
          </w:p>
        </w:tc>
      </w:tr>
      <w:tr w14:paraId="4B2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643" w:type="dxa"/>
            <w:tcBorders>
              <w:top w:val="nil"/>
              <w:left w:val="single" w:color="auto" w:sz="4" w:space="0"/>
              <w:bottom w:val="single" w:color="auto" w:sz="4" w:space="0"/>
              <w:right w:val="single" w:color="auto" w:sz="4" w:space="0"/>
            </w:tcBorders>
            <w:vAlign w:val="center"/>
          </w:tcPr>
          <w:p w14:paraId="6E70B32B">
            <w:pPr>
              <w:adjustRightInd w:val="0"/>
              <w:snapToGrid w:val="0"/>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询比报价</w:t>
            </w:r>
          </w:p>
        </w:tc>
        <w:tc>
          <w:tcPr>
            <w:tcW w:w="6836" w:type="dxa"/>
            <w:tcBorders>
              <w:top w:val="single" w:color="auto" w:sz="4" w:space="0"/>
              <w:left w:val="single" w:color="auto" w:sz="4" w:space="0"/>
              <w:bottom w:val="single" w:color="auto" w:sz="4" w:space="0"/>
              <w:right w:val="single" w:color="auto" w:sz="4" w:space="0"/>
            </w:tcBorders>
            <w:vAlign w:val="center"/>
          </w:tcPr>
          <w:p w14:paraId="749675AC">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元</w:t>
            </w:r>
            <w:r>
              <w:rPr>
                <w:rFonts w:hint="eastAsia" w:ascii="宋体" w:hAnsi="宋体" w:cs="宋体"/>
                <w:color w:val="auto"/>
                <w:sz w:val="24"/>
                <w:szCs w:val="24"/>
                <w:highlight w:val="none"/>
              </w:rPr>
              <w:t>；（大写）：人民币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28F4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43" w:type="dxa"/>
            <w:tcBorders>
              <w:top w:val="single" w:color="auto" w:sz="4" w:space="0"/>
              <w:left w:val="single" w:color="auto" w:sz="4" w:space="0"/>
              <w:bottom w:val="single" w:color="auto" w:sz="4" w:space="0"/>
              <w:right w:val="single" w:color="auto" w:sz="4" w:space="0"/>
            </w:tcBorders>
            <w:vAlign w:val="center"/>
          </w:tcPr>
          <w:p w14:paraId="240FB215">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合同履行期限</w:t>
            </w:r>
          </w:p>
          <w:p w14:paraId="092F90F8">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（建设周期）</w:t>
            </w:r>
          </w:p>
        </w:tc>
        <w:tc>
          <w:tcPr>
            <w:tcW w:w="6836" w:type="dxa"/>
            <w:tcBorders>
              <w:top w:val="single" w:color="auto" w:sz="4" w:space="0"/>
              <w:left w:val="single" w:color="auto" w:sz="4" w:space="0"/>
              <w:bottom w:val="single" w:color="auto" w:sz="4" w:space="0"/>
              <w:right w:val="single" w:color="auto" w:sz="4" w:space="0"/>
            </w:tcBorders>
            <w:vAlign w:val="center"/>
          </w:tcPr>
          <w:p w14:paraId="00D93C8F">
            <w:pPr>
              <w:adjustRightInd w:val="0"/>
              <w:snapToGrid w:val="0"/>
              <w:jc w:val="left"/>
              <w:rPr>
                <w:rFonts w:hint="eastAsia" w:ascii="宋体" w:hAnsi="宋体" w:cs="宋体"/>
                <w:color w:val="auto"/>
                <w:sz w:val="24"/>
                <w:szCs w:val="24"/>
                <w:highlight w:val="none"/>
              </w:rPr>
            </w:pPr>
          </w:p>
        </w:tc>
      </w:tr>
      <w:tr w14:paraId="0D99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43" w:type="dxa"/>
            <w:tcBorders>
              <w:top w:val="single" w:color="auto" w:sz="4" w:space="0"/>
              <w:left w:val="single" w:color="auto" w:sz="4" w:space="0"/>
              <w:bottom w:val="single" w:color="auto" w:sz="4" w:space="0"/>
              <w:right w:val="single" w:color="auto" w:sz="4" w:space="0"/>
            </w:tcBorders>
            <w:vAlign w:val="center"/>
          </w:tcPr>
          <w:p w14:paraId="57EED8A4">
            <w:pPr>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质量要求</w:t>
            </w:r>
          </w:p>
        </w:tc>
        <w:tc>
          <w:tcPr>
            <w:tcW w:w="6836" w:type="dxa"/>
            <w:tcBorders>
              <w:top w:val="single" w:color="auto" w:sz="4" w:space="0"/>
              <w:left w:val="single" w:color="auto" w:sz="4" w:space="0"/>
              <w:bottom w:val="single" w:color="auto" w:sz="4" w:space="0"/>
              <w:right w:val="single" w:color="auto" w:sz="4" w:space="0"/>
            </w:tcBorders>
            <w:vAlign w:val="center"/>
          </w:tcPr>
          <w:p w14:paraId="00F9E383">
            <w:pPr>
              <w:adjustRightInd w:val="0"/>
              <w:snapToGrid w:val="0"/>
              <w:jc w:val="left"/>
              <w:rPr>
                <w:rFonts w:hint="eastAsia" w:ascii="宋体" w:hAnsi="宋体" w:cs="宋体"/>
                <w:bCs/>
                <w:color w:val="auto"/>
                <w:sz w:val="24"/>
                <w:szCs w:val="24"/>
                <w:highlight w:val="none"/>
              </w:rPr>
            </w:pPr>
          </w:p>
        </w:tc>
      </w:tr>
      <w:tr w14:paraId="7994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43" w:type="dxa"/>
            <w:tcBorders>
              <w:top w:val="single" w:color="auto" w:sz="4" w:space="0"/>
              <w:left w:val="single" w:color="auto" w:sz="4" w:space="0"/>
              <w:bottom w:val="single" w:color="auto" w:sz="4" w:space="0"/>
              <w:right w:val="single" w:color="auto" w:sz="4" w:space="0"/>
            </w:tcBorders>
            <w:vAlign w:val="center"/>
          </w:tcPr>
          <w:p w14:paraId="5E39B0BD">
            <w:pPr>
              <w:adjustRightInd w:val="0"/>
              <w:snapToGrid w:val="0"/>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备    注</w:t>
            </w:r>
          </w:p>
        </w:tc>
        <w:tc>
          <w:tcPr>
            <w:tcW w:w="6836" w:type="dxa"/>
            <w:tcBorders>
              <w:top w:val="single" w:color="auto" w:sz="4" w:space="0"/>
              <w:left w:val="single" w:color="auto" w:sz="4" w:space="0"/>
              <w:bottom w:val="single" w:color="auto" w:sz="4" w:space="0"/>
              <w:right w:val="single" w:color="auto" w:sz="4" w:space="0"/>
            </w:tcBorders>
            <w:vAlign w:val="center"/>
          </w:tcPr>
          <w:p w14:paraId="663E2813">
            <w:pPr>
              <w:adjustRightInd w:val="0"/>
              <w:snapToGrid w:val="0"/>
              <w:rPr>
                <w:rFonts w:hint="eastAsia" w:ascii="宋体" w:hAnsi="宋体" w:cs="宋体"/>
                <w:bCs/>
                <w:color w:val="auto"/>
                <w:kern w:val="0"/>
                <w:sz w:val="24"/>
                <w:szCs w:val="24"/>
                <w:highlight w:val="none"/>
              </w:rPr>
            </w:pPr>
          </w:p>
        </w:tc>
      </w:tr>
    </w:tbl>
    <w:p w14:paraId="48A0E58C">
      <w:pPr>
        <w:spacing w:line="360" w:lineRule="auto"/>
        <w:jc w:val="center"/>
        <w:rPr>
          <w:rFonts w:hint="eastAsia" w:ascii="宋体" w:hAnsi="宋体" w:cs="宋体"/>
          <w:color w:val="auto"/>
          <w:sz w:val="28"/>
          <w:szCs w:val="28"/>
          <w:highlight w:val="none"/>
        </w:rPr>
      </w:pPr>
    </w:p>
    <w:p w14:paraId="5F92FC8E">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供应商全称（盖章）：</w:t>
      </w:r>
      <w:r>
        <w:rPr>
          <w:rFonts w:hint="eastAsia" w:ascii="宋体" w:hAnsi="宋体" w:cs="宋体"/>
          <w:color w:val="auto"/>
          <w:sz w:val="24"/>
          <w:highlight w:val="none"/>
          <w:u w:val="single"/>
        </w:rPr>
        <w:t xml:space="preserve">                                 </w:t>
      </w:r>
    </w:p>
    <w:p w14:paraId="24EFC57B">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lang w:eastAsia="zh-CN"/>
        </w:rPr>
        <w:t>法定代表人（单位负责人）</w:t>
      </w:r>
      <w:r>
        <w:rPr>
          <w:rFonts w:hint="eastAsia" w:ascii="宋体" w:hAnsi="宋体" w:cs="宋体"/>
          <w:color w:val="auto"/>
          <w:sz w:val="24"/>
          <w:highlight w:val="none"/>
        </w:rPr>
        <w:t>或其委托代理人（签字或签章）：</w:t>
      </w:r>
      <w:r>
        <w:rPr>
          <w:rFonts w:hint="eastAsia" w:ascii="宋体" w:hAnsi="宋体" w:cs="宋体"/>
          <w:color w:val="auto"/>
          <w:sz w:val="24"/>
          <w:highlight w:val="none"/>
          <w:u w:val="single"/>
        </w:rPr>
        <w:t xml:space="preserve">             </w:t>
      </w:r>
    </w:p>
    <w:p w14:paraId="1D77B6C2">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4AAF75D">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注：1.表中报价应与 “询比函”中报价和“询比报价明细表”中报价一致。</w:t>
      </w:r>
    </w:p>
    <w:p w14:paraId="7DE057D0">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2.此表应放于响应文件封面后第一页。</w:t>
      </w:r>
    </w:p>
    <w:p w14:paraId="2295CD23">
      <w:pPr>
        <w:rPr>
          <w:rFonts w:hint="eastAsia" w:ascii="宋体" w:hAnsi="宋体" w:cs="宋体"/>
          <w:color w:val="auto"/>
          <w:highlight w:val="none"/>
        </w:rPr>
      </w:pPr>
    </w:p>
    <w:p w14:paraId="67EB73E1">
      <w:pPr>
        <w:spacing w:line="360" w:lineRule="auto"/>
        <w:jc w:val="left"/>
        <w:rPr>
          <w:rFonts w:hint="eastAsia" w:ascii="宋体" w:hAnsi="宋体" w:cs="宋体"/>
          <w:color w:val="auto"/>
          <w:sz w:val="24"/>
          <w:szCs w:val="24"/>
          <w:highlight w:val="none"/>
        </w:rPr>
      </w:pPr>
    </w:p>
    <w:p w14:paraId="4EC97978">
      <w:pPr>
        <w:spacing w:line="360" w:lineRule="auto"/>
        <w:jc w:val="left"/>
        <w:rPr>
          <w:rFonts w:hint="eastAsia" w:ascii="宋体" w:hAnsi="宋体" w:cs="宋体"/>
          <w:color w:val="auto"/>
          <w:sz w:val="24"/>
          <w:szCs w:val="24"/>
          <w:highlight w:val="none"/>
        </w:rPr>
      </w:pPr>
    </w:p>
    <w:p w14:paraId="2245DEAA">
      <w:pPr>
        <w:spacing w:line="360" w:lineRule="auto"/>
        <w:jc w:val="left"/>
        <w:rPr>
          <w:rFonts w:hint="eastAsia" w:ascii="宋体" w:hAnsi="宋体" w:cs="宋体"/>
          <w:color w:val="auto"/>
          <w:sz w:val="24"/>
          <w:szCs w:val="24"/>
          <w:highlight w:val="none"/>
        </w:rPr>
      </w:pPr>
    </w:p>
    <w:p w14:paraId="6D7BF313">
      <w:pPr>
        <w:spacing w:line="360" w:lineRule="auto"/>
        <w:jc w:val="left"/>
        <w:rPr>
          <w:rFonts w:hint="eastAsia" w:ascii="宋体" w:hAnsi="宋体" w:cs="宋体"/>
          <w:color w:val="auto"/>
          <w:sz w:val="24"/>
          <w:szCs w:val="24"/>
          <w:highlight w:val="none"/>
        </w:rPr>
      </w:pPr>
    </w:p>
    <w:p w14:paraId="47291F81">
      <w:pPr>
        <w:pStyle w:val="29"/>
        <w:rPr>
          <w:rFonts w:hint="eastAsia" w:ascii="宋体" w:hAnsi="宋体" w:cs="宋体"/>
          <w:color w:val="auto"/>
          <w:highlight w:val="none"/>
        </w:rPr>
        <w:sectPr>
          <w:pgSz w:w="11906" w:h="16838"/>
          <w:pgMar w:top="1134" w:right="1134" w:bottom="1134" w:left="1134" w:header="851" w:footer="992" w:gutter="0"/>
          <w:cols w:space="720" w:num="1"/>
          <w:titlePg/>
          <w:docGrid w:type="lines" w:linePitch="312" w:charSpace="0"/>
        </w:sectPr>
      </w:pPr>
    </w:p>
    <w:p w14:paraId="0FAA7E98">
      <w:pPr>
        <w:pStyle w:val="4"/>
        <w:spacing w:before="0" w:after="0" w:line="360" w:lineRule="auto"/>
        <w:jc w:val="left"/>
        <w:rPr>
          <w:rFonts w:hint="eastAsia" w:ascii="宋体" w:hAnsi="宋体" w:cs="宋体"/>
          <w:b w:val="0"/>
          <w:color w:val="auto"/>
          <w:highlight w:val="none"/>
        </w:rPr>
      </w:pPr>
      <w:bookmarkStart w:id="84" w:name="_Toc11916"/>
      <w:r>
        <w:rPr>
          <w:rFonts w:hint="eastAsia" w:ascii="宋体" w:hAnsi="宋体" w:cs="宋体"/>
          <w:b w:val="0"/>
          <w:color w:val="auto"/>
          <w:highlight w:val="none"/>
        </w:rPr>
        <w:t>二、询比函部分格式</w:t>
      </w:r>
      <w:bookmarkEnd w:id="78"/>
      <w:bookmarkEnd w:id="79"/>
      <w:bookmarkEnd w:id="80"/>
      <w:bookmarkEnd w:id="81"/>
      <w:bookmarkEnd w:id="82"/>
      <w:bookmarkEnd w:id="83"/>
      <w:bookmarkEnd w:id="84"/>
    </w:p>
    <w:p w14:paraId="1AC741D2">
      <w:pPr>
        <w:adjustRightInd w:val="0"/>
        <w:snapToGrid w:val="0"/>
        <w:spacing w:line="360" w:lineRule="auto"/>
        <w:jc w:val="center"/>
        <w:rPr>
          <w:rFonts w:hint="eastAsia" w:ascii="宋体" w:hAnsi="宋体" w:cs="宋体"/>
          <w:bCs/>
          <w:color w:val="auto"/>
          <w:sz w:val="28"/>
          <w:szCs w:val="28"/>
          <w:highlight w:val="none"/>
        </w:rPr>
      </w:pPr>
      <w:bookmarkStart w:id="85" w:name="_Toc350930006"/>
      <w:bookmarkStart w:id="86" w:name="_Toc350930221"/>
      <w:bookmarkStart w:id="87" w:name="_Toc351117890"/>
      <w:bookmarkStart w:id="88" w:name="_Toc350330507"/>
      <w:r>
        <w:rPr>
          <w:rFonts w:hint="eastAsia" w:ascii="宋体" w:hAnsi="宋体" w:cs="宋体"/>
          <w:color w:val="auto"/>
          <w:sz w:val="28"/>
          <w:szCs w:val="28"/>
          <w:highlight w:val="none"/>
        </w:rPr>
        <w:t>1.</w:t>
      </w:r>
      <w:bookmarkEnd w:id="85"/>
      <w:bookmarkEnd w:id="86"/>
      <w:bookmarkEnd w:id="87"/>
      <w:bookmarkEnd w:id="88"/>
      <w:r>
        <w:rPr>
          <w:rFonts w:hint="eastAsia" w:ascii="宋体" w:hAnsi="宋体" w:cs="宋体"/>
          <w:bCs/>
          <w:color w:val="auto"/>
          <w:sz w:val="28"/>
          <w:szCs w:val="28"/>
          <w:highlight w:val="none"/>
        </w:rPr>
        <w:t>询比函</w:t>
      </w:r>
    </w:p>
    <w:p w14:paraId="6934DC65">
      <w:pPr>
        <w:pStyle w:val="17"/>
        <w:adjustRightInd w:val="0"/>
        <w:snapToGrid w:val="0"/>
        <w:spacing w:line="440" w:lineRule="exact"/>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采购人、采购代理机构名称）</w:t>
      </w:r>
    </w:p>
    <w:p w14:paraId="2BF7F6FE">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rPr>
        <w:t>根据贵方为</w:t>
      </w:r>
      <w:r>
        <w:rPr>
          <w:rFonts w:hint="eastAsia" w:hAnsi="宋体" w:cs="宋体"/>
          <w:color w:val="auto"/>
          <w:sz w:val="24"/>
          <w:szCs w:val="24"/>
          <w:highlight w:val="none"/>
          <w:u w:val="single"/>
        </w:rPr>
        <w:t xml:space="preserve">（采购项目名称）   </w:t>
      </w:r>
      <w:r>
        <w:rPr>
          <w:rFonts w:hint="eastAsia" w:hAnsi="宋体" w:cs="宋体"/>
          <w:color w:val="auto"/>
          <w:sz w:val="24"/>
          <w:szCs w:val="24"/>
          <w:highlight w:val="none"/>
        </w:rPr>
        <w:t>（项目编号：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）项目采购服务的询比采购邀请函，正式授权下述签字人</w:t>
      </w:r>
      <w:r>
        <w:rPr>
          <w:rFonts w:hint="eastAsia" w:hAnsi="宋体" w:cs="宋体"/>
          <w:color w:val="auto"/>
          <w:sz w:val="24"/>
          <w:szCs w:val="24"/>
          <w:highlight w:val="none"/>
          <w:u w:val="single"/>
        </w:rPr>
        <w:t xml:space="preserve">   （姓名和职务）     </w:t>
      </w:r>
      <w:r>
        <w:rPr>
          <w:rFonts w:hint="eastAsia" w:hAnsi="宋体" w:cs="宋体"/>
          <w:color w:val="auto"/>
          <w:sz w:val="24"/>
          <w:szCs w:val="24"/>
          <w:highlight w:val="none"/>
        </w:rPr>
        <w:t>全权代表供应商</w:t>
      </w:r>
      <w:r>
        <w:rPr>
          <w:rFonts w:hint="eastAsia" w:hAnsi="宋体" w:cs="宋体"/>
          <w:color w:val="auto"/>
          <w:sz w:val="24"/>
          <w:szCs w:val="24"/>
          <w:highlight w:val="none"/>
          <w:u w:val="single"/>
        </w:rPr>
        <w:t xml:space="preserve">  （供应商全称）   </w:t>
      </w:r>
      <w:r>
        <w:rPr>
          <w:rFonts w:hint="eastAsia" w:hAnsi="宋体" w:cs="宋体"/>
          <w:color w:val="auto"/>
          <w:sz w:val="24"/>
          <w:szCs w:val="24"/>
          <w:highlight w:val="none"/>
        </w:rPr>
        <w:t>参加询比。</w:t>
      </w:r>
    </w:p>
    <w:p w14:paraId="62CB421E">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rPr>
        <w:t>据此函，签字人兹宣布同意如下：</w:t>
      </w:r>
    </w:p>
    <w:p w14:paraId="2AB45C8E">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rPr>
        <w:t>1.按询比</w:t>
      </w:r>
      <w:r>
        <w:rPr>
          <w:rFonts w:hint="eastAsia" w:hAnsi="宋体" w:cs="宋体"/>
          <w:color w:val="auto"/>
          <w:sz w:val="24"/>
          <w:szCs w:val="24"/>
          <w:highlight w:val="none"/>
          <w:lang w:val="en-US"/>
        </w:rPr>
        <w:t>采购文件</w:t>
      </w:r>
      <w:r>
        <w:rPr>
          <w:rFonts w:hint="eastAsia" w:hAnsi="宋体" w:cs="宋体"/>
          <w:color w:val="auto"/>
          <w:sz w:val="24"/>
          <w:szCs w:val="24"/>
          <w:highlight w:val="none"/>
        </w:rPr>
        <w:t>要求和报价表，</w:t>
      </w:r>
      <w:r>
        <w:rPr>
          <w:rFonts w:hint="eastAsia" w:hAnsi="宋体" w:cs="宋体"/>
          <w:color w:val="auto"/>
          <w:sz w:val="24"/>
          <w:highlight w:val="none"/>
        </w:rPr>
        <w:t>对本项目</w:t>
      </w:r>
      <w:r>
        <w:rPr>
          <w:rFonts w:hint="eastAsia" w:hAnsi="宋体" w:cs="宋体"/>
          <w:color w:val="auto"/>
          <w:sz w:val="24"/>
          <w:szCs w:val="24"/>
          <w:highlight w:val="none"/>
        </w:rPr>
        <w:t>报价为（小写）</w:t>
      </w:r>
      <w:r>
        <w:rPr>
          <w:rFonts w:hint="eastAsia" w:hAnsi="宋体" w:cs="宋体"/>
          <w:color w:val="auto"/>
          <w:sz w:val="24"/>
          <w:szCs w:val="24"/>
          <w:highlight w:val="none"/>
          <w:lang w:val="en-US"/>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元；（大写）：</w:t>
      </w:r>
      <w:r>
        <w:rPr>
          <w:rFonts w:hint="eastAsia" w:hAnsi="宋体" w:cs="宋体"/>
          <w:color w:val="auto"/>
          <w:sz w:val="24"/>
          <w:szCs w:val="24"/>
          <w:highlight w:val="none"/>
          <w:lang w:val="en-US"/>
        </w:rPr>
        <w:t>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作为</w:t>
      </w:r>
      <w:r>
        <w:rPr>
          <w:rFonts w:hint="eastAsia" w:hAnsi="宋体" w:cs="宋体"/>
          <w:color w:val="auto"/>
          <w:sz w:val="24"/>
          <w:szCs w:val="24"/>
          <w:highlight w:val="none"/>
          <w:lang w:val="en-US"/>
        </w:rPr>
        <w:t>询比</w:t>
      </w:r>
      <w:r>
        <w:rPr>
          <w:rFonts w:hint="eastAsia" w:hAnsi="宋体" w:cs="宋体"/>
          <w:color w:val="auto"/>
          <w:sz w:val="24"/>
          <w:szCs w:val="24"/>
          <w:highlight w:val="none"/>
        </w:rPr>
        <w:t>报价。</w:t>
      </w:r>
    </w:p>
    <w:p w14:paraId="644F7D63">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rPr>
        <w:t>2.我方同意在</w:t>
      </w:r>
      <w:r>
        <w:rPr>
          <w:rFonts w:hint="eastAsia" w:hAnsi="宋体" w:cs="宋体"/>
          <w:color w:val="auto"/>
          <w:sz w:val="24"/>
          <w:szCs w:val="24"/>
          <w:highlight w:val="none"/>
          <w:lang w:val="en-US"/>
        </w:rPr>
        <w:t>询比</w:t>
      </w:r>
      <w:r>
        <w:rPr>
          <w:rFonts w:hint="eastAsia" w:hAnsi="宋体" w:cs="宋体"/>
          <w:color w:val="auto"/>
          <w:sz w:val="24"/>
          <w:szCs w:val="24"/>
          <w:highlight w:val="none"/>
        </w:rPr>
        <w:t>须知规定的提交响应文件截止日期起遵循本响应文件，并在</w:t>
      </w:r>
      <w:r>
        <w:rPr>
          <w:rFonts w:hint="eastAsia" w:hAnsi="宋体" w:cs="宋体"/>
          <w:color w:val="auto"/>
          <w:sz w:val="24"/>
          <w:szCs w:val="24"/>
          <w:highlight w:val="none"/>
          <w:lang w:val="en-US"/>
        </w:rPr>
        <w:t>询比</w:t>
      </w:r>
      <w:r>
        <w:rPr>
          <w:rFonts w:hint="eastAsia" w:hAnsi="宋体" w:cs="宋体"/>
          <w:color w:val="auto"/>
          <w:sz w:val="24"/>
          <w:szCs w:val="24"/>
          <w:highlight w:val="none"/>
        </w:rPr>
        <w:t>须知前附表规定的响应文件有效期满之前均具有约束力。</w:t>
      </w:r>
      <w:r>
        <w:rPr>
          <w:rFonts w:hint="eastAsia" w:hAnsi="宋体" w:cs="宋体"/>
          <w:color w:val="auto"/>
          <w:sz w:val="24"/>
          <w:highlight w:val="none"/>
        </w:rPr>
        <w:t>如果我方</w:t>
      </w:r>
      <w:r>
        <w:rPr>
          <w:rFonts w:hint="eastAsia" w:hAnsi="宋体" w:cs="宋体"/>
          <w:color w:val="auto"/>
          <w:sz w:val="24"/>
          <w:highlight w:val="none"/>
          <w:lang w:val="en-US"/>
        </w:rPr>
        <w:t>询比报价</w:t>
      </w:r>
      <w:r>
        <w:rPr>
          <w:rFonts w:hint="eastAsia" w:hAnsi="宋体" w:cs="宋体"/>
          <w:color w:val="auto"/>
          <w:sz w:val="24"/>
          <w:highlight w:val="none"/>
        </w:rPr>
        <w:t>被接受，则至合同履行完满为止，本</w:t>
      </w:r>
      <w:r>
        <w:rPr>
          <w:rFonts w:hint="eastAsia" w:hAnsi="宋体" w:cs="宋体"/>
          <w:color w:val="auto"/>
          <w:sz w:val="24"/>
          <w:highlight w:val="none"/>
          <w:lang w:val="en-US"/>
        </w:rPr>
        <w:t>询比</w:t>
      </w:r>
      <w:r>
        <w:rPr>
          <w:rFonts w:hint="eastAsia" w:hAnsi="宋体" w:cs="宋体"/>
          <w:color w:val="auto"/>
          <w:sz w:val="24"/>
          <w:highlight w:val="none"/>
        </w:rPr>
        <w:t>函保持有效。</w:t>
      </w:r>
    </w:p>
    <w:p w14:paraId="588A3BF2">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rPr>
        <w:t>3.我方承诺已经具备采购活动的供应商应当具备的条件。</w:t>
      </w:r>
    </w:p>
    <w:p w14:paraId="4A2A8BDB">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rPr>
        <w:t>4.我方已详细审核询比</w:t>
      </w:r>
      <w:r>
        <w:rPr>
          <w:rFonts w:hint="eastAsia" w:hAnsi="宋体" w:cs="宋体"/>
          <w:color w:val="auto"/>
          <w:sz w:val="24"/>
          <w:szCs w:val="24"/>
          <w:highlight w:val="none"/>
          <w:lang w:val="en-US"/>
        </w:rPr>
        <w:t>采购文件</w:t>
      </w:r>
      <w:r>
        <w:rPr>
          <w:rFonts w:hint="eastAsia" w:hAnsi="宋体" w:cs="宋体"/>
          <w:color w:val="auto"/>
          <w:sz w:val="24"/>
          <w:szCs w:val="24"/>
          <w:highlight w:val="none"/>
        </w:rPr>
        <w:t>，我方知道必须放弃提出含糊不清或误解问题的权利。</w:t>
      </w:r>
    </w:p>
    <w:p w14:paraId="5D441B56">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lang w:val="en-US"/>
        </w:rPr>
        <w:t>5</w:t>
      </w:r>
      <w:r>
        <w:rPr>
          <w:rFonts w:hint="eastAsia" w:hAnsi="宋体" w:cs="宋体"/>
          <w:color w:val="auto"/>
          <w:sz w:val="24"/>
          <w:szCs w:val="24"/>
          <w:highlight w:val="none"/>
        </w:rPr>
        <w:t>.同意应贵方要求提供与本</w:t>
      </w:r>
      <w:r>
        <w:rPr>
          <w:rFonts w:hint="eastAsia" w:hAnsi="宋体" w:cs="宋体"/>
          <w:color w:val="auto"/>
          <w:sz w:val="24"/>
          <w:szCs w:val="24"/>
          <w:highlight w:val="none"/>
          <w:lang w:val="en-US"/>
        </w:rPr>
        <w:t>询比</w:t>
      </w:r>
      <w:r>
        <w:rPr>
          <w:rFonts w:hint="eastAsia" w:hAnsi="宋体" w:cs="宋体"/>
          <w:color w:val="auto"/>
          <w:sz w:val="24"/>
          <w:szCs w:val="24"/>
          <w:highlight w:val="none"/>
        </w:rPr>
        <w:t>有关的任何数据或资料。</w:t>
      </w:r>
    </w:p>
    <w:p w14:paraId="18D996B9">
      <w:pPr>
        <w:pStyle w:val="17"/>
        <w:adjustRightInd w:val="0"/>
        <w:snapToGrid w:val="0"/>
        <w:spacing w:line="440" w:lineRule="exact"/>
        <w:ind w:firstLine="482"/>
        <w:rPr>
          <w:rFonts w:hint="eastAsia" w:hAnsi="宋体" w:cs="宋体"/>
          <w:color w:val="auto"/>
          <w:sz w:val="24"/>
          <w:szCs w:val="24"/>
          <w:highlight w:val="none"/>
        </w:rPr>
      </w:pPr>
      <w:r>
        <w:rPr>
          <w:rFonts w:hint="eastAsia" w:hAnsi="宋体" w:cs="宋体"/>
          <w:color w:val="auto"/>
          <w:sz w:val="24"/>
          <w:szCs w:val="24"/>
          <w:highlight w:val="none"/>
          <w:lang w:val="en-US"/>
        </w:rPr>
        <w:t>6</w:t>
      </w:r>
      <w:r>
        <w:rPr>
          <w:rFonts w:hint="eastAsia" w:hAnsi="宋体" w:cs="宋体"/>
          <w:color w:val="auto"/>
          <w:sz w:val="24"/>
          <w:szCs w:val="24"/>
          <w:highlight w:val="none"/>
        </w:rPr>
        <w:t>.若贵方需要，我方愿意提供我方作出的一切承诺的证明材料。</w:t>
      </w:r>
    </w:p>
    <w:p w14:paraId="6E7800EF">
      <w:pPr>
        <w:pStyle w:val="17"/>
        <w:adjustRightInd w:val="0"/>
        <w:snapToGrid w:val="0"/>
        <w:spacing w:line="400" w:lineRule="exact"/>
        <w:ind w:firstLine="482"/>
        <w:rPr>
          <w:rFonts w:hint="eastAsia" w:hAnsi="宋体" w:cs="宋体"/>
          <w:color w:val="auto"/>
          <w:sz w:val="24"/>
          <w:szCs w:val="24"/>
          <w:highlight w:val="none"/>
        </w:rPr>
      </w:pPr>
    </w:p>
    <w:p w14:paraId="0CC8C6D7">
      <w:pPr>
        <w:pStyle w:val="17"/>
        <w:adjustRightInd w:val="0"/>
        <w:snapToGrid w:val="0"/>
        <w:spacing w:line="400" w:lineRule="exact"/>
        <w:ind w:firstLine="482"/>
        <w:rPr>
          <w:rFonts w:hint="eastAsia" w:hAnsi="宋体" w:cs="宋体"/>
          <w:color w:val="auto"/>
          <w:sz w:val="24"/>
          <w:szCs w:val="24"/>
          <w:highlight w:val="none"/>
        </w:rPr>
      </w:pPr>
      <w:r>
        <w:rPr>
          <w:rFonts w:hint="eastAsia" w:hAnsi="宋体" w:cs="宋体"/>
          <w:color w:val="auto"/>
          <w:sz w:val="24"/>
          <w:szCs w:val="24"/>
          <w:highlight w:val="none"/>
        </w:rPr>
        <w:t>与本</w:t>
      </w:r>
      <w:r>
        <w:rPr>
          <w:rFonts w:hint="eastAsia" w:hAnsi="宋体" w:cs="宋体"/>
          <w:color w:val="auto"/>
          <w:sz w:val="24"/>
          <w:szCs w:val="24"/>
          <w:highlight w:val="none"/>
          <w:lang w:val="en-US"/>
        </w:rPr>
        <w:t>询比</w:t>
      </w:r>
      <w:r>
        <w:rPr>
          <w:rFonts w:hint="eastAsia" w:hAnsi="宋体" w:cs="宋体"/>
          <w:color w:val="auto"/>
          <w:sz w:val="24"/>
          <w:szCs w:val="24"/>
          <w:highlight w:val="none"/>
        </w:rPr>
        <w:t>有关的正式通讯地址为：</w:t>
      </w:r>
    </w:p>
    <w:p w14:paraId="0D80DCE2">
      <w:pPr>
        <w:pStyle w:val="17"/>
        <w:adjustRightInd w:val="0"/>
        <w:snapToGrid w:val="0"/>
        <w:spacing w:line="400" w:lineRule="exact"/>
        <w:ind w:firstLine="482"/>
        <w:rPr>
          <w:rFonts w:hint="eastAsia"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邮政编码：</w:t>
      </w:r>
      <w:r>
        <w:rPr>
          <w:rFonts w:hint="eastAsia" w:hAnsi="宋体" w:cs="宋体"/>
          <w:color w:val="auto"/>
          <w:sz w:val="24"/>
          <w:szCs w:val="24"/>
          <w:highlight w:val="none"/>
          <w:u w:val="single"/>
        </w:rPr>
        <w:t xml:space="preserve">             </w:t>
      </w:r>
    </w:p>
    <w:p w14:paraId="23A6751D">
      <w:pPr>
        <w:pStyle w:val="17"/>
        <w:adjustRightInd w:val="0"/>
        <w:snapToGrid w:val="0"/>
        <w:spacing w:line="400" w:lineRule="exact"/>
        <w:ind w:firstLine="482"/>
        <w:rPr>
          <w:rFonts w:hint="eastAsia"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43E7970D">
      <w:pPr>
        <w:pStyle w:val="17"/>
        <w:adjustRightInd w:val="0"/>
        <w:snapToGrid w:val="0"/>
        <w:spacing w:line="400" w:lineRule="exact"/>
        <w:ind w:firstLine="482"/>
        <w:rPr>
          <w:rFonts w:hint="eastAsia"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269AAC6F">
      <w:pPr>
        <w:pStyle w:val="17"/>
        <w:adjustRightInd w:val="0"/>
        <w:snapToGrid w:val="0"/>
        <w:spacing w:line="400" w:lineRule="exact"/>
        <w:ind w:firstLine="482"/>
        <w:rPr>
          <w:rFonts w:hint="eastAsia"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16D5E895">
      <w:pPr>
        <w:pStyle w:val="17"/>
        <w:adjustRightInd w:val="0"/>
        <w:snapToGrid w:val="0"/>
        <w:spacing w:line="400" w:lineRule="exact"/>
        <w:ind w:firstLine="482"/>
        <w:rPr>
          <w:rFonts w:hint="eastAsia"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27484FD5">
      <w:pPr>
        <w:pStyle w:val="17"/>
        <w:adjustRightInd w:val="0"/>
        <w:snapToGrid w:val="0"/>
        <w:spacing w:line="400" w:lineRule="exact"/>
        <w:ind w:firstLine="482"/>
        <w:rPr>
          <w:rFonts w:hint="eastAsia" w:hAnsi="宋体" w:cs="宋体"/>
          <w:color w:val="auto"/>
          <w:sz w:val="24"/>
          <w:szCs w:val="24"/>
          <w:highlight w:val="none"/>
          <w:u w:val="single"/>
        </w:rPr>
      </w:pPr>
      <w:r>
        <w:rPr>
          <w:rFonts w:hint="eastAsia" w:hAnsi="宋体" w:cs="宋体"/>
          <w:color w:val="auto"/>
          <w:sz w:val="24"/>
          <w:szCs w:val="24"/>
          <w:highlight w:val="none"/>
        </w:rPr>
        <w:t>帐    号：</w:t>
      </w:r>
      <w:r>
        <w:rPr>
          <w:rFonts w:hint="eastAsia" w:hAnsi="宋体" w:cs="宋体"/>
          <w:color w:val="auto"/>
          <w:sz w:val="24"/>
          <w:szCs w:val="24"/>
          <w:highlight w:val="none"/>
          <w:u w:val="single"/>
        </w:rPr>
        <w:t xml:space="preserve">                                                    </w:t>
      </w:r>
    </w:p>
    <w:p w14:paraId="1C2B5E98">
      <w:pPr>
        <w:pStyle w:val="17"/>
        <w:adjustRightInd w:val="0"/>
        <w:snapToGrid w:val="0"/>
        <w:spacing w:line="400" w:lineRule="exact"/>
        <w:ind w:firstLine="482"/>
        <w:rPr>
          <w:rFonts w:hint="eastAsia" w:hAnsi="宋体" w:cs="宋体"/>
          <w:color w:val="auto"/>
          <w:sz w:val="24"/>
          <w:szCs w:val="24"/>
          <w:highlight w:val="none"/>
        </w:rPr>
      </w:pPr>
      <w:r>
        <w:rPr>
          <w:rFonts w:hint="eastAsia" w:hAnsi="宋体" w:cs="宋体"/>
          <w:color w:val="auto"/>
          <w:sz w:val="24"/>
          <w:szCs w:val="24"/>
          <w:highlight w:val="none"/>
          <w:lang w:eastAsia="zh-CN"/>
        </w:rPr>
        <w:t>法定代表人（单位负责人）</w:t>
      </w:r>
      <w:r>
        <w:rPr>
          <w:rFonts w:hint="eastAsia" w:hAnsi="宋体" w:cs="宋体"/>
          <w:color w:val="auto"/>
          <w:sz w:val="24"/>
          <w:szCs w:val="24"/>
          <w:highlight w:val="none"/>
        </w:rPr>
        <w:t>或其委托代理人（签字或签章）：</w:t>
      </w:r>
      <w:r>
        <w:rPr>
          <w:rFonts w:hint="eastAsia" w:hAnsi="宋体" w:cs="宋体"/>
          <w:color w:val="auto"/>
          <w:sz w:val="24"/>
          <w:szCs w:val="24"/>
          <w:highlight w:val="none"/>
          <w:u w:val="single"/>
        </w:rPr>
        <w:t xml:space="preserve">                      </w:t>
      </w:r>
    </w:p>
    <w:p w14:paraId="46D8BA3F">
      <w:pPr>
        <w:pStyle w:val="17"/>
        <w:adjustRightInd w:val="0"/>
        <w:snapToGrid w:val="0"/>
        <w:spacing w:line="400" w:lineRule="exact"/>
        <w:ind w:firstLine="482"/>
        <w:rPr>
          <w:rFonts w:hint="eastAsia" w:hAnsi="宋体" w:cs="宋体"/>
          <w:color w:val="auto"/>
          <w:sz w:val="24"/>
          <w:szCs w:val="24"/>
          <w:highlight w:val="none"/>
        </w:rPr>
      </w:pPr>
      <w:r>
        <w:rPr>
          <w:rFonts w:hint="eastAsia" w:hAnsi="宋体" w:cs="宋体"/>
          <w:color w:val="auto"/>
          <w:sz w:val="24"/>
          <w:szCs w:val="24"/>
          <w:highlight w:val="none"/>
        </w:rPr>
        <w:t>供应商（盖公章）：</w:t>
      </w:r>
      <w:r>
        <w:rPr>
          <w:rFonts w:hint="eastAsia" w:hAnsi="宋体" w:cs="宋体"/>
          <w:color w:val="auto"/>
          <w:sz w:val="24"/>
          <w:szCs w:val="24"/>
          <w:highlight w:val="none"/>
          <w:u w:val="single"/>
        </w:rPr>
        <w:t xml:space="preserve">                                            </w:t>
      </w:r>
    </w:p>
    <w:p w14:paraId="036DD23D">
      <w:pPr>
        <w:pStyle w:val="17"/>
        <w:adjustRightInd w:val="0"/>
        <w:snapToGrid w:val="0"/>
        <w:spacing w:line="400" w:lineRule="exact"/>
        <w:ind w:firstLine="482"/>
        <w:rPr>
          <w:rFonts w:hint="eastAsia" w:hAnsi="宋体" w:cs="宋体"/>
          <w:color w:val="auto"/>
          <w:sz w:val="24"/>
          <w:szCs w:val="24"/>
          <w:highlight w:val="none"/>
          <w:u w:val="singl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27272F5A">
      <w:pPr>
        <w:rPr>
          <w:rFonts w:hint="eastAsia" w:ascii="宋体" w:hAnsi="宋体" w:cs="宋体"/>
          <w:color w:val="auto"/>
          <w:highlight w:val="none"/>
        </w:rPr>
      </w:pPr>
    </w:p>
    <w:p w14:paraId="25504439">
      <w:pPr>
        <w:rPr>
          <w:rFonts w:hint="eastAsia" w:ascii="宋体" w:hAnsi="宋体" w:cs="宋体"/>
          <w:color w:val="auto"/>
          <w:highlight w:val="none"/>
        </w:rPr>
      </w:pPr>
    </w:p>
    <w:p w14:paraId="1355FED9">
      <w:pPr>
        <w:rPr>
          <w:rFonts w:hint="eastAsia" w:ascii="宋体" w:hAnsi="宋体" w:cs="宋体"/>
          <w:color w:val="auto"/>
          <w:highlight w:val="none"/>
        </w:rPr>
        <w:sectPr>
          <w:pgSz w:w="11906" w:h="16838"/>
          <w:pgMar w:top="1134" w:right="1134" w:bottom="1134" w:left="1134" w:header="851" w:footer="992" w:gutter="0"/>
          <w:cols w:space="720" w:num="1"/>
          <w:titlePg/>
          <w:docGrid w:type="lines" w:linePitch="312" w:charSpace="0"/>
        </w:sectPr>
      </w:pPr>
    </w:p>
    <w:p w14:paraId="651E90E3">
      <w:pPr>
        <w:adjustRightInd w:val="0"/>
        <w:snapToGrid w:val="0"/>
        <w:spacing w:line="360" w:lineRule="auto"/>
        <w:jc w:val="center"/>
        <w:rPr>
          <w:rFonts w:hint="eastAsia" w:ascii="宋体" w:hAnsi="宋体" w:cs="宋体"/>
          <w:b/>
          <w:bCs/>
          <w:color w:val="auto"/>
          <w:sz w:val="24"/>
          <w:szCs w:val="24"/>
          <w:highlight w:val="none"/>
        </w:rPr>
      </w:pPr>
      <w:bookmarkStart w:id="89" w:name="_Toc24388"/>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法定代表人（单位负责人）</w:t>
      </w:r>
      <w:r>
        <w:rPr>
          <w:rFonts w:hint="eastAsia" w:ascii="宋体" w:hAnsi="宋体" w:cs="宋体"/>
          <w:b/>
          <w:bCs/>
          <w:color w:val="auto"/>
          <w:sz w:val="24"/>
          <w:szCs w:val="24"/>
          <w:highlight w:val="none"/>
        </w:rPr>
        <w:t>身份证明</w:t>
      </w:r>
    </w:p>
    <w:p w14:paraId="60A94E4C">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14:paraId="5A2DA0C9">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14:paraId="237E1D6E">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383BD9B5">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B1BB8F0">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2192B445">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p>
    <w:p w14:paraId="141A6FE5">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（供应商单位名称）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w:t>
      </w:r>
    </w:p>
    <w:p w14:paraId="554359D7">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13DA690C">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CFC9FF7">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（盖章）</w:t>
      </w:r>
    </w:p>
    <w:p w14:paraId="42919FD2">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7AD1401">
      <w:pPr>
        <w:adjustRightInd w:val="0"/>
        <w:snapToGrid w:val="0"/>
        <w:spacing w:line="360" w:lineRule="auto"/>
        <w:jc w:val="left"/>
        <w:rPr>
          <w:rFonts w:hint="eastAsia" w:ascii="宋体" w:hAnsi="宋体" w:cs="宋体"/>
          <w:bCs/>
          <w:color w:val="auto"/>
          <w:sz w:val="24"/>
          <w:szCs w:val="24"/>
          <w:highlight w:val="none"/>
        </w:rPr>
      </w:pPr>
    </w:p>
    <w:p w14:paraId="75E54699">
      <w:pPr>
        <w:adjustRightInd w:val="0"/>
        <w:snapToGrid w:val="0"/>
        <w:spacing w:line="360" w:lineRule="auto"/>
        <w:jc w:val="center"/>
        <w:rPr>
          <w:rFonts w:hint="eastAsia" w:ascii="宋体" w:hAnsi="宋体" w:cs="宋体"/>
          <w:b/>
          <w:bCs/>
          <w:color w:val="auto"/>
          <w:sz w:val="24"/>
          <w:szCs w:val="24"/>
          <w:highlight w:val="none"/>
        </w:rPr>
      </w:pPr>
    </w:p>
    <w:p w14:paraId="77D24C6C">
      <w:pPr>
        <w:adjustRightInd w:val="0"/>
        <w:snapToGrid w:val="0"/>
        <w:spacing w:line="360" w:lineRule="auto"/>
        <w:jc w:val="center"/>
        <w:rPr>
          <w:rFonts w:hint="eastAsia" w:ascii="宋体" w:hAnsi="宋体" w:cs="宋体"/>
          <w:b/>
          <w:bCs/>
          <w:color w:val="auto"/>
          <w:sz w:val="24"/>
          <w:szCs w:val="24"/>
          <w:highlight w:val="none"/>
        </w:rPr>
      </w:pPr>
    </w:p>
    <w:p w14:paraId="59CABA5A">
      <w:pPr>
        <w:adjustRightInd w:val="0"/>
        <w:snapToGrid w:val="0"/>
        <w:spacing w:line="360" w:lineRule="auto"/>
        <w:jc w:val="center"/>
        <w:rPr>
          <w:rFonts w:hint="eastAsia" w:ascii="宋体" w:hAnsi="宋体" w:cs="宋体"/>
          <w:b/>
          <w:bCs/>
          <w:color w:val="auto"/>
          <w:sz w:val="24"/>
          <w:szCs w:val="24"/>
          <w:highlight w:val="none"/>
        </w:rPr>
      </w:pPr>
    </w:p>
    <w:p w14:paraId="515BF6EB">
      <w:pPr>
        <w:adjustRightInd w:val="0"/>
        <w:snapToGrid w:val="0"/>
        <w:spacing w:line="360" w:lineRule="auto"/>
        <w:jc w:val="center"/>
        <w:rPr>
          <w:rFonts w:hint="eastAsia" w:ascii="宋体" w:hAnsi="宋体" w:cs="宋体"/>
          <w:b/>
          <w:bCs/>
          <w:color w:val="auto"/>
          <w:sz w:val="24"/>
          <w:szCs w:val="24"/>
          <w:highlight w:val="none"/>
        </w:rPr>
      </w:pPr>
    </w:p>
    <w:p w14:paraId="501C889C">
      <w:pPr>
        <w:adjustRightInd w:val="0"/>
        <w:snapToGrid w:val="0"/>
        <w:spacing w:line="360" w:lineRule="auto"/>
        <w:jc w:val="center"/>
        <w:rPr>
          <w:rFonts w:hint="eastAsia" w:ascii="宋体" w:hAnsi="宋体" w:cs="宋体"/>
          <w:b/>
          <w:bCs/>
          <w:color w:val="auto"/>
          <w:sz w:val="24"/>
          <w:szCs w:val="24"/>
          <w:highlight w:val="none"/>
        </w:rPr>
      </w:pPr>
    </w:p>
    <w:p w14:paraId="71B1B072">
      <w:pPr>
        <w:adjustRightInd w:val="0"/>
        <w:snapToGrid w:val="0"/>
        <w:spacing w:line="360" w:lineRule="auto"/>
        <w:jc w:val="center"/>
        <w:rPr>
          <w:rFonts w:hint="eastAsia" w:ascii="宋体" w:hAnsi="宋体" w:cs="宋体"/>
          <w:b/>
          <w:bCs/>
          <w:color w:val="auto"/>
          <w:sz w:val="24"/>
          <w:szCs w:val="24"/>
          <w:highlight w:val="none"/>
        </w:rPr>
      </w:pPr>
    </w:p>
    <w:p w14:paraId="48CAF535">
      <w:pPr>
        <w:adjustRightInd w:val="0"/>
        <w:snapToGrid w:val="0"/>
        <w:spacing w:line="360" w:lineRule="auto"/>
        <w:jc w:val="center"/>
        <w:rPr>
          <w:rFonts w:hint="eastAsia" w:ascii="宋体" w:hAnsi="宋体" w:cs="宋体"/>
          <w:b/>
          <w:bCs/>
          <w:color w:val="auto"/>
          <w:sz w:val="24"/>
          <w:szCs w:val="24"/>
          <w:highlight w:val="none"/>
        </w:rPr>
      </w:pPr>
    </w:p>
    <w:p w14:paraId="2D2DCC65">
      <w:pPr>
        <w:adjustRightInd w:val="0"/>
        <w:snapToGrid w:val="0"/>
        <w:spacing w:line="360" w:lineRule="auto"/>
        <w:jc w:val="center"/>
        <w:rPr>
          <w:rFonts w:hint="eastAsia" w:ascii="宋体" w:hAnsi="宋体" w:cs="宋体"/>
          <w:b/>
          <w:bCs/>
          <w:color w:val="auto"/>
          <w:sz w:val="24"/>
          <w:szCs w:val="24"/>
          <w:highlight w:val="none"/>
        </w:rPr>
      </w:pPr>
    </w:p>
    <w:p w14:paraId="510705DF">
      <w:pPr>
        <w:adjustRightInd w:val="0"/>
        <w:snapToGrid w:val="0"/>
        <w:spacing w:line="360" w:lineRule="auto"/>
        <w:jc w:val="center"/>
        <w:rPr>
          <w:rFonts w:hint="eastAsia" w:ascii="宋体" w:hAnsi="宋体" w:cs="宋体"/>
          <w:b/>
          <w:bCs/>
          <w:color w:val="auto"/>
          <w:sz w:val="24"/>
          <w:szCs w:val="24"/>
          <w:highlight w:val="none"/>
        </w:rPr>
      </w:pPr>
    </w:p>
    <w:p w14:paraId="15792B48">
      <w:pPr>
        <w:adjustRightInd w:val="0"/>
        <w:snapToGrid w:val="0"/>
        <w:spacing w:line="360" w:lineRule="auto"/>
        <w:jc w:val="center"/>
        <w:rPr>
          <w:rFonts w:hint="eastAsia" w:ascii="宋体" w:hAnsi="宋体" w:cs="宋体"/>
          <w:b/>
          <w:bCs/>
          <w:color w:val="auto"/>
          <w:sz w:val="24"/>
          <w:szCs w:val="24"/>
          <w:highlight w:val="none"/>
        </w:rPr>
      </w:pPr>
    </w:p>
    <w:p w14:paraId="647E38E1">
      <w:pPr>
        <w:adjustRightInd w:val="0"/>
        <w:snapToGrid w:val="0"/>
        <w:spacing w:line="360" w:lineRule="auto"/>
        <w:jc w:val="center"/>
        <w:rPr>
          <w:rFonts w:hint="eastAsia" w:ascii="宋体" w:hAnsi="宋体" w:cs="宋体"/>
          <w:b/>
          <w:bCs/>
          <w:color w:val="auto"/>
          <w:sz w:val="24"/>
          <w:szCs w:val="24"/>
          <w:highlight w:val="none"/>
        </w:rPr>
      </w:pPr>
    </w:p>
    <w:p w14:paraId="5958F3C4">
      <w:pPr>
        <w:adjustRightInd w:val="0"/>
        <w:snapToGrid w:val="0"/>
        <w:spacing w:line="360" w:lineRule="auto"/>
        <w:jc w:val="center"/>
        <w:rPr>
          <w:rFonts w:hint="eastAsia" w:ascii="宋体" w:hAnsi="宋体" w:cs="宋体"/>
          <w:b/>
          <w:bCs/>
          <w:color w:val="auto"/>
          <w:sz w:val="24"/>
          <w:szCs w:val="24"/>
          <w:highlight w:val="none"/>
        </w:rPr>
      </w:pPr>
    </w:p>
    <w:p w14:paraId="448C92D9">
      <w:pPr>
        <w:adjustRightInd w:val="0"/>
        <w:snapToGrid w:val="0"/>
        <w:spacing w:line="360" w:lineRule="auto"/>
        <w:jc w:val="center"/>
        <w:rPr>
          <w:rFonts w:hint="eastAsia" w:ascii="宋体" w:hAnsi="宋体" w:cs="宋体"/>
          <w:b/>
          <w:bCs/>
          <w:color w:val="auto"/>
          <w:sz w:val="24"/>
          <w:szCs w:val="24"/>
          <w:highlight w:val="none"/>
        </w:rPr>
      </w:pPr>
    </w:p>
    <w:p w14:paraId="5FEA7735">
      <w:pPr>
        <w:pStyle w:val="43"/>
        <w:rPr>
          <w:rFonts w:hint="eastAsia" w:ascii="宋体" w:hAnsi="宋体" w:cs="宋体"/>
          <w:b/>
          <w:color w:val="auto"/>
          <w:szCs w:val="24"/>
          <w:highlight w:val="none"/>
        </w:rPr>
      </w:pPr>
    </w:p>
    <w:p w14:paraId="40EC0711">
      <w:pPr>
        <w:rPr>
          <w:rFonts w:hint="eastAsia" w:ascii="宋体" w:hAnsi="宋体" w:cs="宋体"/>
          <w:b/>
          <w:bCs/>
          <w:color w:val="auto"/>
          <w:sz w:val="24"/>
          <w:szCs w:val="24"/>
          <w:highlight w:val="none"/>
        </w:rPr>
      </w:pPr>
    </w:p>
    <w:p w14:paraId="39D7F6B6">
      <w:pPr>
        <w:pStyle w:val="43"/>
        <w:rPr>
          <w:rFonts w:hint="eastAsia" w:ascii="宋体" w:hAnsi="宋体" w:cs="宋体"/>
          <w:b/>
          <w:color w:val="auto"/>
          <w:szCs w:val="24"/>
          <w:highlight w:val="none"/>
        </w:rPr>
      </w:pPr>
    </w:p>
    <w:p w14:paraId="2D206E4C">
      <w:pPr>
        <w:rPr>
          <w:rFonts w:hint="eastAsia" w:ascii="宋体" w:hAnsi="宋体" w:cs="宋体"/>
          <w:color w:val="auto"/>
          <w:highlight w:val="none"/>
        </w:rPr>
        <w:sectPr>
          <w:pgSz w:w="11906" w:h="16838"/>
          <w:pgMar w:top="1134" w:right="1134" w:bottom="1134" w:left="1134" w:header="851" w:footer="992" w:gutter="0"/>
          <w:cols w:space="720" w:num="1"/>
          <w:titlePg/>
          <w:docGrid w:type="lines" w:linePitch="312" w:charSpace="0"/>
        </w:sectPr>
      </w:pPr>
    </w:p>
    <w:p w14:paraId="50342CB4">
      <w:pPr>
        <w:adjustRightInd w:val="0"/>
        <w:snapToGrid w:val="0"/>
        <w:spacing w:line="360" w:lineRule="auto"/>
        <w:jc w:val="center"/>
        <w:rPr>
          <w:rFonts w:hint="eastAsia" w:ascii="宋体" w:hAnsi="宋体" w:cs="宋体"/>
          <w:b/>
          <w:bCs/>
          <w:color w:val="auto"/>
          <w:sz w:val="24"/>
          <w:szCs w:val="24"/>
          <w:highlight w:val="none"/>
        </w:rPr>
      </w:pPr>
    </w:p>
    <w:p w14:paraId="7CA3E016">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3、授权委托书</w:t>
      </w:r>
    </w:p>
    <w:p w14:paraId="35D89F02">
      <w:pPr>
        <w:adjustRightInd w:val="0"/>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258E2AC">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 xml:space="preserve">系 </w:t>
      </w:r>
      <w:r>
        <w:rPr>
          <w:rFonts w:hint="eastAsia" w:ascii="宋体" w:hAnsi="宋体" w:cs="宋体"/>
          <w:color w:val="auto"/>
          <w:sz w:val="24"/>
          <w:szCs w:val="24"/>
          <w:highlight w:val="none"/>
          <w:u w:val="single"/>
        </w:rPr>
        <w:t xml:space="preserve">          （供应商名称）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，现委托我公司员工</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为我方代理人。代理人根据授权，以我方名义签署、澄清、说明、补正、递交、撤回、修改</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询比文件、签订合同和处理有关事宜，其法律后果由我方承担。</w:t>
      </w:r>
    </w:p>
    <w:p w14:paraId="36FCBD3F">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14:paraId="18F4EEC8">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077940C8">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身份证明和</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身份证复印件；</w:t>
      </w:r>
    </w:p>
    <w:p w14:paraId="51B6EF21">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附：委托代理人身份证复印件。</w:t>
      </w:r>
    </w:p>
    <w:p w14:paraId="7200A0D9">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D279933">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14:paraId="132CF074">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（签章/签字）</w:t>
      </w:r>
    </w:p>
    <w:p w14:paraId="3E114B16">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387A66A1">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p>
    <w:p w14:paraId="4AC00DF2">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4E3E67D">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60E20A0">
      <w:pPr>
        <w:rPr>
          <w:rFonts w:hint="eastAsia" w:ascii="宋体" w:hAnsi="宋体" w:cs="宋体"/>
          <w:color w:val="auto"/>
          <w:highlight w:val="none"/>
        </w:rPr>
      </w:pPr>
    </w:p>
    <w:p w14:paraId="17068473">
      <w:pPr>
        <w:rPr>
          <w:rFonts w:hint="eastAsia" w:ascii="宋体" w:hAnsi="宋体" w:cs="宋体"/>
          <w:color w:val="auto"/>
          <w:highlight w:val="none"/>
        </w:rPr>
      </w:pPr>
    </w:p>
    <w:p w14:paraId="70140006">
      <w:pPr>
        <w:rPr>
          <w:rFonts w:hint="eastAsia" w:ascii="宋体" w:hAnsi="宋体" w:cs="宋体"/>
          <w:b/>
          <w:color w:val="auto"/>
          <w:highlight w:val="none"/>
        </w:rPr>
      </w:pPr>
    </w:p>
    <w:p w14:paraId="4A51D4A0">
      <w:pPr>
        <w:pStyle w:val="14"/>
        <w:rPr>
          <w:rFonts w:hint="eastAsia" w:ascii="宋体" w:hAnsi="宋体" w:cs="宋体"/>
          <w:b/>
          <w:color w:val="auto"/>
          <w:highlight w:val="none"/>
        </w:rPr>
      </w:pPr>
    </w:p>
    <w:p w14:paraId="4056CE13">
      <w:pPr>
        <w:rPr>
          <w:rFonts w:hint="eastAsia" w:ascii="宋体" w:hAnsi="宋体" w:cs="宋体"/>
          <w:b/>
          <w:color w:val="auto"/>
          <w:highlight w:val="none"/>
        </w:rPr>
      </w:pPr>
    </w:p>
    <w:p w14:paraId="5D2C8179">
      <w:pPr>
        <w:pStyle w:val="14"/>
        <w:rPr>
          <w:rFonts w:hint="eastAsia" w:ascii="宋体" w:hAnsi="宋体" w:cs="宋体"/>
          <w:b/>
          <w:color w:val="auto"/>
          <w:highlight w:val="none"/>
        </w:rPr>
      </w:pPr>
    </w:p>
    <w:p w14:paraId="0F6FDF3E">
      <w:pPr>
        <w:rPr>
          <w:rFonts w:hint="eastAsia" w:ascii="宋体" w:hAnsi="宋体" w:cs="宋体"/>
          <w:b/>
          <w:color w:val="auto"/>
          <w:highlight w:val="none"/>
        </w:rPr>
      </w:pPr>
    </w:p>
    <w:p w14:paraId="51D410A9">
      <w:pPr>
        <w:pStyle w:val="14"/>
        <w:rPr>
          <w:rFonts w:hint="eastAsia" w:ascii="宋体" w:hAnsi="宋体" w:cs="宋体"/>
          <w:b/>
          <w:color w:val="auto"/>
          <w:highlight w:val="none"/>
        </w:rPr>
      </w:pPr>
    </w:p>
    <w:p w14:paraId="4F8FF3A4">
      <w:pPr>
        <w:rPr>
          <w:rFonts w:hint="eastAsia" w:ascii="宋体" w:hAnsi="宋体" w:cs="宋体"/>
          <w:b/>
          <w:color w:val="auto"/>
          <w:highlight w:val="none"/>
        </w:rPr>
      </w:pPr>
    </w:p>
    <w:p w14:paraId="6082C905">
      <w:pPr>
        <w:pStyle w:val="14"/>
        <w:rPr>
          <w:rFonts w:hint="eastAsia" w:ascii="宋体" w:hAnsi="宋体" w:cs="宋体"/>
          <w:b/>
          <w:color w:val="auto"/>
          <w:highlight w:val="none"/>
        </w:rPr>
      </w:pPr>
    </w:p>
    <w:p w14:paraId="1466BAFB">
      <w:pPr>
        <w:rPr>
          <w:rFonts w:hint="eastAsia" w:ascii="宋体" w:hAnsi="宋体" w:cs="宋体"/>
          <w:b/>
          <w:color w:val="auto"/>
          <w:highlight w:val="none"/>
        </w:rPr>
      </w:pPr>
    </w:p>
    <w:p w14:paraId="441FF3D1">
      <w:pPr>
        <w:pStyle w:val="14"/>
        <w:rPr>
          <w:rFonts w:hint="eastAsia" w:ascii="宋体" w:hAnsi="宋体" w:cs="宋体"/>
          <w:b/>
          <w:color w:val="auto"/>
          <w:highlight w:val="none"/>
        </w:rPr>
      </w:pPr>
    </w:p>
    <w:p w14:paraId="18D98174">
      <w:pPr>
        <w:rPr>
          <w:rFonts w:hint="eastAsia" w:ascii="宋体" w:hAnsi="宋体" w:cs="宋体"/>
          <w:b/>
          <w:color w:val="auto"/>
          <w:highlight w:val="none"/>
        </w:rPr>
      </w:pPr>
    </w:p>
    <w:p w14:paraId="6B480186">
      <w:pPr>
        <w:pStyle w:val="43"/>
        <w:rPr>
          <w:rFonts w:hint="eastAsia" w:ascii="宋体" w:hAnsi="宋体" w:cs="宋体"/>
          <w:color w:val="auto"/>
          <w:highlight w:val="none"/>
        </w:rPr>
      </w:pPr>
    </w:p>
    <w:p w14:paraId="446F6F56">
      <w:pPr>
        <w:rPr>
          <w:rFonts w:hint="eastAsia" w:ascii="宋体" w:hAnsi="宋体" w:cs="宋体"/>
          <w:b/>
          <w:bCs/>
          <w:color w:val="auto"/>
          <w:kern w:val="0"/>
          <w:sz w:val="28"/>
          <w:szCs w:val="28"/>
          <w:highlight w:val="none"/>
          <w:lang w:val="zh-CN"/>
        </w:rPr>
      </w:pPr>
    </w:p>
    <w:p w14:paraId="020F0140">
      <w:pPr>
        <w:pStyle w:val="43"/>
        <w:rPr>
          <w:rFonts w:hint="eastAsia" w:ascii="宋体" w:hAnsi="宋体" w:cs="宋体"/>
          <w:color w:val="auto"/>
          <w:highlight w:val="none"/>
          <w:lang w:val="zh-CN"/>
        </w:rPr>
      </w:pPr>
    </w:p>
    <w:p w14:paraId="14AFA0E9">
      <w:pPr>
        <w:pStyle w:val="4"/>
        <w:spacing w:before="0" w:after="0" w:line="360" w:lineRule="auto"/>
        <w:jc w:val="left"/>
        <w:rPr>
          <w:rFonts w:hint="eastAsia" w:ascii="宋体" w:hAnsi="宋体" w:cs="宋体"/>
          <w:b w:val="0"/>
          <w:color w:val="auto"/>
          <w:highlight w:val="none"/>
        </w:rPr>
      </w:pPr>
      <w:r>
        <w:rPr>
          <w:rFonts w:hint="eastAsia" w:ascii="宋体" w:hAnsi="宋体" w:cs="宋体"/>
          <w:b w:val="0"/>
          <w:color w:val="auto"/>
          <w:highlight w:val="none"/>
        </w:rPr>
        <w:t>三、竞标报价部分</w:t>
      </w:r>
      <w:bookmarkEnd w:id="89"/>
    </w:p>
    <w:p w14:paraId="30BCC804">
      <w:pPr>
        <w:spacing w:line="360" w:lineRule="auto"/>
        <w:ind w:firstLine="562" w:firstLineChars="200"/>
        <w:jc w:val="center"/>
        <w:rPr>
          <w:rFonts w:hint="eastAsia" w:ascii="宋体" w:hAnsi="宋体" w:cs="宋体"/>
          <w:b/>
          <w:bCs/>
          <w:color w:val="auto"/>
          <w:kern w:val="0"/>
          <w:sz w:val="28"/>
          <w:szCs w:val="28"/>
          <w:highlight w:val="none"/>
        </w:rPr>
      </w:pPr>
      <w:bookmarkStart w:id="90" w:name="_Toc351117895"/>
      <w:bookmarkStart w:id="91" w:name="_Toc350930011"/>
      <w:bookmarkStart w:id="92" w:name="_Toc350930226"/>
      <w:bookmarkStart w:id="93" w:name="_Toc350330511"/>
      <w:bookmarkStart w:id="94" w:name="_Toc277679097"/>
      <w:bookmarkStart w:id="95" w:name="_Toc355054076"/>
      <w:r>
        <w:rPr>
          <w:rFonts w:hint="eastAsia" w:ascii="宋体" w:hAnsi="宋体" w:cs="宋体"/>
          <w:b/>
          <w:bCs/>
          <w:color w:val="auto"/>
          <w:kern w:val="0"/>
          <w:sz w:val="28"/>
          <w:szCs w:val="28"/>
          <w:highlight w:val="none"/>
        </w:rPr>
        <w:t>1.报价明细表</w:t>
      </w:r>
    </w:p>
    <w:p w14:paraId="555202DD">
      <w:pPr>
        <w:spacing w:line="360" w:lineRule="auto"/>
        <w:ind w:firstLine="480" w:firstLineChars="20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（供应商格式自拟）</w:t>
      </w:r>
    </w:p>
    <w:p w14:paraId="4644C814">
      <w:pPr>
        <w:spacing w:line="360" w:lineRule="auto"/>
        <w:ind w:firstLine="562" w:firstLineChars="200"/>
        <w:jc w:val="center"/>
        <w:rPr>
          <w:rFonts w:hint="eastAsia" w:ascii="宋体" w:hAnsi="宋体" w:cs="宋体"/>
          <w:b/>
          <w:bCs/>
          <w:color w:val="auto"/>
          <w:kern w:val="0"/>
          <w:sz w:val="28"/>
          <w:szCs w:val="28"/>
          <w:highlight w:val="none"/>
        </w:rPr>
      </w:pPr>
    </w:p>
    <w:p w14:paraId="57BC8167">
      <w:pPr>
        <w:spacing w:line="360" w:lineRule="auto"/>
        <w:ind w:firstLine="480" w:firstLineChars="200"/>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lang w:val="zh-CN"/>
        </w:rPr>
        <w:t>：</w:t>
      </w:r>
    </w:p>
    <w:p w14:paraId="75BD39F6">
      <w:pPr>
        <w:spacing w:line="360" w:lineRule="auto"/>
        <w:ind w:firstLine="960" w:firstLineChars="4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表中的合计金额应与报价一览表中的竞标总价一致。</w:t>
      </w:r>
    </w:p>
    <w:p w14:paraId="776581A2">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kern w:val="0"/>
          <w:sz w:val="24"/>
          <w:szCs w:val="24"/>
          <w:highlight w:val="none"/>
        </w:rPr>
        <w:t xml:space="preserve">    2.该报价为一次性报出并不得更改的唯一报价，报价以人民币表示，单位：元。供应商的竞标报价应包括清单中的全部内容，包含人工费（定额人工费、规费）、材料费、机械费、管理费、各种税费、利润、所有材料价格、主材价格包含材料原价、运输费、上、下</w:t>
      </w:r>
      <w:r>
        <w:rPr>
          <w:rFonts w:hint="eastAsia" w:ascii="宋体" w:hAnsi="宋体" w:cs="宋体"/>
          <w:color w:val="auto"/>
          <w:sz w:val="24"/>
          <w:szCs w:val="24"/>
          <w:highlight w:val="none"/>
        </w:rPr>
        <w:t>车费到工程项目所在地位置产生的一切费用。</w:t>
      </w:r>
      <w:r>
        <w:rPr>
          <w:rFonts w:hint="eastAsia" w:ascii="宋体" w:hAnsi="宋体" w:cs="宋体"/>
          <w:bCs/>
          <w:color w:val="auto"/>
          <w:sz w:val="24"/>
          <w:szCs w:val="24"/>
          <w:highlight w:val="none"/>
        </w:rPr>
        <w:t>报价一经确定为成交价，在合同实施期间将不因市场价格的变化而调整。</w:t>
      </w:r>
    </w:p>
    <w:p w14:paraId="0C2B1A04">
      <w:pPr>
        <w:pStyle w:val="43"/>
        <w:rPr>
          <w:rFonts w:hint="eastAsia" w:ascii="宋体" w:hAnsi="宋体" w:cs="宋体"/>
          <w:color w:val="auto"/>
          <w:highlight w:val="none"/>
        </w:rPr>
      </w:pPr>
    </w:p>
    <w:p w14:paraId="6C91D029">
      <w:pPr>
        <w:rPr>
          <w:rFonts w:hint="eastAsia" w:ascii="宋体" w:hAnsi="宋体" w:cs="宋体"/>
          <w:b/>
          <w:color w:val="auto"/>
          <w:kern w:val="0"/>
          <w:sz w:val="28"/>
          <w:szCs w:val="28"/>
          <w:highlight w:val="none"/>
        </w:rPr>
      </w:pPr>
    </w:p>
    <w:p w14:paraId="30EBA464">
      <w:pPr>
        <w:spacing w:line="360" w:lineRule="auto"/>
        <w:ind w:firstLine="562" w:firstLineChars="200"/>
        <w:rPr>
          <w:rFonts w:hint="eastAsia" w:ascii="宋体" w:hAnsi="宋体" w:cs="宋体"/>
          <w:b/>
          <w:bCs/>
          <w:color w:val="auto"/>
          <w:kern w:val="0"/>
          <w:sz w:val="28"/>
          <w:szCs w:val="28"/>
          <w:highlight w:val="none"/>
          <w:lang w:val="zh-CN"/>
        </w:rPr>
      </w:pPr>
    </w:p>
    <w:p w14:paraId="5B0E4E98">
      <w:pPr>
        <w:spacing w:line="360" w:lineRule="auto"/>
        <w:ind w:firstLine="560" w:firstLineChars="200"/>
        <w:rPr>
          <w:rFonts w:hint="eastAsia" w:ascii="宋体" w:hAnsi="宋体" w:cs="宋体"/>
          <w:color w:val="auto"/>
          <w:sz w:val="24"/>
          <w:szCs w:val="24"/>
          <w:highlight w:val="none"/>
        </w:rPr>
      </w:pPr>
      <w:r>
        <w:rPr>
          <w:rFonts w:hint="eastAsia" w:ascii="宋体" w:hAnsi="宋体" w:cs="宋体"/>
          <w:color w:val="auto"/>
          <w:kern w:val="0"/>
          <w:sz w:val="28"/>
          <w:szCs w:val="28"/>
          <w:highlight w:val="none"/>
          <w:lang w:val="zh-CN"/>
        </w:rPr>
        <w:t>供应商全称（盖章）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4EE9F4E2">
      <w:pPr>
        <w:adjustRightInd w:val="0"/>
        <w:snapToGrid w:val="0"/>
        <w:spacing w:line="360" w:lineRule="auto"/>
        <w:ind w:firstLine="560" w:firstLineChars="200"/>
        <w:jc w:val="left"/>
        <w:rPr>
          <w:rFonts w:hint="eastAsia" w:ascii="宋体" w:hAnsi="宋体" w:cs="宋体"/>
          <w:color w:val="auto"/>
          <w:sz w:val="24"/>
          <w:szCs w:val="24"/>
          <w:highlight w:val="none"/>
        </w:rPr>
      </w:pPr>
      <w:r>
        <w:rPr>
          <w:rFonts w:hint="eastAsia" w:ascii="宋体" w:hAnsi="宋体" w:cs="宋体"/>
          <w:color w:val="auto"/>
          <w:kern w:val="0"/>
          <w:sz w:val="28"/>
          <w:szCs w:val="28"/>
          <w:highlight w:val="none"/>
          <w:lang w:val="zh-CN"/>
        </w:rPr>
        <w:t xml:space="preserve">法定代表人（单位负责人）或授权代理人（签字） </w:t>
      </w:r>
      <w:r>
        <w:rPr>
          <w:rFonts w:hint="eastAsia" w:ascii="宋体" w:hAnsi="宋体" w:cs="宋体"/>
          <w:color w:val="auto"/>
          <w:sz w:val="24"/>
          <w:szCs w:val="24"/>
          <w:highlight w:val="none"/>
          <w:u w:val="single"/>
        </w:rPr>
        <w:t xml:space="preserve">                     </w:t>
      </w:r>
    </w:p>
    <w:p w14:paraId="00646FE0">
      <w:pPr>
        <w:adjustRightInd w:val="0"/>
        <w:snapToGrid w:val="0"/>
        <w:spacing w:line="360" w:lineRule="auto"/>
        <w:ind w:firstLine="560" w:firstLineChars="200"/>
        <w:jc w:val="left"/>
        <w:rPr>
          <w:rFonts w:hint="eastAsia" w:ascii="宋体" w:hAnsi="宋体" w:cs="宋体"/>
          <w:color w:val="auto"/>
          <w:sz w:val="24"/>
          <w:szCs w:val="24"/>
          <w:highlight w:val="none"/>
        </w:rPr>
      </w:pPr>
      <w:r>
        <w:rPr>
          <w:rFonts w:hint="eastAsia" w:ascii="宋体" w:hAnsi="宋体" w:cs="宋体"/>
          <w:color w:val="auto"/>
          <w:kern w:val="0"/>
          <w:sz w:val="28"/>
          <w:szCs w:val="28"/>
          <w:highlight w:val="none"/>
          <w:lang w:val="zh-CN"/>
        </w:rPr>
        <w:t>日期</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8"/>
          <w:szCs w:val="28"/>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8"/>
          <w:szCs w:val="28"/>
          <w:highlight w:val="none"/>
          <w:lang w:val="zh-CN"/>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8"/>
          <w:szCs w:val="28"/>
          <w:highlight w:val="none"/>
          <w:lang w:val="zh-CN"/>
        </w:rPr>
        <w:t>日</w:t>
      </w:r>
    </w:p>
    <w:p w14:paraId="28249BD3">
      <w:pPr>
        <w:rPr>
          <w:rFonts w:hint="eastAsia" w:ascii="宋体" w:hAnsi="宋体" w:cs="宋体"/>
          <w:color w:val="auto"/>
          <w:highlight w:val="none"/>
        </w:rPr>
        <w:sectPr>
          <w:pgSz w:w="11906" w:h="16838"/>
          <w:pgMar w:top="1134" w:right="1134" w:bottom="1134" w:left="1134" w:header="851" w:footer="992" w:gutter="0"/>
          <w:cols w:space="720" w:num="1"/>
          <w:titlePg/>
          <w:docGrid w:type="lines" w:linePitch="312" w:charSpace="0"/>
        </w:sectPr>
      </w:pPr>
    </w:p>
    <w:p w14:paraId="1F7AB104">
      <w:pPr>
        <w:pStyle w:val="4"/>
        <w:spacing w:before="0" w:after="0" w:line="360" w:lineRule="auto"/>
        <w:jc w:val="center"/>
        <w:rPr>
          <w:rFonts w:hint="eastAsia" w:ascii="宋体" w:hAnsi="宋体" w:cs="宋体"/>
          <w:b w:val="0"/>
          <w:color w:val="auto"/>
          <w:highlight w:val="none"/>
        </w:rPr>
      </w:pPr>
      <w:bookmarkStart w:id="96" w:name="_Toc1203"/>
      <w:r>
        <w:rPr>
          <w:rFonts w:hint="eastAsia" w:ascii="宋体" w:hAnsi="宋体" w:cs="宋体"/>
          <w:b w:val="0"/>
          <w:color w:val="auto"/>
          <w:highlight w:val="none"/>
        </w:rPr>
        <w:t>四、响应文件技术部分格式</w:t>
      </w:r>
      <w:bookmarkEnd w:id="90"/>
      <w:bookmarkEnd w:id="91"/>
      <w:bookmarkEnd w:id="92"/>
      <w:bookmarkEnd w:id="93"/>
      <w:bookmarkEnd w:id="94"/>
      <w:bookmarkEnd w:id="95"/>
      <w:bookmarkEnd w:id="96"/>
      <w:bookmarkStart w:id="97" w:name="_Toc350930229"/>
      <w:bookmarkStart w:id="98" w:name="_Toc350330514"/>
      <w:bookmarkStart w:id="99" w:name="_Toc350930014"/>
      <w:bookmarkStart w:id="100" w:name="_Toc351117898"/>
      <w:bookmarkStart w:id="101" w:name="_Toc205017035"/>
      <w:bookmarkStart w:id="102" w:name="_Toc272421895"/>
      <w:bookmarkStart w:id="103" w:name="_Toc204749340"/>
    </w:p>
    <w:p w14:paraId="40E5B3A1">
      <w:pPr>
        <w:adjustRightInd w:val="0"/>
        <w:snapToGrid w:val="0"/>
        <w:spacing w:line="360" w:lineRule="auto"/>
        <w:jc w:val="center"/>
        <w:rPr>
          <w:rFonts w:hint="eastAsia" w:ascii="宋体" w:hAnsi="宋体" w:cs="宋体"/>
          <w:bCs/>
          <w:color w:val="auto"/>
          <w:sz w:val="28"/>
          <w:szCs w:val="24"/>
          <w:highlight w:val="none"/>
        </w:rPr>
      </w:pPr>
      <w:r>
        <w:rPr>
          <w:rFonts w:hint="eastAsia" w:ascii="宋体" w:hAnsi="宋体" w:cs="宋体"/>
          <w:bCs/>
          <w:color w:val="auto"/>
          <w:sz w:val="28"/>
          <w:szCs w:val="24"/>
          <w:highlight w:val="none"/>
        </w:rPr>
        <w:t>（技术部分应包括但不限于以下内容）</w:t>
      </w:r>
    </w:p>
    <w:bookmarkEnd w:id="97"/>
    <w:bookmarkEnd w:id="98"/>
    <w:bookmarkEnd w:id="99"/>
    <w:bookmarkEnd w:id="100"/>
    <w:p w14:paraId="472904C6">
      <w:pPr>
        <w:snapToGrid w:val="0"/>
        <w:spacing w:line="360" w:lineRule="auto"/>
        <w:ind w:firstLine="480" w:firstLineChars="200"/>
        <w:contextualSpacing/>
        <w:jc w:val="left"/>
        <w:rPr>
          <w:rFonts w:hint="eastAsia" w:ascii="宋体" w:hAnsi="宋体" w:cs="宋体"/>
          <w:color w:val="auto"/>
          <w:sz w:val="24"/>
          <w:szCs w:val="24"/>
          <w:highlight w:val="none"/>
        </w:rPr>
      </w:pPr>
      <w:bookmarkStart w:id="104" w:name="_Toc14173"/>
      <w:bookmarkStart w:id="105" w:name="_Toc12145"/>
      <w:r>
        <w:rPr>
          <w:rFonts w:hint="eastAsia" w:ascii="宋体" w:hAnsi="宋体" w:cs="宋体"/>
          <w:color w:val="auto"/>
          <w:sz w:val="24"/>
          <w:szCs w:val="24"/>
          <w:highlight w:val="none"/>
        </w:rPr>
        <w:t>1.竞标产品技术指标参数偏离表</w:t>
      </w:r>
    </w:p>
    <w:p w14:paraId="0BA8FF3E">
      <w:pPr>
        <w:spacing w:line="360" w:lineRule="auto"/>
        <w:ind w:firstLine="527" w:firstLineChars="250"/>
        <w:jc w:val="left"/>
        <w:rPr>
          <w:rFonts w:hint="eastAsia" w:ascii="宋体" w:hAnsi="宋体" w:cs="宋体"/>
          <w:b/>
          <w:bCs/>
          <w:color w:val="auto"/>
          <w:highlight w:val="none"/>
          <w:u w:val="single"/>
        </w:rPr>
      </w:pPr>
      <w:r>
        <w:rPr>
          <w:rFonts w:hint="eastAsia" w:ascii="宋体" w:hAnsi="宋体" w:cs="宋体"/>
          <w:b/>
          <w:bCs/>
          <w:color w:val="auto"/>
          <w:highlight w:val="none"/>
        </w:rPr>
        <w:t>项目名称：</w:t>
      </w:r>
      <w:r>
        <w:rPr>
          <w:rFonts w:hint="eastAsia" w:ascii="宋体" w:hAnsi="宋体" w:cs="宋体"/>
          <w:b/>
          <w:bCs/>
          <w:color w:val="auto"/>
          <w:highlight w:val="none"/>
          <w:u w:val="single"/>
        </w:rPr>
        <w:t xml:space="preserve">                   </w:t>
      </w:r>
      <w:r>
        <w:rPr>
          <w:rFonts w:hint="eastAsia" w:ascii="宋体" w:hAnsi="宋体" w:cs="宋体"/>
          <w:b/>
          <w:bCs/>
          <w:color w:val="auto"/>
          <w:highlight w:val="none"/>
        </w:rPr>
        <w:t xml:space="preserve">                  项目编号：</w:t>
      </w:r>
      <w:r>
        <w:rPr>
          <w:rFonts w:hint="eastAsia" w:ascii="宋体" w:hAnsi="宋体" w:cs="宋体"/>
          <w:b/>
          <w:bCs/>
          <w:color w:val="auto"/>
          <w:highlight w:val="none"/>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23"/>
        <w:gridCol w:w="2306"/>
        <w:gridCol w:w="2205"/>
        <w:gridCol w:w="1615"/>
        <w:gridCol w:w="1301"/>
      </w:tblGrid>
      <w:tr w14:paraId="09D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6D54A2CC">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423" w:type="dxa"/>
            <w:tcBorders>
              <w:top w:val="single" w:color="auto" w:sz="4" w:space="0"/>
              <w:left w:val="single" w:color="auto" w:sz="4" w:space="0"/>
              <w:bottom w:val="single" w:color="auto" w:sz="4" w:space="0"/>
              <w:right w:val="single" w:color="auto" w:sz="4" w:space="0"/>
            </w:tcBorders>
            <w:vAlign w:val="center"/>
          </w:tcPr>
          <w:p w14:paraId="62F64B9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产品名称</w:t>
            </w:r>
          </w:p>
        </w:tc>
        <w:tc>
          <w:tcPr>
            <w:tcW w:w="2306" w:type="dxa"/>
            <w:tcBorders>
              <w:top w:val="single" w:color="auto" w:sz="4" w:space="0"/>
              <w:left w:val="single" w:color="auto" w:sz="4" w:space="0"/>
              <w:bottom w:val="single" w:color="auto" w:sz="4" w:space="0"/>
              <w:right w:val="single" w:color="auto" w:sz="4" w:space="0"/>
            </w:tcBorders>
            <w:vAlign w:val="center"/>
          </w:tcPr>
          <w:p w14:paraId="1DBDE367">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采购文件要求技术</w:t>
            </w:r>
          </w:p>
        </w:tc>
        <w:tc>
          <w:tcPr>
            <w:tcW w:w="2205" w:type="dxa"/>
            <w:tcBorders>
              <w:top w:val="single" w:color="auto" w:sz="4" w:space="0"/>
              <w:left w:val="single" w:color="auto" w:sz="4" w:space="0"/>
              <w:bottom w:val="single" w:color="auto" w:sz="4" w:space="0"/>
              <w:right w:val="single" w:color="auto" w:sz="4" w:space="0"/>
            </w:tcBorders>
            <w:vAlign w:val="center"/>
          </w:tcPr>
          <w:p w14:paraId="18C9A536">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竞标产品</w:t>
            </w:r>
          </w:p>
          <w:p w14:paraId="0AD3C457">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实际技术参数</w:t>
            </w:r>
          </w:p>
        </w:tc>
        <w:tc>
          <w:tcPr>
            <w:tcW w:w="1615" w:type="dxa"/>
            <w:tcBorders>
              <w:top w:val="single" w:color="auto" w:sz="4" w:space="0"/>
              <w:left w:val="single" w:color="auto" w:sz="4" w:space="0"/>
              <w:bottom w:val="single" w:color="auto" w:sz="4" w:space="0"/>
              <w:right w:val="single" w:color="auto" w:sz="4" w:space="0"/>
            </w:tcBorders>
            <w:vAlign w:val="center"/>
          </w:tcPr>
          <w:p w14:paraId="791FE829">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偏离情况</w:t>
            </w:r>
          </w:p>
        </w:tc>
        <w:tc>
          <w:tcPr>
            <w:tcW w:w="1301" w:type="dxa"/>
            <w:tcBorders>
              <w:top w:val="single" w:color="auto" w:sz="4" w:space="0"/>
              <w:left w:val="single" w:color="auto" w:sz="4" w:space="0"/>
              <w:bottom w:val="single" w:color="auto" w:sz="4" w:space="0"/>
              <w:right w:val="single" w:color="auto" w:sz="4" w:space="0"/>
            </w:tcBorders>
            <w:vAlign w:val="center"/>
          </w:tcPr>
          <w:p w14:paraId="581A73B0">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14:paraId="45D8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FFDF0C0">
            <w:pPr>
              <w:spacing w:line="360" w:lineRule="auto"/>
              <w:jc w:val="center"/>
              <w:rPr>
                <w:rFonts w:hint="eastAsia" w:ascii="宋体" w:hAnsi="宋体" w:cs="宋体"/>
                <w:b/>
                <w:bCs/>
                <w:color w:val="auto"/>
                <w:sz w:val="30"/>
                <w:szCs w:val="30"/>
                <w:highlight w:val="none"/>
              </w:rPr>
            </w:pPr>
          </w:p>
        </w:tc>
        <w:tc>
          <w:tcPr>
            <w:tcW w:w="1423" w:type="dxa"/>
            <w:tcBorders>
              <w:top w:val="single" w:color="auto" w:sz="4" w:space="0"/>
              <w:left w:val="single" w:color="auto" w:sz="4" w:space="0"/>
              <w:bottom w:val="single" w:color="auto" w:sz="4" w:space="0"/>
              <w:right w:val="single" w:color="auto" w:sz="4" w:space="0"/>
            </w:tcBorders>
          </w:tcPr>
          <w:p w14:paraId="5C09E0D2">
            <w:pPr>
              <w:spacing w:line="360" w:lineRule="auto"/>
              <w:jc w:val="center"/>
              <w:rPr>
                <w:rFonts w:hint="eastAsia" w:ascii="宋体" w:hAnsi="宋体" w:cs="宋体"/>
                <w:b/>
                <w:bCs/>
                <w:color w:val="auto"/>
                <w:sz w:val="30"/>
                <w:szCs w:val="30"/>
                <w:highlight w:val="none"/>
              </w:rPr>
            </w:pPr>
          </w:p>
        </w:tc>
        <w:tc>
          <w:tcPr>
            <w:tcW w:w="2306" w:type="dxa"/>
            <w:tcBorders>
              <w:top w:val="single" w:color="auto" w:sz="4" w:space="0"/>
              <w:left w:val="single" w:color="auto" w:sz="4" w:space="0"/>
              <w:bottom w:val="single" w:color="auto" w:sz="4" w:space="0"/>
              <w:right w:val="single" w:color="auto" w:sz="4" w:space="0"/>
            </w:tcBorders>
          </w:tcPr>
          <w:p w14:paraId="0202C7C9">
            <w:pPr>
              <w:spacing w:line="360" w:lineRule="auto"/>
              <w:jc w:val="center"/>
              <w:rPr>
                <w:rFonts w:hint="eastAsia" w:ascii="宋体" w:hAnsi="宋体" w:cs="宋体"/>
                <w:b/>
                <w:bCs/>
                <w:color w:val="auto"/>
                <w:sz w:val="30"/>
                <w:szCs w:val="30"/>
                <w:highlight w:val="none"/>
              </w:rPr>
            </w:pPr>
          </w:p>
        </w:tc>
        <w:tc>
          <w:tcPr>
            <w:tcW w:w="2205" w:type="dxa"/>
            <w:tcBorders>
              <w:top w:val="single" w:color="auto" w:sz="4" w:space="0"/>
              <w:left w:val="single" w:color="auto" w:sz="4" w:space="0"/>
              <w:bottom w:val="single" w:color="auto" w:sz="4" w:space="0"/>
              <w:right w:val="single" w:color="auto" w:sz="4" w:space="0"/>
            </w:tcBorders>
          </w:tcPr>
          <w:p w14:paraId="3FB72849">
            <w:pPr>
              <w:spacing w:line="360" w:lineRule="auto"/>
              <w:jc w:val="center"/>
              <w:rPr>
                <w:rFonts w:hint="eastAsia" w:ascii="宋体" w:hAnsi="宋体" w:cs="宋体"/>
                <w:b/>
                <w:bCs/>
                <w:color w:val="auto"/>
                <w:sz w:val="30"/>
                <w:szCs w:val="30"/>
                <w:highlight w:val="none"/>
              </w:rPr>
            </w:pPr>
          </w:p>
        </w:tc>
        <w:tc>
          <w:tcPr>
            <w:tcW w:w="1615" w:type="dxa"/>
            <w:tcBorders>
              <w:top w:val="single" w:color="auto" w:sz="4" w:space="0"/>
              <w:left w:val="single" w:color="auto" w:sz="4" w:space="0"/>
              <w:bottom w:val="single" w:color="auto" w:sz="4" w:space="0"/>
              <w:right w:val="single" w:color="auto" w:sz="4" w:space="0"/>
            </w:tcBorders>
          </w:tcPr>
          <w:p w14:paraId="7091502F">
            <w:pPr>
              <w:spacing w:line="360" w:lineRule="auto"/>
              <w:jc w:val="center"/>
              <w:rPr>
                <w:rFonts w:hint="eastAsia" w:ascii="宋体" w:hAnsi="宋体" w:cs="宋体"/>
                <w:b/>
                <w:bCs/>
                <w:color w:val="auto"/>
                <w:sz w:val="30"/>
                <w:szCs w:val="30"/>
                <w:highlight w:val="none"/>
              </w:rPr>
            </w:pPr>
          </w:p>
        </w:tc>
        <w:tc>
          <w:tcPr>
            <w:tcW w:w="1301" w:type="dxa"/>
            <w:tcBorders>
              <w:top w:val="single" w:color="auto" w:sz="4" w:space="0"/>
              <w:left w:val="single" w:color="auto" w:sz="4" w:space="0"/>
              <w:bottom w:val="single" w:color="auto" w:sz="4" w:space="0"/>
              <w:right w:val="single" w:color="auto" w:sz="4" w:space="0"/>
            </w:tcBorders>
          </w:tcPr>
          <w:p w14:paraId="11BE1FDA">
            <w:pPr>
              <w:spacing w:line="360" w:lineRule="auto"/>
              <w:jc w:val="center"/>
              <w:rPr>
                <w:rFonts w:hint="eastAsia" w:ascii="宋体" w:hAnsi="宋体" w:cs="宋体"/>
                <w:b/>
                <w:bCs/>
                <w:color w:val="auto"/>
                <w:sz w:val="30"/>
                <w:szCs w:val="30"/>
                <w:highlight w:val="none"/>
              </w:rPr>
            </w:pPr>
          </w:p>
        </w:tc>
      </w:tr>
      <w:tr w14:paraId="606F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21FB9DF4">
            <w:pPr>
              <w:spacing w:line="360" w:lineRule="auto"/>
              <w:jc w:val="center"/>
              <w:rPr>
                <w:rFonts w:hint="eastAsia" w:ascii="宋体" w:hAnsi="宋体" w:cs="宋体"/>
                <w:b/>
                <w:bCs/>
                <w:color w:val="auto"/>
                <w:sz w:val="30"/>
                <w:szCs w:val="30"/>
                <w:highlight w:val="none"/>
              </w:rPr>
            </w:pPr>
          </w:p>
        </w:tc>
        <w:tc>
          <w:tcPr>
            <w:tcW w:w="1423" w:type="dxa"/>
            <w:tcBorders>
              <w:top w:val="single" w:color="auto" w:sz="4" w:space="0"/>
              <w:left w:val="single" w:color="auto" w:sz="4" w:space="0"/>
              <w:bottom w:val="single" w:color="auto" w:sz="4" w:space="0"/>
              <w:right w:val="single" w:color="auto" w:sz="4" w:space="0"/>
            </w:tcBorders>
          </w:tcPr>
          <w:p w14:paraId="4CE7585B">
            <w:pPr>
              <w:spacing w:line="360" w:lineRule="auto"/>
              <w:jc w:val="center"/>
              <w:rPr>
                <w:rFonts w:hint="eastAsia" w:ascii="宋体" w:hAnsi="宋体" w:cs="宋体"/>
                <w:b/>
                <w:bCs/>
                <w:color w:val="auto"/>
                <w:sz w:val="30"/>
                <w:szCs w:val="30"/>
                <w:highlight w:val="none"/>
              </w:rPr>
            </w:pPr>
          </w:p>
        </w:tc>
        <w:tc>
          <w:tcPr>
            <w:tcW w:w="2306" w:type="dxa"/>
            <w:tcBorders>
              <w:top w:val="single" w:color="auto" w:sz="4" w:space="0"/>
              <w:left w:val="single" w:color="auto" w:sz="4" w:space="0"/>
              <w:bottom w:val="single" w:color="auto" w:sz="4" w:space="0"/>
              <w:right w:val="single" w:color="auto" w:sz="4" w:space="0"/>
            </w:tcBorders>
          </w:tcPr>
          <w:p w14:paraId="6235762B">
            <w:pPr>
              <w:spacing w:line="360" w:lineRule="auto"/>
              <w:jc w:val="center"/>
              <w:rPr>
                <w:rFonts w:hint="eastAsia" w:ascii="宋体" w:hAnsi="宋体" w:cs="宋体"/>
                <w:b/>
                <w:bCs/>
                <w:color w:val="auto"/>
                <w:sz w:val="30"/>
                <w:szCs w:val="30"/>
                <w:highlight w:val="none"/>
              </w:rPr>
            </w:pPr>
          </w:p>
        </w:tc>
        <w:tc>
          <w:tcPr>
            <w:tcW w:w="2205" w:type="dxa"/>
            <w:tcBorders>
              <w:top w:val="single" w:color="auto" w:sz="4" w:space="0"/>
              <w:left w:val="single" w:color="auto" w:sz="4" w:space="0"/>
              <w:bottom w:val="single" w:color="auto" w:sz="4" w:space="0"/>
              <w:right w:val="single" w:color="auto" w:sz="4" w:space="0"/>
            </w:tcBorders>
          </w:tcPr>
          <w:p w14:paraId="38034B07">
            <w:pPr>
              <w:spacing w:line="360" w:lineRule="auto"/>
              <w:jc w:val="center"/>
              <w:rPr>
                <w:rFonts w:hint="eastAsia" w:ascii="宋体" w:hAnsi="宋体" w:cs="宋体"/>
                <w:b/>
                <w:bCs/>
                <w:color w:val="auto"/>
                <w:sz w:val="30"/>
                <w:szCs w:val="30"/>
                <w:highlight w:val="none"/>
              </w:rPr>
            </w:pPr>
          </w:p>
        </w:tc>
        <w:tc>
          <w:tcPr>
            <w:tcW w:w="1615" w:type="dxa"/>
            <w:tcBorders>
              <w:top w:val="single" w:color="auto" w:sz="4" w:space="0"/>
              <w:left w:val="single" w:color="auto" w:sz="4" w:space="0"/>
              <w:bottom w:val="single" w:color="auto" w:sz="4" w:space="0"/>
              <w:right w:val="single" w:color="auto" w:sz="4" w:space="0"/>
            </w:tcBorders>
          </w:tcPr>
          <w:p w14:paraId="71622B99">
            <w:pPr>
              <w:spacing w:line="360" w:lineRule="auto"/>
              <w:jc w:val="center"/>
              <w:rPr>
                <w:rFonts w:hint="eastAsia" w:ascii="宋体" w:hAnsi="宋体" w:cs="宋体"/>
                <w:b/>
                <w:bCs/>
                <w:color w:val="auto"/>
                <w:sz w:val="30"/>
                <w:szCs w:val="30"/>
                <w:highlight w:val="none"/>
              </w:rPr>
            </w:pPr>
          </w:p>
        </w:tc>
        <w:tc>
          <w:tcPr>
            <w:tcW w:w="1301" w:type="dxa"/>
            <w:tcBorders>
              <w:top w:val="single" w:color="auto" w:sz="4" w:space="0"/>
              <w:left w:val="single" w:color="auto" w:sz="4" w:space="0"/>
              <w:bottom w:val="single" w:color="auto" w:sz="4" w:space="0"/>
              <w:right w:val="single" w:color="auto" w:sz="4" w:space="0"/>
            </w:tcBorders>
          </w:tcPr>
          <w:p w14:paraId="5E2F878A">
            <w:pPr>
              <w:spacing w:line="360" w:lineRule="auto"/>
              <w:jc w:val="center"/>
              <w:rPr>
                <w:rFonts w:hint="eastAsia" w:ascii="宋体" w:hAnsi="宋体" w:cs="宋体"/>
                <w:b/>
                <w:bCs/>
                <w:color w:val="auto"/>
                <w:sz w:val="30"/>
                <w:szCs w:val="30"/>
                <w:highlight w:val="none"/>
              </w:rPr>
            </w:pPr>
          </w:p>
        </w:tc>
      </w:tr>
      <w:tr w14:paraId="3345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3D36737">
            <w:pPr>
              <w:spacing w:line="360" w:lineRule="auto"/>
              <w:jc w:val="center"/>
              <w:rPr>
                <w:rFonts w:hint="eastAsia" w:ascii="宋体" w:hAnsi="宋体" w:cs="宋体"/>
                <w:b/>
                <w:bCs/>
                <w:color w:val="auto"/>
                <w:sz w:val="30"/>
                <w:szCs w:val="30"/>
                <w:highlight w:val="none"/>
              </w:rPr>
            </w:pPr>
            <w:r>
              <w:rPr>
                <w:rFonts w:hint="eastAsia" w:ascii="宋体" w:hAnsi="宋体" w:cs="宋体"/>
                <w:color w:val="auto"/>
                <w:sz w:val="24"/>
                <w:highlight w:val="none"/>
              </w:rPr>
              <w:t>……</w:t>
            </w:r>
          </w:p>
        </w:tc>
        <w:tc>
          <w:tcPr>
            <w:tcW w:w="1423" w:type="dxa"/>
            <w:tcBorders>
              <w:top w:val="single" w:color="auto" w:sz="4" w:space="0"/>
              <w:left w:val="single" w:color="auto" w:sz="4" w:space="0"/>
              <w:bottom w:val="single" w:color="auto" w:sz="4" w:space="0"/>
              <w:right w:val="single" w:color="auto" w:sz="4" w:space="0"/>
            </w:tcBorders>
          </w:tcPr>
          <w:p w14:paraId="502B7F39">
            <w:pPr>
              <w:spacing w:line="360" w:lineRule="auto"/>
              <w:jc w:val="center"/>
              <w:rPr>
                <w:rFonts w:hint="eastAsia" w:ascii="宋体" w:hAnsi="宋体" w:cs="宋体"/>
                <w:b/>
                <w:bCs/>
                <w:color w:val="auto"/>
                <w:sz w:val="30"/>
                <w:szCs w:val="30"/>
                <w:highlight w:val="none"/>
              </w:rPr>
            </w:pPr>
          </w:p>
        </w:tc>
        <w:tc>
          <w:tcPr>
            <w:tcW w:w="2306" w:type="dxa"/>
            <w:tcBorders>
              <w:top w:val="single" w:color="auto" w:sz="4" w:space="0"/>
              <w:left w:val="single" w:color="auto" w:sz="4" w:space="0"/>
              <w:bottom w:val="single" w:color="auto" w:sz="4" w:space="0"/>
              <w:right w:val="single" w:color="auto" w:sz="4" w:space="0"/>
            </w:tcBorders>
          </w:tcPr>
          <w:p w14:paraId="2FBC8A2B">
            <w:pPr>
              <w:spacing w:line="360" w:lineRule="auto"/>
              <w:jc w:val="center"/>
              <w:rPr>
                <w:rFonts w:hint="eastAsia" w:ascii="宋体" w:hAnsi="宋体" w:cs="宋体"/>
                <w:b/>
                <w:bCs/>
                <w:color w:val="auto"/>
                <w:sz w:val="30"/>
                <w:szCs w:val="30"/>
                <w:highlight w:val="none"/>
              </w:rPr>
            </w:pPr>
          </w:p>
        </w:tc>
        <w:tc>
          <w:tcPr>
            <w:tcW w:w="2205" w:type="dxa"/>
            <w:tcBorders>
              <w:top w:val="single" w:color="auto" w:sz="4" w:space="0"/>
              <w:left w:val="single" w:color="auto" w:sz="4" w:space="0"/>
              <w:bottom w:val="single" w:color="auto" w:sz="4" w:space="0"/>
              <w:right w:val="single" w:color="auto" w:sz="4" w:space="0"/>
            </w:tcBorders>
          </w:tcPr>
          <w:p w14:paraId="6F0D7301">
            <w:pPr>
              <w:spacing w:line="360" w:lineRule="auto"/>
              <w:jc w:val="center"/>
              <w:rPr>
                <w:rFonts w:hint="eastAsia" w:ascii="宋体" w:hAnsi="宋体" w:cs="宋体"/>
                <w:b/>
                <w:bCs/>
                <w:color w:val="auto"/>
                <w:sz w:val="30"/>
                <w:szCs w:val="30"/>
                <w:highlight w:val="none"/>
              </w:rPr>
            </w:pPr>
          </w:p>
        </w:tc>
        <w:tc>
          <w:tcPr>
            <w:tcW w:w="1615" w:type="dxa"/>
            <w:tcBorders>
              <w:top w:val="single" w:color="auto" w:sz="4" w:space="0"/>
              <w:left w:val="single" w:color="auto" w:sz="4" w:space="0"/>
              <w:bottom w:val="single" w:color="auto" w:sz="4" w:space="0"/>
              <w:right w:val="single" w:color="auto" w:sz="4" w:space="0"/>
            </w:tcBorders>
          </w:tcPr>
          <w:p w14:paraId="7201CFF7">
            <w:pPr>
              <w:spacing w:line="360" w:lineRule="auto"/>
              <w:jc w:val="center"/>
              <w:rPr>
                <w:rFonts w:hint="eastAsia" w:ascii="宋体" w:hAnsi="宋体" w:cs="宋体"/>
                <w:b/>
                <w:bCs/>
                <w:color w:val="auto"/>
                <w:sz w:val="30"/>
                <w:szCs w:val="30"/>
                <w:highlight w:val="none"/>
              </w:rPr>
            </w:pPr>
          </w:p>
        </w:tc>
        <w:tc>
          <w:tcPr>
            <w:tcW w:w="1301" w:type="dxa"/>
            <w:tcBorders>
              <w:top w:val="single" w:color="auto" w:sz="4" w:space="0"/>
              <w:left w:val="single" w:color="auto" w:sz="4" w:space="0"/>
              <w:bottom w:val="single" w:color="auto" w:sz="4" w:space="0"/>
              <w:right w:val="single" w:color="auto" w:sz="4" w:space="0"/>
            </w:tcBorders>
          </w:tcPr>
          <w:p w14:paraId="4A94386E">
            <w:pPr>
              <w:spacing w:line="360" w:lineRule="auto"/>
              <w:jc w:val="center"/>
              <w:rPr>
                <w:rFonts w:hint="eastAsia" w:ascii="宋体" w:hAnsi="宋体" w:cs="宋体"/>
                <w:b/>
                <w:bCs/>
                <w:color w:val="auto"/>
                <w:sz w:val="30"/>
                <w:szCs w:val="30"/>
                <w:highlight w:val="none"/>
              </w:rPr>
            </w:pPr>
          </w:p>
        </w:tc>
      </w:tr>
    </w:tbl>
    <w:p w14:paraId="15964737">
      <w:pPr>
        <w:spacing w:line="360" w:lineRule="auto"/>
        <w:ind w:firstLine="482" w:firstLineChars="200"/>
        <w:jc w:val="left"/>
        <w:rPr>
          <w:rFonts w:hint="eastAsia" w:ascii="宋体" w:hAnsi="宋体" w:cs="宋体"/>
          <w:b/>
          <w:color w:val="auto"/>
          <w:sz w:val="24"/>
          <w:szCs w:val="24"/>
          <w:highlight w:val="none"/>
        </w:rPr>
      </w:pPr>
    </w:p>
    <w:p w14:paraId="4136B437">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bCs/>
          <w:color w:val="auto"/>
          <w:sz w:val="24"/>
          <w:szCs w:val="24"/>
          <w:highlight w:val="none"/>
        </w:rPr>
        <w:t>供应商必须按谈判文件第四章采购内容及要求的“采购清单”逐一对应,根据竞标产品响应情况如实填写《竞标货物技术指标参数偏离表》，本表可扩展填写。</w:t>
      </w:r>
    </w:p>
    <w:p w14:paraId="6AAC7466">
      <w:pPr>
        <w:pStyle w:val="43"/>
        <w:rPr>
          <w:rFonts w:hint="eastAsia" w:ascii="宋体" w:hAnsi="宋体" w:cs="宋体"/>
          <w:color w:val="auto"/>
          <w:szCs w:val="24"/>
          <w:highlight w:val="none"/>
        </w:rPr>
      </w:pPr>
      <w:r>
        <w:rPr>
          <w:rFonts w:hint="eastAsia" w:ascii="宋体" w:hAnsi="宋体" w:cs="宋体"/>
          <w:color w:val="auto"/>
          <w:highlight w:val="none"/>
        </w:rPr>
        <w:t xml:space="preserve"> </w:t>
      </w:r>
    </w:p>
    <w:p w14:paraId="74FA65C3">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供应商全称（加盖公章）：</w:t>
      </w:r>
      <w:r>
        <w:rPr>
          <w:rFonts w:hint="eastAsia" w:ascii="宋体" w:hAnsi="宋体" w:cs="宋体"/>
          <w:color w:val="auto"/>
          <w:sz w:val="24"/>
          <w:szCs w:val="24"/>
          <w:highlight w:val="none"/>
          <w:u w:val="single"/>
        </w:rPr>
        <w:t xml:space="preserve">                                </w:t>
      </w:r>
    </w:p>
    <w:p w14:paraId="451EDB95">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eastAsia="zh-CN"/>
        </w:rPr>
        <w:t>法定代表人（单位负责人）</w:t>
      </w:r>
      <w:r>
        <w:rPr>
          <w:rFonts w:hint="eastAsia" w:ascii="宋体" w:hAnsi="宋体" w:cs="宋体"/>
          <w:bCs/>
          <w:color w:val="auto"/>
          <w:sz w:val="24"/>
          <w:szCs w:val="24"/>
          <w:highlight w:val="none"/>
        </w:rPr>
        <w:t>或其委托代理人（签字或签章）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4BDAB2C7">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009595B">
      <w:pPr>
        <w:snapToGrid w:val="0"/>
        <w:spacing w:line="360" w:lineRule="auto"/>
        <w:ind w:firstLine="480" w:firstLineChars="200"/>
        <w:contextualSpacing/>
        <w:jc w:val="left"/>
        <w:rPr>
          <w:rFonts w:hint="eastAsia" w:ascii="宋体" w:hAnsi="宋体" w:cs="宋体"/>
          <w:color w:val="auto"/>
          <w:sz w:val="24"/>
          <w:szCs w:val="24"/>
          <w:highlight w:val="none"/>
        </w:rPr>
      </w:pPr>
    </w:p>
    <w:p w14:paraId="21B5C277">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2.此部分由供应商根据采购要求、项目评审因素等结合自身情况编制，内容应包括但不限于：</w:t>
      </w:r>
      <w:bookmarkEnd w:id="104"/>
      <w:bookmarkEnd w:id="105"/>
    </w:p>
    <w:p w14:paraId="54F210DE">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（1）实施方案</w:t>
      </w:r>
    </w:p>
    <w:p w14:paraId="657DF2FB">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（2）质量承诺及保证措施</w:t>
      </w:r>
    </w:p>
    <w:p w14:paraId="2BDF7B53">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（3）资源配备计划</w:t>
      </w:r>
    </w:p>
    <w:p w14:paraId="378AE776">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（4）建设周期承诺和保证措施</w:t>
      </w:r>
    </w:p>
    <w:p w14:paraId="66DE5835">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（5）后续服务工作安排及承诺</w:t>
      </w:r>
    </w:p>
    <w:p w14:paraId="7AEAC7E3">
      <w:pPr>
        <w:snapToGrid w:val="0"/>
        <w:spacing w:line="360" w:lineRule="auto"/>
        <w:ind w:firstLine="480" w:firstLineChars="200"/>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（6）业绩</w:t>
      </w:r>
    </w:p>
    <w:p w14:paraId="1C03391E">
      <w:pPr>
        <w:snapToGrid w:val="0"/>
        <w:spacing w:line="360" w:lineRule="auto"/>
        <w:ind w:firstLine="480" w:firstLineChars="200"/>
        <w:contextualSpacing/>
        <w:rPr>
          <w:rFonts w:hint="eastAsia" w:ascii="宋体" w:hAnsi="宋体" w:cs="宋体"/>
          <w:bCs/>
          <w:color w:val="auto"/>
          <w:sz w:val="24"/>
          <w:szCs w:val="24"/>
          <w:highlight w:val="none"/>
        </w:rPr>
      </w:pPr>
      <w:r>
        <w:rPr>
          <w:rFonts w:hint="eastAsia" w:ascii="宋体" w:hAnsi="宋体" w:cs="宋体"/>
          <w:bCs/>
          <w:color w:val="auto"/>
          <w:sz w:val="24"/>
          <w:szCs w:val="24"/>
          <w:highlight w:val="none"/>
        </w:rPr>
        <w:t>部分表格如下（结合以上内容使用，没有提供表格的自行拟定）</w:t>
      </w:r>
    </w:p>
    <w:p w14:paraId="42B2EBDF">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50F97C9">
      <w:pPr>
        <w:spacing w:line="59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附件一：  人员简历表</w:t>
      </w:r>
    </w:p>
    <w:p w14:paraId="223EE8B1">
      <w:pPr>
        <w:spacing w:line="590" w:lineRule="exact"/>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项目项目负责人简历表</w:t>
      </w:r>
    </w:p>
    <w:tbl>
      <w:tblPr>
        <w:tblStyle w:val="34"/>
        <w:tblW w:w="9468" w:type="dxa"/>
        <w:tblInd w:w="13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346"/>
        <w:gridCol w:w="162"/>
        <w:gridCol w:w="361"/>
        <w:gridCol w:w="887"/>
        <w:gridCol w:w="752"/>
        <w:gridCol w:w="35"/>
        <w:gridCol w:w="269"/>
        <w:gridCol w:w="1479"/>
        <w:gridCol w:w="236"/>
        <w:gridCol w:w="470"/>
        <w:gridCol w:w="1373"/>
        <w:gridCol w:w="2098"/>
      </w:tblGrid>
      <w:tr w14:paraId="397E3B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346" w:type="dxa"/>
            <w:tcBorders>
              <w:top w:val="double" w:color="auto" w:sz="2" w:space="0"/>
              <w:left w:val="double" w:color="auto" w:sz="2" w:space="0"/>
              <w:bottom w:val="single" w:color="auto" w:sz="6" w:space="0"/>
              <w:right w:val="single" w:color="auto" w:sz="6" w:space="0"/>
            </w:tcBorders>
            <w:vAlign w:val="center"/>
          </w:tcPr>
          <w:p w14:paraId="62718CA4">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410" w:type="dxa"/>
            <w:gridSpan w:val="3"/>
            <w:tcBorders>
              <w:top w:val="double" w:color="auto" w:sz="2" w:space="0"/>
              <w:left w:val="nil"/>
              <w:bottom w:val="single" w:color="auto" w:sz="6" w:space="0"/>
              <w:right w:val="single" w:color="auto" w:sz="6" w:space="0"/>
            </w:tcBorders>
            <w:vAlign w:val="center"/>
          </w:tcPr>
          <w:p w14:paraId="392D4E37">
            <w:pPr>
              <w:spacing w:line="590" w:lineRule="exact"/>
              <w:jc w:val="center"/>
              <w:rPr>
                <w:rFonts w:hint="eastAsia" w:ascii="宋体" w:hAnsi="宋体" w:cs="宋体"/>
                <w:color w:val="auto"/>
                <w:sz w:val="24"/>
                <w:szCs w:val="24"/>
                <w:highlight w:val="none"/>
              </w:rPr>
            </w:pPr>
          </w:p>
        </w:tc>
        <w:tc>
          <w:tcPr>
            <w:tcW w:w="1056" w:type="dxa"/>
            <w:gridSpan w:val="3"/>
            <w:tcBorders>
              <w:top w:val="double" w:color="auto" w:sz="2" w:space="0"/>
              <w:left w:val="nil"/>
              <w:bottom w:val="single" w:color="auto" w:sz="6" w:space="0"/>
              <w:right w:val="single" w:color="auto" w:sz="6" w:space="0"/>
            </w:tcBorders>
            <w:vAlign w:val="center"/>
          </w:tcPr>
          <w:p w14:paraId="1A1E5745">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1479" w:type="dxa"/>
            <w:tcBorders>
              <w:top w:val="double" w:color="auto" w:sz="2" w:space="0"/>
              <w:left w:val="nil"/>
              <w:bottom w:val="single" w:color="auto" w:sz="6" w:space="0"/>
              <w:right w:val="single" w:color="auto" w:sz="6" w:space="0"/>
            </w:tcBorders>
            <w:vAlign w:val="center"/>
          </w:tcPr>
          <w:p w14:paraId="1906A9E4">
            <w:pPr>
              <w:spacing w:line="590" w:lineRule="exact"/>
              <w:jc w:val="center"/>
              <w:rPr>
                <w:rFonts w:hint="eastAsia" w:ascii="宋体" w:hAnsi="宋体" w:cs="宋体"/>
                <w:color w:val="auto"/>
                <w:sz w:val="24"/>
                <w:szCs w:val="24"/>
                <w:highlight w:val="none"/>
              </w:rPr>
            </w:pPr>
          </w:p>
        </w:tc>
        <w:tc>
          <w:tcPr>
            <w:tcW w:w="2079" w:type="dxa"/>
            <w:gridSpan w:val="3"/>
            <w:tcBorders>
              <w:top w:val="double" w:color="auto" w:sz="2" w:space="0"/>
              <w:left w:val="nil"/>
              <w:bottom w:val="single" w:color="auto" w:sz="6" w:space="0"/>
              <w:right w:val="single" w:color="auto" w:sz="6" w:space="0"/>
            </w:tcBorders>
            <w:vAlign w:val="center"/>
          </w:tcPr>
          <w:p w14:paraId="2FB04FAB">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2098" w:type="dxa"/>
            <w:tcBorders>
              <w:top w:val="double" w:color="auto" w:sz="2" w:space="0"/>
              <w:left w:val="nil"/>
              <w:bottom w:val="single" w:color="auto" w:sz="6" w:space="0"/>
              <w:right w:val="double" w:color="auto" w:sz="2" w:space="0"/>
            </w:tcBorders>
            <w:vAlign w:val="center"/>
          </w:tcPr>
          <w:p w14:paraId="19ED23AC">
            <w:pPr>
              <w:spacing w:line="590" w:lineRule="exact"/>
              <w:jc w:val="center"/>
              <w:rPr>
                <w:rFonts w:hint="eastAsia" w:ascii="宋体" w:hAnsi="宋体" w:cs="宋体"/>
                <w:color w:val="auto"/>
                <w:sz w:val="24"/>
                <w:szCs w:val="24"/>
                <w:highlight w:val="none"/>
              </w:rPr>
            </w:pPr>
          </w:p>
        </w:tc>
      </w:tr>
      <w:tr w14:paraId="78AD2C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46" w:type="dxa"/>
            <w:tcBorders>
              <w:top w:val="single" w:color="auto" w:sz="6" w:space="0"/>
              <w:left w:val="double" w:color="auto" w:sz="2" w:space="0"/>
              <w:bottom w:val="single" w:color="auto" w:sz="6" w:space="0"/>
              <w:right w:val="single" w:color="auto" w:sz="6" w:space="0"/>
            </w:tcBorders>
            <w:vAlign w:val="center"/>
          </w:tcPr>
          <w:p w14:paraId="3AAD2D95">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1410" w:type="dxa"/>
            <w:gridSpan w:val="3"/>
            <w:tcBorders>
              <w:top w:val="single" w:color="auto" w:sz="6" w:space="0"/>
              <w:left w:val="nil"/>
              <w:bottom w:val="single" w:color="auto" w:sz="6" w:space="0"/>
              <w:right w:val="single" w:color="auto" w:sz="6" w:space="0"/>
            </w:tcBorders>
            <w:vAlign w:val="center"/>
          </w:tcPr>
          <w:p w14:paraId="20BA7344">
            <w:pPr>
              <w:spacing w:line="590" w:lineRule="exact"/>
              <w:jc w:val="center"/>
              <w:rPr>
                <w:rFonts w:hint="eastAsia" w:ascii="宋体" w:hAnsi="宋体" w:cs="宋体"/>
                <w:color w:val="auto"/>
                <w:sz w:val="24"/>
                <w:szCs w:val="24"/>
                <w:highlight w:val="none"/>
              </w:rPr>
            </w:pPr>
          </w:p>
        </w:tc>
        <w:tc>
          <w:tcPr>
            <w:tcW w:w="1056" w:type="dxa"/>
            <w:gridSpan w:val="3"/>
            <w:tcBorders>
              <w:top w:val="single" w:color="auto" w:sz="6" w:space="0"/>
              <w:left w:val="nil"/>
              <w:bottom w:val="single" w:color="auto" w:sz="6" w:space="0"/>
              <w:right w:val="single" w:color="auto" w:sz="6" w:space="0"/>
            </w:tcBorders>
            <w:vAlign w:val="center"/>
          </w:tcPr>
          <w:p w14:paraId="2BE4ABC8">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1479" w:type="dxa"/>
            <w:tcBorders>
              <w:top w:val="single" w:color="auto" w:sz="6" w:space="0"/>
              <w:left w:val="nil"/>
              <w:bottom w:val="single" w:color="auto" w:sz="6" w:space="0"/>
              <w:right w:val="single" w:color="auto" w:sz="6" w:space="0"/>
            </w:tcBorders>
            <w:vAlign w:val="center"/>
          </w:tcPr>
          <w:p w14:paraId="7E9ED458">
            <w:pPr>
              <w:spacing w:line="590" w:lineRule="exact"/>
              <w:jc w:val="center"/>
              <w:rPr>
                <w:rFonts w:hint="eastAsia" w:ascii="宋体" w:hAnsi="宋体" w:cs="宋体"/>
                <w:color w:val="auto"/>
                <w:sz w:val="24"/>
                <w:szCs w:val="24"/>
                <w:highlight w:val="none"/>
              </w:rPr>
            </w:pPr>
          </w:p>
        </w:tc>
        <w:tc>
          <w:tcPr>
            <w:tcW w:w="2079" w:type="dxa"/>
            <w:gridSpan w:val="3"/>
            <w:tcBorders>
              <w:top w:val="single" w:color="auto" w:sz="6" w:space="0"/>
              <w:left w:val="nil"/>
              <w:bottom w:val="single" w:color="auto" w:sz="6" w:space="0"/>
              <w:right w:val="single" w:color="auto" w:sz="6" w:space="0"/>
            </w:tcBorders>
            <w:vAlign w:val="center"/>
          </w:tcPr>
          <w:p w14:paraId="2E45391E">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毕业院校</w:t>
            </w:r>
          </w:p>
        </w:tc>
        <w:tc>
          <w:tcPr>
            <w:tcW w:w="2098" w:type="dxa"/>
            <w:tcBorders>
              <w:top w:val="single" w:color="auto" w:sz="6" w:space="0"/>
              <w:left w:val="nil"/>
              <w:bottom w:val="single" w:color="auto" w:sz="6" w:space="0"/>
              <w:right w:val="double" w:color="auto" w:sz="2" w:space="0"/>
            </w:tcBorders>
            <w:vAlign w:val="center"/>
          </w:tcPr>
          <w:p w14:paraId="30AD0532">
            <w:pPr>
              <w:spacing w:line="590" w:lineRule="exact"/>
              <w:jc w:val="center"/>
              <w:rPr>
                <w:rFonts w:hint="eastAsia" w:ascii="宋体" w:hAnsi="宋体" w:cs="宋体"/>
                <w:color w:val="auto"/>
                <w:sz w:val="24"/>
                <w:szCs w:val="24"/>
                <w:highlight w:val="none"/>
              </w:rPr>
            </w:pPr>
          </w:p>
        </w:tc>
      </w:tr>
      <w:tr w14:paraId="7B22AE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869" w:type="dxa"/>
            <w:gridSpan w:val="3"/>
            <w:tcBorders>
              <w:top w:val="single" w:color="auto" w:sz="6" w:space="0"/>
              <w:left w:val="double" w:color="auto" w:sz="2" w:space="0"/>
              <w:bottom w:val="single" w:color="auto" w:sz="6" w:space="0"/>
              <w:right w:val="single" w:color="auto" w:sz="6" w:space="0"/>
            </w:tcBorders>
            <w:vAlign w:val="center"/>
          </w:tcPr>
          <w:p w14:paraId="2680B7BC">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1639" w:type="dxa"/>
            <w:gridSpan w:val="2"/>
            <w:tcBorders>
              <w:top w:val="single" w:color="auto" w:sz="6" w:space="0"/>
              <w:left w:val="nil"/>
              <w:bottom w:val="single" w:color="auto" w:sz="6" w:space="0"/>
              <w:right w:val="single" w:color="auto" w:sz="6" w:space="0"/>
            </w:tcBorders>
            <w:vAlign w:val="center"/>
          </w:tcPr>
          <w:p w14:paraId="33157141">
            <w:pPr>
              <w:spacing w:line="590" w:lineRule="exact"/>
              <w:jc w:val="center"/>
              <w:rPr>
                <w:rFonts w:hint="eastAsia" w:ascii="宋体" w:hAnsi="宋体" w:cs="宋体"/>
                <w:color w:val="auto"/>
                <w:sz w:val="24"/>
                <w:szCs w:val="24"/>
                <w:highlight w:val="none"/>
              </w:rPr>
            </w:pPr>
          </w:p>
        </w:tc>
        <w:tc>
          <w:tcPr>
            <w:tcW w:w="2489" w:type="dxa"/>
            <w:gridSpan w:val="5"/>
            <w:tcBorders>
              <w:top w:val="single" w:color="auto" w:sz="6" w:space="0"/>
              <w:left w:val="nil"/>
              <w:bottom w:val="single" w:color="auto" w:sz="6" w:space="0"/>
              <w:right w:val="single" w:color="auto" w:sz="6" w:space="0"/>
            </w:tcBorders>
            <w:vAlign w:val="center"/>
          </w:tcPr>
          <w:p w14:paraId="58A688CD">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3471" w:type="dxa"/>
            <w:gridSpan w:val="2"/>
            <w:tcBorders>
              <w:top w:val="single" w:color="auto" w:sz="6" w:space="0"/>
              <w:left w:val="nil"/>
              <w:bottom w:val="single" w:color="auto" w:sz="6" w:space="0"/>
              <w:right w:val="double" w:color="auto" w:sz="2" w:space="0"/>
            </w:tcBorders>
            <w:vAlign w:val="center"/>
          </w:tcPr>
          <w:p w14:paraId="07DB178A">
            <w:pPr>
              <w:spacing w:line="590" w:lineRule="exact"/>
              <w:jc w:val="center"/>
              <w:rPr>
                <w:rFonts w:hint="eastAsia" w:ascii="宋体" w:hAnsi="宋体" w:cs="宋体"/>
                <w:color w:val="auto"/>
                <w:sz w:val="24"/>
                <w:szCs w:val="24"/>
                <w:highlight w:val="none"/>
              </w:rPr>
            </w:pPr>
          </w:p>
        </w:tc>
      </w:tr>
      <w:tr w14:paraId="2FDBD3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508" w:type="dxa"/>
            <w:gridSpan w:val="5"/>
            <w:tcBorders>
              <w:top w:val="single" w:color="auto" w:sz="6" w:space="0"/>
              <w:left w:val="double" w:color="auto" w:sz="2" w:space="0"/>
              <w:bottom w:val="single" w:color="auto" w:sz="6" w:space="0"/>
              <w:right w:val="single" w:color="auto" w:sz="6" w:space="0"/>
            </w:tcBorders>
            <w:vAlign w:val="center"/>
          </w:tcPr>
          <w:p w14:paraId="7C85770B">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职称（执业资格）</w:t>
            </w:r>
          </w:p>
        </w:tc>
        <w:tc>
          <w:tcPr>
            <w:tcW w:w="5960" w:type="dxa"/>
            <w:gridSpan w:val="7"/>
            <w:tcBorders>
              <w:top w:val="single" w:color="auto" w:sz="6" w:space="0"/>
              <w:left w:val="nil"/>
              <w:bottom w:val="single" w:color="auto" w:sz="6" w:space="0"/>
              <w:right w:val="double" w:color="auto" w:sz="2" w:space="0"/>
            </w:tcBorders>
            <w:vAlign w:val="center"/>
          </w:tcPr>
          <w:p w14:paraId="2734CE51">
            <w:pPr>
              <w:spacing w:line="590" w:lineRule="exact"/>
              <w:jc w:val="center"/>
              <w:rPr>
                <w:rFonts w:hint="eastAsia" w:ascii="宋体" w:hAnsi="宋体" w:cs="宋体"/>
                <w:color w:val="auto"/>
                <w:sz w:val="24"/>
                <w:szCs w:val="24"/>
                <w:highlight w:val="none"/>
              </w:rPr>
            </w:pPr>
          </w:p>
        </w:tc>
      </w:tr>
      <w:tr w14:paraId="1A55F0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9468" w:type="dxa"/>
            <w:gridSpan w:val="12"/>
            <w:tcBorders>
              <w:top w:val="single" w:color="auto" w:sz="6" w:space="0"/>
              <w:left w:val="double" w:color="auto" w:sz="2" w:space="0"/>
              <w:bottom w:val="single" w:color="auto" w:sz="6" w:space="0"/>
              <w:right w:val="double" w:color="auto" w:sz="2" w:space="0"/>
            </w:tcBorders>
            <w:vAlign w:val="center"/>
          </w:tcPr>
          <w:p w14:paraId="1F5BA858">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已完类似项目情况</w:t>
            </w:r>
          </w:p>
        </w:tc>
      </w:tr>
      <w:tr w14:paraId="766380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508" w:type="dxa"/>
            <w:gridSpan w:val="2"/>
            <w:tcBorders>
              <w:top w:val="single" w:color="auto" w:sz="6" w:space="0"/>
              <w:left w:val="double" w:color="auto" w:sz="2" w:space="0"/>
              <w:bottom w:val="single" w:color="auto" w:sz="6" w:space="0"/>
              <w:right w:val="single" w:color="auto" w:sz="6" w:space="0"/>
            </w:tcBorders>
            <w:vAlign w:val="center"/>
          </w:tcPr>
          <w:p w14:paraId="6DF3FD8C">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采购人</w:t>
            </w:r>
          </w:p>
        </w:tc>
        <w:tc>
          <w:tcPr>
            <w:tcW w:w="2035" w:type="dxa"/>
            <w:gridSpan w:val="4"/>
            <w:tcBorders>
              <w:top w:val="single" w:color="auto" w:sz="6" w:space="0"/>
              <w:left w:val="nil"/>
              <w:bottom w:val="single" w:color="auto" w:sz="6" w:space="0"/>
              <w:right w:val="single" w:color="auto" w:sz="6" w:space="0"/>
            </w:tcBorders>
            <w:vAlign w:val="center"/>
          </w:tcPr>
          <w:p w14:paraId="4452E02A">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984" w:type="dxa"/>
            <w:gridSpan w:val="3"/>
            <w:tcBorders>
              <w:top w:val="single" w:color="auto" w:sz="6" w:space="0"/>
              <w:left w:val="nil"/>
              <w:bottom w:val="single" w:color="auto" w:sz="6" w:space="0"/>
              <w:right w:val="single" w:color="auto" w:sz="6" w:space="0"/>
            </w:tcBorders>
            <w:vAlign w:val="center"/>
          </w:tcPr>
          <w:p w14:paraId="3A6E9249">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1843" w:type="dxa"/>
            <w:gridSpan w:val="2"/>
            <w:tcBorders>
              <w:top w:val="single" w:color="auto" w:sz="6" w:space="0"/>
              <w:left w:val="nil"/>
              <w:bottom w:val="single" w:color="auto" w:sz="6" w:space="0"/>
              <w:right w:val="single" w:color="auto" w:sz="6" w:space="0"/>
            </w:tcBorders>
            <w:vAlign w:val="center"/>
          </w:tcPr>
          <w:p w14:paraId="3EEECAFE">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完成日期</w:t>
            </w:r>
          </w:p>
        </w:tc>
        <w:tc>
          <w:tcPr>
            <w:tcW w:w="2098" w:type="dxa"/>
            <w:tcBorders>
              <w:top w:val="single" w:color="auto" w:sz="6" w:space="0"/>
              <w:left w:val="nil"/>
              <w:bottom w:val="single" w:color="auto" w:sz="6" w:space="0"/>
              <w:right w:val="double" w:color="auto" w:sz="2" w:space="0"/>
            </w:tcBorders>
            <w:vAlign w:val="center"/>
          </w:tcPr>
          <w:p w14:paraId="69EE4F42">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完成质量</w:t>
            </w:r>
          </w:p>
        </w:tc>
      </w:tr>
      <w:tr w14:paraId="1EAC94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vAlign w:val="bottom"/>
          </w:tcPr>
          <w:p w14:paraId="6250180D">
            <w:pPr>
              <w:spacing w:line="590" w:lineRule="exact"/>
              <w:jc w:val="center"/>
              <w:rPr>
                <w:rFonts w:hint="eastAsia" w:ascii="宋体" w:hAnsi="宋体" w:cs="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vAlign w:val="bottom"/>
          </w:tcPr>
          <w:p w14:paraId="35B788C2">
            <w:pPr>
              <w:spacing w:line="590" w:lineRule="exact"/>
              <w:jc w:val="center"/>
              <w:rPr>
                <w:rFonts w:hint="eastAsia" w:ascii="宋体" w:hAnsi="宋体" w:cs="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vAlign w:val="bottom"/>
          </w:tcPr>
          <w:p w14:paraId="5D0652BE">
            <w:pPr>
              <w:spacing w:line="590" w:lineRule="exact"/>
              <w:jc w:val="center"/>
              <w:rPr>
                <w:rFonts w:hint="eastAsia" w:ascii="宋体" w:hAnsi="宋体" w:cs="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vAlign w:val="bottom"/>
          </w:tcPr>
          <w:p w14:paraId="56A11BD0">
            <w:pPr>
              <w:spacing w:line="590" w:lineRule="exact"/>
              <w:jc w:val="center"/>
              <w:rPr>
                <w:rFonts w:hint="eastAsia" w:ascii="宋体" w:hAnsi="宋体" w:cs="宋体"/>
                <w:color w:val="auto"/>
                <w:sz w:val="24"/>
                <w:szCs w:val="24"/>
                <w:highlight w:val="none"/>
              </w:rPr>
            </w:pPr>
          </w:p>
        </w:tc>
        <w:tc>
          <w:tcPr>
            <w:tcW w:w="2098" w:type="dxa"/>
            <w:tcBorders>
              <w:top w:val="single" w:color="auto" w:sz="6" w:space="0"/>
              <w:left w:val="nil"/>
              <w:bottom w:val="single" w:color="auto" w:sz="6" w:space="0"/>
              <w:right w:val="double" w:color="auto" w:sz="2" w:space="0"/>
            </w:tcBorders>
            <w:vAlign w:val="bottom"/>
          </w:tcPr>
          <w:p w14:paraId="7DB4DDC4">
            <w:pPr>
              <w:spacing w:line="590" w:lineRule="exact"/>
              <w:jc w:val="center"/>
              <w:rPr>
                <w:rFonts w:hint="eastAsia" w:ascii="宋体" w:hAnsi="宋体" w:cs="宋体"/>
                <w:color w:val="auto"/>
                <w:sz w:val="24"/>
                <w:szCs w:val="24"/>
                <w:highlight w:val="none"/>
              </w:rPr>
            </w:pPr>
          </w:p>
        </w:tc>
      </w:tr>
      <w:tr w14:paraId="18DF15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tcPr>
          <w:p w14:paraId="5DDA1127">
            <w:pPr>
              <w:spacing w:line="590" w:lineRule="exact"/>
              <w:jc w:val="center"/>
              <w:rPr>
                <w:rFonts w:hint="eastAsia" w:ascii="宋体" w:hAnsi="宋体" w:cs="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tcPr>
          <w:p w14:paraId="11D0E2D5">
            <w:pPr>
              <w:spacing w:line="590" w:lineRule="exact"/>
              <w:jc w:val="center"/>
              <w:rPr>
                <w:rFonts w:hint="eastAsia" w:ascii="宋体" w:hAnsi="宋体" w:cs="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tcPr>
          <w:p w14:paraId="159ABACE">
            <w:pPr>
              <w:spacing w:line="590" w:lineRule="exact"/>
              <w:jc w:val="center"/>
              <w:rPr>
                <w:rFonts w:hint="eastAsia" w:ascii="宋体" w:hAnsi="宋体" w:cs="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tcPr>
          <w:p w14:paraId="6BFD37DE">
            <w:pPr>
              <w:spacing w:line="590" w:lineRule="exact"/>
              <w:jc w:val="center"/>
              <w:rPr>
                <w:rFonts w:hint="eastAsia" w:ascii="宋体" w:hAnsi="宋体" w:cs="宋体"/>
                <w:color w:val="auto"/>
                <w:sz w:val="24"/>
                <w:szCs w:val="24"/>
                <w:highlight w:val="none"/>
              </w:rPr>
            </w:pPr>
          </w:p>
        </w:tc>
        <w:tc>
          <w:tcPr>
            <w:tcW w:w="2098" w:type="dxa"/>
            <w:tcBorders>
              <w:top w:val="single" w:color="auto" w:sz="6" w:space="0"/>
              <w:left w:val="nil"/>
              <w:bottom w:val="single" w:color="auto" w:sz="6" w:space="0"/>
              <w:right w:val="double" w:color="auto" w:sz="2" w:space="0"/>
            </w:tcBorders>
          </w:tcPr>
          <w:p w14:paraId="6C5520FA">
            <w:pPr>
              <w:spacing w:line="590" w:lineRule="exact"/>
              <w:jc w:val="center"/>
              <w:rPr>
                <w:rFonts w:hint="eastAsia" w:ascii="宋体" w:hAnsi="宋体" w:cs="宋体"/>
                <w:color w:val="auto"/>
                <w:sz w:val="24"/>
                <w:szCs w:val="24"/>
                <w:highlight w:val="none"/>
              </w:rPr>
            </w:pPr>
          </w:p>
        </w:tc>
      </w:tr>
      <w:tr w14:paraId="58E367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tcPr>
          <w:p w14:paraId="413E1608">
            <w:pPr>
              <w:spacing w:line="590" w:lineRule="exact"/>
              <w:jc w:val="center"/>
              <w:rPr>
                <w:rFonts w:hint="eastAsia" w:ascii="宋体" w:hAnsi="宋体" w:cs="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tcPr>
          <w:p w14:paraId="05E00115">
            <w:pPr>
              <w:spacing w:line="590" w:lineRule="exact"/>
              <w:jc w:val="center"/>
              <w:rPr>
                <w:rFonts w:hint="eastAsia" w:ascii="宋体" w:hAnsi="宋体" w:cs="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tcPr>
          <w:p w14:paraId="7D9643BD">
            <w:pPr>
              <w:spacing w:line="590" w:lineRule="exact"/>
              <w:jc w:val="center"/>
              <w:rPr>
                <w:rFonts w:hint="eastAsia" w:ascii="宋体" w:hAnsi="宋体" w:cs="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tcPr>
          <w:p w14:paraId="08B1A3F2">
            <w:pPr>
              <w:spacing w:line="590" w:lineRule="exact"/>
              <w:jc w:val="center"/>
              <w:rPr>
                <w:rFonts w:hint="eastAsia" w:ascii="宋体" w:hAnsi="宋体" w:cs="宋体"/>
                <w:color w:val="auto"/>
                <w:sz w:val="24"/>
                <w:szCs w:val="24"/>
                <w:highlight w:val="none"/>
              </w:rPr>
            </w:pPr>
          </w:p>
        </w:tc>
        <w:tc>
          <w:tcPr>
            <w:tcW w:w="2098" w:type="dxa"/>
            <w:tcBorders>
              <w:top w:val="single" w:color="auto" w:sz="6" w:space="0"/>
              <w:left w:val="nil"/>
              <w:bottom w:val="single" w:color="auto" w:sz="6" w:space="0"/>
              <w:right w:val="double" w:color="auto" w:sz="2" w:space="0"/>
            </w:tcBorders>
          </w:tcPr>
          <w:p w14:paraId="21EB3F2D">
            <w:pPr>
              <w:spacing w:line="590" w:lineRule="exact"/>
              <w:jc w:val="center"/>
              <w:rPr>
                <w:rFonts w:hint="eastAsia" w:ascii="宋体" w:hAnsi="宋体" w:cs="宋体"/>
                <w:color w:val="auto"/>
                <w:sz w:val="24"/>
                <w:szCs w:val="24"/>
                <w:highlight w:val="none"/>
              </w:rPr>
            </w:pPr>
          </w:p>
        </w:tc>
      </w:tr>
      <w:tr w14:paraId="0B3570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468" w:type="dxa"/>
            <w:gridSpan w:val="12"/>
            <w:tcBorders>
              <w:top w:val="single" w:color="auto" w:sz="6" w:space="0"/>
              <w:left w:val="double" w:color="auto" w:sz="2" w:space="0"/>
              <w:bottom w:val="single" w:color="auto" w:sz="6" w:space="0"/>
              <w:right w:val="double" w:color="auto" w:sz="2" w:space="0"/>
            </w:tcBorders>
          </w:tcPr>
          <w:p w14:paraId="26F474E6">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简   历</w:t>
            </w:r>
          </w:p>
        </w:tc>
      </w:tr>
    </w:tbl>
    <w:p w14:paraId="1C3BDCFF">
      <w:pPr>
        <w:spacing w:line="59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注：后相关证书证明材料。</w:t>
      </w:r>
    </w:p>
    <w:p w14:paraId="3F99E2A0">
      <w:pPr>
        <w:spacing w:line="59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供应商名称（盖公章）：</w:t>
      </w:r>
    </w:p>
    <w:p w14:paraId="0D97F29D">
      <w:pPr>
        <w:spacing w:line="59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或供应商授权代表（签字）：</w:t>
      </w:r>
    </w:p>
    <w:p w14:paraId="19432663">
      <w:pPr>
        <w:spacing w:line="59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w:t>
      </w:r>
    </w:p>
    <w:p w14:paraId="40246407">
      <w:pPr>
        <w:spacing w:line="360" w:lineRule="auto"/>
        <w:rPr>
          <w:rFonts w:hint="eastAsia" w:ascii="宋体" w:hAnsi="宋体" w:cs="宋体"/>
          <w:color w:val="auto"/>
          <w:sz w:val="24"/>
          <w:highlight w:val="none"/>
        </w:rPr>
      </w:pPr>
    </w:p>
    <w:p w14:paraId="4F1E45FF">
      <w:pPr>
        <w:spacing w:line="360" w:lineRule="auto"/>
        <w:rPr>
          <w:rFonts w:hint="eastAsia" w:ascii="宋体" w:hAnsi="宋体" w:cs="宋体"/>
          <w:color w:val="auto"/>
          <w:sz w:val="24"/>
          <w:highlight w:val="none"/>
        </w:rPr>
      </w:pPr>
    </w:p>
    <w:p w14:paraId="57701F3A">
      <w:pPr>
        <w:spacing w:line="360" w:lineRule="auto"/>
        <w:rPr>
          <w:rFonts w:hint="eastAsia" w:ascii="宋体" w:hAnsi="宋体" w:cs="宋体"/>
          <w:color w:val="auto"/>
          <w:sz w:val="24"/>
          <w:highlight w:val="none"/>
        </w:rPr>
      </w:pPr>
    </w:p>
    <w:p w14:paraId="036ADAE0">
      <w:pPr>
        <w:spacing w:line="360" w:lineRule="auto"/>
        <w:rPr>
          <w:rFonts w:hint="eastAsia" w:ascii="宋体" w:hAnsi="宋体" w:cs="宋体"/>
          <w:color w:val="auto"/>
          <w:sz w:val="24"/>
          <w:highlight w:val="none"/>
        </w:rPr>
      </w:pPr>
    </w:p>
    <w:p w14:paraId="355B7EF2">
      <w:pPr>
        <w:spacing w:line="360" w:lineRule="auto"/>
        <w:rPr>
          <w:rFonts w:hint="eastAsia" w:ascii="宋体" w:hAnsi="宋体" w:cs="宋体"/>
          <w:color w:val="auto"/>
          <w:sz w:val="24"/>
          <w:highlight w:val="none"/>
        </w:rPr>
      </w:pPr>
    </w:p>
    <w:p w14:paraId="1221CCE7">
      <w:pPr>
        <w:spacing w:line="590" w:lineRule="exact"/>
        <w:jc w:val="center"/>
        <w:rPr>
          <w:rFonts w:hint="eastAsia" w:ascii="宋体" w:hAnsi="宋体" w:cs="宋体"/>
          <w:color w:val="auto"/>
          <w:sz w:val="24"/>
          <w:szCs w:val="24"/>
          <w:highlight w:val="none"/>
        </w:rPr>
      </w:pPr>
    </w:p>
    <w:p w14:paraId="35BE7C3B">
      <w:pPr>
        <w:pStyle w:val="43"/>
        <w:rPr>
          <w:rFonts w:hint="eastAsia" w:ascii="宋体" w:hAnsi="宋体" w:cs="宋体"/>
          <w:color w:val="auto"/>
          <w:highlight w:val="none"/>
        </w:rPr>
        <w:sectPr>
          <w:pgSz w:w="11906" w:h="16838"/>
          <w:pgMar w:top="1134" w:right="1134" w:bottom="1134" w:left="1134" w:header="851" w:footer="992" w:gutter="0"/>
          <w:cols w:space="720" w:num="1"/>
          <w:titlePg/>
          <w:docGrid w:type="lines" w:linePitch="312" w:charSpace="0"/>
        </w:sectPr>
      </w:pPr>
    </w:p>
    <w:p w14:paraId="67B0B3C1">
      <w:pPr>
        <w:spacing w:line="59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2.项目组成员简历表</w:t>
      </w:r>
    </w:p>
    <w:tbl>
      <w:tblPr>
        <w:tblStyle w:val="3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72"/>
        <w:gridCol w:w="1888"/>
        <w:gridCol w:w="1559"/>
        <w:gridCol w:w="2126"/>
        <w:gridCol w:w="2262"/>
      </w:tblGrid>
      <w:tr w14:paraId="3C57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0ECE888">
            <w:pPr>
              <w:adjustRightInd w:val="0"/>
              <w:snapToGrid w:val="0"/>
              <w:spacing w:line="240" w:lineRule="atLeas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72" w:type="dxa"/>
            <w:tcBorders>
              <w:top w:val="single" w:color="auto" w:sz="4" w:space="0"/>
              <w:left w:val="single" w:color="auto" w:sz="4" w:space="0"/>
              <w:bottom w:val="single" w:color="auto" w:sz="4" w:space="0"/>
              <w:right w:val="single" w:color="auto" w:sz="4" w:space="0"/>
            </w:tcBorders>
            <w:vAlign w:val="center"/>
          </w:tcPr>
          <w:p w14:paraId="1BA14EB9">
            <w:pPr>
              <w:adjustRightInd w:val="0"/>
              <w:snapToGrid w:val="0"/>
              <w:spacing w:line="240" w:lineRule="atLeas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888" w:type="dxa"/>
            <w:tcBorders>
              <w:top w:val="single" w:color="auto" w:sz="4" w:space="0"/>
              <w:left w:val="single" w:color="auto" w:sz="4" w:space="0"/>
              <w:bottom w:val="single" w:color="auto" w:sz="4" w:space="0"/>
              <w:right w:val="single" w:color="auto" w:sz="4" w:space="0"/>
            </w:tcBorders>
            <w:vAlign w:val="center"/>
          </w:tcPr>
          <w:p w14:paraId="1655D438">
            <w:pPr>
              <w:adjustRightInd w:val="0"/>
              <w:snapToGrid w:val="0"/>
              <w:spacing w:line="240" w:lineRule="atLeas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1559" w:type="dxa"/>
            <w:tcBorders>
              <w:top w:val="single" w:color="auto" w:sz="4" w:space="0"/>
              <w:left w:val="single" w:color="auto" w:sz="4" w:space="0"/>
              <w:bottom w:val="single" w:color="auto" w:sz="4" w:space="0"/>
              <w:right w:val="single" w:color="auto" w:sz="4" w:space="0"/>
            </w:tcBorders>
            <w:vAlign w:val="center"/>
          </w:tcPr>
          <w:p w14:paraId="75BB327B">
            <w:pPr>
              <w:adjustRightInd w:val="0"/>
              <w:snapToGrid w:val="0"/>
              <w:spacing w:line="240" w:lineRule="atLeas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126" w:type="dxa"/>
            <w:tcBorders>
              <w:top w:val="single" w:color="auto" w:sz="4" w:space="0"/>
              <w:left w:val="single" w:color="auto" w:sz="4" w:space="0"/>
              <w:bottom w:val="single" w:color="auto" w:sz="4" w:space="0"/>
              <w:right w:val="single" w:color="auto" w:sz="4" w:space="0"/>
            </w:tcBorders>
            <w:vAlign w:val="center"/>
          </w:tcPr>
          <w:p w14:paraId="298CA1D7">
            <w:pPr>
              <w:adjustRightInd w:val="0"/>
              <w:snapToGrid w:val="0"/>
              <w:spacing w:line="240" w:lineRule="atLeas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工作年限</w:t>
            </w:r>
          </w:p>
        </w:tc>
        <w:tc>
          <w:tcPr>
            <w:tcW w:w="2262" w:type="dxa"/>
            <w:tcBorders>
              <w:top w:val="single" w:color="auto" w:sz="4" w:space="0"/>
              <w:left w:val="single" w:color="auto" w:sz="4" w:space="0"/>
              <w:bottom w:val="single" w:color="auto" w:sz="4" w:space="0"/>
              <w:right w:val="single" w:color="auto" w:sz="4" w:space="0"/>
            </w:tcBorders>
            <w:vAlign w:val="center"/>
          </w:tcPr>
          <w:p w14:paraId="13298ECC">
            <w:pPr>
              <w:adjustRightInd w:val="0"/>
              <w:snapToGrid w:val="0"/>
              <w:spacing w:line="240" w:lineRule="atLeast"/>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职称或执业资格</w:t>
            </w:r>
          </w:p>
        </w:tc>
      </w:tr>
      <w:tr w14:paraId="5B32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3FF9F1A">
            <w:pPr>
              <w:adjustRightInd w:val="0"/>
              <w:snapToGrid w:val="0"/>
              <w:spacing w:line="240" w:lineRule="atLeast"/>
              <w:jc w:val="center"/>
              <w:rPr>
                <w:rFonts w:hint="eastAsia" w:ascii="宋体" w:hAnsi="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08775EC">
            <w:pPr>
              <w:adjustRightInd w:val="0"/>
              <w:snapToGrid w:val="0"/>
              <w:spacing w:line="240" w:lineRule="atLeast"/>
              <w:jc w:val="center"/>
              <w:rPr>
                <w:rFonts w:hint="eastAsia" w:ascii="宋体" w:hAnsi="宋体" w:cs="宋体"/>
                <w:color w:val="auto"/>
                <w:sz w:val="24"/>
                <w:szCs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77C3B187">
            <w:pPr>
              <w:adjustRightInd w:val="0"/>
              <w:snapToGrid w:val="0"/>
              <w:spacing w:line="240" w:lineRule="atLeast"/>
              <w:jc w:val="center"/>
              <w:rPr>
                <w:rFonts w:hint="eastAsia"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97E7D3C">
            <w:pPr>
              <w:adjustRightInd w:val="0"/>
              <w:snapToGrid w:val="0"/>
              <w:spacing w:line="240" w:lineRule="atLeast"/>
              <w:jc w:val="center"/>
              <w:rPr>
                <w:rFonts w:hint="eastAsia" w:ascii="宋体" w:hAnsi="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4971D91">
            <w:pPr>
              <w:adjustRightInd w:val="0"/>
              <w:snapToGrid w:val="0"/>
              <w:spacing w:line="240" w:lineRule="atLeast"/>
              <w:jc w:val="center"/>
              <w:rPr>
                <w:rFonts w:hint="eastAsia" w:ascii="宋体" w:hAnsi="宋体" w:cs="宋体"/>
                <w:color w:val="auto"/>
                <w:sz w:val="24"/>
                <w:szCs w:val="24"/>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64563B69">
            <w:pPr>
              <w:adjustRightInd w:val="0"/>
              <w:snapToGrid w:val="0"/>
              <w:spacing w:line="240" w:lineRule="atLeast"/>
              <w:jc w:val="center"/>
              <w:rPr>
                <w:rFonts w:hint="eastAsia" w:ascii="宋体" w:hAnsi="宋体" w:cs="宋体"/>
                <w:color w:val="auto"/>
                <w:sz w:val="24"/>
                <w:szCs w:val="24"/>
                <w:highlight w:val="none"/>
              </w:rPr>
            </w:pPr>
          </w:p>
        </w:tc>
      </w:tr>
      <w:tr w14:paraId="7EED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A7CF7A2">
            <w:pPr>
              <w:adjustRightInd w:val="0"/>
              <w:snapToGrid w:val="0"/>
              <w:spacing w:line="240" w:lineRule="atLeast"/>
              <w:jc w:val="center"/>
              <w:rPr>
                <w:rFonts w:hint="eastAsia" w:ascii="宋体" w:hAnsi="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1734C3DE">
            <w:pPr>
              <w:adjustRightInd w:val="0"/>
              <w:snapToGrid w:val="0"/>
              <w:spacing w:line="240" w:lineRule="atLeast"/>
              <w:jc w:val="center"/>
              <w:rPr>
                <w:rFonts w:hint="eastAsia" w:ascii="宋体" w:hAnsi="宋体" w:cs="宋体"/>
                <w:color w:val="auto"/>
                <w:sz w:val="24"/>
                <w:szCs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5E4AD019">
            <w:pPr>
              <w:adjustRightInd w:val="0"/>
              <w:snapToGrid w:val="0"/>
              <w:spacing w:line="240" w:lineRule="atLeast"/>
              <w:jc w:val="center"/>
              <w:rPr>
                <w:rFonts w:hint="eastAsia"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71E2E9D">
            <w:pPr>
              <w:adjustRightInd w:val="0"/>
              <w:snapToGrid w:val="0"/>
              <w:spacing w:line="240" w:lineRule="atLeast"/>
              <w:jc w:val="center"/>
              <w:rPr>
                <w:rFonts w:hint="eastAsia" w:ascii="宋体" w:hAnsi="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BEF2D93">
            <w:pPr>
              <w:adjustRightInd w:val="0"/>
              <w:snapToGrid w:val="0"/>
              <w:spacing w:line="240" w:lineRule="atLeast"/>
              <w:jc w:val="center"/>
              <w:rPr>
                <w:rFonts w:hint="eastAsia" w:ascii="宋体" w:hAnsi="宋体" w:cs="宋体"/>
                <w:color w:val="auto"/>
                <w:sz w:val="24"/>
                <w:szCs w:val="24"/>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01B45A04">
            <w:pPr>
              <w:adjustRightInd w:val="0"/>
              <w:snapToGrid w:val="0"/>
              <w:spacing w:line="240" w:lineRule="atLeast"/>
              <w:jc w:val="center"/>
              <w:rPr>
                <w:rFonts w:hint="eastAsia" w:ascii="宋体" w:hAnsi="宋体" w:cs="宋体"/>
                <w:color w:val="auto"/>
                <w:sz w:val="24"/>
                <w:szCs w:val="24"/>
                <w:highlight w:val="none"/>
              </w:rPr>
            </w:pPr>
          </w:p>
        </w:tc>
      </w:tr>
      <w:tr w14:paraId="7F94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A376F33">
            <w:pPr>
              <w:adjustRightInd w:val="0"/>
              <w:snapToGrid w:val="0"/>
              <w:spacing w:line="240" w:lineRule="atLeast"/>
              <w:jc w:val="center"/>
              <w:rPr>
                <w:rFonts w:hint="eastAsia" w:ascii="宋体" w:hAnsi="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BB1BBCA">
            <w:pPr>
              <w:adjustRightInd w:val="0"/>
              <w:snapToGrid w:val="0"/>
              <w:spacing w:line="240" w:lineRule="atLeast"/>
              <w:jc w:val="center"/>
              <w:rPr>
                <w:rFonts w:hint="eastAsia" w:ascii="宋体" w:hAnsi="宋体" w:cs="宋体"/>
                <w:color w:val="auto"/>
                <w:sz w:val="24"/>
                <w:szCs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3C7DFA11">
            <w:pPr>
              <w:adjustRightInd w:val="0"/>
              <w:snapToGrid w:val="0"/>
              <w:spacing w:line="240" w:lineRule="atLeast"/>
              <w:jc w:val="center"/>
              <w:rPr>
                <w:rFonts w:hint="eastAsia"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7EF352B">
            <w:pPr>
              <w:adjustRightInd w:val="0"/>
              <w:snapToGrid w:val="0"/>
              <w:spacing w:line="240" w:lineRule="atLeast"/>
              <w:jc w:val="center"/>
              <w:rPr>
                <w:rFonts w:hint="eastAsia" w:ascii="宋体" w:hAnsi="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ED7880A">
            <w:pPr>
              <w:adjustRightInd w:val="0"/>
              <w:snapToGrid w:val="0"/>
              <w:spacing w:line="240" w:lineRule="atLeast"/>
              <w:jc w:val="center"/>
              <w:rPr>
                <w:rFonts w:hint="eastAsia" w:ascii="宋体" w:hAnsi="宋体" w:cs="宋体"/>
                <w:color w:val="auto"/>
                <w:sz w:val="24"/>
                <w:szCs w:val="24"/>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6D8AC42B">
            <w:pPr>
              <w:adjustRightInd w:val="0"/>
              <w:snapToGrid w:val="0"/>
              <w:spacing w:line="240" w:lineRule="atLeast"/>
              <w:jc w:val="center"/>
              <w:rPr>
                <w:rFonts w:hint="eastAsia" w:ascii="宋体" w:hAnsi="宋体" w:cs="宋体"/>
                <w:color w:val="auto"/>
                <w:sz w:val="24"/>
                <w:szCs w:val="24"/>
                <w:highlight w:val="none"/>
              </w:rPr>
            </w:pPr>
          </w:p>
        </w:tc>
      </w:tr>
      <w:tr w14:paraId="656C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0CAAE18">
            <w:pPr>
              <w:adjustRightInd w:val="0"/>
              <w:snapToGrid w:val="0"/>
              <w:spacing w:line="240" w:lineRule="atLeast"/>
              <w:jc w:val="center"/>
              <w:rPr>
                <w:rFonts w:hint="eastAsia" w:ascii="宋体" w:hAnsi="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7A859213">
            <w:pPr>
              <w:adjustRightInd w:val="0"/>
              <w:snapToGrid w:val="0"/>
              <w:spacing w:line="240" w:lineRule="atLeast"/>
              <w:jc w:val="center"/>
              <w:rPr>
                <w:rFonts w:hint="eastAsia" w:ascii="宋体" w:hAnsi="宋体" w:cs="宋体"/>
                <w:color w:val="auto"/>
                <w:sz w:val="24"/>
                <w:szCs w:val="24"/>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7141EE6B">
            <w:pPr>
              <w:adjustRightInd w:val="0"/>
              <w:snapToGrid w:val="0"/>
              <w:spacing w:line="240" w:lineRule="atLeast"/>
              <w:jc w:val="center"/>
              <w:rPr>
                <w:rFonts w:hint="eastAsia"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9646C7F">
            <w:pPr>
              <w:adjustRightInd w:val="0"/>
              <w:snapToGrid w:val="0"/>
              <w:spacing w:line="240" w:lineRule="atLeast"/>
              <w:jc w:val="center"/>
              <w:rPr>
                <w:rFonts w:hint="eastAsia" w:ascii="宋体" w:hAnsi="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CA2EDB8">
            <w:pPr>
              <w:adjustRightInd w:val="0"/>
              <w:snapToGrid w:val="0"/>
              <w:spacing w:line="240" w:lineRule="atLeast"/>
              <w:jc w:val="center"/>
              <w:rPr>
                <w:rFonts w:hint="eastAsia" w:ascii="宋体" w:hAnsi="宋体" w:cs="宋体"/>
                <w:color w:val="auto"/>
                <w:sz w:val="24"/>
                <w:szCs w:val="24"/>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186A4C7">
            <w:pPr>
              <w:adjustRightInd w:val="0"/>
              <w:snapToGrid w:val="0"/>
              <w:spacing w:line="240" w:lineRule="atLeast"/>
              <w:jc w:val="center"/>
              <w:rPr>
                <w:rFonts w:hint="eastAsia" w:ascii="宋体" w:hAnsi="宋体" w:cs="宋体"/>
                <w:color w:val="auto"/>
                <w:sz w:val="24"/>
                <w:szCs w:val="24"/>
                <w:highlight w:val="none"/>
              </w:rPr>
            </w:pPr>
          </w:p>
        </w:tc>
      </w:tr>
    </w:tbl>
    <w:p w14:paraId="05E21EA6">
      <w:pPr>
        <w:spacing w:line="59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注：后附相关业证书等证明材料。</w:t>
      </w:r>
    </w:p>
    <w:p w14:paraId="4EBE67F2">
      <w:pPr>
        <w:spacing w:line="59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供应商名称（盖公章）：</w:t>
      </w:r>
    </w:p>
    <w:p w14:paraId="79A69E1B">
      <w:pPr>
        <w:spacing w:line="59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或供应商授权代表（签字）：</w:t>
      </w:r>
    </w:p>
    <w:p w14:paraId="080C60EE">
      <w:pPr>
        <w:spacing w:line="59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     </w:t>
      </w:r>
    </w:p>
    <w:p w14:paraId="5DEF4C52">
      <w:pPr>
        <w:spacing w:line="360" w:lineRule="auto"/>
        <w:rPr>
          <w:rFonts w:hint="eastAsia" w:ascii="宋体" w:hAnsi="宋体" w:cs="宋体"/>
          <w:color w:val="auto"/>
          <w:sz w:val="24"/>
          <w:highlight w:val="none"/>
        </w:rPr>
      </w:pPr>
    </w:p>
    <w:p w14:paraId="404FD907">
      <w:pPr>
        <w:spacing w:line="360" w:lineRule="auto"/>
        <w:rPr>
          <w:rFonts w:hint="eastAsia" w:ascii="宋体" w:hAnsi="宋体" w:cs="宋体"/>
          <w:color w:val="auto"/>
          <w:sz w:val="24"/>
          <w:highlight w:val="none"/>
        </w:rPr>
      </w:pPr>
    </w:p>
    <w:p w14:paraId="5245C951">
      <w:pPr>
        <w:spacing w:line="360" w:lineRule="auto"/>
        <w:rPr>
          <w:rFonts w:hint="eastAsia" w:ascii="宋体" w:hAnsi="宋体" w:cs="宋体"/>
          <w:color w:val="auto"/>
          <w:sz w:val="24"/>
          <w:highlight w:val="none"/>
        </w:rPr>
      </w:pPr>
    </w:p>
    <w:p w14:paraId="5A491838">
      <w:pPr>
        <w:spacing w:line="360" w:lineRule="auto"/>
        <w:rPr>
          <w:rFonts w:hint="eastAsia" w:ascii="宋体" w:hAnsi="宋体" w:cs="宋体"/>
          <w:color w:val="auto"/>
          <w:sz w:val="24"/>
          <w:highlight w:val="none"/>
        </w:rPr>
      </w:pPr>
    </w:p>
    <w:p w14:paraId="4132F67C">
      <w:pPr>
        <w:spacing w:line="360" w:lineRule="auto"/>
        <w:rPr>
          <w:rFonts w:hint="eastAsia" w:ascii="宋体" w:hAnsi="宋体" w:cs="宋体"/>
          <w:color w:val="auto"/>
          <w:sz w:val="24"/>
          <w:highlight w:val="none"/>
        </w:rPr>
      </w:pPr>
    </w:p>
    <w:p w14:paraId="5B26BA3A">
      <w:pPr>
        <w:spacing w:line="360" w:lineRule="auto"/>
        <w:rPr>
          <w:rFonts w:hint="eastAsia" w:ascii="宋体" w:hAnsi="宋体" w:cs="宋体"/>
          <w:color w:val="auto"/>
          <w:sz w:val="24"/>
          <w:highlight w:val="none"/>
        </w:rPr>
      </w:pPr>
    </w:p>
    <w:p w14:paraId="77C33256">
      <w:pPr>
        <w:spacing w:line="360" w:lineRule="auto"/>
        <w:rPr>
          <w:rFonts w:hint="eastAsia" w:ascii="宋体" w:hAnsi="宋体" w:cs="宋体"/>
          <w:color w:val="auto"/>
          <w:sz w:val="24"/>
          <w:highlight w:val="none"/>
        </w:rPr>
      </w:pPr>
    </w:p>
    <w:p w14:paraId="166F0355">
      <w:pPr>
        <w:spacing w:line="360" w:lineRule="auto"/>
        <w:rPr>
          <w:rFonts w:hint="eastAsia" w:ascii="宋体" w:hAnsi="宋体" w:cs="宋体"/>
          <w:color w:val="auto"/>
          <w:sz w:val="24"/>
          <w:highlight w:val="none"/>
        </w:rPr>
      </w:pPr>
    </w:p>
    <w:p w14:paraId="3BDF918C">
      <w:pPr>
        <w:spacing w:line="360" w:lineRule="auto"/>
        <w:rPr>
          <w:rFonts w:hint="eastAsia" w:ascii="宋体" w:hAnsi="宋体" w:cs="宋体"/>
          <w:color w:val="auto"/>
          <w:sz w:val="24"/>
          <w:highlight w:val="none"/>
        </w:rPr>
      </w:pPr>
    </w:p>
    <w:p w14:paraId="0ADF6E25">
      <w:pPr>
        <w:pStyle w:val="43"/>
        <w:rPr>
          <w:rFonts w:hint="eastAsia" w:ascii="宋体" w:hAnsi="宋体" w:cs="宋体"/>
          <w:color w:val="auto"/>
          <w:highlight w:val="none"/>
        </w:rPr>
      </w:pPr>
    </w:p>
    <w:p w14:paraId="38914374">
      <w:pPr>
        <w:rPr>
          <w:rFonts w:hint="eastAsia" w:ascii="宋体" w:hAnsi="宋体" w:cs="宋体"/>
          <w:color w:val="auto"/>
          <w:sz w:val="24"/>
          <w:highlight w:val="none"/>
        </w:rPr>
      </w:pPr>
    </w:p>
    <w:p w14:paraId="37D593F4">
      <w:pPr>
        <w:pStyle w:val="43"/>
        <w:rPr>
          <w:rFonts w:hint="eastAsia" w:ascii="宋体" w:hAnsi="宋体" w:cs="宋体"/>
          <w:color w:val="auto"/>
          <w:highlight w:val="none"/>
        </w:rPr>
      </w:pPr>
    </w:p>
    <w:p w14:paraId="1799D72D">
      <w:pPr>
        <w:snapToGrid w:val="0"/>
        <w:spacing w:line="360" w:lineRule="auto"/>
        <w:contextualSpacing/>
        <w:jc w:val="center"/>
        <w:rPr>
          <w:rFonts w:hint="eastAsia" w:ascii="宋体" w:hAnsi="宋体" w:cs="宋体"/>
          <w:color w:val="auto"/>
          <w:kern w:val="0"/>
          <w:sz w:val="28"/>
          <w:szCs w:val="28"/>
          <w:highlight w:val="none"/>
        </w:rPr>
        <w:sectPr>
          <w:pgSz w:w="11906" w:h="16838"/>
          <w:pgMar w:top="1134" w:right="1134" w:bottom="1134" w:left="1134" w:header="851" w:footer="992" w:gutter="0"/>
          <w:cols w:space="720" w:num="1"/>
          <w:titlePg/>
          <w:docGrid w:type="lines" w:linePitch="312" w:charSpace="0"/>
        </w:sectPr>
      </w:pPr>
    </w:p>
    <w:p w14:paraId="03E0A388">
      <w:pPr>
        <w:snapToGrid w:val="0"/>
        <w:spacing w:line="360" w:lineRule="auto"/>
        <w:contextualSpacing/>
        <w:jc w:val="center"/>
        <w:rPr>
          <w:rFonts w:hint="eastAsia" w:ascii="宋体" w:hAnsi="宋体" w:cs="宋体"/>
          <w:bCs/>
          <w:color w:val="auto"/>
          <w:sz w:val="28"/>
          <w:szCs w:val="28"/>
          <w:highlight w:val="none"/>
        </w:rPr>
      </w:pPr>
      <w:r>
        <w:rPr>
          <w:rFonts w:hint="eastAsia" w:ascii="宋体" w:hAnsi="宋体" w:cs="宋体"/>
          <w:color w:val="auto"/>
          <w:kern w:val="0"/>
          <w:sz w:val="28"/>
          <w:szCs w:val="28"/>
          <w:highlight w:val="none"/>
        </w:rPr>
        <w:t>附表二：</w:t>
      </w:r>
      <w:r>
        <w:rPr>
          <w:rFonts w:hint="eastAsia" w:ascii="宋体" w:hAnsi="宋体" w:cs="宋体"/>
          <w:bCs/>
          <w:color w:val="auto"/>
          <w:sz w:val="28"/>
          <w:szCs w:val="28"/>
          <w:highlight w:val="none"/>
        </w:rPr>
        <w:t>类似业绩表</w:t>
      </w:r>
    </w:p>
    <w:tbl>
      <w:tblPr>
        <w:tblStyle w:val="3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674"/>
        <w:gridCol w:w="1830"/>
        <w:gridCol w:w="1635"/>
        <w:gridCol w:w="2192"/>
        <w:gridCol w:w="1357"/>
      </w:tblGrid>
      <w:tr w14:paraId="02DE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BEE4523">
            <w:pPr>
              <w:spacing w:line="360" w:lineRule="auto"/>
              <w:jc w:val="center"/>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序号</w:t>
            </w:r>
          </w:p>
        </w:tc>
        <w:tc>
          <w:tcPr>
            <w:tcW w:w="1674" w:type="dxa"/>
            <w:tcBorders>
              <w:top w:val="single" w:color="auto" w:sz="4" w:space="0"/>
              <w:left w:val="single" w:color="auto" w:sz="4" w:space="0"/>
              <w:bottom w:val="single" w:color="auto" w:sz="4" w:space="0"/>
              <w:right w:val="single" w:color="auto" w:sz="4" w:space="0"/>
            </w:tcBorders>
            <w:vAlign w:val="center"/>
          </w:tcPr>
          <w:p w14:paraId="5EDF3A69">
            <w:pPr>
              <w:spacing w:line="360" w:lineRule="auto"/>
              <w:jc w:val="center"/>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项目名称</w:t>
            </w:r>
          </w:p>
        </w:tc>
        <w:tc>
          <w:tcPr>
            <w:tcW w:w="1830" w:type="dxa"/>
            <w:tcBorders>
              <w:top w:val="single" w:color="auto" w:sz="4" w:space="0"/>
              <w:left w:val="single" w:color="auto" w:sz="4" w:space="0"/>
              <w:bottom w:val="single" w:color="auto" w:sz="4" w:space="0"/>
              <w:right w:val="single" w:color="auto" w:sz="4" w:space="0"/>
            </w:tcBorders>
            <w:vAlign w:val="center"/>
          </w:tcPr>
          <w:p w14:paraId="34D0C129">
            <w:pPr>
              <w:spacing w:line="360" w:lineRule="auto"/>
              <w:jc w:val="center"/>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采购内容</w:t>
            </w:r>
          </w:p>
        </w:tc>
        <w:tc>
          <w:tcPr>
            <w:tcW w:w="1635" w:type="dxa"/>
            <w:tcBorders>
              <w:top w:val="single" w:color="auto" w:sz="4" w:space="0"/>
              <w:left w:val="single" w:color="auto" w:sz="4" w:space="0"/>
              <w:bottom w:val="single" w:color="auto" w:sz="4" w:space="0"/>
              <w:right w:val="single" w:color="auto" w:sz="4" w:space="0"/>
            </w:tcBorders>
            <w:vAlign w:val="center"/>
          </w:tcPr>
          <w:p w14:paraId="478F14C4">
            <w:pPr>
              <w:spacing w:line="360" w:lineRule="auto"/>
              <w:jc w:val="center"/>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业主单位</w:t>
            </w:r>
          </w:p>
        </w:tc>
        <w:tc>
          <w:tcPr>
            <w:tcW w:w="2192" w:type="dxa"/>
            <w:tcBorders>
              <w:top w:val="single" w:color="auto" w:sz="4" w:space="0"/>
              <w:left w:val="single" w:color="auto" w:sz="4" w:space="0"/>
              <w:bottom w:val="single" w:color="auto" w:sz="4" w:space="0"/>
              <w:right w:val="single" w:color="auto" w:sz="4" w:space="0"/>
            </w:tcBorders>
            <w:vAlign w:val="center"/>
          </w:tcPr>
          <w:p w14:paraId="571C78FF">
            <w:pPr>
              <w:spacing w:line="360" w:lineRule="auto"/>
              <w:jc w:val="center"/>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合同金额</w:t>
            </w:r>
          </w:p>
        </w:tc>
        <w:tc>
          <w:tcPr>
            <w:tcW w:w="1357" w:type="dxa"/>
            <w:tcBorders>
              <w:top w:val="single" w:color="auto" w:sz="4" w:space="0"/>
              <w:left w:val="single" w:color="auto" w:sz="4" w:space="0"/>
              <w:bottom w:val="single" w:color="auto" w:sz="4" w:space="0"/>
              <w:right w:val="single" w:color="auto" w:sz="4" w:space="0"/>
            </w:tcBorders>
            <w:vAlign w:val="center"/>
          </w:tcPr>
          <w:p w14:paraId="7A5AA7A6">
            <w:pPr>
              <w:spacing w:line="360" w:lineRule="auto"/>
              <w:jc w:val="center"/>
              <w:rPr>
                <w:rFonts w:hint="eastAsia" w:ascii="宋体" w:hAnsi="宋体" w:cs="宋体"/>
                <w:bCs/>
                <w:color w:val="auto"/>
                <w:sz w:val="24"/>
                <w:szCs w:val="24"/>
                <w:highlight w:val="none"/>
                <w:shd w:val="clear" w:color="auto" w:fill="FFFFFF"/>
              </w:rPr>
            </w:pPr>
            <w:r>
              <w:rPr>
                <w:rFonts w:hint="eastAsia" w:ascii="宋体" w:hAnsi="宋体" w:cs="宋体"/>
                <w:bCs/>
                <w:color w:val="auto"/>
                <w:sz w:val="24"/>
                <w:szCs w:val="24"/>
                <w:highlight w:val="none"/>
                <w:shd w:val="clear" w:color="auto" w:fill="FFFFFF"/>
              </w:rPr>
              <w:t>索引页码</w:t>
            </w:r>
          </w:p>
        </w:tc>
      </w:tr>
      <w:tr w14:paraId="1998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2D6459F1">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7DDB439F">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5FBE3022">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1E496E7B">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02202E44">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279BA86B">
            <w:pPr>
              <w:spacing w:line="360" w:lineRule="auto"/>
              <w:ind w:firstLine="600" w:firstLineChars="250"/>
              <w:jc w:val="left"/>
              <w:rPr>
                <w:rFonts w:hint="eastAsia" w:ascii="宋体" w:hAnsi="宋体" w:cs="宋体"/>
                <w:bCs/>
                <w:color w:val="auto"/>
                <w:sz w:val="24"/>
                <w:szCs w:val="24"/>
                <w:highlight w:val="none"/>
                <w:shd w:val="clear" w:color="auto" w:fill="FFFFFF"/>
              </w:rPr>
            </w:pPr>
          </w:p>
        </w:tc>
      </w:tr>
      <w:tr w14:paraId="7BD6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16693F39">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5EAB2D52">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67F684CB">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77515010">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05795A5F">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1B8C9900">
            <w:pPr>
              <w:spacing w:line="360" w:lineRule="auto"/>
              <w:ind w:firstLine="600" w:firstLineChars="250"/>
              <w:jc w:val="left"/>
              <w:rPr>
                <w:rFonts w:hint="eastAsia" w:ascii="宋体" w:hAnsi="宋体" w:cs="宋体"/>
                <w:bCs/>
                <w:color w:val="auto"/>
                <w:sz w:val="24"/>
                <w:szCs w:val="24"/>
                <w:highlight w:val="none"/>
                <w:shd w:val="clear" w:color="auto" w:fill="FFFFFF"/>
              </w:rPr>
            </w:pPr>
          </w:p>
        </w:tc>
      </w:tr>
      <w:tr w14:paraId="3AFF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6698E2A3">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123B754A">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0E0F44D8">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7AD0C558">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362FA79F">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5D3E52E8">
            <w:pPr>
              <w:spacing w:line="360" w:lineRule="auto"/>
              <w:ind w:firstLine="600" w:firstLineChars="250"/>
              <w:jc w:val="left"/>
              <w:rPr>
                <w:rFonts w:hint="eastAsia" w:ascii="宋体" w:hAnsi="宋体" w:cs="宋体"/>
                <w:bCs/>
                <w:color w:val="auto"/>
                <w:sz w:val="24"/>
                <w:szCs w:val="24"/>
                <w:highlight w:val="none"/>
                <w:shd w:val="clear" w:color="auto" w:fill="FFFFFF"/>
              </w:rPr>
            </w:pPr>
          </w:p>
        </w:tc>
      </w:tr>
      <w:tr w14:paraId="64F8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73306018">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21E37733">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2E60AA62">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4D7536AF">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24BFC38C">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6BBDA1E1">
            <w:pPr>
              <w:spacing w:line="360" w:lineRule="auto"/>
              <w:ind w:firstLine="600" w:firstLineChars="250"/>
              <w:jc w:val="left"/>
              <w:rPr>
                <w:rFonts w:hint="eastAsia" w:ascii="宋体" w:hAnsi="宋体" w:cs="宋体"/>
                <w:bCs/>
                <w:color w:val="auto"/>
                <w:sz w:val="24"/>
                <w:szCs w:val="24"/>
                <w:highlight w:val="none"/>
                <w:shd w:val="clear" w:color="auto" w:fill="FFFFFF"/>
              </w:rPr>
            </w:pPr>
          </w:p>
        </w:tc>
      </w:tr>
      <w:tr w14:paraId="1AF8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210853D1">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57844367">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081AB564">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03AD712F">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2FDBBFDD">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1C5C4612">
            <w:pPr>
              <w:spacing w:line="360" w:lineRule="auto"/>
              <w:ind w:firstLine="600" w:firstLineChars="250"/>
              <w:jc w:val="left"/>
              <w:rPr>
                <w:rFonts w:hint="eastAsia" w:ascii="宋体" w:hAnsi="宋体" w:cs="宋体"/>
                <w:bCs/>
                <w:color w:val="auto"/>
                <w:sz w:val="24"/>
                <w:szCs w:val="24"/>
                <w:highlight w:val="none"/>
                <w:shd w:val="clear" w:color="auto" w:fill="FFFFFF"/>
              </w:rPr>
            </w:pPr>
          </w:p>
        </w:tc>
      </w:tr>
      <w:tr w14:paraId="012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tcPr>
          <w:p w14:paraId="5B347DB9">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74" w:type="dxa"/>
            <w:tcBorders>
              <w:top w:val="single" w:color="auto" w:sz="4" w:space="0"/>
              <w:left w:val="single" w:color="auto" w:sz="4" w:space="0"/>
              <w:bottom w:val="single" w:color="auto" w:sz="4" w:space="0"/>
              <w:right w:val="single" w:color="auto" w:sz="4" w:space="0"/>
            </w:tcBorders>
          </w:tcPr>
          <w:p w14:paraId="07C7FA40">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830" w:type="dxa"/>
            <w:tcBorders>
              <w:top w:val="single" w:color="auto" w:sz="4" w:space="0"/>
              <w:left w:val="single" w:color="auto" w:sz="4" w:space="0"/>
              <w:bottom w:val="single" w:color="auto" w:sz="4" w:space="0"/>
              <w:right w:val="single" w:color="auto" w:sz="4" w:space="0"/>
            </w:tcBorders>
          </w:tcPr>
          <w:p w14:paraId="1DD82D23">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635" w:type="dxa"/>
            <w:tcBorders>
              <w:top w:val="single" w:color="auto" w:sz="4" w:space="0"/>
              <w:left w:val="single" w:color="auto" w:sz="4" w:space="0"/>
              <w:bottom w:val="single" w:color="auto" w:sz="4" w:space="0"/>
              <w:right w:val="single" w:color="auto" w:sz="4" w:space="0"/>
            </w:tcBorders>
          </w:tcPr>
          <w:p w14:paraId="094860EC">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2192" w:type="dxa"/>
            <w:tcBorders>
              <w:top w:val="single" w:color="auto" w:sz="4" w:space="0"/>
              <w:left w:val="single" w:color="auto" w:sz="4" w:space="0"/>
              <w:bottom w:val="single" w:color="auto" w:sz="4" w:space="0"/>
              <w:right w:val="single" w:color="auto" w:sz="4" w:space="0"/>
            </w:tcBorders>
          </w:tcPr>
          <w:p w14:paraId="38BB02F8">
            <w:pPr>
              <w:spacing w:line="360" w:lineRule="auto"/>
              <w:ind w:firstLine="600" w:firstLineChars="250"/>
              <w:jc w:val="left"/>
              <w:rPr>
                <w:rFonts w:hint="eastAsia" w:ascii="宋体" w:hAnsi="宋体" w:cs="宋体"/>
                <w:bCs/>
                <w:color w:val="auto"/>
                <w:sz w:val="24"/>
                <w:szCs w:val="24"/>
                <w:highlight w:val="none"/>
                <w:shd w:val="clear" w:color="auto" w:fill="FFFFFF"/>
              </w:rPr>
            </w:pPr>
          </w:p>
        </w:tc>
        <w:tc>
          <w:tcPr>
            <w:tcW w:w="1357" w:type="dxa"/>
            <w:tcBorders>
              <w:top w:val="single" w:color="auto" w:sz="4" w:space="0"/>
              <w:left w:val="single" w:color="auto" w:sz="4" w:space="0"/>
              <w:bottom w:val="single" w:color="auto" w:sz="4" w:space="0"/>
              <w:right w:val="single" w:color="auto" w:sz="4" w:space="0"/>
            </w:tcBorders>
          </w:tcPr>
          <w:p w14:paraId="796DB7A3">
            <w:pPr>
              <w:spacing w:line="360" w:lineRule="auto"/>
              <w:ind w:firstLine="600" w:firstLineChars="250"/>
              <w:jc w:val="left"/>
              <w:rPr>
                <w:rFonts w:hint="eastAsia" w:ascii="宋体" w:hAnsi="宋体" w:cs="宋体"/>
                <w:bCs/>
                <w:color w:val="auto"/>
                <w:sz w:val="24"/>
                <w:szCs w:val="24"/>
                <w:highlight w:val="none"/>
                <w:shd w:val="clear" w:color="auto" w:fill="FFFFFF"/>
              </w:rPr>
            </w:pPr>
          </w:p>
        </w:tc>
      </w:tr>
    </w:tbl>
    <w:p w14:paraId="636E61D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注：在填写时，如本表格不适合供应商的实际情况，可根据本表格式自行划表填写。</w:t>
      </w:r>
    </w:p>
    <w:p w14:paraId="1CAD17F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附：成交通知书或合同书扫描件或复印件。</w:t>
      </w:r>
    </w:p>
    <w:p w14:paraId="377DBC12">
      <w:pPr>
        <w:spacing w:line="40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6DA4C7BE">
      <w:pPr>
        <w:spacing w:line="59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供应商名称（盖公章）：</w:t>
      </w:r>
    </w:p>
    <w:p w14:paraId="658FAF9E">
      <w:pPr>
        <w:spacing w:line="59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或供应商授权代表（签字）：</w:t>
      </w:r>
    </w:p>
    <w:p w14:paraId="54513A4E">
      <w:pPr>
        <w:spacing w:line="59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     </w:t>
      </w:r>
    </w:p>
    <w:p w14:paraId="4B36B07B">
      <w:pPr>
        <w:spacing w:line="360" w:lineRule="auto"/>
        <w:rPr>
          <w:rFonts w:hint="eastAsia" w:ascii="宋体" w:hAnsi="宋体" w:cs="宋体"/>
          <w:color w:val="auto"/>
          <w:sz w:val="24"/>
          <w:highlight w:val="none"/>
        </w:rPr>
      </w:pPr>
    </w:p>
    <w:p w14:paraId="0C1D38FA">
      <w:pPr>
        <w:spacing w:line="360" w:lineRule="auto"/>
        <w:rPr>
          <w:rFonts w:hint="eastAsia" w:ascii="宋体" w:hAnsi="宋体" w:cs="宋体"/>
          <w:color w:val="auto"/>
          <w:sz w:val="24"/>
          <w:highlight w:val="none"/>
        </w:rPr>
      </w:pPr>
    </w:p>
    <w:p w14:paraId="581F7D93">
      <w:pPr>
        <w:spacing w:line="360" w:lineRule="auto"/>
        <w:rPr>
          <w:rFonts w:hint="eastAsia" w:ascii="宋体" w:hAnsi="宋体" w:cs="宋体"/>
          <w:color w:val="auto"/>
          <w:sz w:val="24"/>
          <w:highlight w:val="none"/>
        </w:rPr>
      </w:pPr>
    </w:p>
    <w:p w14:paraId="4B21576E">
      <w:pPr>
        <w:spacing w:line="360" w:lineRule="auto"/>
        <w:rPr>
          <w:rFonts w:hint="eastAsia" w:ascii="宋体" w:hAnsi="宋体" w:cs="宋体"/>
          <w:color w:val="auto"/>
          <w:sz w:val="24"/>
          <w:highlight w:val="none"/>
        </w:rPr>
      </w:pPr>
    </w:p>
    <w:p w14:paraId="5923E76F">
      <w:pPr>
        <w:spacing w:line="360" w:lineRule="auto"/>
        <w:rPr>
          <w:rFonts w:hint="eastAsia" w:ascii="宋体" w:hAnsi="宋体" w:cs="宋体"/>
          <w:color w:val="auto"/>
          <w:sz w:val="24"/>
          <w:highlight w:val="none"/>
        </w:rPr>
      </w:pPr>
    </w:p>
    <w:p w14:paraId="51726A4F">
      <w:pPr>
        <w:spacing w:line="360" w:lineRule="auto"/>
        <w:rPr>
          <w:rFonts w:hint="eastAsia" w:ascii="宋体" w:hAnsi="宋体" w:cs="宋体"/>
          <w:color w:val="auto"/>
          <w:sz w:val="24"/>
          <w:highlight w:val="none"/>
        </w:rPr>
      </w:pPr>
    </w:p>
    <w:p w14:paraId="2D654280">
      <w:pPr>
        <w:spacing w:line="360" w:lineRule="auto"/>
        <w:rPr>
          <w:rFonts w:hint="eastAsia" w:ascii="宋体" w:hAnsi="宋体" w:cs="宋体"/>
          <w:color w:val="auto"/>
          <w:sz w:val="24"/>
          <w:highlight w:val="none"/>
        </w:rPr>
      </w:pPr>
    </w:p>
    <w:p w14:paraId="20B4EE43">
      <w:pPr>
        <w:spacing w:line="360" w:lineRule="auto"/>
        <w:rPr>
          <w:rFonts w:hint="eastAsia" w:ascii="宋体" w:hAnsi="宋体" w:cs="宋体"/>
          <w:color w:val="auto"/>
          <w:sz w:val="24"/>
          <w:highlight w:val="none"/>
        </w:rPr>
      </w:pPr>
    </w:p>
    <w:p w14:paraId="582537EF">
      <w:pPr>
        <w:pStyle w:val="43"/>
        <w:rPr>
          <w:rFonts w:hint="eastAsia" w:ascii="宋体" w:hAnsi="宋体" w:cs="宋体"/>
          <w:color w:val="auto"/>
          <w:highlight w:val="none"/>
        </w:rPr>
      </w:pPr>
    </w:p>
    <w:p w14:paraId="26DFC37D">
      <w:pPr>
        <w:rPr>
          <w:rFonts w:hint="eastAsia" w:ascii="宋体" w:hAnsi="宋体" w:cs="宋体"/>
          <w:color w:val="auto"/>
          <w:sz w:val="24"/>
          <w:highlight w:val="none"/>
        </w:rPr>
      </w:pPr>
    </w:p>
    <w:p w14:paraId="715B48F5">
      <w:pPr>
        <w:pStyle w:val="43"/>
        <w:rPr>
          <w:rFonts w:hint="eastAsia" w:ascii="宋体" w:hAnsi="宋体" w:cs="宋体"/>
          <w:color w:val="auto"/>
          <w:highlight w:val="none"/>
        </w:rPr>
      </w:pPr>
    </w:p>
    <w:p w14:paraId="560AC1D5">
      <w:pPr>
        <w:rPr>
          <w:rFonts w:hint="eastAsia" w:ascii="宋体" w:hAnsi="宋体" w:cs="宋体"/>
          <w:color w:val="auto"/>
          <w:sz w:val="24"/>
          <w:highlight w:val="none"/>
        </w:rPr>
      </w:pPr>
    </w:p>
    <w:p w14:paraId="75BAF8B2">
      <w:pPr>
        <w:pStyle w:val="43"/>
        <w:rPr>
          <w:rFonts w:hint="eastAsia" w:ascii="宋体" w:hAnsi="宋体" w:cs="宋体"/>
          <w:color w:val="auto"/>
          <w:highlight w:val="none"/>
        </w:rPr>
      </w:pPr>
    </w:p>
    <w:p w14:paraId="20E3A938">
      <w:pPr>
        <w:rPr>
          <w:rFonts w:hint="eastAsia" w:ascii="宋体" w:hAnsi="宋体" w:cs="宋体"/>
          <w:color w:val="auto"/>
          <w:highlight w:val="none"/>
        </w:rPr>
        <w:sectPr>
          <w:pgSz w:w="11906" w:h="16838"/>
          <w:pgMar w:top="1134" w:right="1134" w:bottom="1134" w:left="1134" w:header="851" w:footer="992" w:gutter="0"/>
          <w:cols w:space="720" w:num="1"/>
          <w:titlePg/>
          <w:docGrid w:type="lines" w:linePitch="312" w:charSpace="0"/>
        </w:sectPr>
      </w:pPr>
    </w:p>
    <w:bookmarkEnd w:id="101"/>
    <w:bookmarkEnd w:id="102"/>
    <w:bookmarkEnd w:id="103"/>
    <w:p w14:paraId="58DF9A31">
      <w:pPr>
        <w:pStyle w:val="4"/>
        <w:spacing w:before="0" w:after="0" w:line="360" w:lineRule="auto"/>
        <w:jc w:val="center"/>
        <w:rPr>
          <w:rFonts w:hint="eastAsia" w:ascii="宋体" w:hAnsi="宋体" w:cs="宋体"/>
          <w:b w:val="0"/>
          <w:color w:val="auto"/>
          <w:highlight w:val="none"/>
        </w:rPr>
      </w:pPr>
      <w:bookmarkStart w:id="106" w:name="_Toc354231820"/>
      <w:bookmarkStart w:id="107" w:name="_Toc351117903"/>
      <w:bookmarkStart w:id="108" w:name="_Toc350330519"/>
      <w:bookmarkStart w:id="109" w:name="_Toc277679098"/>
      <w:bookmarkStart w:id="110" w:name="_Toc352783562"/>
      <w:bookmarkStart w:id="111" w:name="_Toc350930019"/>
      <w:bookmarkStart w:id="112" w:name="_Toc350930234"/>
      <w:bookmarkStart w:id="113" w:name="_Toc355054077"/>
      <w:bookmarkStart w:id="114" w:name="_Toc1809"/>
      <w:r>
        <w:rPr>
          <w:rFonts w:hint="eastAsia" w:ascii="宋体" w:hAnsi="宋体" w:cs="宋体"/>
          <w:b w:val="0"/>
          <w:color w:val="auto"/>
          <w:highlight w:val="none"/>
        </w:rPr>
        <w:t>五、</w:t>
      </w:r>
      <w:bookmarkEnd w:id="106"/>
      <w:bookmarkEnd w:id="107"/>
      <w:bookmarkEnd w:id="108"/>
      <w:bookmarkEnd w:id="109"/>
      <w:bookmarkEnd w:id="110"/>
      <w:bookmarkEnd w:id="111"/>
      <w:bookmarkEnd w:id="112"/>
      <w:r>
        <w:rPr>
          <w:rFonts w:hint="eastAsia" w:ascii="宋体" w:hAnsi="宋体" w:cs="宋体"/>
          <w:b w:val="0"/>
          <w:color w:val="auto"/>
          <w:highlight w:val="none"/>
        </w:rPr>
        <w:t>相关资料</w:t>
      </w:r>
      <w:bookmarkEnd w:id="113"/>
      <w:bookmarkEnd w:id="114"/>
    </w:p>
    <w:p w14:paraId="152B2345">
      <w:pPr>
        <w:jc w:val="center"/>
        <w:rPr>
          <w:rFonts w:hint="eastAsia" w:ascii="宋体" w:hAnsi="宋体" w:cs="宋体"/>
          <w:color w:val="auto"/>
          <w:sz w:val="28"/>
          <w:szCs w:val="28"/>
          <w:highlight w:val="none"/>
        </w:rPr>
      </w:pPr>
      <w:bookmarkStart w:id="115" w:name="_Toc112639262"/>
      <w:r>
        <w:rPr>
          <w:rFonts w:hint="eastAsia" w:ascii="宋体" w:hAnsi="宋体" w:cs="宋体"/>
          <w:color w:val="auto"/>
          <w:sz w:val="28"/>
          <w:szCs w:val="28"/>
          <w:highlight w:val="none"/>
        </w:rPr>
        <w:t>1.供应商基本情况表</w:t>
      </w:r>
      <w:bookmarkEnd w:id="115"/>
    </w:p>
    <w:tbl>
      <w:tblPr>
        <w:tblStyle w:val="34"/>
        <w:tblpPr w:leftFromText="180" w:rightFromText="180" w:vertAnchor="text" w:horzAnchor="margin" w:tblpXSpec="center" w:tblpY="158"/>
        <w:tblW w:w="9379" w:type="dxa"/>
        <w:tblInd w:w="0" w:type="dxa"/>
        <w:tblLayout w:type="fixed"/>
        <w:tblCellMar>
          <w:top w:w="0" w:type="dxa"/>
          <w:left w:w="108" w:type="dxa"/>
          <w:bottom w:w="0" w:type="dxa"/>
          <w:right w:w="108" w:type="dxa"/>
        </w:tblCellMar>
      </w:tblPr>
      <w:tblGrid>
        <w:gridCol w:w="1826"/>
        <w:gridCol w:w="3468"/>
        <w:gridCol w:w="1277"/>
        <w:gridCol w:w="2808"/>
      </w:tblGrid>
      <w:tr w14:paraId="738B7CC9">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32F4BCE6">
            <w:pPr>
              <w:autoSpaceDE w:val="0"/>
              <w:autoSpaceDN w:val="0"/>
              <w:adjustRightInd w:val="0"/>
              <w:jc w:val="center"/>
              <w:rPr>
                <w:rFonts w:hint="eastAsia" w:ascii="宋体" w:hAnsi="宋体" w:cs="宋体"/>
                <w:color w:val="auto"/>
                <w:highlight w:val="none"/>
                <w:lang w:val="zh-CN"/>
              </w:rPr>
            </w:pPr>
            <w:r>
              <w:rPr>
                <w:rFonts w:hint="eastAsia" w:ascii="宋体" w:hAnsi="宋体" w:cs="宋体"/>
                <w:color w:val="auto"/>
                <w:highlight w:val="none"/>
                <w:lang w:val="zh-CN"/>
              </w:rPr>
              <w:t>企业名称</w:t>
            </w:r>
          </w:p>
        </w:tc>
        <w:tc>
          <w:tcPr>
            <w:tcW w:w="7553" w:type="dxa"/>
            <w:gridSpan w:val="3"/>
            <w:tcBorders>
              <w:top w:val="single" w:color="auto" w:sz="6" w:space="0"/>
              <w:left w:val="single" w:color="auto" w:sz="6" w:space="0"/>
              <w:bottom w:val="single" w:color="auto" w:sz="6" w:space="0"/>
              <w:right w:val="single" w:color="auto" w:sz="6" w:space="0"/>
            </w:tcBorders>
          </w:tcPr>
          <w:p w14:paraId="71FF8B2F">
            <w:pPr>
              <w:autoSpaceDE w:val="0"/>
              <w:autoSpaceDN w:val="0"/>
              <w:adjustRightInd w:val="0"/>
              <w:jc w:val="left"/>
              <w:rPr>
                <w:rFonts w:hint="eastAsia" w:ascii="宋体" w:hAnsi="宋体" w:cs="宋体"/>
                <w:color w:val="auto"/>
                <w:highlight w:val="none"/>
                <w:lang w:val="zh-CN"/>
              </w:rPr>
            </w:pPr>
          </w:p>
        </w:tc>
      </w:tr>
      <w:tr w14:paraId="05144C41">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493F2ED1">
            <w:pPr>
              <w:autoSpaceDE w:val="0"/>
              <w:autoSpaceDN w:val="0"/>
              <w:adjustRightInd w:val="0"/>
              <w:jc w:val="center"/>
              <w:rPr>
                <w:rFonts w:hint="eastAsia" w:ascii="宋体" w:hAnsi="宋体" w:cs="宋体"/>
                <w:color w:val="auto"/>
                <w:highlight w:val="none"/>
                <w:lang w:val="zh-CN"/>
              </w:rPr>
            </w:pPr>
            <w:r>
              <w:rPr>
                <w:rFonts w:hint="eastAsia" w:ascii="宋体" w:hAnsi="宋体" w:cs="宋体"/>
                <w:color w:val="auto"/>
                <w:highlight w:val="none"/>
                <w:lang w:val="zh-CN"/>
              </w:rPr>
              <w:t>注册地址</w:t>
            </w:r>
          </w:p>
        </w:tc>
        <w:tc>
          <w:tcPr>
            <w:tcW w:w="7553" w:type="dxa"/>
            <w:gridSpan w:val="3"/>
            <w:tcBorders>
              <w:top w:val="single" w:color="auto" w:sz="6" w:space="0"/>
              <w:left w:val="single" w:color="auto" w:sz="6" w:space="0"/>
              <w:bottom w:val="single" w:color="auto" w:sz="6" w:space="0"/>
              <w:right w:val="single" w:color="auto" w:sz="6" w:space="0"/>
            </w:tcBorders>
          </w:tcPr>
          <w:p w14:paraId="17F3F540">
            <w:pPr>
              <w:autoSpaceDE w:val="0"/>
              <w:autoSpaceDN w:val="0"/>
              <w:adjustRightInd w:val="0"/>
              <w:jc w:val="left"/>
              <w:rPr>
                <w:rFonts w:hint="eastAsia" w:ascii="宋体" w:hAnsi="宋体" w:cs="宋体"/>
                <w:color w:val="auto"/>
                <w:highlight w:val="none"/>
                <w:lang w:val="zh-CN"/>
              </w:rPr>
            </w:pPr>
          </w:p>
        </w:tc>
      </w:tr>
      <w:tr w14:paraId="25FD5C6B">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76BE0F55">
            <w:pPr>
              <w:autoSpaceDE w:val="0"/>
              <w:autoSpaceDN w:val="0"/>
              <w:adjustRightInd w:val="0"/>
              <w:jc w:val="center"/>
              <w:rPr>
                <w:rFonts w:hint="eastAsia" w:ascii="宋体" w:hAnsi="宋体" w:cs="宋体"/>
                <w:color w:val="auto"/>
                <w:highlight w:val="none"/>
                <w:lang w:val="zh-CN"/>
              </w:rPr>
            </w:pPr>
            <w:r>
              <w:rPr>
                <w:rFonts w:hint="eastAsia" w:ascii="宋体" w:hAnsi="宋体" w:cs="宋体"/>
                <w:color w:val="auto"/>
                <w:highlight w:val="none"/>
                <w:lang w:val="zh-CN"/>
              </w:rPr>
              <w:t>经济类型</w:t>
            </w:r>
          </w:p>
        </w:tc>
        <w:tc>
          <w:tcPr>
            <w:tcW w:w="3468" w:type="dxa"/>
            <w:tcBorders>
              <w:top w:val="single" w:color="auto" w:sz="6" w:space="0"/>
              <w:left w:val="single" w:color="auto" w:sz="6" w:space="0"/>
              <w:bottom w:val="single" w:color="auto" w:sz="6" w:space="0"/>
              <w:right w:val="single" w:color="auto" w:sz="6" w:space="0"/>
            </w:tcBorders>
          </w:tcPr>
          <w:p w14:paraId="745F3925">
            <w:pPr>
              <w:autoSpaceDE w:val="0"/>
              <w:autoSpaceDN w:val="0"/>
              <w:adjustRightInd w:val="0"/>
              <w:jc w:val="left"/>
              <w:rPr>
                <w:rFonts w:hint="eastAsia" w:ascii="宋体" w:hAnsi="宋体" w:cs="宋体"/>
                <w:color w:val="auto"/>
                <w:highlight w:val="none"/>
                <w:lang w:val="zh-CN"/>
              </w:rPr>
            </w:pPr>
          </w:p>
        </w:tc>
        <w:tc>
          <w:tcPr>
            <w:tcW w:w="1277" w:type="dxa"/>
            <w:tcBorders>
              <w:top w:val="single" w:color="auto" w:sz="6" w:space="0"/>
              <w:left w:val="single" w:color="auto" w:sz="6" w:space="0"/>
              <w:bottom w:val="single" w:color="auto" w:sz="6" w:space="0"/>
              <w:right w:val="single" w:color="auto" w:sz="6" w:space="0"/>
            </w:tcBorders>
          </w:tcPr>
          <w:p w14:paraId="042037A8">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成立时间</w:t>
            </w:r>
          </w:p>
        </w:tc>
        <w:tc>
          <w:tcPr>
            <w:tcW w:w="2808" w:type="dxa"/>
            <w:tcBorders>
              <w:top w:val="single" w:color="auto" w:sz="6" w:space="0"/>
              <w:left w:val="single" w:color="auto" w:sz="6" w:space="0"/>
              <w:bottom w:val="single" w:color="auto" w:sz="6" w:space="0"/>
              <w:right w:val="single" w:color="auto" w:sz="6" w:space="0"/>
            </w:tcBorders>
          </w:tcPr>
          <w:p w14:paraId="6303DB35">
            <w:pPr>
              <w:autoSpaceDE w:val="0"/>
              <w:autoSpaceDN w:val="0"/>
              <w:adjustRightInd w:val="0"/>
              <w:jc w:val="left"/>
              <w:rPr>
                <w:rFonts w:hint="eastAsia" w:ascii="宋体" w:hAnsi="宋体" w:cs="宋体"/>
                <w:color w:val="auto"/>
                <w:highlight w:val="none"/>
                <w:lang w:val="zh-CN"/>
              </w:rPr>
            </w:pPr>
          </w:p>
        </w:tc>
      </w:tr>
      <w:tr w14:paraId="2FC41753">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4" w:space="0"/>
              <w:right w:val="single" w:color="auto" w:sz="6" w:space="0"/>
            </w:tcBorders>
            <w:vAlign w:val="center"/>
          </w:tcPr>
          <w:p w14:paraId="03CF3863">
            <w:pPr>
              <w:autoSpaceDE w:val="0"/>
              <w:autoSpaceDN w:val="0"/>
              <w:adjustRightInd w:val="0"/>
              <w:ind w:right="-107" w:rightChars="-51"/>
              <w:jc w:val="center"/>
              <w:rPr>
                <w:rFonts w:hint="eastAsia" w:ascii="宋体" w:hAnsi="宋体" w:cs="宋体"/>
                <w:color w:val="auto"/>
                <w:highlight w:val="none"/>
                <w:lang w:val="zh-CN"/>
              </w:rPr>
            </w:pPr>
            <w:r>
              <w:rPr>
                <w:rFonts w:hint="eastAsia" w:ascii="宋体" w:hAnsi="宋体" w:cs="宋体"/>
                <w:color w:val="auto"/>
                <w:highlight w:val="none"/>
                <w:lang w:val="zh-CN"/>
              </w:rPr>
              <w:t>法定代表人（单位负责人）</w:t>
            </w:r>
          </w:p>
        </w:tc>
        <w:tc>
          <w:tcPr>
            <w:tcW w:w="3468" w:type="dxa"/>
            <w:tcBorders>
              <w:top w:val="single" w:color="auto" w:sz="6" w:space="0"/>
              <w:left w:val="single" w:color="auto" w:sz="6" w:space="0"/>
              <w:bottom w:val="single" w:color="auto" w:sz="6" w:space="0"/>
              <w:right w:val="single" w:color="auto" w:sz="6" w:space="0"/>
            </w:tcBorders>
          </w:tcPr>
          <w:p w14:paraId="3FB2D454">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姓名</w:t>
            </w:r>
          </w:p>
        </w:tc>
        <w:tc>
          <w:tcPr>
            <w:tcW w:w="1277" w:type="dxa"/>
            <w:tcBorders>
              <w:top w:val="single" w:color="auto" w:sz="6" w:space="0"/>
              <w:left w:val="single" w:color="auto" w:sz="6" w:space="0"/>
              <w:bottom w:val="single" w:color="auto" w:sz="6" w:space="0"/>
              <w:right w:val="single" w:color="auto" w:sz="6" w:space="0"/>
            </w:tcBorders>
          </w:tcPr>
          <w:p w14:paraId="4A88745B">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职  务</w:t>
            </w:r>
          </w:p>
        </w:tc>
        <w:tc>
          <w:tcPr>
            <w:tcW w:w="2808" w:type="dxa"/>
            <w:tcBorders>
              <w:top w:val="single" w:color="auto" w:sz="6" w:space="0"/>
              <w:left w:val="single" w:color="auto" w:sz="6" w:space="0"/>
              <w:bottom w:val="single" w:color="auto" w:sz="6" w:space="0"/>
              <w:right w:val="single" w:color="auto" w:sz="6" w:space="0"/>
            </w:tcBorders>
          </w:tcPr>
          <w:p w14:paraId="6FE498BA">
            <w:pPr>
              <w:autoSpaceDE w:val="0"/>
              <w:autoSpaceDN w:val="0"/>
              <w:adjustRightInd w:val="0"/>
              <w:jc w:val="left"/>
              <w:rPr>
                <w:rFonts w:hint="eastAsia" w:ascii="宋体" w:hAnsi="宋体" w:cs="宋体"/>
                <w:color w:val="auto"/>
                <w:highlight w:val="none"/>
                <w:lang w:val="zh-CN"/>
              </w:rPr>
            </w:pPr>
          </w:p>
        </w:tc>
      </w:tr>
      <w:tr w14:paraId="3242EB24">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right w:val="single" w:color="auto" w:sz="6" w:space="0"/>
            </w:tcBorders>
            <w:vAlign w:val="center"/>
          </w:tcPr>
          <w:p w14:paraId="10BF9975">
            <w:pPr>
              <w:autoSpaceDE w:val="0"/>
              <w:autoSpaceDN w:val="0"/>
              <w:adjustRightInd w:val="0"/>
              <w:jc w:val="center"/>
              <w:rPr>
                <w:rFonts w:hint="eastAsia" w:ascii="宋体" w:hAnsi="宋体" w:cs="宋体"/>
                <w:color w:val="auto"/>
                <w:highlight w:val="none"/>
                <w:lang w:val="zh-CN"/>
              </w:rPr>
            </w:pPr>
            <w:r>
              <w:rPr>
                <w:rFonts w:hint="eastAsia" w:ascii="宋体" w:hAnsi="宋体" w:cs="宋体"/>
                <w:color w:val="auto"/>
                <w:highlight w:val="none"/>
                <w:lang w:val="zh-CN"/>
              </w:rPr>
              <w:t>工商登记</w:t>
            </w:r>
          </w:p>
        </w:tc>
        <w:tc>
          <w:tcPr>
            <w:tcW w:w="7553" w:type="dxa"/>
            <w:gridSpan w:val="3"/>
            <w:tcBorders>
              <w:top w:val="single" w:color="auto" w:sz="6" w:space="0"/>
              <w:left w:val="single" w:color="auto" w:sz="6" w:space="0"/>
              <w:bottom w:val="single" w:color="auto" w:sz="6" w:space="0"/>
              <w:right w:val="single" w:color="auto" w:sz="6" w:space="0"/>
            </w:tcBorders>
          </w:tcPr>
          <w:p w14:paraId="216EC9DD">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 xml:space="preserve">登记机关：                      注册资本金:                </w:t>
            </w:r>
          </w:p>
        </w:tc>
      </w:tr>
      <w:tr w14:paraId="3111FC90">
        <w:tblPrEx>
          <w:tblCellMar>
            <w:top w:w="0" w:type="dxa"/>
            <w:left w:w="108" w:type="dxa"/>
            <w:bottom w:w="0" w:type="dxa"/>
            <w:right w:w="108" w:type="dxa"/>
          </w:tblCellMar>
        </w:tblPrEx>
        <w:trPr>
          <w:trHeight w:val="691" w:hRule="exact"/>
        </w:trPr>
        <w:tc>
          <w:tcPr>
            <w:tcW w:w="1826" w:type="dxa"/>
            <w:vMerge w:val="continue"/>
            <w:tcBorders>
              <w:left w:val="single" w:color="auto" w:sz="6" w:space="0"/>
              <w:bottom w:val="single" w:color="auto" w:sz="6" w:space="0"/>
              <w:right w:val="single" w:color="auto" w:sz="6" w:space="0"/>
            </w:tcBorders>
            <w:vAlign w:val="center"/>
          </w:tcPr>
          <w:p w14:paraId="4C43A556">
            <w:pPr>
              <w:autoSpaceDE w:val="0"/>
              <w:autoSpaceDN w:val="0"/>
              <w:adjustRightInd w:val="0"/>
              <w:jc w:val="center"/>
              <w:rPr>
                <w:rFonts w:hint="eastAsia" w:ascii="宋体" w:hAnsi="宋体" w:cs="宋体"/>
                <w:color w:val="auto"/>
                <w:highlight w:val="none"/>
                <w:lang w:val="zh-CN"/>
              </w:rPr>
            </w:pPr>
          </w:p>
        </w:tc>
        <w:tc>
          <w:tcPr>
            <w:tcW w:w="7553" w:type="dxa"/>
            <w:gridSpan w:val="3"/>
            <w:tcBorders>
              <w:top w:val="single" w:color="auto" w:sz="6" w:space="0"/>
              <w:left w:val="single" w:color="auto" w:sz="6" w:space="0"/>
              <w:bottom w:val="single" w:color="auto" w:sz="6" w:space="0"/>
              <w:right w:val="single" w:color="auto" w:sz="6" w:space="0"/>
            </w:tcBorders>
          </w:tcPr>
          <w:p w14:paraId="5A2AA53D">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rPr>
              <w:t>统一社会信用代码</w:t>
            </w:r>
            <w:r>
              <w:rPr>
                <w:rFonts w:hint="eastAsia" w:ascii="宋体" w:hAnsi="宋体" w:cs="宋体"/>
                <w:color w:val="auto"/>
                <w:highlight w:val="none"/>
                <w:lang w:val="zh-CN"/>
              </w:rPr>
              <w:t xml:space="preserve">：                        </w:t>
            </w:r>
          </w:p>
        </w:tc>
      </w:tr>
      <w:tr w14:paraId="20339B4E">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right w:val="single" w:color="auto" w:sz="6" w:space="0"/>
            </w:tcBorders>
            <w:vAlign w:val="center"/>
          </w:tcPr>
          <w:p w14:paraId="1A12ED44">
            <w:pPr>
              <w:autoSpaceDE w:val="0"/>
              <w:autoSpaceDN w:val="0"/>
              <w:adjustRightInd w:val="0"/>
              <w:jc w:val="center"/>
              <w:rPr>
                <w:rFonts w:hint="eastAsia" w:ascii="宋体" w:hAnsi="宋体" w:cs="宋体"/>
                <w:color w:val="auto"/>
                <w:highlight w:val="none"/>
                <w:lang w:val="zh-CN"/>
              </w:rPr>
            </w:pPr>
            <w:r>
              <w:rPr>
                <w:rFonts w:hint="eastAsia" w:ascii="宋体" w:hAnsi="宋体" w:cs="宋体"/>
                <w:color w:val="auto"/>
                <w:highlight w:val="none"/>
                <w:lang w:val="zh-CN"/>
              </w:rPr>
              <w:t>经营范围</w:t>
            </w:r>
          </w:p>
        </w:tc>
        <w:tc>
          <w:tcPr>
            <w:tcW w:w="7553" w:type="dxa"/>
            <w:gridSpan w:val="3"/>
            <w:tcBorders>
              <w:top w:val="single" w:color="auto" w:sz="6" w:space="0"/>
              <w:left w:val="single" w:color="auto" w:sz="6" w:space="0"/>
              <w:bottom w:val="single" w:color="auto" w:sz="4" w:space="0"/>
              <w:right w:val="single" w:color="auto" w:sz="6" w:space="0"/>
            </w:tcBorders>
          </w:tcPr>
          <w:p w14:paraId="63251215">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 xml:space="preserve">主营：                        </w:t>
            </w:r>
          </w:p>
        </w:tc>
      </w:tr>
      <w:tr w14:paraId="396F3B47">
        <w:tblPrEx>
          <w:tblCellMar>
            <w:top w:w="0" w:type="dxa"/>
            <w:left w:w="108" w:type="dxa"/>
            <w:bottom w:w="0" w:type="dxa"/>
            <w:right w:w="108" w:type="dxa"/>
          </w:tblCellMar>
        </w:tblPrEx>
        <w:trPr>
          <w:trHeight w:val="691" w:hRule="exact"/>
        </w:trPr>
        <w:tc>
          <w:tcPr>
            <w:tcW w:w="1826" w:type="dxa"/>
            <w:vMerge w:val="continue"/>
            <w:tcBorders>
              <w:left w:val="single" w:color="auto" w:sz="6" w:space="0"/>
              <w:bottom w:val="single" w:color="auto" w:sz="6" w:space="0"/>
              <w:right w:val="single" w:color="auto" w:sz="6" w:space="0"/>
            </w:tcBorders>
            <w:vAlign w:val="center"/>
          </w:tcPr>
          <w:p w14:paraId="76D9B37C">
            <w:pPr>
              <w:autoSpaceDE w:val="0"/>
              <w:autoSpaceDN w:val="0"/>
              <w:adjustRightInd w:val="0"/>
              <w:jc w:val="center"/>
              <w:rPr>
                <w:rFonts w:hint="eastAsia" w:ascii="宋体" w:hAnsi="宋体" w:cs="宋体"/>
                <w:color w:val="auto"/>
                <w:highlight w:val="none"/>
                <w:lang w:val="zh-CN"/>
              </w:rPr>
            </w:pPr>
          </w:p>
        </w:tc>
        <w:tc>
          <w:tcPr>
            <w:tcW w:w="7553" w:type="dxa"/>
            <w:gridSpan w:val="3"/>
            <w:tcBorders>
              <w:top w:val="single" w:color="auto" w:sz="4" w:space="0"/>
              <w:left w:val="single" w:color="auto" w:sz="6" w:space="0"/>
              <w:bottom w:val="single" w:color="auto" w:sz="6" w:space="0"/>
              <w:right w:val="single" w:color="auto" w:sz="6" w:space="0"/>
            </w:tcBorders>
          </w:tcPr>
          <w:p w14:paraId="18C78613">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兼营：</w:t>
            </w:r>
          </w:p>
        </w:tc>
      </w:tr>
      <w:tr w14:paraId="2C7BEA01">
        <w:tblPrEx>
          <w:tblCellMar>
            <w:top w:w="0" w:type="dxa"/>
            <w:left w:w="108" w:type="dxa"/>
            <w:bottom w:w="0" w:type="dxa"/>
            <w:right w:w="108" w:type="dxa"/>
          </w:tblCellMar>
        </w:tblPrEx>
        <w:trPr>
          <w:trHeight w:val="1088" w:hRule="exact"/>
        </w:trPr>
        <w:tc>
          <w:tcPr>
            <w:tcW w:w="1826" w:type="dxa"/>
            <w:tcBorders>
              <w:left w:val="single" w:color="auto" w:sz="6" w:space="0"/>
              <w:bottom w:val="single" w:color="auto" w:sz="6" w:space="0"/>
              <w:right w:val="single" w:color="auto" w:sz="6" w:space="0"/>
            </w:tcBorders>
            <w:vAlign w:val="center"/>
          </w:tcPr>
          <w:p w14:paraId="7B41EB5B">
            <w:pPr>
              <w:autoSpaceDE w:val="0"/>
              <w:autoSpaceDN w:val="0"/>
              <w:adjustRightInd w:val="0"/>
              <w:ind w:leftChars="-85" w:right="-107" w:rightChars="-51" w:hanging="178" w:hangingChars="85"/>
              <w:jc w:val="center"/>
              <w:rPr>
                <w:rFonts w:hint="eastAsia" w:ascii="宋体" w:hAnsi="宋体" w:cs="宋体"/>
                <w:color w:val="auto"/>
                <w:highlight w:val="none"/>
                <w:lang w:val="zh-CN"/>
              </w:rPr>
            </w:pPr>
            <w:r>
              <w:rPr>
                <w:rFonts w:hint="eastAsia" w:ascii="宋体" w:hAnsi="宋体" w:cs="宋体"/>
                <w:color w:val="auto"/>
                <w:highlight w:val="none"/>
                <w:lang w:val="zh-CN"/>
              </w:rPr>
              <w:t>企业详细地址</w:t>
            </w: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2AEEF6B9">
            <w:pPr>
              <w:autoSpaceDE w:val="0"/>
              <w:autoSpaceDN w:val="0"/>
              <w:adjustRightInd w:val="0"/>
              <w:jc w:val="left"/>
              <w:rPr>
                <w:rFonts w:hint="eastAsia" w:ascii="宋体" w:hAnsi="宋体" w:cs="宋体"/>
                <w:color w:val="auto"/>
                <w:highlight w:val="none"/>
                <w:lang w:val="zh-CN"/>
              </w:rPr>
            </w:pPr>
            <w:r>
              <w:rPr>
                <w:rFonts w:hint="eastAsia" w:ascii="宋体" w:hAnsi="宋体" w:cs="宋体"/>
                <w:color w:val="auto"/>
                <w:highlight w:val="none"/>
                <w:lang w:val="zh-CN"/>
              </w:rPr>
              <w:t xml:space="preserve">      省    市    区    路     号</w:t>
            </w:r>
          </w:p>
        </w:tc>
      </w:tr>
      <w:tr w14:paraId="0FC8DDC7">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bottom w:val="single" w:color="auto" w:sz="6" w:space="0"/>
              <w:right w:val="single" w:color="auto" w:sz="6" w:space="0"/>
            </w:tcBorders>
            <w:vAlign w:val="center"/>
          </w:tcPr>
          <w:p w14:paraId="28CCF731">
            <w:pPr>
              <w:autoSpaceDE w:val="0"/>
              <w:autoSpaceDN w:val="0"/>
              <w:adjustRightInd w:val="0"/>
              <w:jc w:val="center"/>
              <w:rPr>
                <w:rFonts w:hint="eastAsia" w:ascii="宋体" w:hAnsi="宋体" w:cs="宋体"/>
                <w:color w:val="auto"/>
                <w:highlight w:val="none"/>
                <w:lang w:val="zh-CN"/>
              </w:rPr>
            </w:pPr>
            <w:r>
              <w:rPr>
                <w:rFonts w:hint="eastAsia" w:ascii="宋体" w:hAnsi="宋体" w:cs="宋体"/>
                <w:color w:val="auto"/>
                <w:highlight w:val="none"/>
                <w:lang w:val="zh-CN"/>
              </w:rPr>
              <w:t>通信联系</w:t>
            </w: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5A33C992">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rPr>
              <w:t>企业</w:t>
            </w:r>
            <w:r>
              <w:rPr>
                <w:rFonts w:hint="eastAsia" w:ascii="宋体" w:hAnsi="宋体" w:cs="宋体"/>
                <w:color w:val="auto"/>
                <w:highlight w:val="none"/>
              </w:rPr>
              <w:t>联系电话：</w:t>
            </w:r>
            <w:r>
              <w:rPr>
                <w:rFonts w:hint="eastAsia" w:ascii="宋体" w:hAnsi="宋体" w:cs="宋体"/>
                <w:color w:val="auto"/>
                <w:highlight w:val="none"/>
                <w:lang w:val="zh-CN"/>
              </w:rPr>
              <w:t xml:space="preserve">                传真:             电子邮箱:</w:t>
            </w:r>
          </w:p>
        </w:tc>
      </w:tr>
      <w:tr w14:paraId="5164C3E6">
        <w:tblPrEx>
          <w:tblCellMar>
            <w:top w:w="0" w:type="dxa"/>
            <w:left w:w="108" w:type="dxa"/>
            <w:bottom w:w="0" w:type="dxa"/>
            <w:right w:w="108" w:type="dxa"/>
          </w:tblCellMar>
        </w:tblPrEx>
        <w:trPr>
          <w:trHeight w:val="706" w:hRule="exact"/>
        </w:trPr>
        <w:tc>
          <w:tcPr>
            <w:tcW w:w="1826" w:type="dxa"/>
            <w:vMerge w:val="continue"/>
            <w:tcBorders>
              <w:top w:val="single" w:color="auto" w:sz="6" w:space="0"/>
              <w:left w:val="single" w:color="auto" w:sz="6" w:space="0"/>
              <w:bottom w:val="single" w:color="auto" w:sz="6" w:space="0"/>
              <w:right w:val="single" w:color="auto" w:sz="6" w:space="0"/>
            </w:tcBorders>
            <w:vAlign w:val="center"/>
          </w:tcPr>
          <w:p w14:paraId="27F0D8D0">
            <w:pPr>
              <w:autoSpaceDE w:val="0"/>
              <w:autoSpaceDN w:val="0"/>
              <w:adjustRightInd w:val="0"/>
              <w:jc w:val="center"/>
              <w:rPr>
                <w:rFonts w:hint="eastAsia" w:ascii="宋体" w:hAnsi="宋体" w:cs="宋体"/>
                <w:color w:val="auto"/>
                <w:highlight w:val="none"/>
                <w:lang w:val="zh-CN"/>
              </w:rPr>
            </w:pP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5DBA5BE8">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rPr>
              <w:t>业务联系人：              电话：</w:t>
            </w:r>
          </w:p>
        </w:tc>
      </w:tr>
    </w:tbl>
    <w:p w14:paraId="21BC289F">
      <w:pPr>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后附：营业执照、资质证书</w:t>
      </w:r>
      <w:r>
        <w:rPr>
          <w:rFonts w:hint="eastAsia" w:ascii="宋体" w:hAnsi="宋体" w:cs="宋体"/>
          <w:bCs/>
          <w:color w:val="auto"/>
          <w:kern w:val="0"/>
          <w:sz w:val="24"/>
          <w:szCs w:val="24"/>
          <w:highlight w:val="none"/>
        </w:rPr>
        <w:t>或</w:t>
      </w:r>
      <w:r>
        <w:rPr>
          <w:rFonts w:hint="eastAsia" w:ascii="宋体" w:hAnsi="宋体" w:cs="宋体"/>
          <w:color w:val="auto"/>
          <w:sz w:val="24"/>
          <w:szCs w:val="24"/>
          <w:highlight w:val="none"/>
        </w:rPr>
        <w:t>其他证明材料等清晰扫描件</w:t>
      </w:r>
    </w:p>
    <w:p w14:paraId="4A6F1BFA">
      <w:pPr>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供应商：(盖单位公章)</w:t>
      </w:r>
    </w:p>
    <w:p w14:paraId="239112D9">
      <w:pPr>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或授权代理人：（</w:t>
      </w:r>
      <w:r>
        <w:rPr>
          <w:rFonts w:hint="eastAsia" w:ascii="宋体" w:hAnsi="宋体" w:cs="宋体"/>
          <w:color w:val="auto"/>
          <w:sz w:val="24"/>
          <w:highlight w:val="none"/>
        </w:rPr>
        <w:t>签字或签章</w:t>
      </w:r>
      <w:r>
        <w:rPr>
          <w:rFonts w:hint="eastAsia" w:ascii="宋体" w:hAnsi="宋体" w:cs="宋体"/>
          <w:color w:val="auto"/>
          <w:sz w:val="24"/>
          <w:szCs w:val="24"/>
          <w:highlight w:val="none"/>
        </w:rPr>
        <w:t>）</w:t>
      </w:r>
    </w:p>
    <w:p w14:paraId="0F8CDE2F">
      <w:pPr>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A347243">
      <w:pPr>
        <w:spacing w:line="400" w:lineRule="exact"/>
        <w:ind w:firstLine="480" w:firstLineChars="200"/>
        <w:jc w:val="left"/>
        <w:rPr>
          <w:rFonts w:hint="eastAsia" w:ascii="宋体" w:hAnsi="宋体" w:cs="宋体"/>
          <w:color w:val="auto"/>
          <w:sz w:val="24"/>
          <w:szCs w:val="24"/>
          <w:highlight w:val="none"/>
        </w:rPr>
      </w:pPr>
    </w:p>
    <w:p w14:paraId="39104F3B">
      <w:pPr>
        <w:spacing w:line="400" w:lineRule="exact"/>
        <w:ind w:firstLine="480" w:firstLineChars="200"/>
        <w:jc w:val="left"/>
        <w:rPr>
          <w:rFonts w:hint="eastAsia" w:ascii="宋体" w:hAnsi="宋体" w:cs="宋体"/>
          <w:color w:val="auto"/>
          <w:sz w:val="24"/>
          <w:szCs w:val="24"/>
          <w:highlight w:val="none"/>
        </w:rPr>
      </w:pPr>
    </w:p>
    <w:p w14:paraId="41BC4A93">
      <w:pPr>
        <w:spacing w:line="400" w:lineRule="exact"/>
        <w:ind w:firstLine="480" w:firstLineChars="200"/>
        <w:jc w:val="left"/>
        <w:rPr>
          <w:rFonts w:hint="eastAsia" w:ascii="宋体" w:hAnsi="宋体" w:cs="宋体"/>
          <w:color w:val="auto"/>
          <w:sz w:val="24"/>
          <w:szCs w:val="24"/>
          <w:highlight w:val="none"/>
        </w:rPr>
      </w:pPr>
    </w:p>
    <w:p w14:paraId="6F85AF75">
      <w:pPr>
        <w:spacing w:line="400" w:lineRule="exact"/>
        <w:jc w:val="left"/>
        <w:rPr>
          <w:rFonts w:hint="eastAsia" w:ascii="宋体" w:hAnsi="宋体" w:cs="宋体"/>
          <w:color w:val="auto"/>
          <w:sz w:val="24"/>
          <w:szCs w:val="24"/>
          <w:highlight w:val="none"/>
        </w:rPr>
      </w:pPr>
    </w:p>
    <w:p w14:paraId="76A91556">
      <w:pPr>
        <w:spacing w:line="400" w:lineRule="exact"/>
        <w:ind w:firstLine="480" w:firstLineChars="200"/>
        <w:jc w:val="left"/>
        <w:rPr>
          <w:rFonts w:hint="eastAsia" w:ascii="宋体" w:hAnsi="宋体" w:cs="宋体"/>
          <w:color w:val="auto"/>
          <w:sz w:val="24"/>
          <w:szCs w:val="24"/>
          <w:highlight w:val="none"/>
        </w:rPr>
      </w:pPr>
    </w:p>
    <w:p w14:paraId="4FA46B91">
      <w:pPr>
        <w:pStyle w:val="43"/>
        <w:rPr>
          <w:rFonts w:hint="eastAsia" w:ascii="宋体" w:hAnsi="宋体" w:cs="宋体"/>
          <w:color w:val="auto"/>
          <w:szCs w:val="24"/>
          <w:highlight w:val="none"/>
        </w:rPr>
      </w:pPr>
    </w:p>
    <w:p w14:paraId="71BF8618">
      <w:pPr>
        <w:rPr>
          <w:rFonts w:hint="eastAsia" w:ascii="宋体" w:hAnsi="宋体" w:cs="宋体"/>
          <w:color w:val="auto"/>
          <w:highlight w:val="none"/>
        </w:rPr>
      </w:pPr>
    </w:p>
    <w:p w14:paraId="5B88408D">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2.供应商资格声明函</w:t>
      </w:r>
    </w:p>
    <w:p w14:paraId="1521488D">
      <w:pPr>
        <w:spacing w:before="156" w:beforeLines="50" w:after="156" w:afterLines="50"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（采购人、代理机构）   </w:t>
      </w:r>
    </w:p>
    <w:p w14:paraId="38E90F35">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关于贵公司</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 xml:space="preserve">日发布 </w:t>
      </w:r>
      <w:r>
        <w:rPr>
          <w:rFonts w:hint="eastAsia" w:ascii="宋体" w:hAnsi="宋体" w:cs="宋体"/>
          <w:color w:val="auto"/>
          <w:sz w:val="24"/>
          <w:szCs w:val="24"/>
          <w:highlight w:val="none"/>
          <w:u w:val="single"/>
        </w:rPr>
        <w:t xml:space="preserve">（项目名称）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的询比采购公告，本公司（企业）愿意参加询比，并声明：</w:t>
      </w:r>
    </w:p>
    <w:p w14:paraId="5FF930C1">
      <w:pPr>
        <w:tabs>
          <w:tab w:val="left" w:pos="851"/>
        </w:tabs>
        <w:adjustRightInd w:val="0"/>
        <w:snapToGrid w:val="0"/>
        <w:spacing w:line="440" w:lineRule="exact"/>
        <w:ind w:left="424"/>
        <w:rPr>
          <w:rFonts w:hint="eastAsia" w:ascii="宋体" w:hAnsi="宋体" w:cs="宋体"/>
          <w:bCs/>
          <w:color w:val="auto"/>
          <w:sz w:val="24"/>
          <w:szCs w:val="24"/>
          <w:highlight w:val="none"/>
        </w:rPr>
      </w:pPr>
      <w:r>
        <w:rPr>
          <w:rFonts w:hint="eastAsia" w:ascii="宋体" w:hAnsi="宋体" w:cs="宋体"/>
          <w:color w:val="auto"/>
          <w:sz w:val="24"/>
          <w:szCs w:val="24"/>
          <w:highlight w:val="none"/>
        </w:rPr>
        <w:t>一、本公司（企业）</w:t>
      </w:r>
      <w:r>
        <w:rPr>
          <w:rFonts w:hint="eastAsia" w:ascii="宋体" w:hAnsi="宋体" w:cs="宋体"/>
          <w:bCs/>
          <w:color w:val="auto"/>
          <w:sz w:val="24"/>
          <w:szCs w:val="24"/>
          <w:highlight w:val="none"/>
        </w:rPr>
        <w:t>具备《中华人民共和国政府采购法》第二十二条规定及《中华人民共和国政府采购法实施条例》第十七条的相关要求：</w:t>
      </w:r>
    </w:p>
    <w:p w14:paraId="75D04768">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14:paraId="5250652E">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（二）具有良好的商业信誉和健全的财务会计制度； </w:t>
      </w:r>
    </w:p>
    <w:p w14:paraId="71466E0C">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14:paraId="35F8C87B">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14:paraId="242FF5EB">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14:paraId="5EFA0D0A">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（六）法律、行政法规规定的其他条件。</w:t>
      </w:r>
    </w:p>
    <w:p w14:paraId="39D31C37">
      <w:pPr>
        <w:adjustRightInd w:val="0"/>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本公司（企业）的单位负责人与所参投的本采购项目包组的其他供应商的单位负责人不为同一人且与其他供应商之间不存在直接控股、管理关系。</w:t>
      </w:r>
    </w:p>
    <w:p w14:paraId="72EE2CD0">
      <w:pPr>
        <w:adjustRightInd w:val="0"/>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参照《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363A28AA">
      <w:pPr>
        <w:adjustRightInd w:val="0"/>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本公司（企业）承诺在“信用中国”网站(www.creditchina.gov.cn)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r>
        <w:rPr>
          <w:rFonts w:hint="eastAsia" w:ascii="宋体" w:hAnsi="宋体" w:cs="宋体"/>
          <w:bCs/>
          <w:color w:val="auto"/>
          <w:sz w:val="24"/>
          <w:szCs w:val="24"/>
          <w:highlight w:val="none"/>
        </w:rPr>
        <w:t>；</w:t>
      </w:r>
    </w:p>
    <w:p w14:paraId="7036DA65">
      <w:pPr>
        <w:adjustRightInd w:val="0"/>
        <w:snapToGrid w:val="0"/>
        <w:spacing w:line="44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本公司（企业）承诺在本次采购采购活动中，如有违法、违规、弄虚作假行为，所造成的损失、不良后果及法律责任，一律由我公司（企业）承担。</w:t>
      </w:r>
    </w:p>
    <w:p w14:paraId="03655054">
      <w:pPr>
        <w:spacing w:line="4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60C74EE6">
      <w:pPr>
        <w:numPr>
          <w:ilvl w:val="0"/>
          <w:numId w:val="7"/>
        </w:numPr>
        <w:autoSpaceDE w:val="0"/>
        <w:autoSpaceDN w:val="0"/>
        <w:adjustRightIn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本声明函必须提供且内容不得擅自删改，否则视为无效投标。</w:t>
      </w:r>
    </w:p>
    <w:p w14:paraId="592ACA16">
      <w:pPr>
        <w:numPr>
          <w:ilvl w:val="0"/>
          <w:numId w:val="7"/>
        </w:num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本声明函如有虚假或与事实不符的，作无效投标处理。</w:t>
      </w:r>
    </w:p>
    <w:p w14:paraId="5997837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（盖章）</w:t>
      </w:r>
    </w:p>
    <w:p w14:paraId="249C0F8E">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或授权委托人：</w:t>
      </w:r>
      <w:r>
        <w:rPr>
          <w:rFonts w:hint="eastAsia" w:ascii="宋体" w:hAnsi="宋体" w:cs="宋体"/>
          <w:color w:val="auto"/>
          <w:sz w:val="24"/>
          <w:szCs w:val="24"/>
          <w:highlight w:val="none"/>
          <w:u w:val="single"/>
        </w:rPr>
        <w:t xml:space="preserve">          （签字或签章）</w:t>
      </w:r>
    </w:p>
    <w:p w14:paraId="120D767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9861F00">
      <w:pPr>
        <w:spacing w:line="360" w:lineRule="auto"/>
        <w:jc w:val="center"/>
        <w:rPr>
          <w:rFonts w:hint="eastAsia" w:ascii="宋体" w:hAnsi="宋体" w:cs="宋体"/>
          <w:color w:val="auto"/>
          <w:sz w:val="28"/>
          <w:szCs w:val="28"/>
          <w:highlight w:val="none"/>
        </w:rPr>
      </w:pPr>
    </w:p>
    <w:p w14:paraId="19601B31">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3、资格证明材料</w:t>
      </w:r>
    </w:p>
    <w:p w14:paraId="16FFF8A0">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中未被列入：政府采购严重违法失信行为记录名单；（供应商自拟格式承诺以上内容，加盖供应商公章在响应文件中提供，若供应商如存在查证的以上相关记录，采购人有权取消其竞标（成交）资格）；</w:t>
      </w:r>
    </w:p>
    <w:p w14:paraId="74F1D316">
      <w:pPr>
        <w:snapToGrid w:val="0"/>
        <w:spacing w:line="360" w:lineRule="auto"/>
        <w:contextualSpacing/>
        <w:rPr>
          <w:rFonts w:hint="eastAsia" w:ascii="宋体" w:hAnsi="宋体" w:cs="宋体"/>
          <w:b/>
          <w:bCs/>
          <w:color w:val="auto"/>
          <w:sz w:val="30"/>
          <w:szCs w:val="30"/>
          <w:highlight w:val="none"/>
        </w:rPr>
      </w:pPr>
    </w:p>
    <w:p w14:paraId="7C3BDF56">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4、中小企业声明函</w:t>
      </w:r>
    </w:p>
    <w:p w14:paraId="1FF3D942">
      <w:pPr>
        <w:spacing w:line="360" w:lineRule="auto"/>
        <w:jc w:val="center"/>
        <w:rPr>
          <w:rFonts w:hint="eastAsia" w:ascii="宋体" w:hAnsi="宋体" w:cs="宋体"/>
          <w:b/>
          <w:bCs/>
          <w:color w:val="auto"/>
          <w:sz w:val="30"/>
          <w:szCs w:val="30"/>
          <w:highlight w:val="none"/>
        </w:rPr>
      </w:pPr>
      <w:r>
        <w:rPr>
          <w:rFonts w:hint="eastAsia" w:ascii="宋体" w:hAnsi="宋体" w:cs="宋体"/>
          <w:color w:val="auto"/>
          <w:szCs w:val="24"/>
          <w:highlight w:val="none"/>
        </w:rPr>
        <w:t>（不属于中小企业的无需提供）</w:t>
      </w:r>
    </w:p>
    <w:p w14:paraId="68E28BEC">
      <w:pPr>
        <w:adjustRightInd w:val="0"/>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一、在采购项目中，服务由中小企业承建，即服务单位为中小企业；可享受本办法规定的中小企业扶持政策：</w:t>
      </w:r>
    </w:p>
    <w:p w14:paraId="561EB97F">
      <w:pPr>
        <w:autoSpaceDE w:val="0"/>
        <w:autoSpaceDN w:val="0"/>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附：中小企业声明函（服务）格式：</w:t>
      </w:r>
    </w:p>
    <w:p w14:paraId="73BF1207">
      <w:pPr>
        <w:autoSpaceDE w:val="0"/>
        <w:autoSpaceDN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中小企业声明函（服务）</w:t>
      </w:r>
    </w:p>
    <w:p w14:paraId="04238F08">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本公司郑重声明，根据《政府采购促进中小企业发展管理办法》（财库﹝2020﹞46号）的规定，本公司参加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采购活动，工程的施工单位全部为符合政策要求的中小企业。相关企业的具体情况如下：</w:t>
      </w:r>
    </w:p>
    <w:p w14:paraId="6332DC61">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万元（从业人员、营业收入、资产总额填报上一年度数据，无上一年度数据的新成立企业可不填报。），属于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14:paraId="313D511A">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185D2073">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47B292A0">
      <w:pPr>
        <w:autoSpaceDE w:val="0"/>
        <w:autoSpaceDN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28AFDC78">
      <w:pPr>
        <w:autoSpaceDE w:val="0"/>
        <w:autoSpaceDN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企业名称（盖章）：</w:t>
      </w:r>
    </w:p>
    <w:p w14:paraId="7DA9A0FC">
      <w:pPr>
        <w:autoSpaceDE w:val="0"/>
        <w:autoSpaceDN w:val="0"/>
        <w:spacing w:line="44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6F91E8FE">
      <w:pPr>
        <w:autoSpaceDE w:val="0"/>
        <w:autoSpaceDN w:val="0"/>
        <w:spacing w:line="440" w:lineRule="exact"/>
        <w:ind w:firstLine="472" w:firstLineChars="196"/>
        <w:rPr>
          <w:rFonts w:hint="eastAsia" w:ascii="宋体" w:hAnsi="宋体" w:cs="宋体"/>
          <w:b/>
          <w:color w:val="auto"/>
          <w:kern w:val="0"/>
          <w:sz w:val="24"/>
          <w:szCs w:val="24"/>
          <w:highlight w:val="none"/>
          <w:lang w:bidi="en-US"/>
        </w:rPr>
      </w:pPr>
    </w:p>
    <w:p w14:paraId="4BA44572">
      <w:pPr>
        <w:autoSpaceDE w:val="0"/>
        <w:autoSpaceDN w:val="0"/>
        <w:spacing w:line="440" w:lineRule="exact"/>
        <w:ind w:firstLine="472" w:firstLineChars="196"/>
        <w:rPr>
          <w:rFonts w:hint="eastAsia" w:ascii="宋体" w:hAnsi="宋体" w:cs="宋体"/>
          <w:b/>
          <w:color w:val="auto"/>
          <w:kern w:val="0"/>
          <w:sz w:val="24"/>
          <w:szCs w:val="24"/>
          <w:highlight w:val="none"/>
          <w:lang w:bidi="en-US"/>
        </w:rPr>
      </w:pPr>
    </w:p>
    <w:p w14:paraId="7808F2EA">
      <w:pPr>
        <w:autoSpaceDE w:val="0"/>
        <w:autoSpaceDN w:val="0"/>
        <w:spacing w:line="440" w:lineRule="exact"/>
        <w:ind w:firstLine="472" w:firstLineChars="196"/>
        <w:rPr>
          <w:rFonts w:hint="eastAsia" w:ascii="宋体" w:hAnsi="宋体" w:cs="宋体"/>
          <w:b/>
          <w:color w:val="auto"/>
          <w:kern w:val="0"/>
          <w:sz w:val="24"/>
          <w:szCs w:val="24"/>
          <w:highlight w:val="none"/>
          <w:lang w:bidi="en-US"/>
        </w:rPr>
      </w:pPr>
    </w:p>
    <w:p w14:paraId="0A5BE64F">
      <w:pPr>
        <w:rPr>
          <w:rFonts w:hint="eastAsia" w:ascii="宋体" w:hAnsi="宋体" w:cs="宋体"/>
          <w:color w:val="auto"/>
          <w:highlight w:val="none"/>
          <w:lang w:bidi="en-US"/>
        </w:rPr>
      </w:pPr>
    </w:p>
    <w:p w14:paraId="029F1C60">
      <w:pPr>
        <w:autoSpaceDE w:val="0"/>
        <w:autoSpaceDN w:val="0"/>
        <w:spacing w:line="440" w:lineRule="exact"/>
        <w:ind w:firstLine="472" w:firstLineChars="196"/>
        <w:rPr>
          <w:rFonts w:hint="eastAsia" w:ascii="宋体" w:hAnsi="宋体" w:cs="宋体"/>
          <w:color w:val="auto"/>
          <w:sz w:val="24"/>
          <w:szCs w:val="24"/>
          <w:highlight w:val="none"/>
          <w:u w:val="single"/>
        </w:rPr>
      </w:pPr>
      <w:r>
        <w:rPr>
          <w:rFonts w:hint="eastAsia" w:ascii="宋体" w:hAnsi="宋体" w:cs="宋体"/>
          <w:b/>
          <w:color w:val="auto"/>
          <w:kern w:val="0"/>
          <w:sz w:val="24"/>
          <w:szCs w:val="24"/>
          <w:highlight w:val="none"/>
          <w:lang w:bidi="en-US"/>
        </w:rPr>
        <w:t>二、</w:t>
      </w:r>
      <w:r>
        <w:rPr>
          <w:rFonts w:hint="eastAsia" w:ascii="宋体" w:hAnsi="宋体" w:cs="宋体"/>
          <w:b/>
          <w:color w:val="auto"/>
          <w:sz w:val="24"/>
          <w:szCs w:val="24"/>
          <w:highlight w:val="none"/>
        </w:rPr>
        <w:t>根据财政部、司法部关于政府采购支持监狱企业发展有关问题的通知（财库[2014]68号），监狱企业视同小型、微型企业，享受小型、微型企业评审中价格扣除的政府采购政策；</w:t>
      </w:r>
    </w:p>
    <w:p w14:paraId="2D1040C7">
      <w:pPr>
        <w:autoSpaceDE w:val="0"/>
        <w:autoSpaceDN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监狱企业证明函</w:t>
      </w:r>
    </w:p>
    <w:p w14:paraId="6391EB15">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本公司郑重声明，根据《财政部司法部关于政府采购支持监狱企业发展有关问题的通知》（财库[2014]68号）的规定，本公司为监狱企业。</w:t>
      </w:r>
    </w:p>
    <w:p w14:paraId="6FF47ED6">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省级以上监狱管理局、戒毒管理局（含新疆生产建设兵团）（盖章）：</w:t>
      </w:r>
    </w:p>
    <w:p w14:paraId="11B2BB66">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供应商名称（盖章）：</w:t>
      </w:r>
    </w:p>
    <w:p w14:paraId="10CC0203">
      <w:pPr>
        <w:autoSpaceDE w:val="0"/>
        <w:autoSpaceDN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7D75EB47">
      <w:pPr>
        <w:autoSpaceDE w:val="0"/>
        <w:autoSpaceDN w:val="0"/>
        <w:spacing w:line="440" w:lineRule="exact"/>
        <w:ind w:firstLine="480" w:firstLineChars="200"/>
        <w:rPr>
          <w:rFonts w:hint="eastAsia" w:ascii="宋体" w:hAnsi="宋体" w:cs="宋体"/>
          <w:color w:val="auto"/>
          <w:sz w:val="24"/>
          <w:szCs w:val="24"/>
          <w:highlight w:val="none"/>
        </w:rPr>
      </w:pPr>
    </w:p>
    <w:p w14:paraId="2FCFF9DB">
      <w:pPr>
        <w:pStyle w:val="43"/>
        <w:rPr>
          <w:rFonts w:hint="eastAsia" w:ascii="宋体" w:hAnsi="宋体" w:cs="宋体"/>
          <w:color w:val="auto"/>
          <w:szCs w:val="24"/>
          <w:highlight w:val="none"/>
        </w:rPr>
      </w:pPr>
    </w:p>
    <w:p w14:paraId="58B11229">
      <w:pPr>
        <w:rPr>
          <w:rFonts w:hint="eastAsia" w:ascii="宋体" w:hAnsi="宋体" w:cs="宋体"/>
          <w:color w:val="auto"/>
          <w:sz w:val="24"/>
          <w:szCs w:val="24"/>
          <w:highlight w:val="none"/>
        </w:rPr>
      </w:pPr>
    </w:p>
    <w:p w14:paraId="1C12934D">
      <w:pPr>
        <w:autoSpaceDE w:val="0"/>
        <w:autoSpaceDN w:val="0"/>
        <w:spacing w:line="440" w:lineRule="exact"/>
        <w:ind w:firstLine="472" w:firstLineChars="196"/>
        <w:rPr>
          <w:rFonts w:hint="eastAsia" w:ascii="宋体" w:hAnsi="宋体" w:cs="宋体"/>
          <w:b/>
          <w:bCs/>
          <w:color w:val="auto"/>
          <w:sz w:val="24"/>
          <w:szCs w:val="24"/>
          <w:highlight w:val="none"/>
        </w:rPr>
      </w:pPr>
      <w:r>
        <w:rPr>
          <w:rFonts w:hint="eastAsia" w:ascii="宋体" w:hAnsi="宋体" w:cs="宋体"/>
          <w:b/>
          <w:color w:val="auto"/>
          <w:kern w:val="0"/>
          <w:sz w:val="24"/>
          <w:szCs w:val="24"/>
          <w:highlight w:val="none"/>
          <w:lang w:bidi="en-US"/>
        </w:rPr>
        <w:t>三、</w:t>
      </w:r>
      <w:r>
        <w:rPr>
          <w:rFonts w:hint="eastAsia" w:ascii="宋体" w:hAnsi="宋体" w:cs="宋体"/>
          <w:b/>
          <w:bCs/>
          <w:color w:val="auto"/>
          <w:sz w:val="24"/>
          <w:szCs w:val="24"/>
          <w:highlight w:val="none"/>
        </w:rPr>
        <w:t>根据《三部门联合发布关于促进残疾人就业政府采购政策的通知》（财库〔2017〕141号）残疾人福利性单位视同小型、微型企业，享受预留份额、评审中价格扣除等促进中小企业发展的政府采购政策。</w:t>
      </w:r>
    </w:p>
    <w:p w14:paraId="0FA9B3BD">
      <w:pPr>
        <w:autoSpaceDE w:val="0"/>
        <w:autoSpaceDN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残疾人福利性单位声明函</w:t>
      </w:r>
    </w:p>
    <w:p w14:paraId="7C610710">
      <w:pPr>
        <w:autoSpaceDE w:val="0"/>
        <w:autoSpaceDN w:val="0"/>
        <w:spacing w:line="440" w:lineRule="exact"/>
        <w:ind w:firstLine="470" w:firstLineChars="196"/>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bCs/>
          <w:color w:val="auto"/>
          <w:sz w:val="24"/>
          <w:szCs w:val="24"/>
          <w:highlight w:val="none"/>
          <w:u w:val="single"/>
        </w:rPr>
        <w:t>（采购人）</w:t>
      </w:r>
      <w:r>
        <w:rPr>
          <w:rFonts w:hint="eastAsia" w:ascii="宋体" w:hAnsi="宋体" w:cs="宋体"/>
          <w:bCs/>
          <w:color w:val="auto"/>
          <w:sz w:val="24"/>
          <w:szCs w:val="24"/>
          <w:highlight w:val="none"/>
        </w:rPr>
        <w:t>单位的</w:t>
      </w:r>
      <w:r>
        <w:rPr>
          <w:rFonts w:hint="eastAsia" w:ascii="宋体" w:hAnsi="宋体" w:cs="宋体"/>
          <w:bCs/>
          <w:color w:val="auto"/>
          <w:sz w:val="24"/>
          <w:szCs w:val="24"/>
          <w:highlight w:val="none"/>
          <w:u w:val="single"/>
        </w:rPr>
        <w:t>（项目名称）</w:t>
      </w:r>
      <w:r>
        <w:rPr>
          <w:rFonts w:hint="eastAsia" w:ascii="宋体" w:hAnsi="宋体" w:cs="宋体"/>
          <w:bCs/>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158F3DD">
      <w:pPr>
        <w:autoSpaceDE w:val="0"/>
        <w:autoSpaceDN w:val="0"/>
        <w:spacing w:line="440" w:lineRule="exact"/>
        <w:ind w:firstLine="470" w:firstLineChars="196"/>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本单位对上述声明的真实性负责。如有虚假，将依法承担相应责任。</w:t>
      </w:r>
    </w:p>
    <w:p w14:paraId="3C903349">
      <w:pPr>
        <w:autoSpaceDE w:val="0"/>
        <w:autoSpaceDN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单位名称（盖章）：</w:t>
      </w:r>
    </w:p>
    <w:p w14:paraId="030C54BC">
      <w:pPr>
        <w:autoSpaceDE w:val="0"/>
        <w:autoSpaceDN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p w14:paraId="0B1B6247">
      <w:pPr>
        <w:autoSpaceDE w:val="0"/>
        <w:autoSpaceDN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 1 \* GB3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①</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t>中小企业、监狱企业、残疾人福利性单位，不重复享受评审中价格扣除的政府采购政策。</w:t>
      </w:r>
    </w:p>
    <w:p w14:paraId="3495F731">
      <w:pPr>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 2 \* GB3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②</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t>成交单位为中小企业、监狱企业、残疾人福利性单位的，其《中小企业声明函》、《监狱企业证明函》、《残疾人福利性单位声明函》将随成交结果同时公告，接受社会监督。</w:t>
      </w:r>
    </w:p>
    <w:p w14:paraId="7838E283">
      <w:pPr>
        <w:snapToGrid w:val="0"/>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③供应商提供的声明函与事实不符的，依照《政府采购法》第七十七条第一款的规定追究法律责任。</w:t>
      </w:r>
    </w:p>
    <w:p w14:paraId="3956B6BC">
      <w:pPr>
        <w:spacing w:line="360" w:lineRule="auto"/>
        <w:jc w:val="center"/>
        <w:rPr>
          <w:rFonts w:hint="eastAsia" w:ascii="宋体" w:hAnsi="宋体" w:cs="宋体"/>
          <w:color w:val="auto"/>
          <w:sz w:val="28"/>
          <w:szCs w:val="28"/>
          <w:highlight w:val="none"/>
        </w:rPr>
      </w:pPr>
    </w:p>
    <w:p w14:paraId="4EAD252F">
      <w:pPr>
        <w:spacing w:line="360" w:lineRule="auto"/>
        <w:jc w:val="center"/>
        <w:rPr>
          <w:rFonts w:hint="eastAsia" w:ascii="宋体" w:hAnsi="宋体" w:cs="宋体"/>
          <w:color w:val="auto"/>
          <w:sz w:val="28"/>
          <w:szCs w:val="28"/>
          <w:highlight w:val="none"/>
        </w:rPr>
      </w:pPr>
    </w:p>
    <w:p w14:paraId="63786293">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5.相关承诺书</w:t>
      </w:r>
    </w:p>
    <w:p w14:paraId="1C6A8DD3">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（格式自拟）</w:t>
      </w:r>
    </w:p>
    <w:p w14:paraId="3ECFAB1F">
      <w:pPr>
        <w:spacing w:line="360" w:lineRule="auto"/>
        <w:jc w:val="center"/>
        <w:rPr>
          <w:rFonts w:hint="eastAsia" w:ascii="宋体" w:hAnsi="宋体" w:cs="宋体"/>
          <w:color w:val="auto"/>
          <w:sz w:val="28"/>
          <w:szCs w:val="28"/>
          <w:highlight w:val="none"/>
        </w:rPr>
      </w:pPr>
    </w:p>
    <w:p w14:paraId="3FE4AB70">
      <w:pPr>
        <w:spacing w:line="360" w:lineRule="auto"/>
        <w:jc w:val="center"/>
        <w:rPr>
          <w:rFonts w:hint="eastAsia" w:ascii="宋体" w:hAnsi="宋体" w:cs="宋体"/>
          <w:color w:val="auto"/>
          <w:sz w:val="28"/>
          <w:szCs w:val="28"/>
          <w:highlight w:val="none"/>
        </w:rPr>
      </w:pPr>
    </w:p>
    <w:p w14:paraId="4291C619">
      <w:pPr>
        <w:spacing w:line="360" w:lineRule="auto"/>
        <w:jc w:val="center"/>
        <w:rPr>
          <w:rFonts w:hint="eastAsia" w:ascii="宋体" w:hAnsi="宋体" w:cs="宋体"/>
          <w:color w:val="auto"/>
          <w:sz w:val="28"/>
          <w:szCs w:val="28"/>
          <w:highlight w:val="none"/>
        </w:rPr>
      </w:pPr>
    </w:p>
    <w:p w14:paraId="6D6981D3">
      <w:pPr>
        <w:spacing w:line="360" w:lineRule="auto"/>
        <w:jc w:val="center"/>
        <w:rPr>
          <w:rFonts w:hint="eastAsia" w:ascii="宋体" w:hAnsi="宋体" w:cs="宋体"/>
          <w:color w:val="auto"/>
          <w:highlight w:val="none"/>
        </w:rPr>
      </w:pPr>
      <w:r>
        <w:rPr>
          <w:rFonts w:hint="eastAsia" w:ascii="宋体" w:hAnsi="宋体" w:cs="宋体"/>
          <w:color w:val="auto"/>
          <w:sz w:val="28"/>
          <w:szCs w:val="28"/>
          <w:highlight w:val="none"/>
        </w:rPr>
        <w:t>6.</w:t>
      </w:r>
      <w:r>
        <w:rPr>
          <w:rFonts w:hint="eastAsia" w:ascii="宋体" w:hAnsi="宋体" w:cs="宋体"/>
          <w:bCs/>
          <w:color w:val="auto"/>
          <w:sz w:val="28"/>
          <w:szCs w:val="28"/>
          <w:highlight w:val="none"/>
        </w:rPr>
        <w:t>其他响应文件认为有必要提供的资料</w:t>
      </w:r>
    </w:p>
    <w:sectPr>
      <w:pgSz w:w="11906" w:h="16838"/>
      <w:pgMar w:top="1276"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10E5">
    <w:pPr>
      <w:pStyle w:val="21"/>
      <w:jc w:val="both"/>
      <w:rPr>
        <w:lang w:val="en-US"/>
      </w:rPr>
    </w:pPr>
    <w:r>
      <w:rPr>
        <w:rFonts w:hint="eastAsia"/>
        <w:lang w:val="en-US"/>
      </w:rPr>
      <w:t>云南中诏项目管理有限公司                                                           联系电话：13187714881</w:t>
    </w:r>
    <w:r>
      <w:rPr>
        <w:lang w:val="en-US"/>
      </w:rPr>
      <w:drawing>
        <wp:anchor distT="0" distB="0" distL="114300" distR="114300" simplePos="0" relativeHeight="251669504" behindDoc="0" locked="0" layoutInCell="1" allowOverlap="1">
          <wp:simplePos x="0" y="0"/>
          <wp:positionH relativeFrom="column">
            <wp:posOffset>791845</wp:posOffset>
          </wp:positionH>
          <wp:positionV relativeFrom="paragraph">
            <wp:posOffset>9925050</wp:posOffset>
          </wp:positionV>
          <wp:extent cx="344170" cy="4057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4170" cy="405765"/>
                  </a:xfrm>
                  <a:prstGeom prst="rect">
                    <a:avLst/>
                  </a:prstGeom>
                  <a:noFill/>
                  <a:ln>
                    <a:noFill/>
                  </a:ln>
                </pic:spPr>
              </pic:pic>
            </a:graphicData>
          </a:graphic>
        </wp:anchor>
      </w:drawing>
    </w:r>
    <w:r>
      <w:rPr>
        <w:lang w:val="en-US"/>
      </w:rPr>
      <w:drawing>
        <wp:anchor distT="0" distB="0" distL="114300" distR="114300" simplePos="0" relativeHeight="251670528" behindDoc="0" locked="0" layoutInCell="1" allowOverlap="1">
          <wp:simplePos x="0" y="0"/>
          <wp:positionH relativeFrom="column">
            <wp:posOffset>791845</wp:posOffset>
          </wp:positionH>
          <wp:positionV relativeFrom="paragraph">
            <wp:posOffset>9925050</wp:posOffset>
          </wp:positionV>
          <wp:extent cx="344170" cy="4057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4170" cy="40576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246F">
    <w:pPr>
      <w:pStyle w:val="21"/>
      <w:rPr>
        <w:lang w:val="en-US"/>
      </w:rPr>
    </w:pPr>
    <w:r>
      <w:rPr>
        <w:lang w:val="en-US"/>
      </w:rPr>
      <w:t>云南中诏项目管理有限公司</w:t>
    </w:r>
    <w:r>
      <w:rPr>
        <w:rFonts w:hint="eastAsia"/>
        <w:lang w:val="en-US"/>
      </w:rPr>
      <w:t xml:space="preserve">                                                            联系电话：13187714881   </w: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B958">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8CFB958">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B7A7">
    <w:pPr>
      <w:pStyle w:val="21"/>
      <w:jc w:val="left"/>
      <w:rPr>
        <w:lang w:val="en-US"/>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04238">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B904238">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lang w:val="en-US"/>
      </w:rPr>
      <w:t>云南中诏项目管理有限公司</w:t>
    </w:r>
    <w:r>
      <w:rPr>
        <w:rFonts w:hint="eastAsia"/>
        <w:lang w:val="en-US"/>
      </w:rPr>
      <w:t xml:space="preserve">                                                            联系电话：13187714881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0B1B">
    <w:pPr>
      <w:pStyle w:val="22"/>
      <w:jc w:val="left"/>
      <w:rPr>
        <w:sz w:val="22"/>
        <w:szCs w:val="22"/>
      </w:rPr>
    </w:pPr>
    <w:r>
      <w:rPr>
        <w:rFonts w:hint="eastAsia"/>
        <w:sz w:val="15"/>
        <w:szCs w:val="15"/>
        <w:lang w:val="en-US" w:eastAsia="zh-CN"/>
      </w:rPr>
      <w:t>玉溪第六小学</w:t>
    </w:r>
    <w:r>
      <w:rPr>
        <w:rFonts w:hint="eastAsia"/>
        <w:sz w:val="15"/>
        <w:szCs w:val="15"/>
        <w:lang w:val="en-US"/>
      </w:rPr>
      <w:t>智慧校园云广播升级服务项目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D5D2">
    <w:pPr>
      <w:pStyle w:val="22"/>
    </w:pPr>
    <w:r>
      <w:rPr>
        <w:rFonts w:hint="eastAsia"/>
        <w:b/>
        <w:lang w:val="en-US"/>
      </w:rPr>
      <w:t>玉溪市医疗保障局聘请中介机构财会人员参与玉溪市市属国有企业审计采购项目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173E5">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5A7E">
    <w:pPr>
      <w:pStyle w:val="22"/>
      <w:jc w:val="left"/>
      <w:rPr>
        <w:sz w:val="15"/>
        <w:szCs w:val="15"/>
        <w:lang w:val="en-US"/>
      </w:rPr>
    </w:pPr>
    <w:r>
      <w:rPr>
        <w:rFonts w:hint="eastAsia"/>
        <w:sz w:val="15"/>
        <w:szCs w:val="15"/>
        <w:lang w:val="en-US" w:eastAsia="zh-CN"/>
      </w:rPr>
      <w:t>玉溪第六小学</w:t>
    </w:r>
    <w:r>
      <w:rPr>
        <w:rFonts w:hint="eastAsia"/>
        <w:sz w:val="15"/>
        <w:szCs w:val="15"/>
        <w:lang w:val="en-US"/>
      </w:rPr>
      <w:t xml:space="preserve">智慧校园云广播升级服务项目                                                                              询比文件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84350"/>
    <w:multiLevelType w:val="singleLevel"/>
    <w:tmpl w:val="E1784350"/>
    <w:lvl w:ilvl="0" w:tentative="0">
      <w:start w:val="4"/>
      <w:numFmt w:val="chineseCounting"/>
      <w:suff w:val="space"/>
      <w:lvlText w:val="第%1章"/>
      <w:lvlJc w:val="left"/>
      <w:rPr>
        <w:rFonts w:hint="eastAsia"/>
      </w:rPr>
    </w:lvl>
  </w:abstractNum>
  <w:abstractNum w:abstractNumId="1">
    <w:nsid w:val="ED826E2E"/>
    <w:multiLevelType w:val="singleLevel"/>
    <w:tmpl w:val="ED826E2E"/>
    <w:lvl w:ilvl="0" w:tentative="0">
      <w:start w:val="1"/>
      <w:numFmt w:val="decimal"/>
      <w:suff w:val="nothing"/>
      <w:lvlText w:val="（%1）"/>
      <w:lvlJc w:val="left"/>
    </w:lvl>
  </w:abstractNum>
  <w:abstractNum w:abstractNumId="2">
    <w:nsid w:val="00000016"/>
    <w:multiLevelType w:val="multilevel"/>
    <w:tmpl w:val="000000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5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9"/>
    <w:multiLevelType w:val="multilevel"/>
    <w:tmpl w:val="00000029"/>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02AB93E6"/>
    <w:multiLevelType w:val="singleLevel"/>
    <w:tmpl w:val="02AB93E6"/>
    <w:lvl w:ilvl="0" w:tentative="0">
      <w:start w:val="1"/>
      <w:numFmt w:val="decimal"/>
      <w:suff w:val="nothing"/>
      <w:lvlText w:val="（%1）"/>
      <w:lvlJc w:val="left"/>
    </w:lvl>
  </w:abstractNum>
  <w:abstractNum w:abstractNumId="5">
    <w:nsid w:val="189A0778"/>
    <w:multiLevelType w:val="singleLevel"/>
    <w:tmpl w:val="189A0778"/>
    <w:lvl w:ilvl="0" w:tentative="0">
      <w:start w:val="2"/>
      <w:numFmt w:val="decimal"/>
      <w:suff w:val="nothing"/>
      <w:lvlText w:val="（%1）"/>
      <w:lvlJc w:val="left"/>
    </w:lvl>
  </w:abstractNum>
  <w:abstractNum w:abstractNumId="6">
    <w:nsid w:val="2EE0482B"/>
    <w:multiLevelType w:val="singleLevel"/>
    <w:tmpl w:val="2EE0482B"/>
    <w:lvl w:ilvl="0" w:tentative="0">
      <w:start w:val="1"/>
      <w:numFmt w:val="decimal"/>
      <w:suff w:val="nothing"/>
      <w:lvlText w:val="（%1）"/>
      <w:lvlJc w:val="left"/>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172A27"/>
    <w:rsid w:val="0000004D"/>
    <w:rsid w:val="000005FA"/>
    <w:rsid w:val="00000A78"/>
    <w:rsid w:val="0000191D"/>
    <w:rsid w:val="00001B6A"/>
    <w:rsid w:val="00001D59"/>
    <w:rsid w:val="0000291C"/>
    <w:rsid w:val="00003885"/>
    <w:rsid w:val="000038D6"/>
    <w:rsid w:val="00003EED"/>
    <w:rsid w:val="000043A3"/>
    <w:rsid w:val="00004438"/>
    <w:rsid w:val="0000566A"/>
    <w:rsid w:val="000056F3"/>
    <w:rsid w:val="00005A50"/>
    <w:rsid w:val="0000660B"/>
    <w:rsid w:val="00006B6C"/>
    <w:rsid w:val="00007564"/>
    <w:rsid w:val="00007577"/>
    <w:rsid w:val="000076B0"/>
    <w:rsid w:val="00007BF7"/>
    <w:rsid w:val="00007DB1"/>
    <w:rsid w:val="0001020D"/>
    <w:rsid w:val="0001115B"/>
    <w:rsid w:val="000111B2"/>
    <w:rsid w:val="000114F6"/>
    <w:rsid w:val="0001188D"/>
    <w:rsid w:val="00011E79"/>
    <w:rsid w:val="00011F4C"/>
    <w:rsid w:val="000121D0"/>
    <w:rsid w:val="000124ED"/>
    <w:rsid w:val="0001273B"/>
    <w:rsid w:val="00012761"/>
    <w:rsid w:val="00012C8C"/>
    <w:rsid w:val="00012F41"/>
    <w:rsid w:val="00013457"/>
    <w:rsid w:val="000139B0"/>
    <w:rsid w:val="00013E61"/>
    <w:rsid w:val="00013EFC"/>
    <w:rsid w:val="00014450"/>
    <w:rsid w:val="00014B6C"/>
    <w:rsid w:val="0001593A"/>
    <w:rsid w:val="00015ACF"/>
    <w:rsid w:val="00015C5D"/>
    <w:rsid w:val="0001665E"/>
    <w:rsid w:val="00017282"/>
    <w:rsid w:val="00020801"/>
    <w:rsid w:val="00020A78"/>
    <w:rsid w:val="00020BF8"/>
    <w:rsid w:val="00020E76"/>
    <w:rsid w:val="0002185F"/>
    <w:rsid w:val="00023567"/>
    <w:rsid w:val="00023A02"/>
    <w:rsid w:val="00023ED7"/>
    <w:rsid w:val="000246E1"/>
    <w:rsid w:val="00024890"/>
    <w:rsid w:val="00024EF0"/>
    <w:rsid w:val="00024F35"/>
    <w:rsid w:val="00027C2B"/>
    <w:rsid w:val="00030DA6"/>
    <w:rsid w:val="000310B8"/>
    <w:rsid w:val="00031338"/>
    <w:rsid w:val="0003150E"/>
    <w:rsid w:val="00031C03"/>
    <w:rsid w:val="00032100"/>
    <w:rsid w:val="0003225D"/>
    <w:rsid w:val="000328DF"/>
    <w:rsid w:val="00033098"/>
    <w:rsid w:val="0003382F"/>
    <w:rsid w:val="0003414A"/>
    <w:rsid w:val="00034959"/>
    <w:rsid w:val="000349F5"/>
    <w:rsid w:val="00034D16"/>
    <w:rsid w:val="0003504C"/>
    <w:rsid w:val="00035074"/>
    <w:rsid w:val="000351DE"/>
    <w:rsid w:val="0003532E"/>
    <w:rsid w:val="000354E0"/>
    <w:rsid w:val="000363C8"/>
    <w:rsid w:val="000364B6"/>
    <w:rsid w:val="00036886"/>
    <w:rsid w:val="00037301"/>
    <w:rsid w:val="000375E9"/>
    <w:rsid w:val="00037DF4"/>
    <w:rsid w:val="0004030D"/>
    <w:rsid w:val="000404A2"/>
    <w:rsid w:val="000405BB"/>
    <w:rsid w:val="00040CBD"/>
    <w:rsid w:val="00041789"/>
    <w:rsid w:val="00041EEA"/>
    <w:rsid w:val="00042050"/>
    <w:rsid w:val="0004231D"/>
    <w:rsid w:val="000428F0"/>
    <w:rsid w:val="00042AFF"/>
    <w:rsid w:val="00042D90"/>
    <w:rsid w:val="000434FD"/>
    <w:rsid w:val="00043B63"/>
    <w:rsid w:val="000446F2"/>
    <w:rsid w:val="000450FB"/>
    <w:rsid w:val="000452B2"/>
    <w:rsid w:val="00045350"/>
    <w:rsid w:val="0004662C"/>
    <w:rsid w:val="00047D38"/>
    <w:rsid w:val="00047EC5"/>
    <w:rsid w:val="00050422"/>
    <w:rsid w:val="00050E3A"/>
    <w:rsid w:val="00050ECD"/>
    <w:rsid w:val="00051889"/>
    <w:rsid w:val="00051B14"/>
    <w:rsid w:val="00051BFF"/>
    <w:rsid w:val="0005225F"/>
    <w:rsid w:val="00052E65"/>
    <w:rsid w:val="00052FD1"/>
    <w:rsid w:val="00053AA2"/>
    <w:rsid w:val="000551C7"/>
    <w:rsid w:val="0005553D"/>
    <w:rsid w:val="000556FD"/>
    <w:rsid w:val="00055799"/>
    <w:rsid w:val="000557FC"/>
    <w:rsid w:val="00055BD8"/>
    <w:rsid w:val="00056832"/>
    <w:rsid w:val="00056990"/>
    <w:rsid w:val="00056D65"/>
    <w:rsid w:val="00056F0B"/>
    <w:rsid w:val="0006098D"/>
    <w:rsid w:val="00060EDB"/>
    <w:rsid w:val="00061081"/>
    <w:rsid w:val="000610EC"/>
    <w:rsid w:val="000616B3"/>
    <w:rsid w:val="000618F7"/>
    <w:rsid w:val="00061EC0"/>
    <w:rsid w:val="00062EEC"/>
    <w:rsid w:val="0006306A"/>
    <w:rsid w:val="00063103"/>
    <w:rsid w:val="000636CC"/>
    <w:rsid w:val="00063851"/>
    <w:rsid w:val="00063A0F"/>
    <w:rsid w:val="00064595"/>
    <w:rsid w:val="0006462D"/>
    <w:rsid w:val="00064766"/>
    <w:rsid w:val="00064DDD"/>
    <w:rsid w:val="0006623B"/>
    <w:rsid w:val="000667A5"/>
    <w:rsid w:val="00066F43"/>
    <w:rsid w:val="00070512"/>
    <w:rsid w:val="0007171D"/>
    <w:rsid w:val="00071B7E"/>
    <w:rsid w:val="0007282A"/>
    <w:rsid w:val="00073649"/>
    <w:rsid w:val="00073C90"/>
    <w:rsid w:val="00074458"/>
    <w:rsid w:val="000745D3"/>
    <w:rsid w:val="00074996"/>
    <w:rsid w:val="00074DD1"/>
    <w:rsid w:val="00075132"/>
    <w:rsid w:val="000754FD"/>
    <w:rsid w:val="00076E11"/>
    <w:rsid w:val="000778F2"/>
    <w:rsid w:val="00077B31"/>
    <w:rsid w:val="00077BCC"/>
    <w:rsid w:val="00077E2D"/>
    <w:rsid w:val="00080014"/>
    <w:rsid w:val="0008005E"/>
    <w:rsid w:val="0008084D"/>
    <w:rsid w:val="000808A8"/>
    <w:rsid w:val="00081702"/>
    <w:rsid w:val="00081A8C"/>
    <w:rsid w:val="00081DCC"/>
    <w:rsid w:val="0008205F"/>
    <w:rsid w:val="00083612"/>
    <w:rsid w:val="00083A73"/>
    <w:rsid w:val="00083A77"/>
    <w:rsid w:val="0008438E"/>
    <w:rsid w:val="00084A2C"/>
    <w:rsid w:val="000850E3"/>
    <w:rsid w:val="000853AF"/>
    <w:rsid w:val="00085622"/>
    <w:rsid w:val="0008571A"/>
    <w:rsid w:val="000860EF"/>
    <w:rsid w:val="000861B4"/>
    <w:rsid w:val="000867BD"/>
    <w:rsid w:val="000870DC"/>
    <w:rsid w:val="00087BCA"/>
    <w:rsid w:val="00090760"/>
    <w:rsid w:val="00090974"/>
    <w:rsid w:val="00091915"/>
    <w:rsid w:val="00091ECD"/>
    <w:rsid w:val="0009240D"/>
    <w:rsid w:val="00092425"/>
    <w:rsid w:val="0009249C"/>
    <w:rsid w:val="000926CC"/>
    <w:rsid w:val="000926D6"/>
    <w:rsid w:val="00092957"/>
    <w:rsid w:val="000934DA"/>
    <w:rsid w:val="000934F2"/>
    <w:rsid w:val="00093C6F"/>
    <w:rsid w:val="0009403E"/>
    <w:rsid w:val="0009454F"/>
    <w:rsid w:val="000948CC"/>
    <w:rsid w:val="00094925"/>
    <w:rsid w:val="00094E6D"/>
    <w:rsid w:val="00095159"/>
    <w:rsid w:val="000951B7"/>
    <w:rsid w:val="000951CF"/>
    <w:rsid w:val="000959AD"/>
    <w:rsid w:val="000961DC"/>
    <w:rsid w:val="000966BF"/>
    <w:rsid w:val="000974C5"/>
    <w:rsid w:val="000975BA"/>
    <w:rsid w:val="000975D5"/>
    <w:rsid w:val="000978F1"/>
    <w:rsid w:val="00097C47"/>
    <w:rsid w:val="000A0383"/>
    <w:rsid w:val="000A21BD"/>
    <w:rsid w:val="000A331F"/>
    <w:rsid w:val="000A3FC7"/>
    <w:rsid w:val="000A40F8"/>
    <w:rsid w:val="000A4198"/>
    <w:rsid w:val="000A462A"/>
    <w:rsid w:val="000A4FFD"/>
    <w:rsid w:val="000A51C7"/>
    <w:rsid w:val="000A5455"/>
    <w:rsid w:val="000A550F"/>
    <w:rsid w:val="000A57FF"/>
    <w:rsid w:val="000A5EE8"/>
    <w:rsid w:val="000A60C8"/>
    <w:rsid w:val="000A62C6"/>
    <w:rsid w:val="000A6960"/>
    <w:rsid w:val="000A76FD"/>
    <w:rsid w:val="000B0020"/>
    <w:rsid w:val="000B07C9"/>
    <w:rsid w:val="000B0886"/>
    <w:rsid w:val="000B0B4F"/>
    <w:rsid w:val="000B0BEF"/>
    <w:rsid w:val="000B1278"/>
    <w:rsid w:val="000B22A3"/>
    <w:rsid w:val="000B2409"/>
    <w:rsid w:val="000B2505"/>
    <w:rsid w:val="000B25C0"/>
    <w:rsid w:val="000B2F4A"/>
    <w:rsid w:val="000B32BB"/>
    <w:rsid w:val="000B3411"/>
    <w:rsid w:val="000B38A2"/>
    <w:rsid w:val="000B4555"/>
    <w:rsid w:val="000B4BDB"/>
    <w:rsid w:val="000B4F8E"/>
    <w:rsid w:val="000B6BEB"/>
    <w:rsid w:val="000B6D77"/>
    <w:rsid w:val="000B6F75"/>
    <w:rsid w:val="000B7311"/>
    <w:rsid w:val="000B74CF"/>
    <w:rsid w:val="000B757B"/>
    <w:rsid w:val="000B7B01"/>
    <w:rsid w:val="000C009B"/>
    <w:rsid w:val="000C0369"/>
    <w:rsid w:val="000C09CC"/>
    <w:rsid w:val="000C0A34"/>
    <w:rsid w:val="000C0FE5"/>
    <w:rsid w:val="000C11F5"/>
    <w:rsid w:val="000C1536"/>
    <w:rsid w:val="000C16E2"/>
    <w:rsid w:val="000C1A46"/>
    <w:rsid w:val="000C1AF4"/>
    <w:rsid w:val="000C20E6"/>
    <w:rsid w:val="000C24C9"/>
    <w:rsid w:val="000C3788"/>
    <w:rsid w:val="000C38A8"/>
    <w:rsid w:val="000C3A9C"/>
    <w:rsid w:val="000C3EF3"/>
    <w:rsid w:val="000C3F06"/>
    <w:rsid w:val="000C447D"/>
    <w:rsid w:val="000C4490"/>
    <w:rsid w:val="000C465F"/>
    <w:rsid w:val="000C4D93"/>
    <w:rsid w:val="000C4EFB"/>
    <w:rsid w:val="000C5D34"/>
    <w:rsid w:val="000C6B51"/>
    <w:rsid w:val="000C7343"/>
    <w:rsid w:val="000C7FF6"/>
    <w:rsid w:val="000D0658"/>
    <w:rsid w:val="000D0FEA"/>
    <w:rsid w:val="000D1828"/>
    <w:rsid w:val="000D1BEC"/>
    <w:rsid w:val="000D2C5B"/>
    <w:rsid w:val="000D32B8"/>
    <w:rsid w:val="000D3404"/>
    <w:rsid w:val="000D34B4"/>
    <w:rsid w:val="000D3988"/>
    <w:rsid w:val="000D3FF9"/>
    <w:rsid w:val="000D42EA"/>
    <w:rsid w:val="000D4D9A"/>
    <w:rsid w:val="000D5021"/>
    <w:rsid w:val="000D5720"/>
    <w:rsid w:val="000D5A42"/>
    <w:rsid w:val="000D6680"/>
    <w:rsid w:val="000D712B"/>
    <w:rsid w:val="000D72CA"/>
    <w:rsid w:val="000E010D"/>
    <w:rsid w:val="000E07BB"/>
    <w:rsid w:val="000E18DF"/>
    <w:rsid w:val="000E1A0C"/>
    <w:rsid w:val="000E1B24"/>
    <w:rsid w:val="000E24AF"/>
    <w:rsid w:val="000E4064"/>
    <w:rsid w:val="000E4660"/>
    <w:rsid w:val="000E5627"/>
    <w:rsid w:val="000E5878"/>
    <w:rsid w:val="000E6C25"/>
    <w:rsid w:val="000E6F25"/>
    <w:rsid w:val="000E7375"/>
    <w:rsid w:val="000E75D2"/>
    <w:rsid w:val="000E7AD4"/>
    <w:rsid w:val="000E7B04"/>
    <w:rsid w:val="000E7E13"/>
    <w:rsid w:val="000F1545"/>
    <w:rsid w:val="000F2D1A"/>
    <w:rsid w:val="000F2F37"/>
    <w:rsid w:val="000F2FA2"/>
    <w:rsid w:val="000F30DC"/>
    <w:rsid w:val="000F30FF"/>
    <w:rsid w:val="000F4130"/>
    <w:rsid w:val="000F4909"/>
    <w:rsid w:val="000F4BA6"/>
    <w:rsid w:val="000F4C3A"/>
    <w:rsid w:val="000F5212"/>
    <w:rsid w:val="000F63E5"/>
    <w:rsid w:val="000F662A"/>
    <w:rsid w:val="000F687D"/>
    <w:rsid w:val="000F78B4"/>
    <w:rsid w:val="000F79D1"/>
    <w:rsid w:val="000F7AAF"/>
    <w:rsid w:val="000F7E0F"/>
    <w:rsid w:val="0010067E"/>
    <w:rsid w:val="00100767"/>
    <w:rsid w:val="00100CAB"/>
    <w:rsid w:val="00100DC4"/>
    <w:rsid w:val="001024F4"/>
    <w:rsid w:val="00102F9B"/>
    <w:rsid w:val="00103206"/>
    <w:rsid w:val="00103E17"/>
    <w:rsid w:val="00104BDB"/>
    <w:rsid w:val="001054ED"/>
    <w:rsid w:val="00105899"/>
    <w:rsid w:val="00105D62"/>
    <w:rsid w:val="00105DAC"/>
    <w:rsid w:val="001061AF"/>
    <w:rsid w:val="0010661D"/>
    <w:rsid w:val="00107512"/>
    <w:rsid w:val="0010771F"/>
    <w:rsid w:val="00107E72"/>
    <w:rsid w:val="00110989"/>
    <w:rsid w:val="00110A14"/>
    <w:rsid w:val="00111052"/>
    <w:rsid w:val="00111CA1"/>
    <w:rsid w:val="00111EB1"/>
    <w:rsid w:val="00113B33"/>
    <w:rsid w:val="0011442E"/>
    <w:rsid w:val="0011533D"/>
    <w:rsid w:val="00115508"/>
    <w:rsid w:val="00115C6D"/>
    <w:rsid w:val="00116E18"/>
    <w:rsid w:val="00117251"/>
    <w:rsid w:val="00117F26"/>
    <w:rsid w:val="00120183"/>
    <w:rsid w:val="00120827"/>
    <w:rsid w:val="00120BC1"/>
    <w:rsid w:val="00120EC5"/>
    <w:rsid w:val="001213E5"/>
    <w:rsid w:val="00121E7A"/>
    <w:rsid w:val="001228F8"/>
    <w:rsid w:val="00123DBF"/>
    <w:rsid w:val="001248A6"/>
    <w:rsid w:val="00124CD0"/>
    <w:rsid w:val="001250CB"/>
    <w:rsid w:val="00125970"/>
    <w:rsid w:val="001270AA"/>
    <w:rsid w:val="001273DC"/>
    <w:rsid w:val="00127458"/>
    <w:rsid w:val="00127580"/>
    <w:rsid w:val="00127D3F"/>
    <w:rsid w:val="001301B2"/>
    <w:rsid w:val="0013037E"/>
    <w:rsid w:val="00130438"/>
    <w:rsid w:val="00131AA8"/>
    <w:rsid w:val="00132314"/>
    <w:rsid w:val="00132408"/>
    <w:rsid w:val="0013243E"/>
    <w:rsid w:val="00132EFE"/>
    <w:rsid w:val="00133387"/>
    <w:rsid w:val="00133C6A"/>
    <w:rsid w:val="0013464A"/>
    <w:rsid w:val="00134CD2"/>
    <w:rsid w:val="0013540E"/>
    <w:rsid w:val="00135B37"/>
    <w:rsid w:val="00135F3B"/>
    <w:rsid w:val="00135F87"/>
    <w:rsid w:val="00136200"/>
    <w:rsid w:val="00136DC2"/>
    <w:rsid w:val="001408A7"/>
    <w:rsid w:val="00140D03"/>
    <w:rsid w:val="00140E42"/>
    <w:rsid w:val="001421D5"/>
    <w:rsid w:val="0014229E"/>
    <w:rsid w:val="0014276A"/>
    <w:rsid w:val="00142BA1"/>
    <w:rsid w:val="00143412"/>
    <w:rsid w:val="00143AF8"/>
    <w:rsid w:val="00144339"/>
    <w:rsid w:val="001445E6"/>
    <w:rsid w:val="0014612E"/>
    <w:rsid w:val="00146718"/>
    <w:rsid w:val="0014678B"/>
    <w:rsid w:val="001478BC"/>
    <w:rsid w:val="00147B9D"/>
    <w:rsid w:val="00150B8D"/>
    <w:rsid w:val="00150BBD"/>
    <w:rsid w:val="00150D4E"/>
    <w:rsid w:val="00151D67"/>
    <w:rsid w:val="0015259F"/>
    <w:rsid w:val="00153620"/>
    <w:rsid w:val="00153AF3"/>
    <w:rsid w:val="00153E8B"/>
    <w:rsid w:val="00154336"/>
    <w:rsid w:val="001558FE"/>
    <w:rsid w:val="00156430"/>
    <w:rsid w:val="00156882"/>
    <w:rsid w:val="00157DB3"/>
    <w:rsid w:val="001603CF"/>
    <w:rsid w:val="0016073F"/>
    <w:rsid w:val="00160920"/>
    <w:rsid w:val="00161A46"/>
    <w:rsid w:val="001638BF"/>
    <w:rsid w:val="00163910"/>
    <w:rsid w:val="00164008"/>
    <w:rsid w:val="00164FCB"/>
    <w:rsid w:val="00164FDC"/>
    <w:rsid w:val="00165226"/>
    <w:rsid w:val="00165377"/>
    <w:rsid w:val="001656D7"/>
    <w:rsid w:val="00165A72"/>
    <w:rsid w:val="00166C57"/>
    <w:rsid w:val="001675DA"/>
    <w:rsid w:val="001705FD"/>
    <w:rsid w:val="0017088A"/>
    <w:rsid w:val="0017104B"/>
    <w:rsid w:val="0017145F"/>
    <w:rsid w:val="0017194C"/>
    <w:rsid w:val="00171F16"/>
    <w:rsid w:val="0017231D"/>
    <w:rsid w:val="0017232A"/>
    <w:rsid w:val="0017250A"/>
    <w:rsid w:val="00172A27"/>
    <w:rsid w:val="00172A3D"/>
    <w:rsid w:val="00172AEA"/>
    <w:rsid w:val="001732FA"/>
    <w:rsid w:val="00173471"/>
    <w:rsid w:val="00173868"/>
    <w:rsid w:val="0017399F"/>
    <w:rsid w:val="0017533F"/>
    <w:rsid w:val="001755F9"/>
    <w:rsid w:val="00175CA8"/>
    <w:rsid w:val="0017616C"/>
    <w:rsid w:val="00176393"/>
    <w:rsid w:val="00176895"/>
    <w:rsid w:val="00177396"/>
    <w:rsid w:val="001773E2"/>
    <w:rsid w:val="00177828"/>
    <w:rsid w:val="00177A11"/>
    <w:rsid w:val="001803AA"/>
    <w:rsid w:val="0018105F"/>
    <w:rsid w:val="00181875"/>
    <w:rsid w:val="00181D40"/>
    <w:rsid w:val="001822C4"/>
    <w:rsid w:val="0018236E"/>
    <w:rsid w:val="0018294F"/>
    <w:rsid w:val="0018301F"/>
    <w:rsid w:val="001838E1"/>
    <w:rsid w:val="00183AE9"/>
    <w:rsid w:val="00183AF4"/>
    <w:rsid w:val="00183F95"/>
    <w:rsid w:val="001843C3"/>
    <w:rsid w:val="00184C7A"/>
    <w:rsid w:val="00185352"/>
    <w:rsid w:val="00185E9E"/>
    <w:rsid w:val="00187F4D"/>
    <w:rsid w:val="001901AB"/>
    <w:rsid w:val="0019155F"/>
    <w:rsid w:val="00191B93"/>
    <w:rsid w:val="00192609"/>
    <w:rsid w:val="00192720"/>
    <w:rsid w:val="00192B24"/>
    <w:rsid w:val="00195610"/>
    <w:rsid w:val="001956C4"/>
    <w:rsid w:val="00195E1C"/>
    <w:rsid w:val="00195FAC"/>
    <w:rsid w:val="001964EE"/>
    <w:rsid w:val="00196B3F"/>
    <w:rsid w:val="00196FD1"/>
    <w:rsid w:val="001973DE"/>
    <w:rsid w:val="00197992"/>
    <w:rsid w:val="00197AC3"/>
    <w:rsid w:val="001A0178"/>
    <w:rsid w:val="001A026F"/>
    <w:rsid w:val="001A0611"/>
    <w:rsid w:val="001A0BEC"/>
    <w:rsid w:val="001A118F"/>
    <w:rsid w:val="001A20CC"/>
    <w:rsid w:val="001A2447"/>
    <w:rsid w:val="001A24F2"/>
    <w:rsid w:val="001A2B64"/>
    <w:rsid w:val="001A2BD8"/>
    <w:rsid w:val="001A3263"/>
    <w:rsid w:val="001A334C"/>
    <w:rsid w:val="001A3D8C"/>
    <w:rsid w:val="001A5035"/>
    <w:rsid w:val="001A51A7"/>
    <w:rsid w:val="001A536F"/>
    <w:rsid w:val="001A54CA"/>
    <w:rsid w:val="001A5527"/>
    <w:rsid w:val="001A576C"/>
    <w:rsid w:val="001A64C4"/>
    <w:rsid w:val="001A74B6"/>
    <w:rsid w:val="001A78DC"/>
    <w:rsid w:val="001A7A72"/>
    <w:rsid w:val="001A7BE4"/>
    <w:rsid w:val="001A7CAB"/>
    <w:rsid w:val="001A7CD4"/>
    <w:rsid w:val="001B0858"/>
    <w:rsid w:val="001B0A01"/>
    <w:rsid w:val="001B0C3B"/>
    <w:rsid w:val="001B0E14"/>
    <w:rsid w:val="001B1C3B"/>
    <w:rsid w:val="001B2268"/>
    <w:rsid w:val="001B24DA"/>
    <w:rsid w:val="001B3C5F"/>
    <w:rsid w:val="001B3DFE"/>
    <w:rsid w:val="001B4067"/>
    <w:rsid w:val="001B43C3"/>
    <w:rsid w:val="001B4484"/>
    <w:rsid w:val="001B5D55"/>
    <w:rsid w:val="001B5D65"/>
    <w:rsid w:val="001B5DEC"/>
    <w:rsid w:val="001B5F51"/>
    <w:rsid w:val="001B5F67"/>
    <w:rsid w:val="001B6925"/>
    <w:rsid w:val="001B6F10"/>
    <w:rsid w:val="001B71B2"/>
    <w:rsid w:val="001B71E4"/>
    <w:rsid w:val="001B73FF"/>
    <w:rsid w:val="001B77BF"/>
    <w:rsid w:val="001B7E54"/>
    <w:rsid w:val="001B7E57"/>
    <w:rsid w:val="001C024D"/>
    <w:rsid w:val="001C1300"/>
    <w:rsid w:val="001C15DD"/>
    <w:rsid w:val="001C30D9"/>
    <w:rsid w:val="001C33B1"/>
    <w:rsid w:val="001C485A"/>
    <w:rsid w:val="001C4984"/>
    <w:rsid w:val="001C4D2E"/>
    <w:rsid w:val="001C5B3A"/>
    <w:rsid w:val="001C61AC"/>
    <w:rsid w:val="001C6533"/>
    <w:rsid w:val="001C6611"/>
    <w:rsid w:val="001C6AD5"/>
    <w:rsid w:val="001C6C3A"/>
    <w:rsid w:val="001C6D15"/>
    <w:rsid w:val="001C7D09"/>
    <w:rsid w:val="001C7D54"/>
    <w:rsid w:val="001D1DCA"/>
    <w:rsid w:val="001D1F47"/>
    <w:rsid w:val="001D2C34"/>
    <w:rsid w:val="001D31B7"/>
    <w:rsid w:val="001D345D"/>
    <w:rsid w:val="001D3591"/>
    <w:rsid w:val="001D4AFA"/>
    <w:rsid w:val="001D4C0D"/>
    <w:rsid w:val="001D5749"/>
    <w:rsid w:val="001D5A41"/>
    <w:rsid w:val="001D5ED7"/>
    <w:rsid w:val="001D65EC"/>
    <w:rsid w:val="001D667E"/>
    <w:rsid w:val="001D6833"/>
    <w:rsid w:val="001D6C56"/>
    <w:rsid w:val="001D78E3"/>
    <w:rsid w:val="001E0414"/>
    <w:rsid w:val="001E07CF"/>
    <w:rsid w:val="001E094C"/>
    <w:rsid w:val="001E0AC3"/>
    <w:rsid w:val="001E0BA6"/>
    <w:rsid w:val="001E0D0F"/>
    <w:rsid w:val="001E128E"/>
    <w:rsid w:val="001E1C0F"/>
    <w:rsid w:val="001E1F5B"/>
    <w:rsid w:val="001E21CE"/>
    <w:rsid w:val="001E25AD"/>
    <w:rsid w:val="001E2F63"/>
    <w:rsid w:val="001E3723"/>
    <w:rsid w:val="001E400F"/>
    <w:rsid w:val="001E40B4"/>
    <w:rsid w:val="001E5893"/>
    <w:rsid w:val="001E5C59"/>
    <w:rsid w:val="001E5C8B"/>
    <w:rsid w:val="001E7528"/>
    <w:rsid w:val="001F0286"/>
    <w:rsid w:val="001F0C0A"/>
    <w:rsid w:val="001F127F"/>
    <w:rsid w:val="001F1967"/>
    <w:rsid w:val="001F1F1F"/>
    <w:rsid w:val="001F24DA"/>
    <w:rsid w:val="001F258D"/>
    <w:rsid w:val="001F3700"/>
    <w:rsid w:val="001F3826"/>
    <w:rsid w:val="001F4729"/>
    <w:rsid w:val="001F4B52"/>
    <w:rsid w:val="001F4BE4"/>
    <w:rsid w:val="001F4C34"/>
    <w:rsid w:val="001F6334"/>
    <w:rsid w:val="001F646E"/>
    <w:rsid w:val="001F66F9"/>
    <w:rsid w:val="001F702B"/>
    <w:rsid w:val="001F7906"/>
    <w:rsid w:val="00200956"/>
    <w:rsid w:val="00200E50"/>
    <w:rsid w:val="00201274"/>
    <w:rsid w:val="00201440"/>
    <w:rsid w:val="00201544"/>
    <w:rsid w:val="00201FE4"/>
    <w:rsid w:val="0020328C"/>
    <w:rsid w:val="00203599"/>
    <w:rsid w:val="002035FC"/>
    <w:rsid w:val="0020464E"/>
    <w:rsid w:val="00204F68"/>
    <w:rsid w:val="0020567D"/>
    <w:rsid w:val="00205B53"/>
    <w:rsid w:val="00205C57"/>
    <w:rsid w:val="00205E7A"/>
    <w:rsid w:val="00207096"/>
    <w:rsid w:val="002073DD"/>
    <w:rsid w:val="002074BE"/>
    <w:rsid w:val="00207EFB"/>
    <w:rsid w:val="0021023F"/>
    <w:rsid w:val="002108FC"/>
    <w:rsid w:val="00210E31"/>
    <w:rsid w:val="002112B4"/>
    <w:rsid w:val="00211BC4"/>
    <w:rsid w:val="00211C70"/>
    <w:rsid w:val="00211DE8"/>
    <w:rsid w:val="00211E56"/>
    <w:rsid w:val="0021206A"/>
    <w:rsid w:val="00212133"/>
    <w:rsid w:val="002125C0"/>
    <w:rsid w:val="00212B1D"/>
    <w:rsid w:val="00212B5A"/>
    <w:rsid w:val="00212F31"/>
    <w:rsid w:val="00213455"/>
    <w:rsid w:val="0021351A"/>
    <w:rsid w:val="002138C7"/>
    <w:rsid w:val="00213CBB"/>
    <w:rsid w:val="002142EE"/>
    <w:rsid w:val="00214C31"/>
    <w:rsid w:val="00215D9A"/>
    <w:rsid w:val="00215E55"/>
    <w:rsid w:val="00216237"/>
    <w:rsid w:val="002163A2"/>
    <w:rsid w:val="00217185"/>
    <w:rsid w:val="00217233"/>
    <w:rsid w:val="00217A73"/>
    <w:rsid w:val="00220567"/>
    <w:rsid w:val="00220A60"/>
    <w:rsid w:val="00220B7B"/>
    <w:rsid w:val="00220D22"/>
    <w:rsid w:val="00220DCB"/>
    <w:rsid w:val="0022156E"/>
    <w:rsid w:val="002218E6"/>
    <w:rsid w:val="00221C40"/>
    <w:rsid w:val="00221CA5"/>
    <w:rsid w:val="00221F9E"/>
    <w:rsid w:val="00222151"/>
    <w:rsid w:val="00222C42"/>
    <w:rsid w:val="00223660"/>
    <w:rsid w:val="002239A2"/>
    <w:rsid w:val="002239B6"/>
    <w:rsid w:val="00223A0A"/>
    <w:rsid w:val="00223B36"/>
    <w:rsid w:val="00224937"/>
    <w:rsid w:val="00224F3D"/>
    <w:rsid w:val="00224FE0"/>
    <w:rsid w:val="002257D8"/>
    <w:rsid w:val="00226899"/>
    <w:rsid w:val="002271A5"/>
    <w:rsid w:val="00227299"/>
    <w:rsid w:val="00227434"/>
    <w:rsid w:val="002300C8"/>
    <w:rsid w:val="00230601"/>
    <w:rsid w:val="00230E68"/>
    <w:rsid w:val="00230E71"/>
    <w:rsid w:val="0023115D"/>
    <w:rsid w:val="002319D3"/>
    <w:rsid w:val="00232482"/>
    <w:rsid w:val="0023311B"/>
    <w:rsid w:val="0023376E"/>
    <w:rsid w:val="00234069"/>
    <w:rsid w:val="0023476D"/>
    <w:rsid w:val="002356FD"/>
    <w:rsid w:val="00235FF6"/>
    <w:rsid w:val="00236453"/>
    <w:rsid w:val="002365F9"/>
    <w:rsid w:val="00237009"/>
    <w:rsid w:val="00237E68"/>
    <w:rsid w:val="00237F9A"/>
    <w:rsid w:val="00241998"/>
    <w:rsid w:val="0024224F"/>
    <w:rsid w:val="002423E4"/>
    <w:rsid w:val="00242C77"/>
    <w:rsid w:val="002434CD"/>
    <w:rsid w:val="00243CFE"/>
    <w:rsid w:val="00244D4D"/>
    <w:rsid w:val="00244EB0"/>
    <w:rsid w:val="00244F9C"/>
    <w:rsid w:val="002453BC"/>
    <w:rsid w:val="00245BFD"/>
    <w:rsid w:val="00245C78"/>
    <w:rsid w:val="00246157"/>
    <w:rsid w:val="00246512"/>
    <w:rsid w:val="00246746"/>
    <w:rsid w:val="002468C3"/>
    <w:rsid w:val="00246F68"/>
    <w:rsid w:val="0024701F"/>
    <w:rsid w:val="00247059"/>
    <w:rsid w:val="00247A16"/>
    <w:rsid w:val="00250147"/>
    <w:rsid w:val="0025074E"/>
    <w:rsid w:val="00250CD2"/>
    <w:rsid w:val="00251382"/>
    <w:rsid w:val="0025155D"/>
    <w:rsid w:val="00251B1F"/>
    <w:rsid w:val="0025213E"/>
    <w:rsid w:val="00252E9C"/>
    <w:rsid w:val="002537C4"/>
    <w:rsid w:val="00254403"/>
    <w:rsid w:val="0025459F"/>
    <w:rsid w:val="00255B1C"/>
    <w:rsid w:val="002573AB"/>
    <w:rsid w:val="00257D08"/>
    <w:rsid w:val="00260341"/>
    <w:rsid w:val="00260D14"/>
    <w:rsid w:val="0026111A"/>
    <w:rsid w:val="00261423"/>
    <w:rsid w:val="0026191B"/>
    <w:rsid w:val="00261BF6"/>
    <w:rsid w:val="0026319A"/>
    <w:rsid w:val="002635B8"/>
    <w:rsid w:val="00263683"/>
    <w:rsid w:val="00263775"/>
    <w:rsid w:val="00263B06"/>
    <w:rsid w:val="00263D0E"/>
    <w:rsid w:val="00263E86"/>
    <w:rsid w:val="00264C58"/>
    <w:rsid w:val="00264CBE"/>
    <w:rsid w:val="00265CB2"/>
    <w:rsid w:val="00266E15"/>
    <w:rsid w:val="00267314"/>
    <w:rsid w:val="00267761"/>
    <w:rsid w:val="002677B3"/>
    <w:rsid w:val="002679B0"/>
    <w:rsid w:val="002705A8"/>
    <w:rsid w:val="00270818"/>
    <w:rsid w:val="00271211"/>
    <w:rsid w:val="002718DF"/>
    <w:rsid w:val="00272366"/>
    <w:rsid w:val="002723D0"/>
    <w:rsid w:val="002727F4"/>
    <w:rsid w:val="002729CE"/>
    <w:rsid w:val="00273929"/>
    <w:rsid w:val="00273A9D"/>
    <w:rsid w:val="00273C01"/>
    <w:rsid w:val="00274052"/>
    <w:rsid w:val="0027437B"/>
    <w:rsid w:val="00274DF5"/>
    <w:rsid w:val="002759F9"/>
    <w:rsid w:val="00275B7D"/>
    <w:rsid w:val="00276091"/>
    <w:rsid w:val="002777CD"/>
    <w:rsid w:val="00277B34"/>
    <w:rsid w:val="00277BE7"/>
    <w:rsid w:val="00277CC9"/>
    <w:rsid w:val="0028021F"/>
    <w:rsid w:val="0028034D"/>
    <w:rsid w:val="00280791"/>
    <w:rsid w:val="00281357"/>
    <w:rsid w:val="002819DD"/>
    <w:rsid w:val="00281F18"/>
    <w:rsid w:val="002820BC"/>
    <w:rsid w:val="002824E8"/>
    <w:rsid w:val="00282BEB"/>
    <w:rsid w:val="002834B0"/>
    <w:rsid w:val="002836DC"/>
    <w:rsid w:val="002848BA"/>
    <w:rsid w:val="00285005"/>
    <w:rsid w:val="0028536B"/>
    <w:rsid w:val="00285BEC"/>
    <w:rsid w:val="00291494"/>
    <w:rsid w:val="00291AAE"/>
    <w:rsid w:val="00291CAF"/>
    <w:rsid w:val="00292161"/>
    <w:rsid w:val="0029229D"/>
    <w:rsid w:val="00292AED"/>
    <w:rsid w:val="00292BB5"/>
    <w:rsid w:val="00292EED"/>
    <w:rsid w:val="0029415F"/>
    <w:rsid w:val="0029444F"/>
    <w:rsid w:val="0029472E"/>
    <w:rsid w:val="0029478B"/>
    <w:rsid w:val="00294B20"/>
    <w:rsid w:val="00295311"/>
    <w:rsid w:val="00295BB2"/>
    <w:rsid w:val="002961FA"/>
    <w:rsid w:val="00296548"/>
    <w:rsid w:val="00296839"/>
    <w:rsid w:val="00296AA2"/>
    <w:rsid w:val="002974F8"/>
    <w:rsid w:val="002A01E7"/>
    <w:rsid w:val="002A0706"/>
    <w:rsid w:val="002A082E"/>
    <w:rsid w:val="002A098B"/>
    <w:rsid w:val="002A0C87"/>
    <w:rsid w:val="002A118F"/>
    <w:rsid w:val="002A21B3"/>
    <w:rsid w:val="002A2286"/>
    <w:rsid w:val="002A2E2E"/>
    <w:rsid w:val="002A35AE"/>
    <w:rsid w:val="002A37C5"/>
    <w:rsid w:val="002A3BF5"/>
    <w:rsid w:val="002A3D10"/>
    <w:rsid w:val="002A3E0F"/>
    <w:rsid w:val="002A416A"/>
    <w:rsid w:val="002A430E"/>
    <w:rsid w:val="002A4AE0"/>
    <w:rsid w:val="002A532B"/>
    <w:rsid w:val="002A5C53"/>
    <w:rsid w:val="002A6B3E"/>
    <w:rsid w:val="002A6F00"/>
    <w:rsid w:val="002A7F57"/>
    <w:rsid w:val="002B061C"/>
    <w:rsid w:val="002B0640"/>
    <w:rsid w:val="002B078D"/>
    <w:rsid w:val="002B1C8B"/>
    <w:rsid w:val="002B1E67"/>
    <w:rsid w:val="002B23C6"/>
    <w:rsid w:val="002B24C7"/>
    <w:rsid w:val="002B263E"/>
    <w:rsid w:val="002B2A10"/>
    <w:rsid w:val="002B317E"/>
    <w:rsid w:val="002B31B4"/>
    <w:rsid w:val="002B342E"/>
    <w:rsid w:val="002B3A76"/>
    <w:rsid w:val="002B3CCF"/>
    <w:rsid w:val="002B3CF7"/>
    <w:rsid w:val="002B4852"/>
    <w:rsid w:val="002B54E0"/>
    <w:rsid w:val="002B59DB"/>
    <w:rsid w:val="002B5A52"/>
    <w:rsid w:val="002B65DA"/>
    <w:rsid w:val="002B670C"/>
    <w:rsid w:val="002B6956"/>
    <w:rsid w:val="002B6F5B"/>
    <w:rsid w:val="002B7B3D"/>
    <w:rsid w:val="002B7CDF"/>
    <w:rsid w:val="002B7FFA"/>
    <w:rsid w:val="002C0128"/>
    <w:rsid w:val="002C04DE"/>
    <w:rsid w:val="002C0E7C"/>
    <w:rsid w:val="002C1E74"/>
    <w:rsid w:val="002C2161"/>
    <w:rsid w:val="002C30DD"/>
    <w:rsid w:val="002C325E"/>
    <w:rsid w:val="002C48A3"/>
    <w:rsid w:val="002C4CE0"/>
    <w:rsid w:val="002C4D10"/>
    <w:rsid w:val="002C59EC"/>
    <w:rsid w:val="002C63B2"/>
    <w:rsid w:val="002C6E67"/>
    <w:rsid w:val="002C71E5"/>
    <w:rsid w:val="002D0275"/>
    <w:rsid w:val="002D0C37"/>
    <w:rsid w:val="002D28C5"/>
    <w:rsid w:val="002D2CDD"/>
    <w:rsid w:val="002D2EC6"/>
    <w:rsid w:val="002D31BF"/>
    <w:rsid w:val="002D39B9"/>
    <w:rsid w:val="002D3AB5"/>
    <w:rsid w:val="002D3ECC"/>
    <w:rsid w:val="002D40D8"/>
    <w:rsid w:val="002D46E4"/>
    <w:rsid w:val="002D4F2E"/>
    <w:rsid w:val="002D5B64"/>
    <w:rsid w:val="002D6314"/>
    <w:rsid w:val="002D6347"/>
    <w:rsid w:val="002D6D16"/>
    <w:rsid w:val="002D6E37"/>
    <w:rsid w:val="002D72BB"/>
    <w:rsid w:val="002D74DC"/>
    <w:rsid w:val="002D7645"/>
    <w:rsid w:val="002D7A06"/>
    <w:rsid w:val="002D7A1D"/>
    <w:rsid w:val="002E0BBB"/>
    <w:rsid w:val="002E0C45"/>
    <w:rsid w:val="002E10F8"/>
    <w:rsid w:val="002E1463"/>
    <w:rsid w:val="002E1465"/>
    <w:rsid w:val="002E1DC3"/>
    <w:rsid w:val="002E2366"/>
    <w:rsid w:val="002E2712"/>
    <w:rsid w:val="002E338A"/>
    <w:rsid w:val="002E3734"/>
    <w:rsid w:val="002E393A"/>
    <w:rsid w:val="002E3970"/>
    <w:rsid w:val="002E4646"/>
    <w:rsid w:val="002E4761"/>
    <w:rsid w:val="002E6743"/>
    <w:rsid w:val="002E6753"/>
    <w:rsid w:val="002E6D17"/>
    <w:rsid w:val="002E6D2E"/>
    <w:rsid w:val="002E7442"/>
    <w:rsid w:val="002E7569"/>
    <w:rsid w:val="002E7B11"/>
    <w:rsid w:val="002E7D65"/>
    <w:rsid w:val="002E7E00"/>
    <w:rsid w:val="002F05B6"/>
    <w:rsid w:val="002F07D0"/>
    <w:rsid w:val="002F095C"/>
    <w:rsid w:val="002F1C2D"/>
    <w:rsid w:val="002F1D88"/>
    <w:rsid w:val="002F2432"/>
    <w:rsid w:val="002F2B44"/>
    <w:rsid w:val="002F3D02"/>
    <w:rsid w:val="002F3F10"/>
    <w:rsid w:val="002F3F49"/>
    <w:rsid w:val="002F40A9"/>
    <w:rsid w:val="002F42E1"/>
    <w:rsid w:val="002F4F41"/>
    <w:rsid w:val="002F5B24"/>
    <w:rsid w:val="002F5DB6"/>
    <w:rsid w:val="002F6148"/>
    <w:rsid w:val="00300091"/>
    <w:rsid w:val="00301BC3"/>
    <w:rsid w:val="0030288C"/>
    <w:rsid w:val="003038E2"/>
    <w:rsid w:val="00305ECB"/>
    <w:rsid w:val="00305ECE"/>
    <w:rsid w:val="00305F35"/>
    <w:rsid w:val="00306951"/>
    <w:rsid w:val="003101FD"/>
    <w:rsid w:val="003102F1"/>
    <w:rsid w:val="00310841"/>
    <w:rsid w:val="00310AD9"/>
    <w:rsid w:val="00310FA5"/>
    <w:rsid w:val="00311603"/>
    <w:rsid w:val="00311BE7"/>
    <w:rsid w:val="00311E9F"/>
    <w:rsid w:val="003120B7"/>
    <w:rsid w:val="003126BC"/>
    <w:rsid w:val="00312D0D"/>
    <w:rsid w:val="00313041"/>
    <w:rsid w:val="003131C2"/>
    <w:rsid w:val="003135B9"/>
    <w:rsid w:val="00313678"/>
    <w:rsid w:val="003145FC"/>
    <w:rsid w:val="00314B2E"/>
    <w:rsid w:val="00314FB6"/>
    <w:rsid w:val="00315503"/>
    <w:rsid w:val="00315B5D"/>
    <w:rsid w:val="00315CAD"/>
    <w:rsid w:val="00316A17"/>
    <w:rsid w:val="00317498"/>
    <w:rsid w:val="00317CB8"/>
    <w:rsid w:val="003214F6"/>
    <w:rsid w:val="00321680"/>
    <w:rsid w:val="0032179E"/>
    <w:rsid w:val="00322A92"/>
    <w:rsid w:val="00322D43"/>
    <w:rsid w:val="00322F7D"/>
    <w:rsid w:val="003237DC"/>
    <w:rsid w:val="0032488B"/>
    <w:rsid w:val="00325342"/>
    <w:rsid w:val="00325C89"/>
    <w:rsid w:val="00325E06"/>
    <w:rsid w:val="003261EE"/>
    <w:rsid w:val="00326264"/>
    <w:rsid w:val="0032710A"/>
    <w:rsid w:val="00327C6F"/>
    <w:rsid w:val="003307B1"/>
    <w:rsid w:val="0033130A"/>
    <w:rsid w:val="00331877"/>
    <w:rsid w:val="003318C9"/>
    <w:rsid w:val="003326D1"/>
    <w:rsid w:val="003327D6"/>
    <w:rsid w:val="003329F8"/>
    <w:rsid w:val="00332A98"/>
    <w:rsid w:val="00332AC1"/>
    <w:rsid w:val="00332BBF"/>
    <w:rsid w:val="003331B0"/>
    <w:rsid w:val="00333371"/>
    <w:rsid w:val="00334004"/>
    <w:rsid w:val="00334279"/>
    <w:rsid w:val="0033491A"/>
    <w:rsid w:val="00335D2B"/>
    <w:rsid w:val="00336C28"/>
    <w:rsid w:val="00336D60"/>
    <w:rsid w:val="00337AF3"/>
    <w:rsid w:val="00337C45"/>
    <w:rsid w:val="00340231"/>
    <w:rsid w:val="00340D00"/>
    <w:rsid w:val="0034119B"/>
    <w:rsid w:val="00341A18"/>
    <w:rsid w:val="003420FA"/>
    <w:rsid w:val="0034239B"/>
    <w:rsid w:val="00342674"/>
    <w:rsid w:val="003427AB"/>
    <w:rsid w:val="003427DB"/>
    <w:rsid w:val="00342912"/>
    <w:rsid w:val="003429B1"/>
    <w:rsid w:val="00342C61"/>
    <w:rsid w:val="00342DE8"/>
    <w:rsid w:val="0034308C"/>
    <w:rsid w:val="00344089"/>
    <w:rsid w:val="003441F8"/>
    <w:rsid w:val="003446F4"/>
    <w:rsid w:val="00344A50"/>
    <w:rsid w:val="00344C21"/>
    <w:rsid w:val="003452A0"/>
    <w:rsid w:val="00345498"/>
    <w:rsid w:val="00345EE6"/>
    <w:rsid w:val="00346565"/>
    <w:rsid w:val="003467E5"/>
    <w:rsid w:val="00346852"/>
    <w:rsid w:val="00346A51"/>
    <w:rsid w:val="003471C7"/>
    <w:rsid w:val="0034798A"/>
    <w:rsid w:val="00347C58"/>
    <w:rsid w:val="003500B1"/>
    <w:rsid w:val="003501B4"/>
    <w:rsid w:val="00350570"/>
    <w:rsid w:val="00350F3C"/>
    <w:rsid w:val="0035106A"/>
    <w:rsid w:val="00352E41"/>
    <w:rsid w:val="00353883"/>
    <w:rsid w:val="00354B87"/>
    <w:rsid w:val="00356561"/>
    <w:rsid w:val="003565DD"/>
    <w:rsid w:val="0035725D"/>
    <w:rsid w:val="0035725F"/>
    <w:rsid w:val="00360203"/>
    <w:rsid w:val="00360382"/>
    <w:rsid w:val="003604E4"/>
    <w:rsid w:val="0036061C"/>
    <w:rsid w:val="00360B11"/>
    <w:rsid w:val="00360CD0"/>
    <w:rsid w:val="0036101E"/>
    <w:rsid w:val="003617FB"/>
    <w:rsid w:val="00361981"/>
    <w:rsid w:val="00361D94"/>
    <w:rsid w:val="00361E34"/>
    <w:rsid w:val="003622E9"/>
    <w:rsid w:val="00362770"/>
    <w:rsid w:val="00364685"/>
    <w:rsid w:val="00364791"/>
    <w:rsid w:val="003648FA"/>
    <w:rsid w:val="0036501A"/>
    <w:rsid w:val="00365E0A"/>
    <w:rsid w:val="00365E1C"/>
    <w:rsid w:val="00366496"/>
    <w:rsid w:val="003667D7"/>
    <w:rsid w:val="00366936"/>
    <w:rsid w:val="00366BFB"/>
    <w:rsid w:val="003670A6"/>
    <w:rsid w:val="00367472"/>
    <w:rsid w:val="00367473"/>
    <w:rsid w:val="00367516"/>
    <w:rsid w:val="003677BC"/>
    <w:rsid w:val="00367D93"/>
    <w:rsid w:val="00370314"/>
    <w:rsid w:val="003712E4"/>
    <w:rsid w:val="00372653"/>
    <w:rsid w:val="0037268B"/>
    <w:rsid w:val="003732AE"/>
    <w:rsid w:val="003735FC"/>
    <w:rsid w:val="0037398C"/>
    <w:rsid w:val="00373DB2"/>
    <w:rsid w:val="00374887"/>
    <w:rsid w:val="00374B72"/>
    <w:rsid w:val="00374DBA"/>
    <w:rsid w:val="00375197"/>
    <w:rsid w:val="003759C6"/>
    <w:rsid w:val="00376547"/>
    <w:rsid w:val="00376CD6"/>
    <w:rsid w:val="00377E16"/>
    <w:rsid w:val="00380C43"/>
    <w:rsid w:val="00380D0E"/>
    <w:rsid w:val="00380E78"/>
    <w:rsid w:val="003811C6"/>
    <w:rsid w:val="00381709"/>
    <w:rsid w:val="003840B2"/>
    <w:rsid w:val="00384388"/>
    <w:rsid w:val="00384B23"/>
    <w:rsid w:val="00385010"/>
    <w:rsid w:val="00385A1A"/>
    <w:rsid w:val="00385D58"/>
    <w:rsid w:val="00387745"/>
    <w:rsid w:val="003878EF"/>
    <w:rsid w:val="00387A1B"/>
    <w:rsid w:val="00390827"/>
    <w:rsid w:val="00391395"/>
    <w:rsid w:val="00392057"/>
    <w:rsid w:val="003920E0"/>
    <w:rsid w:val="00392B21"/>
    <w:rsid w:val="003944B6"/>
    <w:rsid w:val="00394AD4"/>
    <w:rsid w:val="00394B94"/>
    <w:rsid w:val="00395216"/>
    <w:rsid w:val="00395A2A"/>
    <w:rsid w:val="00395CAD"/>
    <w:rsid w:val="00396FC9"/>
    <w:rsid w:val="00397468"/>
    <w:rsid w:val="00397761"/>
    <w:rsid w:val="00397EF5"/>
    <w:rsid w:val="003A0158"/>
    <w:rsid w:val="003A038E"/>
    <w:rsid w:val="003A0691"/>
    <w:rsid w:val="003A0924"/>
    <w:rsid w:val="003A09AF"/>
    <w:rsid w:val="003A1112"/>
    <w:rsid w:val="003A154E"/>
    <w:rsid w:val="003A1A8D"/>
    <w:rsid w:val="003A2265"/>
    <w:rsid w:val="003A2575"/>
    <w:rsid w:val="003A2C21"/>
    <w:rsid w:val="003A2CEF"/>
    <w:rsid w:val="003A31AF"/>
    <w:rsid w:val="003A33CC"/>
    <w:rsid w:val="003A3559"/>
    <w:rsid w:val="003A47FD"/>
    <w:rsid w:val="003A4AA3"/>
    <w:rsid w:val="003A515C"/>
    <w:rsid w:val="003A5366"/>
    <w:rsid w:val="003A536D"/>
    <w:rsid w:val="003A53AF"/>
    <w:rsid w:val="003A5CF1"/>
    <w:rsid w:val="003A6663"/>
    <w:rsid w:val="003B00C5"/>
    <w:rsid w:val="003B05FB"/>
    <w:rsid w:val="003B13A8"/>
    <w:rsid w:val="003B1F3D"/>
    <w:rsid w:val="003B2B65"/>
    <w:rsid w:val="003B30F5"/>
    <w:rsid w:val="003B3125"/>
    <w:rsid w:val="003B33AC"/>
    <w:rsid w:val="003B37DA"/>
    <w:rsid w:val="003B3BF8"/>
    <w:rsid w:val="003B3DE7"/>
    <w:rsid w:val="003B46FA"/>
    <w:rsid w:val="003B4A88"/>
    <w:rsid w:val="003B50CB"/>
    <w:rsid w:val="003B54F9"/>
    <w:rsid w:val="003B592F"/>
    <w:rsid w:val="003B5ABE"/>
    <w:rsid w:val="003B5B82"/>
    <w:rsid w:val="003B67EA"/>
    <w:rsid w:val="003B6ADD"/>
    <w:rsid w:val="003B6CDC"/>
    <w:rsid w:val="003B716F"/>
    <w:rsid w:val="003B71B5"/>
    <w:rsid w:val="003B7C3A"/>
    <w:rsid w:val="003B7D39"/>
    <w:rsid w:val="003C01C8"/>
    <w:rsid w:val="003C0344"/>
    <w:rsid w:val="003C1138"/>
    <w:rsid w:val="003C1548"/>
    <w:rsid w:val="003C21CF"/>
    <w:rsid w:val="003C3C6A"/>
    <w:rsid w:val="003C3D1B"/>
    <w:rsid w:val="003C44FE"/>
    <w:rsid w:val="003C5B8B"/>
    <w:rsid w:val="003C5B94"/>
    <w:rsid w:val="003C5CCD"/>
    <w:rsid w:val="003C5F87"/>
    <w:rsid w:val="003C6028"/>
    <w:rsid w:val="003C69B4"/>
    <w:rsid w:val="003C6B70"/>
    <w:rsid w:val="003C6D05"/>
    <w:rsid w:val="003C7017"/>
    <w:rsid w:val="003C71D5"/>
    <w:rsid w:val="003C7DF7"/>
    <w:rsid w:val="003D138C"/>
    <w:rsid w:val="003D13E2"/>
    <w:rsid w:val="003D145E"/>
    <w:rsid w:val="003D1AB7"/>
    <w:rsid w:val="003D1F99"/>
    <w:rsid w:val="003D1FE2"/>
    <w:rsid w:val="003D205B"/>
    <w:rsid w:val="003D2223"/>
    <w:rsid w:val="003D3BAF"/>
    <w:rsid w:val="003D3E66"/>
    <w:rsid w:val="003D4233"/>
    <w:rsid w:val="003D4654"/>
    <w:rsid w:val="003D50BC"/>
    <w:rsid w:val="003D54B8"/>
    <w:rsid w:val="003D5BFE"/>
    <w:rsid w:val="003D6128"/>
    <w:rsid w:val="003D6488"/>
    <w:rsid w:val="003D668B"/>
    <w:rsid w:val="003D6A9A"/>
    <w:rsid w:val="003E0884"/>
    <w:rsid w:val="003E0C8D"/>
    <w:rsid w:val="003E1185"/>
    <w:rsid w:val="003E1964"/>
    <w:rsid w:val="003E212C"/>
    <w:rsid w:val="003E24DF"/>
    <w:rsid w:val="003E3931"/>
    <w:rsid w:val="003E3B09"/>
    <w:rsid w:val="003E3D79"/>
    <w:rsid w:val="003E443C"/>
    <w:rsid w:val="003E4D0A"/>
    <w:rsid w:val="003E4F72"/>
    <w:rsid w:val="003E5B08"/>
    <w:rsid w:val="003E5E07"/>
    <w:rsid w:val="003E66B3"/>
    <w:rsid w:val="003E6D2B"/>
    <w:rsid w:val="003E6E30"/>
    <w:rsid w:val="003F014D"/>
    <w:rsid w:val="003F0DB5"/>
    <w:rsid w:val="003F122A"/>
    <w:rsid w:val="003F1590"/>
    <w:rsid w:val="003F1834"/>
    <w:rsid w:val="003F2064"/>
    <w:rsid w:val="003F257F"/>
    <w:rsid w:val="003F267F"/>
    <w:rsid w:val="003F29AD"/>
    <w:rsid w:val="003F2AAF"/>
    <w:rsid w:val="003F2E4B"/>
    <w:rsid w:val="003F3AF8"/>
    <w:rsid w:val="003F3DFB"/>
    <w:rsid w:val="003F4B2E"/>
    <w:rsid w:val="003F52F2"/>
    <w:rsid w:val="003F560A"/>
    <w:rsid w:val="003F5F8C"/>
    <w:rsid w:val="003F746D"/>
    <w:rsid w:val="003F77DD"/>
    <w:rsid w:val="00400213"/>
    <w:rsid w:val="00400428"/>
    <w:rsid w:val="00400E79"/>
    <w:rsid w:val="00400F61"/>
    <w:rsid w:val="00401158"/>
    <w:rsid w:val="004011BC"/>
    <w:rsid w:val="0040148B"/>
    <w:rsid w:val="00401ACF"/>
    <w:rsid w:val="0040267B"/>
    <w:rsid w:val="00402F86"/>
    <w:rsid w:val="00403975"/>
    <w:rsid w:val="004039EF"/>
    <w:rsid w:val="00404119"/>
    <w:rsid w:val="004045B0"/>
    <w:rsid w:val="00404B67"/>
    <w:rsid w:val="00405500"/>
    <w:rsid w:val="00405A61"/>
    <w:rsid w:val="00405D0B"/>
    <w:rsid w:val="00405DCC"/>
    <w:rsid w:val="00405E98"/>
    <w:rsid w:val="00406069"/>
    <w:rsid w:val="00406228"/>
    <w:rsid w:val="00406436"/>
    <w:rsid w:val="004077C8"/>
    <w:rsid w:val="00407AB6"/>
    <w:rsid w:val="00407E01"/>
    <w:rsid w:val="00407E1D"/>
    <w:rsid w:val="004103A5"/>
    <w:rsid w:val="004103EE"/>
    <w:rsid w:val="004105B5"/>
    <w:rsid w:val="00410910"/>
    <w:rsid w:val="004109BC"/>
    <w:rsid w:val="00410C9C"/>
    <w:rsid w:val="00410E37"/>
    <w:rsid w:val="00411878"/>
    <w:rsid w:val="00411E19"/>
    <w:rsid w:val="00412215"/>
    <w:rsid w:val="004125EE"/>
    <w:rsid w:val="00412903"/>
    <w:rsid w:val="00412F86"/>
    <w:rsid w:val="00413793"/>
    <w:rsid w:val="0041380D"/>
    <w:rsid w:val="00413ABC"/>
    <w:rsid w:val="00413FD1"/>
    <w:rsid w:val="0041432F"/>
    <w:rsid w:val="0041435C"/>
    <w:rsid w:val="00415259"/>
    <w:rsid w:val="0041587E"/>
    <w:rsid w:val="00416587"/>
    <w:rsid w:val="00416AAE"/>
    <w:rsid w:val="00416B20"/>
    <w:rsid w:val="00416F11"/>
    <w:rsid w:val="0041702B"/>
    <w:rsid w:val="00417B15"/>
    <w:rsid w:val="00420160"/>
    <w:rsid w:val="004205C4"/>
    <w:rsid w:val="00422190"/>
    <w:rsid w:val="00422EE2"/>
    <w:rsid w:val="0042316B"/>
    <w:rsid w:val="004231EA"/>
    <w:rsid w:val="0042356B"/>
    <w:rsid w:val="00423E27"/>
    <w:rsid w:val="004241BF"/>
    <w:rsid w:val="004242E9"/>
    <w:rsid w:val="00425090"/>
    <w:rsid w:val="00425342"/>
    <w:rsid w:val="004256D1"/>
    <w:rsid w:val="00426158"/>
    <w:rsid w:val="004271ED"/>
    <w:rsid w:val="00430A55"/>
    <w:rsid w:val="00430F18"/>
    <w:rsid w:val="0043134B"/>
    <w:rsid w:val="004318AB"/>
    <w:rsid w:val="0043198E"/>
    <w:rsid w:val="0043252B"/>
    <w:rsid w:val="00432835"/>
    <w:rsid w:val="004328B3"/>
    <w:rsid w:val="00432AD1"/>
    <w:rsid w:val="00432B56"/>
    <w:rsid w:val="00433145"/>
    <w:rsid w:val="00433346"/>
    <w:rsid w:val="00434BAA"/>
    <w:rsid w:val="00434E4B"/>
    <w:rsid w:val="00436087"/>
    <w:rsid w:val="004364FC"/>
    <w:rsid w:val="0043684B"/>
    <w:rsid w:val="00437033"/>
    <w:rsid w:val="00437853"/>
    <w:rsid w:val="00440347"/>
    <w:rsid w:val="00440C4B"/>
    <w:rsid w:val="004412A4"/>
    <w:rsid w:val="00441CA9"/>
    <w:rsid w:val="00441F74"/>
    <w:rsid w:val="0044261A"/>
    <w:rsid w:val="004428E5"/>
    <w:rsid w:val="00442B29"/>
    <w:rsid w:val="00442B77"/>
    <w:rsid w:val="00442BE6"/>
    <w:rsid w:val="004431E2"/>
    <w:rsid w:val="00443308"/>
    <w:rsid w:val="004440AF"/>
    <w:rsid w:val="0044429D"/>
    <w:rsid w:val="00444365"/>
    <w:rsid w:val="00444625"/>
    <w:rsid w:val="00444FA8"/>
    <w:rsid w:val="004453DD"/>
    <w:rsid w:val="0044632C"/>
    <w:rsid w:val="0044639A"/>
    <w:rsid w:val="00446F5F"/>
    <w:rsid w:val="004470A5"/>
    <w:rsid w:val="00447726"/>
    <w:rsid w:val="00450533"/>
    <w:rsid w:val="00450548"/>
    <w:rsid w:val="00450CAF"/>
    <w:rsid w:val="00450F63"/>
    <w:rsid w:val="0045114D"/>
    <w:rsid w:val="004517DD"/>
    <w:rsid w:val="00451A23"/>
    <w:rsid w:val="00451C29"/>
    <w:rsid w:val="00451E59"/>
    <w:rsid w:val="00451F9E"/>
    <w:rsid w:val="00452010"/>
    <w:rsid w:val="00452709"/>
    <w:rsid w:val="00452A29"/>
    <w:rsid w:val="00452E77"/>
    <w:rsid w:val="00453C9F"/>
    <w:rsid w:val="00453CD0"/>
    <w:rsid w:val="00454C06"/>
    <w:rsid w:val="004550F5"/>
    <w:rsid w:val="0045511E"/>
    <w:rsid w:val="0045648A"/>
    <w:rsid w:val="00457591"/>
    <w:rsid w:val="0045798D"/>
    <w:rsid w:val="00457C1C"/>
    <w:rsid w:val="004600C2"/>
    <w:rsid w:val="004601AE"/>
    <w:rsid w:val="00460C2E"/>
    <w:rsid w:val="0046128C"/>
    <w:rsid w:val="004613F6"/>
    <w:rsid w:val="0046148B"/>
    <w:rsid w:val="00461FBC"/>
    <w:rsid w:val="004623C7"/>
    <w:rsid w:val="004636E4"/>
    <w:rsid w:val="00463E56"/>
    <w:rsid w:val="004647D5"/>
    <w:rsid w:val="00464E58"/>
    <w:rsid w:val="00464FEB"/>
    <w:rsid w:val="004655D0"/>
    <w:rsid w:val="00466127"/>
    <w:rsid w:val="004662CD"/>
    <w:rsid w:val="0046647E"/>
    <w:rsid w:val="00466902"/>
    <w:rsid w:val="00466B91"/>
    <w:rsid w:val="00466F5A"/>
    <w:rsid w:val="00467909"/>
    <w:rsid w:val="004679CE"/>
    <w:rsid w:val="00467D64"/>
    <w:rsid w:val="00470A03"/>
    <w:rsid w:val="0047141F"/>
    <w:rsid w:val="00471599"/>
    <w:rsid w:val="00472577"/>
    <w:rsid w:val="004738ED"/>
    <w:rsid w:val="00473D3B"/>
    <w:rsid w:val="0047416B"/>
    <w:rsid w:val="004745C6"/>
    <w:rsid w:val="004747D8"/>
    <w:rsid w:val="00474967"/>
    <w:rsid w:val="00475506"/>
    <w:rsid w:val="00475D0E"/>
    <w:rsid w:val="00475EF5"/>
    <w:rsid w:val="0047637C"/>
    <w:rsid w:val="00476F4D"/>
    <w:rsid w:val="00477D95"/>
    <w:rsid w:val="00477F01"/>
    <w:rsid w:val="00480061"/>
    <w:rsid w:val="00480C9E"/>
    <w:rsid w:val="00481252"/>
    <w:rsid w:val="004812DD"/>
    <w:rsid w:val="00481C2B"/>
    <w:rsid w:val="00482125"/>
    <w:rsid w:val="00482D3B"/>
    <w:rsid w:val="004831F1"/>
    <w:rsid w:val="00483D8F"/>
    <w:rsid w:val="0048402F"/>
    <w:rsid w:val="004845C7"/>
    <w:rsid w:val="00485060"/>
    <w:rsid w:val="00485A01"/>
    <w:rsid w:val="00485CF1"/>
    <w:rsid w:val="004869B8"/>
    <w:rsid w:val="004872F8"/>
    <w:rsid w:val="00487774"/>
    <w:rsid w:val="00487880"/>
    <w:rsid w:val="0049241B"/>
    <w:rsid w:val="00492FB5"/>
    <w:rsid w:val="00494067"/>
    <w:rsid w:val="00494411"/>
    <w:rsid w:val="00495773"/>
    <w:rsid w:val="00496316"/>
    <w:rsid w:val="00496682"/>
    <w:rsid w:val="0049690D"/>
    <w:rsid w:val="004969B6"/>
    <w:rsid w:val="0049730F"/>
    <w:rsid w:val="004975A1"/>
    <w:rsid w:val="004978AE"/>
    <w:rsid w:val="00497E0F"/>
    <w:rsid w:val="004A0721"/>
    <w:rsid w:val="004A0908"/>
    <w:rsid w:val="004A0CD2"/>
    <w:rsid w:val="004A1014"/>
    <w:rsid w:val="004A173E"/>
    <w:rsid w:val="004A1D30"/>
    <w:rsid w:val="004A2995"/>
    <w:rsid w:val="004A2F7E"/>
    <w:rsid w:val="004A315D"/>
    <w:rsid w:val="004A3519"/>
    <w:rsid w:val="004A3815"/>
    <w:rsid w:val="004A3F40"/>
    <w:rsid w:val="004A3F81"/>
    <w:rsid w:val="004A4439"/>
    <w:rsid w:val="004A4559"/>
    <w:rsid w:val="004A4FD5"/>
    <w:rsid w:val="004A5003"/>
    <w:rsid w:val="004A6661"/>
    <w:rsid w:val="004A77B0"/>
    <w:rsid w:val="004A7AE7"/>
    <w:rsid w:val="004B0D74"/>
    <w:rsid w:val="004B0E48"/>
    <w:rsid w:val="004B13BB"/>
    <w:rsid w:val="004B1636"/>
    <w:rsid w:val="004B2005"/>
    <w:rsid w:val="004B2E36"/>
    <w:rsid w:val="004B3327"/>
    <w:rsid w:val="004B34A6"/>
    <w:rsid w:val="004B3A6B"/>
    <w:rsid w:val="004B4475"/>
    <w:rsid w:val="004B4838"/>
    <w:rsid w:val="004B48EB"/>
    <w:rsid w:val="004B4907"/>
    <w:rsid w:val="004B4C7E"/>
    <w:rsid w:val="004B4D99"/>
    <w:rsid w:val="004B5B28"/>
    <w:rsid w:val="004B61F2"/>
    <w:rsid w:val="004B637D"/>
    <w:rsid w:val="004B63DC"/>
    <w:rsid w:val="004B654A"/>
    <w:rsid w:val="004B6813"/>
    <w:rsid w:val="004B68E8"/>
    <w:rsid w:val="004B6A2A"/>
    <w:rsid w:val="004B6D98"/>
    <w:rsid w:val="004B73F2"/>
    <w:rsid w:val="004B7A1A"/>
    <w:rsid w:val="004B7E1A"/>
    <w:rsid w:val="004B7F8A"/>
    <w:rsid w:val="004C0516"/>
    <w:rsid w:val="004C0AF2"/>
    <w:rsid w:val="004C163D"/>
    <w:rsid w:val="004C1DD9"/>
    <w:rsid w:val="004C34BA"/>
    <w:rsid w:val="004C35F0"/>
    <w:rsid w:val="004C37C7"/>
    <w:rsid w:val="004C38B2"/>
    <w:rsid w:val="004C3D18"/>
    <w:rsid w:val="004C4331"/>
    <w:rsid w:val="004C4594"/>
    <w:rsid w:val="004C53F7"/>
    <w:rsid w:val="004C5493"/>
    <w:rsid w:val="004C5C29"/>
    <w:rsid w:val="004C6110"/>
    <w:rsid w:val="004C641B"/>
    <w:rsid w:val="004C648D"/>
    <w:rsid w:val="004C7ED9"/>
    <w:rsid w:val="004C7FDC"/>
    <w:rsid w:val="004C7FEF"/>
    <w:rsid w:val="004D01DB"/>
    <w:rsid w:val="004D047B"/>
    <w:rsid w:val="004D19C0"/>
    <w:rsid w:val="004D2537"/>
    <w:rsid w:val="004D2C37"/>
    <w:rsid w:val="004D2F41"/>
    <w:rsid w:val="004D2F6B"/>
    <w:rsid w:val="004D3434"/>
    <w:rsid w:val="004D3593"/>
    <w:rsid w:val="004D3EEB"/>
    <w:rsid w:val="004D4812"/>
    <w:rsid w:val="004D511D"/>
    <w:rsid w:val="004D5A0A"/>
    <w:rsid w:val="004D750C"/>
    <w:rsid w:val="004E0517"/>
    <w:rsid w:val="004E0586"/>
    <w:rsid w:val="004E07C1"/>
    <w:rsid w:val="004E1173"/>
    <w:rsid w:val="004E13E3"/>
    <w:rsid w:val="004E2545"/>
    <w:rsid w:val="004E269D"/>
    <w:rsid w:val="004E2F9F"/>
    <w:rsid w:val="004E3283"/>
    <w:rsid w:val="004E32BC"/>
    <w:rsid w:val="004E38C7"/>
    <w:rsid w:val="004E3B1A"/>
    <w:rsid w:val="004E48BA"/>
    <w:rsid w:val="004E5B67"/>
    <w:rsid w:val="004E5B8C"/>
    <w:rsid w:val="004E5C9A"/>
    <w:rsid w:val="004E6587"/>
    <w:rsid w:val="004E68C0"/>
    <w:rsid w:val="004F049E"/>
    <w:rsid w:val="004F13F6"/>
    <w:rsid w:val="004F16E5"/>
    <w:rsid w:val="004F18E6"/>
    <w:rsid w:val="004F1F21"/>
    <w:rsid w:val="004F239B"/>
    <w:rsid w:val="004F25DF"/>
    <w:rsid w:val="004F2AB0"/>
    <w:rsid w:val="004F2AF9"/>
    <w:rsid w:val="004F2B04"/>
    <w:rsid w:val="004F2C00"/>
    <w:rsid w:val="004F2CDA"/>
    <w:rsid w:val="004F3044"/>
    <w:rsid w:val="004F3906"/>
    <w:rsid w:val="004F4ACE"/>
    <w:rsid w:val="004F4DB7"/>
    <w:rsid w:val="004F50AF"/>
    <w:rsid w:val="004F524D"/>
    <w:rsid w:val="004F5304"/>
    <w:rsid w:val="004F5673"/>
    <w:rsid w:val="004F6766"/>
    <w:rsid w:val="004F6ACB"/>
    <w:rsid w:val="00500207"/>
    <w:rsid w:val="005002F9"/>
    <w:rsid w:val="0050036A"/>
    <w:rsid w:val="00500834"/>
    <w:rsid w:val="00500D18"/>
    <w:rsid w:val="00500DAC"/>
    <w:rsid w:val="00500EF7"/>
    <w:rsid w:val="00500FCB"/>
    <w:rsid w:val="005011AD"/>
    <w:rsid w:val="00501A49"/>
    <w:rsid w:val="0050204A"/>
    <w:rsid w:val="005023CB"/>
    <w:rsid w:val="0050271C"/>
    <w:rsid w:val="00503153"/>
    <w:rsid w:val="0050417C"/>
    <w:rsid w:val="00504BD0"/>
    <w:rsid w:val="00504D87"/>
    <w:rsid w:val="00504E70"/>
    <w:rsid w:val="0050514C"/>
    <w:rsid w:val="00505A93"/>
    <w:rsid w:val="005061DB"/>
    <w:rsid w:val="0050621C"/>
    <w:rsid w:val="005067FB"/>
    <w:rsid w:val="005068CC"/>
    <w:rsid w:val="00506CBE"/>
    <w:rsid w:val="005075EB"/>
    <w:rsid w:val="005077CA"/>
    <w:rsid w:val="00507A31"/>
    <w:rsid w:val="00507DA3"/>
    <w:rsid w:val="005102F0"/>
    <w:rsid w:val="00510B92"/>
    <w:rsid w:val="00512B1C"/>
    <w:rsid w:val="005135CE"/>
    <w:rsid w:val="0051411E"/>
    <w:rsid w:val="0051424F"/>
    <w:rsid w:val="00514EEB"/>
    <w:rsid w:val="00515013"/>
    <w:rsid w:val="00515248"/>
    <w:rsid w:val="005157EA"/>
    <w:rsid w:val="00515935"/>
    <w:rsid w:val="005165A9"/>
    <w:rsid w:val="00517056"/>
    <w:rsid w:val="00517E96"/>
    <w:rsid w:val="005201BE"/>
    <w:rsid w:val="00520411"/>
    <w:rsid w:val="00520C43"/>
    <w:rsid w:val="00521779"/>
    <w:rsid w:val="00521BE4"/>
    <w:rsid w:val="00521E9F"/>
    <w:rsid w:val="00522435"/>
    <w:rsid w:val="00522A33"/>
    <w:rsid w:val="00522AFE"/>
    <w:rsid w:val="00522D6A"/>
    <w:rsid w:val="00522D92"/>
    <w:rsid w:val="00522DDD"/>
    <w:rsid w:val="00523645"/>
    <w:rsid w:val="005237BC"/>
    <w:rsid w:val="00523985"/>
    <w:rsid w:val="005239C0"/>
    <w:rsid w:val="00523E53"/>
    <w:rsid w:val="00523F89"/>
    <w:rsid w:val="0052439B"/>
    <w:rsid w:val="00524626"/>
    <w:rsid w:val="00524FC8"/>
    <w:rsid w:val="0052571A"/>
    <w:rsid w:val="00525F1A"/>
    <w:rsid w:val="00525F4B"/>
    <w:rsid w:val="0052630C"/>
    <w:rsid w:val="005269EE"/>
    <w:rsid w:val="005271BE"/>
    <w:rsid w:val="00527B0F"/>
    <w:rsid w:val="00527B27"/>
    <w:rsid w:val="00527DB2"/>
    <w:rsid w:val="005307AC"/>
    <w:rsid w:val="00530CCD"/>
    <w:rsid w:val="00531686"/>
    <w:rsid w:val="00531BE4"/>
    <w:rsid w:val="0053239F"/>
    <w:rsid w:val="005323B2"/>
    <w:rsid w:val="005329ED"/>
    <w:rsid w:val="00533A73"/>
    <w:rsid w:val="00533ACD"/>
    <w:rsid w:val="00534258"/>
    <w:rsid w:val="0053458C"/>
    <w:rsid w:val="0053677D"/>
    <w:rsid w:val="00536C53"/>
    <w:rsid w:val="005375BC"/>
    <w:rsid w:val="00537A65"/>
    <w:rsid w:val="00540654"/>
    <w:rsid w:val="00540F06"/>
    <w:rsid w:val="00542826"/>
    <w:rsid w:val="00542BDA"/>
    <w:rsid w:val="00544265"/>
    <w:rsid w:val="00544EB9"/>
    <w:rsid w:val="00544F59"/>
    <w:rsid w:val="005457A2"/>
    <w:rsid w:val="00545C7B"/>
    <w:rsid w:val="00546401"/>
    <w:rsid w:val="0054697C"/>
    <w:rsid w:val="00547FA4"/>
    <w:rsid w:val="005506E0"/>
    <w:rsid w:val="00550B2D"/>
    <w:rsid w:val="00550B4A"/>
    <w:rsid w:val="00550C59"/>
    <w:rsid w:val="00550E10"/>
    <w:rsid w:val="00550E3C"/>
    <w:rsid w:val="00551EB9"/>
    <w:rsid w:val="00552368"/>
    <w:rsid w:val="005524DA"/>
    <w:rsid w:val="00552AE6"/>
    <w:rsid w:val="00552E18"/>
    <w:rsid w:val="00552E7D"/>
    <w:rsid w:val="00552EB3"/>
    <w:rsid w:val="00552FA7"/>
    <w:rsid w:val="005535C6"/>
    <w:rsid w:val="0055397E"/>
    <w:rsid w:val="00553994"/>
    <w:rsid w:val="00554437"/>
    <w:rsid w:val="00554D97"/>
    <w:rsid w:val="00554EB8"/>
    <w:rsid w:val="00555378"/>
    <w:rsid w:val="0055537D"/>
    <w:rsid w:val="005556C7"/>
    <w:rsid w:val="0055591B"/>
    <w:rsid w:val="00556231"/>
    <w:rsid w:val="00556751"/>
    <w:rsid w:val="00556846"/>
    <w:rsid w:val="00556EF7"/>
    <w:rsid w:val="0055703F"/>
    <w:rsid w:val="00557415"/>
    <w:rsid w:val="00557975"/>
    <w:rsid w:val="00557DBC"/>
    <w:rsid w:val="005601B0"/>
    <w:rsid w:val="005607A8"/>
    <w:rsid w:val="00560899"/>
    <w:rsid w:val="00560CA6"/>
    <w:rsid w:val="005617E5"/>
    <w:rsid w:val="0056222C"/>
    <w:rsid w:val="00562487"/>
    <w:rsid w:val="00563597"/>
    <w:rsid w:val="00563600"/>
    <w:rsid w:val="005639C6"/>
    <w:rsid w:val="00563FA5"/>
    <w:rsid w:val="00564598"/>
    <w:rsid w:val="005646ED"/>
    <w:rsid w:val="00564A4E"/>
    <w:rsid w:val="00564EBD"/>
    <w:rsid w:val="00565378"/>
    <w:rsid w:val="005660A9"/>
    <w:rsid w:val="00566669"/>
    <w:rsid w:val="00566BFB"/>
    <w:rsid w:val="00567AF0"/>
    <w:rsid w:val="00570288"/>
    <w:rsid w:val="00570B76"/>
    <w:rsid w:val="00571AC6"/>
    <w:rsid w:val="00572393"/>
    <w:rsid w:val="00572555"/>
    <w:rsid w:val="005726EF"/>
    <w:rsid w:val="00572829"/>
    <w:rsid w:val="00572832"/>
    <w:rsid w:val="00572EB9"/>
    <w:rsid w:val="0057328C"/>
    <w:rsid w:val="00573C0A"/>
    <w:rsid w:val="00574D93"/>
    <w:rsid w:val="00575162"/>
    <w:rsid w:val="00575337"/>
    <w:rsid w:val="0057533C"/>
    <w:rsid w:val="0057542B"/>
    <w:rsid w:val="005755D9"/>
    <w:rsid w:val="005756C7"/>
    <w:rsid w:val="00575AC7"/>
    <w:rsid w:val="00575CDB"/>
    <w:rsid w:val="00576DE2"/>
    <w:rsid w:val="00577329"/>
    <w:rsid w:val="005774A5"/>
    <w:rsid w:val="00577631"/>
    <w:rsid w:val="00577777"/>
    <w:rsid w:val="005811F2"/>
    <w:rsid w:val="00581A10"/>
    <w:rsid w:val="00582420"/>
    <w:rsid w:val="005828B5"/>
    <w:rsid w:val="005829A4"/>
    <w:rsid w:val="00582F3B"/>
    <w:rsid w:val="0058326D"/>
    <w:rsid w:val="00584708"/>
    <w:rsid w:val="005847B9"/>
    <w:rsid w:val="00584C03"/>
    <w:rsid w:val="00585347"/>
    <w:rsid w:val="0058570A"/>
    <w:rsid w:val="00585765"/>
    <w:rsid w:val="0058577E"/>
    <w:rsid w:val="005858E6"/>
    <w:rsid w:val="00585935"/>
    <w:rsid w:val="00585B58"/>
    <w:rsid w:val="00585C04"/>
    <w:rsid w:val="00585DC7"/>
    <w:rsid w:val="0058627F"/>
    <w:rsid w:val="005872EB"/>
    <w:rsid w:val="00590A09"/>
    <w:rsid w:val="00592515"/>
    <w:rsid w:val="005927DB"/>
    <w:rsid w:val="0059347C"/>
    <w:rsid w:val="005934D9"/>
    <w:rsid w:val="005936DC"/>
    <w:rsid w:val="00593A47"/>
    <w:rsid w:val="00593AA7"/>
    <w:rsid w:val="005941C7"/>
    <w:rsid w:val="005942A9"/>
    <w:rsid w:val="0059441A"/>
    <w:rsid w:val="00595325"/>
    <w:rsid w:val="00595862"/>
    <w:rsid w:val="00597256"/>
    <w:rsid w:val="00597A7E"/>
    <w:rsid w:val="005A0815"/>
    <w:rsid w:val="005A0EA7"/>
    <w:rsid w:val="005A0ED8"/>
    <w:rsid w:val="005A1A9F"/>
    <w:rsid w:val="005A1BAE"/>
    <w:rsid w:val="005A1C0F"/>
    <w:rsid w:val="005A1F69"/>
    <w:rsid w:val="005A28D0"/>
    <w:rsid w:val="005A35EE"/>
    <w:rsid w:val="005A3EA4"/>
    <w:rsid w:val="005A564A"/>
    <w:rsid w:val="005A58FB"/>
    <w:rsid w:val="005A604E"/>
    <w:rsid w:val="005A6123"/>
    <w:rsid w:val="005A6177"/>
    <w:rsid w:val="005A69B5"/>
    <w:rsid w:val="005A7408"/>
    <w:rsid w:val="005A7891"/>
    <w:rsid w:val="005A7B53"/>
    <w:rsid w:val="005B0089"/>
    <w:rsid w:val="005B067B"/>
    <w:rsid w:val="005B10A7"/>
    <w:rsid w:val="005B16AA"/>
    <w:rsid w:val="005B200A"/>
    <w:rsid w:val="005B2C5C"/>
    <w:rsid w:val="005B3044"/>
    <w:rsid w:val="005B311E"/>
    <w:rsid w:val="005B359E"/>
    <w:rsid w:val="005B3FEC"/>
    <w:rsid w:val="005B40BB"/>
    <w:rsid w:val="005B4191"/>
    <w:rsid w:val="005B4879"/>
    <w:rsid w:val="005B491E"/>
    <w:rsid w:val="005B4B6D"/>
    <w:rsid w:val="005B53B7"/>
    <w:rsid w:val="005B5A55"/>
    <w:rsid w:val="005B6874"/>
    <w:rsid w:val="005B69A2"/>
    <w:rsid w:val="005B6B11"/>
    <w:rsid w:val="005B6D0B"/>
    <w:rsid w:val="005B7D3A"/>
    <w:rsid w:val="005C0068"/>
    <w:rsid w:val="005C0589"/>
    <w:rsid w:val="005C068B"/>
    <w:rsid w:val="005C06C7"/>
    <w:rsid w:val="005C0F3E"/>
    <w:rsid w:val="005C1244"/>
    <w:rsid w:val="005C14BD"/>
    <w:rsid w:val="005C1BF1"/>
    <w:rsid w:val="005C1F25"/>
    <w:rsid w:val="005C2116"/>
    <w:rsid w:val="005C2269"/>
    <w:rsid w:val="005C354F"/>
    <w:rsid w:val="005C39FB"/>
    <w:rsid w:val="005C405B"/>
    <w:rsid w:val="005C430D"/>
    <w:rsid w:val="005C4323"/>
    <w:rsid w:val="005C5028"/>
    <w:rsid w:val="005C535E"/>
    <w:rsid w:val="005C594F"/>
    <w:rsid w:val="005C5E19"/>
    <w:rsid w:val="005C6BC6"/>
    <w:rsid w:val="005C76A5"/>
    <w:rsid w:val="005C7E34"/>
    <w:rsid w:val="005C7E41"/>
    <w:rsid w:val="005C7FD0"/>
    <w:rsid w:val="005D02F3"/>
    <w:rsid w:val="005D030E"/>
    <w:rsid w:val="005D072D"/>
    <w:rsid w:val="005D0A27"/>
    <w:rsid w:val="005D0E3E"/>
    <w:rsid w:val="005D1256"/>
    <w:rsid w:val="005D21EB"/>
    <w:rsid w:val="005D21F1"/>
    <w:rsid w:val="005D274A"/>
    <w:rsid w:val="005D3875"/>
    <w:rsid w:val="005D3EBE"/>
    <w:rsid w:val="005D49E3"/>
    <w:rsid w:val="005D51EA"/>
    <w:rsid w:val="005D52EA"/>
    <w:rsid w:val="005D538C"/>
    <w:rsid w:val="005D5777"/>
    <w:rsid w:val="005D5C32"/>
    <w:rsid w:val="005D5D6F"/>
    <w:rsid w:val="005D5D91"/>
    <w:rsid w:val="005D5E11"/>
    <w:rsid w:val="005D603F"/>
    <w:rsid w:val="005D61DA"/>
    <w:rsid w:val="005D67E2"/>
    <w:rsid w:val="005D6F8F"/>
    <w:rsid w:val="005D7AB4"/>
    <w:rsid w:val="005E03A4"/>
    <w:rsid w:val="005E0DAF"/>
    <w:rsid w:val="005E11C8"/>
    <w:rsid w:val="005E145A"/>
    <w:rsid w:val="005E2845"/>
    <w:rsid w:val="005E2A20"/>
    <w:rsid w:val="005E2BBC"/>
    <w:rsid w:val="005E2BF1"/>
    <w:rsid w:val="005E3832"/>
    <w:rsid w:val="005E3D10"/>
    <w:rsid w:val="005E4016"/>
    <w:rsid w:val="005E4879"/>
    <w:rsid w:val="005E4EE4"/>
    <w:rsid w:val="005E53BD"/>
    <w:rsid w:val="005E550B"/>
    <w:rsid w:val="005E5997"/>
    <w:rsid w:val="005E5E4C"/>
    <w:rsid w:val="005E6650"/>
    <w:rsid w:val="005E6A95"/>
    <w:rsid w:val="005E6BFF"/>
    <w:rsid w:val="005E71F2"/>
    <w:rsid w:val="005E7278"/>
    <w:rsid w:val="005F0B57"/>
    <w:rsid w:val="005F1319"/>
    <w:rsid w:val="005F15D5"/>
    <w:rsid w:val="005F19AE"/>
    <w:rsid w:val="005F2884"/>
    <w:rsid w:val="005F2F2D"/>
    <w:rsid w:val="005F34EC"/>
    <w:rsid w:val="005F3898"/>
    <w:rsid w:val="005F41EE"/>
    <w:rsid w:val="005F6286"/>
    <w:rsid w:val="005F62A8"/>
    <w:rsid w:val="005F6ADA"/>
    <w:rsid w:val="005F6C99"/>
    <w:rsid w:val="005F6D2D"/>
    <w:rsid w:val="005F7CD5"/>
    <w:rsid w:val="005F7E0F"/>
    <w:rsid w:val="006002D2"/>
    <w:rsid w:val="0060075A"/>
    <w:rsid w:val="006014C6"/>
    <w:rsid w:val="00601526"/>
    <w:rsid w:val="00601AFD"/>
    <w:rsid w:val="00601BCB"/>
    <w:rsid w:val="00601DFA"/>
    <w:rsid w:val="00602245"/>
    <w:rsid w:val="006026B4"/>
    <w:rsid w:val="00602BAB"/>
    <w:rsid w:val="006042E4"/>
    <w:rsid w:val="00604447"/>
    <w:rsid w:val="0060475B"/>
    <w:rsid w:val="00604DFD"/>
    <w:rsid w:val="00604F0A"/>
    <w:rsid w:val="00605098"/>
    <w:rsid w:val="0060685C"/>
    <w:rsid w:val="0060718E"/>
    <w:rsid w:val="006072D8"/>
    <w:rsid w:val="006075AF"/>
    <w:rsid w:val="006075B6"/>
    <w:rsid w:val="006110F0"/>
    <w:rsid w:val="00611316"/>
    <w:rsid w:val="00611821"/>
    <w:rsid w:val="00612186"/>
    <w:rsid w:val="006129AB"/>
    <w:rsid w:val="00612C43"/>
    <w:rsid w:val="00613614"/>
    <w:rsid w:val="006136A1"/>
    <w:rsid w:val="00613D2D"/>
    <w:rsid w:val="00613E70"/>
    <w:rsid w:val="00614360"/>
    <w:rsid w:val="0061436A"/>
    <w:rsid w:val="00614488"/>
    <w:rsid w:val="00614AAD"/>
    <w:rsid w:val="00614C34"/>
    <w:rsid w:val="006151C7"/>
    <w:rsid w:val="006159C7"/>
    <w:rsid w:val="00616D39"/>
    <w:rsid w:val="00616EE4"/>
    <w:rsid w:val="006170A5"/>
    <w:rsid w:val="00617384"/>
    <w:rsid w:val="00617D6E"/>
    <w:rsid w:val="00620D82"/>
    <w:rsid w:val="006210D5"/>
    <w:rsid w:val="00621869"/>
    <w:rsid w:val="00621F5B"/>
    <w:rsid w:val="00623876"/>
    <w:rsid w:val="00623912"/>
    <w:rsid w:val="00623F2B"/>
    <w:rsid w:val="0062418A"/>
    <w:rsid w:val="00625305"/>
    <w:rsid w:val="00625373"/>
    <w:rsid w:val="00625BBF"/>
    <w:rsid w:val="00626C1B"/>
    <w:rsid w:val="0062719E"/>
    <w:rsid w:val="006273BA"/>
    <w:rsid w:val="00627BDF"/>
    <w:rsid w:val="00627F03"/>
    <w:rsid w:val="006305A5"/>
    <w:rsid w:val="006307A2"/>
    <w:rsid w:val="006315CD"/>
    <w:rsid w:val="00632638"/>
    <w:rsid w:val="0063281A"/>
    <w:rsid w:val="00632EF9"/>
    <w:rsid w:val="006335A1"/>
    <w:rsid w:val="00634312"/>
    <w:rsid w:val="00634833"/>
    <w:rsid w:val="0063506E"/>
    <w:rsid w:val="0063523A"/>
    <w:rsid w:val="00635623"/>
    <w:rsid w:val="0063570C"/>
    <w:rsid w:val="00635C5A"/>
    <w:rsid w:val="00635EF7"/>
    <w:rsid w:val="00636230"/>
    <w:rsid w:val="00636F12"/>
    <w:rsid w:val="00637169"/>
    <w:rsid w:val="006374CB"/>
    <w:rsid w:val="00637A57"/>
    <w:rsid w:val="00637B71"/>
    <w:rsid w:val="006403F7"/>
    <w:rsid w:val="00640877"/>
    <w:rsid w:val="00640BA6"/>
    <w:rsid w:val="00641777"/>
    <w:rsid w:val="006418F6"/>
    <w:rsid w:val="00641A70"/>
    <w:rsid w:val="00642482"/>
    <w:rsid w:val="00642F6C"/>
    <w:rsid w:val="00643C48"/>
    <w:rsid w:val="00644387"/>
    <w:rsid w:val="006447B1"/>
    <w:rsid w:val="00644F47"/>
    <w:rsid w:val="006456A3"/>
    <w:rsid w:val="00645813"/>
    <w:rsid w:val="00645CC1"/>
    <w:rsid w:val="00645FA8"/>
    <w:rsid w:val="00646163"/>
    <w:rsid w:val="00646183"/>
    <w:rsid w:val="0064638B"/>
    <w:rsid w:val="00646526"/>
    <w:rsid w:val="00646556"/>
    <w:rsid w:val="00646A99"/>
    <w:rsid w:val="00647334"/>
    <w:rsid w:val="00647879"/>
    <w:rsid w:val="0065027F"/>
    <w:rsid w:val="0065047C"/>
    <w:rsid w:val="00650744"/>
    <w:rsid w:val="006508CC"/>
    <w:rsid w:val="00650D78"/>
    <w:rsid w:val="00651289"/>
    <w:rsid w:val="006521B3"/>
    <w:rsid w:val="0065359C"/>
    <w:rsid w:val="00653C5F"/>
    <w:rsid w:val="0065457D"/>
    <w:rsid w:val="0065494A"/>
    <w:rsid w:val="00655B80"/>
    <w:rsid w:val="00656C94"/>
    <w:rsid w:val="006600F9"/>
    <w:rsid w:val="00660BFC"/>
    <w:rsid w:val="006612C4"/>
    <w:rsid w:val="00661FCA"/>
    <w:rsid w:val="006623E8"/>
    <w:rsid w:val="00662655"/>
    <w:rsid w:val="00662878"/>
    <w:rsid w:val="00662974"/>
    <w:rsid w:val="00662AF7"/>
    <w:rsid w:val="00662F9F"/>
    <w:rsid w:val="00663043"/>
    <w:rsid w:val="00663045"/>
    <w:rsid w:val="006630C1"/>
    <w:rsid w:val="0066363E"/>
    <w:rsid w:val="00663ADF"/>
    <w:rsid w:val="00663B43"/>
    <w:rsid w:val="00664DDC"/>
    <w:rsid w:val="00664E19"/>
    <w:rsid w:val="00665157"/>
    <w:rsid w:val="0066534D"/>
    <w:rsid w:val="00666719"/>
    <w:rsid w:val="0066675D"/>
    <w:rsid w:val="00666C0E"/>
    <w:rsid w:val="00666EE0"/>
    <w:rsid w:val="00666EE6"/>
    <w:rsid w:val="0066712E"/>
    <w:rsid w:val="0066755D"/>
    <w:rsid w:val="00667D73"/>
    <w:rsid w:val="00670A9A"/>
    <w:rsid w:val="00671001"/>
    <w:rsid w:val="00671835"/>
    <w:rsid w:val="00672908"/>
    <w:rsid w:val="00672A73"/>
    <w:rsid w:val="00674495"/>
    <w:rsid w:val="00674579"/>
    <w:rsid w:val="00674DBE"/>
    <w:rsid w:val="006751B7"/>
    <w:rsid w:val="00675C24"/>
    <w:rsid w:val="00675F5E"/>
    <w:rsid w:val="00675FE0"/>
    <w:rsid w:val="0067727F"/>
    <w:rsid w:val="00680379"/>
    <w:rsid w:val="00680B74"/>
    <w:rsid w:val="00681800"/>
    <w:rsid w:val="00681AD5"/>
    <w:rsid w:val="00682079"/>
    <w:rsid w:val="00682277"/>
    <w:rsid w:val="006825F7"/>
    <w:rsid w:val="00682BF8"/>
    <w:rsid w:val="006838CD"/>
    <w:rsid w:val="00683E31"/>
    <w:rsid w:val="006840F7"/>
    <w:rsid w:val="00684645"/>
    <w:rsid w:val="00684F9E"/>
    <w:rsid w:val="00685124"/>
    <w:rsid w:val="00685F7A"/>
    <w:rsid w:val="0068603E"/>
    <w:rsid w:val="006862AC"/>
    <w:rsid w:val="006867A5"/>
    <w:rsid w:val="0068707C"/>
    <w:rsid w:val="006870D1"/>
    <w:rsid w:val="00687D07"/>
    <w:rsid w:val="00687EEA"/>
    <w:rsid w:val="00690739"/>
    <w:rsid w:val="00691C29"/>
    <w:rsid w:val="00692660"/>
    <w:rsid w:val="0069335A"/>
    <w:rsid w:val="006934A4"/>
    <w:rsid w:val="00693567"/>
    <w:rsid w:val="00693A53"/>
    <w:rsid w:val="00693B30"/>
    <w:rsid w:val="00694318"/>
    <w:rsid w:val="00694501"/>
    <w:rsid w:val="0069499E"/>
    <w:rsid w:val="00694B4F"/>
    <w:rsid w:val="00695279"/>
    <w:rsid w:val="006958CF"/>
    <w:rsid w:val="00695BCB"/>
    <w:rsid w:val="00695BE0"/>
    <w:rsid w:val="00696C6E"/>
    <w:rsid w:val="00696F64"/>
    <w:rsid w:val="00697A26"/>
    <w:rsid w:val="006A067A"/>
    <w:rsid w:val="006A0989"/>
    <w:rsid w:val="006A0DD0"/>
    <w:rsid w:val="006A107F"/>
    <w:rsid w:val="006A14D1"/>
    <w:rsid w:val="006A1A15"/>
    <w:rsid w:val="006A2F3B"/>
    <w:rsid w:val="006A370E"/>
    <w:rsid w:val="006A3D37"/>
    <w:rsid w:val="006A40E7"/>
    <w:rsid w:val="006A43DB"/>
    <w:rsid w:val="006A4467"/>
    <w:rsid w:val="006A4AAC"/>
    <w:rsid w:val="006A4C68"/>
    <w:rsid w:val="006A5089"/>
    <w:rsid w:val="006A53A3"/>
    <w:rsid w:val="006A5D97"/>
    <w:rsid w:val="006A61A0"/>
    <w:rsid w:val="006A68DF"/>
    <w:rsid w:val="006A698D"/>
    <w:rsid w:val="006A7215"/>
    <w:rsid w:val="006A76E3"/>
    <w:rsid w:val="006B0043"/>
    <w:rsid w:val="006B0D41"/>
    <w:rsid w:val="006B1163"/>
    <w:rsid w:val="006B1229"/>
    <w:rsid w:val="006B1BBC"/>
    <w:rsid w:val="006B1FDD"/>
    <w:rsid w:val="006B2713"/>
    <w:rsid w:val="006B3321"/>
    <w:rsid w:val="006B3458"/>
    <w:rsid w:val="006B3524"/>
    <w:rsid w:val="006B3979"/>
    <w:rsid w:val="006B3F17"/>
    <w:rsid w:val="006B4F3F"/>
    <w:rsid w:val="006B51EC"/>
    <w:rsid w:val="006B5423"/>
    <w:rsid w:val="006B5CF9"/>
    <w:rsid w:val="006B6164"/>
    <w:rsid w:val="006B6831"/>
    <w:rsid w:val="006B7164"/>
    <w:rsid w:val="006C04D0"/>
    <w:rsid w:val="006C1272"/>
    <w:rsid w:val="006C1B56"/>
    <w:rsid w:val="006C1DD2"/>
    <w:rsid w:val="006C217E"/>
    <w:rsid w:val="006C2B5F"/>
    <w:rsid w:val="006C318D"/>
    <w:rsid w:val="006C3797"/>
    <w:rsid w:val="006C3998"/>
    <w:rsid w:val="006C420C"/>
    <w:rsid w:val="006C4C58"/>
    <w:rsid w:val="006C505B"/>
    <w:rsid w:val="006C561E"/>
    <w:rsid w:val="006C5B71"/>
    <w:rsid w:val="006C5CCE"/>
    <w:rsid w:val="006C5EE4"/>
    <w:rsid w:val="006C6024"/>
    <w:rsid w:val="006C6768"/>
    <w:rsid w:val="006C7A05"/>
    <w:rsid w:val="006C7E6E"/>
    <w:rsid w:val="006D010E"/>
    <w:rsid w:val="006D0139"/>
    <w:rsid w:val="006D03EE"/>
    <w:rsid w:val="006D0C1C"/>
    <w:rsid w:val="006D0DBA"/>
    <w:rsid w:val="006D1239"/>
    <w:rsid w:val="006D188B"/>
    <w:rsid w:val="006D19FD"/>
    <w:rsid w:val="006D1A5A"/>
    <w:rsid w:val="006D1ED9"/>
    <w:rsid w:val="006D22DB"/>
    <w:rsid w:val="006D2372"/>
    <w:rsid w:val="006D2BA2"/>
    <w:rsid w:val="006D2D5B"/>
    <w:rsid w:val="006D2E15"/>
    <w:rsid w:val="006D2E98"/>
    <w:rsid w:val="006D333E"/>
    <w:rsid w:val="006D33D4"/>
    <w:rsid w:val="006D43B9"/>
    <w:rsid w:val="006D4988"/>
    <w:rsid w:val="006D58F0"/>
    <w:rsid w:val="006D6033"/>
    <w:rsid w:val="006D7279"/>
    <w:rsid w:val="006D7530"/>
    <w:rsid w:val="006D7BBA"/>
    <w:rsid w:val="006D7D27"/>
    <w:rsid w:val="006D7FE0"/>
    <w:rsid w:val="006E165D"/>
    <w:rsid w:val="006E1DD1"/>
    <w:rsid w:val="006E2651"/>
    <w:rsid w:val="006E27AA"/>
    <w:rsid w:val="006E27B0"/>
    <w:rsid w:val="006E2FC9"/>
    <w:rsid w:val="006E3090"/>
    <w:rsid w:val="006E3850"/>
    <w:rsid w:val="006E3907"/>
    <w:rsid w:val="006E3C03"/>
    <w:rsid w:val="006E3E8D"/>
    <w:rsid w:val="006E50A0"/>
    <w:rsid w:val="006E5918"/>
    <w:rsid w:val="006E5B42"/>
    <w:rsid w:val="006E6957"/>
    <w:rsid w:val="006E6AFD"/>
    <w:rsid w:val="006E7211"/>
    <w:rsid w:val="006E7722"/>
    <w:rsid w:val="006E7DDC"/>
    <w:rsid w:val="006F1572"/>
    <w:rsid w:val="006F2C7E"/>
    <w:rsid w:val="006F3742"/>
    <w:rsid w:val="006F3D20"/>
    <w:rsid w:val="006F5059"/>
    <w:rsid w:val="006F50BE"/>
    <w:rsid w:val="006F52E2"/>
    <w:rsid w:val="006F5402"/>
    <w:rsid w:val="006F556C"/>
    <w:rsid w:val="006F5867"/>
    <w:rsid w:val="006F59A2"/>
    <w:rsid w:val="006F6B10"/>
    <w:rsid w:val="006F7AED"/>
    <w:rsid w:val="006F7EBD"/>
    <w:rsid w:val="006F7F18"/>
    <w:rsid w:val="00700846"/>
    <w:rsid w:val="00701AF2"/>
    <w:rsid w:val="00702F07"/>
    <w:rsid w:val="007031EE"/>
    <w:rsid w:val="0070369B"/>
    <w:rsid w:val="007037CD"/>
    <w:rsid w:val="00703E70"/>
    <w:rsid w:val="007046DD"/>
    <w:rsid w:val="007048F8"/>
    <w:rsid w:val="00704BB1"/>
    <w:rsid w:val="007050FE"/>
    <w:rsid w:val="007053CC"/>
    <w:rsid w:val="00705730"/>
    <w:rsid w:val="00705AD2"/>
    <w:rsid w:val="00705B69"/>
    <w:rsid w:val="00706D2F"/>
    <w:rsid w:val="00707584"/>
    <w:rsid w:val="00707934"/>
    <w:rsid w:val="00707965"/>
    <w:rsid w:val="00707DB7"/>
    <w:rsid w:val="00707F7F"/>
    <w:rsid w:val="00707FB0"/>
    <w:rsid w:val="00710BE1"/>
    <w:rsid w:val="00710D3C"/>
    <w:rsid w:val="007115C0"/>
    <w:rsid w:val="007116D2"/>
    <w:rsid w:val="00711CE4"/>
    <w:rsid w:val="00711F00"/>
    <w:rsid w:val="0071214D"/>
    <w:rsid w:val="007122A6"/>
    <w:rsid w:val="007126D5"/>
    <w:rsid w:val="007129A9"/>
    <w:rsid w:val="00713333"/>
    <w:rsid w:val="00713E1F"/>
    <w:rsid w:val="00714459"/>
    <w:rsid w:val="00714D8D"/>
    <w:rsid w:val="00715881"/>
    <w:rsid w:val="00715AFA"/>
    <w:rsid w:val="00716EA0"/>
    <w:rsid w:val="00717122"/>
    <w:rsid w:val="0071795B"/>
    <w:rsid w:val="0072183C"/>
    <w:rsid w:val="00722255"/>
    <w:rsid w:val="00722F93"/>
    <w:rsid w:val="00723EFF"/>
    <w:rsid w:val="00724AF3"/>
    <w:rsid w:val="00724B29"/>
    <w:rsid w:val="00724F8E"/>
    <w:rsid w:val="0072518C"/>
    <w:rsid w:val="007255BF"/>
    <w:rsid w:val="00725ACB"/>
    <w:rsid w:val="0072648C"/>
    <w:rsid w:val="0072674C"/>
    <w:rsid w:val="0072674D"/>
    <w:rsid w:val="0072697B"/>
    <w:rsid w:val="00726C75"/>
    <w:rsid w:val="00726DB7"/>
    <w:rsid w:val="00727231"/>
    <w:rsid w:val="007274D8"/>
    <w:rsid w:val="007277A6"/>
    <w:rsid w:val="007278C2"/>
    <w:rsid w:val="00727B24"/>
    <w:rsid w:val="007303A0"/>
    <w:rsid w:val="007304CF"/>
    <w:rsid w:val="00730C61"/>
    <w:rsid w:val="0073152C"/>
    <w:rsid w:val="00731A85"/>
    <w:rsid w:val="00731EE0"/>
    <w:rsid w:val="00732540"/>
    <w:rsid w:val="007326B9"/>
    <w:rsid w:val="007329D2"/>
    <w:rsid w:val="00732BAF"/>
    <w:rsid w:val="00733357"/>
    <w:rsid w:val="00733550"/>
    <w:rsid w:val="00734136"/>
    <w:rsid w:val="0073429B"/>
    <w:rsid w:val="0073467E"/>
    <w:rsid w:val="00734ACB"/>
    <w:rsid w:val="00735314"/>
    <w:rsid w:val="007356B8"/>
    <w:rsid w:val="00735B81"/>
    <w:rsid w:val="00735BD0"/>
    <w:rsid w:val="00736502"/>
    <w:rsid w:val="00737FDB"/>
    <w:rsid w:val="007410DA"/>
    <w:rsid w:val="00741181"/>
    <w:rsid w:val="00741411"/>
    <w:rsid w:val="00741661"/>
    <w:rsid w:val="007416DB"/>
    <w:rsid w:val="00741775"/>
    <w:rsid w:val="00741839"/>
    <w:rsid w:val="00741FA7"/>
    <w:rsid w:val="0074236C"/>
    <w:rsid w:val="00742706"/>
    <w:rsid w:val="00743877"/>
    <w:rsid w:val="007438EE"/>
    <w:rsid w:val="00744D99"/>
    <w:rsid w:val="00744F7D"/>
    <w:rsid w:val="007451D7"/>
    <w:rsid w:val="00745A77"/>
    <w:rsid w:val="007467D3"/>
    <w:rsid w:val="00747799"/>
    <w:rsid w:val="0075046B"/>
    <w:rsid w:val="007519E8"/>
    <w:rsid w:val="007525B2"/>
    <w:rsid w:val="00752642"/>
    <w:rsid w:val="00752B81"/>
    <w:rsid w:val="007548D0"/>
    <w:rsid w:val="007553BC"/>
    <w:rsid w:val="007557BC"/>
    <w:rsid w:val="007558EB"/>
    <w:rsid w:val="0075592B"/>
    <w:rsid w:val="00755D24"/>
    <w:rsid w:val="00755F91"/>
    <w:rsid w:val="007561AD"/>
    <w:rsid w:val="00756479"/>
    <w:rsid w:val="007566CB"/>
    <w:rsid w:val="00756D92"/>
    <w:rsid w:val="0075702B"/>
    <w:rsid w:val="0075743B"/>
    <w:rsid w:val="00757559"/>
    <w:rsid w:val="00760178"/>
    <w:rsid w:val="0076097C"/>
    <w:rsid w:val="00760AA4"/>
    <w:rsid w:val="007616B1"/>
    <w:rsid w:val="00761B7B"/>
    <w:rsid w:val="00761D15"/>
    <w:rsid w:val="00761DCA"/>
    <w:rsid w:val="00761EA2"/>
    <w:rsid w:val="00762A35"/>
    <w:rsid w:val="00762C08"/>
    <w:rsid w:val="0076339E"/>
    <w:rsid w:val="0076346C"/>
    <w:rsid w:val="007638FE"/>
    <w:rsid w:val="00763FC5"/>
    <w:rsid w:val="0076477E"/>
    <w:rsid w:val="00764AEE"/>
    <w:rsid w:val="00764E44"/>
    <w:rsid w:val="007653BE"/>
    <w:rsid w:val="00765412"/>
    <w:rsid w:val="0076546D"/>
    <w:rsid w:val="00765FA5"/>
    <w:rsid w:val="007660EE"/>
    <w:rsid w:val="0076691E"/>
    <w:rsid w:val="00766D79"/>
    <w:rsid w:val="00766E7F"/>
    <w:rsid w:val="00767E1C"/>
    <w:rsid w:val="0077001B"/>
    <w:rsid w:val="00771CC7"/>
    <w:rsid w:val="00772234"/>
    <w:rsid w:val="00772727"/>
    <w:rsid w:val="007730A9"/>
    <w:rsid w:val="00773228"/>
    <w:rsid w:val="007733C8"/>
    <w:rsid w:val="007733EB"/>
    <w:rsid w:val="00773E7A"/>
    <w:rsid w:val="007744F9"/>
    <w:rsid w:val="007756F7"/>
    <w:rsid w:val="00775F9D"/>
    <w:rsid w:val="00776C69"/>
    <w:rsid w:val="00777313"/>
    <w:rsid w:val="007777E9"/>
    <w:rsid w:val="00777C6E"/>
    <w:rsid w:val="00777D1B"/>
    <w:rsid w:val="00777F53"/>
    <w:rsid w:val="00777F9D"/>
    <w:rsid w:val="0078013B"/>
    <w:rsid w:val="00780596"/>
    <w:rsid w:val="00780BFB"/>
    <w:rsid w:val="00780D2E"/>
    <w:rsid w:val="00781867"/>
    <w:rsid w:val="00781FE0"/>
    <w:rsid w:val="00782465"/>
    <w:rsid w:val="00782B31"/>
    <w:rsid w:val="00782B68"/>
    <w:rsid w:val="0078332F"/>
    <w:rsid w:val="007834CF"/>
    <w:rsid w:val="00784DC7"/>
    <w:rsid w:val="007860CF"/>
    <w:rsid w:val="00786979"/>
    <w:rsid w:val="00786982"/>
    <w:rsid w:val="00786FC5"/>
    <w:rsid w:val="0078775D"/>
    <w:rsid w:val="00787949"/>
    <w:rsid w:val="00790C73"/>
    <w:rsid w:val="007914D2"/>
    <w:rsid w:val="00791564"/>
    <w:rsid w:val="00791CA5"/>
    <w:rsid w:val="00792851"/>
    <w:rsid w:val="0079315E"/>
    <w:rsid w:val="00793529"/>
    <w:rsid w:val="007937B8"/>
    <w:rsid w:val="0079395B"/>
    <w:rsid w:val="00793BC6"/>
    <w:rsid w:val="00795380"/>
    <w:rsid w:val="0079580A"/>
    <w:rsid w:val="00795843"/>
    <w:rsid w:val="00795F40"/>
    <w:rsid w:val="0079715D"/>
    <w:rsid w:val="007A007F"/>
    <w:rsid w:val="007A01E7"/>
    <w:rsid w:val="007A036F"/>
    <w:rsid w:val="007A09C4"/>
    <w:rsid w:val="007A0ADE"/>
    <w:rsid w:val="007A1237"/>
    <w:rsid w:val="007A16FC"/>
    <w:rsid w:val="007A227E"/>
    <w:rsid w:val="007A3A6B"/>
    <w:rsid w:val="007A3CAC"/>
    <w:rsid w:val="007A3DEB"/>
    <w:rsid w:val="007A40D2"/>
    <w:rsid w:val="007A45CE"/>
    <w:rsid w:val="007A4F73"/>
    <w:rsid w:val="007A5170"/>
    <w:rsid w:val="007A5290"/>
    <w:rsid w:val="007A5B5F"/>
    <w:rsid w:val="007A69B1"/>
    <w:rsid w:val="007A6A1D"/>
    <w:rsid w:val="007A73EC"/>
    <w:rsid w:val="007A7690"/>
    <w:rsid w:val="007B06B8"/>
    <w:rsid w:val="007B0CBD"/>
    <w:rsid w:val="007B0F05"/>
    <w:rsid w:val="007B0F65"/>
    <w:rsid w:val="007B1278"/>
    <w:rsid w:val="007B26DC"/>
    <w:rsid w:val="007B3E6C"/>
    <w:rsid w:val="007B4127"/>
    <w:rsid w:val="007B4148"/>
    <w:rsid w:val="007B51C8"/>
    <w:rsid w:val="007B5780"/>
    <w:rsid w:val="007B5E97"/>
    <w:rsid w:val="007B6845"/>
    <w:rsid w:val="007B755B"/>
    <w:rsid w:val="007B75E2"/>
    <w:rsid w:val="007C0ADF"/>
    <w:rsid w:val="007C0F00"/>
    <w:rsid w:val="007C11E4"/>
    <w:rsid w:val="007C2108"/>
    <w:rsid w:val="007C25F7"/>
    <w:rsid w:val="007C4105"/>
    <w:rsid w:val="007C47B4"/>
    <w:rsid w:val="007C4B9E"/>
    <w:rsid w:val="007C5068"/>
    <w:rsid w:val="007C5333"/>
    <w:rsid w:val="007C5B5B"/>
    <w:rsid w:val="007C5D2A"/>
    <w:rsid w:val="007C5D75"/>
    <w:rsid w:val="007C64C5"/>
    <w:rsid w:val="007C67FE"/>
    <w:rsid w:val="007C6D40"/>
    <w:rsid w:val="007C723B"/>
    <w:rsid w:val="007C7CA0"/>
    <w:rsid w:val="007C7D56"/>
    <w:rsid w:val="007D243E"/>
    <w:rsid w:val="007D2684"/>
    <w:rsid w:val="007D28CE"/>
    <w:rsid w:val="007D430B"/>
    <w:rsid w:val="007D435C"/>
    <w:rsid w:val="007D5224"/>
    <w:rsid w:val="007D53D0"/>
    <w:rsid w:val="007D563C"/>
    <w:rsid w:val="007D5BB2"/>
    <w:rsid w:val="007D69AD"/>
    <w:rsid w:val="007D6A73"/>
    <w:rsid w:val="007D6C72"/>
    <w:rsid w:val="007D6E36"/>
    <w:rsid w:val="007D7049"/>
    <w:rsid w:val="007D780A"/>
    <w:rsid w:val="007D7BE9"/>
    <w:rsid w:val="007D7EF0"/>
    <w:rsid w:val="007E01F0"/>
    <w:rsid w:val="007E0212"/>
    <w:rsid w:val="007E0CFD"/>
    <w:rsid w:val="007E0E02"/>
    <w:rsid w:val="007E10FA"/>
    <w:rsid w:val="007E1269"/>
    <w:rsid w:val="007E161E"/>
    <w:rsid w:val="007E1FB9"/>
    <w:rsid w:val="007E21C6"/>
    <w:rsid w:val="007E2346"/>
    <w:rsid w:val="007E2707"/>
    <w:rsid w:val="007E27CA"/>
    <w:rsid w:val="007E29A8"/>
    <w:rsid w:val="007E43B6"/>
    <w:rsid w:val="007E455A"/>
    <w:rsid w:val="007E48A1"/>
    <w:rsid w:val="007E4DC8"/>
    <w:rsid w:val="007E5169"/>
    <w:rsid w:val="007E58E9"/>
    <w:rsid w:val="007E5A9C"/>
    <w:rsid w:val="007E7392"/>
    <w:rsid w:val="007E7A9C"/>
    <w:rsid w:val="007E7F2B"/>
    <w:rsid w:val="007F1148"/>
    <w:rsid w:val="007F140C"/>
    <w:rsid w:val="007F14C3"/>
    <w:rsid w:val="007F186E"/>
    <w:rsid w:val="007F2E0F"/>
    <w:rsid w:val="007F3963"/>
    <w:rsid w:val="007F3D5D"/>
    <w:rsid w:val="007F3FFE"/>
    <w:rsid w:val="007F5535"/>
    <w:rsid w:val="007F5A2F"/>
    <w:rsid w:val="007F5CF3"/>
    <w:rsid w:val="007F6D55"/>
    <w:rsid w:val="007F7134"/>
    <w:rsid w:val="007F77EF"/>
    <w:rsid w:val="007F79C4"/>
    <w:rsid w:val="007F79D5"/>
    <w:rsid w:val="007F7A07"/>
    <w:rsid w:val="008006A7"/>
    <w:rsid w:val="00800B01"/>
    <w:rsid w:val="00800E95"/>
    <w:rsid w:val="00801742"/>
    <w:rsid w:val="0080175A"/>
    <w:rsid w:val="00801C63"/>
    <w:rsid w:val="00801DDE"/>
    <w:rsid w:val="00801EC1"/>
    <w:rsid w:val="00802605"/>
    <w:rsid w:val="00803696"/>
    <w:rsid w:val="00803C54"/>
    <w:rsid w:val="0080452C"/>
    <w:rsid w:val="0080455A"/>
    <w:rsid w:val="00806717"/>
    <w:rsid w:val="00806BB2"/>
    <w:rsid w:val="008071BD"/>
    <w:rsid w:val="00807D83"/>
    <w:rsid w:val="00810836"/>
    <w:rsid w:val="00810CCC"/>
    <w:rsid w:val="00811E9C"/>
    <w:rsid w:val="00811F0A"/>
    <w:rsid w:val="008129A0"/>
    <w:rsid w:val="00812F96"/>
    <w:rsid w:val="00813051"/>
    <w:rsid w:val="00813614"/>
    <w:rsid w:val="00813989"/>
    <w:rsid w:val="00813D73"/>
    <w:rsid w:val="00814022"/>
    <w:rsid w:val="00814101"/>
    <w:rsid w:val="00814550"/>
    <w:rsid w:val="00814C9C"/>
    <w:rsid w:val="008152EF"/>
    <w:rsid w:val="00815471"/>
    <w:rsid w:val="0081603F"/>
    <w:rsid w:val="00817E8E"/>
    <w:rsid w:val="00817E95"/>
    <w:rsid w:val="00820089"/>
    <w:rsid w:val="0082063E"/>
    <w:rsid w:val="00820C6D"/>
    <w:rsid w:val="00820EED"/>
    <w:rsid w:val="008218F6"/>
    <w:rsid w:val="00822553"/>
    <w:rsid w:val="008227EA"/>
    <w:rsid w:val="00824AAC"/>
    <w:rsid w:val="00824D74"/>
    <w:rsid w:val="00825BA1"/>
    <w:rsid w:val="00825BB7"/>
    <w:rsid w:val="00825FCC"/>
    <w:rsid w:val="008260F5"/>
    <w:rsid w:val="008276A1"/>
    <w:rsid w:val="00827A0C"/>
    <w:rsid w:val="00831826"/>
    <w:rsid w:val="00831957"/>
    <w:rsid w:val="00832056"/>
    <w:rsid w:val="00832365"/>
    <w:rsid w:val="00832705"/>
    <w:rsid w:val="00832DD2"/>
    <w:rsid w:val="00833171"/>
    <w:rsid w:val="008334B0"/>
    <w:rsid w:val="00834297"/>
    <w:rsid w:val="00834E06"/>
    <w:rsid w:val="00834E1C"/>
    <w:rsid w:val="00835E2A"/>
    <w:rsid w:val="008364C7"/>
    <w:rsid w:val="008368B1"/>
    <w:rsid w:val="00836DF2"/>
    <w:rsid w:val="008371B7"/>
    <w:rsid w:val="008378AE"/>
    <w:rsid w:val="00840AA5"/>
    <w:rsid w:val="00840C2F"/>
    <w:rsid w:val="00840C54"/>
    <w:rsid w:val="00841418"/>
    <w:rsid w:val="00841430"/>
    <w:rsid w:val="0084145F"/>
    <w:rsid w:val="0084178A"/>
    <w:rsid w:val="00842319"/>
    <w:rsid w:val="008428B5"/>
    <w:rsid w:val="008439D5"/>
    <w:rsid w:val="00843CC7"/>
    <w:rsid w:val="0084483A"/>
    <w:rsid w:val="00844AE4"/>
    <w:rsid w:val="00844E4E"/>
    <w:rsid w:val="0084501C"/>
    <w:rsid w:val="00846011"/>
    <w:rsid w:val="00846A20"/>
    <w:rsid w:val="00846DA6"/>
    <w:rsid w:val="00847D79"/>
    <w:rsid w:val="00850D23"/>
    <w:rsid w:val="008511C5"/>
    <w:rsid w:val="0085184D"/>
    <w:rsid w:val="008519F9"/>
    <w:rsid w:val="00851F50"/>
    <w:rsid w:val="00852589"/>
    <w:rsid w:val="00852806"/>
    <w:rsid w:val="0085315E"/>
    <w:rsid w:val="0085360E"/>
    <w:rsid w:val="008537BA"/>
    <w:rsid w:val="00853B9C"/>
    <w:rsid w:val="00853F03"/>
    <w:rsid w:val="00854722"/>
    <w:rsid w:val="00854CF9"/>
    <w:rsid w:val="008553EA"/>
    <w:rsid w:val="008555F8"/>
    <w:rsid w:val="00855A11"/>
    <w:rsid w:val="00855BC5"/>
    <w:rsid w:val="00855CD1"/>
    <w:rsid w:val="0085605C"/>
    <w:rsid w:val="00856A8F"/>
    <w:rsid w:val="00856DDA"/>
    <w:rsid w:val="00857132"/>
    <w:rsid w:val="00860620"/>
    <w:rsid w:val="00860B43"/>
    <w:rsid w:val="00860B48"/>
    <w:rsid w:val="00860DE4"/>
    <w:rsid w:val="0086132A"/>
    <w:rsid w:val="00861E22"/>
    <w:rsid w:val="00862881"/>
    <w:rsid w:val="008632EC"/>
    <w:rsid w:val="008642DE"/>
    <w:rsid w:val="0086446E"/>
    <w:rsid w:val="00864A47"/>
    <w:rsid w:val="00864AD7"/>
    <w:rsid w:val="00865001"/>
    <w:rsid w:val="008650C6"/>
    <w:rsid w:val="00865BF1"/>
    <w:rsid w:val="00865D3C"/>
    <w:rsid w:val="0086625B"/>
    <w:rsid w:val="0086630C"/>
    <w:rsid w:val="00866360"/>
    <w:rsid w:val="00866F05"/>
    <w:rsid w:val="008672B5"/>
    <w:rsid w:val="008679A1"/>
    <w:rsid w:val="008708F4"/>
    <w:rsid w:val="00870C3E"/>
    <w:rsid w:val="00870DF0"/>
    <w:rsid w:val="008716E6"/>
    <w:rsid w:val="00871CDA"/>
    <w:rsid w:val="00871DAC"/>
    <w:rsid w:val="008720F3"/>
    <w:rsid w:val="00872468"/>
    <w:rsid w:val="00872B72"/>
    <w:rsid w:val="008730D4"/>
    <w:rsid w:val="008730DF"/>
    <w:rsid w:val="00873334"/>
    <w:rsid w:val="00874663"/>
    <w:rsid w:val="0087522D"/>
    <w:rsid w:val="0087563C"/>
    <w:rsid w:val="008757A8"/>
    <w:rsid w:val="008758E6"/>
    <w:rsid w:val="00875B84"/>
    <w:rsid w:val="00877292"/>
    <w:rsid w:val="00877DB3"/>
    <w:rsid w:val="008810A6"/>
    <w:rsid w:val="008830EC"/>
    <w:rsid w:val="00883DC4"/>
    <w:rsid w:val="00884BD2"/>
    <w:rsid w:val="00884FD2"/>
    <w:rsid w:val="008856F8"/>
    <w:rsid w:val="00885735"/>
    <w:rsid w:val="00885C0A"/>
    <w:rsid w:val="008866DC"/>
    <w:rsid w:val="0088679E"/>
    <w:rsid w:val="00886A02"/>
    <w:rsid w:val="00886CEA"/>
    <w:rsid w:val="00886F50"/>
    <w:rsid w:val="0088720D"/>
    <w:rsid w:val="00887C22"/>
    <w:rsid w:val="00890C4B"/>
    <w:rsid w:val="00890D13"/>
    <w:rsid w:val="00890E2D"/>
    <w:rsid w:val="00891551"/>
    <w:rsid w:val="00891D72"/>
    <w:rsid w:val="00891F41"/>
    <w:rsid w:val="008920C6"/>
    <w:rsid w:val="008923B5"/>
    <w:rsid w:val="00892F54"/>
    <w:rsid w:val="00893982"/>
    <w:rsid w:val="00893B0A"/>
    <w:rsid w:val="00893EBA"/>
    <w:rsid w:val="00895DA3"/>
    <w:rsid w:val="00895EAB"/>
    <w:rsid w:val="0089661B"/>
    <w:rsid w:val="00896A13"/>
    <w:rsid w:val="00896D62"/>
    <w:rsid w:val="00897404"/>
    <w:rsid w:val="00897FC6"/>
    <w:rsid w:val="008A03F4"/>
    <w:rsid w:val="008A0869"/>
    <w:rsid w:val="008A0A27"/>
    <w:rsid w:val="008A1774"/>
    <w:rsid w:val="008A1EA9"/>
    <w:rsid w:val="008A1F1E"/>
    <w:rsid w:val="008A2530"/>
    <w:rsid w:val="008A2A1D"/>
    <w:rsid w:val="008A2ABC"/>
    <w:rsid w:val="008A2CF4"/>
    <w:rsid w:val="008A3650"/>
    <w:rsid w:val="008A3909"/>
    <w:rsid w:val="008A4460"/>
    <w:rsid w:val="008A4535"/>
    <w:rsid w:val="008A54D6"/>
    <w:rsid w:val="008A55D6"/>
    <w:rsid w:val="008A58ED"/>
    <w:rsid w:val="008A5B0D"/>
    <w:rsid w:val="008A5D7D"/>
    <w:rsid w:val="008A5FEF"/>
    <w:rsid w:val="008A6E7C"/>
    <w:rsid w:val="008A70A7"/>
    <w:rsid w:val="008A7598"/>
    <w:rsid w:val="008A7764"/>
    <w:rsid w:val="008A7D16"/>
    <w:rsid w:val="008B02D1"/>
    <w:rsid w:val="008B0744"/>
    <w:rsid w:val="008B0973"/>
    <w:rsid w:val="008B1752"/>
    <w:rsid w:val="008B1A51"/>
    <w:rsid w:val="008B25F2"/>
    <w:rsid w:val="008B2791"/>
    <w:rsid w:val="008B2CCC"/>
    <w:rsid w:val="008B2DED"/>
    <w:rsid w:val="008B3A1F"/>
    <w:rsid w:val="008B3E75"/>
    <w:rsid w:val="008B3EA2"/>
    <w:rsid w:val="008B4379"/>
    <w:rsid w:val="008B49C7"/>
    <w:rsid w:val="008B4D2A"/>
    <w:rsid w:val="008B5325"/>
    <w:rsid w:val="008B5CBA"/>
    <w:rsid w:val="008B7BBE"/>
    <w:rsid w:val="008B7E6D"/>
    <w:rsid w:val="008C0664"/>
    <w:rsid w:val="008C0714"/>
    <w:rsid w:val="008C0B4E"/>
    <w:rsid w:val="008C13B3"/>
    <w:rsid w:val="008C2175"/>
    <w:rsid w:val="008C27C2"/>
    <w:rsid w:val="008C30BF"/>
    <w:rsid w:val="008C34E2"/>
    <w:rsid w:val="008C3DD8"/>
    <w:rsid w:val="008C48D2"/>
    <w:rsid w:val="008C54DC"/>
    <w:rsid w:val="008C5743"/>
    <w:rsid w:val="008C5803"/>
    <w:rsid w:val="008C60FE"/>
    <w:rsid w:val="008C68D3"/>
    <w:rsid w:val="008C7126"/>
    <w:rsid w:val="008C7FE7"/>
    <w:rsid w:val="008D0031"/>
    <w:rsid w:val="008D0B45"/>
    <w:rsid w:val="008D0BC0"/>
    <w:rsid w:val="008D1103"/>
    <w:rsid w:val="008D2825"/>
    <w:rsid w:val="008D39DD"/>
    <w:rsid w:val="008D3C65"/>
    <w:rsid w:val="008D579C"/>
    <w:rsid w:val="008D5D2E"/>
    <w:rsid w:val="008E01C0"/>
    <w:rsid w:val="008E0A07"/>
    <w:rsid w:val="008E1E34"/>
    <w:rsid w:val="008E1EFB"/>
    <w:rsid w:val="008E204D"/>
    <w:rsid w:val="008E231F"/>
    <w:rsid w:val="008E287F"/>
    <w:rsid w:val="008E3304"/>
    <w:rsid w:val="008E3981"/>
    <w:rsid w:val="008E3F12"/>
    <w:rsid w:val="008E4DB7"/>
    <w:rsid w:val="008E588A"/>
    <w:rsid w:val="008E58BB"/>
    <w:rsid w:val="008E6092"/>
    <w:rsid w:val="008E6152"/>
    <w:rsid w:val="008E686E"/>
    <w:rsid w:val="008E6903"/>
    <w:rsid w:val="008E6E51"/>
    <w:rsid w:val="008E7095"/>
    <w:rsid w:val="008E709D"/>
    <w:rsid w:val="008E7106"/>
    <w:rsid w:val="008E714F"/>
    <w:rsid w:val="008E71C5"/>
    <w:rsid w:val="008E724B"/>
    <w:rsid w:val="008E752A"/>
    <w:rsid w:val="008E754A"/>
    <w:rsid w:val="008E7A4A"/>
    <w:rsid w:val="008E7CB6"/>
    <w:rsid w:val="008E7DF3"/>
    <w:rsid w:val="008F0356"/>
    <w:rsid w:val="008F0CFF"/>
    <w:rsid w:val="008F0F18"/>
    <w:rsid w:val="008F11D7"/>
    <w:rsid w:val="008F216D"/>
    <w:rsid w:val="008F2207"/>
    <w:rsid w:val="008F23D0"/>
    <w:rsid w:val="008F2FAC"/>
    <w:rsid w:val="008F2FC9"/>
    <w:rsid w:val="008F30E0"/>
    <w:rsid w:val="008F32C5"/>
    <w:rsid w:val="008F4604"/>
    <w:rsid w:val="008F4641"/>
    <w:rsid w:val="008F48A3"/>
    <w:rsid w:val="008F49CA"/>
    <w:rsid w:val="008F4CE3"/>
    <w:rsid w:val="008F5446"/>
    <w:rsid w:val="008F5667"/>
    <w:rsid w:val="008F63E0"/>
    <w:rsid w:val="008F6D22"/>
    <w:rsid w:val="008F6DC5"/>
    <w:rsid w:val="008F6E76"/>
    <w:rsid w:val="008F716A"/>
    <w:rsid w:val="008F7246"/>
    <w:rsid w:val="008F7457"/>
    <w:rsid w:val="008F767E"/>
    <w:rsid w:val="008F7E48"/>
    <w:rsid w:val="0090002B"/>
    <w:rsid w:val="00900B4F"/>
    <w:rsid w:val="00900EB3"/>
    <w:rsid w:val="00901139"/>
    <w:rsid w:val="00901998"/>
    <w:rsid w:val="00901BF7"/>
    <w:rsid w:val="009020D2"/>
    <w:rsid w:val="009026DD"/>
    <w:rsid w:val="00902813"/>
    <w:rsid w:val="00902E2A"/>
    <w:rsid w:val="00902EB7"/>
    <w:rsid w:val="009032CD"/>
    <w:rsid w:val="0090338E"/>
    <w:rsid w:val="00903849"/>
    <w:rsid w:val="00903E51"/>
    <w:rsid w:val="00904383"/>
    <w:rsid w:val="00904453"/>
    <w:rsid w:val="009048BD"/>
    <w:rsid w:val="00904AEF"/>
    <w:rsid w:val="00904DCE"/>
    <w:rsid w:val="00904DF4"/>
    <w:rsid w:val="00905E48"/>
    <w:rsid w:val="009062AF"/>
    <w:rsid w:val="009064B9"/>
    <w:rsid w:val="0090651A"/>
    <w:rsid w:val="00906926"/>
    <w:rsid w:val="00906CA7"/>
    <w:rsid w:val="00906F1B"/>
    <w:rsid w:val="009074FD"/>
    <w:rsid w:val="00907834"/>
    <w:rsid w:val="00907E40"/>
    <w:rsid w:val="00911932"/>
    <w:rsid w:val="00912B8C"/>
    <w:rsid w:val="009134DF"/>
    <w:rsid w:val="0091352F"/>
    <w:rsid w:val="009135B0"/>
    <w:rsid w:val="009138A1"/>
    <w:rsid w:val="009139A8"/>
    <w:rsid w:val="0091461B"/>
    <w:rsid w:val="0091514D"/>
    <w:rsid w:val="00915173"/>
    <w:rsid w:val="00916178"/>
    <w:rsid w:val="009164EA"/>
    <w:rsid w:val="00916978"/>
    <w:rsid w:val="00916C9A"/>
    <w:rsid w:val="00917275"/>
    <w:rsid w:val="009174E6"/>
    <w:rsid w:val="00917D2A"/>
    <w:rsid w:val="0092012E"/>
    <w:rsid w:val="009202CC"/>
    <w:rsid w:val="00920AE3"/>
    <w:rsid w:val="00920B3C"/>
    <w:rsid w:val="00920D7F"/>
    <w:rsid w:val="00920E86"/>
    <w:rsid w:val="009214A0"/>
    <w:rsid w:val="009217D7"/>
    <w:rsid w:val="00921C11"/>
    <w:rsid w:val="00921E24"/>
    <w:rsid w:val="00922033"/>
    <w:rsid w:val="00922C00"/>
    <w:rsid w:val="009233EA"/>
    <w:rsid w:val="009242F1"/>
    <w:rsid w:val="00924381"/>
    <w:rsid w:val="009249CA"/>
    <w:rsid w:val="00925535"/>
    <w:rsid w:val="00926167"/>
    <w:rsid w:val="00927BF6"/>
    <w:rsid w:val="00927F8F"/>
    <w:rsid w:val="00930973"/>
    <w:rsid w:val="0093172A"/>
    <w:rsid w:val="0093334F"/>
    <w:rsid w:val="00933574"/>
    <w:rsid w:val="00934E68"/>
    <w:rsid w:val="0093528F"/>
    <w:rsid w:val="009360D2"/>
    <w:rsid w:val="00936EE6"/>
    <w:rsid w:val="00936F2A"/>
    <w:rsid w:val="00937560"/>
    <w:rsid w:val="009378A8"/>
    <w:rsid w:val="00937C2A"/>
    <w:rsid w:val="00940137"/>
    <w:rsid w:val="009404F3"/>
    <w:rsid w:val="00940DFD"/>
    <w:rsid w:val="00941479"/>
    <w:rsid w:val="009416B3"/>
    <w:rsid w:val="00941BC3"/>
    <w:rsid w:val="00941D38"/>
    <w:rsid w:val="00942139"/>
    <w:rsid w:val="0094279F"/>
    <w:rsid w:val="00943910"/>
    <w:rsid w:val="00943E70"/>
    <w:rsid w:val="00943E7C"/>
    <w:rsid w:val="00944054"/>
    <w:rsid w:val="00944254"/>
    <w:rsid w:val="00944D59"/>
    <w:rsid w:val="009469A8"/>
    <w:rsid w:val="00946CE4"/>
    <w:rsid w:val="009500FB"/>
    <w:rsid w:val="009501A2"/>
    <w:rsid w:val="00950E69"/>
    <w:rsid w:val="0095109F"/>
    <w:rsid w:val="00951D4E"/>
    <w:rsid w:val="00952551"/>
    <w:rsid w:val="00952666"/>
    <w:rsid w:val="00952C33"/>
    <w:rsid w:val="00953119"/>
    <w:rsid w:val="009535CF"/>
    <w:rsid w:val="00953ACF"/>
    <w:rsid w:val="00953BF0"/>
    <w:rsid w:val="00953E55"/>
    <w:rsid w:val="00953F80"/>
    <w:rsid w:val="00954290"/>
    <w:rsid w:val="009542B2"/>
    <w:rsid w:val="00954473"/>
    <w:rsid w:val="009551A4"/>
    <w:rsid w:val="00955499"/>
    <w:rsid w:val="009555FC"/>
    <w:rsid w:val="00956372"/>
    <w:rsid w:val="00956756"/>
    <w:rsid w:val="00956859"/>
    <w:rsid w:val="00956E16"/>
    <w:rsid w:val="00956E2F"/>
    <w:rsid w:val="009571DD"/>
    <w:rsid w:val="00957572"/>
    <w:rsid w:val="00957943"/>
    <w:rsid w:val="00957C63"/>
    <w:rsid w:val="00957CBE"/>
    <w:rsid w:val="00960220"/>
    <w:rsid w:val="00960238"/>
    <w:rsid w:val="0096058E"/>
    <w:rsid w:val="009608D0"/>
    <w:rsid w:val="00960EA5"/>
    <w:rsid w:val="00961037"/>
    <w:rsid w:val="0096113B"/>
    <w:rsid w:val="00961A37"/>
    <w:rsid w:val="00961D23"/>
    <w:rsid w:val="0096259B"/>
    <w:rsid w:val="009628D3"/>
    <w:rsid w:val="00962EAB"/>
    <w:rsid w:val="00963482"/>
    <w:rsid w:val="009634C4"/>
    <w:rsid w:val="00963742"/>
    <w:rsid w:val="00964422"/>
    <w:rsid w:val="00964A9E"/>
    <w:rsid w:val="00964B77"/>
    <w:rsid w:val="00964C9A"/>
    <w:rsid w:val="00964E48"/>
    <w:rsid w:val="009654F7"/>
    <w:rsid w:val="00965511"/>
    <w:rsid w:val="00965BC3"/>
    <w:rsid w:val="00966D21"/>
    <w:rsid w:val="00966DCC"/>
    <w:rsid w:val="0096722B"/>
    <w:rsid w:val="009674B6"/>
    <w:rsid w:val="00967753"/>
    <w:rsid w:val="00967A1D"/>
    <w:rsid w:val="00967C45"/>
    <w:rsid w:val="00967D40"/>
    <w:rsid w:val="00967FE2"/>
    <w:rsid w:val="009706BD"/>
    <w:rsid w:val="00970A29"/>
    <w:rsid w:val="0097169B"/>
    <w:rsid w:val="009718A7"/>
    <w:rsid w:val="00972292"/>
    <w:rsid w:val="00972BD3"/>
    <w:rsid w:val="00972F3D"/>
    <w:rsid w:val="00973033"/>
    <w:rsid w:val="00973109"/>
    <w:rsid w:val="009739DE"/>
    <w:rsid w:val="00973C44"/>
    <w:rsid w:val="0097417A"/>
    <w:rsid w:val="00974932"/>
    <w:rsid w:val="009756C1"/>
    <w:rsid w:val="009758FB"/>
    <w:rsid w:val="00975BEC"/>
    <w:rsid w:val="00975E58"/>
    <w:rsid w:val="00975FD9"/>
    <w:rsid w:val="0097610F"/>
    <w:rsid w:val="0097693E"/>
    <w:rsid w:val="00976E9B"/>
    <w:rsid w:val="00977901"/>
    <w:rsid w:val="009810A5"/>
    <w:rsid w:val="009813A7"/>
    <w:rsid w:val="009815A4"/>
    <w:rsid w:val="00982041"/>
    <w:rsid w:val="00982B7C"/>
    <w:rsid w:val="00982DF7"/>
    <w:rsid w:val="0098326A"/>
    <w:rsid w:val="00983A36"/>
    <w:rsid w:val="00984509"/>
    <w:rsid w:val="00986757"/>
    <w:rsid w:val="00986968"/>
    <w:rsid w:val="009869A7"/>
    <w:rsid w:val="00987259"/>
    <w:rsid w:val="00987C83"/>
    <w:rsid w:val="00987D33"/>
    <w:rsid w:val="00990768"/>
    <w:rsid w:val="00990CC5"/>
    <w:rsid w:val="00992485"/>
    <w:rsid w:val="00992BBB"/>
    <w:rsid w:val="00992DEE"/>
    <w:rsid w:val="009934C4"/>
    <w:rsid w:val="009936A8"/>
    <w:rsid w:val="009938B0"/>
    <w:rsid w:val="00993A05"/>
    <w:rsid w:val="0099416D"/>
    <w:rsid w:val="00994348"/>
    <w:rsid w:val="00994901"/>
    <w:rsid w:val="009949D9"/>
    <w:rsid w:val="00994CB1"/>
    <w:rsid w:val="00994D1C"/>
    <w:rsid w:val="00994D9A"/>
    <w:rsid w:val="00994E38"/>
    <w:rsid w:val="009953C8"/>
    <w:rsid w:val="00995C3A"/>
    <w:rsid w:val="009A0F15"/>
    <w:rsid w:val="009A2129"/>
    <w:rsid w:val="009A240C"/>
    <w:rsid w:val="009A26C0"/>
    <w:rsid w:val="009A422F"/>
    <w:rsid w:val="009A4FE7"/>
    <w:rsid w:val="009A52E0"/>
    <w:rsid w:val="009A53EE"/>
    <w:rsid w:val="009A54FD"/>
    <w:rsid w:val="009A604B"/>
    <w:rsid w:val="009A62F0"/>
    <w:rsid w:val="009A6FAC"/>
    <w:rsid w:val="009A6FB4"/>
    <w:rsid w:val="009A752F"/>
    <w:rsid w:val="009A780D"/>
    <w:rsid w:val="009A7851"/>
    <w:rsid w:val="009A7A5C"/>
    <w:rsid w:val="009A7F6A"/>
    <w:rsid w:val="009B01AA"/>
    <w:rsid w:val="009B0554"/>
    <w:rsid w:val="009B0BC4"/>
    <w:rsid w:val="009B0C32"/>
    <w:rsid w:val="009B151A"/>
    <w:rsid w:val="009B2EE0"/>
    <w:rsid w:val="009B2F68"/>
    <w:rsid w:val="009B345A"/>
    <w:rsid w:val="009B3C20"/>
    <w:rsid w:val="009B3C43"/>
    <w:rsid w:val="009B3F3A"/>
    <w:rsid w:val="009B53EE"/>
    <w:rsid w:val="009B5428"/>
    <w:rsid w:val="009B6406"/>
    <w:rsid w:val="009B6E2C"/>
    <w:rsid w:val="009B6FC9"/>
    <w:rsid w:val="009B7B63"/>
    <w:rsid w:val="009B7D04"/>
    <w:rsid w:val="009C0189"/>
    <w:rsid w:val="009C12AA"/>
    <w:rsid w:val="009C1AEE"/>
    <w:rsid w:val="009C1B0B"/>
    <w:rsid w:val="009C2159"/>
    <w:rsid w:val="009C220E"/>
    <w:rsid w:val="009C28E0"/>
    <w:rsid w:val="009C2BEA"/>
    <w:rsid w:val="009C2E16"/>
    <w:rsid w:val="009C3105"/>
    <w:rsid w:val="009C327F"/>
    <w:rsid w:val="009C3282"/>
    <w:rsid w:val="009C3327"/>
    <w:rsid w:val="009C34E4"/>
    <w:rsid w:val="009C3730"/>
    <w:rsid w:val="009C3A7B"/>
    <w:rsid w:val="009C3C61"/>
    <w:rsid w:val="009C3DE6"/>
    <w:rsid w:val="009C3E32"/>
    <w:rsid w:val="009C500D"/>
    <w:rsid w:val="009C50C1"/>
    <w:rsid w:val="009C59DB"/>
    <w:rsid w:val="009C611A"/>
    <w:rsid w:val="009C628E"/>
    <w:rsid w:val="009C6501"/>
    <w:rsid w:val="009C687E"/>
    <w:rsid w:val="009C6D87"/>
    <w:rsid w:val="009C7406"/>
    <w:rsid w:val="009C7437"/>
    <w:rsid w:val="009C7452"/>
    <w:rsid w:val="009C797D"/>
    <w:rsid w:val="009D0137"/>
    <w:rsid w:val="009D0851"/>
    <w:rsid w:val="009D0A2E"/>
    <w:rsid w:val="009D0C07"/>
    <w:rsid w:val="009D1B7E"/>
    <w:rsid w:val="009D20B3"/>
    <w:rsid w:val="009D2136"/>
    <w:rsid w:val="009D21FD"/>
    <w:rsid w:val="009D2F2F"/>
    <w:rsid w:val="009D380A"/>
    <w:rsid w:val="009D4405"/>
    <w:rsid w:val="009D447A"/>
    <w:rsid w:val="009D4CD2"/>
    <w:rsid w:val="009D5382"/>
    <w:rsid w:val="009D5481"/>
    <w:rsid w:val="009D6195"/>
    <w:rsid w:val="009D6201"/>
    <w:rsid w:val="009D6343"/>
    <w:rsid w:val="009D679C"/>
    <w:rsid w:val="009D69BE"/>
    <w:rsid w:val="009D69CF"/>
    <w:rsid w:val="009D6B13"/>
    <w:rsid w:val="009D6F1E"/>
    <w:rsid w:val="009D72C9"/>
    <w:rsid w:val="009D78DF"/>
    <w:rsid w:val="009E0476"/>
    <w:rsid w:val="009E08AE"/>
    <w:rsid w:val="009E0C4D"/>
    <w:rsid w:val="009E1E8D"/>
    <w:rsid w:val="009E1E8F"/>
    <w:rsid w:val="009E21DE"/>
    <w:rsid w:val="009E226B"/>
    <w:rsid w:val="009E234F"/>
    <w:rsid w:val="009E2F3A"/>
    <w:rsid w:val="009E3126"/>
    <w:rsid w:val="009E3808"/>
    <w:rsid w:val="009E3C44"/>
    <w:rsid w:val="009E3C5E"/>
    <w:rsid w:val="009E55D3"/>
    <w:rsid w:val="009E5610"/>
    <w:rsid w:val="009E5DB4"/>
    <w:rsid w:val="009E601D"/>
    <w:rsid w:val="009E6655"/>
    <w:rsid w:val="009E6686"/>
    <w:rsid w:val="009E6BF0"/>
    <w:rsid w:val="009E6C76"/>
    <w:rsid w:val="009E7097"/>
    <w:rsid w:val="009E7316"/>
    <w:rsid w:val="009E74A6"/>
    <w:rsid w:val="009E74D3"/>
    <w:rsid w:val="009F035B"/>
    <w:rsid w:val="009F0919"/>
    <w:rsid w:val="009F150A"/>
    <w:rsid w:val="009F2AEA"/>
    <w:rsid w:val="009F2D43"/>
    <w:rsid w:val="009F32A9"/>
    <w:rsid w:val="009F343E"/>
    <w:rsid w:val="009F35B4"/>
    <w:rsid w:val="009F37E2"/>
    <w:rsid w:val="009F3B77"/>
    <w:rsid w:val="009F4FDD"/>
    <w:rsid w:val="009F503F"/>
    <w:rsid w:val="009F53E1"/>
    <w:rsid w:val="009F5AAC"/>
    <w:rsid w:val="009F5D0F"/>
    <w:rsid w:val="009F5DB5"/>
    <w:rsid w:val="009F6049"/>
    <w:rsid w:val="009F6498"/>
    <w:rsid w:val="009F6F04"/>
    <w:rsid w:val="009F75B6"/>
    <w:rsid w:val="00A00465"/>
    <w:rsid w:val="00A01C4C"/>
    <w:rsid w:val="00A01FAC"/>
    <w:rsid w:val="00A02A14"/>
    <w:rsid w:val="00A0307C"/>
    <w:rsid w:val="00A0335B"/>
    <w:rsid w:val="00A03748"/>
    <w:rsid w:val="00A03788"/>
    <w:rsid w:val="00A0435E"/>
    <w:rsid w:val="00A0449C"/>
    <w:rsid w:val="00A04CBB"/>
    <w:rsid w:val="00A04FAC"/>
    <w:rsid w:val="00A053F6"/>
    <w:rsid w:val="00A059D8"/>
    <w:rsid w:val="00A06769"/>
    <w:rsid w:val="00A06F0A"/>
    <w:rsid w:val="00A06F6A"/>
    <w:rsid w:val="00A102FF"/>
    <w:rsid w:val="00A10407"/>
    <w:rsid w:val="00A10D79"/>
    <w:rsid w:val="00A10DDB"/>
    <w:rsid w:val="00A11203"/>
    <w:rsid w:val="00A115CF"/>
    <w:rsid w:val="00A1179B"/>
    <w:rsid w:val="00A117FE"/>
    <w:rsid w:val="00A11E22"/>
    <w:rsid w:val="00A12245"/>
    <w:rsid w:val="00A125BC"/>
    <w:rsid w:val="00A128DF"/>
    <w:rsid w:val="00A14425"/>
    <w:rsid w:val="00A14DA8"/>
    <w:rsid w:val="00A15967"/>
    <w:rsid w:val="00A15BBD"/>
    <w:rsid w:val="00A15F36"/>
    <w:rsid w:val="00A162A7"/>
    <w:rsid w:val="00A1683D"/>
    <w:rsid w:val="00A175D1"/>
    <w:rsid w:val="00A17EB6"/>
    <w:rsid w:val="00A2027C"/>
    <w:rsid w:val="00A20B47"/>
    <w:rsid w:val="00A20CCD"/>
    <w:rsid w:val="00A20E0E"/>
    <w:rsid w:val="00A20EA8"/>
    <w:rsid w:val="00A213F4"/>
    <w:rsid w:val="00A22663"/>
    <w:rsid w:val="00A22EDF"/>
    <w:rsid w:val="00A2304C"/>
    <w:rsid w:val="00A24070"/>
    <w:rsid w:val="00A243EE"/>
    <w:rsid w:val="00A24587"/>
    <w:rsid w:val="00A24BD5"/>
    <w:rsid w:val="00A251AF"/>
    <w:rsid w:val="00A25B88"/>
    <w:rsid w:val="00A2644C"/>
    <w:rsid w:val="00A26D5E"/>
    <w:rsid w:val="00A26F57"/>
    <w:rsid w:val="00A2731A"/>
    <w:rsid w:val="00A305FB"/>
    <w:rsid w:val="00A306F9"/>
    <w:rsid w:val="00A3155B"/>
    <w:rsid w:val="00A31A17"/>
    <w:rsid w:val="00A32260"/>
    <w:rsid w:val="00A3389D"/>
    <w:rsid w:val="00A33FE1"/>
    <w:rsid w:val="00A3494E"/>
    <w:rsid w:val="00A349DA"/>
    <w:rsid w:val="00A34C89"/>
    <w:rsid w:val="00A3525E"/>
    <w:rsid w:val="00A3598A"/>
    <w:rsid w:val="00A359A9"/>
    <w:rsid w:val="00A35BD7"/>
    <w:rsid w:val="00A3713C"/>
    <w:rsid w:val="00A376D2"/>
    <w:rsid w:val="00A3799B"/>
    <w:rsid w:val="00A40845"/>
    <w:rsid w:val="00A40B83"/>
    <w:rsid w:val="00A40F9A"/>
    <w:rsid w:val="00A41409"/>
    <w:rsid w:val="00A4254F"/>
    <w:rsid w:val="00A42989"/>
    <w:rsid w:val="00A448E8"/>
    <w:rsid w:val="00A44AFB"/>
    <w:rsid w:val="00A4535A"/>
    <w:rsid w:val="00A455DA"/>
    <w:rsid w:val="00A456A1"/>
    <w:rsid w:val="00A45B9E"/>
    <w:rsid w:val="00A45D68"/>
    <w:rsid w:val="00A46A97"/>
    <w:rsid w:val="00A46E40"/>
    <w:rsid w:val="00A46F97"/>
    <w:rsid w:val="00A47327"/>
    <w:rsid w:val="00A50039"/>
    <w:rsid w:val="00A500F0"/>
    <w:rsid w:val="00A50650"/>
    <w:rsid w:val="00A51B63"/>
    <w:rsid w:val="00A51BB6"/>
    <w:rsid w:val="00A51C95"/>
    <w:rsid w:val="00A51D29"/>
    <w:rsid w:val="00A52DBF"/>
    <w:rsid w:val="00A536A5"/>
    <w:rsid w:val="00A53A97"/>
    <w:rsid w:val="00A53CED"/>
    <w:rsid w:val="00A53E75"/>
    <w:rsid w:val="00A54DD9"/>
    <w:rsid w:val="00A55248"/>
    <w:rsid w:val="00A552BF"/>
    <w:rsid w:val="00A55D6F"/>
    <w:rsid w:val="00A565DB"/>
    <w:rsid w:val="00A56EFC"/>
    <w:rsid w:val="00A57777"/>
    <w:rsid w:val="00A57F29"/>
    <w:rsid w:val="00A6128E"/>
    <w:rsid w:val="00A61639"/>
    <w:rsid w:val="00A61D45"/>
    <w:rsid w:val="00A62D19"/>
    <w:rsid w:val="00A63320"/>
    <w:rsid w:val="00A635DC"/>
    <w:rsid w:val="00A63C6C"/>
    <w:rsid w:val="00A64219"/>
    <w:rsid w:val="00A6430D"/>
    <w:rsid w:val="00A647ED"/>
    <w:rsid w:val="00A64AF7"/>
    <w:rsid w:val="00A655DD"/>
    <w:rsid w:val="00A668B7"/>
    <w:rsid w:val="00A673D9"/>
    <w:rsid w:val="00A67A35"/>
    <w:rsid w:val="00A702CE"/>
    <w:rsid w:val="00A709BE"/>
    <w:rsid w:val="00A7102C"/>
    <w:rsid w:val="00A719C4"/>
    <w:rsid w:val="00A7235F"/>
    <w:rsid w:val="00A72919"/>
    <w:rsid w:val="00A7313C"/>
    <w:rsid w:val="00A73991"/>
    <w:rsid w:val="00A73A2B"/>
    <w:rsid w:val="00A73ECA"/>
    <w:rsid w:val="00A74D7E"/>
    <w:rsid w:val="00A7528C"/>
    <w:rsid w:val="00A75523"/>
    <w:rsid w:val="00A75DBD"/>
    <w:rsid w:val="00A765E6"/>
    <w:rsid w:val="00A76BE0"/>
    <w:rsid w:val="00A76DDE"/>
    <w:rsid w:val="00A77269"/>
    <w:rsid w:val="00A803B3"/>
    <w:rsid w:val="00A805ED"/>
    <w:rsid w:val="00A80F54"/>
    <w:rsid w:val="00A824F3"/>
    <w:rsid w:val="00A82605"/>
    <w:rsid w:val="00A82E53"/>
    <w:rsid w:val="00A83529"/>
    <w:rsid w:val="00A84234"/>
    <w:rsid w:val="00A842A8"/>
    <w:rsid w:val="00A846B3"/>
    <w:rsid w:val="00A84DF4"/>
    <w:rsid w:val="00A851AA"/>
    <w:rsid w:val="00A8529A"/>
    <w:rsid w:val="00A85735"/>
    <w:rsid w:val="00A85768"/>
    <w:rsid w:val="00A859B5"/>
    <w:rsid w:val="00A85C43"/>
    <w:rsid w:val="00A85FB9"/>
    <w:rsid w:val="00A862E3"/>
    <w:rsid w:val="00A869E8"/>
    <w:rsid w:val="00A86E18"/>
    <w:rsid w:val="00A86EC8"/>
    <w:rsid w:val="00A870CE"/>
    <w:rsid w:val="00A8774C"/>
    <w:rsid w:val="00A903CC"/>
    <w:rsid w:val="00A903EB"/>
    <w:rsid w:val="00A91567"/>
    <w:rsid w:val="00A9196D"/>
    <w:rsid w:val="00A91F76"/>
    <w:rsid w:val="00A920E0"/>
    <w:rsid w:val="00A9222C"/>
    <w:rsid w:val="00A9244B"/>
    <w:rsid w:val="00A92C78"/>
    <w:rsid w:val="00A936CB"/>
    <w:rsid w:val="00A93783"/>
    <w:rsid w:val="00A95AE2"/>
    <w:rsid w:val="00A95CDC"/>
    <w:rsid w:val="00A95E48"/>
    <w:rsid w:val="00A9622D"/>
    <w:rsid w:val="00A964C5"/>
    <w:rsid w:val="00A96ECD"/>
    <w:rsid w:val="00A97595"/>
    <w:rsid w:val="00A97787"/>
    <w:rsid w:val="00A979CA"/>
    <w:rsid w:val="00A97BCC"/>
    <w:rsid w:val="00AA02F6"/>
    <w:rsid w:val="00AA0594"/>
    <w:rsid w:val="00AA1D0C"/>
    <w:rsid w:val="00AA20E9"/>
    <w:rsid w:val="00AA21FA"/>
    <w:rsid w:val="00AA30C6"/>
    <w:rsid w:val="00AA378B"/>
    <w:rsid w:val="00AA3AF0"/>
    <w:rsid w:val="00AA3B8C"/>
    <w:rsid w:val="00AA4655"/>
    <w:rsid w:val="00AA5342"/>
    <w:rsid w:val="00AA55AA"/>
    <w:rsid w:val="00AA57A2"/>
    <w:rsid w:val="00AA57A3"/>
    <w:rsid w:val="00AA5A21"/>
    <w:rsid w:val="00AA62EA"/>
    <w:rsid w:val="00AA63A2"/>
    <w:rsid w:val="00AA70F1"/>
    <w:rsid w:val="00AA7206"/>
    <w:rsid w:val="00AA7D40"/>
    <w:rsid w:val="00AB03A4"/>
    <w:rsid w:val="00AB05AB"/>
    <w:rsid w:val="00AB096B"/>
    <w:rsid w:val="00AB1923"/>
    <w:rsid w:val="00AB25DE"/>
    <w:rsid w:val="00AB2698"/>
    <w:rsid w:val="00AB287F"/>
    <w:rsid w:val="00AB3368"/>
    <w:rsid w:val="00AB381B"/>
    <w:rsid w:val="00AB51F1"/>
    <w:rsid w:val="00AB5CFA"/>
    <w:rsid w:val="00AB6017"/>
    <w:rsid w:val="00AB639C"/>
    <w:rsid w:val="00AB6AFB"/>
    <w:rsid w:val="00AB6C47"/>
    <w:rsid w:val="00AB71A7"/>
    <w:rsid w:val="00AB775E"/>
    <w:rsid w:val="00AC0A0B"/>
    <w:rsid w:val="00AC0D11"/>
    <w:rsid w:val="00AC1154"/>
    <w:rsid w:val="00AC12C6"/>
    <w:rsid w:val="00AC1755"/>
    <w:rsid w:val="00AC18FD"/>
    <w:rsid w:val="00AC1C06"/>
    <w:rsid w:val="00AC1F3E"/>
    <w:rsid w:val="00AC21AC"/>
    <w:rsid w:val="00AC22BE"/>
    <w:rsid w:val="00AC23E8"/>
    <w:rsid w:val="00AC2B42"/>
    <w:rsid w:val="00AC2B66"/>
    <w:rsid w:val="00AC3556"/>
    <w:rsid w:val="00AC38DB"/>
    <w:rsid w:val="00AC3D5C"/>
    <w:rsid w:val="00AC4332"/>
    <w:rsid w:val="00AC4778"/>
    <w:rsid w:val="00AC4CDD"/>
    <w:rsid w:val="00AC5292"/>
    <w:rsid w:val="00AC529B"/>
    <w:rsid w:val="00AC6F64"/>
    <w:rsid w:val="00AC70E9"/>
    <w:rsid w:val="00AC7784"/>
    <w:rsid w:val="00AC7B14"/>
    <w:rsid w:val="00AD0156"/>
    <w:rsid w:val="00AD0447"/>
    <w:rsid w:val="00AD0DAC"/>
    <w:rsid w:val="00AD1459"/>
    <w:rsid w:val="00AD1695"/>
    <w:rsid w:val="00AD2011"/>
    <w:rsid w:val="00AD21EA"/>
    <w:rsid w:val="00AD28B4"/>
    <w:rsid w:val="00AD2EA9"/>
    <w:rsid w:val="00AD33E4"/>
    <w:rsid w:val="00AD3545"/>
    <w:rsid w:val="00AD4D3F"/>
    <w:rsid w:val="00AD5BD6"/>
    <w:rsid w:val="00AD622B"/>
    <w:rsid w:val="00AD6DEC"/>
    <w:rsid w:val="00AD6F9F"/>
    <w:rsid w:val="00AD733C"/>
    <w:rsid w:val="00AD776B"/>
    <w:rsid w:val="00AE01A6"/>
    <w:rsid w:val="00AE073A"/>
    <w:rsid w:val="00AE0A48"/>
    <w:rsid w:val="00AE0AA6"/>
    <w:rsid w:val="00AE0BC1"/>
    <w:rsid w:val="00AE2561"/>
    <w:rsid w:val="00AE2595"/>
    <w:rsid w:val="00AE27D6"/>
    <w:rsid w:val="00AE291A"/>
    <w:rsid w:val="00AE389F"/>
    <w:rsid w:val="00AE3AFB"/>
    <w:rsid w:val="00AE405D"/>
    <w:rsid w:val="00AE4279"/>
    <w:rsid w:val="00AE452B"/>
    <w:rsid w:val="00AE4683"/>
    <w:rsid w:val="00AE4F60"/>
    <w:rsid w:val="00AE594D"/>
    <w:rsid w:val="00AE61B4"/>
    <w:rsid w:val="00AE630B"/>
    <w:rsid w:val="00AE66A3"/>
    <w:rsid w:val="00AE678A"/>
    <w:rsid w:val="00AE757D"/>
    <w:rsid w:val="00AE7967"/>
    <w:rsid w:val="00AF0485"/>
    <w:rsid w:val="00AF0969"/>
    <w:rsid w:val="00AF0A78"/>
    <w:rsid w:val="00AF0B09"/>
    <w:rsid w:val="00AF1317"/>
    <w:rsid w:val="00AF187A"/>
    <w:rsid w:val="00AF1D8A"/>
    <w:rsid w:val="00AF21E8"/>
    <w:rsid w:val="00AF2542"/>
    <w:rsid w:val="00AF2DBE"/>
    <w:rsid w:val="00AF372F"/>
    <w:rsid w:val="00AF3941"/>
    <w:rsid w:val="00AF3978"/>
    <w:rsid w:val="00AF3FFD"/>
    <w:rsid w:val="00AF43BF"/>
    <w:rsid w:val="00AF4871"/>
    <w:rsid w:val="00AF4950"/>
    <w:rsid w:val="00AF4DB6"/>
    <w:rsid w:val="00AF54A3"/>
    <w:rsid w:val="00AF604F"/>
    <w:rsid w:val="00AF6050"/>
    <w:rsid w:val="00AF6463"/>
    <w:rsid w:val="00AF64BF"/>
    <w:rsid w:val="00AF6752"/>
    <w:rsid w:val="00AF685E"/>
    <w:rsid w:val="00AF6BF7"/>
    <w:rsid w:val="00AF706A"/>
    <w:rsid w:val="00AF7632"/>
    <w:rsid w:val="00AF7662"/>
    <w:rsid w:val="00B00562"/>
    <w:rsid w:val="00B00574"/>
    <w:rsid w:val="00B005A9"/>
    <w:rsid w:val="00B00695"/>
    <w:rsid w:val="00B00BA2"/>
    <w:rsid w:val="00B00BD9"/>
    <w:rsid w:val="00B00E64"/>
    <w:rsid w:val="00B014EB"/>
    <w:rsid w:val="00B02515"/>
    <w:rsid w:val="00B02682"/>
    <w:rsid w:val="00B02913"/>
    <w:rsid w:val="00B02F7A"/>
    <w:rsid w:val="00B03098"/>
    <w:rsid w:val="00B03F73"/>
    <w:rsid w:val="00B04D4F"/>
    <w:rsid w:val="00B05482"/>
    <w:rsid w:val="00B0556E"/>
    <w:rsid w:val="00B057B8"/>
    <w:rsid w:val="00B05A0C"/>
    <w:rsid w:val="00B05B97"/>
    <w:rsid w:val="00B05EBB"/>
    <w:rsid w:val="00B0648A"/>
    <w:rsid w:val="00B069B7"/>
    <w:rsid w:val="00B0764C"/>
    <w:rsid w:val="00B07661"/>
    <w:rsid w:val="00B076DB"/>
    <w:rsid w:val="00B076E8"/>
    <w:rsid w:val="00B07975"/>
    <w:rsid w:val="00B1024E"/>
    <w:rsid w:val="00B1169E"/>
    <w:rsid w:val="00B11846"/>
    <w:rsid w:val="00B11881"/>
    <w:rsid w:val="00B119B5"/>
    <w:rsid w:val="00B11A54"/>
    <w:rsid w:val="00B11CE6"/>
    <w:rsid w:val="00B11F8A"/>
    <w:rsid w:val="00B12759"/>
    <w:rsid w:val="00B12D13"/>
    <w:rsid w:val="00B131C2"/>
    <w:rsid w:val="00B1379B"/>
    <w:rsid w:val="00B13DEB"/>
    <w:rsid w:val="00B1400F"/>
    <w:rsid w:val="00B14929"/>
    <w:rsid w:val="00B152B9"/>
    <w:rsid w:val="00B15BDF"/>
    <w:rsid w:val="00B15C36"/>
    <w:rsid w:val="00B162FD"/>
    <w:rsid w:val="00B1766C"/>
    <w:rsid w:val="00B2141E"/>
    <w:rsid w:val="00B21F9A"/>
    <w:rsid w:val="00B223D6"/>
    <w:rsid w:val="00B22708"/>
    <w:rsid w:val="00B22BD1"/>
    <w:rsid w:val="00B22C99"/>
    <w:rsid w:val="00B232BD"/>
    <w:rsid w:val="00B232F9"/>
    <w:rsid w:val="00B24E3A"/>
    <w:rsid w:val="00B24F3F"/>
    <w:rsid w:val="00B25020"/>
    <w:rsid w:val="00B25291"/>
    <w:rsid w:val="00B258ED"/>
    <w:rsid w:val="00B25E2B"/>
    <w:rsid w:val="00B26E18"/>
    <w:rsid w:val="00B271A5"/>
    <w:rsid w:val="00B276A0"/>
    <w:rsid w:val="00B2786C"/>
    <w:rsid w:val="00B3020C"/>
    <w:rsid w:val="00B30316"/>
    <w:rsid w:val="00B310E5"/>
    <w:rsid w:val="00B31B15"/>
    <w:rsid w:val="00B31DBA"/>
    <w:rsid w:val="00B32460"/>
    <w:rsid w:val="00B32598"/>
    <w:rsid w:val="00B325DA"/>
    <w:rsid w:val="00B32AAD"/>
    <w:rsid w:val="00B32C0F"/>
    <w:rsid w:val="00B32F81"/>
    <w:rsid w:val="00B32F8F"/>
    <w:rsid w:val="00B3358F"/>
    <w:rsid w:val="00B33AD3"/>
    <w:rsid w:val="00B342F3"/>
    <w:rsid w:val="00B343A5"/>
    <w:rsid w:val="00B347E8"/>
    <w:rsid w:val="00B34BCE"/>
    <w:rsid w:val="00B352C9"/>
    <w:rsid w:val="00B354A8"/>
    <w:rsid w:val="00B366CE"/>
    <w:rsid w:val="00B367BE"/>
    <w:rsid w:val="00B370AE"/>
    <w:rsid w:val="00B3799E"/>
    <w:rsid w:val="00B37C52"/>
    <w:rsid w:val="00B37D00"/>
    <w:rsid w:val="00B37EFC"/>
    <w:rsid w:val="00B4023B"/>
    <w:rsid w:val="00B40B52"/>
    <w:rsid w:val="00B40B6D"/>
    <w:rsid w:val="00B40E44"/>
    <w:rsid w:val="00B41760"/>
    <w:rsid w:val="00B41B7D"/>
    <w:rsid w:val="00B41E65"/>
    <w:rsid w:val="00B41E94"/>
    <w:rsid w:val="00B42091"/>
    <w:rsid w:val="00B4216A"/>
    <w:rsid w:val="00B425EA"/>
    <w:rsid w:val="00B4269F"/>
    <w:rsid w:val="00B43FE8"/>
    <w:rsid w:val="00B44FFF"/>
    <w:rsid w:val="00B450D8"/>
    <w:rsid w:val="00B451CD"/>
    <w:rsid w:val="00B452FD"/>
    <w:rsid w:val="00B46701"/>
    <w:rsid w:val="00B46B36"/>
    <w:rsid w:val="00B47028"/>
    <w:rsid w:val="00B473B0"/>
    <w:rsid w:val="00B47EFE"/>
    <w:rsid w:val="00B5037A"/>
    <w:rsid w:val="00B505BE"/>
    <w:rsid w:val="00B50E79"/>
    <w:rsid w:val="00B511F2"/>
    <w:rsid w:val="00B52538"/>
    <w:rsid w:val="00B52719"/>
    <w:rsid w:val="00B53181"/>
    <w:rsid w:val="00B53B6A"/>
    <w:rsid w:val="00B54681"/>
    <w:rsid w:val="00B54CC5"/>
    <w:rsid w:val="00B55AA5"/>
    <w:rsid w:val="00B56860"/>
    <w:rsid w:val="00B56C79"/>
    <w:rsid w:val="00B570E4"/>
    <w:rsid w:val="00B578AF"/>
    <w:rsid w:val="00B57917"/>
    <w:rsid w:val="00B57B71"/>
    <w:rsid w:val="00B60AF3"/>
    <w:rsid w:val="00B60B8E"/>
    <w:rsid w:val="00B61DCD"/>
    <w:rsid w:val="00B625C1"/>
    <w:rsid w:val="00B62783"/>
    <w:rsid w:val="00B62ACB"/>
    <w:rsid w:val="00B6333B"/>
    <w:rsid w:val="00B638A4"/>
    <w:rsid w:val="00B63990"/>
    <w:rsid w:val="00B6417D"/>
    <w:rsid w:val="00B6427B"/>
    <w:rsid w:val="00B64A24"/>
    <w:rsid w:val="00B6559F"/>
    <w:rsid w:val="00B6601B"/>
    <w:rsid w:val="00B6636F"/>
    <w:rsid w:val="00B6658F"/>
    <w:rsid w:val="00B66873"/>
    <w:rsid w:val="00B6736B"/>
    <w:rsid w:val="00B674BB"/>
    <w:rsid w:val="00B7148E"/>
    <w:rsid w:val="00B71976"/>
    <w:rsid w:val="00B71C44"/>
    <w:rsid w:val="00B71E96"/>
    <w:rsid w:val="00B71FD4"/>
    <w:rsid w:val="00B72505"/>
    <w:rsid w:val="00B72667"/>
    <w:rsid w:val="00B728F2"/>
    <w:rsid w:val="00B72C56"/>
    <w:rsid w:val="00B72CDB"/>
    <w:rsid w:val="00B73B03"/>
    <w:rsid w:val="00B74218"/>
    <w:rsid w:val="00B74482"/>
    <w:rsid w:val="00B748CE"/>
    <w:rsid w:val="00B758D4"/>
    <w:rsid w:val="00B75C64"/>
    <w:rsid w:val="00B75F3E"/>
    <w:rsid w:val="00B76323"/>
    <w:rsid w:val="00B76386"/>
    <w:rsid w:val="00B76818"/>
    <w:rsid w:val="00B769E7"/>
    <w:rsid w:val="00B77890"/>
    <w:rsid w:val="00B7790A"/>
    <w:rsid w:val="00B77B15"/>
    <w:rsid w:val="00B802C7"/>
    <w:rsid w:val="00B80915"/>
    <w:rsid w:val="00B811C1"/>
    <w:rsid w:val="00B81D33"/>
    <w:rsid w:val="00B82993"/>
    <w:rsid w:val="00B83005"/>
    <w:rsid w:val="00B830CD"/>
    <w:rsid w:val="00B8360D"/>
    <w:rsid w:val="00B83BD3"/>
    <w:rsid w:val="00B83EE5"/>
    <w:rsid w:val="00B842C0"/>
    <w:rsid w:val="00B8461F"/>
    <w:rsid w:val="00B84652"/>
    <w:rsid w:val="00B846AC"/>
    <w:rsid w:val="00B84D9D"/>
    <w:rsid w:val="00B85548"/>
    <w:rsid w:val="00B8585C"/>
    <w:rsid w:val="00B859D3"/>
    <w:rsid w:val="00B85C72"/>
    <w:rsid w:val="00B8645E"/>
    <w:rsid w:val="00B8677A"/>
    <w:rsid w:val="00B8753C"/>
    <w:rsid w:val="00B87FED"/>
    <w:rsid w:val="00B908F5"/>
    <w:rsid w:val="00B91106"/>
    <w:rsid w:val="00B91836"/>
    <w:rsid w:val="00B91FB2"/>
    <w:rsid w:val="00B920D0"/>
    <w:rsid w:val="00B921C4"/>
    <w:rsid w:val="00B93498"/>
    <w:rsid w:val="00B93726"/>
    <w:rsid w:val="00B93B61"/>
    <w:rsid w:val="00B94566"/>
    <w:rsid w:val="00B9509A"/>
    <w:rsid w:val="00B9546C"/>
    <w:rsid w:val="00B95CA3"/>
    <w:rsid w:val="00B9679B"/>
    <w:rsid w:val="00B96A03"/>
    <w:rsid w:val="00B97317"/>
    <w:rsid w:val="00B97526"/>
    <w:rsid w:val="00B9764B"/>
    <w:rsid w:val="00B97B28"/>
    <w:rsid w:val="00BA03AF"/>
    <w:rsid w:val="00BA050A"/>
    <w:rsid w:val="00BA072D"/>
    <w:rsid w:val="00BA0796"/>
    <w:rsid w:val="00BA0CB4"/>
    <w:rsid w:val="00BA1D90"/>
    <w:rsid w:val="00BA22CC"/>
    <w:rsid w:val="00BA3230"/>
    <w:rsid w:val="00BA3369"/>
    <w:rsid w:val="00BA3C1F"/>
    <w:rsid w:val="00BA419B"/>
    <w:rsid w:val="00BA4255"/>
    <w:rsid w:val="00BA4589"/>
    <w:rsid w:val="00BA4CFD"/>
    <w:rsid w:val="00BA5440"/>
    <w:rsid w:val="00BA5BC2"/>
    <w:rsid w:val="00BA60D6"/>
    <w:rsid w:val="00BA65D8"/>
    <w:rsid w:val="00BA6BF2"/>
    <w:rsid w:val="00BA70FF"/>
    <w:rsid w:val="00BA73B3"/>
    <w:rsid w:val="00BA7C2B"/>
    <w:rsid w:val="00BB0941"/>
    <w:rsid w:val="00BB0B89"/>
    <w:rsid w:val="00BB1007"/>
    <w:rsid w:val="00BB12D7"/>
    <w:rsid w:val="00BB1596"/>
    <w:rsid w:val="00BB1BCC"/>
    <w:rsid w:val="00BB1D91"/>
    <w:rsid w:val="00BB2332"/>
    <w:rsid w:val="00BB284C"/>
    <w:rsid w:val="00BB2AF3"/>
    <w:rsid w:val="00BB2E4A"/>
    <w:rsid w:val="00BB2E5C"/>
    <w:rsid w:val="00BB33ED"/>
    <w:rsid w:val="00BB3541"/>
    <w:rsid w:val="00BB3CAF"/>
    <w:rsid w:val="00BB416F"/>
    <w:rsid w:val="00BB4C6B"/>
    <w:rsid w:val="00BB4DB6"/>
    <w:rsid w:val="00BB5575"/>
    <w:rsid w:val="00BB56EA"/>
    <w:rsid w:val="00BB5772"/>
    <w:rsid w:val="00BB5F54"/>
    <w:rsid w:val="00BB6509"/>
    <w:rsid w:val="00BB681C"/>
    <w:rsid w:val="00BB6C4A"/>
    <w:rsid w:val="00BB6CA1"/>
    <w:rsid w:val="00BB77D1"/>
    <w:rsid w:val="00BB791D"/>
    <w:rsid w:val="00BB7E4A"/>
    <w:rsid w:val="00BC0161"/>
    <w:rsid w:val="00BC04D8"/>
    <w:rsid w:val="00BC06DA"/>
    <w:rsid w:val="00BC0FE6"/>
    <w:rsid w:val="00BC10F1"/>
    <w:rsid w:val="00BC11B8"/>
    <w:rsid w:val="00BC13A3"/>
    <w:rsid w:val="00BC2C7A"/>
    <w:rsid w:val="00BC37C6"/>
    <w:rsid w:val="00BC46E6"/>
    <w:rsid w:val="00BC521D"/>
    <w:rsid w:val="00BC5679"/>
    <w:rsid w:val="00BC5B54"/>
    <w:rsid w:val="00BC7F84"/>
    <w:rsid w:val="00BD014F"/>
    <w:rsid w:val="00BD02A8"/>
    <w:rsid w:val="00BD059D"/>
    <w:rsid w:val="00BD177A"/>
    <w:rsid w:val="00BD1ABA"/>
    <w:rsid w:val="00BD2990"/>
    <w:rsid w:val="00BD2E21"/>
    <w:rsid w:val="00BD3344"/>
    <w:rsid w:val="00BD3605"/>
    <w:rsid w:val="00BD3DDC"/>
    <w:rsid w:val="00BD4603"/>
    <w:rsid w:val="00BD4B0E"/>
    <w:rsid w:val="00BD4E57"/>
    <w:rsid w:val="00BD4F34"/>
    <w:rsid w:val="00BD5105"/>
    <w:rsid w:val="00BD5107"/>
    <w:rsid w:val="00BD524F"/>
    <w:rsid w:val="00BD57FD"/>
    <w:rsid w:val="00BD5AA4"/>
    <w:rsid w:val="00BD5BAF"/>
    <w:rsid w:val="00BD6A0E"/>
    <w:rsid w:val="00BD6A1F"/>
    <w:rsid w:val="00BD6CF4"/>
    <w:rsid w:val="00BE017B"/>
    <w:rsid w:val="00BE02CC"/>
    <w:rsid w:val="00BE10FF"/>
    <w:rsid w:val="00BE118A"/>
    <w:rsid w:val="00BE11F5"/>
    <w:rsid w:val="00BE17B2"/>
    <w:rsid w:val="00BE1DCD"/>
    <w:rsid w:val="00BE1EB6"/>
    <w:rsid w:val="00BE311A"/>
    <w:rsid w:val="00BE3174"/>
    <w:rsid w:val="00BE3B59"/>
    <w:rsid w:val="00BE3B9A"/>
    <w:rsid w:val="00BE3BA2"/>
    <w:rsid w:val="00BE3F0A"/>
    <w:rsid w:val="00BE401F"/>
    <w:rsid w:val="00BE457A"/>
    <w:rsid w:val="00BE4D80"/>
    <w:rsid w:val="00BE5D01"/>
    <w:rsid w:val="00BE61EC"/>
    <w:rsid w:val="00BE6724"/>
    <w:rsid w:val="00BE6E58"/>
    <w:rsid w:val="00BE6E63"/>
    <w:rsid w:val="00BE73EA"/>
    <w:rsid w:val="00BE7643"/>
    <w:rsid w:val="00BF0354"/>
    <w:rsid w:val="00BF0D44"/>
    <w:rsid w:val="00BF1633"/>
    <w:rsid w:val="00BF1D2B"/>
    <w:rsid w:val="00BF3DB8"/>
    <w:rsid w:val="00BF44B4"/>
    <w:rsid w:val="00BF4611"/>
    <w:rsid w:val="00BF6D28"/>
    <w:rsid w:val="00BF7621"/>
    <w:rsid w:val="00BF7797"/>
    <w:rsid w:val="00C0033B"/>
    <w:rsid w:val="00C00624"/>
    <w:rsid w:val="00C009C3"/>
    <w:rsid w:val="00C018DD"/>
    <w:rsid w:val="00C01FB2"/>
    <w:rsid w:val="00C02BF7"/>
    <w:rsid w:val="00C033B2"/>
    <w:rsid w:val="00C0371E"/>
    <w:rsid w:val="00C03E35"/>
    <w:rsid w:val="00C0430C"/>
    <w:rsid w:val="00C047DF"/>
    <w:rsid w:val="00C04A96"/>
    <w:rsid w:val="00C05346"/>
    <w:rsid w:val="00C0550B"/>
    <w:rsid w:val="00C0565E"/>
    <w:rsid w:val="00C05808"/>
    <w:rsid w:val="00C05B8A"/>
    <w:rsid w:val="00C06A97"/>
    <w:rsid w:val="00C06B7B"/>
    <w:rsid w:val="00C06E8D"/>
    <w:rsid w:val="00C0720B"/>
    <w:rsid w:val="00C07598"/>
    <w:rsid w:val="00C07A97"/>
    <w:rsid w:val="00C07DEA"/>
    <w:rsid w:val="00C10027"/>
    <w:rsid w:val="00C1006F"/>
    <w:rsid w:val="00C11334"/>
    <w:rsid w:val="00C11984"/>
    <w:rsid w:val="00C1257F"/>
    <w:rsid w:val="00C125C8"/>
    <w:rsid w:val="00C12CDF"/>
    <w:rsid w:val="00C13276"/>
    <w:rsid w:val="00C13843"/>
    <w:rsid w:val="00C13CD4"/>
    <w:rsid w:val="00C13E05"/>
    <w:rsid w:val="00C1492F"/>
    <w:rsid w:val="00C14FA9"/>
    <w:rsid w:val="00C154B1"/>
    <w:rsid w:val="00C1586D"/>
    <w:rsid w:val="00C15BD5"/>
    <w:rsid w:val="00C15E86"/>
    <w:rsid w:val="00C15F75"/>
    <w:rsid w:val="00C16115"/>
    <w:rsid w:val="00C167D6"/>
    <w:rsid w:val="00C16997"/>
    <w:rsid w:val="00C16BF9"/>
    <w:rsid w:val="00C171FF"/>
    <w:rsid w:val="00C1736F"/>
    <w:rsid w:val="00C1749A"/>
    <w:rsid w:val="00C17811"/>
    <w:rsid w:val="00C20116"/>
    <w:rsid w:val="00C201E5"/>
    <w:rsid w:val="00C20A22"/>
    <w:rsid w:val="00C219D4"/>
    <w:rsid w:val="00C21BA1"/>
    <w:rsid w:val="00C22064"/>
    <w:rsid w:val="00C2220E"/>
    <w:rsid w:val="00C22995"/>
    <w:rsid w:val="00C22E73"/>
    <w:rsid w:val="00C23028"/>
    <w:rsid w:val="00C23A02"/>
    <w:rsid w:val="00C24B30"/>
    <w:rsid w:val="00C252BD"/>
    <w:rsid w:val="00C26F7D"/>
    <w:rsid w:val="00C272A2"/>
    <w:rsid w:val="00C27631"/>
    <w:rsid w:val="00C3045C"/>
    <w:rsid w:val="00C306EA"/>
    <w:rsid w:val="00C3099B"/>
    <w:rsid w:val="00C30ADF"/>
    <w:rsid w:val="00C31192"/>
    <w:rsid w:val="00C312B9"/>
    <w:rsid w:val="00C31623"/>
    <w:rsid w:val="00C319A9"/>
    <w:rsid w:val="00C31C84"/>
    <w:rsid w:val="00C327BA"/>
    <w:rsid w:val="00C32B17"/>
    <w:rsid w:val="00C3312B"/>
    <w:rsid w:val="00C331FC"/>
    <w:rsid w:val="00C33340"/>
    <w:rsid w:val="00C33426"/>
    <w:rsid w:val="00C350A1"/>
    <w:rsid w:val="00C35B2B"/>
    <w:rsid w:val="00C35C23"/>
    <w:rsid w:val="00C35F00"/>
    <w:rsid w:val="00C36295"/>
    <w:rsid w:val="00C3662D"/>
    <w:rsid w:val="00C36A4A"/>
    <w:rsid w:val="00C36DA4"/>
    <w:rsid w:val="00C3715B"/>
    <w:rsid w:val="00C37F4C"/>
    <w:rsid w:val="00C401D7"/>
    <w:rsid w:val="00C4021E"/>
    <w:rsid w:val="00C40A30"/>
    <w:rsid w:val="00C40E34"/>
    <w:rsid w:val="00C411AE"/>
    <w:rsid w:val="00C41284"/>
    <w:rsid w:val="00C41322"/>
    <w:rsid w:val="00C41F44"/>
    <w:rsid w:val="00C4208A"/>
    <w:rsid w:val="00C421CB"/>
    <w:rsid w:val="00C42D33"/>
    <w:rsid w:val="00C42F54"/>
    <w:rsid w:val="00C4300D"/>
    <w:rsid w:val="00C43124"/>
    <w:rsid w:val="00C4384A"/>
    <w:rsid w:val="00C447C7"/>
    <w:rsid w:val="00C44ADA"/>
    <w:rsid w:val="00C45132"/>
    <w:rsid w:val="00C4527D"/>
    <w:rsid w:val="00C4568C"/>
    <w:rsid w:val="00C4572E"/>
    <w:rsid w:val="00C45979"/>
    <w:rsid w:val="00C45D96"/>
    <w:rsid w:val="00C4709C"/>
    <w:rsid w:val="00C472F0"/>
    <w:rsid w:val="00C47630"/>
    <w:rsid w:val="00C479C9"/>
    <w:rsid w:val="00C47C6C"/>
    <w:rsid w:val="00C47DA8"/>
    <w:rsid w:val="00C47F54"/>
    <w:rsid w:val="00C50792"/>
    <w:rsid w:val="00C51C39"/>
    <w:rsid w:val="00C52540"/>
    <w:rsid w:val="00C527D7"/>
    <w:rsid w:val="00C5336C"/>
    <w:rsid w:val="00C53CA0"/>
    <w:rsid w:val="00C53F87"/>
    <w:rsid w:val="00C54184"/>
    <w:rsid w:val="00C54EDB"/>
    <w:rsid w:val="00C56835"/>
    <w:rsid w:val="00C5760A"/>
    <w:rsid w:val="00C602F8"/>
    <w:rsid w:val="00C6044B"/>
    <w:rsid w:val="00C60856"/>
    <w:rsid w:val="00C61649"/>
    <w:rsid w:val="00C618DB"/>
    <w:rsid w:val="00C623DD"/>
    <w:rsid w:val="00C6250C"/>
    <w:rsid w:val="00C63CB3"/>
    <w:rsid w:val="00C646BE"/>
    <w:rsid w:val="00C64B9C"/>
    <w:rsid w:val="00C64D83"/>
    <w:rsid w:val="00C64EDE"/>
    <w:rsid w:val="00C64F0E"/>
    <w:rsid w:val="00C659C0"/>
    <w:rsid w:val="00C66D00"/>
    <w:rsid w:val="00C67328"/>
    <w:rsid w:val="00C677A0"/>
    <w:rsid w:val="00C67E57"/>
    <w:rsid w:val="00C70223"/>
    <w:rsid w:val="00C70C1F"/>
    <w:rsid w:val="00C71AF7"/>
    <w:rsid w:val="00C74802"/>
    <w:rsid w:val="00C74AC7"/>
    <w:rsid w:val="00C750EF"/>
    <w:rsid w:val="00C75A27"/>
    <w:rsid w:val="00C7685E"/>
    <w:rsid w:val="00C77024"/>
    <w:rsid w:val="00C771AF"/>
    <w:rsid w:val="00C801C1"/>
    <w:rsid w:val="00C8060F"/>
    <w:rsid w:val="00C80774"/>
    <w:rsid w:val="00C8095A"/>
    <w:rsid w:val="00C82247"/>
    <w:rsid w:val="00C8248B"/>
    <w:rsid w:val="00C8255F"/>
    <w:rsid w:val="00C831DC"/>
    <w:rsid w:val="00C8376C"/>
    <w:rsid w:val="00C83792"/>
    <w:rsid w:val="00C83E1A"/>
    <w:rsid w:val="00C84313"/>
    <w:rsid w:val="00C84F1F"/>
    <w:rsid w:val="00C8536B"/>
    <w:rsid w:val="00C8549E"/>
    <w:rsid w:val="00C8618A"/>
    <w:rsid w:val="00C86379"/>
    <w:rsid w:val="00C8638A"/>
    <w:rsid w:val="00C87538"/>
    <w:rsid w:val="00C87A12"/>
    <w:rsid w:val="00C87BCE"/>
    <w:rsid w:val="00C90046"/>
    <w:rsid w:val="00C900A6"/>
    <w:rsid w:val="00C90566"/>
    <w:rsid w:val="00C905C9"/>
    <w:rsid w:val="00C90865"/>
    <w:rsid w:val="00C920D1"/>
    <w:rsid w:val="00C922BE"/>
    <w:rsid w:val="00C93682"/>
    <w:rsid w:val="00C946E4"/>
    <w:rsid w:val="00C94C14"/>
    <w:rsid w:val="00C950E8"/>
    <w:rsid w:val="00C9583A"/>
    <w:rsid w:val="00C95CFA"/>
    <w:rsid w:val="00C96713"/>
    <w:rsid w:val="00C96B8F"/>
    <w:rsid w:val="00C96F46"/>
    <w:rsid w:val="00C9707B"/>
    <w:rsid w:val="00C9740D"/>
    <w:rsid w:val="00C9771B"/>
    <w:rsid w:val="00CA0221"/>
    <w:rsid w:val="00CA0C6A"/>
    <w:rsid w:val="00CA0E77"/>
    <w:rsid w:val="00CA1106"/>
    <w:rsid w:val="00CA1410"/>
    <w:rsid w:val="00CA1774"/>
    <w:rsid w:val="00CA1C40"/>
    <w:rsid w:val="00CA2816"/>
    <w:rsid w:val="00CA363F"/>
    <w:rsid w:val="00CA3768"/>
    <w:rsid w:val="00CA45FD"/>
    <w:rsid w:val="00CA4814"/>
    <w:rsid w:val="00CA4B24"/>
    <w:rsid w:val="00CA50A8"/>
    <w:rsid w:val="00CA5638"/>
    <w:rsid w:val="00CA5797"/>
    <w:rsid w:val="00CA5EB9"/>
    <w:rsid w:val="00CA6374"/>
    <w:rsid w:val="00CA697E"/>
    <w:rsid w:val="00CA719E"/>
    <w:rsid w:val="00CA7F41"/>
    <w:rsid w:val="00CB0619"/>
    <w:rsid w:val="00CB065D"/>
    <w:rsid w:val="00CB17C4"/>
    <w:rsid w:val="00CB2388"/>
    <w:rsid w:val="00CB25B9"/>
    <w:rsid w:val="00CB2A9F"/>
    <w:rsid w:val="00CB3048"/>
    <w:rsid w:val="00CB3EBF"/>
    <w:rsid w:val="00CB41A7"/>
    <w:rsid w:val="00CB4221"/>
    <w:rsid w:val="00CB51C9"/>
    <w:rsid w:val="00CB5360"/>
    <w:rsid w:val="00CB5BAA"/>
    <w:rsid w:val="00CB64C3"/>
    <w:rsid w:val="00CB6CBE"/>
    <w:rsid w:val="00CB75EE"/>
    <w:rsid w:val="00CB7899"/>
    <w:rsid w:val="00CB7B14"/>
    <w:rsid w:val="00CC089B"/>
    <w:rsid w:val="00CC0AF5"/>
    <w:rsid w:val="00CC0F6D"/>
    <w:rsid w:val="00CC12DD"/>
    <w:rsid w:val="00CC1EFD"/>
    <w:rsid w:val="00CC2219"/>
    <w:rsid w:val="00CC27F5"/>
    <w:rsid w:val="00CC28EA"/>
    <w:rsid w:val="00CC2E3E"/>
    <w:rsid w:val="00CC30BE"/>
    <w:rsid w:val="00CC410F"/>
    <w:rsid w:val="00CC486E"/>
    <w:rsid w:val="00CC48C4"/>
    <w:rsid w:val="00CC4D5F"/>
    <w:rsid w:val="00CC51F5"/>
    <w:rsid w:val="00CC535F"/>
    <w:rsid w:val="00CC59DD"/>
    <w:rsid w:val="00CC5B2F"/>
    <w:rsid w:val="00CC6028"/>
    <w:rsid w:val="00CC60FB"/>
    <w:rsid w:val="00CC6979"/>
    <w:rsid w:val="00CC6B51"/>
    <w:rsid w:val="00CC7F9C"/>
    <w:rsid w:val="00CD033E"/>
    <w:rsid w:val="00CD0453"/>
    <w:rsid w:val="00CD061D"/>
    <w:rsid w:val="00CD0D32"/>
    <w:rsid w:val="00CD1182"/>
    <w:rsid w:val="00CD1386"/>
    <w:rsid w:val="00CD1596"/>
    <w:rsid w:val="00CD23FA"/>
    <w:rsid w:val="00CD2582"/>
    <w:rsid w:val="00CD312C"/>
    <w:rsid w:val="00CD3951"/>
    <w:rsid w:val="00CD3D59"/>
    <w:rsid w:val="00CD3EDD"/>
    <w:rsid w:val="00CD4273"/>
    <w:rsid w:val="00CD45F2"/>
    <w:rsid w:val="00CD5222"/>
    <w:rsid w:val="00CD5376"/>
    <w:rsid w:val="00CD541B"/>
    <w:rsid w:val="00CD58B0"/>
    <w:rsid w:val="00CD61E9"/>
    <w:rsid w:val="00CD6C0B"/>
    <w:rsid w:val="00CD709A"/>
    <w:rsid w:val="00CD764E"/>
    <w:rsid w:val="00CD7CC1"/>
    <w:rsid w:val="00CE01AA"/>
    <w:rsid w:val="00CE08BF"/>
    <w:rsid w:val="00CE097B"/>
    <w:rsid w:val="00CE0C1B"/>
    <w:rsid w:val="00CE0EE5"/>
    <w:rsid w:val="00CE1267"/>
    <w:rsid w:val="00CE182C"/>
    <w:rsid w:val="00CE201D"/>
    <w:rsid w:val="00CE2FEE"/>
    <w:rsid w:val="00CE55B3"/>
    <w:rsid w:val="00CE5763"/>
    <w:rsid w:val="00CE5C17"/>
    <w:rsid w:val="00CE606D"/>
    <w:rsid w:val="00CE77EB"/>
    <w:rsid w:val="00CE7988"/>
    <w:rsid w:val="00CE7ECE"/>
    <w:rsid w:val="00CE7ED6"/>
    <w:rsid w:val="00CE7ED9"/>
    <w:rsid w:val="00CF01CC"/>
    <w:rsid w:val="00CF095B"/>
    <w:rsid w:val="00CF1789"/>
    <w:rsid w:val="00CF1F2B"/>
    <w:rsid w:val="00CF1F30"/>
    <w:rsid w:val="00CF232C"/>
    <w:rsid w:val="00CF2660"/>
    <w:rsid w:val="00CF2FF6"/>
    <w:rsid w:val="00CF305A"/>
    <w:rsid w:val="00CF320E"/>
    <w:rsid w:val="00CF3865"/>
    <w:rsid w:val="00CF391C"/>
    <w:rsid w:val="00CF3D69"/>
    <w:rsid w:val="00CF4443"/>
    <w:rsid w:val="00CF5C4E"/>
    <w:rsid w:val="00CF63CF"/>
    <w:rsid w:val="00CF71D6"/>
    <w:rsid w:val="00CF76DD"/>
    <w:rsid w:val="00CF775C"/>
    <w:rsid w:val="00CF7881"/>
    <w:rsid w:val="00CF7F55"/>
    <w:rsid w:val="00D000EF"/>
    <w:rsid w:val="00D009B8"/>
    <w:rsid w:val="00D00F51"/>
    <w:rsid w:val="00D02116"/>
    <w:rsid w:val="00D02203"/>
    <w:rsid w:val="00D035A5"/>
    <w:rsid w:val="00D037D8"/>
    <w:rsid w:val="00D03E18"/>
    <w:rsid w:val="00D040AF"/>
    <w:rsid w:val="00D04549"/>
    <w:rsid w:val="00D0474A"/>
    <w:rsid w:val="00D05B44"/>
    <w:rsid w:val="00D06E4A"/>
    <w:rsid w:val="00D07A6E"/>
    <w:rsid w:val="00D07DC4"/>
    <w:rsid w:val="00D102DE"/>
    <w:rsid w:val="00D10809"/>
    <w:rsid w:val="00D108AC"/>
    <w:rsid w:val="00D10F53"/>
    <w:rsid w:val="00D1129F"/>
    <w:rsid w:val="00D115CF"/>
    <w:rsid w:val="00D11906"/>
    <w:rsid w:val="00D1198F"/>
    <w:rsid w:val="00D125D2"/>
    <w:rsid w:val="00D1263C"/>
    <w:rsid w:val="00D12FCD"/>
    <w:rsid w:val="00D13D91"/>
    <w:rsid w:val="00D1412E"/>
    <w:rsid w:val="00D1418E"/>
    <w:rsid w:val="00D147D7"/>
    <w:rsid w:val="00D15BFF"/>
    <w:rsid w:val="00D162E2"/>
    <w:rsid w:val="00D16A10"/>
    <w:rsid w:val="00D16BFF"/>
    <w:rsid w:val="00D17B45"/>
    <w:rsid w:val="00D20251"/>
    <w:rsid w:val="00D20663"/>
    <w:rsid w:val="00D20AF7"/>
    <w:rsid w:val="00D20C21"/>
    <w:rsid w:val="00D213A2"/>
    <w:rsid w:val="00D213DA"/>
    <w:rsid w:val="00D2181B"/>
    <w:rsid w:val="00D21E1D"/>
    <w:rsid w:val="00D22594"/>
    <w:rsid w:val="00D23866"/>
    <w:rsid w:val="00D23A28"/>
    <w:rsid w:val="00D23C35"/>
    <w:rsid w:val="00D23CA4"/>
    <w:rsid w:val="00D2442B"/>
    <w:rsid w:val="00D24538"/>
    <w:rsid w:val="00D24A15"/>
    <w:rsid w:val="00D24D65"/>
    <w:rsid w:val="00D24DBB"/>
    <w:rsid w:val="00D251F8"/>
    <w:rsid w:val="00D279FE"/>
    <w:rsid w:val="00D27B06"/>
    <w:rsid w:val="00D27D8C"/>
    <w:rsid w:val="00D30423"/>
    <w:rsid w:val="00D30CCE"/>
    <w:rsid w:val="00D31015"/>
    <w:rsid w:val="00D3114E"/>
    <w:rsid w:val="00D31BA0"/>
    <w:rsid w:val="00D32374"/>
    <w:rsid w:val="00D32742"/>
    <w:rsid w:val="00D33A31"/>
    <w:rsid w:val="00D349A0"/>
    <w:rsid w:val="00D35454"/>
    <w:rsid w:val="00D3560C"/>
    <w:rsid w:val="00D36C9B"/>
    <w:rsid w:val="00D370B3"/>
    <w:rsid w:val="00D37B91"/>
    <w:rsid w:val="00D41234"/>
    <w:rsid w:val="00D420B6"/>
    <w:rsid w:val="00D42813"/>
    <w:rsid w:val="00D4375C"/>
    <w:rsid w:val="00D43F5C"/>
    <w:rsid w:val="00D44492"/>
    <w:rsid w:val="00D446E7"/>
    <w:rsid w:val="00D44776"/>
    <w:rsid w:val="00D44BF4"/>
    <w:rsid w:val="00D45024"/>
    <w:rsid w:val="00D450E4"/>
    <w:rsid w:val="00D45794"/>
    <w:rsid w:val="00D45BC6"/>
    <w:rsid w:val="00D45DF2"/>
    <w:rsid w:val="00D4655E"/>
    <w:rsid w:val="00D46A19"/>
    <w:rsid w:val="00D47BA9"/>
    <w:rsid w:val="00D501E7"/>
    <w:rsid w:val="00D50239"/>
    <w:rsid w:val="00D506AE"/>
    <w:rsid w:val="00D50DE8"/>
    <w:rsid w:val="00D5166D"/>
    <w:rsid w:val="00D51B1A"/>
    <w:rsid w:val="00D5212D"/>
    <w:rsid w:val="00D52A0F"/>
    <w:rsid w:val="00D52D35"/>
    <w:rsid w:val="00D53118"/>
    <w:rsid w:val="00D533D1"/>
    <w:rsid w:val="00D534A3"/>
    <w:rsid w:val="00D54D18"/>
    <w:rsid w:val="00D553CB"/>
    <w:rsid w:val="00D56220"/>
    <w:rsid w:val="00D57463"/>
    <w:rsid w:val="00D60319"/>
    <w:rsid w:val="00D603FE"/>
    <w:rsid w:val="00D60690"/>
    <w:rsid w:val="00D6106D"/>
    <w:rsid w:val="00D61225"/>
    <w:rsid w:val="00D61536"/>
    <w:rsid w:val="00D62087"/>
    <w:rsid w:val="00D62365"/>
    <w:rsid w:val="00D62CE8"/>
    <w:rsid w:val="00D6336A"/>
    <w:rsid w:val="00D638F1"/>
    <w:rsid w:val="00D6437B"/>
    <w:rsid w:val="00D64F34"/>
    <w:rsid w:val="00D653E3"/>
    <w:rsid w:val="00D65421"/>
    <w:rsid w:val="00D65AEC"/>
    <w:rsid w:val="00D65E70"/>
    <w:rsid w:val="00D66706"/>
    <w:rsid w:val="00D669F9"/>
    <w:rsid w:val="00D66AB7"/>
    <w:rsid w:val="00D67512"/>
    <w:rsid w:val="00D67659"/>
    <w:rsid w:val="00D67B99"/>
    <w:rsid w:val="00D7036B"/>
    <w:rsid w:val="00D70F92"/>
    <w:rsid w:val="00D714D6"/>
    <w:rsid w:val="00D7150F"/>
    <w:rsid w:val="00D71B83"/>
    <w:rsid w:val="00D71F84"/>
    <w:rsid w:val="00D7204C"/>
    <w:rsid w:val="00D7250D"/>
    <w:rsid w:val="00D728FE"/>
    <w:rsid w:val="00D72BE4"/>
    <w:rsid w:val="00D7339A"/>
    <w:rsid w:val="00D734F7"/>
    <w:rsid w:val="00D73A68"/>
    <w:rsid w:val="00D743AA"/>
    <w:rsid w:val="00D7450A"/>
    <w:rsid w:val="00D74E7D"/>
    <w:rsid w:val="00D758C5"/>
    <w:rsid w:val="00D75BB8"/>
    <w:rsid w:val="00D75FFA"/>
    <w:rsid w:val="00D7604A"/>
    <w:rsid w:val="00D76882"/>
    <w:rsid w:val="00D7692B"/>
    <w:rsid w:val="00D7751D"/>
    <w:rsid w:val="00D80322"/>
    <w:rsid w:val="00D803AC"/>
    <w:rsid w:val="00D80628"/>
    <w:rsid w:val="00D80C04"/>
    <w:rsid w:val="00D80C5A"/>
    <w:rsid w:val="00D818D0"/>
    <w:rsid w:val="00D81AEB"/>
    <w:rsid w:val="00D81C00"/>
    <w:rsid w:val="00D81FEE"/>
    <w:rsid w:val="00D82FA6"/>
    <w:rsid w:val="00D8305A"/>
    <w:rsid w:val="00D835F5"/>
    <w:rsid w:val="00D8361C"/>
    <w:rsid w:val="00D8411F"/>
    <w:rsid w:val="00D84B81"/>
    <w:rsid w:val="00D8512F"/>
    <w:rsid w:val="00D866D6"/>
    <w:rsid w:val="00D86C37"/>
    <w:rsid w:val="00D87007"/>
    <w:rsid w:val="00D87500"/>
    <w:rsid w:val="00D87FB9"/>
    <w:rsid w:val="00D901EE"/>
    <w:rsid w:val="00D902CB"/>
    <w:rsid w:val="00D9043F"/>
    <w:rsid w:val="00D90F87"/>
    <w:rsid w:val="00D9118D"/>
    <w:rsid w:val="00D91A72"/>
    <w:rsid w:val="00D92300"/>
    <w:rsid w:val="00D92367"/>
    <w:rsid w:val="00D92C24"/>
    <w:rsid w:val="00D92FF7"/>
    <w:rsid w:val="00D93C19"/>
    <w:rsid w:val="00D93E90"/>
    <w:rsid w:val="00D94A32"/>
    <w:rsid w:val="00D96038"/>
    <w:rsid w:val="00D96942"/>
    <w:rsid w:val="00D97919"/>
    <w:rsid w:val="00DA0B52"/>
    <w:rsid w:val="00DA0D76"/>
    <w:rsid w:val="00DA0FB3"/>
    <w:rsid w:val="00DA14F3"/>
    <w:rsid w:val="00DA39C7"/>
    <w:rsid w:val="00DA4784"/>
    <w:rsid w:val="00DA5008"/>
    <w:rsid w:val="00DA518A"/>
    <w:rsid w:val="00DA5A0A"/>
    <w:rsid w:val="00DA64D9"/>
    <w:rsid w:val="00DA6AE1"/>
    <w:rsid w:val="00DA6F42"/>
    <w:rsid w:val="00DA772F"/>
    <w:rsid w:val="00DA7886"/>
    <w:rsid w:val="00DA7D86"/>
    <w:rsid w:val="00DB0018"/>
    <w:rsid w:val="00DB00A6"/>
    <w:rsid w:val="00DB06BC"/>
    <w:rsid w:val="00DB2759"/>
    <w:rsid w:val="00DB2951"/>
    <w:rsid w:val="00DB36E9"/>
    <w:rsid w:val="00DB3756"/>
    <w:rsid w:val="00DB3926"/>
    <w:rsid w:val="00DB3F02"/>
    <w:rsid w:val="00DB43B3"/>
    <w:rsid w:val="00DB4565"/>
    <w:rsid w:val="00DB4C4C"/>
    <w:rsid w:val="00DB5D2E"/>
    <w:rsid w:val="00DB6093"/>
    <w:rsid w:val="00DB6211"/>
    <w:rsid w:val="00DB6933"/>
    <w:rsid w:val="00DB6F0F"/>
    <w:rsid w:val="00DB79E8"/>
    <w:rsid w:val="00DB7B87"/>
    <w:rsid w:val="00DC0710"/>
    <w:rsid w:val="00DC0ABB"/>
    <w:rsid w:val="00DC0BBF"/>
    <w:rsid w:val="00DC0CE7"/>
    <w:rsid w:val="00DC12A3"/>
    <w:rsid w:val="00DC188B"/>
    <w:rsid w:val="00DC22B2"/>
    <w:rsid w:val="00DC2699"/>
    <w:rsid w:val="00DC2919"/>
    <w:rsid w:val="00DC2FDB"/>
    <w:rsid w:val="00DC3FF9"/>
    <w:rsid w:val="00DC4123"/>
    <w:rsid w:val="00DC4496"/>
    <w:rsid w:val="00DC4DAC"/>
    <w:rsid w:val="00DC5E96"/>
    <w:rsid w:val="00DC600A"/>
    <w:rsid w:val="00DC6B2A"/>
    <w:rsid w:val="00DC6BF8"/>
    <w:rsid w:val="00DC6D70"/>
    <w:rsid w:val="00DD17CC"/>
    <w:rsid w:val="00DD1A54"/>
    <w:rsid w:val="00DD207D"/>
    <w:rsid w:val="00DD31DC"/>
    <w:rsid w:val="00DD36BC"/>
    <w:rsid w:val="00DD3A2E"/>
    <w:rsid w:val="00DD3EBC"/>
    <w:rsid w:val="00DD4352"/>
    <w:rsid w:val="00DD4A69"/>
    <w:rsid w:val="00DD4B58"/>
    <w:rsid w:val="00DD4C9C"/>
    <w:rsid w:val="00DD51FB"/>
    <w:rsid w:val="00DD57C2"/>
    <w:rsid w:val="00DD5A51"/>
    <w:rsid w:val="00DD5D2A"/>
    <w:rsid w:val="00DD60B2"/>
    <w:rsid w:val="00DD6B16"/>
    <w:rsid w:val="00DD70B1"/>
    <w:rsid w:val="00DD777C"/>
    <w:rsid w:val="00DD7796"/>
    <w:rsid w:val="00DD7903"/>
    <w:rsid w:val="00DE04D8"/>
    <w:rsid w:val="00DE181B"/>
    <w:rsid w:val="00DE272E"/>
    <w:rsid w:val="00DE2C6E"/>
    <w:rsid w:val="00DE2E12"/>
    <w:rsid w:val="00DE2F8A"/>
    <w:rsid w:val="00DE338E"/>
    <w:rsid w:val="00DE39B5"/>
    <w:rsid w:val="00DE3DD0"/>
    <w:rsid w:val="00DE3F3C"/>
    <w:rsid w:val="00DE40C9"/>
    <w:rsid w:val="00DE4302"/>
    <w:rsid w:val="00DE4B2B"/>
    <w:rsid w:val="00DE4BA9"/>
    <w:rsid w:val="00DE4E62"/>
    <w:rsid w:val="00DE4FD9"/>
    <w:rsid w:val="00DE5161"/>
    <w:rsid w:val="00DE5239"/>
    <w:rsid w:val="00DE5F80"/>
    <w:rsid w:val="00DE6B1B"/>
    <w:rsid w:val="00DF0041"/>
    <w:rsid w:val="00DF0662"/>
    <w:rsid w:val="00DF0C78"/>
    <w:rsid w:val="00DF0EB0"/>
    <w:rsid w:val="00DF1792"/>
    <w:rsid w:val="00DF1925"/>
    <w:rsid w:val="00DF1971"/>
    <w:rsid w:val="00DF2116"/>
    <w:rsid w:val="00DF2180"/>
    <w:rsid w:val="00DF21F1"/>
    <w:rsid w:val="00DF2C30"/>
    <w:rsid w:val="00DF32E4"/>
    <w:rsid w:val="00DF3425"/>
    <w:rsid w:val="00DF3C3A"/>
    <w:rsid w:val="00DF3D30"/>
    <w:rsid w:val="00DF4646"/>
    <w:rsid w:val="00DF46A9"/>
    <w:rsid w:val="00DF4AB3"/>
    <w:rsid w:val="00DF4D04"/>
    <w:rsid w:val="00DF5413"/>
    <w:rsid w:val="00DF5799"/>
    <w:rsid w:val="00DF5950"/>
    <w:rsid w:val="00DF63A4"/>
    <w:rsid w:val="00DF7466"/>
    <w:rsid w:val="00DF772E"/>
    <w:rsid w:val="00E00504"/>
    <w:rsid w:val="00E011E1"/>
    <w:rsid w:val="00E01AF0"/>
    <w:rsid w:val="00E026F1"/>
    <w:rsid w:val="00E02AE6"/>
    <w:rsid w:val="00E02D1A"/>
    <w:rsid w:val="00E04173"/>
    <w:rsid w:val="00E04807"/>
    <w:rsid w:val="00E04A0B"/>
    <w:rsid w:val="00E052B6"/>
    <w:rsid w:val="00E05800"/>
    <w:rsid w:val="00E059C5"/>
    <w:rsid w:val="00E061DC"/>
    <w:rsid w:val="00E06CC7"/>
    <w:rsid w:val="00E07174"/>
    <w:rsid w:val="00E07612"/>
    <w:rsid w:val="00E07A2F"/>
    <w:rsid w:val="00E10105"/>
    <w:rsid w:val="00E107BA"/>
    <w:rsid w:val="00E10F5E"/>
    <w:rsid w:val="00E11586"/>
    <w:rsid w:val="00E12D19"/>
    <w:rsid w:val="00E12E27"/>
    <w:rsid w:val="00E13AFD"/>
    <w:rsid w:val="00E14077"/>
    <w:rsid w:val="00E141DD"/>
    <w:rsid w:val="00E14542"/>
    <w:rsid w:val="00E14F38"/>
    <w:rsid w:val="00E15457"/>
    <w:rsid w:val="00E15585"/>
    <w:rsid w:val="00E15A29"/>
    <w:rsid w:val="00E166AA"/>
    <w:rsid w:val="00E16F57"/>
    <w:rsid w:val="00E170F2"/>
    <w:rsid w:val="00E17145"/>
    <w:rsid w:val="00E179B2"/>
    <w:rsid w:val="00E17B3C"/>
    <w:rsid w:val="00E17B44"/>
    <w:rsid w:val="00E17DB0"/>
    <w:rsid w:val="00E17F01"/>
    <w:rsid w:val="00E2000C"/>
    <w:rsid w:val="00E2023F"/>
    <w:rsid w:val="00E20279"/>
    <w:rsid w:val="00E217E4"/>
    <w:rsid w:val="00E227D5"/>
    <w:rsid w:val="00E2348C"/>
    <w:rsid w:val="00E24135"/>
    <w:rsid w:val="00E25289"/>
    <w:rsid w:val="00E25611"/>
    <w:rsid w:val="00E25976"/>
    <w:rsid w:val="00E260BA"/>
    <w:rsid w:val="00E2654C"/>
    <w:rsid w:val="00E26D4F"/>
    <w:rsid w:val="00E27810"/>
    <w:rsid w:val="00E27CDD"/>
    <w:rsid w:val="00E300BF"/>
    <w:rsid w:val="00E30198"/>
    <w:rsid w:val="00E306F3"/>
    <w:rsid w:val="00E3080C"/>
    <w:rsid w:val="00E308C7"/>
    <w:rsid w:val="00E30995"/>
    <w:rsid w:val="00E30E6F"/>
    <w:rsid w:val="00E3139D"/>
    <w:rsid w:val="00E31486"/>
    <w:rsid w:val="00E31769"/>
    <w:rsid w:val="00E31924"/>
    <w:rsid w:val="00E31C9E"/>
    <w:rsid w:val="00E31D50"/>
    <w:rsid w:val="00E32990"/>
    <w:rsid w:val="00E3356E"/>
    <w:rsid w:val="00E33897"/>
    <w:rsid w:val="00E33A63"/>
    <w:rsid w:val="00E33C37"/>
    <w:rsid w:val="00E33EAD"/>
    <w:rsid w:val="00E34D78"/>
    <w:rsid w:val="00E351AE"/>
    <w:rsid w:val="00E357F5"/>
    <w:rsid w:val="00E35AD1"/>
    <w:rsid w:val="00E35B30"/>
    <w:rsid w:val="00E35B6B"/>
    <w:rsid w:val="00E35CE1"/>
    <w:rsid w:val="00E35CFF"/>
    <w:rsid w:val="00E361E1"/>
    <w:rsid w:val="00E3689A"/>
    <w:rsid w:val="00E36D62"/>
    <w:rsid w:val="00E37C1E"/>
    <w:rsid w:val="00E4052D"/>
    <w:rsid w:val="00E4078C"/>
    <w:rsid w:val="00E41442"/>
    <w:rsid w:val="00E4150C"/>
    <w:rsid w:val="00E420E2"/>
    <w:rsid w:val="00E42285"/>
    <w:rsid w:val="00E438CD"/>
    <w:rsid w:val="00E438DF"/>
    <w:rsid w:val="00E441DD"/>
    <w:rsid w:val="00E44348"/>
    <w:rsid w:val="00E44517"/>
    <w:rsid w:val="00E44CBA"/>
    <w:rsid w:val="00E45438"/>
    <w:rsid w:val="00E46257"/>
    <w:rsid w:val="00E46326"/>
    <w:rsid w:val="00E476E0"/>
    <w:rsid w:val="00E4773A"/>
    <w:rsid w:val="00E477B8"/>
    <w:rsid w:val="00E4795B"/>
    <w:rsid w:val="00E47CF8"/>
    <w:rsid w:val="00E50472"/>
    <w:rsid w:val="00E504DD"/>
    <w:rsid w:val="00E5070C"/>
    <w:rsid w:val="00E50806"/>
    <w:rsid w:val="00E51D2A"/>
    <w:rsid w:val="00E51F44"/>
    <w:rsid w:val="00E54B45"/>
    <w:rsid w:val="00E54D5E"/>
    <w:rsid w:val="00E5520B"/>
    <w:rsid w:val="00E55556"/>
    <w:rsid w:val="00E5667B"/>
    <w:rsid w:val="00E5681B"/>
    <w:rsid w:val="00E56840"/>
    <w:rsid w:val="00E57296"/>
    <w:rsid w:val="00E577E0"/>
    <w:rsid w:val="00E577F4"/>
    <w:rsid w:val="00E57E3D"/>
    <w:rsid w:val="00E60156"/>
    <w:rsid w:val="00E6077C"/>
    <w:rsid w:val="00E60787"/>
    <w:rsid w:val="00E60F4C"/>
    <w:rsid w:val="00E611B7"/>
    <w:rsid w:val="00E6133B"/>
    <w:rsid w:val="00E61AB3"/>
    <w:rsid w:val="00E638F8"/>
    <w:rsid w:val="00E640EC"/>
    <w:rsid w:val="00E645EC"/>
    <w:rsid w:val="00E64797"/>
    <w:rsid w:val="00E649A2"/>
    <w:rsid w:val="00E649D7"/>
    <w:rsid w:val="00E6597F"/>
    <w:rsid w:val="00E65BA0"/>
    <w:rsid w:val="00E65D15"/>
    <w:rsid w:val="00E665DD"/>
    <w:rsid w:val="00E66A9F"/>
    <w:rsid w:val="00E671AF"/>
    <w:rsid w:val="00E673BF"/>
    <w:rsid w:val="00E67980"/>
    <w:rsid w:val="00E67AE1"/>
    <w:rsid w:val="00E70187"/>
    <w:rsid w:val="00E707D7"/>
    <w:rsid w:val="00E70A80"/>
    <w:rsid w:val="00E70AEB"/>
    <w:rsid w:val="00E70D56"/>
    <w:rsid w:val="00E70DF5"/>
    <w:rsid w:val="00E70E75"/>
    <w:rsid w:val="00E7155F"/>
    <w:rsid w:val="00E7233F"/>
    <w:rsid w:val="00E72814"/>
    <w:rsid w:val="00E73D74"/>
    <w:rsid w:val="00E73E71"/>
    <w:rsid w:val="00E74809"/>
    <w:rsid w:val="00E7492E"/>
    <w:rsid w:val="00E74C02"/>
    <w:rsid w:val="00E74D64"/>
    <w:rsid w:val="00E75395"/>
    <w:rsid w:val="00E754A3"/>
    <w:rsid w:val="00E761A1"/>
    <w:rsid w:val="00E76238"/>
    <w:rsid w:val="00E7664F"/>
    <w:rsid w:val="00E768FE"/>
    <w:rsid w:val="00E76A1F"/>
    <w:rsid w:val="00E77228"/>
    <w:rsid w:val="00E77912"/>
    <w:rsid w:val="00E80855"/>
    <w:rsid w:val="00E80A19"/>
    <w:rsid w:val="00E80DE6"/>
    <w:rsid w:val="00E8133D"/>
    <w:rsid w:val="00E813BD"/>
    <w:rsid w:val="00E8148B"/>
    <w:rsid w:val="00E81D86"/>
    <w:rsid w:val="00E8241B"/>
    <w:rsid w:val="00E824DE"/>
    <w:rsid w:val="00E825FE"/>
    <w:rsid w:val="00E82616"/>
    <w:rsid w:val="00E84769"/>
    <w:rsid w:val="00E8520B"/>
    <w:rsid w:val="00E8524B"/>
    <w:rsid w:val="00E8553C"/>
    <w:rsid w:val="00E85BB2"/>
    <w:rsid w:val="00E86AA6"/>
    <w:rsid w:val="00E86DBD"/>
    <w:rsid w:val="00E86FF4"/>
    <w:rsid w:val="00E87897"/>
    <w:rsid w:val="00E87A0F"/>
    <w:rsid w:val="00E87EAE"/>
    <w:rsid w:val="00E913D6"/>
    <w:rsid w:val="00E927A8"/>
    <w:rsid w:val="00E92B85"/>
    <w:rsid w:val="00E9390A"/>
    <w:rsid w:val="00E93D8E"/>
    <w:rsid w:val="00E94B04"/>
    <w:rsid w:val="00E9519D"/>
    <w:rsid w:val="00E951BD"/>
    <w:rsid w:val="00E9550A"/>
    <w:rsid w:val="00E956B4"/>
    <w:rsid w:val="00E957F2"/>
    <w:rsid w:val="00E95A04"/>
    <w:rsid w:val="00E960CE"/>
    <w:rsid w:val="00E963B7"/>
    <w:rsid w:val="00E96A8D"/>
    <w:rsid w:val="00E96B64"/>
    <w:rsid w:val="00E97003"/>
    <w:rsid w:val="00E97D1F"/>
    <w:rsid w:val="00E97DC6"/>
    <w:rsid w:val="00EA079E"/>
    <w:rsid w:val="00EA0CB4"/>
    <w:rsid w:val="00EA0E6B"/>
    <w:rsid w:val="00EA1498"/>
    <w:rsid w:val="00EA27DD"/>
    <w:rsid w:val="00EA33B3"/>
    <w:rsid w:val="00EA344C"/>
    <w:rsid w:val="00EA385F"/>
    <w:rsid w:val="00EA3DAF"/>
    <w:rsid w:val="00EA533D"/>
    <w:rsid w:val="00EA58B4"/>
    <w:rsid w:val="00EA5AD3"/>
    <w:rsid w:val="00EA5D84"/>
    <w:rsid w:val="00EA72DB"/>
    <w:rsid w:val="00EA73EC"/>
    <w:rsid w:val="00EB0443"/>
    <w:rsid w:val="00EB066D"/>
    <w:rsid w:val="00EB06F2"/>
    <w:rsid w:val="00EB0CE8"/>
    <w:rsid w:val="00EB0D40"/>
    <w:rsid w:val="00EB3D87"/>
    <w:rsid w:val="00EB4225"/>
    <w:rsid w:val="00EB4B1A"/>
    <w:rsid w:val="00EB5524"/>
    <w:rsid w:val="00EB5711"/>
    <w:rsid w:val="00EB5824"/>
    <w:rsid w:val="00EB6305"/>
    <w:rsid w:val="00EB6B29"/>
    <w:rsid w:val="00EB708B"/>
    <w:rsid w:val="00EB70D2"/>
    <w:rsid w:val="00EB70E2"/>
    <w:rsid w:val="00EB7817"/>
    <w:rsid w:val="00EB7AFD"/>
    <w:rsid w:val="00EB7D3A"/>
    <w:rsid w:val="00EC0E79"/>
    <w:rsid w:val="00EC1092"/>
    <w:rsid w:val="00EC155A"/>
    <w:rsid w:val="00EC1700"/>
    <w:rsid w:val="00EC19FF"/>
    <w:rsid w:val="00EC1CED"/>
    <w:rsid w:val="00EC2180"/>
    <w:rsid w:val="00EC23A1"/>
    <w:rsid w:val="00EC2B7C"/>
    <w:rsid w:val="00EC303C"/>
    <w:rsid w:val="00EC310B"/>
    <w:rsid w:val="00EC381F"/>
    <w:rsid w:val="00EC3979"/>
    <w:rsid w:val="00EC3C0B"/>
    <w:rsid w:val="00EC3C36"/>
    <w:rsid w:val="00EC40ED"/>
    <w:rsid w:val="00EC435C"/>
    <w:rsid w:val="00EC44AA"/>
    <w:rsid w:val="00EC464C"/>
    <w:rsid w:val="00EC4892"/>
    <w:rsid w:val="00EC5438"/>
    <w:rsid w:val="00EC54E2"/>
    <w:rsid w:val="00EC5F53"/>
    <w:rsid w:val="00EC5FEE"/>
    <w:rsid w:val="00EC661E"/>
    <w:rsid w:val="00EC6A65"/>
    <w:rsid w:val="00EC777C"/>
    <w:rsid w:val="00EC799D"/>
    <w:rsid w:val="00EC7E78"/>
    <w:rsid w:val="00ED003F"/>
    <w:rsid w:val="00ED08F5"/>
    <w:rsid w:val="00ED0D0D"/>
    <w:rsid w:val="00ED1C76"/>
    <w:rsid w:val="00ED1EEF"/>
    <w:rsid w:val="00ED2043"/>
    <w:rsid w:val="00ED2065"/>
    <w:rsid w:val="00ED28A3"/>
    <w:rsid w:val="00ED2B31"/>
    <w:rsid w:val="00ED2FC6"/>
    <w:rsid w:val="00ED333B"/>
    <w:rsid w:val="00ED3CC3"/>
    <w:rsid w:val="00ED3D18"/>
    <w:rsid w:val="00ED4031"/>
    <w:rsid w:val="00ED463D"/>
    <w:rsid w:val="00ED47A3"/>
    <w:rsid w:val="00ED50C5"/>
    <w:rsid w:val="00ED59D7"/>
    <w:rsid w:val="00ED5A88"/>
    <w:rsid w:val="00ED601D"/>
    <w:rsid w:val="00ED66F2"/>
    <w:rsid w:val="00ED67B8"/>
    <w:rsid w:val="00ED6CA1"/>
    <w:rsid w:val="00ED70A7"/>
    <w:rsid w:val="00ED72A4"/>
    <w:rsid w:val="00ED73B5"/>
    <w:rsid w:val="00ED7D04"/>
    <w:rsid w:val="00EE05F9"/>
    <w:rsid w:val="00EE08C8"/>
    <w:rsid w:val="00EE0C35"/>
    <w:rsid w:val="00EE1D93"/>
    <w:rsid w:val="00EE1DF7"/>
    <w:rsid w:val="00EE2A97"/>
    <w:rsid w:val="00EE3E8D"/>
    <w:rsid w:val="00EE3F6B"/>
    <w:rsid w:val="00EE46E3"/>
    <w:rsid w:val="00EE46E8"/>
    <w:rsid w:val="00EE49E6"/>
    <w:rsid w:val="00EE4D4F"/>
    <w:rsid w:val="00EE5263"/>
    <w:rsid w:val="00EE5367"/>
    <w:rsid w:val="00EE5416"/>
    <w:rsid w:val="00EE580C"/>
    <w:rsid w:val="00EE5B66"/>
    <w:rsid w:val="00EE5EB2"/>
    <w:rsid w:val="00EE5F9C"/>
    <w:rsid w:val="00EE678A"/>
    <w:rsid w:val="00EE6A0F"/>
    <w:rsid w:val="00EE6B48"/>
    <w:rsid w:val="00EE6D87"/>
    <w:rsid w:val="00EE7174"/>
    <w:rsid w:val="00EF07FC"/>
    <w:rsid w:val="00EF08C6"/>
    <w:rsid w:val="00EF0A66"/>
    <w:rsid w:val="00EF0C63"/>
    <w:rsid w:val="00EF166D"/>
    <w:rsid w:val="00EF1CBC"/>
    <w:rsid w:val="00EF1EC5"/>
    <w:rsid w:val="00EF204F"/>
    <w:rsid w:val="00EF2382"/>
    <w:rsid w:val="00EF23FA"/>
    <w:rsid w:val="00EF263C"/>
    <w:rsid w:val="00EF3E85"/>
    <w:rsid w:val="00EF3E93"/>
    <w:rsid w:val="00EF4047"/>
    <w:rsid w:val="00EF4B25"/>
    <w:rsid w:val="00EF4B48"/>
    <w:rsid w:val="00EF4E42"/>
    <w:rsid w:val="00EF59E2"/>
    <w:rsid w:val="00EF5F0F"/>
    <w:rsid w:val="00EF61D4"/>
    <w:rsid w:val="00EF61E9"/>
    <w:rsid w:val="00EF62EE"/>
    <w:rsid w:val="00EF7341"/>
    <w:rsid w:val="00EF736B"/>
    <w:rsid w:val="00EF75E0"/>
    <w:rsid w:val="00F005CF"/>
    <w:rsid w:val="00F0338F"/>
    <w:rsid w:val="00F037CD"/>
    <w:rsid w:val="00F04320"/>
    <w:rsid w:val="00F04632"/>
    <w:rsid w:val="00F05059"/>
    <w:rsid w:val="00F053A5"/>
    <w:rsid w:val="00F05A00"/>
    <w:rsid w:val="00F063A6"/>
    <w:rsid w:val="00F0662A"/>
    <w:rsid w:val="00F07080"/>
    <w:rsid w:val="00F0749B"/>
    <w:rsid w:val="00F07D2A"/>
    <w:rsid w:val="00F1039B"/>
    <w:rsid w:val="00F105ED"/>
    <w:rsid w:val="00F10F8E"/>
    <w:rsid w:val="00F11156"/>
    <w:rsid w:val="00F11ABA"/>
    <w:rsid w:val="00F11AD2"/>
    <w:rsid w:val="00F11CFB"/>
    <w:rsid w:val="00F11ED9"/>
    <w:rsid w:val="00F12630"/>
    <w:rsid w:val="00F1307E"/>
    <w:rsid w:val="00F133DE"/>
    <w:rsid w:val="00F13793"/>
    <w:rsid w:val="00F1391E"/>
    <w:rsid w:val="00F13A76"/>
    <w:rsid w:val="00F13D9C"/>
    <w:rsid w:val="00F14B0A"/>
    <w:rsid w:val="00F15581"/>
    <w:rsid w:val="00F162F2"/>
    <w:rsid w:val="00F1688B"/>
    <w:rsid w:val="00F168E8"/>
    <w:rsid w:val="00F16BE1"/>
    <w:rsid w:val="00F16C7C"/>
    <w:rsid w:val="00F1718C"/>
    <w:rsid w:val="00F17441"/>
    <w:rsid w:val="00F17799"/>
    <w:rsid w:val="00F177D0"/>
    <w:rsid w:val="00F17EB4"/>
    <w:rsid w:val="00F201C2"/>
    <w:rsid w:val="00F20ADE"/>
    <w:rsid w:val="00F21C66"/>
    <w:rsid w:val="00F2296A"/>
    <w:rsid w:val="00F22E1D"/>
    <w:rsid w:val="00F232ED"/>
    <w:rsid w:val="00F246A4"/>
    <w:rsid w:val="00F24910"/>
    <w:rsid w:val="00F24A42"/>
    <w:rsid w:val="00F24AD2"/>
    <w:rsid w:val="00F24E78"/>
    <w:rsid w:val="00F2504E"/>
    <w:rsid w:val="00F2552A"/>
    <w:rsid w:val="00F256B2"/>
    <w:rsid w:val="00F25AA8"/>
    <w:rsid w:val="00F25F75"/>
    <w:rsid w:val="00F260F8"/>
    <w:rsid w:val="00F264AD"/>
    <w:rsid w:val="00F2650B"/>
    <w:rsid w:val="00F27036"/>
    <w:rsid w:val="00F27099"/>
    <w:rsid w:val="00F276E4"/>
    <w:rsid w:val="00F3091D"/>
    <w:rsid w:val="00F316D5"/>
    <w:rsid w:val="00F3175C"/>
    <w:rsid w:val="00F31BBB"/>
    <w:rsid w:val="00F31C30"/>
    <w:rsid w:val="00F32450"/>
    <w:rsid w:val="00F32DEC"/>
    <w:rsid w:val="00F33008"/>
    <w:rsid w:val="00F330CC"/>
    <w:rsid w:val="00F33A57"/>
    <w:rsid w:val="00F3422F"/>
    <w:rsid w:val="00F3441D"/>
    <w:rsid w:val="00F34A4A"/>
    <w:rsid w:val="00F34D56"/>
    <w:rsid w:val="00F34EAB"/>
    <w:rsid w:val="00F3545A"/>
    <w:rsid w:val="00F35593"/>
    <w:rsid w:val="00F3611E"/>
    <w:rsid w:val="00F3622A"/>
    <w:rsid w:val="00F36459"/>
    <w:rsid w:val="00F3658C"/>
    <w:rsid w:val="00F36ABB"/>
    <w:rsid w:val="00F3725D"/>
    <w:rsid w:val="00F37F1D"/>
    <w:rsid w:val="00F4030C"/>
    <w:rsid w:val="00F40757"/>
    <w:rsid w:val="00F40D8E"/>
    <w:rsid w:val="00F40E68"/>
    <w:rsid w:val="00F415F9"/>
    <w:rsid w:val="00F4232B"/>
    <w:rsid w:val="00F428B2"/>
    <w:rsid w:val="00F4293F"/>
    <w:rsid w:val="00F4316B"/>
    <w:rsid w:val="00F4386C"/>
    <w:rsid w:val="00F44A84"/>
    <w:rsid w:val="00F44CCE"/>
    <w:rsid w:val="00F44E86"/>
    <w:rsid w:val="00F45852"/>
    <w:rsid w:val="00F45905"/>
    <w:rsid w:val="00F45E6B"/>
    <w:rsid w:val="00F46CCE"/>
    <w:rsid w:val="00F46D44"/>
    <w:rsid w:val="00F5039D"/>
    <w:rsid w:val="00F5076B"/>
    <w:rsid w:val="00F5081C"/>
    <w:rsid w:val="00F50D20"/>
    <w:rsid w:val="00F51125"/>
    <w:rsid w:val="00F51E13"/>
    <w:rsid w:val="00F524C5"/>
    <w:rsid w:val="00F527D3"/>
    <w:rsid w:val="00F52D12"/>
    <w:rsid w:val="00F52E61"/>
    <w:rsid w:val="00F52EBF"/>
    <w:rsid w:val="00F53094"/>
    <w:rsid w:val="00F532FF"/>
    <w:rsid w:val="00F53649"/>
    <w:rsid w:val="00F53C80"/>
    <w:rsid w:val="00F53C8F"/>
    <w:rsid w:val="00F5434B"/>
    <w:rsid w:val="00F543DF"/>
    <w:rsid w:val="00F5499E"/>
    <w:rsid w:val="00F55076"/>
    <w:rsid w:val="00F554C2"/>
    <w:rsid w:val="00F55FA4"/>
    <w:rsid w:val="00F56962"/>
    <w:rsid w:val="00F5747E"/>
    <w:rsid w:val="00F579BD"/>
    <w:rsid w:val="00F57EED"/>
    <w:rsid w:val="00F603A1"/>
    <w:rsid w:val="00F60A46"/>
    <w:rsid w:val="00F6124B"/>
    <w:rsid w:val="00F6171F"/>
    <w:rsid w:val="00F61A16"/>
    <w:rsid w:val="00F622F6"/>
    <w:rsid w:val="00F6274D"/>
    <w:rsid w:val="00F62A98"/>
    <w:rsid w:val="00F62FC1"/>
    <w:rsid w:val="00F6377A"/>
    <w:rsid w:val="00F63A18"/>
    <w:rsid w:val="00F63A87"/>
    <w:rsid w:val="00F63E37"/>
    <w:rsid w:val="00F63F71"/>
    <w:rsid w:val="00F63FBB"/>
    <w:rsid w:val="00F64C56"/>
    <w:rsid w:val="00F653F6"/>
    <w:rsid w:val="00F657D3"/>
    <w:rsid w:val="00F65BA6"/>
    <w:rsid w:val="00F65C87"/>
    <w:rsid w:val="00F6759D"/>
    <w:rsid w:val="00F704C8"/>
    <w:rsid w:val="00F707BD"/>
    <w:rsid w:val="00F70B44"/>
    <w:rsid w:val="00F70CF3"/>
    <w:rsid w:val="00F70D24"/>
    <w:rsid w:val="00F70DC7"/>
    <w:rsid w:val="00F7161F"/>
    <w:rsid w:val="00F72C6D"/>
    <w:rsid w:val="00F72C8D"/>
    <w:rsid w:val="00F72DE5"/>
    <w:rsid w:val="00F72E5D"/>
    <w:rsid w:val="00F7394B"/>
    <w:rsid w:val="00F73ABB"/>
    <w:rsid w:val="00F740A6"/>
    <w:rsid w:val="00F74B9C"/>
    <w:rsid w:val="00F74ED0"/>
    <w:rsid w:val="00F75602"/>
    <w:rsid w:val="00F76026"/>
    <w:rsid w:val="00F7620D"/>
    <w:rsid w:val="00F76534"/>
    <w:rsid w:val="00F775B0"/>
    <w:rsid w:val="00F77987"/>
    <w:rsid w:val="00F779C0"/>
    <w:rsid w:val="00F809FD"/>
    <w:rsid w:val="00F81044"/>
    <w:rsid w:val="00F81899"/>
    <w:rsid w:val="00F8207A"/>
    <w:rsid w:val="00F8208F"/>
    <w:rsid w:val="00F83031"/>
    <w:rsid w:val="00F83DB3"/>
    <w:rsid w:val="00F83EE0"/>
    <w:rsid w:val="00F844AE"/>
    <w:rsid w:val="00F8484A"/>
    <w:rsid w:val="00F8487B"/>
    <w:rsid w:val="00F86984"/>
    <w:rsid w:val="00F870AA"/>
    <w:rsid w:val="00F870FE"/>
    <w:rsid w:val="00F873AD"/>
    <w:rsid w:val="00F87518"/>
    <w:rsid w:val="00F87DCD"/>
    <w:rsid w:val="00F90005"/>
    <w:rsid w:val="00F9013A"/>
    <w:rsid w:val="00F90147"/>
    <w:rsid w:val="00F9081A"/>
    <w:rsid w:val="00F90940"/>
    <w:rsid w:val="00F90A36"/>
    <w:rsid w:val="00F918B0"/>
    <w:rsid w:val="00F9266C"/>
    <w:rsid w:val="00F9267A"/>
    <w:rsid w:val="00F93459"/>
    <w:rsid w:val="00F939BA"/>
    <w:rsid w:val="00F93C8F"/>
    <w:rsid w:val="00F93D4C"/>
    <w:rsid w:val="00F94083"/>
    <w:rsid w:val="00F940B5"/>
    <w:rsid w:val="00F9478C"/>
    <w:rsid w:val="00F94CBB"/>
    <w:rsid w:val="00F94FE1"/>
    <w:rsid w:val="00F950E3"/>
    <w:rsid w:val="00F9581D"/>
    <w:rsid w:val="00F95A8A"/>
    <w:rsid w:val="00F95DCE"/>
    <w:rsid w:val="00F96DAE"/>
    <w:rsid w:val="00F978DB"/>
    <w:rsid w:val="00FA0EE8"/>
    <w:rsid w:val="00FA1A02"/>
    <w:rsid w:val="00FA1BA8"/>
    <w:rsid w:val="00FA241D"/>
    <w:rsid w:val="00FA255C"/>
    <w:rsid w:val="00FA2AD7"/>
    <w:rsid w:val="00FA323C"/>
    <w:rsid w:val="00FA332D"/>
    <w:rsid w:val="00FA35AF"/>
    <w:rsid w:val="00FA4407"/>
    <w:rsid w:val="00FA48E1"/>
    <w:rsid w:val="00FA4C3C"/>
    <w:rsid w:val="00FA4CAE"/>
    <w:rsid w:val="00FA4EBA"/>
    <w:rsid w:val="00FA545A"/>
    <w:rsid w:val="00FA585B"/>
    <w:rsid w:val="00FA5F02"/>
    <w:rsid w:val="00FA6659"/>
    <w:rsid w:val="00FA6C7B"/>
    <w:rsid w:val="00FA75A3"/>
    <w:rsid w:val="00FA76A2"/>
    <w:rsid w:val="00FA7B9F"/>
    <w:rsid w:val="00FB098B"/>
    <w:rsid w:val="00FB0B89"/>
    <w:rsid w:val="00FB0BB8"/>
    <w:rsid w:val="00FB0D0E"/>
    <w:rsid w:val="00FB0DDF"/>
    <w:rsid w:val="00FB16E7"/>
    <w:rsid w:val="00FB1A45"/>
    <w:rsid w:val="00FB1A5D"/>
    <w:rsid w:val="00FB1EBE"/>
    <w:rsid w:val="00FB216B"/>
    <w:rsid w:val="00FB274D"/>
    <w:rsid w:val="00FB3C37"/>
    <w:rsid w:val="00FB4225"/>
    <w:rsid w:val="00FB5378"/>
    <w:rsid w:val="00FB5B4C"/>
    <w:rsid w:val="00FB5CA1"/>
    <w:rsid w:val="00FB5E4F"/>
    <w:rsid w:val="00FB5EC3"/>
    <w:rsid w:val="00FB645C"/>
    <w:rsid w:val="00FB6579"/>
    <w:rsid w:val="00FB66DB"/>
    <w:rsid w:val="00FB7B3E"/>
    <w:rsid w:val="00FB7B93"/>
    <w:rsid w:val="00FC0B48"/>
    <w:rsid w:val="00FC0F02"/>
    <w:rsid w:val="00FC157A"/>
    <w:rsid w:val="00FC1FEC"/>
    <w:rsid w:val="00FC20F2"/>
    <w:rsid w:val="00FC26CB"/>
    <w:rsid w:val="00FC2A77"/>
    <w:rsid w:val="00FC2B53"/>
    <w:rsid w:val="00FC2D62"/>
    <w:rsid w:val="00FC2F2F"/>
    <w:rsid w:val="00FC398F"/>
    <w:rsid w:val="00FC3FA8"/>
    <w:rsid w:val="00FC4C3E"/>
    <w:rsid w:val="00FC502B"/>
    <w:rsid w:val="00FC6A62"/>
    <w:rsid w:val="00FC6DD6"/>
    <w:rsid w:val="00FC70A4"/>
    <w:rsid w:val="00FC72FE"/>
    <w:rsid w:val="00FC78C8"/>
    <w:rsid w:val="00FC79FB"/>
    <w:rsid w:val="00FC7C4D"/>
    <w:rsid w:val="00FC7D02"/>
    <w:rsid w:val="00FC7F3E"/>
    <w:rsid w:val="00FD0079"/>
    <w:rsid w:val="00FD04FE"/>
    <w:rsid w:val="00FD075A"/>
    <w:rsid w:val="00FD099A"/>
    <w:rsid w:val="00FD0F95"/>
    <w:rsid w:val="00FD1932"/>
    <w:rsid w:val="00FD2D58"/>
    <w:rsid w:val="00FD36B4"/>
    <w:rsid w:val="00FD3B19"/>
    <w:rsid w:val="00FD3BED"/>
    <w:rsid w:val="00FD450A"/>
    <w:rsid w:val="00FD4C21"/>
    <w:rsid w:val="00FD5FBF"/>
    <w:rsid w:val="00FD6053"/>
    <w:rsid w:val="00FD671B"/>
    <w:rsid w:val="00FD67F8"/>
    <w:rsid w:val="00FD6FF2"/>
    <w:rsid w:val="00FD7323"/>
    <w:rsid w:val="00FE0153"/>
    <w:rsid w:val="00FE0893"/>
    <w:rsid w:val="00FE0EBD"/>
    <w:rsid w:val="00FE0FC5"/>
    <w:rsid w:val="00FE1417"/>
    <w:rsid w:val="00FE18AD"/>
    <w:rsid w:val="00FE1ABC"/>
    <w:rsid w:val="00FE1C0B"/>
    <w:rsid w:val="00FE248C"/>
    <w:rsid w:val="00FE2855"/>
    <w:rsid w:val="00FE2BF0"/>
    <w:rsid w:val="00FE2ED6"/>
    <w:rsid w:val="00FE3B1C"/>
    <w:rsid w:val="00FE421F"/>
    <w:rsid w:val="00FE4585"/>
    <w:rsid w:val="00FE4996"/>
    <w:rsid w:val="00FE4B20"/>
    <w:rsid w:val="00FE51D2"/>
    <w:rsid w:val="00FE68F7"/>
    <w:rsid w:val="00FE6BAE"/>
    <w:rsid w:val="00FE732B"/>
    <w:rsid w:val="00FF079A"/>
    <w:rsid w:val="00FF08CB"/>
    <w:rsid w:val="00FF1027"/>
    <w:rsid w:val="00FF1507"/>
    <w:rsid w:val="00FF1CBA"/>
    <w:rsid w:val="00FF1DFE"/>
    <w:rsid w:val="00FF1F47"/>
    <w:rsid w:val="00FF21CB"/>
    <w:rsid w:val="00FF2837"/>
    <w:rsid w:val="00FF2ACA"/>
    <w:rsid w:val="00FF2ACC"/>
    <w:rsid w:val="00FF343A"/>
    <w:rsid w:val="00FF39FF"/>
    <w:rsid w:val="00FF3CA4"/>
    <w:rsid w:val="00FF482E"/>
    <w:rsid w:val="00FF4D09"/>
    <w:rsid w:val="00FF50B8"/>
    <w:rsid w:val="00FF536B"/>
    <w:rsid w:val="00FF55A2"/>
    <w:rsid w:val="00FF5610"/>
    <w:rsid w:val="00FF5889"/>
    <w:rsid w:val="00FF5A07"/>
    <w:rsid w:val="00FF6683"/>
    <w:rsid w:val="00FF6686"/>
    <w:rsid w:val="00FF67FA"/>
    <w:rsid w:val="00FF694A"/>
    <w:rsid w:val="00FF6D68"/>
    <w:rsid w:val="00FF6FD9"/>
    <w:rsid w:val="00FF7776"/>
    <w:rsid w:val="00FF7908"/>
    <w:rsid w:val="0107676F"/>
    <w:rsid w:val="01661DDB"/>
    <w:rsid w:val="01693B15"/>
    <w:rsid w:val="0183433B"/>
    <w:rsid w:val="019A62D9"/>
    <w:rsid w:val="01F62035"/>
    <w:rsid w:val="02F50B81"/>
    <w:rsid w:val="03367AB9"/>
    <w:rsid w:val="03DF7D18"/>
    <w:rsid w:val="03F90AE6"/>
    <w:rsid w:val="042458BC"/>
    <w:rsid w:val="0471039E"/>
    <w:rsid w:val="04A8137D"/>
    <w:rsid w:val="04D70A40"/>
    <w:rsid w:val="05490F1A"/>
    <w:rsid w:val="05C660A9"/>
    <w:rsid w:val="05EE5BA7"/>
    <w:rsid w:val="07007B80"/>
    <w:rsid w:val="078B755A"/>
    <w:rsid w:val="07EE14C9"/>
    <w:rsid w:val="080E03CE"/>
    <w:rsid w:val="081427B9"/>
    <w:rsid w:val="086405E8"/>
    <w:rsid w:val="08B005E7"/>
    <w:rsid w:val="08C120F8"/>
    <w:rsid w:val="08EB41A8"/>
    <w:rsid w:val="093D3223"/>
    <w:rsid w:val="09B12DB4"/>
    <w:rsid w:val="0A261F09"/>
    <w:rsid w:val="0A2C5771"/>
    <w:rsid w:val="0A4D18B6"/>
    <w:rsid w:val="0A98550C"/>
    <w:rsid w:val="0B72555E"/>
    <w:rsid w:val="0BC07B52"/>
    <w:rsid w:val="0CCB207C"/>
    <w:rsid w:val="0DC04F9F"/>
    <w:rsid w:val="0DD940FE"/>
    <w:rsid w:val="0DE965BB"/>
    <w:rsid w:val="0DEE56BA"/>
    <w:rsid w:val="0ED33095"/>
    <w:rsid w:val="0EE20A03"/>
    <w:rsid w:val="0EF845FE"/>
    <w:rsid w:val="0F303658"/>
    <w:rsid w:val="0F737665"/>
    <w:rsid w:val="10703581"/>
    <w:rsid w:val="10840E16"/>
    <w:rsid w:val="108910B5"/>
    <w:rsid w:val="10FA6B2C"/>
    <w:rsid w:val="112D61D8"/>
    <w:rsid w:val="11621A79"/>
    <w:rsid w:val="117F2B0B"/>
    <w:rsid w:val="11D1537D"/>
    <w:rsid w:val="123E2FFB"/>
    <w:rsid w:val="1265429E"/>
    <w:rsid w:val="127C7ED8"/>
    <w:rsid w:val="12D557A8"/>
    <w:rsid w:val="13191B61"/>
    <w:rsid w:val="139F712C"/>
    <w:rsid w:val="14016589"/>
    <w:rsid w:val="1451641D"/>
    <w:rsid w:val="146C5E51"/>
    <w:rsid w:val="14774588"/>
    <w:rsid w:val="14B266C6"/>
    <w:rsid w:val="14E8500D"/>
    <w:rsid w:val="1537321C"/>
    <w:rsid w:val="153B3F0D"/>
    <w:rsid w:val="15BF44EA"/>
    <w:rsid w:val="15C47095"/>
    <w:rsid w:val="17BF42B8"/>
    <w:rsid w:val="180C273E"/>
    <w:rsid w:val="181133AA"/>
    <w:rsid w:val="18DF05E5"/>
    <w:rsid w:val="1962557A"/>
    <w:rsid w:val="19813C3F"/>
    <w:rsid w:val="19C57FFE"/>
    <w:rsid w:val="19FE2F22"/>
    <w:rsid w:val="1A12583D"/>
    <w:rsid w:val="1A244F68"/>
    <w:rsid w:val="1A692D3D"/>
    <w:rsid w:val="1ABD2416"/>
    <w:rsid w:val="1AF26C16"/>
    <w:rsid w:val="1B2B6F34"/>
    <w:rsid w:val="1BA027E4"/>
    <w:rsid w:val="1BBD6A10"/>
    <w:rsid w:val="1BC87788"/>
    <w:rsid w:val="1C295FB5"/>
    <w:rsid w:val="1CBF1617"/>
    <w:rsid w:val="1D022362"/>
    <w:rsid w:val="1D047E88"/>
    <w:rsid w:val="1D6372A4"/>
    <w:rsid w:val="1D892402"/>
    <w:rsid w:val="1DA014D7"/>
    <w:rsid w:val="1DE10FF3"/>
    <w:rsid w:val="1DE21C64"/>
    <w:rsid w:val="1E1E5007"/>
    <w:rsid w:val="1E3824DF"/>
    <w:rsid w:val="1E990D30"/>
    <w:rsid w:val="1EFE67BF"/>
    <w:rsid w:val="1F80153B"/>
    <w:rsid w:val="1F963BEA"/>
    <w:rsid w:val="1FBE1A01"/>
    <w:rsid w:val="1FC81833"/>
    <w:rsid w:val="1FF55AA2"/>
    <w:rsid w:val="200F234F"/>
    <w:rsid w:val="20873848"/>
    <w:rsid w:val="2099704C"/>
    <w:rsid w:val="20CF69FF"/>
    <w:rsid w:val="20D9515D"/>
    <w:rsid w:val="210E4F28"/>
    <w:rsid w:val="212732F8"/>
    <w:rsid w:val="214178FD"/>
    <w:rsid w:val="233F2093"/>
    <w:rsid w:val="234B4AB8"/>
    <w:rsid w:val="23B44BFA"/>
    <w:rsid w:val="23B80A08"/>
    <w:rsid w:val="245A13A5"/>
    <w:rsid w:val="25387269"/>
    <w:rsid w:val="25E31F97"/>
    <w:rsid w:val="25E3583B"/>
    <w:rsid w:val="26076102"/>
    <w:rsid w:val="262827EB"/>
    <w:rsid w:val="26914525"/>
    <w:rsid w:val="26A15D7A"/>
    <w:rsid w:val="26EC0890"/>
    <w:rsid w:val="27207FB4"/>
    <w:rsid w:val="27315D1D"/>
    <w:rsid w:val="27952750"/>
    <w:rsid w:val="27C60B5C"/>
    <w:rsid w:val="289C3DBB"/>
    <w:rsid w:val="290C0195"/>
    <w:rsid w:val="294E0E09"/>
    <w:rsid w:val="295108F9"/>
    <w:rsid w:val="298E4E83"/>
    <w:rsid w:val="29BA542B"/>
    <w:rsid w:val="29C109D8"/>
    <w:rsid w:val="29C819AB"/>
    <w:rsid w:val="29D357B2"/>
    <w:rsid w:val="2A6308E4"/>
    <w:rsid w:val="2A786AE2"/>
    <w:rsid w:val="2ABC3752"/>
    <w:rsid w:val="2AD41256"/>
    <w:rsid w:val="2AF80ACF"/>
    <w:rsid w:val="2B0B5D43"/>
    <w:rsid w:val="2B3E3B38"/>
    <w:rsid w:val="2B85118D"/>
    <w:rsid w:val="2BA03F58"/>
    <w:rsid w:val="2BA544FE"/>
    <w:rsid w:val="2BB45ECF"/>
    <w:rsid w:val="2BF73176"/>
    <w:rsid w:val="2CAB3D48"/>
    <w:rsid w:val="2CB371D5"/>
    <w:rsid w:val="2D195BFB"/>
    <w:rsid w:val="2D36436D"/>
    <w:rsid w:val="2D443BB1"/>
    <w:rsid w:val="2D5B4BC4"/>
    <w:rsid w:val="2DED7696"/>
    <w:rsid w:val="2E294AE1"/>
    <w:rsid w:val="2E34336C"/>
    <w:rsid w:val="2E5F4906"/>
    <w:rsid w:val="2E616A7B"/>
    <w:rsid w:val="2EDF9337"/>
    <w:rsid w:val="2F2C7755"/>
    <w:rsid w:val="2FB973DA"/>
    <w:rsid w:val="2FC355E6"/>
    <w:rsid w:val="2FE23037"/>
    <w:rsid w:val="305D4027"/>
    <w:rsid w:val="310D1679"/>
    <w:rsid w:val="31554CFE"/>
    <w:rsid w:val="32496611"/>
    <w:rsid w:val="3260395B"/>
    <w:rsid w:val="33217D3D"/>
    <w:rsid w:val="3327113C"/>
    <w:rsid w:val="33F46A50"/>
    <w:rsid w:val="34161126"/>
    <w:rsid w:val="34217E80"/>
    <w:rsid w:val="34A55CAC"/>
    <w:rsid w:val="34D50630"/>
    <w:rsid w:val="34E636BC"/>
    <w:rsid w:val="350A77D4"/>
    <w:rsid w:val="351849C1"/>
    <w:rsid w:val="35AE7419"/>
    <w:rsid w:val="35F56576"/>
    <w:rsid w:val="36673FAE"/>
    <w:rsid w:val="36FE27DC"/>
    <w:rsid w:val="378557A7"/>
    <w:rsid w:val="37982C43"/>
    <w:rsid w:val="37BC5AD7"/>
    <w:rsid w:val="37DA4747"/>
    <w:rsid w:val="381169B4"/>
    <w:rsid w:val="38385B9C"/>
    <w:rsid w:val="38CC11FB"/>
    <w:rsid w:val="38FD0155"/>
    <w:rsid w:val="39604F41"/>
    <w:rsid w:val="39735CF0"/>
    <w:rsid w:val="39ED3B0A"/>
    <w:rsid w:val="3A1E020E"/>
    <w:rsid w:val="3A6A76BC"/>
    <w:rsid w:val="3A990E1C"/>
    <w:rsid w:val="3AC66E18"/>
    <w:rsid w:val="3B350FEC"/>
    <w:rsid w:val="3B4F4487"/>
    <w:rsid w:val="3B6D76D3"/>
    <w:rsid w:val="3BBA3F4B"/>
    <w:rsid w:val="3C8C7C58"/>
    <w:rsid w:val="3D491C93"/>
    <w:rsid w:val="3D8961C8"/>
    <w:rsid w:val="3DBB2651"/>
    <w:rsid w:val="3E1321C9"/>
    <w:rsid w:val="3E237759"/>
    <w:rsid w:val="3E287120"/>
    <w:rsid w:val="3E356306"/>
    <w:rsid w:val="3E7A3FF6"/>
    <w:rsid w:val="3EEC0340"/>
    <w:rsid w:val="3F6915AD"/>
    <w:rsid w:val="3FDB56DB"/>
    <w:rsid w:val="402A3BE5"/>
    <w:rsid w:val="40AA6EDF"/>
    <w:rsid w:val="41506BB5"/>
    <w:rsid w:val="41FA5466"/>
    <w:rsid w:val="421B34AF"/>
    <w:rsid w:val="42223F0C"/>
    <w:rsid w:val="423A3055"/>
    <w:rsid w:val="42470693"/>
    <w:rsid w:val="425C4EA5"/>
    <w:rsid w:val="427D7054"/>
    <w:rsid w:val="42A92E7C"/>
    <w:rsid w:val="42B15B0D"/>
    <w:rsid w:val="42D633EC"/>
    <w:rsid w:val="42E83C24"/>
    <w:rsid w:val="434C2567"/>
    <w:rsid w:val="43F43FF7"/>
    <w:rsid w:val="44B94FC4"/>
    <w:rsid w:val="451705E4"/>
    <w:rsid w:val="4566633D"/>
    <w:rsid w:val="45A97A79"/>
    <w:rsid w:val="45B071DC"/>
    <w:rsid w:val="4628284A"/>
    <w:rsid w:val="465A26DA"/>
    <w:rsid w:val="46984440"/>
    <w:rsid w:val="46A10DF3"/>
    <w:rsid w:val="46A77F5F"/>
    <w:rsid w:val="471E20BC"/>
    <w:rsid w:val="47212017"/>
    <w:rsid w:val="4745494A"/>
    <w:rsid w:val="4767050A"/>
    <w:rsid w:val="47CB1B67"/>
    <w:rsid w:val="48004B4B"/>
    <w:rsid w:val="48353477"/>
    <w:rsid w:val="4856401B"/>
    <w:rsid w:val="48C60294"/>
    <w:rsid w:val="491F178B"/>
    <w:rsid w:val="494B6CBB"/>
    <w:rsid w:val="497B71C2"/>
    <w:rsid w:val="499B7670"/>
    <w:rsid w:val="49A50DA8"/>
    <w:rsid w:val="49E50BF2"/>
    <w:rsid w:val="4A55167A"/>
    <w:rsid w:val="4A717A0B"/>
    <w:rsid w:val="4B25576A"/>
    <w:rsid w:val="4BDF3A04"/>
    <w:rsid w:val="4C261319"/>
    <w:rsid w:val="4C547C35"/>
    <w:rsid w:val="4C731389"/>
    <w:rsid w:val="4CCF6BF3"/>
    <w:rsid w:val="4CF545DD"/>
    <w:rsid w:val="4D0728CB"/>
    <w:rsid w:val="4D3747C3"/>
    <w:rsid w:val="4DAD7541"/>
    <w:rsid w:val="4E435CF7"/>
    <w:rsid w:val="4EFD2805"/>
    <w:rsid w:val="4F437C01"/>
    <w:rsid w:val="4F5E3989"/>
    <w:rsid w:val="4F6169D5"/>
    <w:rsid w:val="4F642884"/>
    <w:rsid w:val="4F8839AD"/>
    <w:rsid w:val="4F92760E"/>
    <w:rsid w:val="4F975FB7"/>
    <w:rsid w:val="4FC357FD"/>
    <w:rsid w:val="5066682D"/>
    <w:rsid w:val="50684F69"/>
    <w:rsid w:val="507C3C7C"/>
    <w:rsid w:val="50E14BED"/>
    <w:rsid w:val="5100038B"/>
    <w:rsid w:val="51A155E2"/>
    <w:rsid w:val="52C8312A"/>
    <w:rsid w:val="52D61B39"/>
    <w:rsid w:val="53117173"/>
    <w:rsid w:val="534A2EB2"/>
    <w:rsid w:val="53E06252"/>
    <w:rsid w:val="53F02939"/>
    <w:rsid w:val="53F54412"/>
    <w:rsid w:val="54272A04"/>
    <w:rsid w:val="545869CC"/>
    <w:rsid w:val="548E74CB"/>
    <w:rsid w:val="54CA158D"/>
    <w:rsid w:val="54D67984"/>
    <w:rsid w:val="555713EB"/>
    <w:rsid w:val="556C2493"/>
    <w:rsid w:val="55B6370E"/>
    <w:rsid w:val="56086042"/>
    <w:rsid w:val="562F17B8"/>
    <w:rsid w:val="56435D3D"/>
    <w:rsid w:val="56A673D0"/>
    <w:rsid w:val="56FB1446"/>
    <w:rsid w:val="574310A2"/>
    <w:rsid w:val="574D4581"/>
    <w:rsid w:val="577209B8"/>
    <w:rsid w:val="588944E6"/>
    <w:rsid w:val="58E97EE9"/>
    <w:rsid w:val="59932C2C"/>
    <w:rsid w:val="5A155D94"/>
    <w:rsid w:val="5A294133"/>
    <w:rsid w:val="5A4968FF"/>
    <w:rsid w:val="5A4E3EBE"/>
    <w:rsid w:val="5A9D5D69"/>
    <w:rsid w:val="5AB971D2"/>
    <w:rsid w:val="5B9A6D43"/>
    <w:rsid w:val="5BD02782"/>
    <w:rsid w:val="5C271300"/>
    <w:rsid w:val="5C3D38E1"/>
    <w:rsid w:val="5C420B4B"/>
    <w:rsid w:val="5C4328CB"/>
    <w:rsid w:val="5C985AEE"/>
    <w:rsid w:val="5CD052B5"/>
    <w:rsid w:val="5D4C7634"/>
    <w:rsid w:val="5D843114"/>
    <w:rsid w:val="5DAA4FF5"/>
    <w:rsid w:val="5E7163C2"/>
    <w:rsid w:val="5E7B244F"/>
    <w:rsid w:val="5F2E6A0B"/>
    <w:rsid w:val="5F5B0534"/>
    <w:rsid w:val="5F6D12E1"/>
    <w:rsid w:val="5FA42ED8"/>
    <w:rsid w:val="5FBF1587"/>
    <w:rsid w:val="5FCF3AC6"/>
    <w:rsid w:val="60343182"/>
    <w:rsid w:val="60D759C9"/>
    <w:rsid w:val="60E44E3E"/>
    <w:rsid w:val="610C68D8"/>
    <w:rsid w:val="617F2EE1"/>
    <w:rsid w:val="61F91341"/>
    <w:rsid w:val="624904BE"/>
    <w:rsid w:val="628C5F22"/>
    <w:rsid w:val="62A06693"/>
    <w:rsid w:val="62C53CAA"/>
    <w:rsid w:val="62F14F12"/>
    <w:rsid w:val="63612D4E"/>
    <w:rsid w:val="63685A59"/>
    <w:rsid w:val="63750D57"/>
    <w:rsid w:val="63840EEC"/>
    <w:rsid w:val="63B8EB0A"/>
    <w:rsid w:val="63D7428D"/>
    <w:rsid w:val="64016C6D"/>
    <w:rsid w:val="640455C8"/>
    <w:rsid w:val="647C6D4D"/>
    <w:rsid w:val="64CD637E"/>
    <w:rsid w:val="65144EBD"/>
    <w:rsid w:val="6528041F"/>
    <w:rsid w:val="658E7B9D"/>
    <w:rsid w:val="65A6554D"/>
    <w:rsid w:val="663F5BB7"/>
    <w:rsid w:val="669960C2"/>
    <w:rsid w:val="66F44096"/>
    <w:rsid w:val="67206C39"/>
    <w:rsid w:val="67901D3B"/>
    <w:rsid w:val="6797276F"/>
    <w:rsid w:val="67C94E4B"/>
    <w:rsid w:val="684A7768"/>
    <w:rsid w:val="68522F5F"/>
    <w:rsid w:val="68925915"/>
    <w:rsid w:val="68B37104"/>
    <w:rsid w:val="68C033B2"/>
    <w:rsid w:val="68FE42B0"/>
    <w:rsid w:val="69023FBC"/>
    <w:rsid w:val="69462664"/>
    <w:rsid w:val="694C7474"/>
    <w:rsid w:val="6966623D"/>
    <w:rsid w:val="6973347C"/>
    <w:rsid w:val="69C52F16"/>
    <w:rsid w:val="69D62DCF"/>
    <w:rsid w:val="69E3518A"/>
    <w:rsid w:val="6A2945F2"/>
    <w:rsid w:val="6A2D624C"/>
    <w:rsid w:val="6A5203FB"/>
    <w:rsid w:val="6A9717C6"/>
    <w:rsid w:val="6AA43397"/>
    <w:rsid w:val="6AC81AC2"/>
    <w:rsid w:val="6ACA0732"/>
    <w:rsid w:val="6ACE4619"/>
    <w:rsid w:val="6B1941E6"/>
    <w:rsid w:val="6B68083B"/>
    <w:rsid w:val="6BE27B85"/>
    <w:rsid w:val="6C6C1F11"/>
    <w:rsid w:val="6C6F3F26"/>
    <w:rsid w:val="6DD60C95"/>
    <w:rsid w:val="6E0C6CF7"/>
    <w:rsid w:val="6E5F7E48"/>
    <w:rsid w:val="6EB66570"/>
    <w:rsid w:val="6ECC448C"/>
    <w:rsid w:val="6EE94C55"/>
    <w:rsid w:val="6F7E3097"/>
    <w:rsid w:val="6F900ABA"/>
    <w:rsid w:val="6FC00FB9"/>
    <w:rsid w:val="6FC14095"/>
    <w:rsid w:val="6FFF286D"/>
    <w:rsid w:val="707E606A"/>
    <w:rsid w:val="70D8455D"/>
    <w:rsid w:val="71382B71"/>
    <w:rsid w:val="71643458"/>
    <w:rsid w:val="717C7162"/>
    <w:rsid w:val="71BF0850"/>
    <w:rsid w:val="72507B87"/>
    <w:rsid w:val="7267225E"/>
    <w:rsid w:val="7289399B"/>
    <w:rsid w:val="72AC3596"/>
    <w:rsid w:val="73332B11"/>
    <w:rsid w:val="74312486"/>
    <w:rsid w:val="7459794C"/>
    <w:rsid w:val="746D5A47"/>
    <w:rsid w:val="74906B30"/>
    <w:rsid w:val="74FE366A"/>
    <w:rsid w:val="75302B8A"/>
    <w:rsid w:val="75727B65"/>
    <w:rsid w:val="759D7FD6"/>
    <w:rsid w:val="75CF1327"/>
    <w:rsid w:val="75DF13BD"/>
    <w:rsid w:val="75F14361"/>
    <w:rsid w:val="76081D66"/>
    <w:rsid w:val="76124539"/>
    <w:rsid w:val="766E200E"/>
    <w:rsid w:val="769F2DE8"/>
    <w:rsid w:val="77062C93"/>
    <w:rsid w:val="77706249"/>
    <w:rsid w:val="779D0606"/>
    <w:rsid w:val="77DB73DF"/>
    <w:rsid w:val="78D015AD"/>
    <w:rsid w:val="78EC748E"/>
    <w:rsid w:val="79212B29"/>
    <w:rsid w:val="79A91B75"/>
    <w:rsid w:val="79D2628F"/>
    <w:rsid w:val="79FC504A"/>
    <w:rsid w:val="7A121D3F"/>
    <w:rsid w:val="7A4512B7"/>
    <w:rsid w:val="7A4D52B7"/>
    <w:rsid w:val="7AD126E0"/>
    <w:rsid w:val="7B1F3307"/>
    <w:rsid w:val="7B446F42"/>
    <w:rsid w:val="7B50149E"/>
    <w:rsid w:val="7B6A54D9"/>
    <w:rsid w:val="7B842755"/>
    <w:rsid w:val="7C55517F"/>
    <w:rsid w:val="7C8C362F"/>
    <w:rsid w:val="7D0471B7"/>
    <w:rsid w:val="7D0E03B2"/>
    <w:rsid w:val="7D424D1B"/>
    <w:rsid w:val="7E061F7B"/>
    <w:rsid w:val="7E2D0162"/>
    <w:rsid w:val="7E831A86"/>
    <w:rsid w:val="7EBB39C0"/>
    <w:rsid w:val="7ED25FDF"/>
    <w:rsid w:val="7F16C1D5"/>
    <w:rsid w:val="7F4B2DE4"/>
    <w:rsid w:val="7F560D31"/>
    <w:rsid w:val="7FDFC686"/>
    <w:rsid w:val="7FE70AF5"/>
    <w:rsid w:val="7FFDD88E"/>
    <w:rsid w:val="973CD4F7"/>
    <w:rsid w:val="C5860C68"/>
    <w:rsid w:val="F0D7A74A"/>
    <w:rsid w:val="F6FD2D88"/>
    <w:rsid w:val="FD7D6105"/>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name="index 6"/>
    <w:lsdException w:uiPriority="99" w:name="index 7"/>
    <w:lsdException w:qFormat="1" w:unhideWhenUsed="0" w:uiPriority="0"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autoRedefine/>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link w:val="50"/>
    <w:autoRedefine/>
    <w:qFormat/>
    <w:uiPriority w:val="9"/>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6"/>
    <w:autoRedefine/>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7">
    <w:name w:val="Normal Indent"/>
    <w:basedOn w:val="1"/>
    <w:autoRedefine/>
    <w:unhideWhenUsed/>
    <w:qFormat/>
    <w:uiPriority w:val="99"/>
    <w:pPr>
      <w:ind w:firstLine="420" w:firstLineChars="200"/>
    </w:pPr>
    <w:rPr>
      <w:rFonts w:cs="宋体"/>
      <w:szCs w:val="21"/>
    </w:rPr>
  </w:style>
  <w:style w:type="paragraph" w:styleId="8">
    <w:name w:val="caption"/>
    <w:basedOn w:val="1"/>
    <w:next w:val="1"/>
    <w:autoRedefine/>
    <w:qFormat/>
    <w:uiPriority w:val="0"/>
    <w:rPr>
      <w:rFonts w:ascii="Cambria" w:hAnsi="Cambria" w:eastAsia="黑体"/>
      <w:sz w:val="20"/>
      <w:szCs w:val="20"/>
    </w:rPr>
  </w:style>
  <w:style w:type="paragraph" w:styleId="9">
    <w:name w:val="index 5"/>
    <w:basedOn w:val="1"/>
    <w:next w:val="1"/>
    <w:autoRedefine/>
    <w:qFormat/>
    <w:uiPriority w:val="0"/>
    <w:pPr>
      <w:ind w:left="1050" w:hanging="210"/>
      <w:jc w:val="left"/>
    </w:pPr>
    <w:rPr>
      <w:rFonts w:ascii="Times New Roman" w:hAnsi="Times New Roman"/>
      <w:sz w:val="20"/>
      <w:szCs w:val="20"/>
    </w:rPr>
  </w:style>
  <w:style w:type="paragraph" w:styleId="10">
    <w:name w:val="Document Map"/>
    <w:basedOn w:val="1"/>
    <w:link w:val="45"/>
    <w:autoRedefine/>
    <w:unhideWhenUsed/>
    <w:qFormat/>
    <w:uiPriority w:val="99"/>
    <w:rPr>
      <w:rFonts w:ascii="宋体" w:hAnsi="Times New Roman"/>
      <w:sz w:val="18"/>
      <w:szCs w:val="18"/>
      <w:lang w:val="zh-CN"/>
    </w:rPr>
  </w:style>
  <w:style w:type="paragraph" w:styleId="11">
    <w:name w:val="toa heading"/>
    <w:basedOn w:val="1"/>
    <w:next w:val="1"/>
    <w:autoRedefine/>
    <w:unhideWhenUsed/>
    <w:qFormat/>
    <w:uiPriority w:val="0"/>
    <w:pPr>
      <w:spacing w:before="120"/>
    </w:pPr>
    <w:rPr>
      <w:rFonts w:asciiTheme="majorHAnsi" w:hAnsiTheme="majorHAnsi" w:eastAsiaTheme="majorEastAsia" w:cstheme="majorBidi"/>
      <w:sz w:val="24"/>
      <w:szCs w:val="24"/>
    </w:rPr>
  </w:style>
  <w:style w:type="paragraph" w:styleId="12">
    <w:name w:val="annotation text"/>
    <w:basedOn w:val="1"/>
    <w:link w:val="164"/>
    <w:autoRedefine/>
    <w:semiHidden/>
    <w:unhideWhenUsed/>
    <w:qFormat/>
    <w:uiPriority w:val="99"/>
    <w:pPr>
      <w:jc w:val="left"/>
    </w:pPr>
  </w:style>
  <w:style w:type="paragraph" w:styleId="13">
    <w:name w:val="index 6"/>
    <w:basedOn w:val="1"/>
    <w:next w:val="1"/>
    <w:autoRedefine/>
    <w:semiHidden/>
    <w:unhideWhenUsed/>
    <w:qFormat/>
    <w:uiPriority w:val="99"/>
    <w:pPr>
      <w:ind w:left="1000" w:leftChars="1000"/>
    </w:pPr>
  </w:style>
  <w:style w:type="paragraph" w:styleId="14">
    <w:name w:val="Body Text"/>
    <w:basedOn w:val="1"/>
    <w:next w:val="1"/>
    <w:link w:val="54"/>
    <w:autoRedefine/>
    <w:qFormat/>
    <w:uiPriority w:val="0"/>
    <w:pPr>
      <w:spacing w:after="120"/>
    </w:pPr>
    <w:rPr>
      <w:rFonts w:ascii="Times New Roman" w:hAnsi="Times New Roman"/>
      <w:lang w:val="zh-CN"/>
    </w:rPr>
  </w:style>
  <w:style w:type="paragraph" w:styleId="15">
    <w:name w:val="Body Text Indent"/>
    <w:basedOn w:val="1"/>
    <w:link w:val="47"/>
    <w:autoRedefine/>
    <w:qFormat/>
    <w:uiPriority w:val="0"/>
    <w:pPr>
      <w:ind w:left="420"/>
    </w:pPr>
    <w:rPr>
      <w:rFonts w:ascii="Times New Roman" w:hAnsi="Times New Roman"/>
      <w:kern w:val="0"/>
      <w:sz w:val="20"/>
      <w:szCs w:val="24"/>
      <w:lang w:val="zh-CN"/>
    </w:rPr>
  </w:style>
  <w:style w:type="paragraph" w:styleId="16">
    <w:name w:val="toc 3"/>
    <w:basedOn w:val="1"/>
    <w:next w:val="1"/>
    <w:autoRedefine/>
    <w:qFormat/>
    <w:uiPriority w:val="39"/>
    <w:pPr>
      <w:widowControl/>
      <w:spacing w:after="100" w:line="276" w:lineRule="auto"/>
      <w:ind w:left="440"/>
      <w:jc w:val="left"/>
    </w:pPr>
    <w:rPr>
      <w:kern w:val="0"/>
      <w:sz w:val="22"/>
    </w:rPr>
  </w:style>
  <w:style w:type="paragraph" w:styleId="17">
    <w:name w:val="Plain Text"/>
    <w:basedOn w:val="1"/>
    <w:next w:val="6"/>
    <w:link w:val="51"/>
    <w:autoRedefine/>
    <w:qFormat/>
    <w:uiPriority w:val="99"/>
    <w:rPr>
      <w:rFonts w:ascii="宋体" w:hAnsi="Courier New"/>
      <w:kern w:val="0"/>
      <w:sz w:val="20"/>
      <w:szCs w:val="21"/>
      <w:lang w:val="zh-CN"/>
    </w:rPr>
  </w:style>
  <w:style w:type="paragraph" w:styleId="18">
    <w:name w:val="Date"/>
    <w:basedOn w:val="1"/>
    <w:next w:val="1"/>
    <w:link w:val="49"/>
    <w:autoRedefine/>
    <w:qFormat/>
    <w:uiPriority w:val="0"/>
    <w:pPr>
      <w:ind w:left="100" w:leftChars="2500"/>
    </w:pPr>
    <w:rPr>
      <w:rFonts w:ascii="Times New Roman" w:hAnsi="Times New Roman"/>
      <w:lang w:val="zh-CN"/>
    </w:rPr>
  </w:style>
  <w:style w:type="paragraph" w:styleId="19">
    <w:name w:val="Body Text Indent 2"/>
    <w:basedOn w:val="1"/>
    <w:link w:val="48"/>
    <w:autoRedefine/>
    <w:qFormat/>
    <w:uiPriority w:val="0"/>
    <w:pPr>
      <w:spacing w:after="120" w:line="480" w:lineRule="auto"/>
      <w:ind w:left="420" w:leftChars="200"/>
    </w:pPr>
    <w:rPr>
      <w:rFonts w:ascii="Times New Roman" w:hAnsi="Times New Roman"/>
      <w:lang w:val="zh-CN"/>
    </w:rPr>
  </w:style>
  <w:style w:type="paragraph" w:styleId="20">
    <w:name w:val="Balloon Text"/>
    <w:basedOn w:val="1"/>
    <w:link w:val="56"/>
    <w:autoRedefine/>
    <w:qFormat/>
    <w:uiPriority w:val="0"/>
    <w:rPr>
      <w:rFonts w:ascii="Times New Roman" w:hAnsi="Times New Roman"/>
      <w:kern w:val="0"/>
      <w:sz w:val="18"/>
      <w:szCs w:val="18"/>
      <w:lang w:val="zh-CN"/>
    </w:rPr>
  </w:style>
  <w:style w:type="paragraph" w:styleId="21">
    <w:name w:val="footer"/>
    <w:basedOn w:val="1"/>
    <w:link w:val="53"/>
    <w:autoRedefine/>
    <w:qFormat/>
    <w:uiPriority w:val="0"/>
    <w:pPr>
      <w:pBdr>
        <w:top w:val="single" w:color="auto" w:sz="4" w:space="1"/>
      </w:pBdr>
      <w:tabs>
        <w:tab w:val="center" w:pos="4153"/>
        <w:tab w:val="right" w:pos="8306"/>
      </w:tabs>
      <w:snapToGrid w:val="0"/>
      <w:jc w:val="center"/>
    </w:pPr>
    <w:rPr>
      <w:rFonts w:ascii="Times New Roman" w:hAnsi="Times New Roman"/>
      <w:sz w:val="18"/>
      <w:szCs w:val="18"/>
      <w:lang w:val="zh-CN"/>
    </w:rPr>
  </w:style>
  <w:style w:type="paragraph" w:styleId="22">
    <w:name w:val="header"/>
    <w:basedOn w:val="1"/>
    <w:link w:val="44"/>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23">
    <w:name w:val="toc 1"/>
    <w:basedOn w:val="1"/>
    <w:next w:val="1"/>
    <w:autoRedefine/>
    <w:qFormat/>
    <w:uiPriority w:val="0"/>
    <w:pPr>
      <w:widowControl/>
      <w:spacing w:after="100" w:line="276" w:lineRule="auto"/>
      <w:jc w:val="left"/>
    </w:pPr>
    <w:rPr>
      <w:kern w:val="0"/>
      <w:sz w:val="22"/>
    </w:rPr>
  </w:style>
  <w:style w:type="paragraph" w:styleId="24">
    <w:name w:val="toc 4"/>
    <w:basedOn w:val="1"/>
    <w:next w:val="1"/>
    <w:autoRedefine/>
    <w:qFormat/>
    <w:uiPriority w:val="39"/>
    <w:pPr>
      <w:tabs>
        <w:tab w:val="right" w:leader="dot" w:pos="9628"/>
      </w:tabs>
      <w:spacing w:line="360" w:lineRule="auto"/>
      <w:ind w:left="1260" w:leftChars="600"/>
    </w:pPr>
    <w:rPr>
      <w:rFonts w:ascii="Times New Roman" w:hAnsi="Times New Roman"/>
      <w:szCs w:val="24"/>
    </w:rPr>
  </w:style>
  <w:style w:type="paragraph" w:styleId="25">
    <w:name w:val="footnote text"/>
    <w:basedOn w:val="1"/>
    <w:next w:val="1"/>
    <w:qFormat/>
    <w:uiPriority w:val="0"/>
    <w:pPr>
      <w:snapToGrid w:val="0"/>
      <w:jc w:val="left"/>
    </w:pPr>
    <w:rPr>
      <w:sz w:val="18"/>
    </w:rPr>
  </w:style>
  <w:style w:type="paragraph" w:styleId="26">
    <w:name w:val="toc 6"/>
    <w:basedOn w:val="1"/>
    <w:next w:val="1"/>
    <w:autoRedefine/>
    <w:qFormat/>
    <w:uiPriority w:val="0"/>
    <w:pPr>
      <w:ind w:left="2100" w:leftChars="1000"/>
    </w:pPr>
  </w:style>
  <w:style w:type="paragraph" w:styleId="27">
    <w:name w:val="Body Text Indent 3"/>
    <w:basedOn w:val="1"/>
    <w:link w:val="68"/>
    <w:autoRedefine/>
    <w:unhideWhenUsed/>
    <w:qFormat/>
    <w:uiPriority w:val="99"/>
    <w:pPr>
      <w:spacing w:after="120"/>
      <w:ind w:left="420" w:leftChars="200"/>
    </w:pPr>
    <w:rPr>
      <w:rFonts w:ascii="Times New Roman" w:hAnsi="Times New Roman"/>
      <w:sz w:val="16"/>
      <w:szCs w:val="16"/>
      <w:lang w:val="zh-CN"/>
    </w:rPr>
  </w:style>
  <w:style w:type="paragraph" w:styleId="28">
    <w:name w:val="toc 2"/>
    <w:basedOn w:val="1"/>
    <w:next w:val="1"/>
    <w:autoRedefine/>
    <w:qFormat/>
    <w:uiPriority w:val="39"/>
    <w:pPr>
      <w:widowControl/>
      <w:spacing w:after="100" w:line="276" w:lineRule="auto"/>
      <w:ind w:left="220"/>
      <w:jc w:val="left"/>
    </w:pPr>
    <w:rPr>
      <w:kern w:val="0"/>
      <w:sz w:val="22"/>
    </w:rPr>
  </w:style>
  <w:style w:type="paragraph" w:styleId="29">
    <w:name w:val="Body Text 2"/>
    <w:basedOn w:val="1"/>
    <w:link w:val="67"/>
    <w:autoRedefine/>
    <w:unhideWhenUsed/>
    <w:qFormat/>
    <w:uiPriority w:val="99"/>
    <w:pPr>
      <w:spacing w:after="120" w:line="480" w:lineRule="auto"/>
    </w:pPr>
    <w:rPr>
      <w:rFonts w:ascii="Times New Roman" w:hAnsi="Times New Roman"/>
      <w:lang w:val="zh-CN"/>
    </w:rPr>
  </w:style>
  <w:style w:type="paragraph" w:styleId="3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2"/>
    <w:next w:val="12"/>
    <w:link w:val="165"/>
    <w:semiHidden/>
    <w:unhideWhenUsed/>
    <w:qFormat/>
    <w:uiPriority w:val="99"/>
    <w:rPr>
      <w:b/>
      <w:bCs/>
    </w:rPr>
  </w:style>
  <w:style w:type="paragraph" w:styleId="32">
    <w:name w:val="Body Text First Indent"/>
    <w:basedOn w:val="14"/>
    <w:link w:val="57"/>
    <w:autoRedefine/>
    <w:qFormat/>
    <w:uiPriority w:val="0"/>
    <w:pPr>
      <w:ind w:firstLine="420" w:firstLineChars="100"/>
    </w:pPr>
  </w:style>
  <w:style w:type="paragraph" w:styleId="33">
    <w:name w:val="Body Text First Indent 2"/>
    <w:basedOn w:val="15"/>
    <w:autoRedefine/>
    <w:qFormat/>
    <w:uiPriority w:val="0"/>
    <w:pPr>
      <w:ind w:firstLine="420" w:firstLineChars="200"/>
    </w:pPr>
    <w:rPr>
      <w:sz w:val="24"/>
      <w:szCs w:val="20"/>
    </w:rPr>
  </w:style>
  <w:style w:type="table" w:styleId="35">
    <w:name w:val="Table Grid"/>
    <w:basedOn w:val="3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FollowedHyperlink"/>
    <w:autoRedefine/>
    <w:unhideWhenUsed/>
    <w:qFormat/>
    <w:uiPriority w:val="99"/>
    <w:rPr>
      <w:color w:val="800080"/>
      <w:u w:val="single"/>
    </w:rPr>
  </w:style>
  <w:style w:type="character" w:styleId="40">
    <w:name w:val="Emphasis"/>
    <w:autoRedefine/>
    <w:qFormat/>
    <w:uiPriority w:val="20"/>
    <w:rPr>
      <w:color w:val="CC0000"/>
    </w:rPr>
  </w:style>
  <w:style w:type="character" w:styleId="41">
    <w:name w:val="Hyperlink"/>
    <w:autoRedefine/>
    <w:qFormat/>
    <w:uiPriority w:val="99"/>
    <w:rPr>
      <w:color w:val="0000FF"/>
      <w:u w:val="single"/>
    </w:rPr>
  </w:style>
  <w:style w:type="character" w:styleId="42">
    <w:name w:val="annotation reference"/>
    <w:basedOn w:val="36"/>
    <w:semiHidden/>
    <w:unhideWhenUsed/>
    <w:qFormat/>
    <w:uiPriority w:val="99"/>
    <w:rPr>
      <w:sz w:val="21"/>
      <w:szCs w:val="21"/>
    </w:rPr>
  </w:style>
  <w:style w:type="paragraph" w:customStyle="1" w:styleId="43">
    <w:name w:val="表格文字"/>
    <w:basedOn w:val="1"/>
    <w:autoRedefine/>
    <w:qFormat/>
    <w:uiPriority w:val="0"/>
    <w:pPr>
      <w:spacing w:before="25" w:after="25"/>
      <w:jc w:val="left"/>
    </w:pPr>
    <w:rPr>
      <w:bCs/>
      <w:spacing w:val="10"/>
      <w:kern w:val="0"/>
      <w:sz w:val="24"/>
    </w:rPr>
  </w:style>
  <w:style w:type="character" w:customStyle="1" w:styleId="44">
    <w:name w:val="页眉 字符"/>
    <w:link w:val="22"/>
    <w:autoRedefine/>
    <w:qFormat/>
    <w:uiPriority w:val="0"/>
    <w:rPr>
      <w:sz w:val="18"/>
      <w:szCs w:val="18"/>
    </w:rPr>
  </w:style>
  <w:style w:type="character" w:customStyle="1" w:styleId="45">
    <w:name w:val="文档结构图 字符"/>
    <w:link w:val="10"/>
    <w:autoRedefine/>
    <w:semiHidden/>
    <w:qFormat/>
    <w:uiPriority w:val="99"/>
    <w:rPr>
      <w:rFonts w:ascii="宋体"/>
      <w:kern w:val="2"/>
      <w:sz w:val="18"/>
      <w:szCs w:val="18"/>
    </w:rPr>
  </w:style>
  <w:style w:type="character" w:customStyle="1" w:styleId="46">
    <w:name w:val="标题 4 字符"/>
    <w:link w:val="5"/>
    <w:autoRedefine/>
    <w:qFormat/>
    <w:uiPriority w:val="0"/>
    <w:rPr>
      <w:rFonts w:ascii="Arial" w:hAnsi="Arial" w:eastAsia="黑体" w:cs="Times New Roman"/>
      <w:b/>
      <w:bCs/>
      <w:sz w:val="28"/>
      <w:szCs w:val="28"/>
    </w:rPr>
  </w:style>
  <w:style w:type="character" w:customStyle="1" w:styleId="47">
    <w:name w:val="正文文本缩进 字符"/>
    <w:link w:val="15"/>
    <w:autoRedefine/>
    <w:qFormat/>
    <w:uiPriority w:val="0"/>
    <w:rPr>
      <w:rFonts w:ascii="Times New Roman" w:hAnsi="Times New Roman" w:eastAsia="宋体" w:cs="Times New Roman"/>
      <w:szCs w:val="24"/>
    </w:rPr>
  </w:style>
  <w:style w:type="character" w:customStyle="1" w:styleId="48">
    <w:name w:val="正文文本缩进 2 字符"/>
    <w:link w:val="19"/>
    <w:autoRedefine/>
    <w:qFormat/>
    <w:uiPriority w:val="0"/>
    <w:rPr>
      <w:kern w:val="2"/>
      <w:sz w:val="21"/>
      <w:szCs w:val="22"/>
    </w:rPr>
  </w:style>
  <w:style w:type="character" w:customStyle="1" w:styleId="49">
    <w:name w:val="日期 字符"/>
    <w:link w:val="18"/>
    <w:autoRedefine/>
    <w:qFormat/>
    <w:uiPriority w:val="0"/>
    <w:rPr>
      <w:kern w:val="2"/>
      <w:sz w:val="21"/>
      <w:szCs w:val="22"/>
    </w:rPr>
  </w:style>
  <w:style w:type="character" w:customStyle="1" w:styleId="50">
    <w:name w:val="标题 3 字符"/>
    <w:link w:val="4"/>
    <w:autoRedefine/>
    <w:qFormat/>
    <w:uiPriority w:val="9"/>
    <w:rPr>
      <w:rFonts w:ascii="Times New Roman" w:hAnsi="Times New Roman" w:eastAsia="宋体" w:cs="Times New Roman"/>
      <w:b/>
      <w:bCs/>
      <w:sz w:val="32"/>
      <w:szCs w:val="32"/>
    </w:rPr>
  </w:style>
  <w:style w:type="character" w:customStyle="1" w:styleId="51">
    <w:name w:val="纯文本 字符"/>
    <w:link w:val="17"/>
    <w:autoRedefine/>
    <w:qFormat/>
    <w:uiPriority w:val="99"/>
    <w:rPr>
      <w:rFonts w:ascii="宋体" w:hAnsi="Courier New" w:eastAsia="宋体" w:cs="Courier New"/>
      <w:szCs w:val="21"/>
    </w:rPr>
  </w:style>
  <w:style w:type="character" w:customStyle="1" w:styleId="52">
    <w:name w:val="标题 2 字符"/>
    <w:link w:val="3"/>
    <w:autoRedefine/>
    <w:qFormat/>
    <w:uiPriority w:val="0"/>
    <w:rPr>
      <w:rFonts w:ascii="Arial" w:hAnsi="Arial" w:eastAsia="黑体" w:cs="Times New Roman"/>
      <w:b/>
      <w:bCs/>
      <w:sz w:val="32"/>
      <w:szCs w:val="32"/>
    </w:rPr>
  </w:style>
  <w:style w:type="character" w:customStyle="1" w:styleId="53">
    <w:name w:val="页脚 字符1"/>
    <w:link w:val="21"/>
    <w:autoRedefine/>
    <w:qFormat/>
    <w:uiPriority w:val="0"/>
    <w:rPr>
      <w:kern w:val="2"/>
      <w:sz w:val="18"/>
      <w:szCs w:val="18"/>
    </w:rPr>
  </w:style>
  <w:style w:type="character" w:customStyle="1" w:styleId="54">
    <w:name w:val="正文文本 字符"/>
    <w:link w:val="14"/>
    <w:autoRedefine/>
    <w:qFormat/>
    <w:uiPriority w:val="0"/>
    <w:rPr>
      <w:kern w:val="2"/>
      <w:sz w:val="21"/>
      <w:szCs w:val="22"/>
    </w:rPr>
  </w:style>
  <w:style w:type="character" w:customStyle="1" w:styleId="55">
    <w:name w:val="标题 1 字符"/>
    <w:link w:val="2"/>
    <w:autoRedefine/>
    <w:qFormat/>
    <w:uiPriority w:val="0"/>
    <w:rPr>
      <w:b/>
      <w:bCs/>
      <w:kern w:val="44"/>
      <w:sz w:val="44"/>
      <w:szCs w:val="44"/>
    </w:rPr>
  </w:style>
  <w:style w:type="character" w:customStyle="1" w:styleId="56">
    <w:name w:val="批注框文本 字符"/>
    <w:link w:val="20"/>
    <w:autoRedefine/>
    <w:qFormat/>
    <w:uiPriority w:val="0"/>
    <w:rPr>
      <w:sz w:val="18"/>
      <w:szCs w:val="18"/>
    </w:rPr>
  </w:style>
  <w:style w:type="character" w:customStyle="1" w:styleId="57">
    <w:name w:val="正文文本首行缩进 字符"/>
    <w:basedOn w:val="54"/>
    <w:link w:val="32"/>
    <w:autoRedefine/>
    <w:qFormat/>
    <w:uiPriority w:val="0"/>
    <w:rPr>
      <w:kern w:val="2"/>
      <w:sz w:val="21"/>
      <w:szCs w:val="22"/>
    </w:rPr>
  </w:style>
  <w:style w:type="character" w:customStyle="1" w:styleId="58">
    <w:name w:val="样式1"/>
    <w:basedOn w:val="36"/>
    <w:autoRedefine/>
    <w:qFormat/>
    <w:uiPriority w:val="0"/>
  </w:style>
  <w:style w:type="paragraph" w:customStyle="1" w:styleId="59">
    <w:name w:val="正文文字2"/>
    <w:basedOn w:val="14"/>
    <w:autoRedefine/>
    <w:qFormat/>
    <w:uiPriority w:val="0"/>
    <w:pPr>
      <w:adjustRightInd w:val="0"/>
      <w:spacing w:after="60" w:line="360" w:lineRule="atLeast"/>
      <w:ind w:left="72" w:leftChars="30" w:right="30" w:rightChars="30"/>
      <w:jc w:val="center"/>
      <w:textAlignment w:val="baseline"/>
    </w:pPr>
    <w:rPr>
      <w:rFonts w:ascii="Arial" w:eastAsia="黑体"/>
      <w:kern w:val="0"/>
      <w:szCs w:val="20"/>
    </w:rPr>
  </w:style>
  <w:style w:type="paragraph" w:customStyle="1" w:styleId="60">
    <w:name w:val="p0"/>
    <w:basedOn w:val="1"/>
    <w:autoRedefine/>
    <w:qFormat/>
    <w:uiPriority w:val="0"/>
    <w:pPr>
      <w:widowControl/>
    </w:pPr>
    <w:rPr>
      <w:rFonts w:ascii="Times New Roman" w:hAnsi="Times New Roman"/>
      <w:kern w:val="0"/>
      <w:szCs w:val="21"/>
    </w:rPr>
  </w:style>
  <w:style w:type="paragraph" w:customStyle="1" w:styleId="6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
    <w:name w:val="标题1"/>
    <w:basedOn w:val="1"/>
    <w:next w:val="1"/>
    <w:autoRedefine/>
    <w:qFormat/>
    <w:uiPriority w:val="0"/>
    <w:pPr>
      <w:adjustRightInd w:val="0"/>
      <w:snapToGrid w:val="0"/>
      <w:jc w:val="center"/>
    </w:pPr>
    <w:rPr>
      <w:rFonts w:ascii="宋体" w:hAnsi="宋体"/>
      <w:spacing w:val="-6"/>
      <w:sz w:val="24"/>
      <w:szCs w:val="24"/>
    </w:rPr>
  </w:style>
  <w:style w:type="paragraph" w:customStyle="1" w:styleId="63">
    <w:name w:val="正文段"/>
    <w:basedOn w:val="1"/>
    <w:autoRedefine/>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64">
    <w:name w:val="纯文本1"/>
    <w:basedOn w:val="1"/>
    <w:autoRedefine/>
    <w:qFormat/>
    <w:uiPriority w:val="0"/>
    <w:pPr>
      <w:textAlignment w:val="baseline"/>
    </w:pPr>
    <w:rPr>
      <w:rFonts w:ascii="宋体" w:hAnsi="Courier New" w:eastAsia="楷体_GB2312"/>
      <w:sz w:val="28"/>
      <w:szCs w:val="20"/>
    </w:rPr>
  </w:style>
  <w:style w:type="paragraph" w:customStyle="1" w:styleId="65">
    <w:name w:val="目录"/>
    <w:basedOn w:val="32"/>
    <w:autoRedefine/>
    <w:qFormat/>
    <w:uiPriority w:val="0"/>
    <w:pPr>
      <w:widowControl/>
      <w:tabs>
        <w:tab w:val="left" w:leader="middleDot" w:pos="9072"/>
      </w:tabs>
      <w:spacing w:after="0"/>
      <w:ind w:left="567" w:right="284" w:firstLine="0" w:firstLineChars="0"/>
    </w:pPr>
    <w:rPr>
      <w:sz w:val="24"/>
      <w:szCs w:val="20"/>
    </w:rPr>
  </w:style>
  <w:style w:type="paragraph" w:customStyle="1" w:styleId="66">
    <w:name w:val="标题3"/>
    <w:basedOn w:val="1"/>
    <w:next w:val="1"/>
    <w:autoRedefine/>
    <w:qFormat/>
    <w:uiPriority w:val="0"/>
    <w:pPr>
      <w:adjustRightInd w:val="0"/>
      <w:snapToGrid w:val="0"/>
      <w:spacing w:line="322" w:lineRule="auto"/>
      <w:jc w:val="center"/>
    </w:pPr>
    <w:rPr>
      <w:rFonts w:ascii="宋体" w:hAnsi="宋体"/>
      <w:b/>
      <w:bCs/>
      <w:sz w:val="52"/>
      <w:szCs w:val="52"/>
    </w:rPr>
  </w:style>
  <w:style w:type="character" w:customStyle="1" w:styleId="67">
    <w:name w:val="正文文本 2 字符"/>
    <w:link w:val="29"/>
    <w:autoRedefine/>
    <w:semiHidden/>
    <w:qFormat/>
    <w:uiPriority w:val="99"/>
    <w:rPr>
      <w:kern w:val="2"/>
      <w:sz w:val="21"/>
      <w:szCs w:val="22"/>
    </w:rPr>
  </w:style>
  <w:style w:type="character" w:customStyle="1" w:styleId="68">
    <w:name w:val="正文文本缩进 3 字符"/>
    <w:link w:val="27"/>
    <w:autoRedefine/>
    <w:semiHidden/>
    <w:qFormat/>
    <w:uiPriority w:val="99"/>
    <w:rPr>
      <w:kern w:val="2"/>
      <w:sz w:val="16"/>
      <w:szCs w:val="16"/>
    </w:rPr>
  </w:style>
  <w:style w:type="paragraph" w:customStyle="1" w:styleId="69">
    <w:name w:val="列表段落1"/>
    <w:basedOn w:val="1"/>
    <w:autoRedefine/>
    <w:qFormat/>
    <w:uiPriority w:val="34"/>
    <w:pPr>
      <w:ind w:left="720"/>
      <w:contextualSpacing/>
    </w:pPr>
    <w:rPr>
      <w:szCs w:val="24"/>
    </w:rPr>
  </w:style>
  <w:style w:type="character" w:customStyle="1" w:styleId="70">
    <w:name w:val="页脚 字符"/>
    <w:autoRedefine/>
    <w:qFormat/>
    <w:uiPriority w:val="0"/>
  </w:style>
  <w:style w:type="paragraph" w:customStyle="1" w:styleId="71">
    <w:name w:val="_Style 56"/>
    <w:basedOn w:val="1"/>
    <w:next w:val="72"/>
    <w:autoRedefine/>
    <w:qFormat/>
    <w:uiPriority w:val="34"/>
    <w:pPr>
      <w:ind w:firstLine="420" w:firstLineChars="200"/>
    </w:pPr>
    <w:rPr>
      <w:sz w:val="28"/>
      <w:szCs w:val="24"/>
      <w:lang w:val="zh-CN"/>
    </w:rPr>
  </w:style>
  <w:style w:type="paragraph" w:customStyle="1" w:styleId="72">
    <w:name w:val="列表段落2"/>
    <w:basedOn w:val="1"/>
    <w:autoRedefine/>
    <w:qFormat/>
    <w:uiPriority w:val="34"/>
    <w:pPr>
      <w:ind w:firstLine="420" w:firstLineChars="200"/>
    </w:pPr>
  </w:style>
  <w:style w:type="character" w:customStyle="1" w:styleId="73">
    <w:name w:val="列出段落 Char"/>
    <w:link w:val="74"/>
    <w:autoRedefine/>
    <w:qFormat/>
    <w:uiPriority w:val="34"/>
    <w:rPr>
      <w:kern w:val="2"/>
      <w:sz w:val="28"/>
      <w:szCs w:val="24"/>
    </w:rPr>
  </w:style>
  <w:style w:type="paragraph" w:customStyle="1" w:styleId="74">
    <w:name w:val="编号"/>
    <w:basedOn w:val="1"/>
    <w:next w:val="72"/>
    <w:link w:val="73"/>
    <w:autoRedefine/>
    <w:qFormat/>
    <w:uiPriority w:val="34"/>
    <w:pPr>
      <w:ind w:firstLine="420" w:firstLineChars="200"/>
    </w:pPr>
    <w:rPr>
      <w:rFonts w:ascii="Times New Roman" w:hAnsi="Times New Roman"/>
      <w:sz w:val="28"/>
      <w:szCs w:val="24"/>
      <w:lang w:val="zh-CN"/>
    </w:rPr>
  </w:style>
  <w:style w:type="character" w:customStyle="1" w:styleId="75">
    <w:name w:val="font61"/>
    <w:autoRedefine/>
    <w:qFormat/>
    <w:uiPriority w:val="0"/>
    <w:rPr>
      <w:rFonts w:hint="eastAsia" w:ascii="宋体" w:hAnsi="宋体" w:eastAsia="宋体" w:cs="宋体"/>
      <w:b/>
      <w:color w:val="000000"/>
      <w:sz w:val="21"/>
      <w:szCs w:val="21"/>
      <w:u w:val="none"/>
    </w:rPr>
  </w:style>
  <w:style w:type="character" w:customStyle="1" w:styleId="76">
    <w:name w:val="font01"/>
    <w:autoRedefine/>
    <w:qFormat/>
    <w:uiPriority w:val="0"/>
    <w:rPr>
      <w:rFonts w:hint="default" w:ascii="Times New Roman" w:hAnsi="Times New Roman" w:cs="Times New Roman"/>
      <w:b/>
      <w:color w:val="000000"/>
      <w:sz w:val="21"/>
      <w:szCs w:val="21"/>
      <w:u w:val="none"/>
    </w:rPr>
  </w:style>
  <w:style w:type="paragraph" w:customStyle="1" w:styleId="77">
    <w:name w:val="FooterText"/>
    <w:basedOn w:val="1"/>
    <w:next w:val="72"/>
    <w:autoRedefine/>
    <w:qFormat/>
    <w:uiPriority w:val="34"/>
    <w:pPr>
      <w:ind w:firstLine="420" w:firstLineChars="200"/>
    </w:pPr>
    <w:rPr>
      <w:rFonts w:ascii="Times New Roman" w:hAnsi="Times New Roman"/>
      <w:sz w:val="24"/>
    </w:rPr>
  </w:style>
  <w:style w:type="paragraph" w:customStyle="1" w:styleId="7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font5"/>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82">
    <w:name w:val="xl72"/>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6">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
    <w:name w:val="xl7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62626"/>
      <w:kern w:val="0"/>
      <w:sz w:val="20"/>
      <w:szCs w:val="20"/>
    </w:rPr>
  </w:style>
  <w:style w:type="paragraph" w:customStyle="1" w:styleId="10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4">
    <w:name w:val="xl9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05">
    <w:name w:val="xl9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106">
    <w:name w:val="xl9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108">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9">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1">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2">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06"/>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0">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1">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3">
    <w:name w:val="xl11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6">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0">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3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3">
    <w:name w:val="xl12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34">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5">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xl12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8">
    <w:name w:val="xl12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139">
    <w:name w:val="p2"/>
    <w:basedOn w:val="1"/>
    <w:autoRedefine/>
    <w:qFormat/>
    <w:uiPriority w:val="0"/>
    <w:pPr>
      <w:widowControl/>
      <w:spacing w:line="480" w:lineRule="auto"/>
      <w:ind w:firstLine="420"/>
      <w:jc w:val="left"/>
    </w:pPr>
    <w:rPr>
      <w:rFonts w:ascii="宋体" w:hAnsi="宋体" w:cs="宋体"/>
      <w:kern w:val="0"/>
      <w:szCs w:val="21"/>
    </w:rPr>
  </w:style>
  <w:style w:type="character" w:customStyle="1" w:styleId="140">
    <w:name w:val="未处理的提及1"/>
    <w:autoRedefine/>
    <w:unhideWhenUsed/>
    <w:qFormat/>
    <w:uiPriority w:val="99"/>
    <w:rPr>
      <w:color w:val="605E5C"/>
      <w:shd w:val="clear" w:color="auto" w:fill="E1DFDD"/>
    </w:rPr>
  </w:style>
  <w:style w:type="character" w:customStyle="1" w:styleId="141">
    <w:name w:val="filelddbnamecss"/>
    <w:basedOn w:val="36"/>
    <w:autoRedefine/>
    <w:qFormat/>
    <w:uiPriority w:val="0"/>
  </w:style>
  <w:style w:type="character" w:customStyle="1" w:styleId="142">
    <w:name w:val="NormalCharacter"/>
    <w:autoRedefine/>
    <w:semiHidden/>
    <w:qFormat/>
    <w:uiPriority w:val="0"/>
  </w:style>
  <w:style w:type="paragraph" w:customStyle="1" w:styleId="143">
    <w:name w:val="BodyTextIndent"/>
    <w:basedOn w:val="1"/>
    <w:autoRedefine/>
    <w:qFormat/>
    <w:uiPriority w:val="0"/>
    <w:pPr>
      <w:widowControl/>
      <w:spacing w:line="360" w:lineRule="auto"/>
      <w:ind w:firstLine="480" w:firstLineChars="200"/>
    </w:pPr>
    <w:rPr>
      <w:rFonts w:ascii="宋体" w:hAnsi="宋体"/>
      <w:sz w:val="24"/>
      <w:szCs w:val="20"/>
    </w:rPr>
  </w:style>
  <w:style w:type="character" w:customStyle="1" w:styleId="144">
    <w:name w:val="占位符文本1"/>
    <w:basedOn w:val="36"/>
    <w:autoRedefine/>
    <w:semiHidden/>
    <w:qFormat/>
    <w:uiPriority w:val="99"/>
    <w:rPr>
      <w:color w:val="808080"/>
    </w:rPr>
  </w:style>
  <w:style w:type="character" w:customStyle="1" w:styleId="145">
    <w:name w:val="无间隔 字符"/>
    <w:link w:val="146"/>
    <w:autoRedefine/>
    <w:qFormat/>
    <w:uiPriority w:val="1"/>
    <w:rPr>
      <w:rFonts w:ascii="Calibri" w:hAnsi="Calibri"/>
      <w:sz w:val="22"/>
    </w:rPr>
  </w:style>
  <w:style w:type="paragraph" w:customStyle="1" w:styleId="146">
    <w:name w:val="无间隔1"/>
    <w:link w:val="145"/>
    <w:autoRedefine/>
    <w:qFormat/>
    <w:uiPriority w:val="1"/>
    <w:rPr>
      <w:rFonts w:ascii="Calibri" w:hAnsi="Calibri" w:eastAsia="宋体" w:cs="Times New Roman"/>
      <w:sz w:val="22"/>
      <w:lang w:val="en-US" w:eastAsia="zh-CN" w:bidi="ar-SA"/>
    </w:rPr>
  </w:style>
  <w:style w:type="paragraph" w:customStyle="1" w:styleId="147">
    <w:name w:val="列出段落1"/>
    <w:basedOn w:val="1"/>
    <w:autoRedefine/>
    <w:qFormat/>
    <w:uiPriority w:val="0"/>
    <w:pPr>
      <w:ind w:firstLine="420" w:firstLineChars="200"/>
    </w:pPr>
    <w:rPr>
      <w:rFonts w:hint="eastAsia"/>
      <w:szCs w:val="20"/>
    </w:rPr>
  </w:style>
  <w:style w:type="paragraph" w:styleId="148">
    <w:name w:val="List Paragraph"/>
    <w:basedOn w:val="1"/>
    <w:autoRedefine/>
    <w:qFormat/>
    <w:uiPriority w:val="99"/>
    <w:pPr>
      <w:ind w:firstLine="420" w:firstLineChars="200"/>
    </w:pPr>
  </w:style>
  <w:style w:type="character" w:styleId="149">
    <w:name w:val="Placeholder Text"/>
    <w:basedOn w:val="36"/>
    <w:autoRedefine/>
    <w:semiHidden/>
    <w:qFormat/>
    <w:uiPriority w:val="99"/>
    <w:rPr>
      <w:color w:val="808080"/>
    </w:rPr>
  </w:style>
  <w:style w:type="character" w:customStyle="1" w:styleId="150">
    <w:name w:val="纯文本 Char"/>
    <w:autoRedefine/>
    <w:qFormat/>
    <w:uiPriority w:val="0"/>
    <w:rPr>
      <w:rFonts w:ascii="宋体" w:hAnsi="Courier New" w:eastAsia="宋体" w:cs="Courier New"/>
      <w:kern w:val="2"/>
      <w:sz w:val="21"/>
      <w:szCs w:val="21"/>
      <w:lang w:val="en-US" w:eastAsia="zh-CN" w:bidi="ar-SA"/>
    </w:rPr>
  </w:style>
  <w:style w:type="paragraph" w:customStyle="1" w:styleId="151">
    <w:name w:val="Char Char Char Char"/>
    <w:basedOn w:val="1"/>
    <w:autoRedefine/>
    <w:semiHidden/>
    <w:qFormat/>
    <w:uiPriority w:val="0"/>
    <w:rPr>
      <w:rFonts w:ascii="Times New Roman" w:hAnsi="Times New Roman"/>
      <w:szCs w:val="21"/>
    </w:rPr>
  </w:style>
  <w:style w:type="paragraph" w:customStyle="1" w:styleId="152">
    <w:name w:val="元正正文标题2"/>
    <w:basedOn w:val="5"/>
    <w:autoRedefine/>
    <w:qFormat/>
    <w:uiPriority w:val="0"/>
    <w:pPr>
      <w:keepNext w:val="0"/>
      <w:keepLines w:val="0"/>
      <w:numPr>
        <w:ilvl w:val="3"/>
        <w:numId w:val="1"/>
      </w:numPr>
      <w:adjustRightInd w:val="0"/>
      <w:snapToGrid w:val="0"/>
      <w:spacing w:before="0" w:after="0" w:line="300" w:lineRule="auto"/>
      <w:jc w:val="center"/>
      <w:outlineLvl w:val="9"/>
    </w:pPr>
    <w:rPr>
      <w:rFonts w:ascii="宋体" w:hAnsi="宋体" w:eastAsia="宋体"/>
      <w:bCs w:val="0"/>
      <w:kern w:val="2"/>
      <w:sz w:val="30"/>
      <w:szCs w:val="24"/>
      <w:lang w:val="en-US"/>
    </w:rPr>
  </w:style>
  <w:style w:type="paragraph" w:customStyle="1" w:styleId="153">
    <w:name w:val="msoplaintext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msoplaintextcxspla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msonormal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msonormalcxsplas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57">
    <w:name w:val="font21"/>
    <w:basedOn w:val="36"/>
    <w:autoRedefine/>
    <w:qFormat/>
    <w:uiPriority w:val="0"/>
    <w:rPr>
      <w:rFonts w:ascii="宋体" w:hAnsi="宋体" w:eastAsia="宋体" w:cs="宋体"/>
      <w:color w:val="000000"/>
      <w:sz w:val="38"/>
      <w:szCs w:val="38"/>
      <w:u w:val="none"/>
    </w:rPr>
  </w:style>
  <w:style w:type="character" w:customStyle="1" w:styleId="158">
    <w:name w:val="font31"/>
    <w:basedOn w:val="36"/>
    <w:autoRedefine/>
    <w:qFormat/>
    <w:uiPriority w:val="0"/>
    <w:rPr>
      <w:rFonts w:ascii="宋体" w:hAnsi="宋体" w:eastAsia="宋体" w:cs="宋体"/>
      <w:color w:val="000000"/>
      <w:sz w:val="16"/>
      <w:szCs w:val="16"/>
      <w:u w:val="none"/>
    </w:rPr>
  </w:style>
  <w:style w:type="character" w:customStyle="1" w:styleId="159">
    <w:name w:val="font41"/>
    <w:basedOn w:val="36"/>
    <w:autoRedefine/>
    <w:qFormat/>
    <w:uiPriority w:val="0"/>
    <w:rPr>
      <w:rFonts w:ascii="宋体" w:hAnsi="宋体" w:eastAsia="宋体" w:cs="宋体"/>
      <w:color w:val="000000"/>
      <w:sz w:val="18"/>
      <w:szCs w:val="18"/>
      <w:u w:val="none"/>
    </w:rPr>
  </w:style>
  <w:style w:type="character" w:customStyle="1" w:styleId="160">
    <w:name w:val="font11"/>
    <w:basedOn w:val="36"/>
    <w:autoRedefine/>
    <w:qFormat/>
    <w:uiPriority w:val="0"/>
    <w:rPr>
      <w:rFonts w:ascii="宋体" w:hAnsi="宋体" w:eastAsia="宋体" w:cs="宋体"/>
      <w:color w:val="000000"/>
      <w:sz w:val="16"/>
      <w:szCs w:val="16"/>
      <w:u w:val="none"/>
    </w:rPr>
  </w:style>
  <w:style w:type="character" w:customStyle="1" w:styleId="161">
    <w:name w:val="font51"/>
    <w:basedOn w:val="36"/>
    <w:autoRedefine/>
    <w:qFormat/>
    <w:uiPriority w:val="0"/>
    <w:rPr>
      <w:rFonts w:ascii="宋体" w:hAnsi="宋体" w:eastAsia="宋体" w:cs="宋体"/>
      <w:color w:val="000000"/>
      <w:sz w:val="38"/>
      <w:szCs w:val="38"/>
      <w:u w:val="none"/>
    </w:rPr>
  </w:style>
  <w:style w:type="paragraph" w:customStyle="1" w:styleId="162">
    <w:name w:val="Table Paragraph"/>
    <w:basedOn w:val="1"/>
    <w:autoRedefine/>
    <w:qFormat/>
    <w:uiPriority w:val="0"/>
    <w:rPr>
      <w:rFonts w:ascii="宋体" w:hAnsi="宋体" w:cs="宋体"/>
    </w:rPr>
  </w:style>
  <w:style w:type="character" w:customStyle="1" w:styleId="163">
    <w:name w:val="font111"/>
    <w:basedOn w:val="36"/>
    <w:qFormat/>
    <w:uiPriority w:val="0"/>
    <w:rPr>
      <w:rFonts w:ascii="宋体" w:hAnsi="宋体" w:eastAsia="宋体" w:cs="宋体"/>
      <w:color w:val="000000"/>
      <w:sz w:val="22"/>
      <w:szCs w:val="22"/>
      <w:u w:val="none"/>
    </w:rPr>
  </w:style>
  <w:style w:type="character" w:customStyle="1" w:styleId="164">
    <w:name w:val="批注文字 字符"/>
    <w:basedOn w:val="36"/>
    <w:link w:val="12"/>
    <w:semiHidden/>
    <w:qFormat/>
    <w:uiPriority w:val="99"/>
    <w:rPr>
      <w:rFonts w:ascii="Calibri" w:hAnsi="Calibri"/>
      <w:kern w:val="2"/>
      <w:sz w:val="21"/>
      <w:szCs w:val="22"/>
    </w:rPr>
  </w:style>
  <w:style w:type="character" w:customStyle="1" w:styleId="165">
    <w:name w:val="批注主题 字符"/>
    <w:basedOn w:val="164"/>
    <w:link w:val="31"/>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29530-439B-413A-803E-2825E84D4424}">
  <ds:schemaRefs/>
</ds:datastoreItem>
</file>

<file path=docProps/app.xml><?xml version="1.0" encoding="utf-8"?>
<Properties xmlns="http://schemas.openxmlformats.org/officeDocument/2006/extended-properties" xmlns:vt="http://schemas.openxmlformats.org/officeDocument/2006/docPropsVTypes">
  <Template>Normal</Template>
  <Company>yxdd</Company>
  <Pages>45</Pages>
  <Words>11701</Words>
  <Characters>12650</Characters>
  <Lines>189</Lines>
  <Paragraphs>53</Paragraphs>
  <TotalTime>4</TotalTime>
  <ScaleCrop>false</ScaleCrop>
  <LinksUpToDate>false</LinksUpToDate>
  <CharactersWithSpaces>12898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2022-05-09T13:46:00Z</dcterms:created>
  <dc:creator>mhq031</dc:creator>
  <cp:lastModifiedBy>WPS_1529111518</cp:lastModifiedBy>
  <cp:lastPrinted>2023-12-15T23:28:00Z</cp:lastPrinted>
  <dcterms:modified xsi:type="dcterms:W3CDTF">2025-06-16T07:24:42Z</dcterms:modified>
  <dc:title>云南省玉溪市工商行政管理局12315综合业务管理平台采购项目</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F76E187744CC438C923785031E708B46_13</vt:lpwstr>
  </property>
  <property fmtid="{D5CDD505-2E9C-101B-9397-08002B2CF9AE}" pid="4" name="KSOTemplateDocerSaveRecord">
    <vt:lpwstr>eyJoZGlkIjoiYWJmNTAxYTA0NTllZTU0OWY5NWY0MWNlMzBjNGU2OTYiLCJ1c2VySWQiOiIzNzg3NTA4NTgifQ==</vt:lpwstr>
  </property>
</Properties>
</file>