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150A0">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lang w:eastAsia="zh-CN"/>
        </w:rPr>
      </w:pPr>
    </w:p>
    <w:p w14:paraId="7ADE7A8A">
      <w:pPr>
        <w:pageBreakBefore w:val="0"/>
        <w:wordWrap/>
        <w:overflowPunct/>
        <w:topLinePunct w:val="0"/>
        <w:bidi w:val="0"/>
        <w:adjustRightInd w:val="0"/>
        <w:snapToGrid w:val="0"/>
        <w:spacing w:line="500" w:lineRule="exact"/>
        <w:jc w:val="center"/>
        <w:rPr>
          <w:rFonts w:hint="eastAsia" w:ascii="宋体" w:hAnsi="宋体" w:eastAsia="宋体" w:cs="宋体"/>
          <w:b/>
          <w:bCs/>
          <w:color w:val="auto"/>
          <w:sz w:val="28"/>
          <w:szCs w:val="28"/>
          <w:highlight w:val="none"/>
          <w:lang w:eastAsia="zh-CN"/>
        </w:rPr>
      </w:pPr>
    </w:p>
    <w:p w14:paraId="5AAEA13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highlight w:val="none"/>
          <w:lang w:eastAsia="zh-CN"/>
        </w:rPr>
        <w:t>玉溪市“十五五”综合交通枢纽发展规划</w:t>
      </w:r>
    </w:p>
    <w:p w14:paraId="542B5619">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57312E15">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03B05ACA">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33956768">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7D524FB6">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4F2D29E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7FBF93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96"/>
          <w:szCs w:val="96"/>
          <w:highlight w:val="none"/>
          <w:lang w:eastAsia="zh-CN"/>
        </w:rPr>
      </w:pPr>
      <w:r>
        <w:rPr>
          <w:rFonts w:hint="eastAsia" w:ascii="宋体" w:hAnsi="宋体" w:eastAsia="宋体" w:cs="宋体"/>
          <w:b/>
          <w:bCs/>
          <w:color w:val="auto"/>
          <w:sz w:val="72"/>
          <w:szCs w:val="72"/>
          <w:highlight w:val="none"/>
          <w:lang w:eastAsia="zh-CN"/>
        </w:rPr>
        <w:t>询</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eastAsia="zh-CN"/>
        </w:rPr>
        <w:t>比</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eastAsia="zh-CN"/>
        </w:rPr>
        <w:t>文</w:t>
      </w:r>
      <w:r>
        <w:rPr>
          <w:rFonts w:hint="eastAsia" w:ascii="宋体" w:hAnsi="宋体" w:eastAsia="宋体" w:cs="宋体"/>
          <w:b/>
          <w:bCs/>
          <w:color w:val="auto"/>
          <w:sz w:val="72"/>
          <w:szCs w:val="72"/>
          <w:highlight w:val="none"/>
          <w:lang w:val="en-US" w:eastAsia="zh-CN"/>
        </w:rPr>
        <w:t xml:space="preserve"> </w:t>
      </w:r>
      <w:r>
        <w:rPr>
          <w:rFonts w:hint="eastAsia" w:ascii="宋体" w:hAnsi="宋体" w:eastAsia="宋体" w:cs="宋体"/>
          <w:b/>
          <w:bCs/>
          <w:color w:val="auto"/>
          <w:sz w:val="72"/>
          <w:szCs w:val="72"/>
          <w:highlight w:val="none"/>
          <w:lang w:eastAsia="zh-CN"/>
        </w:rPr>
        <w:t>件</w:t>
      </w:r>
    </w:p>
    <w:p w14:paraId="30D9B7AD">
      <w:pPr>
        <w:pageBreakBefore w:val="0"/>
        <w:wordWrap/>
        <w:overflowPunct/>
        <w:topLinePunct w:val="0"/>
        <w:bidi w:val="0"/>
        <w:adjustRightInd w:val="0"/>
        <w:snapToGrid w:val="0"/>
        <w:spacing w:line="500" w:lineRule="exact"/>
        <w:jc w:val="center"/>
        <w:outlineLvl w:val="9"/>
        <w:rPr>
          <w:rFonts w:hint="eastAsia" w:ascii="宋体" w:hAnsi="宋体" w:eastAsia="宋体" w:cs="宋体"/>
          <w:b/>
          <w:bCs/>
          <w:color w:val="auto"/>
          <w:sz w:val="32"/>
          <w:szCs w:val="32"/>
          <w:highlight w:val="none"/>
          <w:lang w:eastAsia="zh-CN"/>
        </w:rPr>
      </w:pPr>
      <w:bookmarkStart w:id="0" w:name="_Toc13557"/>
      <w:bookmarkStart w:id="1" w:name="_Toc11203"/>
      <w:bookmarkStart w:id="2" w:name="_Toc10341"/>
      <w:r>
        <w:rPr>
          <w:rFonts w:hint="eastAsia" w:ascii="宋体" w:hAnsi="宋体" w:eastAsia="宋体" w:cs="宋体"/>
          <w:b/>
          <w:bCs/>
          <w:color w:val="auto"/>
          <w:sz w:val="32"/>
          <w:szCs w:val="32"/>
          <w:highlight w:val="none"/>
        </w:rPr>
        <w:t>项目编号：</w:t>
      </w:r>
      <w:bookmarkEnd w:id="0"/>
      <w:bookmarkEnd w:id="1"/>
      <w:bookmarkEnd w:id="2"/>
      <w:r>
        <w:rPr>
          <w:rFonts w:hint="eastAsia" w:ascii="宋体" w:hAnsi="宋体" w:eastAsia="宋体" w:cs="宋体"/>
          <w:b/>
          <w:bCs/>
          <w:color w:val="auto"/>
          <w:sz w:val="32"/>
          <w:szCs w:val="32"/>
          <w:highlight w:val="none"/>
          <w:lang w:eastAsia="zh-CN"/>
        </w:rPr>
        <w:t>YNSY-ZC2025-08</w:t>
      </w:r>
    </w:p>
    <w:p w14:paraId="437CBE9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1859C4D">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0F71D64B">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6463C90">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7B5EEC48">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22C2079B">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A90018E">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78F98E57">
      <w:pPr>
        <w:pageBreakBefore w:val="0"/>
        <w:wordWrap/>
        <w:overflowPunct/>
        <w:topLinePunct w:val="0"/>
        <w:bidi w:val="0"/>
        <w:adjustRightInd w:val="0"/>
        <w:snapToGrid w:val="0"/>
        <w:spacing w:line="500" w:lineRule="exact"/>
        <w:ind w:firstLine="1664" w:firstLineChars="52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采购人：</w:t>
      </w:r>
      <w:r>
        <w:rPr>
          <w:rFonts w:hint="eastAsia" w:ascii="宋体" w:hAnsi="宋体" w:eastAsia="宋体" w:cs="宋体"/>
          <w:b/>
          <w:bCs/>
          <w:color w:val="auto"/>
          <w:sz w:val="32"/>
          <w:szCs w:val="32"/>
          <w:highlight w:val="none"/>
          <w:lang w:eastAsia="zh-CN"/>
        </w:rPr>
        <w:t>玉溪市交通运输局</w:t>
      </w:r>
    </w:p>
    <w:p w14:paraId="2F5578AB">
      <w:pPr>
        <w:pageBreakBefore w:val="0"/>
        <w:wordWrap/>
        <w:overflowPunct/>
        <w:topLinePunct w:val="0"/>
        <w:bidi w:val="0"/>
        <w:adjustRightInd w:val="0"/>
        <w:snapToGrid w:val="0"/>
        <w:spacing w:line="500" w:lineRule="exact"/>
        <w:ind w:firstLine="1664" w:firstLineChars="52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采购代理机构：云南舜意工程管理有限公司</w:t>
      </w:r>
    </w:p>
    <w:p w14:paraId="5959870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2025年05月</w:t>
      </w:r>
      <w:r>
        <w:rPr>
          <w:rFonts w:hint="eastAsia" w:ascii="宋体" w:hAnsi="宋体" w:eastAsia="宋体" w:cs="宋体"/>
          <w:b/>
          <w:bCs/>
          <w:color w:val="auto"/>
          <w:sz w:val="32"/>
          <w:szCs w:val="32"/>
          <w:highlight w:val="none"/>
        </w:rPr>
        <w:br w:type="page"/>
      </w:r>
    </w:p>
    <w:sdt>
      <w:sdtPr>
        <w:rPr>
          <w:rFonts w:hint="eastAsia" w:ascii="宋体" w:hAnsi="宋体" w:eastAsia="宋体" w:cs="宋体"/>
          <w:snapToGrid w:val="0"/>
          <w:color w:val="auto"/>
          <w:kern w:val="0"/>
          <w:sz w:val="36"/>
          <w:szCs w:val="36"/>
          <w:highlight w:val="none"/>
          <w:lang w:val="en-US" w:eastAsia="en-US" w:bidi="ar-SA"/>
        </w:rPr>
        <w:id w:val="147451476"/>
        <w15:color w:val="DBDBDB"/>
        <w:docPartObj>
          <w:docPartGallery w:val="Table of Contents"/>
          <w:docPartUnique/>
        </w:docPartObj>
      </w:sdtPr>
      <w:sdtEndPr>
        <w:rPr>
          <w:rFonts w:hint="eastAsia" w:ascii="宋体" w:hAnsi="宋体" w:eastAsia="宋体" w:cs="宋体"/>
          <w:b/>
          <w:snapToGrid w:val="0"/>
          <w:color w:val="auto"/>
          <w:kern w:val="0"/>
          <w:sz w:val="24"/>
          <w:szCs w:val="24"/>
          <w:highlight w:val="none"/>
          <w:lang w:val="en-US" w:eastAsia="en-US" w:bidi="ar-SA"/>
        </w:rPr>
      </w:sdtEndPr>
      <w:sdtContent>
        <w:p w14:paraId="08CF9B10">
          <w:pPr>
            <w:pageBreakBefore w:val="0"/>
            <w:wordWrap/>
            <w:overflowPunct/>
            <w:topLinePunct w:val="0"/>
            <w:bidi w:val="0"/>
            <w:adjustRightInd w:val="0"/>
            <w:snapToGrid w:val="0"/>
            <w:spacing w:before="0" w:beforeLines="0" w:after="0" w:afterLines="0" w:line="500" w:lineRule="exact"/>
            <w:ind w:left="0" w:leftChars="0" w:right="0" w:rightChars="0"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2801A3D8">
          <w:pPr>
            <w:pStyle w:val="17"/>
            <w:tabs>
              <w:tab w:val="right" w:leader="dot" w:pos="8618"/>
            </w:tabs>
            <w:rPr>
              <w:rFonts w:hint="eastAsia" w:ascii="宋体" w:hAnsi="宋体" w:eastAsia="宋体" w:cs="宋体"/>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_Toc4036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rPr>
            <w:t xml:space="preserve">第一章  </w:t>
          </w:r>
          <w:r>
            <w:rPr>
              <w:rFonts w:hint="eastAsia" w:ascii="宋体" w:hAnsi="宋体" w:eastAsia="宋体" w:cs="宋体"/>
              <w:szCs w:val="20"/>
              <w:highlight w:val="none"/>
              <w:lang w:eastAsia="zh-CN"/>
            </w:rPr>
            <w:t>询比采购</w:t>
          </w:r>
          <w:r>
            <w:rPr>
              <w:rFonts w:hint="eastAsia" w:ascii="宋体" w:hAnsi="宋体" w:eastAsia="宋体" w:cs="宋体"/>
              <w:szCs w:val="20"/>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_Toc4036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D7EC7F5">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_Toc28471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一、项目概况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_Toc28471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180471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_Toc6058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二、项目基本情况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_Toc6058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9B6061D">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_Toc27868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三、供应商资格要求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_Toc27868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4C4875C">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_Toc22737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四、</w:t>
          </w:r>
          <w:r>
            <w:rPr>
              <w:rFonts w:hint="eastAsia" w:ascii="宋体" w:hAnsi="宋体" w:eastAsia="宋体" w:cs="宋体"/>
              <w:bCs/>
              <w:szCs w:val="24"/>
              <w:highlight w:val="none"/>
              <w:lang w:eastAsia="zh-CN"/>
            </w:rPr>
            <w:t>询比文件</w:t>
          </w:r>
          <w:r>
            <w:rPr>
              <w:rFonts w:hint="eastAsia" w:ascii="宋体" w:hAnsi="宋体" w:eastAsia="宋体" w:cs="宋体"/>
              <w:bCs/>
              <w:szCs w:val="24"/>
              <w:highlight w:val="none"/>
            </w:rPr>
            <w:t>的获取</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_Toc22737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C8435EA">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_Toc3263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五、响应文件的递交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_Toc3263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2DCC3CF0">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_Toc6720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六、响应文件开启时间和地点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_Toc6720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553B0108">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_Toc973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七、发布公告</w:t>
          </w:r>
          <w:r>
            <w:rPr>
              <w:rFonts w:hint="eastAsia" w:ascii="宋体" w:hAnsi="宋体" w:eastAsia="宋体" w:cs="宋体"/>
              <w:bCs/>
              <w:szCs w:val="24"/>
              <w:highlight w:val="none"/>
              <w:lang w:val="en-US" w:eastAsia="zh-CN"/>
            </w:rPr>
            <w:t>期限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_Toc973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3D57B7F">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_Toc10022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八、其他补充事宜</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_Toc10022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508418CB">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_Toc6795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九、联系方式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_Toc6795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8D8BFFC">
          <w:pPr>
            <w:pStyle w:val="17"/>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_Toc28609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_Toc28609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6591109D">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_Toc19167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1 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_Toc19167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1F9CD2B">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_Toc11893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 xml:space="preserve">2 </w:t>
          </w:r>
          <w:r>
            <w:rPr>
              <w:rFonts w:hint="eastAsia" w:ascii="宋体" w:hAnsi="宋体" w:eastAsia="宋体" w:cs="宋体"/>
              <w:bCs/>
              <w:szCs w:val="24"/>
              <w:highlight w:val="none"/>
              <w:lang w:eastAsia="zh-CN"/>
            </w:rPr>
            <w:t>询比文件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_Toc11893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2F8FAE4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_Toc21839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3 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_Toc21839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80C7A15">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_Toc6814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4 响应文件的递交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_Toc6814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C1FE1A4">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_Toc20750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5 开启响应文件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_Toc20750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67898FEA">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_Toc16091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6 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_Toc16091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26B50B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_Toc5512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7 合同授予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_Toc5512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288CB01">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_Toc30450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8 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_Toc30450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1ED7718">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_Toc4438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9 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_Toc4438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53192288">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_Toc31089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10 需要补充的其他内容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_Toc31089 \h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29BA185F">
          <w:pPr>
            <w:pStyle w:val="17"/>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_Toc444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lang w:val="en-US" w:eastAsia="zh-CN"/>
            </w:rPr>
            <w:t>第三章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_Toc444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2E45CBFF">
          <w:pPr>
            <w:pStyle w:val="17"/>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_Toc13240 </w:instrText>
          </w:r>
          <w:r>
            <w:rPr>
              <w:rFonts w:hint="eastAsia" w:ascii="宋体" w:hAnsi="宋体" w:eastAsia="宋体" w:cs="宋体"/>
              <w:szCs w:val="24"/>
              <w:highlight w:val="none"/>
            </w:rPr>
            <w:fldChar w:fldCharType="separate"/>
          </w:r>
          <w:r>
            <w:rPr>
              <w:rFonts w:hint="eastAsia" w:ascii="宋体" w:hAnsi="宋体" w:eastAsia="宋体" w:cs="宋体"/>
              <w:bCs/>
              <w:highlight w:val="none"/>
              <w:lang w:val="en-US" w:eastAsia="zh-CN"/>
            </w:rPr>
            <w:t xml:space="preserve">第四章 </w:t>
          </w:r>
          <w:r>
            <w:rPr>
              <w:rFonts w:hint="eastAsia" w:ascii="宋体" w:hAnsi="宋体" w:eastAsia="宋体" w:cs="宋体"/>
              <w:bCs/>
              <w:highlight w:val="none"/>
            </w:rPr>
            <w:t>评选办法前附表及评选办法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_Toc13240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22FF0710">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_Toc22299 </w:instrText>
          </w:r>
          <w:r>
            <w:rPr>
              <w:rFonts w:hint="eastAsia" w:ascii="宋体" w:hAnsi="宋体" w:eastAsia="宋体" w:cs="宋体"/>
              <w:szCs w:val="24"/>
              <w:highlight w:val="none"/>
            </w:rPr>
            <w:fldChar w:fldCharType="separate"/>
          </w:r>
          <w:r>
            <w:rPr>
              <w:rFonts w:hint="eastAsia" w:ascii="宋体" w:hAnsi="宋体" w:eastAsia="宋体" w:cs="宋体"/>
              <w:highlight w:val="none"/>
            </w:rPr>
            <w:t>一、 评选办法前附表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_Toc22299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728DD07E">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_Toc13086 </w:instrText>
          </w:r>
          <w:r>
            <w:rPr>
              <w:rFonts w:hint="eastAsia" w:ascii="宋体" w:hAnsi="宋体" w:eastAsia="宋体" w:cs="宋体"/>
              <w:szCs w:val="24"/>
              <w:highlight w:val="none"/>
            </w:rPr>
            <w:fldChar w:fldCharType="separate"/>
          </w:r>
          <w:r>
            <w:rPr>
              <w:rFonts w:hint="eastAsia" w:ascii="宋体" w:hAnsi="宋体" w:eastAsia="宋体" w:cs="宋体"/>
              <w:highlight w:val="none"/>
            </w:rPr>
            <w:t>二、 评选办法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_Toc13086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01B6D44">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_Toc13827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1</w:t>
          </w:r>
          <w:r>
            <w:rPr>
              <w:rFonts w:hint="eastAsia" w:ascii="宋体" w:hAnsi="宋体" w:eastAsia="宋体" w:cs="宋体"/>
              <w:bCs/>
              <w:szCs w:val="24"/>
              <w:highlight w:val="none"/>
              <w:lang w:val="en-US" w:eastAsia="zh-CN"/>
            </w:rPr>
            <w:t>.</w:t>
          </w:r>
          <w:r>
            <w:rPr>
              <w:rFonts w:hint="eastAsia" w:ascii="宋体" w:hAnsi="宋体" w:eastAsia="宋体" w:cs="宋体"/>
              <w:bCs/>
              <w:szCs w:val="24"/>
              <w:highlight w:val="none"/>
            </w:rPr>
            <w:t xml:space="preserve"> 评审方法(综合评分法）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_Toc13827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03F67B9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_Toc27708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2</w:t>
          </w:r>
          <w:r>
            <w:rPr>
              <w:rFonts w:hint="eastAsia" w:ascii="宋体" w:hAnsi="宋体" w:eastAsia="宋体" w:cs="宋体"/>
              <w:bCs/>
              <w:szCs w:val="24"/>
              <w:highlight w:val="none"/>
              <w:lang w:val="en-US" w:eastAsia="zh-CN"/>
            </w:rPr>
            <w:t>.</w:t>
          </w:r>
          <w:r>
            <w:rPr>
              <w:rFonts w:hint="eastAsia" w:ascii="宋体" w:hAnsi="宋体" w:eastAsia="宋体" w:cs="宋体"/>
              <w:bCs/>
              <w:szCs w:val="24"/>
              <w:highlight w:val="none"/>
            </w:rPr>
            <w:t xml:space="preserve"> 评审程序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_Toc27708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19B45059">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_Toc16840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rPr>
            <w:t>3</w:t>
          </w:r>
          <w:r>
            <w:rPr>
              <w:rFonts w:hint="eastAsia" w:ascii="宋体" w:hAnsi="宋体" w:eastAsia="宋体" w:cs="宋体"/>
              <w:bCs/>
              <w:szCs w:val="24"/>
              <w:highlight w:val="none"/>
              <w:lang w:val="en-US" w:eastAsia="zh-CN"/>
            </w:rPr>
            <w:t>.</w:t>
          </w:r>
          <w:r>
            <w:rPr>
              <w:rFonts w:hint="eastAsia" w:ascii="宋体" w:hAnsi="宋体" w:eastAsia="宋体" w:cs="宋体"/>
              <w:bCs/>
              <w:szCs w:val="24"/>
              <w:highlight w:val="none"/>
            </w:rPr>
            <w:t xml:space="preserve"> 详细评审标准和程序(综合评分法）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_Toc16840 \h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602E56A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_Toc31151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lang w:val="en-US" w:eastAsia="zh-CN"/>
            </w:rPr>
            <w:t>4. 评审结果</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_Toc31151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639CD73F">
          <w:pPr>
            <w:pStyle w:val="17"/>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_Toc1222 </w:instrText>
          </w:r>
          <w:r>
            <w:rPr>
              <w:rFonts w:hint="eastAsia" w:ascii="宋体" w:hAnsi="宋体" w:eastAsia="宋体" w:cs="宋体"/>
              <w:szCs w:val="24"/>
              <w:highlight w:val="none"/>
            </w:rPr>
            <w:fldChar w:fldCharType="separate"/>
          </w:r>
          <w:r>
            <w:rPr>
              <w:rFonts w:hint="eastAsia" w:ascii="宋体" w:hAnsi="宋体" w:eastAsia="宋体" w:cs="宋体"/>
              <w:szCs w:val="20"/>
              <w:highlight w:val="none"/>
            </w:rPr>
            <w:t>第五章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_Toc1222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C41A8CF">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_Toc30159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一、</w:t>
          </w:r>
          <w:r>
            <w:rPr>
              <w:rFonts w:hint="eastAsia" w:ascii="宋体" w:hAnsi="宋体" w:eastAsia="宋体" w:cs="宋体"/>
              <w:kern w:val="0"/>
              <w:highlight w:val="none"/>
            </w:rPr>
            <w:t>报价一览表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_Toc30159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DF24BB4">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_Toc11191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二、报价函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_Toc11191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EFE5A5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_Toc28457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三、</w:t>
          </w:r>
          <w:r>
            <w:rPr>
              <w:rFonts w:hint="eastAsia" w:ascii="宋体" w:hAnsi="宋体" w:eastAsia="宋体" w:cs="宋体"/>
              <w:iCs/>
              <w:kern w:val="0"/>
              <w:szCs w:val="24"/>
              <w:highlight w:val="none"/>
              <w:lang w:bidi="en-US"/>
            </w:rPr>
            <w:t>法定代表人身份证明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_Toc28457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6B195F84">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_Toc13511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四、</w:t>
          </w:r>
          <w:r>
            <w:rPr>
              <w:rFonts w:hint="eastAsia" w:ascii="宋体" w:hAnsi="宋体" w:eastAsia="宋体" w:cs="宋体"/>
              <w:iCs/>
              <w:kern w:val="0"/>
              <w:szCs w:val="24"/>
              <w:highlight w:val="none"/>
              <w:lang w:bidi="en-US"/>
            </w:rPr>
            <w:t>授权委托书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_Toc13511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5F2C0880">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_Toc13759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五、资格审查资料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_Toc13759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250A353">
          <w:pPr>
            <w:pStyle w:val="18"/>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_Toc30801 </w:instrText>
          </w:r>
          <w:r>
            <w:rPr>
              <w:rFonts w:hint="eastAsia" w:ascii="宋体" w:hAnsi="宋体" w:eastAsia="宋体" w:cs="宋体"/>
              <w:szCs w:val="24"/>
              <w:highlight w:val="none"/>
            </w:rPr>
            <w:fldChar w:fldCharType="separate"/>
          </w:r>
          <w:r>
            <w:rPr>
              <w:rFonts w:hint="eastAsia" w:ascii="宋体" w:hAnsi="宋体" w:eastAsia="宋体" w:cs="宋体"/>
              <w:bCs/>
              <w:snapToGrid w:val="0"/>
              <w:kern w:val="0"/>
              <w:szCs w:val="30"/>
              <w:highlight w:val="none"/>
              <w:lang w:val="en-US" w:eastAsia="zh-CN" w:bidi="ar-SA"/>
            </w:rPr>
            <w:t>六、</w:t>
          </w:r>
          <w:r>
            <w:rPr>
              <w:rFonts w:hint="eastAsia" w:ascii="宋体" w:hAnsi="宋体" w:eastAsia="宋体" w:cs="宋体"/>
              <w:bCs/>
              <w:kern w:val="0"/>
              <w:szCs w:val="30"/>
              <w:highlight w:val="none"/>
            </w:rPr>
            <w:t>技术部分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_Toc30801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3BBD9530">
          <w:pPr>
            <w:pStyle w:val="17"/>
            <w:tabs>
              <w:tab w:val="right" w:leader="dot" w:pos="8618"/>
            </w:tabs>
            <w:rPr>
              <w:rFonts w:hint="eastAsia" w:ascii="宋体" w:hAnsi="宋体" w:eastAsia="宋体" w:cs="宋体"/>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_Toc4998 </w:instrText>
          </w:r>
          <w:r>
            <w:rPr>
              <w:rFonts w:hint="eastAsia" w:ascii="宋体" w:hAnsi="宋体" w:eastAsia="宋体" w:cs="宋体"/>
              <w:szCs w:val="24"/>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六</w:t>
          </w:r>
          <w:r>
            <w:rPr>
              <w:rFonts w:hint="eastAsia" w:ascii="宋体" w:hAnsi="宋体" w:eastAsia="宋体" w:cs="宋体"/>
              <w:bCs w:val="0"/>
              <w:highlight w:val="none"/>
            </w:rPr>
            <w:t>章 合同主要条款及格式（参考）</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_Toc4998 \h </w:instrText>
          </w:r>
          <w:r>
            <w:rPr>
              <w:rFonts w:hint="eastAsia" w:ascii="宋体" w:hAnsi="宋体" w:eastAsia="宋体" w:cs="宋体"/>
              <w:highlight w:val="none"/>
            </w:rPr>
            <w:fldChar w:fldCharType="separate"/>
          </w:r>
          <w:r>
            <w:rPr>
              <w:rFonts w:hint="eastAsia" w:ascii="宋体" w:hAnsi="宋体" w:eastAsia="宋体" w:cs="宋体"/>
              <w:highlight w:val="none"/>
            </w:rPr>
            <w:t>40</w:t>
          </w:r>
          <w:r>
            <w:rPr>
              <w:rFonts w:hint="eastAsia" w:ascii="宋体" w:hAnsi="宋体" w:eastAsia="宋体" w:cs="宋体"/>
              <w:highlight w:val="none"/>
            </w:rPr>
            <w:fldChar w:fldCharType="end"/>
          </w:r>
          <w:r>
            <w:rPr>
              <w:rFonts w:hint="eastAsia" w:ascii="宋体" w:hAnsi="宋体" w:eastAsia="宋体" w:cs="宋体"/>
              <w:color w:val="auto"/>
              <w:szCs w:val="24"/>
              <w:highlight w:val="none"/>
            </w:rPr>
            <w:fldChar w:fldCharType="end"/>
          </w:r>
        </w:p>
        <w:p w14:paraId="4EBAFC4D">
          <w:pPr>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500" w:lineRule="exact"/>
            <w:ind w:left="0" w:leftChars="0" w:right="0" w:rightChars="0" w:firstLine="0" w:firstLineChars="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sdtContent>
    </w:sdt>
    <w:p w14:paraId="563A7839">
      <w:pPr>
        <w:pageBreakBefore w:val="0"/>
        <w:wordWrap/>
        <w:overflowPunct/>
        <w:topLinePunct w:val="0"/>
        <w:bidi w:val="0"/>
        <w:adjustRightInd w:val="0"/>
        <w:snapToGrid w:val="0"/>
        <w:spacing w:line="500" w:lineRule="exact"/>
        <w:rPr>
          <w:rFonts w:hint="eastAsia" w:ascii="宋体" w:hAnsi="宋体" w:eastAsia="宋体" w:cs="宋体"/>
          <w:b/>
          <w:color w:val="auto"/>
          <w:highlight w:val="none"/>
        </w:rPr>
      </w:pPr>
    </w:p>
    <w:p w14:paraId="73B1DFF9">
      <w:pPr>
        <w:pStyle w:val="3"/>
        <w:keepNext/>
        <w:keepLines/>
        <w:pageBreakBefore w:val="0"/>
        <w:widowControl/>
        <w:kinsoku w:val="0"/>
        <w:wordWrap/>
        <w:overflowPunct/>
        <w:topLinePunct w:val="0"/>
        <w:autoSpaceDE w:val="0"/>
        <w:autoSpaceDN w:val="0"/>
        <w:bidi w:val="0"/>
        <w:adjustRightInd w:val="0"/>
        <w:snapToGrid w:val="0"/>
        <w:spacing w:before="0" w:after="10" w:line="500" w:lineRule="exact"/>
        <w:jc w:val="center"/>
        <w:textAlignment w:val="baseline"/>
        <w:rPr>
          <w:rFonts w:hint="eastAsia" w:ascii="宋体" w:hAnsi="宋体" w:eastAsia="宋体" w:cs="宋体"/>
          <w:color w:val="auto"/>
          <w:sz w:val="40"/>
          <w:szCs w:val="20"/>
          <w:highlight w:val="none"/>
        </w:rPr>
        <w:sectPr>
          <w:headerReference r:id="rId6" w:type="first"/>
          <w:headerReference r:id="rId5" w:type="default"/>
          <w:pgSz w:w="11906" w:h="16838"/>
          <w:pgMar w:top="1417" w:right="1644" w:bottom="1417" w:left="1644" w:header="851" w:footer="992" w:gutter="0"/>
          <w:pgNumType w:fmt="decimal"/>
          <w:cols w:space="0" w:num="1"/>
          <w:titlePg/>
          <w:rtlGutter w:val="0"/>
          <w:docGrid w:type="linesAndChars" w:linePitch="312" w:charSpace="0"/>
        </w:sectPr>
      </w:pPr>
    </w:p>
    <w:p w14:paraId="77B138B5">
      <w:pPr>
        <w:pStyle w:val="3"/>
        <w:keepNext/>
        <w:keepLines/>
        <w:pageBreakBefore w:val="0"/>
        <w:widowControl/>
        <w:kinsoku w:val="0"/>
        <w:wordWrap/>
        <w:overflowPunct/>
        <w:topLinePunct w:val="0"/>
        <w:autoSpaceDE w:val="0"/>
        <w:autoSpaceDN w:val="0"/>
        <w:bidi w:val="0"/>
        <w:adjustRightInd w:val="0"/>
        <w:snapToGrid w:val="0"/>
        <w:spacing w:before="0" w:after="10" w:line="500" w:lineRule="exact"/>
        <w:jc w:val="center"/>
        <w:textAlignment w:val="baseline"/>
        <w:rPr>
          <w:rFonts w:hint="eastAsia" w:ascii="宋体" w:hAnsi="宋体" w:eastAsia="宋体" w:cs="宋体"/>
          <w:color w:val="auto"/>
          <w:sz w:val="40"/>
          <w:szCs w:val="20"/>
          <w:highlight w:val="none"/>
        </w:rPr>
      </w:pPr>
      <w:bookmarkStart w:id="3" w:name="_Toc4036"/>
      <w:r>
        <w:rPr>
          <w:rFonts w:hint="eastAsia" w:ascii="宋体" w:hAnsi="宋体" w:eastAsia="宋体" w:cs="宋体"/>
          <w:color w:val="auto"/>
          <w:sz w:val="40"/>
          <w:szCs w:val="20"/>
          <w:highlight w:val="none"/>
        </w:rPr>
        <w:t xml:space="preserve">第一章  </w:t>
      </w:r>
      <w:r>
        <w:rPr>
          <w:rFonts w:hint="eastAsia" w:ascii="宋体" w:hAnsi="宋体" w:eastAsia="宋体" w:cs="宋体"/>
          <w:color w:val="auto"/>
          <w:sz w:val="40"/>
          <w:szCs w:val="20"/>
          <w:highlight w:val="none"/>
          <w:lang w:eastAsia="zh-CN"/>
        </w:rPr>
        <w:t>询比采购</w:t>
      </w:r>
      <w:r>
        <w:rPr>
          <w:rFonts w:hint="eastAsia" w:ascii="宋体" w:hAnsi="宋体" w:eastAsia="宋体" w:cs="宋体"/>
          <w:color w:val="auto"/>
          <w:sz w:val="40"/>
          <w:szCs w:val="20"/>
          <w:highlight w:val="none"/>
        </w:rPr>
        <w:t>公告</w:t>
      </w:r>
      <w:bookmarkEnd w:id="3"/>
    </w:p>
    <w:p w14:paraId="0397164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4" w:name="_Toc6033"/>
      <w:bookmarkStart w:id="5" w:name="_Toc21238"/>
      <w:bookmarkStart w:id="6" w:name="_Toc26605"/>
      <w:bookmarkStart w:id="7" w:name="_Toc4384"/>
      <w:bookmarkStart w:id="8" w:name="_Toc28471"/>
      <w:bookmarkStart w:id="9" w:name="OLE_LINK5"/>
      <w:bookmarkStart w:id="10" w:name="OLE_LINK17"/>
      <w:r>
        <w:rPr>
          <w:rFonts w:hint="eastAsia" w:ascii="宋体" w:hAnsi="宋体" w:eastAsia="宋体" w:cs="宋体"/>
          <w:b/>
          <w:bCs/>
          <w:color w:val="auto"/>
          <w:sz w:val="24"/>
          <w:szCs w:val="24"/>
          <w:highlight w:val="none"/>
        </w:rPr>
        <w:t>一、项目概况</w:t>
      </w:r>
      <w:bookmarkEnd w:id="4"/>
      <w:bookmarkEnd w:id="5"/>
      <w:bookmarkEnd w:id="6"/>
      <w:bookmarkEnd w:id="7"/>
      <w:bookmarkEnd w:id="8"/>
    </w:p>
    <w:p w14:paraId="123F041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玉溪市“十五五”综合交通枢纽发展规划的潜在供应商应在玉溪市限额标准以下市场—八戒公采（https://cg.zbj.com/）网站获取</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lang w:eastAsia="zh-CN"/>
        </w:rPr>
        <w:t>文件，并于2025年  月  日</w:t>
      </w:r>
      <w:r>
        <w:rPr>
          <w:rFonts w:hint="eastAsia" w:ascii="宋体" w:hAnsi="宋体" w:eastAsia="宋体" w:cs="宋体"/>
          <w:color w:val="auto"/>
          <w:sz w:val="24"/>
          <w:szCs w:val="24"/>
          <w:highlight w:val="none"/>
          <w:lang w:val="en-US" w:eastAsia="zh-CN"/>
        </w:rPr>
        <w:t>09时00分</w:t>
      </w:r>
      <w:r>
        <w:rPr>
          <w:rFonts w:hint="eastAsia" w:ascii="宋体" w:hAnsi="宋体" w:eastAsia="宋体" w:cs="宋体"/>
          <w:color w:val="auto"/>
          <w:sz w:val="24"/>
          <w:szCs w:val="24"/>
          <w:highlight w:val="none"/>
          <w:lang w:eastAsia="zh-CN"/>
        </w:rPr>
        <w:t>（北京时间）前提交响应文件</w:t>
      </w:r>
      <w:r>
        <w:rPr>
          <w:rFonts w:hint="eastAsia" w:ascii="宋体" w:hAnsi="宋体" w:eastAsia="宋体" w:cs="宋体"/>
          <w:color w:val="auto"/>
          <w:sz w:val="24"/>
          <w:szCs w:val="24"/>
          <w:highlight w:val="none"/>
        </w:rPr>
        <w:t>。</w:t>
      </w:r>
    </w:p>
    <w:p w14:paraId="095FB9C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11" w:name="_Toc11187"/>
      <w:bookmarkStart w:id="12" w:name="_Toc27634"/>
      <w:bookmarkStart w:id="13" w:name="_Toc30932"/>
      <w:bookmarkStart w:id="14" w:name="_Toc21375"/>
      <w:bookmarkStart w:id="15" w:name="_Toc6058"/>
      <w:r>
        <w:rPr>
          <w:rFonts w:hint="eastAsia" w:ascii="宋体" w:hAnsi="宋体" w:eastAsia="宋体" w:cs="宋体"/>
          <w:b/>
          <w:bCs/>
          <w:color w:val="auto"/>
          <w:sz w:val="24"/>
          <w:szCs w:val="24"/>
          <w:highlight w:val="none"/>
        </w:rPr>
        <w:t>二、项目基本情况</w:t>
      </w:r>
      <w:bookmarkEnd w:id="11"/>
      <w:bookmarkEnd w:id="12"/>
      <w:bookmarkEnd w:id="13"/>
      <w:bookmarkEnd w:id="14"/>
      <w:bookmarkEnd w:id="15"/>
    </w:p>
    <w:p w14:paraId="6DAE718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 项目编号：YNSY-ZC2025-08</w:t>
      </w:r>
    </w:p>
    <w:p w14:paraId="7862E0D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 项目名称：</w:t>
      </w:r>
      <w:bookmarkStart w:id="16" w:name="OLE_LINK4"/>
      <w:r>
        <w:rPr>
          <w:rFonts w:hint="eastAsia" w:ascii="宋体" w:hAnsi="宋体" w:eastAsia="宋体" w:cs="宋体"/>
          <w:color w:val="auto"/>
          <w:sz w:val="24"/>
          <w:szCs w:val="24"/>
          <w:highlight w:val="none"/>
          <w:lang w:eastAsia="zh-CN"/>
        </w:rPr>
        <w:t>玉溪市“十五五”综合交通枢纽发展规划</w:t>
      </w:r>
    </w:p>
    <w:bookmarkEnd w:id="16"/>
    <w:p w14:paraId="405B7E2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 采购方式：</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lang w:eastAsia="zh-CN"/>
        </w:rPr>
        <w:t>采购</w:t>
      </w:r>
    </w:p>
    <w:p w14:paraId="06D91326">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2.4 预算金额（最高限价）：</w:t>
      </w:r>
      <w:r>
        <w:rPr>
          <w:rFonts w:hint="eastAsia" w:ascii="宋体" w:hAnsi="宋体" w:eastAsia="宋体" w:cs="宋体"/>
          <w:color w:val="auto"/>
          <w:sz w:val="24"/>
          <w:szCs w:val="24"/>
          <w:highlight w:val="none"/>
          <w:lang w:val="en-US" w:eastAsia="zh-CN"/>
        </w:rPr>
        <w:t>350000.00元（大写：叁拾伍万元整）</w:t>
      </w:r>
    </w:p>
    <w:p w14:paraId="3569C94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采购内容：玉溪市“十五五”综合交通枢纽发展规划</w:t>
      </w:r>
      <w:r>
        <w:rPr>
          <w:rFonts w:hint="eastAsia" w:ascii="宋体" w:hAnsi="宋体" w:eastAsia="宋体" w:cs="宋体"/>
          <w:color w:val="auto"/>
          <w:sz w:val="24"/>
          <w:szCs w:val="24"/>
          <w:highlight w:val="none"/>
          <w:lang w:val="en-US" w:eastAsia="zh-CN"/>
        </w:rPr>
        <w:t>所含全部服务内容，具体要求详见“第三章  采购需求”</w:t>
      </w:r>
      <w:r>
        <w:rPr>
          <w:rFonts w:hint="eastAsia" w:ascii="宋体" w:hAnsi="宋体" w:eastAsia="宋体" w:cs="宋体"/>
          <w:snapToGrid w:val="0"/>
          <w:color w:val="auto"/>
          <w:kern w:val="0"/>
          <w:sz w:val="24"/>
          <w:szCs w:val="24"/>
          <w:highlight w:val="none"/>
          <w:lang w:val="en-US" w:eastAsia="zh-CN" w:bidi="ar-SA"/>
        </w:rPr>
        <w:t>。</w:t>
      </w:r>
    </w:p>
    <w:p w14:paraId="51B620E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lang w:eastAsia="zh-CN"/>
        </w:rPr>
        <w:t>服务质量：符合国家及地方行业现行标准及规范，满足采购人要求。</w:t>
      </w:r>
    </w:p>
    <w:p w14:paraId="7D4A771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lang w:eastAsia="zh-CN"/>
        </w:rPr>
        <w:t>服务周期：自合同签订之日起至项目成果资料验收完成之日止。</w:t>
      </w:r>
    </w:p>
    <w:p w14:paraId="5EA2F676">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2.8本项目不接受联合体投标。</w:t>
      </w:r>
    </w:p>
    <w:p w14:paraId="417C001D">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17" w:name="_Toc9953"/>
      <w:bookmarkStart w:id="18" w:name="_Toc21534"/>
      <w:bookmarkStart w:id="19" w:name="_Toc18563"/>
      <w:bookmarkStart w:id="20" w:name="_Toc16702"/>
      <w:bookmarkStart w:id="21" w:name="_Toc27868"/>
      <w:r>
        <w:rPr>
          <w:rFonts w:hint="eastAsia" w:ascii="宋体" w:hAnsi="宋体" w:eastAsia="宋体" w:cs="宋体"/>
          <w:b/>
          <w:bCs/>
          <w:color w:val="auto"/>
          <w:sz w:val="24"/>
          <w:szCs w:val="24"/>
          <w:highlight w:val="none"/>
        </w:rPr>
        <w:t>三、供应商资格要求</w:t>
      </w:r>
      <w:bookmarkEnd w:id="17"/>
      <w:bookmarkEnd w:id="18"/>
      <w:bookmarkEnd w:id="19"/>
      <w:bookmarkEnd w:id="20"/>
      <w:bookmarkEnd w:id="21"/>
    </w:p>
    <w:p w14:paraId="4390ACE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bookmarkStart w:id="246" w:name="_GoBack"/>
      <w:r>
        <w:rPr>
          <w:rFonts w:hint="eastAsia" w:ascii="宋体" w:hAnsi="宋体" w:eastAsia="宋体" w:cs="宋体"/>
          <w:color w:val="auto"/>
          <w:sz w:val="24"/>
          <w:szCs w:val="24"/>
          <w:highlight w:val="none"/>
          <w:lang w:eastAsia="zh-CN"/>
        </w:rPr>
        <w:t>1.满足《中华人民共和国政府采购法》第二十二条规定；</w:t>
      </w:r>
    </w:p>
    <w:p w14:paraId="5B5DC7F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2.落实政府采购政策需满足的资格要求：本项目不属于专门面向中小企业采购的项目</w:t>
      </w:r>
    </w:p>
    <w:p w14:paraId="617AE63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3.本项目的特定资格要求：</w:t>
      </w:r>
    </w:p>
    <w:p w14:paraId="4F000F6F">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3.1 供应商须具备城乡规划编制</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lang w:eastAsia="zh-CN"/>
        </w:rPr>
        <w:t>级资质或在全国投资项目在线审批监管平台(http://www.tzxm.gov.cn)备案，且工程咨询专业必须包含公路，咨询服务范围必须包含规划咨询。（提供资质证书扫描件或备案截图）</w:t>
      </w:r>
      <w:r>
        <w:rPr>
          <w:rFonts w:hint="eastAsia" w:ascii="宋体" w:hAnsi="宋体" w:eastAsia="宋体" w:cs="宋体"/>
          <w:color w:val="auto"/>
          <w:sz w:val="24"/>
          <w:szCs w:val="24"/>
          <w:highlight w:val="none"/>
          <w:lang w:val="en-US" w:eastAsia="zh-CN"/>
        </w:rPr>
        <w:t>。</w:t>
      </w:r>
    </w:p>
    <w:p w14:paraId="2C6C8D4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3.2 </w:t>
      </w:r>
      <w:r>
        <w:rPr>
          <w:rFonts w:hint="eastAsia" w:ascii="宋体" w:hAnsi="宋体" w:eastAsia="宋体" w:cs="宋体"/>
          <w:color w:val="auto"/>
          <w:sz w:val="24"/>
          <w:szCs w:val="24"/>
          <w:highlight w:val="none"/>
          <w:lang w:eastAsia="zh-CN"/>
        </w:rPr>
        <w:t>信誉良好，申请单位未处于被责令停业，投标资格被取消，财产被接管、冻结、破产状态；没有受到取消投标资格的行政处罚，没有涉及正在诉讼的案件（提供承诺书）。</w:t>
      </w:r>
    </w:p>
    <w:p w14:paraId="3EF3EA88">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供应商未被列入“信用中国 ”网站(www.creditchina.gov.cn)失信被执行人、重大税收违法案件当事人名单及“ 中国政府采购网 ” (www.ccgp.gov.cn)政府采购严重违法失信行为信息 记录（供应商自行承诺，由采购代理机构或采购人通过信用中国、中国政府采购网查询核实，如供应商有相关记录，取消竞标资格或成交资格）。</w:t>
      </w:r>
    </w:p>
    <w:p w14:paraId="610039E0">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 xml:space="preserve"> 法定代表人为同一人的两个及两个以上法人不得同时参与本项目的投标。存在母公司与全资子公司、母公司与控股公司关联关系的企业，只能由其中之一参加本项目的投标。单位负责人为同一人或者存在直接控股、管理关系的不同供应商，不得参加同一合同项下的招标活动。</w:t>
      </w:r>
    </w:p>
    <w:bookmarkEnd w:id="246"/>
    <w:p w14:paraId="38223DD6">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22" w:name="_Toc21865"/>
      <w:bookmarkStart w:id="23" w:name="_Toc26325"/>
      <w:bookmarkStart w:id="24" w:name="_Toc11176"/>
      <w:bookmarkStart w:id="25" w:name="_Toc22737"/>
      <w:bookmarkStart w:id="26" w:name="_Toc31461"/>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询比文件</w:t>
      </w:r>
      <w:r>
        <w:rPr>
          <w:rFonts w:hint="eastAsia" w:ascii="宋体" w:hAnsi="宋体" w:eastAsia="宋体" w:cs="宋体"/>
          <w:b/>
          <w:bCs/>
          <w:color w:val="auto"/>
          <w:sz w:val="24"/>
          <w:szCs w:val="24"/>
          <w:highlight w:val="none"/>
        </w:rPr>
        <w:t>的获取</w:t>
      </w:r>
      <w:bookmarkEnd w:id="22"/>
      <w:bookmarkEnd w:id="23"/>
      <w:bookmarkEnd w:id="24"/>
      <w:bookmarkEnd w:id="25"/>
      <w:bookmarkEnd w:id="26"/>
    </w:p>
    <w:p w14:paraId="514F5CD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bookmarkStart w:id="27" w:name="OLE_LINK16"/>
      <w:r>
        <w:rPr>
          <w:rFonts w:hint="eastAsia" w:ascii="宋体" w:hAnsi="宋体" w:eastAsia="宋体" w:cs="宋体"/>
          <w:color w:val="auto"/>
          <w:sz w:val="24"/>
          <w:szCs w:val="24"/>
          <w:highlight w:val="none"/>
          <w:lang w:val="en-US" w:eastAsia="zh-CN"/>
        </w:rPr>
        <w:t>4.1 凡有意参加本次询比的供应商，请于2025年05月23日至2025年05月29日00：00时至23：59时（北京时间，法定节假日除外），在云南省玉溪市政府采购限额标准以下服务市场网站（https://cg.zbj.com/）下载查看本项目需求文件以及变更公告等公布的所有项目资料，无论供应商下载查看与否，均视为已知晓所有谈判采购实质性要求内容。</w:t>
      </w:r>
    </w:p>
    <w:p w14:paraId="0B6CF61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 供应商须在平台登记并上传响应文件，平台登记后供应商须将报名资料：①营业执照；②法定代表人身份证明书及身份证或法定代表人身份证明书、法定代表人授权委托书及授权委托代理人身份证，发送至邮箱（529123910@qq.com）并注明联系人及电话。</w:t>
      </w:r>
    </w:p>
    <w:p w14:paraId="4D78D352">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 谈判文件费用400.00元（大写：肆佰元整）/份，售后不退，供应商可通过公司基本账户转账缴纳（转账时备注“玉溪市“十五五”综合交通枢纽发展规划文件费”）：</w:t>
      </w:r>
    </w:p>
    <w:p w14:paraId="3AF4B6AE">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（1）账户名称：云南舜意工程管理有限公司</w:t>
      </w:r>
    </w:p>
    <w:p w14:paraId="3BBB107F">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（2）开户银行：云南红塔银行股份有限公司玉溪科技支行</w:t>
      </w:r>
    </w:p>
    <w:p w14:paraId="129F16BE">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（3）账户：1015021000235388</w:t>
      </w:r>
    </w:p>
    <w:p w14:paraId="2048CE3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（4）联系人：何师</w:t>
      </w:r>
    </w:p>
    <w:p w14:paraId="5D05371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（5）联系电话：18387798010</w:t>
      </w:r>
    </w:p>
    <w:bookmarkEnd w:id="27"/>
    <w:p w14:paraId="45D55B3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28" w:name="_Toc19438"/>
      <w:bookmarkStart w:id="29" w:name="_Toc30011"/>
      <w:bookmarkStart w:id="30" w:name="_Toc26881"/>
      <w:bookmarkStart w:id="31" w:name="_Toc27288"/>
      <w:bookmarkStart w:id="32" w:name="_Toc3263"/>
      <w:r>
        <w:rPr>
          <w:rFonts w:hint="eastAsia" w:ascii="宋体" w:hAnsi="宋体" w:eastAsia="宋体" w:cs="宋体"/>
          <w:b/>
          <w:bCs/>
          <w:color w:val="auto"/>
          <w:sz w:val="24"/>
          <w:szCs w:val="24"/>
          <w:highlight w:val="none"/>
        </w:rPr>
        <w:t>五、响应文件的递交</w:t>
      </w:r>
      <w:bookmarkEnd w:id="28"/>
      <w:bookmarkEnd w:id="29"/>
      <w:bookmarkEnd w:id="30"/>
      <w:bookmarkEnd w:id="31"/>
      <w:bookmarkEnd w:id="32"/>
    </w:p>
    <w:p w14:paraId="074FBF9C">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 递交方式：</w:t>
      </w:r>
    </w:p>
    <w:p w14:paraId="12D18330">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5.1.1 线上递交：于</w:t>
      </w:r>
      <w:bookmarkStart w:id="33" w:name="OLE_LINK2"/>
      <w:r>
        <w:rPr>
          <w:rFonts w:hint="eastAsia" w:ascii="宋体" w:hAnsi="宋体" w:eastAsia="宋体" w:cs="宋体"/>
          <w:color w:val="auto"/>
          <w:sz w:val="24"/>
          <w:szCs w:val="24"/>
          <w:highlight w:val="none"/>
          <w:lang w:val="en-US" w:eastAsia="zh-CN"/>
        </w:rPr>
        <w:t>2025年05月29日</w:t>
      </w:r>
      <w:bookmarkEnd w:id="33"/>
      <w:r>
        <w:rPr>
          <w:rFonts w:hint="eastAsia" w:ascii="宋体" w:hAnsi="宋体" w:eastAsia="宋体" w:cs="宋体"/>
          <w:color w:val="auto"/>
          <w:sz w:val="24"/>
          <w:szCs w:val="24"/>
          <w:highlight w:val="none"/>
          <w:lang w:val="en-US" w:eastAsia="zh-CN"/>
        </w:rPr>
        <w:t>08时30分前在玉溪市限额标准以下市场—八戒公采平台（</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"https://cg.zbj.com/"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https://cg.zbj.com/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）上传电子响应文件。</w:t>
      </w:r>
    </w:p>
    <w:p w14:paraId="2A8F1464">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 有以下情形之一的，其响应文件采购人将不予受理：</w:t>
      </w:r>
    </w:p>
    <w:p w14:paraId="7FBDDD14">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5.2.1 响应文件递交截止时间前未完成线上上传电子响应文件的；</w:t>
      </w:r>
    </w:p>
    <w:p w14:paraId="43DD263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5.2.2 未按本公告要求获取询比文件的。</w:t>
      </w:r>
    </w:p>
    <w:p w14:paraId="1B501352">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34" w:name="_Toc6720"/>
      <w:bookmarkStart w:id="35" w:name="_Toc7925"/>
      <w:bookmarkStart w:id="36" w:name="_Toc21180"/>
      <w:bookmarkStart w:id="37" w:name="_Toc31578"/>
      <w:bookmarkStart w:id="38" w:name="_Toc1480"/>
      <w:r>
        <w:rPr>
          <w:rFonts w:hint="eastAsia" w:ascii="宋体" w:hAnsi="宋体" w:eastAsia="宋体" w:cs="宋体"/>
          <w:b/>
          <w:bCs/>
          <w:color w:val="auto"/>
          <w:sz w:val="24"/>
          <w:szCs w:val="24"/>
          <w:highlight w:val="none"/>
        </w:rPr>
        <w:t>六、响应文件开启时间和地点</w:t>
      </w:r>
      <w:bookmarkEnd w:id="34"/>
      <w:bookmarkEnd w:id="35"/>
      <w:bookmarkEnd w:id="36"/>
      <w:bookmarkEnd w:id="37"/>
      <w:bookmarkEnd w:id="38"/>
    </w:p>
    <w:p w14:paraId="11E3A52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时间：2025年05月29日09时00分（北京时间）</w:t>
      </w:r>
    </w:p>
    <w:p w14:paraId="6C1B6EC1">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地点：云南舜意工程管理有限公司</w:t>
      </w:r>
    </w:p>
    <w:p w14:paraId="1174D6F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lang w:val="en-US" w:eastAsia="zh-CN"/>
        </w:rPr>
      </w:pPr>
      <w:bookmarkStart w:id="39" w:name="_Toc29230"/>
      <w:bookmarkStart w:id="40" w:name="_Toc5998"/>
      <w:bookmarkStart w:id="41" w:name="_Toc1471"/>
      <w:bookmarkStart w:id="42" w:name="_Toc25765"/>
      <w:bookmarkStart w:id="43" w:name="_Toc973"/>
      <w:r>
        <w:rPr>
          <w:rFonts w:hint="eastAsia" w:ascii="宋体" w:hAnsi="宋体" w:eastAsia="宋体" w:cs="宋体"/>
          <w:b/>
          <w:bCs/>
          <w:color w:val="auto"/>
          <w:sz w:val="24"/>
          <w:szCs w:val="24"/>
          <w:highlight w:val="none"/>
        </w:rPr>
        <w:t>七、发布公告</w:t>
      </w:r>
      <w:r>
        <w:rPr>
          <w:rFonts w:hint="eastAsia" w:ascii="宋体" w:hAnsi="宋体" w:eastAsia="宋体" w:cs="宋体"/>
          <w:b/>
          <w:bCs/>
          <w:color w:val="auto"/>
          <w:sz w:val="24"/>
          <w:szCs w:val="24"/>
          <w:highlight w:val="none"/>
          <w:lang w:val="en-US" w:eastAsia="zh-CN"/>
        </w:rPr>
        <w:t>期限</w:t>
      </w:r>
      <w:bookmarkEnd w:id="39"/>
      <w:bookmarkEnd w:id="40"/>
      <w:bookmarkEnd w:id="41"/>
      <w:bookmarkEnd w:id="42"/>
      <w:bookmarkEnd w:id="43"/>
    </w:p>
    <w:p w14:paraId="3302DB5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bookmarkStart w:id="44" w:name="OLE_LINK31"/>
      <w:r>
        <w:rPr>
          <w:rFonts w:hint="eastAsia" w:ascii="宋体" w:hAnsi="宋体" w:eastAsia="宋体" w:cs="宋体"/>
          <w:color w:val="auto"/>
          <w:sz w:val="24"/>
          <w:szCs w:val="24"/>
          <w:highlight w:val="none"/>
          <w:lang w:val="en-US" w:eastAsia="zh-CN"/>
        </w:rPr>
        <w:t>自本公告发布之日起至获取询比文件截止时间</w:t>
      </w:r>
      <w:bookmarkEnd w:id="44"/>
      <w:r>
        <w:rPr>
          <w:rFonts w:hint="eastAsia" w:ascii="宋体" w:hAnsi="宋体" w:eastAsia="宋体" w:cs="宋体"/>
          <w:color w:val="auto"/>
          <w:sz w:val="24"/>
          <w:szCs w:val="24"/>
          <w:highlight w:val="none"/>
          <w:lang w:val="en-US" w:eastAsia="zh-CN"/>
        </w:rPr>
        <w:t>2025年05月29日08时30分前。</w:t>
      </w:r>
    </w:p>
    <w:p w14:paraId="4A67B002">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45" w:name="_Toc18163"/>
      <w:bookmarkStart w:id="46" w:name="_Toc18570"/>
      <w:bookmarkStart w:id="47" w:name="_Toc23443"/>
      <w:bookmarkStart w:id="48" w:name="_Toc10022"/>
      <w:bookmarkStart w:id="49" w:name="_Toc19847"/>
      <w:r>
        <w:rPr>
          <w:rFonts w:hint="eastAsia" w:ascii="宋体" w:hAnsi="宋体" w:eastAsia="宋体" w:cs="宋体"/>
          <w:b/>
          <w:bCs/>
          <w:color w:val="auto"/>
          <w:sz w:val="24"/>
          <w:szCs w:val="24"/>
          <w:highlight w:val="none"/>
        </w:rPr>
        <w:t>八、其他补充事宜</w:t>
      </w:r>
      <w:bookmarkEnd w:id="45"/>
      <w:bookmarkEnd w:id="46"/>
      <w:bookmarkEnd w:id="47"/>
      <w:bookmarkEnd w:id="48"/>
      <w:bookmarkEnd w:id="49"/>
    </w:p>
    <w:p w14:paraId="68DE4588">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本公告在玉溪市限额标准以下市场—八戒公采平台（</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"https://cg.zbj.com/"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https://cg.zbj.com/</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）上发布，采购人及采购代理机构对其他网站或媒体转载的公告及公告内容不承担任何责任。</w:t>
      </w:r>
    </w:p>
    <w:p w14:paraId="20FFDE74">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textAlignment w:val="baseline"/>
        <w:outlineLvl w:val="1"/>
        <w:rPr>
          <w:rFonts w:hint="eastAsia" w:ascii="宋体" w:hAnsi="宋体" w:eastAsia="宋体" w:cs="宋体"/>
          <w:b/>
          <w:bCs/>
          <w:color w:val="auto"/>
          <w:sz w:val="24"/>
          <w:szCs w:val="24"/>
          <w:highlight w:val="none"/>
        </w:rPr>
      </w:pPr>
      <w:bookmarkStart w:id="50" w:name="_Toc12325"/>
      <w:bookmarkStart w:id="51" w:name="_Toc2031"/>
      <w:bookmarkStart w:id="52" w:name="_Toc6795"/>
      <w:bookmarkStart w:id="53" w:name="_Toc22827"/>
      <w:bookmarkStart w:id="54" w:name="_Toc12928"/>
      <w:r>
        <w:rPr>
          <w:rFonts w:hint="eastAsia" w:ascii="宋体" w:hAnsi="宋体" w:eastAsia="宋体" w:cs="宋体"/>
          <w:b/>
          <w:bCs/>
          <w:color w:val="auto"/>
          <w:sz w:val="24"/>
          <w:szCs w:val="24"/>
          <w:highlight w:val="none"/>
        </w:rPr>
        <w:t>九、联系方式</w:t>
      </w:r>
      <w:bookmarkEnd w:id="50"/>
      <w:bookmarkEnd w:id="51"/>
      <w:bookmarkEnd w:id="52"/>
      <w:bookmarkEnd w:id="53"/>
      <w:bookmarkEnd w:id="54"/>
    </w:p>
    <w:p w14:paraId="3B8BB074">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bookmarkEnd w:id="9"/>
    <w:p w14:paraId="45D7DD7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采购人：玉溪市交通运输局</w:t>
      </w:r>
    </w:p>
    <w:p w14:paraId="015FD6A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地址：玉溪市红塔区秀山西路7号保安大厦6-7层  </w:t>
      </w:r>
    </w:p>
    <w:p w14:paraId="0F683AA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联系人：代老师        </w:t>
      </w:r>
    </w:p>
    <w:p w14:paraId="7330842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联系方式：0877-2060823  </w:t>
      </w:r>
    </w:p>
    <w:p w14:paraId="36FCDB0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p>
    <w:p w14:paraId="4AAB3EB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采购代理机构：云南舜意工程管理有限公司</w:t>
      </w:r>
    </w:p>
    <w:p w14:paraId="1711754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地址：玉溪市高新区创新路10号</w:t>
      </w:r>
    </w:p>
    <w:p w14:paraId="051812B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联系人：李师</w:t>
      </w:r>
    </w:p>
    <w:p w14:paraId="721EE49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联系电话：15096700780           </w:t>
      </w:r>
    </w:p>
    <w:p w14:paraId="753819D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p>
    <w:p w14:paraId="1FF4688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日期：2025年05月22日</w:t>
      </w:r>
      <w:r>
        <w:rPr>
          <w:rFonts w:hint="eastAsia" w:ascii="宋体" w:hAnsi="宋体" w:eastAsia="宋体" w:cs="宋体"/>
          <w:color w:val="auto"/>
          <w:sz w:val="24"/>
          <w:szCs w:val="24"/>
          <w:highlight w:val="none"/>
          <w:lang w:val="en-US" w:eastAsia="zh-CN"/>
        </w:rPr>
        <w:br w:type="page"/>
      </w:r>
    </w:p>
    <w:bookmarkEnd w:id="10"/>
    <w:p w14:paraId="2F63210E">
      <w:pPr>
        <w:pStyle w:val="3"/>
        <w:keepNext/>
        <w:keepLines/>
        <w:pageBreakBefore w:val="0"/>
        <w:widowControl/>
        <w:kinsoku w:val="0"/>
        <w:wordWrap/>
        <w:overflowPunct/>
        <w:topLinePunct w:val="0"/>
        <w:autoSpaceDE w:val="0"/>
        <w:autoSpaceDN w:val="0"/>
        <w:bidi w:val="0"/>
        <w:adjustRightInd w:val="0"/>
        <w:snapToGrid w:val="0"/>
        <w:spacing w:before="0" w:after="10" w:line="500" w:lineRule="exact"/>
        <w:jc w:val="center"/>
        <w:textAlignment w:val="baseline"/>
        <w:rPr>
          <w:rFonts w:hint="eastAsia" w:ascii="宋体" w:hAnsi="宋体" w:eastAsia="宋体" w:cs="宋体"/>
          <w:b/>
          <w:color w:val="auto"/>
          <w:sz w:val="40"/>
          <w:szCs w:val="20"/>
          <w:highlight w:val="none"/>
        </w:rPr>
      </w:pPr>
      <w:bookmarkStart w:id="55" w:name="_Toc28609"/>
      <w:bookmarkStart w:id="56" w:name="_Toc3900"/>
      <w:r>
        <w:rPr>
          <w:rFonts w:hint="eastAsia" w:ascii="宋体" w:hAnsi="宋体" w:eastAsia="宋体" w:cs="宋体"/>
          <w:b/>
          <w:color w:val="auto"/>
          <w:sz w:val="40"/>
          <w:szCs w:val="20"/>
          <w:highlight w:val="none"/>
        </w:rPr>
        <w:t>第二章  供应商须知</w:t>
      </w:r>
      <w:bookmarkEnd w:id="55"/>
      <w:bookmarkEnd w:id="56"/>
    </w:p>
    <w:p w14:paraId="380036EA">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00" w:lineRule="exact"/>
        <w:jc w:val="center"/>
        <w:textAlignment w:val="baseline"/>
        <w:rPr>
          <w:rFonts w:hint="eastAsia" w:ascii="宋体" w:hAnsi="宋体" w:eastAsia="宋体" w:cs="宋体"/>
          <w:color w:val="auto"/>
          <w:sz w:val="24"/>
          <w:szCs w:val="24"/>
          <w:highlight w:val="none"/>
        </w:rPr>
      </w:pPr>
      <w:bookmarkStart w:id="57" w:name="_Toc23567"/>
      <w:r>
        <w:rPr>
          <w:rFonts w:hint="eastAsia" w:ascii="宋体" w:hAnsi="宋体" w:eastAsia="宋体" w:cs="宋体"/>
          <w:b/>
          <w:bCs/>
          <w:color w:val="auto"/>
          <w:sz w:val="24"/>
          <w:szCs w:val="24"/>
          <w:highlight w:val="none"/>
        </w:rPr>
        <w:t>供应商须知前附表</w:t>
      </w:r>
      <w:bookmarkEnd w:id="57"/>
    </w:p>
    <w:tbl>
      <w:tblPr>
        <w:tblStyle w:val="30"/>
        <w:tblW w:w="93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793"/>
        <w:gridCol w:w="6772"/>
      </w:tblGrid>
      <w:tr w14:paraId="641A7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810" w:type="dxa"/>
            <w:vAlign w:val="center"/>
          </w:tcPr>
          <w:p w14:paraId="06F35AE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793" w:type="dxa"/>
            <w:vAlign w:val="center"/>
          </w:tcPr>
          <w:p w14:paraId="17C9498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 款 内 容</w:t>
            </w:r>
          </w:p>
        </w:tc>
        <w:tc>
          <w:tcPr>
            <w:tcW w:w="6772" w:type="dxa"/>
            <w:vAlign w:val="center"/>
          </w:tcPr>
          <w:p w14:paraId="1881221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4CFB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810" w:type="dxa"/>
            <w:vAlign w:val="center"/>
          </w:tcPr>
          <w:p w14:paraId="50A8AE3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793" w:type="dxa"/>
            <w:vAlign w:val="center"/>
          </w:tcPr>
          <w:p w14:paraId="5DB82DC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772" w:type="dxa"/>
            <w:vAlign w:val="center"/>
          </w:tcPr>
          <w:p w14:paraId="6A43747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采购人：玉溪市交通运输局</w:t>
            </w:r>
          </w:p>
          <w:p w14:paraId="20DED495">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地址：玉溪市红塔区秀山西路7号保安大厦6-7层  </w:t>
            </w:r>
          </w:p>
          <w:p w14:paraId="3F4BD72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联系人：代老师        </w:t>
            </w:r>
          </w:p>
          <w:p w14:paraId="592103B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联系方式：0877-2060823  </w:t>
            </w:r>
          </w:p>
        </w:tc>
      </w:tr>
      <w:tr w14:paraId="65AE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jc w:val="center"/>
        </w:trPr>
        <w:tc>
          <w:tcPr>
            <w:tcW w:w="810" w:type="dxa"/>
            <w:vAlign w:val="center"/>
          </w:tcPr>
          <w:p w14:paraId="6B89C32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93" w:type="dxa"/>
            <w:vAlign w:val="center"/>
          </w:tcPr>
          <w:p w14:paraId="7D72E1A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772" w:type="dxa"/>
            <w:vAlign w:val="center"/>
          </w:tcPr>
          <w:p w14:paraId="57FFB3B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采购代理机构：云南舜意工程管理有限公司</w:t>
            </w:r>
          </w:p>
          <w:p w14:paraId="4314F44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地址：玉溪市高新区创新路10号</w:t>
            </w:r>
          </w:p>
          <w:p w14:paraId="50A5451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联系人：李师</w:t>
            </w:r>
          </w:p>
          <w:p w14:paraId="3C8804A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联系电话：15096700780</w:t>
            </w:r>
          </w:p>
        </w:tc>
      </w:tr>
      <w:tr w14:paraId="44079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0CD9A30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93" w:type="dxa"/>
            <w:vAlign w:val="center"/>
          </w:tcPr>
          <w:p w14:paraId="0D144B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72" w:type="dxa"/>
            <w:vAlign w:val="center"/>
          </w:tcPr>
          <w:p w14:paraId="5C01CDA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玉溪市“十五五”综合交通枢纽发展规划</w:t>
            </w:r>
          </w:p>
        </w:tc>
      </w:tr>
      <w:tr w14:paraId="44F93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14D0943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793" w:type="dxa"/>
            <w:vAlign w:val="center"/>
          </w:tcPr>
          <w:p w14:paraId="500503B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772" w:type="dxa"/>
            <w:vAlign w:val="center"/>
          </w:tcPr>
          <w:p w14:paraId="407CDC1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询比采购</w:t>
            </w:r>
            <w:r>
              <w:rPr>
                <w:rFonts w:hint="eastAsia" w:ascii="宋体" w:hAnsi="宋体" w:eastAsia="宋体" w:cs="宋体"/>
                <w:color w:val="auto"/>
                <w:sz w:val="24"/>
                <w:szCs w:val="24"/>
                <w:highlight w:val="none"/>
              </w:rPr>
              <w:t>公告</w:t>
            </w:r>
          </w:p>
        </w:tc>
      </w:tr>
      <w:tr w14:paraId="45CCA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453F0EB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793" w:type="dxa"/>
            <w:vAlign w:val="center"/>
          </w:tcPr>
          <w:p w14:paraId="101883C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标段划分</w:t>
            </w:r>
          </w:p>
        </w:tc>
        <w:tc>
          <w:tcPr>
            <w:tcW w:w="6772" w:type="dxa"/>
            <w:vAlign w:val="center"/>
          </w:tcPr>
          <w:p w14:paraId="7D9653F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本项目只设一个标段</w:t>
            </w:r>
          </w:p>
        </w:tc>
      </w:tr>
      <w:tr w14:paraId="5025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11E76D7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793" w:type="dxa"/>
            <w:vAlign w:val="center"/>
          </w:tcPr>
          <w:p w14:paraId="231AA0B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服务周期</w:t>
            </w:r>
          </w:p>
        </w:tc>
        <w:tc>
          <w:tcPr>
            <w:tcW w:w="6772" w:type="dxa"/>
            <w:vAlign w:val="center"/>
          </w:tcPr>
          <w:p w14:paraId="638E405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询比采购</w:t>
            </w:r>
            <w:r>
              <w:rPr>
                <w:rFonts w:hint="eastAsia" w:ascii="宋体" w:hAnsi="宋体" w:eastAsia="宋体" w:cs="宋体"/>
                <w:color w:val="auto"/>
                <w:sz w:val="24"/>
                <w:szCs w:val="24"/>
                <w:highlight w:val="none"/>
              </w:rPr>
              <w:t>公告</w:t>
            </w:r>
          </w:p>
        </w:tc>
      </w:tr>
      <w:tr w14:paraId="2747E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013E154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793" w:type="dxa"/>
            <w:vAlign w:val="center"/>
          </w:tcPr>
          <w:p w14:paraId="2497C93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服务质量</w:t>
            </w:r>
          </w:p>
        </w:tc>
        <w:tc>
          <w:tcPr>
            <w:tcW w:w="6772" w:type="dxa"/>
            <w:vAlign w:val="center"/>
          </w:tcPr>
          <w:p w14:paraId="287F3B3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bookmarkStart w:id="58" w:name="OLE_LINK6"/>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询比采购</w:t>
            </w:r>
            <w:r>
              <w:rPr>
                <w:rFonts w:hint="eastAsia" w:ascii="宋体" w:hAnsi="宋体" w:eastAsia="宋体" w:cs="宋体"/>
                <w:color w:val="auto"/>
                <w:sz w:val="24"/>
                <w:szCs w:val="24"/>
                <w:highlight w:val="none"/>
              </w:rPr>
              <w:t>公告</w:t>
            </w:r>
            <w:bookmarkEnd w:id="58"/>
          </w:p>
        </w:tc>
      </w:tr>
      <w:tr w14:paraId="2DB12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7A827A3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793" w:type="dxa"/>
            <w:vAlign w:val="center"/>
          </w:tcPr>
          <w:p w14:paraId="26FC8D1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供应商资格要求</w:t>
            </w:r>
          </w:p>
        </w:tc>
        <w:tc>
          <w:tcPr>
            <w:tcW w:w="6772" w:type="dxa"/>
            <w:vAlign w:val="center"/>
          </w:tcPr>
          <w:p w14:paraId="124510D4">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询比采购</w:t>
            </w:r>
            <w:r>
              <w:rPr>
                <w:rFonts w:hint="eastAsia" w:ascii="宋体" w:hAnsi="宋体" w:eastAsia="宋体" w:cs="宋体"/>
                <w:color w:val="auto"/>
                <w:sz w:val="24"/>
                <w:szCs w:val="24"/>
                <w:highlight w:val="none"/>
              </w:rPr>
              <w:t>公告</w:t>
            </w:r>
          </w:p>
        </w:tc>
      </w:tr>
      <w:tr w14:paraId="68BF9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5966E7F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793" w:type="dxa"/>
            <w:vAlign w:val="center"/>
          </w:tcPr>
          <w:p w14:paraId="18F8694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6772" w:type="dxa"/>
            <w:vAlign w:val="center"/>
          </w:tcPr>
          <w:p w14:paraId="752A8B14">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w:t>
            </w:r>
          </w:p>
        </w:tc>
      </w:tr>
      <w:tr w14:paraId="04295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10" w:type="dxa"/>
            <w:vAlign w:val="center"/>
          </w:tcPr>
          <w:p w14:paraId="61DB661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793" w:type="dxa"/>
            <w:vAlign w:val="center"/>
          </w:tcPr>
          <w:p w14:paraId="3EEC26A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资格审查方式</w:t>
            </w:r>
          </w:p>
        </w:tc>
        <w:tc>
          <w:tcPr>
            <w:tcW w:w="6772" w:type="dxa"/>
            <w:vAlign w:val="center"/>
          </w:tcPr>
          <w:p w14:paraId="27F57E2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资格后审</w:t>
            </w:r>
          </w:p>
        </w:tc>
      </w:tr>
      <w:tr w14:paraId="5E420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10" w:type="dxa"/>
            <w:vAlign w:val="center"/>
          </w:tcPr>
          <w:p w14:paraId="6776EC8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793" w:type="dxa"/>
            <w:vAlign w:val="center"/>
          </w:tcPr>
          <w:p w14:paraId="0CA9CC3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72" w:type="dxa"/>
            <w:vAlign w:val="center"/>
          </w:tcPr>
          <w:p w14:paraId="4BBA7A9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2033041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 /</w:t>
            </w:r>
          </w:p>
        </w:tc>
      </w:tr>
      <w:tr w14:paraId="050A1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jc w:val="center"/>
        </w:trPr>
        <w:tc>
          <w:tcPr>
            <w:tcW w:w="810" w:type="dxa"/>
            <w:vAlign w:val="center"/>
          </w:tcPr>
          <w:p w14:paraId="124CD24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793" w:type="dxa"/>
            <w:vAlign w:val="center"/>
          </w:tcPr>
          <w:p w14:paraId="46DC9A4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的其他资料</w:t>
            </w:r>
          </w:p>
        </w:tc>
        <w:tc>
          <w:tcPr>
            <w:tcW w:w="6772" w:type="dxa"/>
            <w:vAlign w:val="center"/>
          </w:tcPr>
          <w:p w14:paraId="438D49C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所作的澄清、修改，构成</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的组成部分</w:t>
            </w:r>
          </w:p>
        </w:tc>
      </w:tr>
      <w:tr w14:paraId="0E6F1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jc w:val="center"/>
        </w:trPr>
        <w:tc>
          <w:tcPr>
            <w:tcW w:w="810" w:type="dxa"/>
            <w:vAlign w:val="center"/>
          </w:tcPr>
          <w:p w14:paraId="75F3C89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793" w:type="dxa"/>
            <w:vAlign w:val="center"/>
          </w:tcPr>
          <w:p w14:paraId="14B633C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澄清或修改时间</w:t>
            </w:r>
          </w:p>
        </w:tc>
        <w:tc>
          <w:tcPr>
            <w:tcW w:w="6772" w:type="dxa"/>
            <w:vAlign w:val="center"/>
          </w:tcPr>
          <w:p w14:paraId="1426EE9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提交响应文件截止时间前</w:t>
            </w:r>
          </w:p>
        </w:tc>
      </w:tr>
      <w:tr w14:paraId="25FD2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810" w:type="dxa"/>
            <w:vAlign w:val="center"/>
          </w:tcPr>
          <w:p w14:paraId="1C85DDD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793" w:type="dxa"/>
            <w:vAlign w:val="center"/>
          </w:tcPr>
          <w:p w14:paraId="75BFAFE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最髙限价</w:t>
            </w:r>
          </w:p>
        </w:tc>
        <w:tc>
          <w:tcPr>
            <w:tcW w:w="6772" w:type="dxa"/>
            <w:vAlign w:val="center"/>
          </w:tcPr>
          <w:p w14:paraId="5CDE09A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BD3CF0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■有，详见</w:t>
            </w:r>
            <w:r>
              <w:rPr>
                <w:rFonts w:hint="eastAsia" w:ascii="宋体" w:hAnsi="宋体" w:eastAsia="宋体" w:cs="宋体"/>
                <w:color w:val="auto"/>
                <w:sz w:val="24"/>
                <w:szCs w:val="24"/>
                <w:highlight w:val="none"/>
                <w:lang w:eastAsia="zh-CN"/>
              </w:rPr>
              <w:t>询比采购</w:t>
            </w:r>
            <w:r>
              <w:rPr>
                <w:rFonts w:hint="eastAsia" w:ascii="宋体" w:hAnsi="宋体" w:eastAsia="宋体" w:cs="宋体"/>
                <w:color w:val="auto"/>
                <w:sz w:val="24"/>
                <w:szCs w:val="24"/>
                <w:highlight w:val="none"/>
              </w:rPr>
              <w:t>公告（供应商报价不得超过最高限价，否则按否决响应文件处理）</w:t>
            </w:r>
          </w:p>
        </w:tc>
      </w:tr>
      <w:tr w14:paraId="75932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810" w:type="dxa"/>
            <w:vAlign w:val="center"/>
          </w:tcPr>
          <w:p w14:paraId="0E3D81F9">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793" w:type="dxa"/>
            <w:vAlign w:val="center"/>
          </w:tcPr>
          <w:p w14:paraId="0416CF5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报价的其他要求</w:t>
            </w:r>
          </w:p>
        </w:tc>
        <w:tc>
          <w:tcPr>
            <w:tcW w:w="6772" w:type="dxa"/>
            <w:vAlign w:val="center"/>
          </w:tcPr>
          <w:p w14:paraId="679B99A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1、供应商报价采用包干价形式进行报价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总价不得超过采购控制价。</w:t>
            </w:r>
          </w:p>
          <w:p w14:paraId="6510790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2、报价应涵盖供应商完成本次采购</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及合同约定内容所需的成本、利润及税金等全部费用。由供应商原因导致的错报或漏报的费用均视为已包含在其他项目的报价中或供应商不收取此项费用。</w:t>
            </w:r>
          </w:p>
          <w:p w14:paraId="1D30272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、采购人不接受任何选择报价，只允许有一个报价，任何有选择的报价将不予接受，有两个(含两个)以上报价且未书面声明以哪个为准时，响应文件无效。</w:t>
            </w:r>
          </w:p>
        </w:tc>
      </w:tr>
      <w:tr w14:paraId="700F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10" w:type="dxa"/>
            <w:vAlign w:val="center"/>
          </w:tcPr>
          <w:p w14:paraId="12402C1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93" w:type="dxa"/>
            <w:vAlign w:val="center"/>
          </w:tcPr>
          <w:p w14:paraId="4D1D22A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响应文件有效期</w:t>
            </w:r>
          </w:p>
        </w:tc>
        <w:tc>
          <w:tcPr>
            <w:tcW w:w="6772" w:type="dxa"/>
            <w:vAlign w:val="center"/>
          </w:tcPr>
          <w:p w14:paraId="67CA6FBA">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90 日历天</w:t>
            </w:r>
          </w:p>
        </w:tc>
      </w:tr>
      <w:tr w14:paraId="26A2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810" w:type="dxa"/>
            <w:vAlign w:val="center"/>
          </w:tcPr>
          <w:p w14:paraId="440A0E3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793" w:type="dxa"/>
            <w:vAlign w:val="center"/>
          </w:tcPr>
          <w:p w14:paraId="415C9AF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响应保证金</w:t>
            </w:r>
          </w:p>
        </w:tc>
        <w:tc>
          <w:tcPr>
            <w:tcW w:w="6772" w:type="dxa"/>
            <w:vAlign w:val="center"/>
          </w:tcPr>
          <w:p w14:paraId="51DF5A46">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不收取</w:t>
            </w:r>
          </w:p>
        </w:tc>
      </w:tr>
      <w:tr w14:paraId="53B08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810" w:type="dxa"/>
            <w:vAlign w:val="center"/>
          </w:tcPr>
          <w:p w14:paraId="646034B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1793" w:type="dxa"/>
            <w:vAlign w:val="center"/>
          </w:tcPr>
          <w:p w14:paraId="5C2FBEF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签字或盖章要求</w:t>
            </w:r>
          </w:p>
        </w:tc>
        <w:tc>
          <w:tcPr>
            <w:tcW w:w="6772" w:type="dxa"/>
            <w:vAlign w:val="center"/>
          </w:tcPr>
          <w:p w14:paraId="79EAD32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响应文件封面及响应文件中规定</w:t>
            </w:r>
            <w:r>
              <w:rPr>
                <w:rFonts w:hint="eastAsia" w:ascii="宋体" w:hAnsi="宋体" w:eastAsia="宋体" w:cs="宋体"/>
                <w:color w:val="auto"/>
                <w:sz w:val="24"/>
                <w:szCs w:val="24"/>
                <w:highlight w:val="none"/>
                <w:lang w:val="en-US" w:eastAsia="zh-CN"/>
              </w:rPr>
              <w:t>签字</w:t>
            </w:r>
            <w:r>
              <w:rPr>
                <w:rFonts w:hint="eastAsia" w:ascii="宋体" w:hAnsi="宋体" w:eastAsia="宋体" w:cs="宋体"/>
                <w:color w:val="auto"/>
                <w:sz w:val="24"/>
                <w:szCs w:val="24"/>
                <w:highlight w:val="none"/>
              </w:rPr>
              <w:t>盖章的，均应按要求加盖供应商印章或经法定代表人或其委托代理人签字或盖章。</w:t>
            </w:r>
          </w:p>
        </w:tc>
      </w:tr>
      <w:tr w14:paraId="7241E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810" w:type="dxa"/>
            <w:vAlign w:val="center"/>
          </w:tcPr>
          <w:p w14:paraId="35064CC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793" w:type="dxa"/>
            <w:vAlign w:val="center"/>
          </w:tcPr>
          <w:p w14:paraId="6725DC0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响应文件份数及 电子版要求</w:t>
            </w:r>
          </w:p>
        </w:tc>
        <w:tc>
          <w:tcPr>
            <w:tcW w:w="6772" w:type="dxa"/>
            <w:vAlign w:val="center"/>
          </w:tcPr>
          <w:p w14:paraId="18A6893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按玉溪市限额标准以下市场—八戒公采平台（https://cg.zbj.com/）上传电子响应文件</w:t>
            </w:r>
          </w:p>
        </w:tc>
      </w:tr>
      <w:tr w14:paraId="5E909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10" w:type="dxa"/>
            <w:vAlign w:val="center"/>
          </w:tcPr>
          <w:p w14:paraId="450C6EB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1793" w:type="dxa"/>
            <w:vAlign w:val="center"/>
          </w:tcPr>
          <w:p w14:paraId="7075836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递交响应文件的截止时间和地点</w:t>
            </w:r>
          </w:p>
        </w:tc>
        <w:tc>
          <w:tcPr>
            <w:tcW w:w="6772" w:type="dxa"/>
            <w:vAlign w:val="center"/>
          </w:tcPr>
          <w:p w14:paraId="4134E7E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 xml:space="preserve"> 递交方式：</w:t>
            </w:r>
          </w:p>
          <w:p w14:paraId="0B2CD69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1.1 线上递交：于</w:t>
            </w:r>
            <w:r>
              <w:rPr>
                <w:rFonts w:hint="eastAsia" w:ascii="宋体" w:hAnsi="宋体" w:eastAsia="宋体" w:cs="宋体"/>
                <w:color w:val="auto"/>
                <w:sz w:val="24"/>
                <w:szCs w:val="24"/>
                <w:highlight w:val="none"/>
                <w:lang w:val="en-US" w:eastAsia="zh-CN"/>
              </w:rPr>
              <w:t>2025年05月29日08时30分</w:t>
            </w:r>
            <w:r>
              <w:rPr>
                <w:rFonts w:hint="eastAsia" w:ascii="宋体" w:hAnsi="宋体" w:eastAsia="宋体" w:cs="宋体"/>
                <w:color w:val="auto"/>
                <w:sz w:val="24"/>
                <w:szCs w:val="24"/>
                <w:highlight w:val="none"/>
                <w:lang w:val="en-US" w:eastAsia="en-US"/>
              </w:rPr>
              <w:t>前在</w:t>
            </w:r>
            <w:bookmarkStart w:id="59" w:name="OLE_LINK49"/>
            <w:r>
              <w:rPr>
                <w:rFonts w:hint="eastAsia" w:ascii="宋体" w:hAnsi="宋体" w:eastAsia="宋体" w:cs="宋体"/>
                <w:color w:val="auto"/>
                <w:sz w:val="24"/>
                <w:szCs w:val="24"/>
                <w:highlight w:val="none"/>
                <w:lang w:val="en-US" w:eastAsia="en-US"/>
              </w:rPr>
              <w:t>玉溪市限额标准以下市场—八戒公采平台（https://cg.zbj.com/）上传电子响应文件</w:t>
            </w:r>
            <w:bookmarkEnd w:id="59"/>
            <w:r>
              <w:rPr>
                <w:rFonts w:hint="eastAsia" w:ascii="宋体" w:hAnsi="宋体" w:eastAsia="宋体" w:cs="宋体"/>
                <w:color w:val="auto"/>
                <w:sz w:val="24"/>
                <w:szCs w:val="24"/>
                <w:highlight w:val="none"/>
                <w:lang w:val="en-US" w:eastAsia="en-US"/>
              </w:rPr>
              <w:t>。</w:t>
            </w:r>
          </w:p>
          <w:p w14:paraId="4B339EC6">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 xml:space="preserve"> 有以下情形之一的，其响应文件采购人将不予受理：</w:t>
            </w:r>
          </w:p>
          <w:p w14:paraId="5BEFDCB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2.1 响应文件递交截止时间前未完成线上上传电子响应文件的；</w:t>
            </w:r>
          </w:p>
          <w:p w14:paraId="27AB041B">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2.2 未按本公告要求获取询比文件的</w:t>
            </w:r>
          </w:p>
        </w:tc>
      </w:tr>
      <w:tr w14:paraId="7771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810" w:type="dxa"/>
            <w:vAlign w:val="center"/>
          </w:tcPr>
          <w:p w14:paraId="00A24F5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793" w:type="dxa"/>
            <w:vAlign w:val="center"/>
          </w:tcPr>
          <w:p w14:paraId="644D22D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是否退还响应文 件</w:t>
            </w:r>
          </w:p>
        </w:tc>
        <w:tc>
          <w:tcPr>
            <w:tcW w:w="6772" w:type="dxa"/>
            <w:vAlign w:val="center"/>
          </w:tcPr>
          <w:p w14:paraId="2CF1FE3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28E5D56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□是，退还时间： /</w:t>
            </w:r>
          </w:p>
        </w:tc>
      </w:tr>
      <w:tr w14:paraId="3CD1E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810" w:type="dxa"/>
            <w:vAlign w:val="center"/>
          </w:tcPr>
          <w:p w14:paraId="5566950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1793" w:type="dxa"/>
            <w:vAlign w:val="center"/>
          </w:tcPr>
          <w:p w14:paraId="0AE29AF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推荐候选成交供</w:t>
            </w:r>
          </w:p>
          <w:p w14:paraId="7B4613F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应商的排序及数量</w:t>
            </w:r>
          </w:p>
        </w:tc>
        <w:tc>
          <w:tcPr>
            <w:tcW w:w="6772" w:type="dxa"/>
            <w:vAlign w:val="center"/>
          </w:tcPr>
          <w:p w14:paraId="794F2668">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是否排序：</w:t>
            </w:r>
          </w:p>
          <w:p w14:paraId="6F3D17C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■排序</w:t>
            </w:r>
          </w:p>
          <w:p w14:paraId="72613931">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□不排序</w:t>
            </w:r>
          </w:p>
          <w:p w14:paraId="7B488D7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数量：由评审小组根据供应商得分由高到底的顺序推荐3名成交候选人</w:t>
            </w:r>
          </w:p>
        </w:tc>
      </w:tr>
      <w:tr w14:paraId="2F789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810" w:type="dxa"/>
            <w:vAlign w:val="center"/>
          </w:tcPr>
          <w:p w14:paraId="0BA268B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1793" w:type="dxa"/>
            <w:vAlign w:val="center"/>
          </w:tcPr>
          <w:p w14:paraId="287C15D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履约保证金</w:t>
            </w:r>
          </w:p>
        </w:tc>
        <w:tc>
          <w:tcPr>
            <w:tcW w:w="6772" w:type="dxa"/>
            <w:vAlign w:val="center"/>
          </w:tcPr>
          <w:p w14:paraId="2EAB98AF">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■不要求递交</w:t>
            </w:r>
          </w:p>
          <w:p w14:paraId="422C033C">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□要求递交</w:t>
            </w:r>
          </w:p>
          <w:p w14:paraId="2BD2FE13">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 / ；履约保证金形式： /</w:t>
            </w:r>
          </w:p>
          <w:p w14:paraId="3EB26F4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递交时间： / ；其他要求： /</w:t>
            </w:r>
          </w:p>
        </w:tc>
      </w:tr>
      <w:tr w14:paraId="2A969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810" w:type="dxa"/>
            <w:vAlign w:val="center"/>
          </w:tcPr>
          <w:p w14:paraId="4DDE5B3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1793" w:type="dxa"/>
            <w:vAlign w:val="center"/>
          </w:tcPr>
          <w:p w14:paraId="75E519D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代理服务费</w:t>
            </w:r>
          </w:p>
        </w:tc>
        <w:tc>
          <w:tcPr>
            <w:tcW w:w="6772" w:type="dxa"/>
            <w:vAlign w:val="center"/>
          </w:tcPr>
          <w:p w14:paraId="5EABD8BE">
            <w:pPr>
              <w:pStyle w:val="19"/>
              <w:keepNext w:val="0"/>
              <w:keepLines w:val="0"/>
              <w:pageBreakBefore w:val="0"/>
              <w:widowControl/>
              <w:suppressLineNumbers w:val="0"/>
              <w:wordWrap/>
              <w:overflowPunct/>
              <w:topLinePunct w:val="0"/>
              <w:bidi w:val="0"/>
              <w:adjustRightInd w:val="0"/>
              <w:snapToGrid w:val="0"/>
              <w:spacing w:line="500" w:lineRule="exact"/>
              <w:jc w:val="both"/>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rPr>
              <w:t>本项目代理服务费为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3937.50元（大写：叁仟玖佰叁拾柒元伍角整）</w:t>
            </w:r>
            <w:r>
              <w:rPr>
                <w:rFonts w:hint="eastAsia" w:ascii="宋体" w:hAnsi="宋体" w:eastAsia="宋体" w:cs="宋体"/>
                <w:color w:val="auto"/>
                <w:sz w:val="24"/>
                <w:szCs w:val="24"/>
                <w:highlight w:val="none"/>
              </w:rPr>
              <w:t>，由成交供应商在领取中标通知书时向代理公司一次性支付。</w:t>
            </w:r>
          </w:p>
        </w:tc>
      </w:tr>
      <w:tr w14:paraId="0FDA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810" w:type="dxa"/>
            <w:vAlign w:val="center"/>
          </w:tcPr>
          <w:p w14:paraId="66955457">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8565" w:type="dxa"/>
            <w:gridSpan w:val="2"/>
            <w:vAlign w:val="center"/>
          </w:tcPr>
          <w:p w14:paraId="01E0727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需要补充的其他内容</w:t>
            </w:r>
          </w:p>
        </w:tc>
      </w:tr>
      <w:tr w14:paraId="3ABEA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jc w:val="center"/>
        </w:trPr>
        <w:tc>
          <w:tcPr>
            <w:tcW w:w="810" w:type="dxa"/>
            <w:vAlign w:val="center"/>
          </w:tcPr>
          <w:p w14:paraId="0F865A6E">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w:t>
            </w:r>
          </w:p>
        </w:tc>
        <w:tc>
          <w:tcPr>
            <w:tcW w:w="8565" w:type="dxa"/>
            <w:gridSpan w:val="2"/>
            <w:vAlign w:val="center"/>
          </w:tcPr>
          <w:p w14:paraId="2181A444">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政府采购政策</w:t>
            </w:r>
            <w:r>
              <w:rPr>
                <w:rFonts w:hint="eastAsia" w:ascii="宋体" w:hAnsi="宋体" w:eastAsia="宋体" w:cs="宋体"/>
                <w:b w:val="0"/>
                <w:bCs/>
                <w:color w:val="auto"/>
                <w:sz w:val="24"/>
                <w:szCs w:val="24"/>
                <w:highlight w:val="none"/>
                <w:lang w:eastAsia="zh-CN"/>
              </w:rPr>
              <w:t>：</w:t>
            </w:r>
          </w:p>
          <w:p w14:paraId="76EB386D">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于印发中小企业划型标准规定的通知》（工信部联企业〔2011〕300号）、《政府采购促进中小企业发展管理办法》（财库[2020]46号）、《财政部关于进一步加大政府采购支持中小企业力度的通知》（财库[2022]19号）、《财政部、司法部关于政府采购支持监狱企业发展有关问题的通知》（财库[2014]68号）、《关于促进残疾人就业政府采购政策的通知》（财库[2017]141号）。</w:t>
            </w:r>
          </w:p>
          <w:p w14:paraId="64563519">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扶持中小企业政策：小微企业价格扣除优惠比例：10%</w:t>
            </w:r>
            <w:r>
              <w:rPr>
                <w:rFonts w:hint="eastAsia" w:ascii="宋体" w:hAnsi="宋体" w:eastAsia="宋体" w:cs="宋体"/>
                <w:b w:val="0"/>
                <w:bCs/>
                <w:color w:val="auto"/>
                <w:sz w:val="24"/>
                <w:szCs w:val="24"/>
                <w:highlight w:val="none"/>
                <w:lang w:eastAsia="zh-CN"/>
              </w:rPr>
              <w:t>。</w:t>
            </w:r>
          </w:p>
          <w:p w14:paraId="6DCD50A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监狱企业、残疾人福利性单位提供的产品视同小型、微型企业。</w:t>
            </w:r>
          </w:p>
          <w:p w14:paraId="60D1CDB2">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rPr>
              <w:t>2.本次划型标准</w:t>
            </w:r>
            <w:r>
              <w:rPr>
                <w:rFonts w:hint="eastAsia" w:ascii="宋体" w:hAnsi="宋体" w:eastAsia="宋体" w:cs="宋体"/>
                <w:b w:val="0"/>
                <w:bCs/>
                <w:color w:val="auto"/>
                <w:sz w:val="24"/>
                <w:szCs w:val="24"/>
                <w:highlight w:val="none"/>
                <w:lang w:val="en-US" w:eastAsia="zh-CN"/>
              </w:rPr>
              <w:t>属于</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“（十六）其他未列明行业。从业人员300人以下的为中小微型企业。其中，从业人员100人及以上的为中型企业；从业人员10人及以上的为小型企业；从业人员10人以下的为微型企业”</w:t>
            </w:r>
          </w:p>
        </w:tc>
      </w:tr>
      <w:tr w14:paraId="58781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810" w:type="dxa"/>
            <w:vAlign w:val="center"/>
          </w:tcPr>
          <w:p w14:paraId="4C8FDB1A">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25.2</w:t>
            </w:r>
          </w:p>
        </w:tc>
        <w:tc>
          <w:tcPr>
            <w:tcW w:w="8565" w:type="dxa"/>
            <w:gridSpan w:val="2"/>
            <w:vAlign w:val="center"/>
          </w:tcPr>
          <w:p w14:paraId="2306937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供应商须在文件获取截止时间（</w:t>
            </w:r>
            <w:r>
              <w:rPr>
                <w:rFonts w:hint="eastAsia" w:ascii="宋体" w:hAnsi="宋体" w:eastAsia="宋体" w:cs="宋体"/>
                <w:color w:val="auto"/>
                <w:sz w:val="24"/>
                <w:szCs w:val="24"/>
                <w:highlight w:val="none"/>
                <w:lang w:val="en-US" w:eastAsia="zh-CN"/>
              </w:rPr>
              <w:t>2025年05月29日08时30分</w:t>
            </w:r>
            <w:r>
              <w:rPr>
                <w:rFonts w:hint="eastAsia" w:ascii="宋体" w:hAnsi="宋体" w:eastAsia="宋体" w:cs="宋体"/>
                <w:b w:val="0"/>
                <w:bCs/>
                <w:color w:val="auto"/>
                <w:sz w:val="24"/>
                <w:szCs w:val="24"/>
                <w:highlight w:val="none"/>
              </w:rPr>
              <w:t>）前在</w:t>
            </w:r>
            <w:r>
              <w:rPr>
                <w:rFonts w:hint="eastAsia" w:ascii="宋体" w:hAnsi="宋体" w:eastAsia="宋体" w:cs="宋体"/>
                <w:b w:val="0"/>
                <w:bCs/>
                <w:color w:val="auto"/>
                <w:sz w:val="24"/>
                <w:szCs w:val="24"/>
                <w:highlight w:val="none"/>
                <w:lang w:eastAsia="zh-CN"/>
              </w:rPr>
              <w:t>玉溪市限额标准以下市场—八戒公采</w:t>
            </w:r>
            <w:r>
              <w:rPr>
                <w:rFonts w:hint="eastAsia" w:ascii="宋体" w:hAnsi="宋体" w:eastAsia="宋体" w:cs="宋体"/>
                <w:b w:val="0"/>
                <w:bCs/>
                <w:color w:val="auto"/>
                <w:sz w:val="24"/>
                <w:szCs w:val="24"/>
                <w:highlight w:val="none"/>
              </w:rPr>
              <w:t>平台完成电子版响应文件（需签字盖章）上传，否则将导致响应文件被否决处理。</w:t>
            </w:r>
          </w:p>
        </w:tc>
      </w:tr>
    </w:tbl>
    <w:p w14:paraId="7CA1EEA4">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lang w:val="en-US" w:eastAsia="en-US"/>
        </w:rPr>
      </w:pPr>
    </w:p>
    <w:p w14:paraId="621B3B5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B18A5A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60" w:name="_Toc19167"/>
      <w:bookmarkStart w:id="61" w:name="_Toc5460"/>
      <w:bookmarkStart w:id="62" w:name="_Toc19057"/>
      <w:bookmarkStart w:id="63" w:name="_Toc7897"/>
      <w:bookmarkStart w:id="64" w:name="_Toc31361"/>
      <w:r>
        <w:rPr>
          <w:rFonts w:hint="eastAsia" w:ascii="宋体" w:hAnsi="宋体" w:eastAsia="宋体" w:cs="宋体"/>
          <w:b/>
          <w:bCs/>
          <w:color w:val="auto"/>
          <w:sz w:val="24"/>
          <w:szCs w:val="24"/>
          <w:highlight w:val="none"/>
        </w:rPr>
        <w:t>1 总则</w:t>
      </w:r>
      <w:bookmarkEnd w:id="60"/>
      <w:bookmarkEnd w:id="61"/>
      <w:bookmarkEnd w:id="62"/>
      <w:bookmarkEnd w:id="63"/>
      <w:bookmarkEnd w:id="64"/>
    </w:p>
    <w:p w14:paraId="3AF3B5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项目概况</w:t>
      </w:r>
    </w:p>
    <w:p w14:paraId="413F1AE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 参照有关法律、法规和文件的规定，本项目已具备采购条件，现对本项目采</w:t>
      </w:r>
    </w:p>
    <w:p w14:paraId="306D83E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用询比采购方式选定成交人。</w:t>
      </w:r>
    </w:p>
    <w:p w14:paraId="2A129FD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1.1.2 本项目采购人：见供应商须知前附表。</w:t>
      </w:r>
    </w:p>
    <w:p w14:paraId="08AFE03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1.1.3 本项目代理机构：见供应商须知前附表。</w:t>
      </w:r>
    </w:p>
    <w:p w14:paraId="41CD835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1.1.4 本项目名称：见供应商须知前附表。</w:t>
      </w:r>
    </w:p>
    <w:p w14:paraId="007538E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 本项目采购内容：见供应商须知前附表。</w:t>
      </w:r>
    </w:p>
    <w:p w14:paraId="05365C9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1.1.6 本项目标段划分：见供应商须知前附表。</w:t>
      </w:r>
    </w:p>
    <w:p w14:paraId="4B09F61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 本项目服务周期：见供应商须知前附表。</w:t>
      </w:r>
    </w:p>
    <w:p w14:paraId="66FFA10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1.1.8 本项目服务质量：见供应商须知前附表。</w:t>
      </w:r>
    </w:p>
    <w:p w14:paraId="41443FD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65" w:name="bookmark6"/>
      <w:bookmarkEnd w:id="65"/>
      <w:r>
        <w:rPr>
          <w:rFonts w:hint="eastAsia" w:ascii="宋体" w:hAnsi="宋体" w:eastAsia="宋体" w:cs="宋体"/>
          <w:b/>
          <w:bCs/>
          <w:color w:val="auto"/>
          <w:sz w:val="24"/>
          <w:szCs w:val="24"/>
          <w:highlight w:val="none"/>
        </w:rPr>
        <w:t>1.2 供应商资格要求</w:t>
      </w:r>
    </w:p>
    <w:p w14:paraId="447BCF9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 供应商资格要求:见供应商须知前附表。</w:t>
      </w:r>
    </w:p>
    <w:p w14:paraId="29FAFFA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 是否接受联合体：详见供应商须知前附表。如为接受联合体的，联合体供应</w:t>
      </w:r>
    </w:p>
    <w:p w14:paraId="48BC390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商除须符合本章第 1.2.1 条规定外，还须满足以下条件：</w:t>
      </w:r>
    </w:p>
    <w:p w14:paraId="597D6EC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（1）联合体各方应按询比采购提供的格式签订联合体协议书，明确联合体牵头人</w:t>
      </w:r>
    </w:p>
    <w:p w14:paraId="0EC9D86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和各方权利义务，并承诺就成交项目向采购人承担连带责任；</w:t>
      </w:r>
    </w:p>
    <w:p w14:paraId="317F59C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（2）联合体中有同类资质的供应商按照联合体分工承担相同工作的，应当按照资</w:t>
      </w:r>
    </w:p>
    <w:p w14:paraId="278430C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质等级较低的供应商确定资质等级；</w:t>
      </w:r>
    </w:p>
    <w:p w14:paraId="7D839CE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（3）以联合体形式参加询比采购活动的，联合体各方不得再单独参加或者与其他</w:t>
      </w:r>
    </w:p>
    <w:p w14:paraId="22DC073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供应商另外组成联合体参加同一合同段下的询比采购活动。</w:t>
      </w:r>
    </w:p>
    <w:p w14:paraId="1D06818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1.2.3 资格审查方式：见供应商须知前附表。</w:t>
      </w:r>
    </w:p>
    <w:p w14:paraId="44CB7E7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66" w:name="bookmark7"/>
      <w:bookmarkEnd w:id="66"/>
      <w:r>
        <w:rPr>
          <w:rFonts w:hint="eastAsia" w:ascii="宋体" w:hAnsi="宋体" w:eastAsia="宋体" w:cs="宋体"/>
          <w:b/>
          <w:bCs/>
          <w:color w:val="auto"/>
          <w:sz w:val="24"/>
          <w:szCs w:val="24"/>
          <w:highlight w:val="none"/>
        </w:rPr>
        <w:t>1.3 费用承担</w:t>
      </w:r>
    </w:p>
    <w:p w14:paraId="241D912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1.3.1供应商准备和参加询比采购活动所发生的各种费用由供应商自行承担。</w:t>
      </w:r>
    </w:p>
    <w:p w14:paraId="6823B00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bookmarkStart w:id="67" w:name="OLE_LINK1"/>
      <w:r>
        <w:rPr>
          <w:rFonts w:hint="eastAsia" w:ascii="宋体" w:hAnsi="宋体" w:eastAsia="宋体" w:cs="宋体"/>
          <w:color w:val="auto"/>
          <w:sz w:val="24"/>
          <w:szCs w:val="24"/>
          <w:highlight w:val="none"/>
          <w:lang w:val="en-US" w:eastAsia="zh-CN"/>
        </w:rPr>
        <w:t>本项目代理服务费为￥3937.50元，由成交供应商在领取中标通知书时向代理公司一次性支付</w:t>
      </w:r>
      <w:bookmarkEnd w:id="67"/>
      <w:r>
        <w:rPr>
          <w:rFonts w:hint="eastAsia" w:ascii="宋体" w:hAnsi="宋体" w:eastAsia="宋体" w:cs="宋体"/>
          <w:color w:val="auto"/>
          <w:sz w:val="24"/>
          <w:szCs w:val="24"/>
          <w:highlight w:val="none"/>
          <w:lang w:val="en-US" w:eastAsia="zh-CN"/>
        </w:rPr>
        <w:t>。</w:t>
      </w:r>
    </w:p>
    <w:p w14:paraId="6D428FB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68" w:name="bookmark8"/>
      <w:bookmarkEnd w:id="68"/>
      <w:r>
        <w:rPr>
          <w:rFonts w:hint="eastAsia" w:ascii="宋体" w:hAnsi="宋体" w:eastAsia="宋体" w:cs="宋体"/>
          <w:b/>
          <w:bCs/>
          <w:color w:val="auto"/>
          <w:sz w:val="24"/>
          <w:szCs w:val="24"/>
          <w:highlight w:val="none"/>
        </w:rPr>
        <w:t>1.4 保密</w:t>
      </w:r>
    </w:p>
    <w:p w14:paraId="61BA24B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参加询比采购活动的各方应对询比文件和响应文件中的商业和技术等秘密保密，否</w:t>
      </w:r>
    </w:p>
    <w:p w14:paraId="4294728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则应承担相应的法律责任。</w:t>
      </w:r>
    </w:p>
    <w:p w14:paraId="3AFB414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语言文字</w:t>
      </w:r>
    </w:p>
    <w:p w14:paraId="5DDF7AE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询比文件和响应文件使用的语言文字为中文。专用术语使用外文的，应附有中文注释。</w:t>
      </w:r>
    </w:p>
    <w:p w14:paraId="45811CF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69" w:name="bookmark10"/>
      <w:bookmarkEnd w:id="69"/>
      <w:r>
        <w:rPr>
          <w:rFonts w:hint="eastAsia" w:ascii="宋体" w:hAnsi="宋体" w:eastAsia="宋体" w:cs="宋体"/>
          <w:b/>
          <w:bCs/>
          <w:color w:val="auto"/>
          <w:sz w:val="24"/>
          <w:szCs w:val="24"/>
          <w:highlight w:val="none"/>
        </w:rPr>
        <w:t>1.6 计量单位</w:t>
      </w:r>
    </w:p>
    <w:p w14:paraId="5F13302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所有计量均采用中华人民共和国法定计量单位。</w:t>
      </w:r>
    </w:p>
    <w:p w14:paraId="6FC9698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70" w:name="bookmark11"/>
      <w:bookmarkEnd w:id="70"/>
      <w:r>
        <w:rPr>
          <w:rFonts w:hint="eastAsia" w:ascii="宋体" w:hAnsi="宋体" w:eastAsia="宋体" w:cs="宋体"/>
          <w:b/>
          <w:bCs/>
          <w:color w:val="auto"/>
          <w:sz w:val="24"/>
          <w:szCs w:val="24"/>
          <w:highlight w:val="none"/>
        </w:rPr>
        <w:t>1.7 分包</w:t>
      </w:r>
    </w:p>
    <w:p w14:paraId="0D7F9BB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分包要求：见供应商须知前附表。</w:t>
      </w:r>
    </w:p>
    <w:p w14:paraId="4DD20E9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71" w:name="bookmark12"/>
      <w:bookmarkEnd w:id="71"/>
      <w:r>
        <w:rPr>
          <w:rFonts w:hint="eastAsia" w:ascii="宋体" w:hAnsi="宋体" w:eastAsia="宋体" w:cs="宋体"/>
          <w:b/>
          <w:bCs/>
          <w:color w:val="auto"/>
          <w:sz w:val="24"/>
          <w:szCs w:val="24"/>
          <w:highlight w:val="none"/>
        </w:rPr>
        <w:t>1.8 响应和偏差</w:t>
      </w:r>
    </w:p>
    <w:p w14:paraId="13B1351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1.8.1 响应文件的细微偏差是指响应文件在实质上响应询比文件的要求，但在个别地方存在漏项或者提供了不完整的技术信息和数据等情况，并且补正这些遗漏或者不完整不会对其他供应商造成不公平的结果。细微偏差不影响响应文件的有效性。</w:t>
      </w:r>
    </w:p>
    <w:p w14:paraId="65B9562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1.8.2 评审小组应当书面要求存在细微偏差的供应商在评标结束前予以补正。</w:t>
      </w:r>
    </w:p>
    <w:p w14:paraId="4105E81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72" w:name="bookmark14"/>
      <w:bookmarkEnd w:id="72"/>
      <w:bookmarkStart w:id="73" w:name="bookmark13"/>
      <w:bookmarkEnd w:id="73"/>
      <w:bookmarkStart w:id="74" w:name="_Toc1756"/>
      <w:bookmarkStart w:id="75" w:name="_Toc11893"/>
      <w:bookmarkStart w:id="76" w:name="_Toc22902"/>
      <w:bookmarkStart w:id="77" w:name="_Toc15363"/>
      <w:bookmarkStart w:id="78" w:name="_Toc20346"/>
      <w:r>
        <w:rPr>
          <w:rFonts w:hint="eastAsia" w:ascii="宋体" w:hAnsi="宋体" w:eastAsia="宋体" w:cs="宋体"/>
          <w:b/>
          <w:bCs/>
          <w:color w:val="auto"/>
          <w:sz w:val="24"/>
          <w:szCs w:val="24"/>
          <w:highlight w:val="none"/>
        </w:rPr>
        <w:t xml:space="preserve">2 </w:t>
      </w:r>
      <w:bookmarkEnd w:id="74"/>
      <w:r>
        <w:rPr>
          <w:rFonts w:hint="eastAsia" w:ascii="宋体" w:hAnsi="宋体" w:eastAsia="宋体" w:cs="宋体"/>
          <w:b/>
          <w:bCs/>
          <w:color w:val="auto"/>
          <w:sz w:val="24"/>
          <w:szCs w:val="24"/>
          <w:highlight w:val="none"/>
          <w:lang w:eastAsia="zh-CN"/>
        </w:rPr>
        <w:t>询比文件</w:t>
      </w:r>
      <w:bookmarkEnd w:id="75"/>
      <w:bookmarkEnd w:id="76"/>
      <w:bookmarkEnd w:id="77"/>
      <w:bookmarkEnd w:id="78"/>
    </w:p>
    <w:p w14:paraId="54EABC4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2.1 </w:t>
      </w:r>
      <w:r>
        <w:rPr>
          <w:rFonts w:hint="eastAsia" w:ascii="宋体" w:hAnsi="宋体" w:eastAsia="宋体" w:cs="宋体"/>
          <w:b/>
          <w:bCs/>
          <w:color w:val="auto"/>
          <w:sz w:val="24"/>
          <w:szCs w:val="24"/>
          <w:highlight w:val="none"/>
          <w:lang w:eastAsia="zh-CN"/>
        </w:rPr>
        <w:t>询比文件</w:t>
      </w:r>
      <w:r>
        <w:rPr>
          <w:rFonts w:hint="eastAsia" w:ascii="宋体" w:hAnsi="宋体" w:eastAsia="宋体" w:cs="宋体"/>
          <w:b/>
          <w:bCs/>
          <w:color w:val="auto"/>
          <w:sz w:val="24"/>
          <w:szCs w:val="24"/>
          <w:highlight w:val="none"/>
        </w:rPr>
        <w:t>的组成</w:t>
      </w:r>
    </w:p>
    <w:p w14:paraId="6CF3E19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本询比文件包括：</w:t>
      </w:r>
    </w:p>
    <w:p w14:paraId="356DF71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第一章 询比采购公告；</w:t>
      </w:r>
    </w:p>
    <w:p w14:paraId="7CFEC72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第二章 供应商须知；</w:t>
      </w:r>
    </w:p>
    <w:p w14:paraId="44DEF2F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第三章 评审办法；</w:t>
      </w:r>
    </w:p>
    <w:p w14:paraId="48D6EE3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第四章 合同条款及格式；</w:t>
      </w:r>
    </w:p>
    <w:p w14:paraId="23DE91B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第五章 采购需求；</w:t>
      </w:r>
    </w:p>
    <w:p w14:paraId="41B424E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第六章 响应文件格式。</w:t>
      </w:r>
    </w:p>
    <w:p w14:paraId="757836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采购人依照本章规定，对询比文件所作的澄清、修改，构成询比文件的组成部分。</w:t>
      </w:r>
    </w:p>
    <w:p w14:paraId="09B2501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79" w:name="bookmark15"/>
      <w:bookmarkEnd w:id="79"/>
      <w:r>
        <w:rPr>
          <w:rFonts w:hint="eastAsia" w:ascii="宋体" w:hAnsi="宋体" w:eastAsia="宋体" w:cs="宋体"/>
          <w:b/>
          <w:bCs/>
          <w:color w:val="auto"/>
          <w:sz w:val="24"/>
          <w:szCs w:val="24"/>
          <w:highlight w:val="none"/>
        </w:rPr>
        <w:t xml:space="preserve">2.2 </w:t>
      </w:r>
      <w:r>
        <w:rPr>
          <w:rFonts w:hint="eastAsia" w:ascii="宋体" w:hAnsi="宋体" w:eastAsia="宋体" w:cs="宋体"/>
          <w:b/>
          <w:bCs/>
          <w:color w:val="auto"/>
          <w:sz w:val="24"/>
          <w:szCs w:val="24"/>
          <w:highlight w:val="none"/>
          <w:lang w:eastAsia="zh-CN"/>
        </w:rPr>
        <w:t>询比文件</w:t>
      </w:r>
      <w:r>
        <w:rPr>
          <w:rFonts w:hint="eastAsia" w:ascii="宋体" w:hAnsi="宋体" w:eastAsia="宋体" w:cs="宋体"/>
          <w:b/>
          <w:bCs/>
          <w:color w:val="auto"/>
          <w:sz w:val="24"/>
          <w:szCs w:val="24"/>
          <w:highlight w:val="none"/>
        </w:rPr>
        <w:t>的澄清和修改</w:t>
      </w:r>
    </w:p>
    <w:p w14:paraId="6893630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 供应商应仔细阅读和检查询比文件的全部内容。如发现缺页或内容不全，应 及时向采购人提出，以便补齐。如有疑问，应在供应商须知前附表规定的时间前，以书</w:t>
      </w:r>
    </w:p>
    <w:p w14:paraId="1B9C0BB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面形式要求采购人对询比文件予以澄清。</w:t>
      </w:r>
    </w:p>
    <w:p w14:paraId="55267B5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采购人可根据供应商的要求或主动对询比文件进行澄清或修改。澄清或修改 的内容以补充文件的形式发给所有获取询比文件的供应商。采购人可视具体情况在补充</w:t>
      </w:r>
    </w:p>
    <w:p w14:paraId="3E45B16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文件中通知供应商推迟递交响应文件的截止时间。</w:t>
      </w:r>
    </w:p>
    <w:p w14:paraId="628A112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 供应商在收到补充文件后，应以书面形式通知采购人，确认已收到该补充文件。</w:t>
      </w:r>
    </w:p>
    <w:p w14:paraId="2E2ADA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2.2.4 除非确有必要，采购人有权拒绝回复供应商在本章第 2.2.1 项规定的时间后提出的任何澄清要求。</w:t>
      </w:r>
    </w:p>
    <w:p w14:paraId="6FCDDC4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b/>
          <w:bCs/>
          <w:color w:val="auto"/>
          <w:sz w:val="24"/>
          <w:szCs w:val="24"/>
          <w:highlight w:val="none"/>
        </w:rPr>
      </w:pPr>
      <w:bookmarkStart w:id="80" w:name="bookmark17"/>
      <w:bookmarkEnd w:id="80"/>
      <w:bookmarkStart w:id="81" w:name="bookmark16"/>
      <w:bookmarkEnd w:id="81"/>
      <w:bookmarkStart w:id="82" w:name="_Toc23490"/>
      <w:bookmarkStart w:id="83" w:name="_Toc18321"/>
      <w:bookmarkStart w:id="84" w:name="_Toc21839"/>
      <w:bookmarkStart w:id="85" w:name="_Toc1900"/>
      <w:bookmarkStart w:id="86" w:name="_Toc8007"/>
      <w:r>
        <w:rPr>
          <w:rFonts w:hint="eastAsia" w:ascii="宋体" w:hAnsi="宋体" w:eastAsia="宋体" w:cs="宋体"/>
          <w:b/>
          <w:bCs/>
          <w:color w:val="auto"/>
          <w:sz w:val="24"/>
          <w:szCs w:val="24"/>
          <w:highlight w:val="none"/>
        </w:rPr>
        <w:t>3 响应文件</w:t>
      </w:r>
      <w:bookmarkEnd w:id="82"/>
      <w:bookmarkEnd w:id="83"/>
      <w:bookmarkEnd w:id="84"/>
      <w:bookmarkEnd w:id="85"/>
      <w:bookmarkEnd w:id="86"/>
    </w:p>
    <w:p w14:paraId="42F20B1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 响应文件的组成</w:t>
      </w:r>
    </w:p>
    <w:p w14:paraId="4443CE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 响应文件应包括下列内容：</w:t>
      </w:r>
    </w:p>
    <w:p w14:paraId="00112F7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（1）报价函部分；</w:t>
      </w:r>
    </w:p>
    <w:p w14:paraId="17E5DFA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（2）商务部分；</w:t>
      </w:r>
    </w:p>
    <w:p w14:paraId="29184C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（3）技术部分；</w:t>
      </w:r>
    </w:p>
    <w:p w14:paraId="157F4EA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（4）资格审查资料部分；</w:t>
      </w:r>
    </w:p>
    <w:p w14:paraId="4E7CD24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（5）供应商须知前附表规定的其他资料或供应商认为有必要提供的其他资料。</w:t>
      </w:r>
    </w:p>
    <w:p w14:paraId="45CC9DE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供应商在评审过程中作出的符合询比文件要求的澄清、说明和补正，构成响应文件的组成部分。</w:t>
      </w:r>
    </w:p>
    <w:p w14:paraId="3DF79D4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87" w:name="bookmark18"/>
      <w:bookmarkEnd w:id="87"/>
      <w:r>
        <w:rPr>
          <w:rFonts w:hint="eastAsia" w:ascii="宋体" w:hAnsi="宋体" w:eastAsia="宋体" w:cs="宋体"/>
          <w:b/>
          <w:bCs/>
          <w:color w:val="auto"/>
          <w:sz w:val="24"/>
          <w:szCs w:val="24"/>
          <w:highlight w:val="none"/>
        </w:rPr>
        <w:t>3.2 报价</w:t>
      </w:r>
    </w:p>
    <w:p w14:paraId="350917B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供应商应按询比文件提供的格式(见第六章“响应文件格式”）在报价函和报价表中进行报价。</w:t>
      </w:r>
    </w:p>
    <w:p w14:paraId="36F95C9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供应商应充分了解采购项目的总体情况以及影响报价的其他要素。</w:t>
      </w:r>
    </w:p>
    <w:p w14:paraId="22CD5FA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3.2.3 采购人设有最高限价的，供应商的报价不得超过最高限价。</w:t>
      </w:r>
    </w:p>
    <w:p w14:paraId="5E3741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3.2.4 报价的其他要求见供应商须知前附表。</w:t>
      </w:r>
    </w:p>
    <w:p w14:paraId="04C27A1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88" w:name="bookmark19"/>
      <w:bookmarkEnd w:id="88"/>
      <w:r>
        <w:rPr>
          <w:rFonts w:hint="eastAsia" w:ascii="宋体" w:hAnsi="宋体" w:eastAsia="宋体" w:cs="宋体"/>
          <w:b/>
          <w:bCs/>
          <w:color w:val="auto"/>
          <w:sz w:val="24"/>
          <w:szCs w:val="24"/>
          <w:highlight w:val="none"/>
        </w:rPr>
        <w:t>3.3 响应文件有效期</w:t>
      </w:r>
    </w:p>
    <w:p w14:paraId="43BA181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3.3.1 除供应商须知前附表另有规定外，响应文件有效期应为 90 日，从询比文件规定的递交响应文件的截止时间开始计算。</w:t>
      </w:r>
    </w:p>
    <w:p w14:paraId="537A07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3.3.2 出现特殊情况需要延长响应文件有效期的，采购人以书面形式通知所有供应 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22B1D51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89" w:name="bookmark20"/>
      <w:bookmarkEnd w:id="89"/>
      <w:r>
        <w:rPr>
          <w:rFonts w:hint="eastAsia" w:ascii="宋体" w:hAnsi="宋体" w:eastAsia="宋体" w:cs="宋体"/>
          <w:b/>
          <w:bCs/>
          <w:color w:val="auto"/>
          <w:sz w:val="24"/>
          <w:szCs w:val="24"/>
          <w:highlight w:val="none"/>
        </w:rPr>
        <w:t>3.4 响应保证金</w:t>
      </w:r>
    </w:p>
    <w:p w14:paraId="404D6DA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3.4.1 </w:t>
      </w:r>
      <w:bookmarkStart w:id="90" w:name="OLE_LINK7"/>
      <w:r>
        <w:rPr>
          <w:rFonts w:hint="eastAsia" w:ascii="宋体" w:hAnsi="宋体" w:eastAsia="宋体" w:cs="宋体"/>
          <w:color w:val="auto"/>
          <w:sz w:val="24"/>
          <w:szCs w:val="24"/>
          <w:highlight w:val="none"/>
          <w:lang w:val="en-US" w:eastAsia="zh-CN"/>
        </w:rPr>
        <w:t>供应商须知前附表</w:t>
      </w:r>
      <w:bookmarkEnd w:id="90"/>
      <w:r>
        <w:rPr>
          <w:rFonts w:hint="eastAsia" w:ascii="宋体" w:hAnsi="宋体" w:eastAsia="宋体" w:cs="宋体"/>
          <w:color w:val="auto"/>
          <w:sz w:val="24"/>
          <w:szCs w:val="24"/>
          <w:highlight w:val="none"/>
          <w:lang w:val="en-US" w:eastAsia="zh-CN"/>
        </w:rPr>
        <w:t>规定要求递交响应保证金的，供应商在递交响应文件的同时，应按供应商须知前附表规定的金额、形式和询比文件提供的格式(见第六章“ 响应文件格式 ”四、响应保证金）递交响应保证金，并作为其响应文件的组成部分。供应商不按要求递交响应保证金的，其响应文件将被视为无效。</w:t>
      </w:r>
    </w:p>
    <w:p w14:paraId="3AEBB2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3.4.2 除供应商须知前附表另有规定外，采购人将在发出成交通知书后 5 日内向除候选成交供应商外的其他供应商原额退还响应保证金，并在采购合同签订后 5 日内向成交供应商和未成交的其他候选成交供应商原额退还响应保证金</w:t>
      </w:r>
    </w:p>
    <w:p w14:paraId="6D87EB6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3.4.3 有下列情形之一的，响应保证金将不予退还：</w:t>
      </w:r>
    </w:p>
    <w:p w14:paraId="258B80D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(1)供应商在响应文件有效期内撤销响应文件；</w:t>
      </w:r>
    </w:p>
    <w:p w14:paraId="1A13ED2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(2)成交供应商在收到成交通知书后，无正当理由不与采购人订立合同，在签订合同时向采购人提出附加条件，或者不按照询比文件要求递交履约保证金。</w:t>
      </w:r>
    </w:p>
    <w:p w14:paraId="6AA063F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91" w:name="bookmark21"/>
      <w:bookmarkEnd w:id="91"/>
      <w:r>
        <w:rPr>
          <w:rFonts w:hint="eastAsia" w:ascii="宋体" w:hAnsi="宋体" w:eastAsia="宋体" w:cs="宋体"/>
          <w:b/>
          <w:bCs/>
          <w:color w:val="auto"/>
          <w:sz w:val="24"/>
          <w:szCs w:val="24"/>
          <w:highlight w:val="none"/>
        </w:rPr>
        <w:t>3.5 资格审查资料</w:t>
      </w:r>
    </w:p>
    <w:p w14:paraId="62C4E2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供应商应提供供应商须知前附表 1.2.1 中规定的资格审查资料，以证明其满足第一章“询比采购公告 ”对供应商的各项资格要求。</w:t>
      </w:r>
    </w:p>
    <w:p w14:paraId="6905C52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92" w:name="bookmark22"/>
      <w:bookmarkEnd w:id="92"/>
      <w:r>
        <w:rPr>
          <w:rFonts w:hint="eastAsia" w:ascii="宋体" w:hAnsi="宋体" w:eastAsia="宋体" w:cs="宋体"/>
          <w:b/>
          <w:bCs/>
          <w:color w:val="auto"/>
          <w:sz w:val="24"/>
          <w:szCs w:val="24"/>
          <w:highlight w:val="none"/>
        </w:rPr>
        <w:t>3.6 响应方案</w:t>
      </w:r>
    </w:p>
    <w:p w14:paraId="6F68032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3.6.1 响应文件应当对询比文件中的实质性内容作出响应。</w:t>
      </w:r>
    </w:p>
    <w:p w14:paraId="6D82E7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3.6.2 供应商只能提出唯一的响应方案。供应商在响应文件中提出多个响应方案的，其响应文件将被视为无效。</w:t>
      </w:r>
    </w:p>
    <w:p w14:paraId="0B4353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3.6.3 响应文件对询比文件的全部偏差，均应在响应文件的商务和技术偏离表中列 明。响应文件偏离表中未列明的内容，将视为供应商响应询比文件的要求；但如发现响 应文件的其他部分与商务和技术偏离表的描述不一致或供应商的响应缺乏支持性文件， 则评审小组有权要求供应商对相关问题进行澄清，并根据澄清结果对供应商的响应文件</w:t>
      </w:r>
    </w:p>
    <w:p w14:paraId="4ED364C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进行评审。</w:t>
      </w:r>
    </w:p>
    <w:p w14:paraId="127D9E1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93" w:name="bookmark23"/>
      <w:bookmarkEnd w:id="93"/>
      <w:r>
        <w:rPr>
          <w:rFonts w:hint="eastAsia" w:ascii="宋体" w:hAnsi="宋体" w:eastAsia="宋体" w:cs="宋体"/>
          <w:b/>
          <w:bCs/>
          <w:color w:val="auto"/>
          <w:sz w:val="24"/>
          <w:szCs w:val="24"/>
          <w:highlight w:val="none"/>
        </w:rPr>
        <w:t>3.7 响应文件的编制</w:t>
      </w:r>
    </w:p>
    <w:p w14:paraId="3349267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3.7.1 响应文件应按第六章“响应文件格式 ”进行编写，如有必要，可以增加附页，作为响应文件的组成部分。</w:t>
      </w:r>
    </w:p>
    <w:p w14:paraId="6C5C7B6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3.7.2 响应文件应用不褪色的材料书写或打印。报价函应由供应商的法定代表人或其授权的代理人签字并加盖单位章。</w:t>
      </w:r>
    </w:p>
    <w:p w14:paraId="73A8BB7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联合体协议书(如有）应由联合体各方的法定代表人或其授权的代理人签字并加盖单位章。</w:t>
      </w:r>
    </w:p>
    <w:p w14:paraId="788BC3A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响应文件或联合体协议书(如有）由代理人签字的，应在响应文件中附授权委托书，授权委托书应由供应商或联合体各方的法定代表人签字并加盖单位章。</w:t>
      </w:r>
    </w:p>
    <w:p w14:paraId="5D55E54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 评审过程中供应商对响应文件的澄清、说明和补正应由供应商的法定代表人或其授权的代理人签字或加盖单位章。</w:t>
      </w:r>
    </w:p>
    <w:p w14:paraId="1A88F36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3.7.4 响应文件应尽量避免涂改、行间插字或删除。如果出现上述情况，改动之处应由供应商的法定代表人或其授权的代理人签字或加盖单位章。</w:t>
      </w:r>
    </w:p>
    <w:p w14:paraId="186B5A3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3.7.5 响应文件正本一份，副本份数见供应商须知前附表。正本和副本的封面右上 角应清楚地标记“正本 ”或“副本 ”的字样。供应商应根据供应商须知前附表要求提供 电子版文件。当副本和正本不一致或电子版文件和纸质正本文件不一致时，以纸质正本文件为准。</w:t>
      </w:r>
    </w:p>
    <w:p w14:paraId="0FDB5EF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94" w:name="bookmark24"/>
      <w:bookmarkEnd w:id="94"/>
      <w:bookmarkStart w:id="95" w:name="bookmark25"/>
      <w:bookmarkEnd w:id="95"/>
      <w:bookmarkStart w:id="96" w:name="_Toc7307"/>
      <w:bookmarkStart w:id="97" w:name="_Toc3594"/>
      <w:bookmarkStart w:id="98" w:name="_Toc6814"/>
      <w:bookmarkStart w:id="99" w:name="_Toc16070"/>
      <w:bookmarkStart w:id="100" w:name="_Toc12466"/>
      <w:r>
        <w:rPr>
          <w:rFonts w:hint="eastAsia" w:ascii="宋体" w:hAnsi="宋体" w:eastAsia="宋体" w:cs="宋体"/>
          <w:b/>
          <w:bCs/>
          <w:color w:val="auto"/>
          <w:sz w:val="24"/>
          <w:szCs w:val="24"/>
          <w:highlight w:val="none"/>
        </w:rPr>
        <w:t>4 响应文件的递交</w:t>
      </w:r>
      <w:bookmarkEnd w:id="96"/>
      <w:bookmarkEnd w:id="97"/>
      <w:bookmarkEnd w:id="98"/>
      <w:bookmarkEnd w:id="99"/>
      <w:bookmarkEnd w:id="100"/>
    </w:p>
    <w:p w14:paraId="20CFF91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4.1 响应文件的包装与标记</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详见供应商须知前附表</w:t>
      </w:r>
    </w:p>
    <w:p w14:paraId="125CF09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响应文件的递交</w:t>
      </w:r>
    </w:p>
    <w:p w14:paraId="57219E6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 供应商应在供应商须知前附表规定的递交响应文件的截止时间前，将响应文件递交到供应商须知前附表规定的地点。逾期送达的或者未送达指定地点的响应文件，采购人将拒绝接收。</w:t>
      </w:r>
    </w:p>
    <w:p w14:paraId="7540557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4.2.2 除供应商须知前附表另有规定外，供应商所递交的响应文件不予退还。</w:t>
      </w:r>
    </w:p>
    <w:p w14:paraId="190DE5E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101" w:name="bookmark26"/>
      <w:bookmarkEnd w:id="101"/>
      <w:r>
        <w:rPr>
          <w:rFonts w:hint="eastAsia" w:ascii="宋体" w:hAnsi="宋体" w:eastAsia="宋体" w:cs="宋体"/>
          <w:b/>
          <w:bCs/>
          <w:color w:val="auto"/>
          <w:sz w:val="24"/>
          <w:szCs w:val="24"/>
          <w:highlight w:val="none"/>
        </w:rPr>
        <w:t>4.3 响应文件的修改与撤回</w:t>
      </w:r>
    </w:p>
    <w:p w14:paraId="55E6F12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4.3.1 在本章第 4.2.1 项规定的递交响应文件的截止时间前，供应商可以修改或撤回已递交的响应文件，但应以书面形式通知采购人。</w:t>
      </w:r>
    </w:p>
    <w:p w14:paraId="343D7FE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 响应文件的修改文件或供应商撤回已递交响应文件的书面通知应由供应商的法定代表人或其授权的代理人签字并加盖单位章。</w:t>
      </w:r>
    </w:p>
    <w:p w14:paraId="5169637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4.3.4 修改的内容为响应文件的组成部分。响应文件的修改文件应按照本章第 3 条、第 4 条的规定进行编制、包装、标记和递交，并标明“修改 ”字样。</w:t>
      </w:r>
    </w:p>
    <w:p w14:paraId="4E9FF9B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b/>
          <w:bCs/>
          <w:color w:val="auto"/>
          <w:sz w:val="24"/>
          <w:szCs w:val="24"/>
          <w:highlight w:val="none"/>
        </w:rPr>
      </w:pPr>
      <w:bookmarkStart w:id="102" w:name="bookmark28"/>
      <w:bookmarkEnd w:id="102"/>
      <w:bookmarkStart w:id="103" w:name="bookmark27"/>
      <w:bookmarkEnd w:id="103"/>
      <w:bookmarkStart w:id="104" w:name="_Toc12232"/>
      <w:bookmarkStart w:id="105" w:name="_Toc1891"/>
      <w:bookmarkStart w:id="106" w:name="_Toc27015"/>
      <w:bookmarkStart w:id="107" w:name="_Toc20750"/>
      <w:bookmarkStart w:id="108" w:name="_Toc8374"/>
      <w:r>
        <w:rPr>
          <w:rFonts w:hint="eastAsia" w:ascii="宋体" w:hAnsi="宋体" w:eastAsia="宋体" w:cs="宋体"/>
          <w:b/>
          <w:bCs/>
          <w:color w:val="auto"/>
          <w:sz w:val="24"/>
          <w:szCs w:val="24"/>
          <w:highlight w:val="none"/>
        </w:rPr>
        <w:t>5 开启响应文件</w:t>
      </w:r>
      <w:bookmarkEnd w:id="104"/>
      <w:bookmarkEnd w:id="105"/>
      <w:bookmarkEnd w:id="106"/>
      <w:bookmarkEnd w:id="107"/>
      <w:bookmarkEnd w:id="108"/>
    </w:p>
    <w:p w14:paraId="22EC3B8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 开启响应文件的时间和地点</w:t>
      </w:r>
    </w:p>
    <w:p w14:paraId="19BEFD9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采购人在本章第 4.2.1 项规定的递交响应文件的截止时间和地点公开开启响应文件，并邀请所有供应商的法定代表人或其授权的代理人参加开启会议，供应商未派代表参加的，视为默认开启结果。</w:t>
      </w:r>
    </w:p>
    <w:p w14:paraId="749E43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109" w:name="bookmark29"/>
      <w:bookmarkEnd w:id="109"/>
      <w:r>
        <w:rPr>
          <w:rFonts w:hint="eastAsia" w:ascii="宋体" w:hAnsi="宋体" w:eastAsia="宋体" w:cs="宋体"/>
          <w:b/>
          <w:bCs/>
          <w:color w:val="auto"/>
          <w:sz w:val="24"/>
          <w:szCs w:val="24"/>
          <w:highlight w:val="none"/>
        </w:rPr>
        <w:t>5.2 开启程序</w:t>
      </w:r>
    </w:p>
    <w:p w14:paraId="4C7B8CC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主持人按下列程序公开开启响应文件：</w:t>
      </w:r>
    </w:p>
    <w:p w14:paraId="03AE6EE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(1)宣布开启会议纪律；</w:t>
      </w:r>
    </w:p>
    <w:p w14:paraId="24DF94D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(2)宣布参加开启会议的工作人员姓名；</w:t>
      </w:r>
    </w:p>
    <w:p w14:paraId="0684374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(3)按照供应商须知前附表规定的开启顺序开启响应文件，公布递交响应文件的供应商名称、响应报价及供应商须知前附表规定的其他应公布的信息，并记录在案；</w:t>
      </w:r>
    </w:p>
    <w:p w14:paraId="1E796A2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(4)相关工作人员等在响应文件开启记录上签字确认；</w:t>
      </w:r>
    </w:p>
    <w:p w14:paraId="77214D8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(5)宣布有关注意事项；</w:t>
      </w:r>
    </w:p>
    <w:p w14:paraId="2AF6B0C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(6)开启会议结束。</w:t>
      </w:r>
    </w:p>
    <w:p w14:paraId="766588F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110" w:name="bookmark30"/>
      <w:bookmarkEnd w:id="110"/>
      <w:r>
        <w:rPr>
          <w:rFonts w:hint="eastAsia" w:ascii="宋体" w:hAnsi="宋体" w:eastAsia="宋体" w:cs="宋体"/>
          <w:b/>
          <w:bCs/>
          <w:color w:val="auto"/>
          <w:sz w:val="24"/>
          <w:szCs w:val="24"/>
          <w:highlight w:val="none"/>
        </w:rPr>
        <w:t>5.3 递交响应文件的供应商不足的情形</w:t>
      </w:r>
    </w:p>
    <w:p w14:paraId="29A96A1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采购项目选择一家成交供应商时，递交响应文件的供应商数量不足三家的，采购人可按照下述情形分别处理：</w:t>
      </w:r>
    </w:p>
    <w:p w14:paraId="4C7930B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(1)终止询比并重新组织采购</w:t>
      </w:r>
    </w:p>
    <w:p w14:paraId="6BE13B4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存在影响公平竞争情形的，采购人应当终止询比采购，并根据不同情形和原因，采取相应纠正措施，重新组织采购。采购项目不存在影响公平竞争情形的，采购人也可以选择终止询比采购，采取相应完善措施，重新组织采购。</w:t>
      </w:r>
    </w:p>
    <w:p w14:paraId="79EFB7D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(2)继续询比采购</w:t>
      </w:r>
    </w:p>
    <w:p w14:paraId="7396AE9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采购项目不存在应该终止询比情形，且采购人也没有自行选择终止询比采购的，采 购人应按照本章第 5.2 款规定的程序继续开启响应文件，并按第三章“评审办法 ”规定的规则组织响应文件评审，完成询比采购后续程序。</w:t>
      </w:r>
    </w:p>
    <w:p w14:paraId="1479F3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111" w:name="bookmark31"/>
      <w:bookmarkEnd w:id="111"/>
      <w:bookmarkStart w:id="112" w:name="bookmark32"/>
      <w:bookmarkEnd w:id="112"/>
      <w:bookmarkStart w:id="113" w:name="_Toc16091"/>
      <w:bookmarkStart w:id="114" w:name="_Toc24936"/>
      <w:bookmarkStart w:id="115" w:name="_Toc12190"/>
      <w:bookmarkStart w:id="116" w:name="_Toc4355"/>
      <w:bookmarkStart w:id="117" w:name="_Toc23679"/>
      <w:r>
        <w:rPr>
          <w:rFonts w:hint="eastAsia" w:ascii="宋体" w:hAnsi="宋体" w:eastAsia="宋体" w:cs="宋体"/>
          <w:b/>
          <w:bCs/>
          <w:color w:val="auto"/>
          <w:sz w:val="24"/>
          <w:szCs w:val="24"/>
          <w:highlight w:val="none"/>
        </w:rPr>
        <w:t>6 评审</w:t>
      </w:r>
      <w:bookmarkEnd w:id="113"/>
      <w:bookmarkEnd w:id="114"/>
      <w:bookmarkEnd w:id="115"/>
      <w:bookmarkEnd w:id="116"/>
      <w:bookmarkEnd w:id="117"/>
    </w:p>
    <w:p w14:paraId="5B8E81F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 评审小组</w:t>
      </w:r>
    </w:p>
    <w:p w14:paraId="0579E7E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 评审由采购人组建的评审小组负责。</w:t>
      </w:r>
    </w:p>
    <w:p w14:paraId="345B140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 评审小组成员有下列情形之一的，应当回避：</w:t>
      </w:r>
    </w:p>
    <w:p w14:paraId="3B25C7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(1)供应商主要负责人或供应商主要负责人的近亲属；</w:t>
      </w:r>
    </w:p>
    <w:p w14:paraId="5E88763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(2)与供应商有经济利益关系或其他利害关系，可能影响公正评审的。</w:t>
      </w:r>
    </w:p>
    <w:p w14:paraId="7B951B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6.1.3评审小组组建后，评审小组成员共同推选或由采购人指定评审小组组长，评审小组组长负责组织评审工作。</w:t>
      </w:r>
    </w:p>
    <w:p w14:paraId="6889BFA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6.1.4 在评审过程中，评审小组成员对需要共同认定的事项存在争议的，将按照少 数服从多数的原则作出结论。持不同意见的评审小组成员应当在评审报告上签署不同意见及理由，否则视为同意评审报告。</w:t>
      </w:r>
    </w:p>
    <w:p w14:paraId="36D13FC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rPr>
      </w:pPr>
      <w:bookmarkStart w:id="118" w:name="bookmark33"/>
      <w:bookmarkEnd w:id="118"/>
      <w:r>
        <w:rPr>
          <w:rFonts w:hint="eastAsia" w:ascii="宋体" w:hAnsi="宋体" w:eastAsia="宋体" w:cs="宋体"/>
          <w:b/>
          <w:bCs/>
          <w:color w:val="auto"/>
          <w:sz w:val="24"/>
          <w:szCs w:val="24"/>
          <w:highlight w:val="none"/>
        </w:rPr>
        <w:t>6.2 评审</w:t>
      </w:r>
    </w:p>
    <w:p w14:paraId="156CBBA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6.2.1 评审小组按照第三章“评审办法 ”规定的评审标准和程序对响应文件进行评审和比较。</w:t>
      </w:r>
    </w:p>
    <w:p w14:paraId="72BE139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6.2.2 评审完成后，评审小组应当向采购人提交书面评审报告和候选成交供应商名</w:t>
      </w:r>
    </w:p>
    <w:p w14:paraId="5E7B078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单。评审小组推荐候选成交供应商的排序要求及数量见供应商须知前附表。</w:t>
      </w:r>
    </w:p>
    <w:p w14:paraId="6FB7F61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119" w:name="bookmark34"/>
      <w:bookmarkEnd w:id="119"/>
      <w:bookmarkStart w:id="120" w:name="bookmark35"/>
      <w:bookmarkEnd w:id="120"/>
      <w:bookmarkStart w:id="121" w:name="_Toc5563"/>
      <w:bookmarkStart w:id="122" w:name="_Toc25447"/>
      <w:bookmarkStart w:id="123" w:name="_Toc5512"/>
      <w:bookmarkStart w:id="124" w:name="_Toc9277"/>
      <w:bookmarkStart w:id="125" w:name="_Toc9147"/>
      <w:r>
        <w:rPr>
          <w:rFonts w:hint="eastAsia" w:ascii="宋体" w:hAnsi="宋体" w:eastAsia="宋体" w:cs="宋体"/>
          <w:b/>
          <w:bCs/>
          <w:color w:val="auto"/>
          <w:sz w:val="24"/>
          <w:szCs w:val="24"/>
          <w:highlight w:val="none"/>
        </w:rPr>
        <w:t>7 合同授予</w:t>
      </w:r>
      <w:bookmarkEnd w:id="121"/>
      <w:bookmarkEnd w:id="122"/>
      <w:bookmarkEnd w:id="123"/>
      <w:bookmarkEnd w:id="124"/>
      <w:bookmarkEnd w:id="125"/>
    </w:p>
    <w:p w14:paraId="6FEDA6E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7.1 确定成交供应商</w:t>
      </w:r>
    </w:p>
    <w:p w14:paraId="6694025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采购人应当在收到评审报告后，从评审报告提出的成交候选供应商中，按照排序由高到低的原则确定成交供应商。</w:t>
      </w:r>
    </w:p>
    <w:p w14:paraId="6D5CE9C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26" w:name="bookmark36"/>
      <w:bookmarkEnd w:id="126"/>
      <w:r>
        <w:rPr>
          <w:rFonts w:hint="eastAsia" w:ascii="宋体" w:hAnsi="宋体" w:eastAsia="宋体" w:cs="宋体"/>
          <w:b/>
          <w:bCs/>
          <w:color w:val="auto"/>
          <w:sz w:val="24"/>
          <w:szCs w:val="24"/>
          <w:highlight w:val="none"/>
          <w:lang w:val="en-US" w:eastAsia="zh-CN"/>
        </w:rPr>
        <w:t>7.2 发布成交通知</w:t>
      </w:r>
    </w:p>
    <w:p w14:paraId="335EC8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成交供应商确定后，将在玉溪市限额标准以下市场—八戒公采平台（https://cg.zbj.com/）上发布成交结果并发布成交通知书。</w:t>
      </w:r>
    </w:p>
    <w:p w14:paraId="44A0CDF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27" w:name="bookmark37"/>
      <w:bookmarkEnd w:id="127"/>
      <w:r>
        <w:rPr>
          <w:rFonts w:hint="eastAsia" w:ascii="宋体" w:hAnsi="宋体" w:eastAsia="宋体" w:cs="宋体"/>
          <w:b/>
          <w:bCs/>
          <w:color w:val="auto"/>
          <w:sz w:val="24"/>
          <w:szCs w:val="24"/>
          <w:highlight w:val="none"/>
          <w:lang w:val="en-US" w:eastAsia="zh-CN"/>
        </w:rPr>
        <w:t>7.3 履约保证金</w:t>
      </w:r>
    </w:p>
    <w:p w14:paraId="0F6EF56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供应商须知前附表规定递交履约保证金的，成交供应商应按供应商须知前附表规定的形式、有效期限和递交时间向采购人递交履约保证金。</w:t>
      </w:r>
    </w:p>
    <w:p w14:paraId="122A21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28" w:name="bookmark38"/>
      <w:bookmarkEnd w:id="128"/>
      <w:r>
        <w:rPr>
          <w:rFonts w:hint="eastAsia" w:ascii="宋体" w:hAnsi="宋体" w:eastAsia="宋体" w:cs="宋体"/>
          <w:b/>
          <w:bCs/>
          <w:color w:val="auto"/>
          <w:sz w:val="24"/>
          <w:szCs w:val="24"/>
          <w:highlight w:val="none"/>
          <w:lang w:val="en-US" w:eastAsia="zh-CN"/>
        </w:rPr>
        <w:t>7.4 签订合同</w:t>
      </w:r>
    </w:p>
    <w:p w14:paraId="251EE8F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7.4.1 采购人和成交供应商应当在成交通知书规定的期限内，根据询比文件和成交 供应商的响应文件订立书面合同。成交供应商无正当理由拒绝签订合同，在签订合同时 向采购人提出附加条件，或者不按照询比文件要求递交履约保证金的，采购人取消其成 交资格，其响应保证金不予退还；给采购人造成的损失超过响应保证金数额的，成交供应商还应当对超过部分予以赔偿。</w:t>
      </w:r>
    </w:p>
    <w:p w14:paraId="711F6CD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7.4.2 发出成交通知书后，采购人无正当理由拒绝签订合同，或者在签订合同时向</w:t>
      </w:r>
    </w:p>
    <w:p w14:paraId="2877454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成交供应商提出附加条件的，采购人向成交供应商退还响应保证金；给成交供应商造成损失的，还应当赔偿损失。</w:t>
      </w:r>
    </w:p>
    <w:p w14:paraId="63BE26D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7.4.3 联合体成交的，联合体各方应当共同与采购人签订合同，就成交项目向采购人承担连带责任。</w:t>
      </w:r>
    </w:p>
    <w:p w14:paraId="015ABB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7.4.4 除供应商须知前附表另有规定外，按照第三章“评审办法 ”第 2.2.3 项规定 对响应报价进行修正后，若修正后的响应报价小于按照第三章“评审办法 ”第 2.2.2 项 规定确定的评审价格，则签订合同时以修正后的响应报价为准；若修正后的响应报价大 于评审价格，则签订合同时以评审价格为准，同时按比例修正相应子目的单价或合价(采购文件不允许调整的费率和金额除外）。</w:t>
      </w:r>
    </w:p>
    <w:p w14:paraId="6760223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29" w:name="bookmark39"/>
      <w:bookmarkEnd w:id="129"/>
      <w:r>
        <w:rPr>
          <w:rFonts w:hint="eastAsia" w:ascii="宋体" w:hAnsi="宋体" w:eastAsia="宋体" w:cs="宋体"/>
          <w:b/>
          <w:bCs/>
          <w:color w:val="auto"/>
          <w:sz w:val="24"/>
          <w:szCs w:val="24"/>
          <w:highlight w:val="none"/>
          <w:lang w:val="en-US" w:eastAsia="zh-CN"/>
        </w:rPr>
        <w:t>7.5 特殊情形处理</w:t>
      </w:r>
    </w:p>
    <w:p w14:paraId="14B2C73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因供应商对预成交结果提出异议、成交供应商无正当理由拒绝签订合同、成交供应 商在签订合同时向采购人提出附加条件或者不按照询比文件要求递交履约保证金等导 致采购人变更成交结果的，采购人可以按评审报告推荐的候选供应商排序确定供应商或重新采购。</w:t>
      </w:r>
    </w:p>
    <w:p w14:paraId="395F558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130" w:name="bookmark40"/>
      <w:bookmarkEnd w:id="130"/>
      <w:bookmarkStart w:id="131" w:name="bookmark41"/>
      <w:bookmarkEnd w:id="131"/>
      <w:bookmarkStart w:id="132" w:name="_Toc15247"/>
      <w:bookmarkStart w:id="133" w:name="_Toc27604"/>
      <w:bookmarkStart w:id="134" w:name="_Toc7915"/>
      <w:bookmarkStart w:id="135" w:name="_Toc30450"/>
      <w:bookmarkStart w:id="136" w:name="_Toc2746"/>
      <w:r>
        <w:rPr>
          <w:rFonts w:hint="eastAsia" w:ascii="宋体" w:hAnsi="宋体" w:eastAsia="宋体" w:cs="宋体"/>
          <w:b/>
          <w:bCs/>
          <w:color w:val="auto"/>
          <w:sz w:val="24"/>
          <w:szCs w:val="24"/>
          <w:highlight w:val="none"/>
        </w:rPr>
        <w:t>8 异议</w:t>
      </w:r>
      <w:bookmarkEnd w:id="132"/>
      <w:bookmarkEnd w:id="133"/>
      <w:bookmarkEnd w:id="134"/>
      <w:bookmarkEnd w:id="135"/>
      <w:bookmarkEnd w:id="136"/>
    </w:p>
    <w:p w14:paraId="44EAAE3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 提出异议</w:t>
      </w:r>
    </w:p>
    <w:p w14:paraId="139D0AC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供应商或者其他利害关系人可以对预成交结果提出异议。异议应在成交结果公布后 3 日历天内向采购人或采购代理机构或采购人纪检监察部门提出，并递交异议函和必要的证明材料。异议函包括但不限于下列内容：</w:t>
      </w:r>
    </w:p>
    <w:p w14:paraId="3F2F032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(1)异议人名称、地址、邮政编码、联系人及联系电话；</w:t>
      </w:r>
    </w:p>
    <w:p w14:paraId="3D80A8E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(2)具体、明确的异议事项、事实依据及与异议事项相关的请求。</w:t>
      </w:r>
    </w:p>
    <w:p w14:paraId="5DE8AAB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异议函应由异议人的法定代表人或其授权的代理人签字并加盖单位章。</w:t>
      </w:r>
    </w:p>
    <w:p w14:paraId="14EA6EF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37" w:name="bookmark42"/>
      <w:bookmarkEnd w:id="137"/>
      <w:r>
        <w:rPr>
          <w:rFonts w:hint="eastAsia" w:ascii="宋体" w:hAnsi="宋体" w:eastAsia="宋体" w:cs="宋体"/>
          <w:b/>
          <w:bCs/>
          <w:color w:val="auto"/>
          <w:sz w:val="24"/>
          <w:szCs w:val="24"/>
          <w:highlight w:val="none"/>
          <w:lang w:val="en-US" w:eastAsia="zh-CN"/>
        </w:rPr>
        <w:t>8.2 异议处理</w:t>
      </w:r>
    </w:p>
    <w:p w14:paraId="662D6E2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将针对异议事项进行核查，经过核查，发现异议人对相关问题理解有误的，应作出解释；发现采购活动中确实存在错误或不当行为的，应及时予以改正或补救。异议人与采购人对异议事项无法达成一致的，异议人可向采购人纪检监察部门申请调解或进行反映。</w:t>
      </w:r>
      <w:r>
        <w:rPr>
          <w:rFonts w:hint="eastAsia" w:ascii="宋体" w:hAnsi="宋体" w:eastAsia="宋体" w:cs="宋体"/>
          <w:color w:val="auto"/>
          <w:sz w:val="24"/>
          <w:szCs w:val="24"/>
          <w:highlight w:val="none"/>
        </w:rPr>
        <w:t>采购人认为异议不成立或不影响采购结果的，可以继续进行采购活动。</w:t>
      </w:r>
    </w:p>
    <w:p w14:paraId="02A1FF3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138" w:name="_Toc4826"/>
      <w:bookmarkStart w:id="139" w:name="_Toc4438"/>
      <w:bookmarkStart w:id="140" w:name="_Toc26613"/>
      <w:bookmarkStart w:id="141" w:name="_Toc32153"/>
      <w:bookmarkStart w:id="142" w:name="_Toc20839"/>
      <w:r>
        <w:rPr>
          <w:rFonts w:hint="eastAsia" w:ascii="宋体" w:hAnsi="宋体" w:eastAsia="宋体" w:cs="宋体"/>
          <w:b/>
          <w:bCs/>
          <w:color w:val="auto"/>
          <w:sz w:val="24"/>
          <w:szCs w:val="24"/>
          <w:highlight w:val="none"/>
        </w:rPr>
        <w:t>9 纪律要求</w:t>
      </w:r>
      <w:bookmarkEnd w:id="138"/>
      <w:bookmarkEnd w:id="139"/>
      <w:bookmarkEnd w:id="140"/>
      <w:bookmarkEnd w:id="141"/>
      <w:bookmarkEnd w:id="142"/>
    </w:p>
    <w:p w14:paraId="0B3B884F">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 对采购人的纪律要求</w:t>
      </w:r>
    </w:p>
    <w:p w14:paraId="71BC44C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采购人不得泄露询比采购活动中应当保密的情况和资料，不得与供应商串通损害国</w:t>
      </w:r>
    </w:p>
    <w:p w14:paraId="6018980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家利益、社会公共利益或者他人合法权益。</w:t>
      </w:r>
    </w:p>
    <w:p w14:paraId="6C30AB0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43" w:name="bookmark45"/>
      <w:bookmarkEnd w:id="143"/>
      <w:r>
        <w:rPr>
          <w:rFonts w:hint="eastAsia" w:ascii="宋体" w:hAnsi="宋体" w:eastAsia="宋体" w:cs="宋体"/>
          <w:b/>
          <w:bCs/>
          <w:color w:val="auto"/>
          <w:sz w:val="24"/>
          <w:szCs w:val="24"/>
          <w:highlight w:val="none"/>
          <w:lang w:val="en-US" w:eastAsia="zh-CN"/>
        </w:rPr>
        <w:t>9.2 对供应商的纪律要求</w:t>
      </w:r>
    </w:p>
    <w:p w14:paraId="0B7A10F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供应商不得相互串通或者与采购人串通，不得向采购人或者评审小组成员行贿谋取 成交，不得以他人名义参加询比采购活动或者以其他方式弄虚作假骗取成交；供应商不</w:t>
      </w:r>
    </w:p>
    <w:p w14:paraId="0E53B69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得以任何方式干扰、影响评审工作。</w:t>
      </w:r>
    </w:p>
    <w:p w14:paraId="525B10F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44" w:name="bookmark46"/>
      <w:bookmarkEnd w:id="144"/>
      <w:r>
        <w:rPr>
          <w:rFonts w:hint="eastAsia" w:ascii="宋体" w:hAnsi="宋体" w:eastAsia="宋体" w:cs="宋体"/>
          <w:b/>
          <w:bCs/>
          <w:color w:val="auto"/>
          <w:sz w:val="24"/>
          <w:szCs w:val="24"/>
          <w:highlight w:val="none"/>
          <w:lang w:val="en-US" w:eastAsia="zh-CN"/>
        </w:rPr>
        <w:t>9.3 对评审小组成员的纪律要求</w:t>
      </w:r>
    </w:p>
    <w:p w14:paraId="447DE7C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评审小组成员不得收受他人的财物或者其他好处，不得向他人透露对响应文件的评 审和比较、候选成交供应商的推荐情况以及评审有关的其他情况。在评审活动中，评审 小组成员应当客观、公正地履行职责，遵守职业道德，不得擅离职守，影响评审工作正常进行，不得使用第三章“评审办法 ”没有规定的评审因素和标准进行评审。</w:t>
      </w:r>
    </w:p>
    <w:p w14:paraId="1246986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bookmarkStart w:id="145" w:name="bookmark47"/>
      <w:bookmarkEnd w:id="145"/>
      <w:r>
        <w:rPr>
          <w:rFonts w:hint="eastAsia" w:ascii="宋体" w:hAnsi="宋体" w:eastAsia="宋体" w:cs="宋体"/>
          <w:b/>
          <w:bCs/>
          <w:color w:val="auto"/>
          <w:sz w:val="24"/>
          <w:szCs w:val="24"/>
          <w:highlight w:val="none"/>
          <w:lang w:val="en-US" w:eastAsia="zh-CN"/>
        </w:rPr>
        <w:t>9.4 对与询比活动有关的工作人员的纪律要求</w:t>
      </w:r>
    </w:p>
    <w:p w14:paraId="09B3FC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与询比活动有关的工作人员不得收受他人的财物或者其他好处，不得向他人透露对 响应文件的评审和比较、候选成交供应商的推荐情况以及询比有关的其他情况。在询比活动中，与询比活动有关的工作人员不得擅离职守，影响评审工作正常进行。</w:t>
      </w:r>
    </w:p>
    <w:p w14:paraId="5773FAD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1"/>
        <w:rPr>
          <w:rFonts w:hint="eastAsia" w:ascii="宋体" w:hAnsi="宋体" w:eastAsia="宋体" w:cs="宋体"/>
          <w:color w:val="auto"/>
          <w:sz w:val="24"/>
          <w:szCs w:val="24"/>
          <w:highlight w:val="none"/>
        </w:rPr>
      </w:pPr>
      <w:bookmarkStart w:id="146" w:name="bookmark50"/>
      <w:bookmarkEnd w:id="146"/>
      <w:bookmarkStart w:id="147" w:name="bookmark49"/>
      <w:bookmarkEnd w:id="147"/>
      <w:bookmarkStart w:id="148" w:name="bookmark48"/>
      <w:bookmarkEnd w:id="148"/>
      <w:bookmarkStart w:id="149" w:name="_Toc31089"/>
      <w:bookmarkStart w:id="150" w:name="_Toc26906"/>
      <w:bookmarkStart w:id="151" w:name="_Toc9608"/>
      <w:bookmarkStart w:id="152" w:name="_Toc2722"/>
      <w:bookmarkStart w:id="153" w:name="_Toc15882"/>
      <w:r>
        <w:rPr>
          <w:rFonts w:hint="eastAsia" w:ascii="宋体" w:hAnsi="宋体" w:eastAsia="宋体" w:cs="宋体"/>
          <w:b/>
          <w:bCs/>
          <w:color w:val="auto"/>
          <w:sz w:val="24"/>
          <w:szCs w:val="24"/>
          <w:highlight w:val="none"/>
        </w:rPr>
        <w:t>10 需要补充的其他内容</w:t>
      </w:r>
      <w:bookmarkEnd w:id="149"/>
      <w:bookmarkEnd w:id="150"/>
      <w:bookmarkEnd w:id="151"/>
      <w:bookmarkEnd w:id="152"/>
      <w:bookmarkEnd w:id="153"/>
    </w:p>
    <w:p w14:paraId="3C32195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10.1 采购代理服务费</w:t>
      </w:r>
    </w:p>
    <w:p w14:paraId="645D166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供应商须知前附表规定由供应商承担采购代理服务费的，供应商应按照供应商须</w:t>
      </w:r>
    </w:p>
    <w:p w14:paraId="245C4EE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知前附表规定的费用标准或金额、交费时间和方式向采购代理机构支付代理服务费。</w:t>
      </w:r>
    </w:p>
    <w:p w14:paraId="5A78672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10.2 其他</w:t>
      </w:r>
    </w:p>
    <w:p w14:paraId="5B62649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需要补充的其他内容：见供应商须知前附表。</w:t>
      </w:r>
    </w:p>
    <w:p w14:paraId="5E3D5FDA">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A2739AC">
      <w:pPr>
        <w:pStyle w:val="3"/>
        <w:keepNext/>
        <w:keepLines/>
        <w:pageBreakBefore w:val="0"/>
        <w:widowControl/>
        <w:numPr>
          <w:ilvl w:val="0"/>
          <w:numId w:val="2"/>
        </w:numPr>
        <w:kinsoku w:val="0"/>
        <w:wordWrap/>
        <w:overflowPunct/>
        <w:topLinePunct w:val="0"/>
        <w:autoSpaceDE w:val="0"/>
        <w:autoSpaceDN w:val="0"/>
        <w:bidi w:val="0"/>
        <w:adjustRightInd w:val="0"/>
        <w:snapToGrid w:val="0"/>
        <w:spacing w:before="0" w:after="10" w:line="500" w:lineRule="exact"/>
        <w:jc w:val="center"/>
        <w:textAlignment w:val="baseline"/>
        <w:rPr>
          <w:rFonts w:hint="eastAsia" w:ascii="宋体" w:hAnsi="宋体" w:eastAsia="宋体" w:cs="宋体"/>
          <w:b/>
          <w:color w:val="auto"/>
          <w:sz w:val="40"/>
          <w:szCs w:val="20"/>
          <w:highlight w:val="none"/>
          <w:lang w:val="en-US" w:eastAsia="zh-CN"/>
        </w:rPr>
      </w:pPr>
      <w:bookmarkStart w:id="154" w:name="OLE_LINK30"/>
      <w:bookmarkStart w:id="155" w:name="_Toc28206"/>
      <w:r>
        <w:rPr>
          <w:rFonts w:hint="eastAsia" w:ascii="宋体" w:hAnsi="宋体" w:eastAsia="宋体" w:cs="宋体"/>
          <w:b/>
          <w:color w:val="auto"/>
          <w:sz w:val="40"/>
          <w:szCs w:val="20"/>
          <w:highlight w:val="none"/>
        </w:rPr>
        <w:t xml:space="preserve"> </w:t>
      </w:r>
      <w:bookmarkStart w:id="156" w:name="_Toc444"/>
      <w:r>
        <w:rPr>
          <w:rFonts w:hint="eastAsia" w:ascii="宋体" w:hAnsi="宋体" w:eastAsia="宋体" w:cs="宋体"/>
          <w:b/>
          <w:color w:val="auto"/>
          <w:sz w:val="40"/>
          <w:szCs w:val="20"/>
          <w:highlight w:val="none"/>
          <w:lang w:val="en-US" w:eastAsia="zh-CN"/>
        </w:rPr>
        <w:t>采购需求</w:t>
      </w:r>
      <w:bookmarkEnd w:id="156"/>
    </w:p>
    <w:tbl>
      <w:tblPr>
        <w:tblStyle w:val="23"/>
        <w:tblW w:w="8498" w:type="dxa"/>
        <w:tblInd w:w="0" w:type="dxa"/>
        <w:tblLayout w:type="fixed"/>
        <w:tblCellMar>
          <w:top w:w="0" w:type="dxa"/>
          <w:left w:w="0" w:type="dxa"/>
          <w:bottom w:w="0" w:type="dxa"/>
          <w:right w:w="0" w:type="dxa"/>
        </w:tblCellMar>
      </w:tblPr>
      <w:tblGrid>
        <w:gridCol w:w="2047"/>
        <w:gridCol w:w="4725"/>
        <w:gridCol w:w="672"/>
        <w:gridCol w:w="1054"/>
      </w:tblGrid>
      <w:tr w14:paraId="14D03014">
        <w:tblPrEx>
          <w:tblCellMar>
            <w:top w:w="0" w:type="dxa"/>
            <w:left w:w="0" w:type="dxa"/>
            <w:bottom w:w="0" w:type="dxa"/>
            <w:right w:w="0" w:type="dxa"/>
          </w:tblCellMar>
        </w:tblPrEx>
        <w:trPr>
          <w:trHeight w:val="859" w:hRule="atLeast"/>
        </w:trPr>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1594">
            <w:pPr>
              <w:keepNext w:val="0"/>
              <w:keepLines w:val="0"/>
              <w:widowControl/>
              <w:suppressLineNumbers w:val="0"/>
              <w:jc w:val="center"/>
              <w:textAlignment w:val="center"/>
              <w:rPr>
                <w:rFonts w:hint="default" w:ascii="宋体" w:hAnsi="宋体" w:eastAsia="宋体" w:cs="宋体"/>
                <w:b/>
                <w:bCs w:val="0"/>
                <w:i w:val="0"/>
                <w:color w:val="auto"/>
                <w:sz w:val="21"/>
                <w:szCs w:val="21"/>
                <w:highlight w:val="none"/>
                <w:u w:val="none"/>
                <w:lang w:val="en-US"/>
              </w:rPr>
            </w:pPr>
            <w:r>
              <w:rPr>
                <w:rFonts w:hint="eastAsia" w:ascii="宋体" w:hAnsi="宋体" w:eastAsia="宋体" w:cs="宋体"/>
                <w:b/>
                <w:bCs w:val="0"/>
                <w:i w:val="0"/>
                <w:color w:val="auto"/>
                <w:kern w:val="0"/>
                <w:sz w:val="21"/>
                <w:szCs w:val="21"/>
                <w:highlight w:val="none"/>
                <w:u w:val="none"/>
                <w:lang w:val="en-US" w:eastAsia="zh-CN" w:bidi="ar"/>
              </w:rPr>
              <w:t>项目名称</w:t>
            </w:r>
          </w:p>
        </w:tc>
        <w:tc>
          <w:tcPr>
            <w:tcW w:w="4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2ECF2">
            <w:pPr>
              <w:keepNext w:val="0"/>
              <w:keepLines w:val="0"/>
              <w:widowControl/>
              <w:suppressLineNumbers w:val="0"/>
              <w:jc w:val="center"/>
              <w:textAlignment w:val="center"/>
              <w:rPr>
                <w:rFonts w:hint="eastAsia" w:ascii="宋体" w:hAnsi="宋体" w:eastAsia="宋体" w:cs="宋体"/>
                <w:b/>
                <w:bCs w:val="0"/>
                <w:i w:val="0"/>
                <w:color w:val="auto"/>
                <w:sz w:val="21"/>
                <w:szCs w:val="21"/>
                <w:highlight w:val="none"/>
                <w:u w:val="none"/>
              </w:rPr>
            </w:pPr>
            <w:r>
              <w:rPr>
                <w:rStyle w:val="32"/>
                <w:b/>
                <w:bCs w:val="0"/>
                <w:color w:val="auto"/>
                <w:sz w:val="21"/>
                <w:szCs w:val="21"/>
                <w:highlight w:val="none"/>
                <w:lang w:val="en-US" w:eastAsia="zh-CN" w:bidi="ar"/>
              </w:rPr>
              <w:t>规格（技术参数、性能要求）</w:t>
            </w:r>
            <w:r>
              <w:rPr>
                <w:rStyle w:val="32"/>
                <w:b/>
                <w:bCs w:val="0"/>
                <w:color w:val="auto"/>
                <w:sz w:val="21"/>
                <w:szCs w:val="21"/>
                <w:highlight w:val="none"/>
                <w:lang w:val="en-US" w:eastAsia="zh-CN" w:bidi="ar"/>
              </w:rPr>
              <w:br w:type="textWrapping"/>
            </w:r>
            <w:r>
              <w:rPr>
                <w:rStyle w:val="43"/>
                <w:b/>
                <w:bCs w:val="0"/>
                <w:color w:val="auto"/>
                <w:sz w:val="21"/>
                <w:szCs w:val="21"/>
                <w:highlight w:val="none"/>
                <w:lang w:val="en-US" w:eastAsia="zh-CN" w:bidi="ar"/>
              </w:rPr>
              <w:t>（每行最多1000个汉字）</w:t>
            </w: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24C10">
            <w:pPr>
              <w:keepNext w:val="0"/>
              <w:keepLines w:val="0"/>
              <w:widowControl/>
              <w:suppressLineNumbers w:val="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数量</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22730">
            <w:pPr>
              <w:keepNext w:val="0"/>
              <w:keepLines w:val="0"/>
              <w:widowControl/>
              <w:suppressLineNumbers w:val="0"/>
              <w:jc w:val="center"/>
              <w:textAlignment w:val="center"/>
              <w:rPr>
                <w:rFonts w:hint="eastAsia" w:ascii="宋体" w:hAnsi="宋体" w:eastAsia="宋体" w:cs="宋体"/>
                <w:b/>
                <w:bCs w:val="0"/>
                <w:i w:val="0"/>
                <w:color w:val="auto"/>
                <w:sz w:val="21"/>
                <w:szCs w:val="21"/>
                <w:highlight w:val="none"/>
                <w:u w:val="none"/>
              </w:rPr>
            </w:pPr>
            <w:r>
              <w:rPr>
                <w:rFonts w:hint="eastAsia" w:ascii="宋体" w:hAnsi="宋体" w:eastAsia="宋体" w:cs="宋体"/>
                <w:b/>
                <w:bCs w:val="0"/>
                <w:i w:val="0"/>
                <w:color w:val="auto"/>
                <w:kern w:val="0"/>
                <w:sz w:val="21"/>
                <w:szCs w:val="21"/>
                <w:highlight w:val="none"/>
                <w:u w:val="none"/>
                <w:lang w:val="en-US" w:eastAsia="zh-CN" w:bidi="ar"/>
              </w:rPr>
              <w:t>计量</w:t>
            </w:r>
            <w:r>
              <w:rPr>
                <w:rFonts w:hint="eastAsia" w:ascii="宋体" w:hAnsi="宋体" w:eastAsia="宋体" w:cs="宋体"/>
                <w:b/>
                <w:bCs w:val="0"/>
                <w:i w:val="0"/>
                <w:color w:val="auto"/>
                <w:kern w:val="0"/>
                <w:sz w:val="21"/>
                <w:szCs w:val="21"/>
                <w:highlight w:val="none"/>
                <w:u w:val="none"/>
                <w:lang w:val="en-US" w:eastAsia="zh-CN" w:bidi="ar"/>
              </w:rPr>
              <w:br w:type="textWrapping"/>
            </w:r>
            <w:r>
              <w:rPr>
                <w:rFonts w:hint="eastAsia" w:ascii="宋体" w:hAnsi="宋体" w:eastAsia="宋体" w:cs="宋体"/>
                <w:b/>
                <w:bCs w:val="0"/>
                <w:i w:val="0"/>
                <w:color w:val="auto"/>
                <w:kern w:val="0"/>
                <w:sz w:val="21"/>
                <w:szCs w:val="21"/>
                <w:highlight w:val="none"/>
                <w:u w:val="none"/>
                <w:lang w:val="en-US" w:eastAsia="zh-CN" w:bidi="ar"/>
              </w:rPr>
              <w:t>单位</w:t>
            </w:r>
          </w:p>
        </w:tc>
      </w:tr>
      <w:tr w14:paraId="7E1C4571">
        <w:tblPrEx>
          <w:tblCellMar>
            <w:top w:w="0" w:type="dxa"/>
            <w:left w:w="0" w:type="dxa"/>
            <w:bottom w:w="0" w:type="dxa"/>
            <w:right w:w="0" w:type="dxa"/>
          </w:tblCellMar>
        </w:tblPrEx>
        <w:trPr>
          <w:trHeight w:val="1443" w:hRule="atLeast"/>
        </w:trPr>
        <w:tc>
          <w:tcPr>
            <w:tcW w:w="2047"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2AF9D71">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b w:val="0"/>
                <w:bCs w:val="0"/>
                <w:sz w:val="21"/>
                <w:szCs w:val="21"/>
                <w:highlight w:val="none"/>
                <w:lang w:val="en-US" w:eastAsia="zh-CN"/>
              </w:rPr>
              <w:t>玉溪市“十五五”综合交通枢纽发展规划</w:t>
            </w:r>
          </w:p>
        </w:tc>
        <w:tc>
          <w:tcPr>
            <w:tcW w:w="4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AC95C">
            <w:pPr>
              <w:keepNext w:val="0"/>
              <w:keepLines w:val="0"/>
              <w:widowControl/>
              <w:suppressLineNumbers w:val="0"/>
              <w:jc w:val="left"/>
              <w:textAlignment w:val="center"/>
              <w:rPr>
                <w:rFonts w:hint="default" w:ascii="宋体" w:hAnsi="宋体" w:eastAsia="宋体" w:cs="宋体"/>
                <w:i w:val="0"/>
                <w:color w:val="000000"/>
                <w:sz w:val="21"/>
                <w:szCs w:val="21"/>
                <w:highlight w:val="none"/>
                <w:u w:val="none"/>
                <w:lang w:val="en-US"/>
              </w:rPr>
            </w:pPr>
            <w:r>
              <w:rPr>
                <w:rFonts w:hint="eastAsia"/>
                <w:b w:val="0"/>
                <w:bCs w:val="0"/>
                <w:sz w:val="21"/>
                <w:szCs w:val="21"/>
                <w:highlight w:val="none"/>
                <w:lang w:val="en-US" w:eastAsia="zh-CN"/>
              </w:rPr>
              <w:t>玉溪市“十五五”综合交通枢纽发展规划编制及工程咨询服务</w:t>
            </w:r>
          </w:p>
        </w:tc>
        <w:tc>
          <w:tcPr>
            <w:tcW w:w="672"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C771C0D">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1</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51A0">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eastAsia="宋体" w:cs="宋体"/>
                <w:i w:val="0"/>
                <w:color w:val="000000"/>
                <w:sz w:val="21"/>
                <w:szCs w:val="21"/>
                <w:highlight w:val="none"/>
                <w:u w:val="none"/>
                <w:lang w:val="en-US" w:eastAsia="zh-CN"/>
              </w:rPr>
              <w:t>项</w:t>
            </w:r>
          </w:p>
        </w:tc>
      </w:tr>
    </w:tbl>
    <w:p w14:paraId="3F9C14F8">
      <w:pPr>
        <w:rPr>
          <w:rFonts w:hint="eastAsia" w:ascii="宋体" w:hAnsi="宋体" w:eastAsia="宋体" w:cs="宋体"/>
          <w:highlight w:val="none"/>
          <w:lang w:val="en-US" w:eastAsia="zh-CN"/>
        </w:rPr>
      </w:pPr>
    </w:p>
    <w:p w14:paraId="4E4D37D7">
      <w:pPr>
        <w:rPr>
          <w:rFonts w:hint="eastAsia" w:ascii="宋体" w:hAnsi="宋体" w:eastAsia="宋体" w:cs="宋体"/>
          <w:b/>
          <w:color w:val="auto"/>
          <w:sz w:val="40"/>
          <w:szCs w:val="20"/>
          <w:highlight w:val="none"/>
        </w:rPr>
      </w:pPr>
      <w:r>
        <w:rPr>
          <w:rFonts w:hint="eastAsia" w:ascii="宋体" w:hAnsi="宋体" w:eastAsia="宋体" w:cs="宋体"/>
          <w:b/>
          <w:color w:val="auto"/>
          <w:sz w:val="40"/>
          <w:szCs w:val="20"/>
          <w:highlight w:val="none"/>
        </w:rPr>
        <w:br w:type="page"/>
      </w:r>
    </w:p>
    <w:bookmarkEnd w:id="154"/>
    <w:bookmarkEnd w:id="155"/>
    <w:p w14:paraId="5CF21FDE">
      <w:pPr>
        <w:spacing w:line="360" w:lineRule="auto"/>
        <w:jc w:val="center"/>
        <w:outlineLvl w:val="0"/>
        <w:rPr>
          <w:rFonts w:hint="eastAsia" w:ascii="宋体" w:hAnsi="宋体" w:eastAsia="宋体" w:cs="宋体"/>
          <w:color w:val="auto"/>
          <w:highlight w:val="none"/>
        </w:rPr>
      </w:pPr>
      <w:bookmarkStart w:id="157" w:name="_Toc13240"/>
      <w:bookmarkStart w:id="158" w:name="_Toc29081"/>
      <w:r>
        <w:rPr>
          <w:rFonts w:hint="eastAsia" w:ascii="宋体" w:hAnsi="宋体" w:eastAsia="宋体" w:cs="宋体"/>
          <w:b/>
          <w:bCs/>
          <w:color w:val="auto"/>
          <w:sz w:val="36"/>
          <w:highlight w:val="none"/>
          <w:lang w:val="en-US" w:eastAsia="zh-CN"/>
        </w:rPr>
        <w:t xml:space="preserve">第四章 </w:t>
      </w:r>
      <w:r>
        <w:rPr>
          <w:rFonts w:hint="eastAsia" w:ascii="宋体" w:hAnsi="宋体" w:eastAsia="宋体" w:cs="宋体"/>
          <w:b/>
          <w:bCs/>
          <w:color w:val="auto"/>
          <w:sz w:val="36"/>
          <w:highlight w:val="none"/>
        </w:rPr>
        <w:t>评选办法前附表及评选办法</w:t>
      </w:r>
      <w:bookmarkEnd w:id="157"/>
    </w:p>
    <w:p w14:paraId="1669BC16">
      <w:pPr>
        <w:pStyle w:val="4"/>
        <w:numPr>
          <w:ilvl w:val="0"/>
          <w:numId w:val="3"/>
        </w:numPr>
        <w:spacing w:line="380" w:lineRule="exact"/>
        <w:jc w:val="center"/>
        <w:rPr>
          <w:rFonts w:hint="eastAsia" w:ascii="宋体" w:hAnsi="宋体" w:eastAsia="宋体" w:cs="宋体"/>
          <w:color w:val="auto"/>
          <w:highlight w:val="none"/>
        </w:rPr>
      </w:pPr>
      <w:bookmarkStart w:id="159" w:name="_Toc9819"/>
      <w:bookmarkStart w:id="160" w:name="_Toc5264"/>
      <w:bookmarkStart w:id="161" w:name="_Toc22299"/>
      <w:bookmarkStart w:id="162" w:name="_Toc424829828"/>
      <w:bookmarkStart w:id="163" w:name="_Toc30975"/>
      <w:bookmarkStart w:id="164" w:name="_Toc508262108"/>
      <w:r>
        <w:rPr>
          <w:rFonts w:hint="eastAsia" w:ascii="宋体" w:hAnsi="宋体" w:eastAsia="宋体" w:cs="宋体"/>
          <w:color w:val="auto"/>
          <w:highlight w:val="none"/>
        </w:rPr>
        <w:t>评选办法前附表</w:t>
      </w:r>
      <w:bookmarkEnd w:id="159"/>
      <w:bookmarkEnd w:id="160"/>
      <w:bookmarkEnd w:id="161"/>
      <w:bookmarkEnd w:id="162"/>
      <w:bookmarkEnd w:id="163"/>
      <w:bookmarkEnd w:id="164"/>
    </w:p>
    <w:tbl>
      <w:tblPr>
        <w:tblStyle w:val="2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136"/>
        <w:gridCol w:w="88"/>
        <w:gridCol w:w="1627"/>
        <w:gridCol w:w="5838"/>
      </w:tblGrid>
      <w:tr w14:paraId="27A0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06" w:type="dxa"/>
            <w:gridSpan w:val="2"/>
            <w:noWrap w:val="0"/>
            <w:vAlign w:val="center"/>
          </w:tcPr>
          <w:p w14:paraId="7726B121">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款  号</w:t>
            </w:r>
          </w:p>
        </w:tc>
        <w:tc>
          <w:tcPr>
            <w:tcW w:w="1715" w:type="dxa"/>
            <w:gridSpan w:val="2"/>
            <w:noWrap w:val="0"/>
            <w:vAlign w:val="center"/>
          </w:tcPr>
          <w:p w14:paraId="3A86E013">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因 素</w:t>
            </w:r>
          </w:p>
        </w:tc>
        <w:tc>
          <w:tcPr>
            <w:tcW w:w="5838" w:type="dxa"/>
            <w:noWrap w:val="0"/>
            <w:vAlign w:val="center"/>
          </w:tcPr>
          <w:p w14:paraId="4F764D9A">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标 准</w:t>
            </w:r>
          </w:p>
        </w:tc>
      </w:tr>
      <w:tr w14:paraId="2548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restart"/>
            <w:noWrap w:val="0"/>
            <w:vAlign w:val="center"/>
          </w:tcPr>
          <w:p w14:paraId="4B6C15F7">
            <w:pPr>
              <w:snapToGrid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136" w:type="dxa"/>
            <w:vMerge w:val="restart"/>
            <w:noWrap w:val="0"/>
            <w:vAlign w:val="center"/>
          </w:tcPr>
          <w:p w14:paraId="581EA953">
            <w:pPr>
              <w:snapToGrid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资格评审标准</w:t>
            </w:r>
          </w:p>
        </w:tc>
        <w:tc>
          <w:tcPr>
            <w:tcW w:w="1715" w:type="dxa"/>
            <w:gridSpan w:val="2"/>
            <w:noWrap w:val="0"/>
            <w:vAlign w:val="center"/>
          </w:tcPr>
          <w:p w14:paraId="15314EA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2"/>
                <w:szCs w:val="22"/>
                <w:highlight w:val="none"/>
                <w:lang w:bidi="ar-SA"/>
              </w:rPr>
              <w:t>《中华人民共和国政府采购法》第二十二条规定</w:t>
            </w:r>
          </w:p>
        </w:tc>
        <w:tc>
          <w:tcPr>
            <w:tcW w:w="5838" w:type="dxa"/>
            <w:noWrap w:val="0"/>
            <w:vAlign w:val="center"/>
          </w:tcPr>
          <w:p w14:paraId="413CC862">
            <w:pPr>
              <w:pStyle w:val="38"/>
              <w:widowControl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2"/>
                <w:szCs w:val="22"/>
                <w:highlight w:val="none"/>
                <w:lang w:bidi="ar-SA"/>
              </w:rPr>
              <w:t>具备《中华人民共和国政府采购法》第二十二条规定的条件</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val="en-US" w:eastAsia="zh-CN" w:bidi="ar-SA"/>
              </w:rPr>
              <w:t>提供承诺函（格式自拟）</w:t>
            </w:r>
            <w:r>
              <w:rPr>
                <w:rFonts w:hint="eastAsia" w:ascii="宋体" w:hAnsi="宋体" w:eastAsia="宋体" w:cs="宋体"/>
                <w:bCs/>
                <w:color w:val="auto"/>
                <w:sz w:val="22"/>
                <w:szCs w:val="22"/>
                <w:highlight w:val="none"/>
                <w:lang w:bidi="ar-SA"/>
              </w:rPr>
              <w:t>。</w:t>
            </w:r>
          </w:p>
        </w:tc>
      </w:tr>
      <w:tr w14:paraId="152B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continue"/>
            <w:noWrap w:val="0"/>
            <w:vAlign w:val="center"/>
          </w:tcPr>
          <w:p w14:paraId="0C62C650">
            <w:pPr>
              <w:snapToGrid w:val="0"/>
              <w:spacing w:line="280" w:lineRule="exact"/>
              <w:jc w:val="center"/>
              <w:rPr>
                <w:rFonts w:hint="eastAsia" w:ascii="宋体" w:hAnsi="宋体" w:eastAsia="宋体" w:cs="宋体"/>
                <w:color w:val="auto"/>
                <w:sz w:val="24"/>
                <w:szCs w:val="24"/>
                <w:highlight w:val="none"/>
              </w:rPr>
            </w:pPr>
          </w:p>
        </w:tc>
        <w:tc>
          <w:tcPr>
            <w:tcW w:w="1136" w:type="dxa"/>
            <w:vMerge w:val="continue"/>
            <w:noWrap w:val="0"/>
            <w:vAlign w:val="center"/>
          </w:tcPr>
          <w:p w14:paraId="6B8CE399">
            <w:pPr>
              <w:snapToGrid w:val="0"/>
              <w:spacing w:line="280" w:lineRule="exact"/>
              <w:jc w:val="center"/>
              <w:rPr>
                <w:rFonts w:hint="eastAsia" w:ascii="宋体" w:hAnsi="宋体" w:eastAsia="宋体" w:cs="宋体"/>
                <w:b/>
                <w:bCs/>
                <w:color w:val="auto"/>
                <w:sz w:val="24"/>
                <w:szCs w:val="24"/>
                <w:highlight w:val="none"/>
              </w:rPr>
            </w:pPr>
          </w:p>
        </w:tc>
        <w:tc>
          <w:tcPr>
            <w:tcW w:w="1715" w:type="dxa"/>
            <w:gridSpan w:val="2"/>
            <w:noWrap w:val="0"/>
            <w:vAlign w:val="center"/>
          </w:tcPr>
          <w:p w14:paraId="5E3895F2">
            <w:pPr>
              <w:spacing w:line="420" w:lineRule="exact"/>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bidi="ar-SA"/>
              </w:rPr>
              <w:t>资质要求</w:t>
            </w:r>
          </w:p>
        </w:tc>
        <w:tc>
          <w:tcPr>
            <w:tcW w:w="5838" w:type="dxa"/>
            <w:noWrap w:val="0"/>
            <w:vAlign w:val="center"/>
          </w:tcPr>
          <w:p w14:paraId="611B6BFF">
            <w:pPr>
              <w:spacing w:line="420" w:lineRule="exact"/>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2"/>
                <w:szCs w:val="22"/>
                <w:highlight w:val="none"/>
                <w:lang w:eastAsia="zh-CN"/>
              </w:rPr>
              <w:t>供应商须具备城乡规划编制甲级资质或在全国投资项目在线审批监管平台(http://www.tzxm.gov.cn)备案，且工程咨询专业必须包含公路，咨询服务范围必须包含规划咨询。（提供资质证书扫描件或备案截图）。</w:t>
            </w:r>
          </w:p>
        </w:tc>
      </w:tr>
      <w:tr w14:paraId="7F2D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continue"/>
            <w:noWrap w:val="0"/>
            <w:vAlign w:val="center"/>
          </w:tcPr>
          <w:p w14:paraId="1E3AA8FD">
            <w:pPr>
              <w:snapToGrid w:val="0"/>
              <w:spacing w:line="280" w:lineRule="exact"/>
              <w:jc w:val="center"/>
              <w:rPr>
                <w:rFonts w:hint="eastAsia" w:ascii="宋体" w:hAnsi="宋体" w:eastAsia="宋体" w:cs="宋体"/>
                <w:color w:val="auto"/>
                <w:sz w:val="24"/>
                <w:szCs w:val="24"/>
                <w:highlight w:val="none"/>
              </w:rPr>
            </w:pPr>
          </w:p>
        </w:tc>
        <w:tc>
          <w:tcPr>
            <w:tcW w:w="1136" w:type="dxa"/>
            <w:vMerge w:val="continue"/>
            <w:noWrap w:val="0"/>
            <w:vAlign w:val="center"/>
          </w:tcPr>
          <w:p w14:paraId="20D372CF">
            <w:pPr>
              <w:snapToGrid w:val="0"/>
              <w:spacing w:line="280" w:lineRule="exact"/>
              <w:jc w:val="center"/>
              <w:rPr>
                <w:rFonts w:hint="eastAsia" w:ascii="宋体" w:hAnsi="宋体" w:eastAsia="宋体" w:cs="宋体"/>
                <w:b/>
                <w:bCs/>
                <w:color w:val="auto"/>
                <w:sz w:val="24"/>
                <w:szCs w:val="24"/>
                <w:highlight w:val="none"/>
              </w:rPr>
            </w:pPr>
          </w:p>
        </w:tc>
        <w:tc>
          <w:tcPr>
            <w:tcW w:w="1715" w:type="dxa"/>
            <w:gridSpan w:val="2"/>
            <w:noWrap w:val="0"/>
            <w:vAlign w:val="center"/>
          </w:tcPr>
          <w:p w14:paraId="4A52CE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信誉要求</w:t>
            </w:r>
          </w:p>
        </w:tc>
        <w:tc>
          <w:tcPr>
            <w:tcW w:w="5838" w:type="dxa"/>
            <w:noWrap w:val="0"/>
            <w:vAlign w:val="center"/>
          </w:tcPr>
          <w:p w14:paraId="297151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2"/>
                <w:szCs w:val="22"/>
                <w:highlight w:val="none"/>
                <w:lang w:eastAsia="zh-CN"/>
              </w:rPr>
              <w:t>供应商未被列入“信用中国”网站（www.creditchina.gov.cn）失信被执行人、重大税收违法失信主体，政府采购严重违法失信行为记录名单及中国政府采购网（www.ccgp.gov.cn）“政府采购严重违法失信行为信息记录”,提供承诺函（截图由采购人或采购代理机构在开标后统一查询）。</w:t>
            </w:r>
          </w:p>
        </w:tc>
      </w:tr>
      <w:tr w14:paraId="35A7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0" w:type="dxa"/>
            <w:vMerge w:val="continue"/>
            <w:noWrap w:val="0"/>
            <w:vAlign w:val="center"/>
          </w:tcPr>
          <w:p w14:paraId="08C18521">
            <w:pPr>
              <w:snapToGrid w:val="0"/>
              <w:spacing w:line="280" w:lineRule="exact"/>
              <w:jc w:val="center"/>
              <w:rPr>
                <w:rFonts w:hint="eastAsia" w:ascii="宋体" w:hAnsi="宋体" w:eastAsia="宋体" w:cs="宋体"/>
                <w:color w:val="auto"/>
                <w:sz w:val="24"/>
                <w:szCs w:val="24"/>
                <w:highlight w:val="none"/>
              </w:rPr>
            </w:pPr>
          </w:p>
        </w:tc>
        <w:tc>
          <w:tcPr>
            <w:tcW w:w="1136" w:type="dxa"/>
            <w:vMerge w:val="continue"/>
            <w:noWrap w:val="0"/>
            <w:vAlign w:val="center"/>
          </w:tcPr>
          <w:p w14:paraId="73B6B341">
            <w:pPr>
              <w:snapToGrid w:val="0"/>
              <w:spacing w:line="280" w:lineRule="exact"/>
              <w:jc w:val="center"/>
              <w:rPr>
                <w:rFonts w:hint="eastAsia" w:ascii="宋体" w:hAnsi="宋体" w:eastAsia="宋体" w:cs="宋体"/>
                <w:b/>
                <w:bCs/>
                <w:color w:val="auto"/>
                <w:sz w:val="24"/>
                <w:szCs w:val="24"/>
                <w:highlight w:val="none"/>
              </w:rPr>
            </w:pPr>
          </w:p>
        </w:tc>
        <w:tc>
          <w:tcPr>
            <w:tcW w:w="1715" w:type="dxa"/>
            <w:gridSpan w:val="2"/>
            <w:noWrap w:val="0"/>
            <w:vAlign w:val="center"/>
          </w:tcPr>
          <w:p w14:paraId="25088C7E">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2"/>
                <w:szCs w:val="22"/>
                <w:highlight w:val="none"/>
                <w:lang w:val="en-US" w:eastAsia="zh-CN"/>
              </w:rPr>
              <w:t>其他要求</w:t>
            </w:r>
          </w:p>
        </w:tc>
        <w:tc>
          <w:tcPr>
            <w:tcW w:w="5838" w:type="dxa"/>
            <w:noWrap w:val="0"/>
            <w:vAlign w:val="center"/>
          </w:tcPr>
          <w:p w14:paraId="11550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2"/>
                <w:szCs w:val="22"/>
                <w:highlight w:val="none"/>
                <w:lang w:val="en-US" w:eastAsia="zh-CN"/>
              </w:rPr>
              <w:t>供应商</w:t>
            </w:r>
            <w:r>
              <w:rPr>
                <w:rFonts w:hint="eastAsia" w:ascii="宋体" w:hAnsi="宋体" w:eastAsia="宋体" w:cs="宋体"/>
                <w:b w:val="0"/>
                <w:bCs w:val="0"/>
                <w:color w:val="auto"/>
                <w:sz w:val="22"/>
                <w:szCs w:val="22"/>
                <w:highlight w:val="none"/>
                <w:lang w:eastAsia="zh-CN"/>
              </w:rPr>
              <w:t>信誉良好，申请单位未处于被责令停业，投标资格被取消，财产被接管、冻结、破产状态；没有受到取消投标资格的行政处罚，没有涉及正在诉讼的案件（提供承诺书）。</w:t>
            </w:r>
          </w:p>
        </w:tc>
      </w:tr>
      <w:tr w14:paraId="38C5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59" w:type="dxa"/>
            <w:gridSpan w:val="5"/>
            <w:noWrap w:val="0"/>
            <w:vAlign w:val="center"/>
          </w:tcPr>
          <w:p w14:paraId="2A20F0C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上述评审标准，供应商须全部满足，否则为不合格的供应商，不得进入符合性评审、技术部分评审、报价得分评审。</w:t>
            </w:r>
          </w:p>
        </w:tc>
      </w:tr>
      <w:tr w14:paraId="0FB1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94" w:type="dxa"/>
            <w:gridSpan w:val="3"/>
            <w:noWrap w:val="0"/>
            <w:vAlign w:val="center"/>
          </w:tcPr>
          <w:p w14:paraId="5443E34A">
            <w:pPr>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627" w:type="dxa"/>
            <w:noWrap w:val="0"/>
            <w:vAlign w:val="center"/>
          </w:tcPr>
          <w:p w14:paraId="191B9850">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因 素</w:t>
            </w:r>
          </w:p>
        </w:tc>
        <w:tc>
          <w:tcPr>
            <w:tcW w:w="5838" w:type="dxa"/>
            <w:noWrap w:val="0"/>
            <w:vAlign w:val="center"/>
          </w:tcPr>
          <w:p w14:paraId="1EBA94E2">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标 准</w:t>
            </w:r>
          </w:p>
        </w:tc>
      </w:tr>
      <w:tr w14:paraId="3AFA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0" w:type="dxa"/>
            <w:vMerge w:val="restart"/>
            <w:noWrap w:val="0"/>
            <w:vAlign w:val="center"/>
          </w:tcPr>
          <w:p w14:paraId="53F562F3">
            <w:pPr>
              <w:snapToGrid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1224" w:type="dxa"/>
            <w:gridSpan w:val="2"/>
            <w:vMerge w:val="restart"/>
            <w:noWrap w:val="0"/>
            <w:vAlign w:val="center"/>
          </w:tcPr>
          <w:p w14:paraId="200E2C9B">
            <w:pPr>
              <w:snapToGrid w:val="0"/>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符合性评审标准</w:t>
            </w:r>
          </w:p>
        </w:tc>
        <w:tc>
          <w:tcPr>
            <w:tcW w:w="1627" w:type="dxa"/>
            <w:noWrap w:val="0"/>
            <w:vAlign w:val="center"/>
          </w:tcPr>
          <w:p w14:paraId="7327E63E">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保证金</w:t>
            </w:r>
          </w:p>
        </w:tc>
        <w:tc>
          <w:tcPr>
            <w:tcW w:w="5838" w:type="dxa"/>
            <w:noWrap w:val="0"/>
            <w:vAlign w:val="bottom"/>
          </w:tcPr>
          <w:p w14:paraId="203FD2D7">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未能按照</w:t>
            </w:r>
            <w:r>
              <w:rPr>
                <w:rFonts w:hint="eastAsia" w:ascii="宋体" w:hAnsi="宋体" w:eastAsia="宋体" w:cs="宋体"/>
                <w:color w:val="auto"/>
                <w:sz w:val="22"/>
                <w:szCs w:val="22"/>
                <w:highlight w:val="none"/>
                <w:lang w:eastAsia="zh-CN"/>
              </w:rPr>
              <w:t>询比采购</w:t>
            </w:r>
            <w:r>
              <w:rPr>
                <w:rFonts w:hint="eastAsia" w:ascii="宋体" w:hAnsi="宋体" w:eastAsia="宋体" w:cs="宋体"/>
                <w:color w:val="auto"/>
                <w:sz w:val="22"/>
                <w:szCs w:val="22"/>
                <w:highlight w:val="none"/>
              </w:rPr>
              <w:t>文件要求提交</w:t>
            </w: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保证金或者所提供的</w:t>
            </w: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保证金有瑕疵的；</w:t>
            </w:r>
          </w:p>
        </w:tc>
      </w:tr>
      <w:tr w14:paraId="434D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70" w:type="dxa"/>
            <w:vMerge w:val="continue"/>
            <w:noWrap w:val="0"/>
            <w:vAlign w:val="center"/>
          </w:tcPr>
          <w:p w14:paraId="3097F7C5">
            <w:pPr>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7629E59F">
            <w:pPr>
              <w:spacing w:line="280" w:lineRule="exact"/>
              <w:jc w:val="center"/>
              <w:rPr>
                <w:rFonts w:hint="eastAsia" w:ascii="宋体" w:hAnsi="宋体" w:eastAsia="宋体" w:cs="宋体"/>
                <w:color w:val="auto"/>
                <w:sz w:val="24"/>
                <w:szCs w:val="24"/>
                <w:highlight w:val="none"/>
              </w:rPr>
            </w:pPr>
          </w:p>
        </w:tc>
        <w:tc>
          <w:tcPr>
            <w:tcW w:w="1627" w:type="dxa"/>
            <w:noWrap w:val="0"/>
            <w:vAlign w:val="center"/>
          </w:tcPr>
          <w:p w14:paraId="5F367BC2">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采购预算价</w:t>
            </w:r>
          </w:p>
        </w:tc>
        <w:tc>
          <w:tcPr>
            <w:tcW w:w="5838" w:type="dxa"/>
            <w:noWrap w:val="0"/>
            <w:vAlign w:val="bottom"/>
          </w:tcPr>
          <w:p w14:paraId="44FDF68C">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供应商的最终报价超过采购人预算价，采购人不能支付的；</w:t>
            </w:r>
          </w:p>
        </w:tc>
      </w:tr>
      <w:tr w14:paraId="0057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0" w:type="dxa"/>
            <w:vMerge w:val="continue"/>
            <w:noWrap w:val="0"/>
            <w:vAlign w:val="center"/>
          </w:tcPr>
          <w:p w14:paraId="42F042B2">
            <w:pPr>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11499C41">
            <w:pPr>
              <w:spacing w:line="280" w:lineRule="exact"/>
              <w:jc w:val="center"/>
              <w:rPr>
                <w:rFonts w:hint="eastAsia" w:ascii="宋体" w:hAnsi="宋体" w:eastAsia="宋体" w:cs="宋体"/>
                <w:color w:val="auto"/>
                <w:sz w:val="24"/>
                <w:szCs w:val="24"/>
                <w:highlight w:val="none"/>
              </w:rPr>
            </w:pPr>
          </w:p>
        </w:tc>
        <w:tc>
          <w:tcPr>
            <w:tcW w:w="1627" w:type="dxa"/>
            <w:noWrap w:val="0"/>
            <w:vAlign w:val="center"/>
          </w:tcPr>
          <w:p w14:paraId="2BA5E3B6">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响应文件格式</w:t>
            </w:r>
          </w:p>
        </w:tc>
        <w:tc>
          <w:tcPr>
            <w:tcW w:w="5838" w:type="dxa"/>
            <w:noWrap w:val="0"/>
            <w:vAlign w:val="center"/>
          </w:tcPr>
          <w:p w14:paraId="19D182D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不按第五章“</w:t>
            </w: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响应文件格式”填写，内容不全或关键字模糊、无法辨认的；</w:t>
            </w:r>
          </w:p>
        </w:tc>
      </w:tr>
      <w:tr w14:paraId="7755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0A17A3F3">
            <w:pPr>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2028729E">
            <w:pPr>
              <w:spacing w:line="280" w:lineRule="exact"/>
              <w:jc w:val="center"/>
              <w:rPr>
                <w:rFonts w:hint="eastAsia" w:ascii="宋体" w:hAnsi="宋体" w:eastAsia="宋体" w:cs="宋体"/>
                <w:color w:val="auto"/>
                <w:sz w:val="24"/>
                <w:szCs w:val="24"/>
                <w:highlight w:val="none"/>
              </w:rPr>
            </w:pPr>
          </w:p>
        </w:tc>
        <w:tc>
          <w:tcPr>
            <w:tcW w:w="1627" w:type="dxa"/>
            <w:noWrap w:val="0"/>
            <w:vAlign w:val="center"/>
          </w:tcPr>
          <w:p w14:paraId="7DEFF213">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响应文件签署</w:t>
            </w:r>
          </w:p>
        </w:tc>
        <w:tc>
          <w:tcPr>
            <w:tcW w:w="5838" w:type="dxa"/>
            <w:noWrap w:val="0"/>
            <w:vAlign w:val="center"/>
          </w:tcPr>
          <w:p w14:paraId="7C0B6067">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不符合第五章“</w:t>
            </w: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响应文件格式”部分要求签字盖章的。</w:t>
            </w:r>
          </w:p>
        </w:tc>
      </w:tr>
      <w:tr w14:paraId="6A4C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098A7E36">
            <w:pPr>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47DECF98">
            <w:pPr>
              <w:spacing w:line="280" w:lineRule="exact"/>
              <w:jc w:val="center"/>
              <w:rPr>
                <w:rFonts w:hint="eastAsia" w:ascii="宋体" w:hAnsi="宋体" w:eastAsia="宋体" w:cs="宋体"/>
                <w:color w:val="auto"/>
                <w:sz w:val="24"/>
                <w:szCs w:val="24"/>
                <w:highlight w:val="none"/>
              </w:rPr>
            </w:pPr>
          </w:p>
        </w:tc>
        <w:tc>
          <w:tcPr>
            <w:tcW w:w="1627" w:type="dxa"/>
            <w:noWrap w:val="0"/>
            <w:vAlign w:val="center"/>
          </w:tcPr>
          <w:p w14:paraId="4D5CA4E1">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采购人不能接受的条件</w:t>
            </w:r>
          </w:p>
        </w:tc>
        <w:tc>
          <w:tcPr>
            <w:tcW w:w="5838" w:type="dxa"/>
            <w:noWrap w:val="0"/>
            <w:vAlign w:val="center"/>
          </w:tcPr>
          <w:p w14:paraId="43B7B4A6">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询比</w:t>
            </w:r>
            <w:r>
              <w:rPr>
                <w:rFonts w:hint="eastAsia" w:ascii="宋体" w:hAnsi="宋体" w:eastAsia="宋体" w:cs="宋体"/>
                <w:color w:val="auto"/>
                <w:sz w:val="22"/>
                <w:szCs w:val="22"/>
                <w:highlight w:val="none"/>
              </w:rPr>
              <w:t>响应文件中附有采购人不能接受的条件的；</w:t>
            </w:r>
          </w:p>
        </w:tc>
      </w:tr>
      <w:tr w14:paraId="071F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696DB6BC">
            <w:pPr>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5E7BC232">
            <w:pPr>
              <w:spacing w:line="280" w:lineRule="exact"/>
              <w:jc w:val="center"/>
              <w:rPr>
                <w:rFonts w:hint="eastAsia" w:ascii="宋体" w:hAnsi="宋体" w:eastAsia="宋体" w:cs="宋体"/>
                <w:color w:val="auto"/>
                <w:sz w:val="24"/>
                <w:szCs w:val="24"/>
                <w:highlight w:val="none"/>
              </w:rPr>
            </w:pPr>
          </w:p>
        </w:tc>
        <w:tc>
          <w:tcPr>
            <w:tcW w:w="1627" w:type="dxa"/>
            <w:noWrap w:val="0"/>
            <w:vAlign w:val="center"/>
          </w:tcPr>
          <w:p w14:paraId="60DE3BE0">
            <w:pPr>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其他实质性要求</w:t>
            </w:r>
          </w:p>
        </w:tc>
        <w:tc>
          <w:tcPr>
            <w:tcW w:w="5838" w:type="dxa"/>
            <w:noWrap w:val="0"/>
            <w:vAlign w:val="center"/>
          </w:tcPr>
          <w:p w14:paraId="129A669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不符合本次</w:t>
            </w:r>
            <w:r>
              <w:rPr>
                <w:rFonts w:hint="eastAsia" w:ascii="宋体" w:hAnsi="宋体" w:eastAsia="宋体" w:cs="宋体"/>
                <w:color w:val="auto"/>
                <w:sz w:val="22"/>
                <w:szCs w:val="22"/>
                <w:highlight w:val="none"/>
                <w:lang w:eastAsia="zh-CN"/>
              </w:rPr>
              <w:t>询比采购</w:t>
            </w:r>
            <w:r>
              <w:rPr>
                <w:rFonts w:hint="eastAsia" w:ascii="宋体" w:hAnsi="宋体" w:eastAsia="宋体" w:cs="宋体"/>
                <w:color w:val="auto"/>
                <w:sz w:val="22"/>
                <w:szCs w:val="22"/>
                <w:highlight w:val="none"/>
              </w:rPr>
              <w:t>文件的其他实质性要求的。</w:t>
            </w:r>
          </w:p>
        </w:tc>
      </w:tr>
      <w:tr w14:paraId="55F2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59" w:type="dxa"/>
            <w:gridSpan w:val="5"/>
            <w:noWrap w:val="0"/>
            <w:vAlign w:val="center"/>
          </w:tcPr>
          <w:p w14:paraId="24B95480">
            <w:pPr>
              <w:adjustRightInd w:val="0"/>
              <w:snapToGrid w:val="0"/>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符合性评审通过者，才能进入技术部分评审和报价得分评审。</w:t>
            </w:r>
          </w:p>
        </w:tc>
      </w:tr>
      <w:tr w14:paraId="30F1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94" w:type="dxa"/>
            <w:gridSpan w:val="3"/>
            <w:noWrap w:val="0"/>
            <w:vAlign w:val="center"/>
          </w:tcPr>
          <w:p w14:paraId="083DEB5A">
            <w:pPr>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627" w:type="dxa"/>
            <w:noWrap w:val="0"/>
            <w:vAlign w:val="center"/>
          </w:tcPr>
          <w:p w14:paraId="4BC60EB2">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因 素</w:t>
            </w:r>
          </w:p>
        </w:tc>
        <w:tc>
          <w:tcPr>
            <w:tcW w:w="5838" w:type="dxa"/>
            <w:noWrap w:val="0"/>
            <w:vAlign w:val="center"/>
          </w:tcPr>
          <w:p w14:paraId="5CFA8B86">
            <w:pPr>
              <w:adjustRightInd w:val="0"/>
              <w:snapToGrid w:val="0"/>
              <w:spacing w:line="28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标 准</w:t>
            </w:r>
          </w:p>
        </w:tc>
      </w:tr>
      <w:tr w14:paraId="5D7D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0" w:type="dxa"/>
            <w:noWrap w:val="0"/>
            <w:vAlign w:val="center"/>
          </w:tcPr>
          <w:p w14:paraId="2B9AFDEC">
            <w:pPr>
              <w:snapToGrid w:val="0"/>
              <w:spacing w:line="2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w:t>
            </w:r>
          </w:p>
        </w:tc>
        <w:tc>
          <w:tcPr>
            <w:tcW w:w="1224" w:type="dxa"/>
            <w:gridSpan w:val="2"/>
            <w:noWrap w:val="0"/>
            <w:vAlign w:val="center"/>
          </w:tcPr>
          <w:p w14:paraId="2A0533C5">
            <w:pPr>
              <w:snapToGrid w:val="0"/>
              <w:spacing w:line="28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报价部分评审（</w:t>
            </w:r>
            <w:r>
              <w:rPr>
                <w:rFonts w:hint="eastAsia" w:ascii="宋体" w:hAnsi="宋体" w:eastAsia="宋体" w:cs="宋体"/>
                <w:b/>
                <w:bCs/>
                <w:color w:val="auto"/>
                <w:sz w:val="24"/>
                <w:szCs w:val="24"/>
                <w:highlight w:val="none"/>
                <w:lang w:val="en-US" w:eastAsia="zh-CN"/>
              </w:rPr>
              <w:t>满分3</w:t>
            </w:r>
            <w:r>
              <w:rPr>
                <w:rFonts w:hint="eastAsia" w:ascii="宋体" w:hAnsi="宋体" w:eastAsia="宋体" w:cs="宋体"/>
                <w:b/>
                <w:bCs/>
                <w:color w:val="auto"/>
                <w:sz w:val="24"/>
                <w:szCs w:val="24"/>
                <w:highlight w:val="none"/>
              </w:rPr>
              <w:t>0分）</w:t>
            </w:r>
          </w:p>
        </w:tc>
        <w:tc>
          <w:tcPr>
            <w:tcW w:w="1627" w:type="dxa"/>
            <w:noWrap w:val="0"/>
            <w:vAlign w:val="center"/>
          </w:tcPr>
          <w:p w14:paraId="7E0D7BFA">
            <w:pPr>
              <w:spacing w:line="240" w:lineRule="exact"/>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价格</w:t>
            </w:r>
            <w:r>
              <w:rPr>
                <w:rFonts w:hint="eastAsia" w:ascii="宋体" w:hAnsi="宋体" w:eastAsia="宋体" w:cs="宋体"/>
                <w:color w:val="auto"/>
                <w:sz w:val="22"/>
                <w:szCs w:val="22"/>
                <w:highlight w:val="none"/>
                <w:lang w:bidi="ar-SA"/>
              </w:rPr>
              <w:t>评审（</w:t>
            </w:r>
            <w:r>
              <w:rPr>
                <w:rFonts w:hint="eastAsia" w:ascii="宋体" w:hAnsi="宋体" w:eastAsia="宋体" w:cs="宋体"/>
                <w:color w:val="auto"/>
                <w:sz w:val="22"/>
                <w:szCs w:val="22"/>
                <w:highlight w:val="none"/>
                <w:lang w:val="en-US" w:eastAsia="zh-CN" w:bidi="ar-SA"/>
              </w:rPr>
              <w:t>30</w:t>
            </w:r>
            <w:r>
              <w:rPr>
                <w:rFonts w:hint="eastAsia" w:ascii="宋体" w:hAnsi="宋体" w:eastAsia="宋体" w:cs="宋体"/>
                <w:color w:val="auto"/>
                <w:sz w:val="22"/>
                <w:szCs w:val="22"/>
                <w:highlight w:val="none"/>
                <w:lang w:bidi="ar-SA"/>
              </w:rPr>
              <w:t>分）</w:t>
            </w:r>
          </w:p>
        </w:tc>
        <w:tc>
          <w:tcPr>
            <w:tcW w:w="5838" w:type="dxa"/>
            <w:noWrap w:val="0"/>
            <w:vAlign w:val="center"/>
          </w:tcPr>
          <w:p w14:paraId="2CC1916B">
            <w:pPr>
              <w:spacing w:line="360" w:lineRule="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bidi="ar-SA"/>
              </w:rPr>
              <w:t>满足文件要求且投标价格最低的投标报价为评标基准价，其价格分为满分，其他供应商的价格分统一按公式计算：投标报价得分=（评标基准价/投标报价）×</w:t>
            </w:r>
            <w:r>
              <w:rPr>
                <w:rFonts w:hint="eastAsia" w:ascii="宋体" w:hAnsi="宋体" w:eastAsia="宋体" w:cs="宋体"/>
                <w:color w:val="auto"/>
                <w:sz w:val="22"/>
                <w:szCs w:val="22"/>
                <w:highlight w:val="none"/>
                <w:lang w:val="en-US" w:eastAsia="zh-CN" w:bidi="ar-SA"/>
              </w:rPr>
              <w:t>30</w:t>
            </w:r>
            <w:r>
              <w:rPr>
                <w:rFonts w:hint="eastAsia" w:ascii="宋体" w:hAnsi="宋体" w:eastAsia="宋体" w:cs="宋体"/>
                <w:color w:val="auto"/>
                <w:sz w:val="22"/>
                <w:szCs w:val="22"/>
                <w:highlight w:val="none"/>
                <w:lang w:bidi="ar-SA"/>
              </w:rPr>
              <w:t>，投标报价以最终报价为准计算。</w:t>
            </w:r>
          </w:p>
        </w:tc>
      </w:tr>
      <w:tr w14:paraId="66CA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70" w:type="dxa"/>
            <w:vMerge w:val="restart"/>
            <w:noWrap w:val="0"/>
            <w:vAlign w:val="center"/>
          </w:tcPr>
          <w:p w14:paraId="78E3C494">
            <w:pPr>
              <w:snapToGrid w:val="0"/>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w:t>
            </w:r>
          </w:p>
        </w:tc>
        <w:tc>
          <w:tcPr>
            <w:tcW w:w="1224" w:type="dxa"/>
            <w:gridSpan w:val="2"/>
            <w:vMerge w:val="restart"/>
            <w:noWrap w:val="0"/>
            <w:vAlign w:val="center"/>
          </w:tcPr>
          <w:p w14:paraId="03563BB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0"/>
                <w:highlight w:val="none"/>
              </w:rPr>
              <w:t>技术部分评审（</w:t>
            </w:r>
            <w:r>
              <w:rPr>
                <w:rFonts w:hint="eastAsia" w:ascii="宋体" w:hAnsi="宋体" w:eastAsia="宋体" w:cs="宋体"/>
                <w:b/>
                <w:bCs/>
                <w:color w:val="auto"/>
                <w:sz w:val="24"/>
                <w:szCs w:val="20"/>
                <w:highlight w:val="none"/>
                <w:lang w:val="en-US" w:eastAsia="zh-CN"/>
              </w:rPr>
              <w:t>满分70</w:t>
            </w:r>
            <w:r>
              <w:rPr>
                <w:rFonts w:hint="eastAsia" w:ascii="宋体" w:hAnsi="宋体" w:eastAsia="宋体" w:cs="宋体"/>
                <w:b/>
                <w:bCs/>
                <w:color w:val="auto"/>
                <w:sz w:val="24"/>
                <w:szCs w:val="20"/>
                <w:highlight w:val="none"/>
              </w:rPr>
              <w:t>分）</w:t>
            </w:r>
          </w:p>
        </w:tc>
        <w:tc>
          <w:tcPr>
            <w:tcW w:w="1627" w:type="dxa"/>
            <w:noWrap w:val="0"/>
            <w:vAlign w:val="center"/>
          </w:tcPr>
          <w:p w14:paraId="4BDFD487">
            <w:pPr>
              <w:widowControl/>
              <w:numPr>
                <w:ilvl w:val="0"/>
                <w:numId w:val="0"/>
              </w:numPr>
              <w:spacing w:line="360" w:lineRule="auto"/>
              <w:ind w:left="0" w:leftChars="0" w:firstLine="0" w:firstLineChars="0"/>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color w:val="auto"/>
                <w:sz w:val="22"/>
                <w:szCs w:val="22"/>
                <w:highlight w:val="none"/>
              </w:rPr>
              <w:t>对本项目的理解</w:t>
            </w:r>
            <w:r>
              <w:rPr>
                <w:rFonts w:hint="eastAsia" w:ascii="宋体" w:hAnsi="宋体" w:eastAsia="宋体" w:cs="宋体"/>
                <w:color w:val="auto"/>
                <w:sz w:val="22"/>
                <w:szCs w:val="22"/>
                <w:highlight w:val="none"/>
                <w:lang w:val="en-US" w:eastAsia="zh-CN"/>
              </w:rPr>
              <w:t>及重、难点分析</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满</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tc>
        <w:tc>
          <w:tcPr>
            <w:tcW w:w="5838" w:type="dxa"/>
            <w:noWrap w:val="0"/>
            <w:vAlign w:val="center"/>
          </w:tcPr>
          <w:p w14:paraId="5B926D30">
            <w:pPr>
              <w:widowControl/>
              <w:numPr>
                <w:ilvl w:val="0"/>
                <w:numId w:val="0"/>
              </w:num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结合供应商</w:t>
            </w: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本项目背景、现状的理解</w:t>
            </w:r>
            <w:r>
              <w:rPr>
                <w:rFonts w:hint="eastAsia" w:ascii="宋体" w:hAnsi="宋体" w:eastAsia="宋体" w:cs="宋体"/>
                <w:color w:val="auto"/>
                <w:sz w:val="22"/>
                <w:szCs w:val="22"/>
                <w:highlight w:val="none"/>
                <w:lang w:val="en-US" w:eastAsia="zh-CN"/>
              </w:rPr>
              <w:t>及针对</w:t>
            </w:r>
            <w:r>
              <w:rPr>
                <w:rFonts w:hint="eastAsia" w:ascii="宋体" w:hAnsi="宋体" w:eastAsia="宋体" w:cs="宋体"/>
                <w:color w:val="auto"/>
                <w:sz w:val="22"/>
                <w:szCs w:val="22"/>
                <w:highlight w:val="none"/>
              </w:rPr>
              <w:t>业务的特点</w:t>
            </w:r>
            <w:r>
              <w:rPr>
                <w:rFonts w:hint="eastAsia" w:ascii="宋体" w:hAnsi="宋体" w:eastAsia="宋体" w:cs="宋体"/>
                <w:color w:val="auto"/>
                <w:sz w:val="22"/>
                <w:szCs w:val="22"/>
                <w:highlight w:val="none"/>
                <w:lang w:val="en-US" w:eastAsia="zh-CN"/>
              </w:rPr>
              <w:t>做出重难点分析，至少包含：（1）</w:t>
            </w:r>
            <w:r>
              <w:rPr>
                <w:rFonts w:hint="eastAsia" w:ascii="宋体" w:hAnsi="宋体" w:eastAsia="宋体" w:cs="宋体"/>
                <w:color w:val="auto"/>
                <w:sz w:val="22"/>
                <w:szCs w:val="22"/>
                <w:highlight w:val="none"/>
              </w:rPr>
              <w:t>项目背景</w:t>
            </w:r>
            <w:r>
              <w:rPr>
                <w:rFonts w:hint="eastAsia" w:ascii="宋体" w:hAnsi="宋体" w:eastAsia="宋体" w:cs="宋体"/>
                <w:color w:val="auto"/>
                <w:sz w:val="22"/>
                <w:szCs w:val="22"/>
                <w:highlight w:val="none"/>
                <w:lang w:val="en-US" w:eastAsia="zh-CN"/>
              </w:rPr>
              <w:t>及规划现状分析、（2）项目需求及特点、（3）项目重难点。</w:t>
            </w:r>
          </w:p>
          <w:p w14:paraId="2AFE216A">
            <w:pPr>
              <w:numPr>
                <w:ilvl w:val="0"/>
                <w:numId w:val="0"/>
              </w:num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提出的项目背景、现状的理解全面具体，</w:t>
            </w:r>
            <w:r>
              <w:rPr>
                <w:rFonts w:hint="eastAsia" w:ascii="宋体" w:hAnsi="宋体" w:eastAsia="宋体" w:cs="宋体"/>
                <w:color w:val="auto"/>
                <w:sz w:val="22"/>
                <w:szCs w:val="22"/>
                <w:highlight w:val="none"/>
                <w:lang w:val="en-US" w:eastAsia="zh-CN"/>
              </w:rPr>
              <w:t>项目需求重、难点分析透彻</w:t>
            </w:r>
            <w:r>
              <w:rPr>
                <w:rFonts w:hint="eastAsia" w:ascii="宋体" w:hAnsi="宋体" w:eastAsia="宋体" w:cs="宋体"/>
                <w:color w:val="auto"/>
                <w:sz w:val="22"/>
                <w:szCs w:val="22"/>
                <w:highlight w:val="none"/>
              </w:rPr>
              <w:t>，针对性强，完全满足或优于本项目实施需求的得满分</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p w14:paraId="47CCC05B">
            <w:pPr>
              <w:widowControl/>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②以上三项内容每缺少一项内容扣15分；</w:t>
            </w:r>
          </w:p>
          <w:p w14:paraId="7872E9B7">
            <w:pPr>
              <w:widowControl/>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③以上任意一项内容每有一处描述缺陷的扣2分，扣完为止；</w:t>
            </w:r>
          </w:p>
          <w:p w14:paraId="4B51BC52">
            <w:pPr>
              <w:widowControl/>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41DB75EC">
            <w:pPr>
              <w:widowControl/>
              <w:numPr>
                <w:ilvl w:val="0"/>
                <w:numId w:val="0"/>
              </w:numPr>
              <w:spacing w:line="360" w:lineRule="auto"/>
              <w:ind w:left="0" w:leftChars="0" w:firstLine="0" w:firstLineChars="0"/>
              <w:jc w:val="left"/>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注：②③条款不重复扣分，扣完为止。</w:t>
            </w:r>
          </w:p>
        </w:tc>
      </w:tr>
      <w:tr w14:paraId="2CCB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687CA47C">
            <w:pPr>
              <w:snapToGrid w:val="0"/>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6080C7FA">
            <w:pPr>
              <w:spacing w:line="480" w:lineRule="exact"/>
              <w:jc w:val="center"/>
              <w:rPr>
                <w:rFonts w:hint="eastAsia" w:ascii="宋体" w:hAnsi="宋体" w:eastAsia="宋体" w:cs="宋体"/>
                <w:color w:val="auto"/>
                <w:sz w:val="24"/>
                <w:szCs w:val="20"/>
                <w:highlight w:val="none"/>
              </w:rPr>
            </w:pPr>
          </w:p>
        </w:tc>
        <w:tc>
          <w:tcPr>
            <w:tcW w:w="1627" w:type="dxa"/>
            <w:noWrap w:val="0"/>
            <w:vAlign w:val="center"/>
          </w:tcPr>
          <w:p w14:paraId="6B89A389">
            <w:pPr>
              <w:spacing w:line="460" w:lineRule="exact"/>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color w:val="auto"/>
                <w:sz w:val="22"/>
                <w:szCs w:val="22"/>
                <w:highlight w:val="none"/>
              </w:rPr>
              <w:t>项目服务方案</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满分20分</w:t>
            </w:r>
            <w:r>
              <w:rPr>
                <w:rFonts w:hint="eastAsia" w:ascii="宋体" w:hAnsi="宋体" w:eastAsia="宋体" w:cs="宋体"/>
                <w:b w:val="0"/>
                <w:bCs/>
                <w:color w:val="auto"/>
                <w:sz w:val="22"/>
                <w:szCs w:val="22"/>
                <w:highlight w:val="none"/>
                <w:lang w:eastAsia="zh-CN"/>
              </w:rPr>
              <w:t>）</w:t>
            </w:r>
          </w:p>
        </w:tc>
        <w:tc>
          <w:tcPr>
            <w:tcW w:w="5838" w:type="dxa"/>
            <w:noWrap w:val="0"/>
            <w:vAlign w:val="center"/>
          </w:tcPr>
          <w:p w14:paraId="308DB3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lang w:bidi="ar-SA"/>
              </w:rPr>
            </w:pPr>
            <w:r>
              <w:rPr>
                <w:rFonts w:hint="eastAsia" w:ascii="宋体" w:hAnsi="宋体" w:eastAsia="宋体" w:cs="宋体"/>
                <w:color w:val="auto"/>
                <w:sz w:val="22"/>
                <w:szCs w:val="22"/>
                <w:highlight w:val="none"/>
                <w:lang w:bidi="ar-SA"/>
              </w:rPr>
              <w:t>根据供应商提供的</w:t>
            </w:r>
            <w:r>
              <w:rPr>
                <w:rFonts w:hint="eastAsia" w:ascii="宋体" w:hAnsi="宋体" w:eastAsia="宋体" w:cs="宋体"/>
                <w:b w:val="0"/>
                <w:bCs/>
                <w:color w:val="auto"/>
                <w:sz w:val="22"/>
                <w:szCs w:val="22"/>
                <w:highlight w:val="none"/>
                <w:lang w:val="en-US" w:eastAsia="zh-CN"/>
              </w:rPr>
              <w:t>项目服务</w:t>
            </w:r>
            <w:r>
              <w:rPr>
                <w:rFonts w:hint="eastAsia" w:ascii="宋体" w:hAnsi="宋体" w:eastAsia="宋体" w:cs="宋体"/>
                <w:b w:val="0"/>
                <w:bCs/>
                <w:color w:val="auto"/>
                <w:sz w:val="22"/>
                <w:szCs w:val="22"/>
                <w:highlight w:val="none"/>
              </w:rPr>
              <w:t>方案</w:t>
            </w:r>
            <w:r>
              <w:rPr>
                <w:rFonts w:hint="eastAsia" w:ascii="宋体" w:hAnsi="宋体" w:eastAsia="宋体" w:cs="宋体"/>
                <w:color w:val="auto"/>
                <w:sz w:val="22"/>
                <w:szCs w:val="22"/>
                <w:highlight w:val="none"/>
                <w:lang w:val="en-US" w:eastAsia="zh-CN" w:bidi="ar-SA"/>
              </w:rPr>
              <w:t>至少包含：（1）项目总体实施思路</w:t>
            </w: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（2）整体实施进度计划</w:t>
            </w:r>
            <w:r>
              <w:rPr>
                <w:rFonts w:hint="eastAsia" w:ascii="宋体" w:hAnsi="宋体" w:eastAsia="宋体" w:cs="宋体"/>
                <w:color w:val="auto"/>
                <w:sz w:val="22"/>
                <w:szCs w:val="22"/>
                <w:highlight w:val="none"/>
                <w:lang w:bidi="ar-SA"/>
              </w:rPr>
              <w:t>、</w:t>
            </w:r>
            <w:r>
              <w:rPr>
                <w:rFonts w:hint="eastAsia" w:ascii="宋体" w:hAnsi="宋体" w:eastAsia="宋体" w:cs="宋体"/>
                <w:color w:val="auto"/>
                <w:sz w:val="22"/>
                <w:szCs w:val="22"/>
                <w:highlight w:val="none"/>
                <w:lang w:val="en-US" w:eastAsia="zh-CN" w:bidi="ar-SA"/>
              </w:rPr>
              <w:t>（3）规划编制服务方案、（4）项目咨询服务方案</w:t>
            </w:r>
            <w:r>
              <w:rPr>
                <w:rFonts w:hint="eastAsia" w:ascii="宋体" w:hAnsi="宋体" w:eastAsia="宋体" w:cs="宋体"/>
                <w:color w:val="auto"/>
                <w:sz w:val="22"/>
                <w:szCs w:val="22"/>
                <w:highlight w:val="none"/>
                <w:lang w:bidi="ar-SA"/>
              </w:rPr>
              <w:t>等。</w:t>
            </w:r>
          </w:p>
          <w:p w14:paraId="130B93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①</w:t>
            </w:r>
            <w:r>
              <w:rPr>
                <w:rFonts w:hint="eastAsia" w:ascii="宋体" w:hAnsi="宋体" w:eastAsia="宋体" w:cs="宋体"/>
                <w:b w:val="0"/>
                <w:bCs/>
                <w:color w:val="auto"/>
                <w:sz w:val="22"/>
                <w:szCs w:val="22"/>
                <w:highlight w:val="none"/>
                <w:lang w:val="en-US" w:eastAsia="zh-CN"/>
              </w:rPr>
              <w:t>进度计划</w:t>
            </w:r>
            <w:r>
              <w:rPr>
                <w:rFonts w:hint="eastAsia" w:ascii="宋体" w:hAnsi="宋体" w:eastAsia="宋体" w:cs="宋体"/>
                <w:b w:val="0"/>
                <w:bCs/>
                <w:color w:val="auto"/>
                <w:sz w:val="22"/>
                <w:szCs w:val="22"/>
                <w:highlight w:val="none"/>
              </w:rPr>
              <w:t>阐述内容详细完整、合理、具体，</w:t>
            </w:r>
            <w:r>
              <w:rPr>
                <w:rFonts w:hint="eastAsia" w:ascii="宋体" w:hAnsi="宋体" w:eastAsia="宋体" w:cs="宋体"/>
                <w:b w:val="0"/>
                <w:bCs/>
                <w:color w:val="auto"/>
                <w:sz w:val="22"/>
                <w:szCs w:val="22"/>
                <w:highlight w:val="none"/>
                <w:lang w:val="en-US" w:eastAsia="zh-CN"/>
              </w:rPr>
              <w:t>项目整体组织</w:t>
            </w:r>
            <w:r>
              <w:rPr>
                <w:rFonts w:hint="eastAsia" w:ascii="宋体" w:hAnsi="宋体" w:eastAsia="宋体" w:cs="宋体"/>
                <w:b w:val="0"/>
                <w:bCs/>
                <w:color w:val="auto"/>
                <w:sz w:val="22"/>
                <w:szCs w:val="22"/>
                <w:highlight w:val="none"/>
              </w:rPr>
              <w:t>方案符合项目实际情况，内容详细完整，针对性、可操作性强，完全满足采购人需求的得满分</w:t>
            </w:r>
            <w:r>
              <w:rPr>
                <w:rFonts w:hint="eastAsia" w:ascii="宋体" w:hAnsi="宋体" w:eastAsia="宋体" w:cs="宋体"/>
                <w:b w:val="0"/>
                <w:bCs/>
                <w:color w:val="auto"/>
                <w:sz w:val="22"/>
                <w:szCs w:val="22"/>
                <w:highlight w:val="none"/>
                <w:lang w:val="en-US" w:eastAsia="zh-CN"/>
              </w:rPr>
              <w:t>20</w:t>
            </w:r>
            <w:r>
              <w:rPr>
                <w:rFonts w:hint="eastAsia" w:ascii="宋体" w:hAnsi="宋体" w:eastAsia="宋体" w:cs="宋体"/>
                <w:b w:val="0"/>
                <w:bCs/>
                <w:color w:val="auto"/>
                <w:sz w:val="22"/>
                <w:szCs w:val="22"/>
                <w:highlight w:val="none"/>
              </w:rPr>
              <w:t>分；</w:t>
            </w:r>
          </w:p>
          <w:p w14:paraId="1E1D68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②以上</w:t>
            </w:r>
            <w:r>
              <w:rPr>
                <w:rFonts w:hint="eastAsia" w:ascii="宋体" w:hAnsi="宋体" w:eastAsia="宋体" w:cs="宋体"/>
                <w:b w:val="0"/>
                <w:bCs/>
                <w:color w:val="auto"/>
                <w:sz w:val="22"/>
                <w:szCs w:val="22"/>
                <w:highlight w:val="none"/>
                <w:lang w:val="en-US" w:eastAsia="zh-CN"/>
              </w:rPr>
              <w:t>四</w:t>
            </w:r>
            <w:r>
              <w:rPr>
                <w:rFonts w:hint="eastAsia" w:ascii="宋体" w:hAnsi="宋体" w:eastAsia="宋体" w:cs="宋体"/>
                <w:b w:val="0"/>
                <w:bCs/>
                <w:color w:val="auto"/>
                <w:sz w:val="22"/>
                <w:szCs w:val="22"/>
                <w:highlight w:val="none"/>
              </w:rPr>
              <w:t>项内容每缺少一项内容扣5分；</w:t>
            </w:r>
          </w:p>
          <w:p w14:paraId="555165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③以上任意一项内容每有一处描述缺陷的扣2分，扣完为止；</w:t>
            </w:r>
          </w:p>
          <w:p w14:paraId="36B47D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7186F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注：②③条款不重复扣分，扣完为止。</w:t>
            </w:r>
          </w:p>
        </w:tc>
      </w:tr>
      <w:tr w14:paraId="51F5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462796CA">
            <w:pPr>
              <w:snapToGrid w:val="0"/>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6BBDE53A">
            <w:pPr>
              <w:spacing w:line="480" w:lineRule="exact"/>
              <w:jc w:val="center"/>
              <w:rPr>
                <w:rFonts w:hint="eastAsia" w:ascii="宋体" w:hAnsi="宋体" w:eastAsia="宋体" w:cs="宋体"/>
                <w:color w:val="auto"/>
                <w:sz w:val="24"/>
                <w:szCs w:val="20"/>
                <w:highlight w:val="none"/>
              </w:rPr>
            </w:pPr>
          </w:p>
        </w:tc>
        <w:tc>
          <w:tcPr>
            <w:tcW w:w="1627" w:type="dxa"/>
            <w:noWrap w:val="0"/>
            <w:vAlign w:val="center"/>
          </w:tcPr>
          <w:p w14:paraId="711A1F43">
            <w:pPr>
              <w:spacing w:line="360" w:lineRule="auto"/>
              <w:jc w:val="center"/>
              <w:rPr>
                <w:rFonts w:hint="eastAsia" w:ascii="宋体" w:hAnsi="宋体" w:eastAsia="宋体" w:cs="宋体"/>
                <w:b w:val="0"/>
                <w:bCs/>
                <w:color w:val="auto"/>
                <w:sz w:val="22"/>
                <w:szCs w:val="22"/>
                <w:highlight w:val="none"/>
                <w:lang w:eastAsia="zh-CN"/>
              </w:rPr>
            </w:pPr>
            <w:r>
              <w:rPr>
                <w:rFonts w:hint="eastAsia" w:ascii="宋体" w:hAnsi="宋体" w:eastAsia="宋体" w:cs="宋体"/>
                <w:color w:val="auto"/>
                <w:sz w:val="22"/>
                <w:szCs w:val="22"/>
                <w:highlight w:val="none"/>
              </w:rPr>
              <w:t>服务质量保证措施及</w:t>
            </w:r>
            <w:r>
              <w:rPr>
                <w:rFonts w:hint="eastAsia" w:ascii="宋体" w:hAnsi="宋体" w:eastAsia="宋体" w:cs="宋体"/>
                <w:color w:val="auto"/>
                <w:sz w:val="22"/>
                <w:szCs w:val="22"/>
                <w:highlight w:val="none"/>
                <w:lang w:val="en-US" w:eastAsia="zh-CN"/>
              </w:rPr>
              <w:t>违约责任</w:t>
            </w:r>
            <w:r>
              <w:rPr>
                <w:rFonts w:hint="eastAsia" w:ascii="宋体" w:hAnsi="宋体" w:eastAsia="宋体" w:cs="宋体"/>
                <w:color w:val="auto"/>
                <w:sz w:val="22"/>
                <w:szCs w:val="22"/>
                <w:highlight w:val="none"/>
              </w:rPr>
              <w:t>承诺（满分</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分）</w:t>
            </w:r>
          </w:p>
        </w:tc>
        <w:tc>
          <w:tcPr>
            <w:tcW w:w="5838" w:type="dxa"/>
            <w:noWrap w:val="0"/>
            <w:vAlign w:val="center"/>
          </w:tcPr>
          <w:p w14:paraId="4A328F88">
            <w:pPr>
              <w:widowControl/>
              <w:numPr>
                <w:ilvl w:val="0"/>
                <w:numId w:val="0"/>
              </w:num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提供的服务质量保证措施及违约责任承诺</w:t>
            </w:r>
            <w:r>
              <w:rPr>
                <w:rFonts w:hint="eastAsia" w:ascii="宋体" w:hAnsi="宋体" w:eastAsia="宋体" w:cs="宋体"/>
                <w:color w:val="auto"/>
                <w:sz w:val="22"/>
                <w:szCs w:val="22"/>
                <w:highlight w:val="none"/>
                <w:lang w:val="en-US" w:eastAsia="zh-CN"/>
              </w:rPr>
              <w:t>至少包含：（1）服务质量管理措施、（2）服务质量保证承诺、（3）违约责任承诺</w:t>
            </w:r>
            <w:r>
              <w:rPr>
                <w:rFonts w:hint="eastAsia" w:ascii="宋体" w:hAnsi="宋体" w:eastAsia="宋体" w:cs="宋体"/>
                <w:color w:val="auto"/>
                <w:sz w:val="22"/>
                <w:szCs w:val="22"/>
                <w:highlight w:val="none"/>
                <w:lang w:eastAsia="zh-CN"/>
              </w:rPr>
              <w:t>。</w:t>
            </w:r>
          </w:p>
          <w:p w14:paraId="11CE00F3">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针对本项目提出的</w:t>
            </w:r>
            <w:r>
              <w:rPr>
                <w:rFonts w:hint="eastAsia" w:ascii="宋体" w:hAnsi="宋体" w:eastAsia="宋体" w:cs="宋体"/>
                <w:color w:val="auto"/>
                <w:sz w:val="22"/>
                <w:szCs w:val="22"/>
                <w:highlight w:val="none"/>
                <w:lang w:eastAsia="zh-CN"/>
              </w:rPr>
              <w:t>服务承诺及质量保障方案满足招标文件且有具体的违约责任承诺，服务保证措施达到招标文件的</w:t>
            </w:r>
            <w:r>
              <w:rPr>
                <w:rFonts w:hint="eastAsia" w:ascii="宋体" w:hAnsi="宋体" w:eastAsia="宋体" w:cs="宋体"/>
                <w:color w:val="auto"/>
                <w:sz w:val="22"/>
                <w:szCs w:val="22"/>
                <w:highlight w:val="none"/>
                <w:lang w:val="en-US" w:eastAsia="zh-CN"/>
              </w:rPr>
              <w:t>需求</w:t>
            </w:r>
            <w:r>
              <w:rPr>
                <w:rFonts w:hint="eastAsia" w:ascii="宋体" w:hAnsi="宋体" w:eastAsia="宋体" w:cs="宋体"/>
                <w:color w:val="auto"/>
                <w:sz w:val="22"/>
                <w:szCs w:val="22"/>
                <w:highlight w:val="none"/>
                <w:lang w:eastAsia="zh-CN"/>
              </w:rPr>
              <w:t>和标准，针对性较好</w:t>
            </w:r>
            <w:r>
              <w:rPr>
                <w:rFonts w:hint="eastAsia" w:ascii="宋体" w:hAnsi="宋体" w:eastAsia="宋体" w:cs="宋体"/>
                <w:bCs/>
                <w:color w:val="auto"/>
                <w:kern w:val="2"/>
                <w:sz w:val="22"/>
                <w:szCs w:val="22"/>
                <w:highlight w:val="none"/>
                <w:lang w:val="en-US" w:eastAsia="zh-CN" w:bidi="ar-SA"/>
              </w:rPr>
              <w:t>的得满分15分</w:t>
            </w:r>
            <w:r>
              <w:rPr>
                <w:rFonts w:hint="eastAsia" w:ascii="宋体" w:hAnsi="宋体" w:eastAsia="宋体" w:cs="宋体"/>
                <w:color w:val="auto"/>
                <w:sz w:val="22"/>
                <w:szCs w:val="22"/>
                <w:highlight w:val="none"/>
                <w:lang w:eastAsia="zh-CN"/>
              </w:rPr>
              <w:t>；</w:t>
            </w:r>
          </w:p>
          <w:p w14:paraId="760744E1">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②以上</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lang w:eastAsia="zh-CN"/>
              </w:rPr>
              <w:t>项内容每缺少一项内容扣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分；</w:t>
            </w:r>
          </w:p>
          <w:p w14:paraId="5A92B23C">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③以上任意一项内容每有一处描述缺陷的扣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分，扣完为止；</w:t>
            </w:r>
          </w:p>
          <w:p w14:paraId="35D43FF3">
            <w:pPr>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49170E23">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eastAsia="zh-CN"/>
              </w:rPr>
              <w:t>注：②③条款不重复扣分，扣完为止。</w:t>
            </w:r>
          </w:p>
        </w:tc>
      </w:tr>
      <w:tr w14:paraId="26C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08C8DB34">
            <w:pPr>
              <w:snapToGrid w:val="0"/>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0AF4846D">
            <w:pPr>
              <w:spacing w:line="480" w:lineRule="exact"/>
              <w:jc w:val="center"/>
              <w:rPr>
                <w:rFonts w:hint="eastAsia" w:ascii="宋体" w:hAnsi="宋体" w:eastAsia="宋体" w:cs="宋体"/>
                <w:b/>
                <w:bCs/>
                <w:color w:val="auto"/>
                <w:sz w:val="24"/>
                <w:szCs w:val="24"/>
                <w:highlight w:val="none"/>
              </w:rPr>
            </w:pPr>
          </w:p>
        </w:tc>
        <w:tc>
          <w:tcPr>
            <w:tcW w:w="1627" w:type="dxa"/>
            <w:noWrap w:val="0"/>
            <w:vAlign w:val="center"/>
          </w:tcPr>
          <w:p w14:paraId="2B529DDB">
            <w:pPr>
              <w:jc w:val="center"/>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拟派人员配备方案（满分15分）</w:t>
            </w:r>
          </w:p>
        </w:tc>
        <w:tc>
          <w:tcPr>
            <w:tcW w:w="5838" w:type="dxa"/>
            <w:noWrap w:val="0"/>
            <w:vAlign w:val="center"/>
          </w:tcPr>
          <w:p w14:paraId="299D211B">
            <w:p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提供的拟派人员配备方案至少包含：（1）拟派人员配置情况、（2）拟派人员岗位职责及管理制度、（3）工作质量考核制度。</w:t>
            </w:r>
          </w:p>
          <w:p w14:paraId="48F6EBE1">
            <w:p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①供应商针对本项目提出的拟派人员配备方案满足招标文件，能达到招标文件的需求和标准，针对性较好的得满分15分；</w:t>
            </w:r>
          </w:p>
          <w:p w14:paraId="39F85F17">
            <w:p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②以上三项内容每缺少一项内容扣5分；</w:t>
            </w:r>
          </w:p>
          <w:p w14:paraId="2BB704F5">
            <w:p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③以上任意一项内容每有一处描述缺陷的扣2分，扣完为止；</w:t>
            </w:r>
          </w:p>
          <w:p w14:paraId="6A5F9771">
            <w:pPr>
              <w:spacing w:line="36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2E68A924">
            <w:pPr>
              <w:spacing w:line="360" w:lineRule="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lang w:val="en-US" w:eastAsia="zh-CN"/>
              </w:rPr>
              <w:t>注：②③条款不重复扣分，扣完为止。</w:t>
            </w:r>
          </w:p>
        </w:tc>
      </w:tr>
      <w:tr w14:paraId="3B1F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14:paraId="2F634110">
            <w:pPr>
              <w:snapToGrid w:val="0"/>
              <w:spacing w:line="280" w:lineRule="exact"/>
              <w:jc w:val="center"/>
              <w:rPr>
                <w:rFonts w:hint="eastAsia" w:ascii="宋体" w:hAnsi="宋体" w:eastAsia="宋体" w:cs="宋体"/>
                <w:color w:val="auto"/>
                <w:sz w:val="24"/>
                <w:szCs w:val="24"/>
                <w:highlight w:val="none"/>
              </w:rPr>
            </w:pPr>
          </w:p>
        </w:tc>
        <w:tc>
          <w:tcPr>
            <w:tcW w:w="1224" w:type="dxa"/>
            <w:gridSpan w:val="2"/>
            <w:vMerge w:val="continue"/>
            <w:noWrap w:val="0"/>
            <w:vAlign w:val="center"/>
          </w:tcPr>
          <w:p w14:paraId="3CEE3980">
            <w:pPr>
              <w:spacing w:line="480" w:lineRule="exact"/>
              <w:jc w:val="center"/>
              <w:rPr>
                <w:rFonts w:hint="eastAsia" w:ascii="宋体" w:hAnsi="宋体" w:eastAsia="宋体" w:cs="宋体"/>
                <w:b/>
                <w:bCs/>
                <w:color w:val="auto"/>
                <w:sz w:val="24"/>
                <w:szCs w:val="24"/>
                <w:highlight w:val="none"/>
              </w:rPr>
            </w:pPr>
          </w:p>
        </w:tc>
        <w:tc>
          <w:tcPr>
            <w:tcW w:w="1627" w:type="dxa"/>
            <w:noWrap w:val="0"/>
            <w:vAlign w:val="center"/>
          </w:tcPr>
          <w:p w14:paraId="3464B7A3">
            <w:pPr>
              <w:spacing w:line="460" w:lineRule="exact"/>
              <w:jc w:val="center"/>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业绩评审评分（5分）</w:t>
            </w:r>
          </w:p>
        </w:tc>
        <w:tc>
          <w:tcPr>
            <w:tcW w:w="5838" w:type="dxa"/>
            <w:noWrap w:val="0"/>
            <w:vAlign w:val="center"/>
          </w:tcPr>
          <w:p w14:paraId="35B0B397">
            <w:pPr>
              <w:spacing w:line="360" w:lineRule="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每提供一个202</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年</w:t>
            </w:r>
            <w:r>
              <w:rPr>
                <w:rFonts w:hint="eastAsia" w:ascii="宋体" w:hAnsi="宋体" w:eastAsia="宋体" w:cs="宋体"/>
                <w:b w:val="0"/>
                <w:bCs/>
                <w:color w:val="auto"/>
                <w:sz w:val="22"/>
                <w:szCs w:val="22"/>
                <w:highlight w:val="none"/>
                <w:lang w:val="en-US" w:eastAsia="zh-CN"/>
              </w:rPr>
              <w:t>01月01日</w:t>
            </w:r>
            <w:r>
              <w:rPr>
                <w:rFonts w:hint="eastAsia" w:ascii="宋体" w:hAnsi="宋体" w:eastAsia="宋体" w:cs="宋体"/>
                <w:b w:val="0"/>
                <w:bCs/>
                <w:color w:val="auto"/>
                <w:sz w:val="22"/>
                <w:szCs w:val="22"/>
                <w:highlight w:val="none"/>
              </w:rPr>
              <w:t>至今</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lang w:val="en-US" w:eastAsia="zh-CN"/>
              </w:rPr>
              <w:t>以合同签订时间为准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的类似业绩得基本分</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分，每增加一个业绩加1分，本项最多得</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 xml:space="preserve">分。注：响应文件中须提供相对应的业绩证明材料，业绩证明材料为合同（包括但不限于合同首页、标的及金额所在页及合同签字盖章页的复印件），无证明材料或证明材料不明确、无法体现业绩内容的，不予认可。 </w:t>
            </w:r>
          </w:p>
        </w:tc>
      </w:tr>
    </w:tbl>
    <w:p w14:paraId="6D169BB5">
      <w:pPr>
        <w:rPr>
          <w:rFonts w:hint="eastAsia" w:ascii="宋体" w:hAnsi="宋体" w:eastAsia="宋体" w:cs="宋体"/>
          <w:color w:val="auto"/>
          <w:sz w:val="21"/>
          <w:szCs w:val="20"/>
          <w:highlight w:val="none"/>
        </w:rPr>
      </w:pPr>
    </w:p>
    <w:p w14:paraId="1ACD0B9D">
      <w:pPr>
        <w:pageBreakBefore w:val="0"/>
        <w:wordWrap/>
        <w:overflowPunct/>
        <w:topLinePunct w:val="0"/>
        <w:bidi w:val="0"/>
        <w:adjustRightInd w:val="0"/>
        <w:snapToGrid w:val="0"/>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A12B53D">
      <w:pPr>
        <w:pStyle w:val="4"/>
        <w:numPr>
          <w:ilvl w:val="0"/>
          <w:numId w:val="3"/>
        </w:numPr>
        <w:spacing w:line="380" w:lineRule="exact"/>
        <w:jc w:val="center"/>
        <w:rPr>
          <w:rFonts w:hint="eastAsia" w:ascii="宋体" w:hAnsi="宋体" w:eastAsia="宋体" w:cs="宋体"/>
          <w:color w:val="auto"/>
          <w:highlight w:val="none"/>
        </w:rPr>
      </w:pPr>
      <w:bookmarkStart w:id="165" w:name="_Toc508262109"/>
      <w:bookmarkStart w:id="166" w:name="_Toc857"/>
      <w:bookmarkStart w:id="167" w:name="_Toc17487"/>
      <w:bookmarkStart w:id="168" w:name="_Toc13086"/>
      <w:bookmarkStart w:id="169" w:name="_Toc27777"/>
      <w:bookmarkStart w:id="170" w:name="_Toc25715"/>
      <w:bookmarkStart w:id="171" w:name="_Toc398"/>
      <w:bookmarkStart w:id="172" w:name="_Toc4469"/>
      <w:bookmarkStart w:id="173" w:name="_Toc15107"/>
      <w:bookmarkStart w:id="174" w:name="_Toc9797"/>
      <w:r>
        <w:rPr>
          <w:rFonts w:hint="eastAsia" w:ascii="宋体" w:hAnsi="宋体" w:eastAsia="宋体" w:cs="宋体"/>
          <w:color w:val="auto"/>
          <w:highlight w:val="none"/>
        </w:rPr>
        <w:t>评选办法</w:t>
      </w:r>
      <w:bookmarkEnd w:id="165"/>
      <w:bookmarkEnd w:id="166"/>
      <w:bookmarkEnd w:id="167"/>
      <w:bookmarkEnd w:id="168"/>
      <w:bookmarkEnd w:id="169"/>
    </w:p>
    <w:p w14:paraId="7BB54A1D">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1"/>
        <w:rPr>
          <w:rFonts w:hint="eastAsia" w:ascii="宋体" w:hAnsi="宋体" w:eastAsia="宋体" w:cs="宋体"/>
          <w:color w:val="auto"/>
          <w:sz w:val="24"/>
          <w:szCs w:val="24"/>
          <w:highlight w:val="none"/>
        </w:rPr>
      </w:pPr>
      <w:bookmarkStart w:id="175" w:name="_Toc13827"/>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评审方法(综合评分法）</w:t>
      </w:r>
      <w:bookmarkEnd w:id="158"/>
      <w:bookmarkEnd w:id="170"/>
      <w:bookmarkEnd w:id="171"/>
      <w:bookmarkEnd w:id="172"/>
      <w:bookmarkEnd w:id="173"/>
      <w:bookmarkEnd w:id="174"/>
      <w:bookmarkEnd w:id="175"/>
    </w:p>
    <w:p w14:paraId="21C254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本次评审采用综合评分法。评审小组对满足询比文件实质性要求的响应文件，按照</w:t>
      </w:r>
    </w:p>
    <w:p w14:paraId="06551B0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本章第 3 条规定的评分标准进行打分，并按得分由高到低的顺序推荐候选成交供应商。</w:t>
      </w:r>
    </w:p>
    <w:p w14:paraId="0BA3D426">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1"/>
        <w:rPr>
          <w:rFonts w:hint="eastAsia" w:ascii="宋体" w:hAnsi="宋体" w:eastAsia="宋体" w:cs="宋体"/>
          <w:color w:val="auto"/>
          <w:sz w:val="24"/>
          <w:szCs w:val="24"/>
          <w:highlight w:val="none"/>
        </w:rPr>
      </w:pPr>
      <w:bookmarkStart w:id="176" w:name="bookmark54"/>
      <w:bookmarkEnd w:id="176"/>
      <w:bookmarkStart w:id="177" w:name="_Toc30085"/>
      <w:bookmarkStart w:id="178" w:name="_Toc31323"/>
      <w:bookmarkStart w:id="179" w:name="_Toc9641"/>
      <w:bookmarkStart w:id="180" w:name="_Toc25813"/>
      <w:bookmarkStart w:id="181" w:name="_Toc30070"/>
      <w:bookmarkStart w:id="182" w:name="_Toc27708"/>
      <w:bookmarkStart w:id="183" w:name="_Toc5726"/>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评审程序</w:t>
      </w:r>
      <w:bookmarkEnd w:id="177"/>
      <w:bookmarkEnd w:id="178"/>
      <w:bookmarkEnd w:id="179"/>
      <w:bookmarkEnd w:id="180"/>
      <w:bookmarkEnd w:id="181"/>
      <w:bookmarkEnd w:id="182"/>
      <w:bookmarkEnd w:id="183"/>
    </w:p>
    <w:p w14:paraId="7E01DF5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84" w:name="bookmark55"/>
      <w:bookmarkEnd w:id="184"/>
      <w:r>
        <w:rPr>
          <w:rFonts w:hint="eastAsia" w:ascii="宋体" w:hAnsi="宋体" w:eastAsia="宋体" w:cs="宋体"/>
          <w:color w:val="auto"/>
          <w:sz w:val="24"/>
          <w:szCs w:val="24"/>
          <w:highlight w:val="none"/>
          <w:lang w:val="en-US" w:eastAsia="zh-CN"/>
        </w:rPr>
        <w:t>2.1 初步评审标准</w:t>
      </w:r>
    </w:p>
    <w:p w14:paraId="1AC8954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 形式评审标准：见评审办法前附表。</w:t>
      </w:r>
    </w:p>
    <w:p w14:paraId="7627DEA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 资格评审标准：见评审办法前附表。</w:t>
      </w:r>
    </w:p>
    <w:p w14:paraId="2FD4F1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 符合性评审标准：见评审办法前附表。</w:t>
      </w:r>
    </w:p>
    <w:p w14:paraId="65A0658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85" w:name="bookmark56"/>
      <w:bookmarkEnd w:id="185"/>
      <w:r>
        <w:rPr>
          <w:rFonts w:hint="eastAsia" w:ascii="宋体" w:hAnsi="宋体" w:eastAsia="宋体" w:cs="宋体"/>
          <w:color w:val="auto"/>
          <w:sz w:val="24"/>
          <w:szCs w:val="24"/>
          <w:highlight w:val="none"/>
          <w:lang w:val="en-US" w:eastAsia="zh-CN"/>
        </w:rPr>
        <w:t>2.2 评审程序</w:t>
      </w:r>
    </w:p>
    <w:p w14:paraId="795F8D6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 评审小组依据本章第 2.1 款规定的标准对供应商递交的响应文件进行初步评审，判断响应文件的形式是否符合要求、供应商是否符合资格条件、响应文件是否实质性响应询比文件的要求。只有以上评审合格的响应文件才可通过初步评审。</w:t>
      </w:r>
    </w:p>
    <w:p w14:paraId="4A1497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2.2.2询比文件有实质性变动的，评审小组将经采购人代表确认后，以书面形式通知所有参加谈判的供应商。但不得对涉及竞争的公平、公正性内容进行修改、变动。</w:t>
      </w:r>
    </w:p>
    <w:p w14:paraId="04F5F55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w:t>
      </w:r>
    </w:p>
    <w:p w14:paraId="1773E03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评审小组对供应商提交的澄清、说明有疑问的，可以要求供应商进一步澄清、说明。评审小组要求供应商澄清、说明或者更正响应文件应当以书面形式作出。供应商的澄清、说明或者更正应当由法定代表人或其授权代表签字或者加盖公章。</w:t>
      </w:r>
    </w:p>
    <w:p w14:paraId="7DADA02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2.2.5报价超过预算的供应商将被视为实质性条件不满足本项目，其响应文件将被否决。</w:t>
      </w:r>
    </w:p>
    <w:p w14:paraId="4934EA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 供应商有串通、弄虚作假、行贿等违法行为的，其响应文件将被视为无效。</w:t>
      </w:r>
    </w:p>
    <w:p w14:paraId="0591EC4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2.2.7 特殊情形处理</w:t>
      </w:r>
    </w:p>
    <w:p w14:paraId="0C4C3C2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（1）本项目在采购过程中符合要求的供应商不足3家时，采购人或者采购代理机构应当终止询比采购活动，发布项目终止公告并说明原因，重新开展采购活动。</w:t>
      </w:r>
    </w:p>
    <w:p w14:paraId="5A11027B">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1"/>
        <w:rPr>
          <w:rFonts w:hint="eastAsia" w:ascii="宋体" w:hAnsi="宋体" w:eastAsia="宋体" w:cs="宋体"/>
          <w:color w:val="auto"/>
          <w:sz w:val="24"/>
          <w:szCs w:val="24"/>
          <w:highlight w:val="none"/>
        </w:rPr>
      </w:pPr>
      <w:bookmarkStart w:id="186" w:name="bookmark57"/>
      <w:bookmarkEnd w:id="186"/>
      <w:bookmarkStart w:id="187" w:name="_Toc16840"/>
      <w:bookmarkStart w:id="188" w:name="_Toc26233"/>
      <w:bookmarkStart w:id="189" w:name="_Toc3493"/>
      <w:bookmarkStart w:id="190" w:name="_Toc23740"/>
      <w:bookmarkStart w:id="191" w:name="_Toc13012"/>
      <w:bookmarkStart w:id="192" w:name="_Toc15224"/>
      <w:bookmarkStart w:id="193" w:name="_Toc5068"/>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 xml:space="preserve"> 详细评审标准和程序(综合评分法）</w:t>
      </w:r>
      <w:bookmarkEnd w:id="187"/>
      <w:bookmarkEnd w:id="188"/>
      <w:bookmarkEnd w:id="189"/>
      <w:bookmarkEnd w:id="190"/>
      <w:bookmarkEnd w:id="191"/>
      <w:bookmarkEnd w:id="192"/>
      <w:bookmarkEnd w:id="193"/>
    </w:p>
    <w:p w14:paraId="6129D30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94" w:name="bookmark58"/>
      <w:bookmarkEnd w:id="194"/>
      <w:r>
        <w:rPr>
          <w:rFonts w:hint="eastAsia" w:ascii="宋体" w:hAnsi="宋体" w:eastAsia="宋体" w:cs="宋体"/>
          <w:color w:val="auto"/>
          <w:sz w:val="24"/>
          <w:szCs w:val="24"/>
          <w:highlight w:val="none"/>
          <w:lang w:val="en-US" w:eastAsia="zh-CN"/>
        </w:rPr>
        <w:t>3.1 分值构成</w:t>
      </w:r>
    </w:p>
    <w:p w14:paraId="09A2E0E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（1）商务部分：见评审办法前附表；</w:t>
      </w:r>
    </w:p>
    <w:p w14:paraId="793FB43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（2）技术部分：见评审办法前附表；</w:t>
      </w:r>
    </w:p>
    <w:p w14:paraId="4146E16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 评审基准价计算</w:t>
      </w:r>
    </w:p>
    <w:p w14:paraId="356E06B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（1）评审价格：评审价格为在规定时间内提交的最后报价；</w:t>
      </w:r>
    </w:p>
    <w:p w14:paraId="4DB4619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（2）评审基准价计算方法：见评审办法前附表。</w:t>
      </w:r>
    </w:p>
    <w:p w14:paraId="037D0E3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95" w:name="bookmark59"/>
      <w:bookmarkEnd w:id="195"/>
      <w:r>
        <w:rPr>
          <w:rFonts w:hint="eastAsia" w:ascii="宋体" w:hAnsi="宋体" w:eastAsia="宋体" w:cs="宋体"/>
          <w:color w:val="auto"/>
          <w:sz w:val="24"/>
          <w:szCs w:val="24"/>
          <w:highlight w:val="none"/>
          <w:lang w:val="en-US" w:eastAsia="zh-CN"/>
        </w:rPr>
        <w:t>3.3 评分标准</w:t>
      </w:r>
    </w:p>
    <w:p w14:paraId="608C441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（1）商务评分标准：见评审办法前附表；</w:t>
      </w:r>
    </w:p>
    <w:p w14:paraId="1F30AC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（2）技术评分标准：见评审办法前附表；</w:t>
      </w:r>
    </w:p>
    <w:p w14:paraId="0A2CCCD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96" w:name="bookmark60"/>
      <w:bookmarkEnd w:id="196"/>
      <w:r>
        <w:rPr>
          <w:rFonts w:hint="eastAsia" w:ascii="宋体" w:hAnsi="宋体" w:eastAsia="宋体" w:cs="宋体"/>
          <w:color w:val="auto"/>
          <w:sz w:val="24"/>
          <w:szCs w:val="24"/>
          <w:highlight w:val="none"/>
          <w:lang w:val="en-US" w:eastAsia="zh-CN"/>
        </w:rPr>
        <w:t>3.4 评分</w:t>
      </w:r>
    </w:p>
    <w:p w14:paraId="0F1C3CF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评审小组成员按照评分标准独立对供应商的商务、技术进行评分。商务评分由评审小组统一计算。各项得分汇总后为该成员给供应商的评分总分。评分分值计算保留小数点后两位，小数点后第三位“ 四舍五人 ”。</w:t>
      </w:r>
    </w:p>
    <w:p w14:paraId="7867BC9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 汇总</w:t>
      </w:r>
    </w:p>
    <w:p w14:paraId="23196E3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评审小组汇总每个成员对供应商的评分总分，每个供应商的评分总分的算术平均值为供应商最终得分。</w:t>
      </w:r>
    </w:p>
    <w:p w14:paraId="51C6245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197" w:name="bookmark62"/>
      <w:bookmarkEnd w:id="197"/>
      <w:r>
        <w:rPr>
          <w:rFonts w:hint="eastAsia" w:ascii="宋体" w:hAnsi="宋体" w:eastAsia="宋体" w:cs="宋体"/>
          <w:color w:val="auto"/>
          <w:sz w:val="24"/>
          <w:szCs w:val="24"/>
          <w:highlight w:val="none"/>
          <w:lang w:val="en-US" w:eastAsia="zh-CN"/>
        </w:rPr>
        <w:t>3.6 排序</w:t>
      </w:r>
    </w:p>
    <w:p w14:paraId="4176849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评审小组对供应商最终得分进行比较后，可以按照供应商最终得分由高到低的顺序 对供应商排序。最终得分相等时，以评审价格低的优先；评审价格也相等的，以技术得分高的优先；如果技术得分也相等，按照评审办法前附表的规定确定供应商优先顺序。</w:t>
      </w:r>
    </w:p>
    <w:p w14:paraId="2D2096DD">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outlineLvl w:val="1"/>
        <w:rPr>
          <w:rFonts w:hint="eastAsia" w:ascii="宋体" w:hAnsi="宋体" w:eastAsia="宋体" w:cs="宋体"/>
          <w:b/>
          <w:bCs/>
          <w:color w:val="auto"/>
          <w:sz w:val="24"/>
          <w:szCs w:val="24"/>
          <w:highlight w:val="none"/>
          <w:lang w:val="en-US" w:eastAsia="zh-CN"/>
        </w:rPr>
      </w:pPr>
      <w:bookmarkStart w:id="198" w:name="bookmark63"/>
      <w:bookmarkEnd w:id="198"/>
      <w:bookmarkStart w:id="199" w:name="_Toc17102"/>
      <w:bookmarkStart w:id="200" w:name="_Toc31151"/>
      <w:bookmarkStart w:id="201" w:name="_Toc1488"/>
      <w:bookmarkStart w:id="202" w:name="_Toc8708"/>
      <w:bookmarkStart w:id="203" w:name="_Toc23175"/>
      <w:bookmarkStart w:id="204" w:name="_Toc29054"/>
      <w:bookmarkStart w:id="205" w:name="_Toc17973"/>
      <w:r>
        <w:rPr>
          <w:rFonts w:hint="eastAsia" w:ascii="宋体" w:hAnsi="宋体" w:eastAsia="宋体" w:cs="宋体"/>
          <w:b/>
          <w:bCs/>
          <w:color w:val="auto"/>
          <w:sz w:val="24"/>
          <w:szCs w:val="24"/>
          <w:highlight w:val="none"/>
          <w:lang w:val="en-US" w:eastAsia="zh-CN"/>
        </w:rPr>
        <w:t>4. 评审结果</w:t>
      </w:r>
      <w:bookmarkEnd w:id="199"/>
      <w:bookmarkEnd w:id="200"/>
      <w:bookmarkEnd w:id="201"/>
      <w:bookmarkEnd w:id="202"/>
      <w:bookmarkEnd w:id="203"/>
      <w:bookmarkEnd w:id="204"/>
      <w:bookmarkEnd w:id="205"/>
    </w:p>
    <w:p w14:paraId="0F2B9BC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206" w:name="bookmark64"/>
      <w:bookmarkEnd w:id="206"/>
      <w:r>
        <w:rPr>
          <w:rFonts w:hint="eastAsia" w:ascii="宋体" w:hAnsi="宋体" w:eastAsia="宋体" w:cs="宋体"/>
          <w:color w:val="auto"/>
          <w:sz w:val="24"/>
          <w:szCs w:val="24"/>
          <w:highlight w:val="none"/>
          <w:lang w:val="en-US" w:eastAsia="zh-CN"/>
        </w:rPr>
        <w:t>4.1 提交书面评审报告</w:t>
      </w:r>
    </w:p>
    <w:p w14:paraId="0D81083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评审小组完成评审后，应当向采购人提交书面评审报告。</w:t>
      </w:r>
    </w:p>
    <w:p w14:paraId="2FB5B0F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lang w:val="en-US" w:eastAsia="zh-CN"/>
        </w:rPr>
      </w:pPr>
      <w:bookmarkStart w:id="207" w:name="bookmark65"/>
      <w:bookmarkEnd w:id="207"/>
      <w:r>
        <w:rPr>
          <w:rFonts w:hint="eastAsia" w:ascii="宋体" w:hAnsi="宋体" w:eastAsia="宋体" w:cs="宋体"/>
          <w:color w:val="auto"/>
          <w:sz w:val="24"/>
          <w:szCs w:val="24"/>
          <w:highlight w:val="none"/>
          <w:lang w:val="en-US" w:eastAsia="zh-CN"/>
        </w:rPr>
        <w:t>4.2 推荐候选成交供应商排序要求及数量</w:t>
      </w:r>
    </w:p>
    <w:p w14:paraId="6BDECA0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b/>
          <w:color w:val="auto"/>
          <w:sz w:val="40"/>
          <w:szCs w:val="20"/>
          <w:highlight w:val="none"/>
        </w:rPr>
      </w:pPr>
      <w:r>
        <w:rPr>
          <w:rFonts w:hint="eastAsia" w:ascii="宋体" w:hAnsi="宋体" w:eastAsia="宋体" w:cs="宋体"/>
          <w:color w:val="auto"/>
          <w:sz w:val="24"/>
          <w:szCs w:val="24"/>
          <w:highlight w:val="none"/>
          <w:lang w:val="en-US" w:eastAsia="zh-CN"/>
        </w:rPr>
        <w:t>评审小组应在书面评审报告中按照供应商排列的优先顺序向采购人推荐候选成交供应商(排序）。候选成交供应商的排序要求及数量见第二章“供应商须知 ”。</w:t>
      </w:r>
      <w:bookmarkStart w:id="208" w:name="_Toc209"/>
    </w:p>
    <w:bookmarkEnd w:id="208"/>
    <w:p w14:paraId="3ACAA104">
      <w:pPr>
        <w:pStyle w:val="21"/>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bookmarkStart w:id="209" w:name="_Toc29112"/>
    </w:p>
    <w:p w14:paraId="0A22F872">
      <w:pPr>
        <w:pStyle w:val="21"/>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sectPr>
          <w:footerReference r:id="rId8" w:type="first"/>
          <w:footerReference r:id="rId7" w:type="default"/>
          <w:pgSz w:w="11906" w:h="16838"/>
          <w:pgMar w:top="1417" w:right="1644" w:bottom="1417" w:left="1644" w:header="851" w:footer="992" w:gutter="0"/>
          <w:pgNumType w:fmt="decimal" w:start="1"/>
          <w:cols w:space="0" w:num="1"/>
          <w:titlePg/>
          <w:rtlGutter w:val="0"/>
          <w:docGrid w:type="linesAndChars" w:linePitch="312" w:charSpace="0"/>
        </w:sectPr>
      </w:pPr>
    </w:p>
    <w:p w14:paraId="1B8F8896">
      <w:pPr>
        <w:pStyle w:val="3"/>
        <w:keepNext/>
        <w:keepLines/>
        <w:pageBreakBefore w:val="0"/>
        <w:widowControl/>
        <w:kinsoku w:val="0"/>
        <w:wordWrap/>
        <w:overflowPunct/>
        <w:topLinePunct w:val="0"/>
        <w:autoSpaceDE w:val="0"/>
        <w:autoSpaceDN w:val="0"/>
        <w:bidi w:val="0"/>
        <w:adjustRightInd w:val="0"/>
        <w:snapToGrid w:val="0"/>
        <w:spacing w:before="0" w:after="10" w:line="500" w:lineRule="exact"/>
        <w:jc w:val="center"/>
        <w:textAlignment w:val="baseline"/>
        <w:rPr>
          <w:rFonts w:hint="eastAsia" w:ascii="宋体" w:hAnsi="宋体" w:eastAsia="宋体" w:cs="宋体"/>
          <w:b/>
          <w:color w:val="auto"/>
          <w:sz w:val="40"/>
          <w:szCs w:val="20"/>
          <w:highlight w:val="none"/>
        </w:rPr>
      </w:pPr>
      <w:bookmarkStart w:id="210" w:name="_Toc1222"/>
      <w:r>
        <w:rPr>
          <w:rFonts w:hint="eastAsia" w:ascii="宋体" w:hAnsi="宋体" w:eastAsia="宋体" w:cs="宋体"/>
          <w:b/>
          <w:color w:val="auto"/>
          <w:sz w:val="40"/>
          <w:szCs w:val="20"/>
          <w:highlight w:val="none"/>
        </w:rPr>
        <w:t xml:space="preserve">第五章  </w:t>
      </w:r>
      <w:bookmarkEnd w:id="209"/>
      <w:bookmarkStart w:id="211" w:name="_Toc17514"/>
      <w:r>
        <w:rPr>
          <w:rFonts w:hint="eastAsia" w:ascii="宋体" w:hAnsi="宋体" w:eastAsia="宋体" w:cs="宋体"/>
          <w:b/>
          <w:color w:val="auto"/>
          <w:sz w:val="40"/>
          <w:szCs w:val="20"/>
          <w:highlight w:val="none"/>
        </w:rPr>
        <w:t>响应文件格式</w:t>
      </w:r>
      <w:bookmarkEnd w:id="210"/>
      <w:bookmarkEnd w:id="211"/>
    </w:p>
    <w:p w14:paraId="40260D5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0A184A40">
      <w:pPr>
        <w:pageBreakBefore w:val="0"/>
        <w:wordWrap/>
        <w:overflowPunct/>
        <w:topLinePunct w:val="0"/>
        <w:bidi w:val="0"/>
        <w:adjustRightInd w:val="0"/>
        <w:snapToGrid w:val="0"/>
        <w:spacing w:line="500" w:lineRule="exact"/>
        <w:jc w:val="center"/>
        <w:outlineLvl w:val="9"/>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玉溪市“十五五”综合交通枢纽发展规划</w:t>
      </w:r>
    </w:p>
    <w:p w14:paraId="1BF1FBC0">
      <w:pPr>
        <w:pageBreakBefore w:val="0"/>
        <w:wordWrap/>
        <w:overflowPunct/>
        <w:topLinePunct w:val="0"/>
        <w:bidi w:val="0"/>
        <w:adjustRightInd w:val="0"/>
        <w:snapToGrid w:val="0"/>
        <w:spacing w:line="500" w:lineRule="exact"/>
        <w:jc w:val="center"/>
        <w:rPr>
          <w:rFonts w:hint="eastAsia" w:ascii="宋体" w:hAnsi="宋体" w:eastAsia="宋体" w:cs="宋体"/>
          <w:b/>
          <w:bCs/>
          <w:color w:val="auto"/>
          <w:sz w:val="48"/>
          <w:szCs w:val="48"/>
          <w:highlight w:val="none"/>
        </w:rPr>
      </w:pPr>
    </w:p>
    <w:p w14:paraId="1E03DE2C">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22B63E64">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502D2E0F">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8805C4C">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55F3E18A">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754B4A2C">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44755E6E">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59975893">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4F9A13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z w:val="72"/>
          <w:szCs w:val="72"/>
          <w:highlight w:val="none"/>
        </w:rPr>
      </w:pPr>
      <w:bookmarkStart w:id="212" w:name="bookmark68"/>
      <w:bookmarkEnd w:id="212"/>
      <w:bookmarkStart w:id="213" w:name="_Toc955"/>
      <w:r>
        <w:rPr>
          <w:rFonts w:hint="eastAsia" w:ascii="宋体" w:hAnsi="宋体" w:eastAsia="宋体" w:cs="宋体"/>
          <w:b/>
          <w:bCs/>
          <w:color w:val="auto"/>
          <w:sz w:val="72"/>
          <w:szCs w:val="72"/>
          <w:highlight w:val="none"/>
        </w:rPr>
        <w:t>响 应 文 件</w:t>
      </w:r>
      <w:bookmarkEnd w:id="213"/>
    </w:p>
    <w:p w14:paraId="66EA306D">
      <w:pPr>
        <w:pageBreakBefore w:val="0"/>
        <w:wordWrap/>
        <w:overflowPunct/>
        <w:topLinePunct w:val="0"/>
        <w:bidi w:val="0"/>
        <w:adjustRightInd w:val="0"/>
        <w:snapToGrid w:val="0"/>
        <w:spacing w:line="50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eastAsia="zh-CN"/>
        </w:rPr>
        <w:t>YNSY-ZC2025-08</w:t>
      </w:r>
    </w:p>
    <w:p w14:paraId="594DC09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69F1EDDD">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51D14B5A">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81A3E0C">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38DDF196">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687DCC2E">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15AE89B1">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49B4295A">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32"/>
          <w:szCs w:val="32"/>
          <w:highlight w:val="none"/>
        </w:rPr>
      </w:pPr>
    </w:p>
    <w:p w14:paraId="590B878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供应商（盖单位章）：                             </w:t>
      </w:r>
    </w:p>
    <w:p w14:paraId="792F821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法定代表人或其委托代理人（签字或盖章）：                 </w:t>
      </w:r>
    </w:p>
    <w:p w14:paraId="50B940B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3D1A15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8"/>
          <w:szCs w:val="28"/>
          <w:highlight w:val="none"/>
        </w:rPr>
      </w:pPr>
      <w:bookmarkStart w:id="214" w:name="bookmark69"/>
      <w:bookmarkEnd w:id="214"/>
      <w:bookmarkStart w:id="215" w:name="bookmark70"/>
      <w:bookmarkEnd w:id="215"/>
      <w:r>
        <w:rPr>
          <w:rFonts w:hint="eastAsia" w:ascii="宋体" w:hAnsi="宋体" w:eastAsia="宋体" w:cs="宋体"/>
          <w:color w:val="auto"/>
          <w:sz w:val="28"/>
          <w:szCs w:val="28"/>
          <w:highlight w:val="none"/>
        </w:rPr>
        <w:br w:type="page"/>
      </w:r>
    </w:p>
    <w:p w14:paraId="4C360557">
      <w:pPr>
        <w:pStyle w:val="4"/>
        <w:keepNext/>
        <w:keepLines/>
        <w:widowControl/>
        <w:spacing w:line="240" w:lineRule="auto"/>
        <w:jc w:val="center"/>
        <w:outlineLvl w:val="1"/>
        <w:rPr>
          <w:rFonts w:hint="eastAsia" w:ascii="宋体" w:hAnsi="宋体" w:eastAsia="宋体" w:cs="宋体"/>
          <w:color w:val="auto"/>
          <w:kern w:val="0"/>
          <w:highlight w:val="none"/>
        </w:rPr>
      </w:pPr>
      <w:bookmarkStart w:id="216" w:name="_Toc17087"/>
      <w:bookmarkStart w:id="217" w:name="_Toc30159"/>
      <w:bookmarkStart w:id="218" w:name="_Toc9096"/>
      <w:r>
        <w:rPr>
          <w:rFonts w:hint="eastAsia" w:ascii="宋体" w:hAnsi="宋体" w:eastAsia="宋体" w:cs="宋体"/>
          <w:b/>
          <w:bCs/>
          <w:snapToGrid w:val="0"/>
          <w:color w:val="auto"/>
          <w:kern w:val="0"/>
          <w:sz w:val="30"/>
          <w:szCs w:val="30"/>
          <w:highlight w:val="none"/>
          <w:lang w:val="en-US" w:eastAsia="zh-CN" w:bidi="ar-SA"/>
        </w:rPr>
        <w:t>一、</w:t>
      </w:r>
      <w:bookmarkEnd w:id="216"/>
      <w:bookmarkStart w:id="219" w:name="OLE_LINK11"/>
      <w:r>
        <w:rPr>
          <w:rFonts w:hint="eastAsia" w:ascii="宋体" w:hAnsi="宋体" w:eastAsia="宋体" w:cs="宋体"/>
          <w:color w:val="auto"/>
          <w:kern w:val="0"/>
          <w:highlight w:val="none"/>
        </w:rPr>
        <w:t>报价一览表</w:t>
      </w:r>
      <w:bookmarkEnd w:id="21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493"/>
        <w:gridCol w:w="3867"/>
        <w:gridCol w:w="1684"/>
      </w:tblGrid>
      <w:tr w14:paraId="20D0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1725" w:type="dxa"/>
            <w:noWrap w:val="0"/>
            <w:vAlign w:val="center"/>
          </w:tcPr>
          <w:p w14:paraId="24B3E86E">
            <w:pPr>
              <w:spacing w:before="120" w:after="120" w:line="360" w:lineRule="auto"/>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序号</w:t>
            </w:r>
          </w:p>
        </w:tc>
        <w:tc>
          <w:tcPr>
            <w:tcW w:w="2493" w:type="dxa"/>
            <w:noWrap w:val="0"/>
            <w:vAlign w:val="center"/>
          </w:tcPr>
          <w:p w14:paraId="02DCCB11">
            <w:pPr>
              <w:spacing w:before="120" w:after="120" w:line="240" w:lineRule="atLeast"/>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项目</w:t>
            </w:r>
          </w:p>
        </w:tc>
        <w:tc>
          <w:tcPr>
            <w:tcW w:w="3867" w:type="dxa"/>
            <w:noWrap w:val="0"/>
            <w:vAlign w:val="center"/>
          </w:tcPr>
          <w:p w14:paraId="4355D517">
            <w:pPr>
              <w:spacing w:before="120" w:after="120" w:line="440" w:lineRule="atLeast"/>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报价内容</w:t>
            </w:r>
          </w:p>
        </w:tc>
        <w:tc>
          <w:tcPr>
            <w:tcW w:w="1684" w:type="dxa"/>
            <w:noWrap w:val="0"/>
            <w:vAlign w:val="center"/>
          </w:tcPr>
          <w:p w14:paraId="47A589C1">
            <w:pPr>
              <w:spacing w:before="120" w:after="120" w:line="440" w:lineRule="atLeast"/>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备注</w:t>
            </w:r>
          </w:p>
        </w:tc>
      </w:tr>
      <w:tr w14:paraId="0B40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25" w:type="dxa"/>
            <w:noWrap w:val="0"/>
            <w:vAlign w:val="center"/>
          </w:tcPr>
          <w:p w14:paraId="20B62D70">
            <w:pPr>
              <w:spacing w:before="120" w:after="120"/>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1</w:t>
            </w:r>
          </w:p>
        </w:tc>
        <w:tc>
          <w:tcPr>
            <w:tcW w:w="2493" w:type="dxa"/>
            <w:noWrap w:val="0"/>
            <w:vAlign w:val="center"/>
          </w:tcPr>
          <w:p w14:paraId="0920C9E1">
            <w:pPr>
              <w:spacing w:before="120" w:after="120" w:line="360" w:lineRule="auto"/>
              <w:jc w:val="center"/>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报价</w:t>
            </w:r>
          </w:p>
        </w:tc>
        <w:tc>
          <w:tcPr>
            <w:tcW w:w="3867" w:type="dxa"/>
            <w:noWrap w:val="0"/>
            <w:vAlign w:val="center"/>
          </w:tcPr>
          <w:p w14:paraId="2180039F">
            <w:pPr>
              <w:spacing w:before="120" w:after="120" w:line="440" w:lineRule="atLeast"/>
              <w:jc w:val="center"/>
              <w:rPr>
                <w:rFonts w:hint="eastAsia" w:ascii="宋体" w:hAnsi="宋体" w:eastAsia="宋体" w:cs="宋体"/>
                <w:b/>
                <w:bCs/>
                <w:color w:val="auto"/>
                <w:sz w:val="24"/>
                <w:highlight w:val="none"/>
                <w:lang w:bidi="ar-SA"/>
              </w:rPr>
            </w:pPr>
            <w:r>
              <w:rPr>
                <w:rFonts w:hint="eastAsia" w:ascii="宋体" w:hAnsi="宋体" w:eastAsia="宋体" w:cs="宋体"/>
                <w:color w:val="auto"/>
                <w:sz w:val="22"/>
                <w:szCs w:val="22"/>
                <w:highlight w:val="none"/>
                <w:lang w:val="en-US" w:eastAsia="zh-CN" w:bidi="ar-SA"/>
              </w:rPr>
              <w:t xml:space="preserve"> </w:t>
            </w:r>
          </w:p>
        </w:tc>
        <w:tc>
          <w:tcPr>
            <w:tcW w:w="1684" w:type="dxa"/>
            <w:noWrap w:val="0"/>
            <w:vAlign w:val="center"/>
          </w:tcPr>
          <w:p w14:paraId="4D6AFB1D">
            <w:pPr>
              <w:jc w:val="center"/>
              <w:rPr>
                <w:rFonts w:hint="eastAsia" w:ascii="宋体" w:hAnsi="宋体" w:eastAsia="宋体" w:cs="宋体"/>
                <w:b/>
                <w:bCs/>
                <w:color w:val="auto"/>
                <w:szCs w:val="21"/>
                <w:highlight w:val="none"/>
                <w:lang w:val="en-US" w:eastAsia="zh-CN" w:bidi="ar-SA"/>
              </w:rPr>
            </w:pPr>
          </w:p>
        </w:tc>
      </w:tr>
      <w:tr w14:paraId="7603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1725" w:type="dxa"/>
            <w:noWrap w:val="0"/>
            <w:vAlign w:val="center"/>
          </w:tcPr>
          <w:p w14:paraId="795A1A59">
            <w:pPr>
              <w:spacing w:before="120" w:after="120"/>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2</w:t>
            </w:r>
          </w:p>
        </w:tc>
        <w:tc>
          <w:tcPr>
            <w:tcW w:w="2493" w:type="dxa"/>
            <w:noWrap w:val="0"/>
            <w:vAlign w:val="center"/>
          </w:tcPr>
          <w:p w14:paraId="6FA33292">
            <w:pPr>
              <w:spacing w:before="120" w:after="120" w:line="360" w:lineRule="auto"/>
              <w:jc w:val="center"/>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服务期限</w:t>
            </w:r>
          </w:p>
        </w:tc>
        <w:tc>
          <w:tcPr>
            <w:tcW w:w="3867" w:type="dxa"/>
            <w:noWrap w:val="0"/>
            <w:vAlign w:val="center"/>
          </w:tcPr>
          <w:p w14:paraId="7315E177">
            <w:pPr>
              <w:spacing w:before="120" w:after="120" w:line="360" w:lineRule="auto"/>
              <w:rPr>
                <w:rFonts w:hint="eastAsia" w:ascii="宋体" w:hAnsi="宋体" w:eastAsia="宋体" w:cs="宋体"/>
                <w:b/>
                <w:bCs/>
                <w:color w:val="auto"/>
                <w:sz w:val="24"/>
                <w:highlight w:val="none"/>
                <w:lang w:bidi="ar-SA"/>
              </w:rPr>
            </w:pPr>
          </w:p>
        </w:tc>
        <w:tc>
          <w:tcPr>
            <w:tcW w:w="1684" w:type="dxa"/>
            <w:noWrap w:val="0"/>
            <w:vAlign w:val="center"/>
          </w:tcPr>
          <w:p w14:paraId="5C6286A0">
            <w:pPr>
              <w:spacing w:before="120" w:after="120" w:line="360" w:lineRule="auto"/>
              <w:rPr>
                <w:rFonts w:hint="eastAsia" w:ascii="宋体" w:hAnsi="宋体" w:eastAsia="宋体" w:cs="宋体"/>
                <w:b/>
                <w:bCs/>
                <w:color w:val="auto"/>
                <w:sz w:val="24"/>
                <w:highlight w:val="none"/>
                <w:lang w:bidi="ar-SA"/>
              </w:rPr>
            </w:pPr>
          </w:p>
        </w:tc>
      </w:tr>
      <w:tr w14:paraId="0C5D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725" w:type="dxa"/>
            <w:noWrap w:val="0"/>
            <w:vAlign w:val="center"/>
          </w:tcPr>
          <w:p w14:paraId="764FDACE">
            <w:pPr>
              <w:spacing w:before="120" w:after="120"/>
              <w:jc w:val="center"/>
              <w:rPr>
                <w:rFonts w:hint="eastAsia" w:ascii="宋体" w:hAnsi="宋体" w:eastAsia="宋体" w:cs="宋体"/>
                <w:b/>
                <w:bCs/>
                <w:color w:val="auto"/>
                <w:sz w:val="24"/>
                <w:highlight w:val="none"/>
                <w:lang w:bidi="ar-SA"/>
              </w:rPr>
            </w:pPr>
            <w:r>
              <w:rPr>
                <w:rFonts w:hint="eastAsia" w:ascii="宋体" w:hAnsi="宋体" w:eastAsia="宋体" w:cs="宋体"/>
                <w:b/>
                <w:bCs/>
                <w:color w:val="auto"/>
                <w:sz w:val="24"/>
                <w:highlight w:val="none"/>
                <w:lang w:bidi="ar-SA"/>
              </w:rPr>
              <w:t>3</w:t>
            </w:r>
          </w:p>
        </w:tc>
        <w:tc>
          <w:tcPr>
            <w:tcW w:w="2493" w:type="dxa"/>
            <w:noWrap w:val="0"/>
            <w:vAlign w:val="center"/>
          </w:tcPr>
          <w:p w14:paraId="1E820D56">
            <w:pPr>
              <w:spacing w:before="120" w:after="120" w:line="360" w:lineRule="auto"/>
              <w:jc w:val="center"/>
              <w:rPr>
                <w:rFonts w:hint="eastAsia" w:ascii="宋体" w:hAnsi="宋体" w:eastAsia="宋体" w:cs="宋体"/>
                <w:b/>
                <w:bCs/>
                <w:color w:val="auto"/>
                <w:sz w:val="24"/>
                <w:szCs w:val="24"/>
                <w:highlight w:val="none"/>
                <w:lang w:eastAsia="zh-CN" w:bidi="ar-SA"/>
              </w:rPr>
            </w:pPr>
            <w:r>
              <w:rPr>
                <w:rFonts w:hint="eastAsia" w:ascii="宋体" w:hAnsi="宋体" w:eastAsia="宋体" w:cs="宋体"/>
                <w:b/>
                <w:bCs/>
                <w:color w:val="auto"/>
                <w:sz w:val="24"/>
                <w:szCs w:val="24"/>
                <w:highlight w:val="none"/>
                <w:lang w:val="en-US" w:eastAsia="zh-CN" w:bidi="ar-SA"/>
              </w:rPr>
              <w:t>服务承诺</w:t>
            </w:r>
          </w:p>
        </w:tc>
        <w:tc>
          <w:tcPr>
            <w:tcW w:w="3867" w:type="dxa"/>
            <w:noWrap w:val="0"/>
            <w:vAlign w:val="center"/>
          </w:tcPr>
          <w:p w14:paraId="56E9ADD7">
            <w:pPr>
              <w:spacing w:before="120" w:after="120" w:line="360" w:lineRule="auto"/>
              <w:rPr>
                <w:rFonts w:hint="eastAsia" w:ascii="宋体" w:hAnsi="宋体" w:eastAsia="宋体" w:cs="宋体"/>
                <w:b/>
                <w:bCs/>
                <w:color w:val="auto"/>
                <w:sz w:val="24"/>
                <w:highlight w:val="none"/>
                <w:lang w:bidi="ar-SA"/>
              </w:rPr>
            </w:pPr>
          </w:p>
        </w:tc>
        <w:tc>
          <w:tcPr>
            <w:tcW w:w="1684" w:type="dxa"/>
            <w:noWrap w:val="0"/>
            <w:vAlign w:val="center"/>
          </w:tcPr>
          <w:p w14:paraId="05CAA64E">
            <w:pPr>
              <w:spacing w:before="120" w:after="120" w:line="360" w:lineRule="auto"/>
              <w:rPr>
                <w:rFonts w:hint="eastAsia" w:ascii="宋体" w:hAnsi="宋体" w:eastAsia="宋体" w:cs="宋体"/>
                <w:b/>
                <w:bCs/>
                <w:color w:val="auto"/>
                <w:sz w:val="24"/>
                <w:highlight w:val="none"/>
                <w:lang w:bidi="ar-SA"/>
              </w:rPr>
            </w:pPr>
          </w:p>
        </w:tc>
      </w:tr>
      <w:tr w14:paraId="338F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725" w:type="dxa"/>
            <w:noWrap w:val="0"/>
            <w:vAlign w:val="center"/>
          </w:tcPr>
          <w:p w14:paraId="5152D70A">
            <w:pPr>
              <w:spacing w:before="120" w:after="120"/>
              <w:jc w:val="center"/>
              <w:rPr>
                <w:rFonts w:hint="eastAsia" w:ascii="宋体" w:hAnsi="宋体" w:eastAsia="宋体" w:cs="宋体"/>
                <w:b/>
                <w:bCs/>
                <w:color w:val="auto"/>
                <w:sz w:val="24"/>
                <w:highlight w:val="none"/>
                <w:lang w:eastAsia="zh-CN" w:bidi="ar-SA"/>
              </w:rPr>
            </w:pPr>
            <w:r>
              <w:rPr>
                <w:rFonts w:hint="eastAsia" w:ascii="宋体" w:hAnsi="宋体" w:eastAsia="宋体" w:cs="宋体"/>
                <w:b/>
                <w:bCs/>
                <w:color w:val="auto"/>
                <w:sz w:val="24"/>
                <w:highlight w:val="none"/>
                <w:lang w:val="en-US" w:eastAsia="zh-CN" w:bidi="ar-SA"/>
              </w:rPr>
              <w:t>4</w:t>
            </w:r>
          </w:p>
        </w:tc>
        <w:tc>
          <w:tcPr>
            <w:tcW w:w="2493" w:type="dxa"/>
            <w:noWrap w:val="0"/>
            <w:vAlign w:val="center"/>
          </w:tcPr>
          <w:p w14:paraId="1E0EFFA6">
            <w:pPr>
              <w:spacing w:before="120" w:after="120" w:line="360" w:lineRule="auto"/>
              <w:jc w:val="center"/>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其他</w:t>
            </w:r>
          </w:p>
        </w:tc>
        <w:tc>
          <w:tcPr>
            <w:tcW w:w="3867" w:type="dxa"/>
            <w:noWrap w:val="0"/>
            <w:vAlign w:val="center"/>
          </w:tcPr>
          <w:p w14:paraId="1A26F39C">
            <w:pPr>
              <w:spacing w:before="120" w:after="120" w:line="360" w:lineRule="auto"/>
              <w:rPr>
                <w:rFonts w:hint="eastAsia" w:ascii="宋体" w:hAnsi="宋体" w:eastAsia="宋体" w:cs="宋体"/>
                <w:b/>
                <w:bCs/>
                <w:color w:val="auto"/>
                <w:sz w:val="24"/>
                <w:highlight w:val="none"/>
                <w:lang w:bidi="ar-SA"/>
              </w:rPr>
            </w:pPr>
          </w:p>
        </w:tc>
        <w:tc>
          <w:tcPr>
            <w:tcW w:w="1684" w:type="dxa"/>
            <w:noWrap w:val="0"/>
            <w:vAlign w:val="center"/>
          </w:tcPr>
          <w:p w14:paraId="27776F07">
            <w:pPr>
              <w:spacing w:before="120" w:after="120" w:line="360" w:lineRule="auto"/>
              <w:rPr>
                <w:rFonts w:hint="eastAsia" w:ascii="宋体" w:hAnsi="宋体" w:eastAsia="宋体" w:cs="宋体"/>
                <w:b/>
                <w:bCs/>
                <w:color w:val="auto"/>
                <w:sz w:val="24"/>
                <w:highlight w:val="none"/>
                <w:lang w:bidi="ar-SA"/>
              </w:rPr>
            </w:pPr>
          </w:p>
        </w:tc>
      </w:tr>
    </w:tbl>
    <w:p w14:paraId="0468ADE6">
      <w:pPr>
        <w:spacing w:line="360" w:lineRule="exact"/>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注：此表必须放在响应文件第一页。</w:t>
      </w:r>
    </w:p>
    <w:p w14:paraId="6107068D">
      <w:pPr>
        <w:spacing w:line="360" w:lineRule="auto"/>
        <w:ind w:firstLine="480" w:firstLineChars="200"/>
        <w:jc w:val="left"/>
        <w:rPr>
          <w:rFonts w:hint="eastAsia" w:ascii="宋体" w:hAnsi="宋体" w:eastAsia="宋体" w:cs="宋体"/>
          <w:color w:val="auto"/>
          <w:sz w:val="24"/>
          <w:szCs w:val="24"/>
          <w:highlight w:val="none"/>
        </w:rPr>
      </w:pPr>
    </w:p>
    <w:p w14:paraId="66F4EC8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B8EEC3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F74E089">
      <w:pPr>
        <w:spacing w:line="360" w:lineRule="exact"/>
        <w:ind w:firstLine="480" w:firstLineChars="200"/>
        <w:rPr>
          <w:rFonts w:hint="eastAsia" w:ascii="宋体" w:hAnsi="宋体" w:eastAsia="宋体" w:cs="宋体"/>
          <w:b/>
          <w:bCs/>
          <w:color w:val="auto"/>
          <w:sz w:val="24"/>
          <w:szCs w:val="24"/>
          <w:highlight w:val="none"/>
          <w:lang w:bidi="ar-SA"/>
        </w:rPr>
      </w:pPr>
      <w:r>
        <w:rPr>
          <w:rFonts w:hint="eastAsia" w:ascii="宋体" w:hAnsi="宋体" w:eastAsia="宋体" w:cs="宋体"/>
          <w:color w:val="auto"/>
          <w:sz w:val="24"/>
          <w:szCs w:val="24"/>
          <w:highlight w:val="none"/>
        </w:rPr>
        <w:t>日期：      年   月    日</w:t>
      </w:r>
    </w:p>
    <w:p w14:paraId="1C0902D0">
      <w:pPr>
        <w:pStyle w:val="37"/>
        <w:pageBreakBefore w:val="0"/>
        <w:wordWrap/>
        <w:overflowPunct/>
        <w:topLinePunct w:val="0"/>
        <w:bidi w:val="0"/>
        <w:adjustRightInd w:val="0"/>
        <w:snapToGrid w:val="0"/>
        <w:spacing w:line="500" w:lineRule="exact"/>
        <w:jc w:val="left"/>
        <w:rPr>
          <w:rStyle w:val="31"/>
          <w:rFonts w:hint="eastAsia" w:ascii="宋体" w:hAnsi="宋体" w:eastAsia="宋体" w:cs="宋体"/>
          <w:b/>
          <w:color w:val="auto"/>
          <w:sz w:val="22"/>
          <w:szCs w:val="28"/>
          <w:highlight w:val="none"/>
        </w:rPr>
      </w:pPr>
    </w:p>
    <w:bookmarkEnd w:id="219"/>
    <w:p w14:paraId="1514F560">
      <w:pPr>
        <w:pageBreakBefore w:val="0"/>
        <w:wordWrap/>
        <w:overflowPunct/>
        <w:topLinePunct w:val="0"/>
        <w:bidi w:val="0"/>
        <w:adjustRightInd w:val="0"/>
        <w:snapToGrid w:val="0"/>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p>
    <w:bookmarkEnd w:id="218"/>
    <w:p w14:paraId="6832EA6E">
      <w:pPr>
        <w:pageBreakBefore w:val="0"/>
        <w:wordWrap/>
        <w:overflowPunct/>
        <w:topLinePunct w:val="0"/>
        <w:bidi w:val="0"/>
        <w:adjustRightInd w:val="0"/>
        <w:snapToGrid w:val="0"/>
        <w:spacing w:line="500" w:lineRule="exact"/>
        <w:jc w:val="center"/>
        <w:outlineLvl w:val="1"/>
        <w:rPr>
          <w:rFonts w:hint="eastAsia" w:ascii="宋体" w:hAnsi="宋体" w:eastAsia="宋体" w:cs="宋体"/>
          <w:b/>
          <w:bCs/>
          <w:snapToGrid w:val="0"/>
          <w:color w:val="auto"/>
          <w:kern w:val="0"/>
          <w:sz w:val="30"/>
          <w:szCs w:val="30"/>
          <w:highlight w:val="none"/>
          <w:lang w:val="en-US" w:eastAsia="zh-CN" w:bidi="ar-SA"/>
        </w:rPr>
      </w:pPr>
      <w:bookmarkStart w:id="220" w:name="_Toc11191"/>
      <w:r>
        <w:rPr>
          <w:rFonts w:hint="eastAsia" w:ascii="宋体" w:hAnsi="宋体" w:eastAsia="宋体" w:cs="宋体"/>
          <w:b/>
          <w:bCs/>
          <w:snapToGrid w:val="0"/>
          <w:color w:val="auto"/>
          <w:kern w:val="0"/>
          <w:sz w:val="30"/>
          <w:szCs w:val="30"/>
          <w:highlight w:val="none"/>
          <w:lang w:val="en-US" w:eastAsia="zh-CN" w:bidi="ar-SA"/>
        </w:rPr>
        <w:t>二、报价函</w:t>
      </w:r>
      <w:bookmarkEnd w:id="220"/>
    </w:p>
    <w:p w14:paraId="41AFAB73">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68B7D9DE">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p>
    <w:p w14:paraId="1B7AF1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我方已仔细研究了</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 xml:space="preserve">的全部内容，愿意以人民币 </w:t>
      </w:r>
      <w:r>
        <w:rPr>
          <w:rFonts w:hint="eastAsia" w:ascii="宋体" w:hAnsi="宋体" w:eastAsia="宋体" w:cs="宋体"/>
          <w:color w:val="auto"/>
          <w:sz w:val="24"/>
          <w:szCs w:val="24"/>
          <w:highlight w:val="none"/>
          <w:u w:val="single"/>
        </w:rPr>
        <w:t xml:space="preserve">(大写）          (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的报价</w:t>
      </w:r>
      <w:bookmarkStart w:id="221" w:name="OLE_LINK21"/>
      <w:r>
        <w:rPr>
          <w:rFonts w:hint="eastAsia" w:ascii="宋体" w:hAnsi="宋体" w:eastAsia="宋体" w:cs="宋体"/>
          <w:color w:val="auto"/>
          <w:sz w:val="24"/>
          <w:szCs w:val="24"/>
          <w:highlight w:val="none"/>
        </w:rPr>
        <w:t>完成本项目</w:t>
      </w:r>
      <w:bookmarkEnd w:id="221"/>
      <w:r>
        <w:rPr>
          <w:rFonts w:hint="eastAsia" w:ascii="宋体" w:hAnsi="宋体" w:eastAsia="宋体" w:cs="宋体"/>
          <w:color w:val="auto"/>
          <w:sz w:val="24"/>
          <w:highlight w:val="none"/>
          <w:lang w:val="en-US" w:eastAsia="zh-CN"/>
        </w:rPr>
        <w:t>的全部内容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按合同约定实施和完成</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承诺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F55ED1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2.我方承诺除商务和技术偏离表列出的偏差外，我方响应</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的全部要求。</w:t>
      </w:r>
    </w:p>
    <w:p w14:paraId="641EAB0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规定的响应文件有效期内不撤销响应文件。</w:t>
      </w:r>
    </w:p>
    <w:p w14:paraId="2B9318F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4.如我方成交，我方承诺：</w:t>
      </w:r>
    </w:p>
    <w:p w14:paraId="5199CF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(1)在收到成交通知书后，在成交通知书规定的期限内与你方签订合同；</w:t>
      </w:r>
    </w:p>
    <w:p w14:paraId="0F159BC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14:paraId="7E86002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14:paraId="456232F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5.我方在此声明，所递交的响应文件及有关资料内容完整、真实和准确，且符合“供应商须知 ”规定的资质要求。</w:t>
      </w:r>
    </w:p>
    <w:p w14:paraId="28A75E0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 xml:space="preserve">                     (其他补充说明）</w:t>
      </w:r>
      <w:r>
        <w:rPr>
          <w:rFonts w:hint="eastAsia" w:ascii="宋体" w:hAnsi="宋体" w:eastAsia="宋体" w:cs="宋体"/>
          <w:color w:val="auto"/>
          <w:sz w:val="24"/>
          <w:szCs w:val="24"/>
          <w:highlight w:val="none"/>
        </w:rPr>
        <w:t>。</w:t>
      </w:r>
    </w:p>
    <w:p w14:paraId="5306795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p>
    <w:p w14:paraId="419D0D5B">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656E5A9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 应 商：                           (盖单位章) </w:t>
      </w:r>
    </w:p>
    <w:p w14:paraId="7FCA230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(签字或盖章)  </w:t>
      </w:r>
    </w:p>
    <w:p w14:paraId="7AB977A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766BBA70">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071D285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p>
    <w:p w14:paraId="453D799D">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3A3311D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18F019F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B22C68D">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4D899F">
      <w:pPr>
        <w:pStyle w:val="4"/>
        <w:ind w:left="479" w:hanging="479"/>
        <w:jc w:val="center"/>
        <w:rPr>
          <w:rFonts w:hint="eastAsia" w:ascii="宋体" w:hAnsi="宋体" w:eastAsia="宋体" w:cs="宋体"/>
          <w:iCs/>
          <w:color w:val="auto"/>
          <w:kern w:val="0"/>
          <w:szCs w:val="24"/>
          <w:highlight w:val="none"/>
          <w:lang w:bidi="en-US"/>
        </w:rPr>
      </w:pPr>
      <w:bookmarkStart w:id="222" w:name="_Toc28457"/>
      <w:r>
        <w:rPr>
          <w:rFonts w:hint="eastAsia" w:ascii="宋体" w:hAnsi="宋体" w:eastAsia="宋体" w:cs="宋体"/>
          <w:b/>
          <w:bCs/>
          <w:snapToGrid w:val="0"/>
          <w:color w:val="auto"/>
          <w:kern w:val="0"/>
          <w:sz w:val="30"/>
          <w:szCs w:val="30"/>
          <w:highlight w:val="none"/>
          <w:lang w:val="en-US" w:eastAsia="zh-CN" w:bidi="ar-SA"/>
        </w:rPr>
        <w:t>三、</w:t>
      </w:r>
      <w:r>
        <w:rPr>
          <w:rFonts w:hint="eastAsia" w:ascii="宋体" w:hAnsi="宋体" w:eastAsia="宋体" w:cs="宋体"/>
          <w:iCs/>
          <w:color w:val="auto"/>
          <w:kern w:val="0"/>
          <w:szCs w:val="24"/>
          <w:highlight w:val="none"/>
          <w:lang w:bidi="en-US"/>
        </w:rPr>
        <w:t>法定代表人身份证明</w:t>
      </w:r>
      <w:bookmarkEnd w:id="222"/>
    </w:p>
    <w:p w14:paraId="4BEC7C2B">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8D9651A">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77207523">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69CD70D9">
      <w:pPr>
        <w:spacing w:line="360" w:lineRule="auto"/>
        <w:ind w:left="84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7516D5">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4FA02F85">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14:paraId="4B6E66B8">
      <w:pPr>
        <w:spacing w:line="360" w:lineRule="auto"/>
        <w:ind w:left="84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14:paraId="468BF2B0">
      <w:pPr>
        <w:spacing w:line="360" w:lineRule="auto"/>
        <w:ind w:left="84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w:t>
      </w:r>
    </w:p>
    <w:p w14:paraId="76D5F983">
      <w:pPr>
        <w:spacing w:line="360" w:lineRule="auto"/>
        <w:ind w:left="840" w:firstLine="420"/>
        <w:rPr>
          <w:rFonts w:hint="eastAsia" w:ascii="宋体" w:hAnsi="宋体" w:eastAsia="宋体" w:cs="宋体"/>
          <w:color w:val="auto"/>
          <w:sz w:val="24"/>
          <w:szCs w:val="24"/>
          <w:highlight w:val="none"/>
        </w:rPr>
      </w:pPr>
    </w:p>
    <w:p w14:paraId="3A74C9DA">
      <w:pPr>
        <w:spacing w:line="360" w:lineRule="auto"/>
        <w:ind w:left="84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11008C1">
      <w:pPr>
        <w:spacing w:line="360" w:lineRule="auto"/>
        <w:ind w:left="840" w:firstLine="420"/>
        <w:rPr>
          <w:rFonts w:hint="eastAsia" w:ascii="宋体" w:hAnsi="宋体" w:eastAsia="宋体" w:cs="宋体"/>
          <w:color w:val="auto"/>
          <w:sz w:val="24"/>
          <w:szCs w:val="24"/>
          <w:highlight w:val="none"/>
        </w:rPr>
      </w:pPr>
    </w:p>
    <w:p w14:paraId="19C7F517">
      <w:pPr>
        <w:spacing w:line="360" w:lineRule="auto"/>
        <w:ind w:left="84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2F77015">
      <w:pPr>
        <w:spacing w:line="360" w:lineRule="auto"/>
        <w:ind w:left="84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1F407B38">
      <w:pPr>
        <w:spacing w:line="360" w:lineRule="auto"/>
        <w:ind w:left="840" w:firstLine="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注：附法定代表人身份证复印件。</w:t>
      </w:r>
    </w:p>
    <w:p w14:paraId="7833F3D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en-US"/>
        </w:rPr>
      </w:pPr>
    </w:p>
    <w:p w14:paraId="2410DA05">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br w:type="page"/>
      </w:r>
    </w:p>
    <w:p w14:paraId="66368BEB">
      <w:pPr>
        <w:pStyle w:val="4"/>
        <w:ind w:left="479" w:hanging="479"/>
        <w:jc w:val="center"/>
        <w:outlineLvl w:val="1"/>
        <w:rPr>
          <w:rFonts w:hint="eastAsia" w:ascii="宋体" w:hAnsi="宋体" w:eastAsia="宋体" w:cs="宋体"/>
          <w:iCs/>
          <w:color w:val="auto"/>
          <w:kern w:val="0"/>
          <w:szCs w:val="24"/>
          <w:highlight w:val="none"/>
          <w:lang w:bidi="en-US"/>
        </w:rPr>
      </w:pPr>
      <w:bookmarkStart w:id="223" w:name="_Toc13511"/>
      <w:r>
        <w:rPr>
          <w:rFonts w:hint="eastAsia" w:ascii="宋体" w:hAnsi="宋体" w:eastAsia="宋体" w:cs="宋体"/>
          <w:b/>
          <w:bCs/>
          <w:snapToGrid w:val="0"/>
          <w:color w:val="auto"/>
          <w:kern w:val="0"/>
          <w:sz w:val="30"/>
          <w:szCs w:val="30"/>
          <w:highlight w:val="none"/>
          <w:lang w:val="en-US" w:eastAsia="zh-CN" w:bidi="ar-SA"/>
        </w:rPr>
        <w:t>四、</w:t>
      </w:r>
      <w:r>
        <w:rPr>
          <w:rFonts w:hint="eastAsia" w:ascii="宋体" w:hAnsi="宋体" w:eastAsia="宋体" w:cs="宋体"/>
          <w:iCs/>
          <w:color w:val="auto"/>
          <w:kern w:val="0"/>
          <w:szCs w:val="24"/>
          <w:highlight w:val="none"/>
          <w:lang w:bidi="en-US"/>
        </w:rPr>
        <w:t>授权委托书</w:t>
      </w:r>
      <w:bookmarkEnd w:id="223"/>
    </w:p>
    <w:p w14:paraId="1E1631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谈判响应</w:t>
      </w:r>
      <w:r>
        <w:rPr>
          <w:rFonts w:hint="eastAsia" w:ascii="宋体" w:hAnsi="宋体" w:eastAsia="宋体" w:cs="宋体"/>
          <w:color w:val="auto"/>
          <w:sz w:val="24"/>
          <w:szCs w:val="24"/>
          <w:highlight w:val="none"/>
        </w:rPr>
        <w:t>文件，其法律后果由我方承担。</w:t>
      </w:r>
    </w:p>
    <w:p w14:paraId="10B1029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1F26CED6">
      <w:pPr>
        <w:spacing w:line="360" w:lineRule="auto"/>
        <w:ind w:firstLine="480" w:firstLineChars="200"/>
        <w:rPr>
          <w:rFonts w:hint="eastAsia" w:ascii="宋体" w:hAnsi="宋体" w:eastAsia="宋体" w:cs="宋体"/>
          <w:color w:val="auto"/>
          <w:sz w:val="24"/>
          <w:szCs w:val="24"/>
          <w:highlight w:val="none"/>
          <w:u w:val="single"/>
        </w:rPr>
      </w:pPr>
    </w:p>
    <w:p w14:paraId="414F34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578550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D484F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14:paraId="0B1C5448">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27D58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签字或盖章</w:t>
      </w:r>
      <w:r>
        <w:rPr>
          <w:rFonts w:hint="eastAsia" w:ascii="宋体" w:hAnsi="宋体" w:eastAsia="宋体" w:cs="宋体"/>
          <w:color w:val="auto"/>
          <w:sz w:val="24"/>
          <w:szCs w:val="24"/>
          <w:highlight w:val="none"/>
        </w:rPr>
        <w:t>）</w:t>
      </w:r>
    </w:p>
    <w:p w14:paraId="174F4E3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080B9A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4C7B24F">
      <w:pPr>
        <w:spacing w:line="360" w:lineRule="auto"/>
        <w:ind w:right="420" w:firstLine="5400" w:firstLineChars="2250"/>
        <w:rPr>
          <w:rFonts w:hint="eastAsia" w:ascii="宋体" w:hAnsi="宋体" w:eastAsia="宋体" w:cs="宋体"/>
          <w:color w:val="auto"/>
          <w:sz w:val="24"/>
          <w:szCs w:val="24"/>
          <w:highlight w:val="none"/>
        </w:rPr>
      </w:pPr>
    </w:p>
    <w:p w14:paraId="26A7A3D2">
      <w:pPr>
        <w:spacing w:line="360" w:lineRule="auto"/>
        <w:ind w:right="420" w:firstLine="5400" w:firstLineChars="2250"/>
        <w:rPr>
          <w:rFonts w:hint="eastAsia" w:ascii="宋体" w:hAnsi="宋体" w:eastAsia="宋体" w:cs="宋体"/>
          <w:color w:val="auto"/>
          <w:sz w:val="24"/>
          <w:szCs w:val="24"/>
          <w:highlight w:val="none"/>
        </w:rPr>
      </w:pPr>
    </w:p>
    <w:p w14:paraId="6BED6D5E">
      <w:pPr>
        <w:spacing w:line="360" w:lineRule="auto"/>
        <w:ind w:right="42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注：1、附授权委托人身份证复印件；</w:t>
      </w:r>
    </w:p>
    <w:p w14:paraId="2E50F657">
      <w:pPr>
        <w:spacing w:line="360" w:lineRule="auto"/>
        <w:ind w:right="420"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2、如</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由法定代表人亲自签署投标文件并参与相关活动，则不需要办理授权。如由被授权的代理人签署上述文件，则必须按本格式规定填报并提交授权书，否则被授权的代理人将不被认可。</w:t>
      </w:r>
    </w:p>
    <w:p w14:paraId="04DAD83E">
      <w:pPr>
        <w:spacing w:line="360" w:lineRule="auto"/>
        <w:ind w:right="420"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3、本授权委托书配合法定代表人身份证明书使用方可生效。</w:t>
      </w:r>
    </w:p>
    <w:p w14:paraId="07E35425">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p>
    <w:p w14:paraId="4DDF02B6">
      <w:pPr>
        <w:pageBreakBefore w:val="0"/>
        <w:wordWrap/>
        <w:overflowPunct/>
        <w:topLinePunct w:val="0"/>
        <w:bidi w:val="0"/>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0F9CBEE">
      <w:pPr>
        <w:pageBreakBefore w:val="0"/>
        <w:wordWrap/>
        <w:overflowPunct/>
        <w:topLinePunct w:val="0"/>
        <w:bidi w:val="0"/>
        <w:adjustRightInd w:val="0"/>
        <w:snapToGrid w:val="0"/>
        <w:spacing w:line="500" w:lineRule="exact"/>
        <w:jc w:val="center"/>
        <w:outlineLvl w:val="1"/>
        <w:rPr>
          <w:rStyle w:val="31"/>
          <w:rFonts w:hint="eastAsia" w:ascii="宋体" w:hAnsi="宋体" w:eastAsia="宋体" w:cs="宋体"/>
          <w:color w:val="auto"/>
          <w:sz w:val="22"/>
          <w:highlight w:val="none"/>
        </w:rPr>
      </w:pPr>
      <w:bookmarkStart w:id="224" w:name="_Toc127"/>
      <w:bookmarkStart w:id="225" w:name="_Toc13759"/>
      <w:r>
        <w:rPr>
          <w:rFonts w:hint="eastAsia" w:ascii="宋体" w:hAnsi="宋体" w:eastAsia="宋体" w:cs="宋体"/>
          <w:b/>
          <w:bCs/>
          <w:snapToGrid w:val="0"/>
          <w:color w:val="auto"/>
          <w:kern w:val="0"/>
          <w:sz w:val="30"/>
          <w:szCs w:val="30"/>
          <w:highlight w:val="none"/>
          <w:lang w:val="en-US" w:eastAsia="zh-CN" w:bidi="ar-SA"/>
        </w:rPr>
        <w:t>五、资格审查资料</w:t>
      </w:r>
      <w:bookmarkEnd w:id="224"/>
      <w:bookmarkEnd w:id="225"/>
    </w:p>
    <w:tbl>
      <w:tblPr>
        <w:tblStyle w:val="23"/>
        <w:tblpPr w:leftFromText="180" w:rightFromText="180" w:vertAnchor="text" w:horzAnchor="margin" w:tblpY="934"/>
        <w:tblOverlap w:val="never"/>
        <w:tblW w:w="967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1004"/>
        <w:gridCol w:w="2458"/>
        <w:gridCol w:w="1496"/>
        <w:gridCol w:w="2775"/>
      </w:tblGrid>
      <w:tr w14:paraId="61A44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46" w:type="dxa"/>
            <w:vAlign w:val="center"/>
          </w:tcPr>
          <w:p w14:paraId="73A95CDF">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p>
        </w:tc>
        <w:tc>
          <w:tcPr>
            <w:tcW w:w="7733" w:type="dxa"/>
            <w:gridSpan w:val="4"/>
            <w:vAlign w:val="center"/>
          </w:tcPr>
          <w:p w14:paraId="38DB65E0">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7AE89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06F8DFAA">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3462" w:type="dxa"/>
            <w:gridSpan w:val="2"/>
            <w:vAlign w:val="center"/>
          </w:tcPr>
          <w:p w14:paraId="263B737E">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p>
        </w:tc>
        <w:tc>
          <w:tcPr>
            <w:tcW w:w="1496" w:type="dxa"/>
            <w:vAlign w:val="center"/>
          </w:tcPr>
          <w:p w14:paraId="58ABA260">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775" w:type="dxa"/>
            <w:vAlign w:val="center"/>
          </w:tcPr>
          <w:p w14:paraId="39E7D4DC">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2D21B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Merge w:val="restart"/>
            <w:vAlign w:val="center"/>
          </w:tcPr>
          <w:p w14:paraId="714A5D42">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04" w:type="dxa"/>
            <w:vAlign w:val="center"/>
          </w:tcPr>
          <w:p w14:paraId="2C121673">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2458" w:type="dxa"/>
            <w:vAlign w:val="center"/>
          </w:tcPr>
          <w:p w14:paraId="41466DB3">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p>
        </w:tc>
        <w:tc>
          <w:tcPr>
            <w:tcW w:w="1496" w:type="dxa"/>
            <w:vAlign w:val="center"/>
          </w:tcPr>
          <w:p w14:paraId="11C8C476">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775" w:type="dxa"/>
            <w:vAlign w:val="center"/>
          </w:tcPr>
          <w:p w14:paraId="40C6B578">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75E41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Merge w:val="continue"/>
            <w:vAlign w:val="center"/>
          </w:tcPr>
          <w:p w14:paraId="6761240A">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c>
          <w:tcPr>
            <w:tcW w:w="1004" w:type="dxa"/>
            <w:vAlign w:val="center"/>
          </w:tcPr>
          <w:p w14:paraId="5CCB609D">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tc>
        <w:tc>
          <w:tcPr>
            <w:tcW w:w="2458" w:type="dxa"/>
            <w:vAlign w:val="center"/>
          </w:tcPr>
          <w:p w14:paraId="2398B4F7">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p>
        </w:tc>
        <w:tc>
          <w:tcPr>
            <w:tcW w:w="1496" w:type="dxa"/>
            <w:vAlign w:val="center"/>
          </w:tcPr>
          <w:p w14:paraId="27FCD0B6">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p>
        </w:tc>
        <w:tc>
          <w:tcPr>
            <w:tcW w:w="2775" w:type="dxa"/>
            <w:vAlign w:val="center"/>
          </w:tcPr>
          <w:p w14:paraId="41CF85E4">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02587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75297274">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04" w:type="dxa"/>
            <w:vAlign w:val="center"/>
          </w:tcPr>
          <w:p w14:paraId="48387DCA">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458" w:type="dxa"/>
            <w:vAlign w:val="center"/>
          </w:tcPr>
          <w:p w14:paraId="16CB3027">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c>
          <w:tcPr>
            <w:tcW w:w="1496" w:type="dxa"/>
            <w:vAlign w:val="center"/>
          </w:tcPr>
          <w:p w14:paraId="3BF11B53">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775" w:type="dxa"/>
            <w:vAlign w:val="center"/>
          </w:tcPr>
          <w:p w14:paraId="321127CF">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5C794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2A3C1E76">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3462" w:type="dxa"/>
            <w:gridSpan w:val="2"/>
            <w:vAlign w:val="center"/>
          </w:tcPr>
          <w:p w14:paraId="25666AAB">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c>
          <w:tcPr>
            <w:tcW w:w="1496" w:type="dxa"/>
            <w:vAlign w:val="center"/>
          </w:tcPr>
          <w:p w14:paraId="318727D3">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w:t>
            </w:r>
          </w:p>
        </w:tc>
        <w:tc>
          <w:tcPr>
            <w:tcW w:w="2775" w:type="dxa"/>
            <w:vAlign w:val="center"/>
          </w:tcPr>
          <w:p w14:paraId="476AA005">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p>
        </w:tc>
      </w:tr>
      <w:tr w14:paraId="34219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72A45243">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7733" w:type="dxa"/>
            <w:gridSpan w:val="4"/>
            <w:vAlign w:val="center"/>
          </w:tcPr>
          <w:p w14:paraId="1E2A0618">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25D2D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4B526B6C">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7733" w:type="dxa"/>
            <w:gridSpan w:val="4"/>
            <w:vAlign w:val="center"/>
          </w:tcPr>
          <w:p w14:paraId="04132792">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55CEE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4F328156">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7733" w:type="dxa"/>
            <w:gridSpan w:val="4"/>
            <w:vAlign w:val="center"/>
          </w:tcPr>
          <w:p w14:paraId="192581F4">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1C440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946" w:type="dxa"/>
            <w:vAlign w:val="center"/>
          </w:tcPr>
          <w:p w14:paraId="6963E9A8">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7733" w:type="dxa"/>
            <w:gridSpan w:val="4"/>
            <w:vAlign w:val="center"/>
          </w:tcPr>
          <w:p w14:paraId="0141A1B7">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3274B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946" w:type="dxa"/>
            <w:tcBorders>
              <w:bottom w:val="single" w:color="auto" w:sz="4" w:space="0"/>
            </w:tcBorders>
            <w:vAlign w:val="center"/>
          </w:tcPr>
          <w:p w14:paraId="3076F62E">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733" w:type="dxa"/>
            <w:gridSpan w:val="4"/>
            <w:tcBorders>
              <w:bottom w:val="single" w:color="auto" w:sz="4" w:space="0"/>
            </w:tcBorders>
            <w:vAlign w:val="center"/>
          </w:tcPr>
          <w:p w14:paraId="03B08AD2">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r w14:paraId="0C004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946" w:type="dxa"/>
            <w:tcBorders>
              <w:top w:val="single" w:color="auto" w:sz="4" w:space="0"/>
              <w:bottom w:val="single" w:color="auto" w:sz="4" w:space="0"/>
            </w:tcBorders>
            <w:vAlign w:val="center"/>
          </w:tcPr>
          <w:p w14:paraId="6A4281FC">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    注</w:t>
            </w:r>
          </w:p>
        </w:tc>
        <w:tc>
          <w:tcPr>
            <w:tcW w:w="7733" w:type="dxa"/>
            <w:gridSpan w:val="4"/>
            <w:tcBorders>
              <w:top w:val="single" w:color="auto" w:sz="4" w:space="0"/>
              <w:bottom w:val="single" w:color="auto" w:sz="4" w:space="0"/>
            </w:tcBorders>
            <w:vAlign w:val="center"/>
          </w:tcPr>
          <w:p w14:paraId="13977DD8">
            <w:pPr>
              <w:pageBreakBefore w:val="0"/>
              <w:wordWrap/>
              <w:overflowPunct/>
              <w:topLinePunct w:val="0"/>
              <w:bidi w:val="0"/>
              <w:adjustRightInd w:val="0"/>
              <w:snapToGrid w:val="0"/>
              <w:spacing w:line="500" w:lineRule="exact"/>
              <w:jc w:val="center"/>
              <w:rPr>
                <w:rFonts w:hint="eastAsia" w:ascii="宋体" w:hAnsi="宋体" w:eastAsia="宋体" w:cs="宋体"/>
                <w:color w:val="auto"/>
                <w:sz w:val="24"/>
                <w:highlight w:val="none"/>
              </w:rPr>
            </w:pPr>
          </w:p>
        </w:tc>
      </w:tr>
    </w:tbl>
    <w:p w14:paraId="1C054C8F">
      <w:pPr>
        <w:pStyle w:val="14"/>
        <w:pageBreakBefore w:val="0"/>
        <w:wordWrap/>
        <w:overflowPunct/>
        <w:topLinePunct w:val="0"/>
        <w:bidi w:val="0"/>
        <w:adjustRightInd w:val="0"/>
        <w:snapToGrid w:val="0"/>
        <w:spacing w:beforeLines="50" w:line="500" w:lineRule="exact"/>
        <w:ind w:left="0"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）供应商</w:t>
      </w:r>
      <w:r>
        <w:rPr>
          <w:rFonts w:hint="eastAsia" w:ascii="宋体" w:hAnsi="宋体" w:eastAsia="宋体" w:cs="宋体"/>
          <w:b/>
          <w:bCs/>
          <w:color w:val="auto"/>
          <w:sz w:val="28"/>
          <w:szCs w:val="28"/>
          <w:highlight w:val="none"/>
        </w:rPr>
        <w:t>基本情况表</w:t>
      </w:r>
    </w:p>
    <w:p w14:paraId="4F71329A">
      <w:pPr>
        <w:pStyle w:val="36"/>
        <w:pageBreakBefore w:val="0"/>
        <w:wordWrap/>
        <w:overflowPunct/>
        <w:topLinePunct w:val="0"/>
        <w:bidi w:val="0"/>
        <w:adjustRightInd w:val="0"/>
        <w:snapToGrid w:val="0"/>
        <w:spacing w:line="500" w:lineRule="exact"/>
        <w:jc w:val="both"/>
        <w:rPr>
          <w:rFonts w:hint="eastAsia" w:ascii="宋体" w:hAnsi="宋体" w:eastAsia="宋体" w:cs="宋体"/>
          <w:b w:val="0"/>
          <w:color w:val="auto"/>
          <w:kern w:val="2"/>
          <w:sz w:val="24"/>
          <w:highlight w:val="none"/>
        </w:rPr>
      </w:pPr>
      <w:r>
        <w:rPr>
          <w:rFonts w:hint="eastAsia" w:ascii="宋体" w:hAnsi="宋体" w:eastAsia="宋体" w:cs="宋体"/>
          <w:b w:val="0"/>
          <w:color w:val="auto"/>
          <w:kern w:val="2"/>
          <w:sz w:val="24"/>
          <w:highlight w:val="none"/>
        </w:rPr>
        <w:t>附：（1）</w:t>
      </w:r>
      <w:r>
        <w:rPr>
          <w:rFonts w:hint="eastAsia" w:ascii="宋体" w:hAnsi="宋体" w:eastAsia="宋体" w:cs="宋体"/>
          <w:b w:val="0"/>
          <w:color w:val="auto"/>
          <w:kern w:val="2"/>
          <w:sz w:val="24"/>
          <w:highlight w:val="none"/>
          <w:lang w:val="en-US" w:eastAsia="zh-CN"/>
        </w:rPr>
        <w:t>营业执照、资质证书</w:t>
      </w:r>
      <w:r>
        <w:rPr>
          <w:rFonts w:hint="eastAsia" w:ascii="宋体" w:hAnsi="宋体" w:eastAsia="宋体" w:cs="宋体"/>
          <w:b w:val="0"/>
          <w:color w:val="auto"/>
          <w:kern w:val="2"/>
          <w:sz w:val="24"/>
          <w:highlight w:val="none"/>
        </w:rPr>
        <w:t>等</w:t>
      </w:r>
      <w:r>
        <w:rPr>
          <w:rFonts w:hint="eastAsia" w:ascii="宋体" w:hAnsi="宋体" w:eastAsia="宋体" w:cs="宋体"/>
          <w:b w:val="0"/>
          <w:color w:val="auto"/>
          <w:kern w:val="2"/>
          <w:sz w:val="24"/>
          <w:highlight w:val="none"/>
          <w:lang w:val="en-US" w:eastAsia="zh-CN"/>
        </w:rPr>
        <w:t>资料的</w:t>
      </w:r>
      <w:r>
        <w:rPr>
          <w:rFonts w:hint="eastAsia" w:ascii="宋体" w:hAnsi="宋体" w:eastAsia="宋体" w:cs="宋体"/>
          <w:b w:val="0"/>
          <w:color w:val="auto"/>
          <w:kern w:val="2"/>
          <w:sz w:val="24"/>
          <w:highlight w:val="none"/>
        </w:rPr>
        <w:t>复印件；</w:t>
      </w:r>
    </w:p>
    <w:p w14:paraId="0F99EFED">
      <w:pPr>
        <w:pStyle w:val="36"/>
        <w:pageBreakBefore w:val="0"/>
        <w:wordWrap/>
        <w:overflowPunct/>
        <w:topLinePunct w:val="0"/>
        <w:bidi w:val="0"/>
        <w:adjustRightInd w:val="0"/>
        <w:snapToGrid w:val="0"/>
        <w:spacing w:line="500" w:lineRule="exact"/>
        <w:jc w:val="both"/>
        <w:rPr>
          <w:rFonts w:hint="eastAsia" w:ascii="宋体" w:hAnsi="宋体" w:eastAsia="宋体" w:cs="宋体"/>
          <w:b w:val="0"/>
          <w:color w:val="auto"/>
          <w:kern w:val="2"/>
          <w:sz w:val="24"/>
          <w:highlight w:val="none"/>
        </w:rPr>
      </w:pPr>
      <w:r>
        <w:rPr>
          <w:rFonts w:hint="eastAsia" w:ascii="宋体" w:hAnsi="宋体" w:eastAsia="宋体" w:cs="宋体"/>
          <w:b w:val="0"/>
          <w:color w:val="auto"/>
          <w:kern w:val="2"/>
          <w:sz w:val="24"/>
          <w:highlight w:val="none"/>
        </w:rPr>
        <w:t xml:space="preserve">    （2）</w:t>
      </w:r>
      <w:r>
        <w:rPr>
          <w:rFonts w:hint="eastAsia" w:ascii="宋体" w:hAnsi="宋体" w:eastAsia="宋体" w:cs="宋体"/>
          <w:b w:val="0"/>
          <w:color w:val="auto"/>
          <w:kern w:val="2"/>
          <w:sz w:val="24"/>
          <w:highlight w:val="none"/>
          <w:lang w:val="en-US" w:eastAsia="zh-CN"/>
        </w:rPr>
        <w:t>供应商</w:t>
      </w:r>
      <w:r>
        <w:rPr>
          <w:rFonts w:hint="eastAsia" w:ascii="宋体" w:hAnsi="宋体" w:eastAsia="宋体" w:cs="宋体"/>
          <w:b w:val="0"/>
          <w:color w:val="auto"/>
          <w:kern w:val="2"/>
          <w:sz w:val="24"/>
          <w:highlight w:val="none"/>
        </w:rPr>
        <w:t>认为需要提供的其他证明材料。</w:t>
      </w:r>
    </w:p>
    <w:p w14:paraId="76D9BC56">
      <w:pPr>
        <w:pageBreakBefore w:val="0"/>
        <w:wordWrap/>
        <w:overflowPunct/>
        <w:topLinePunct w:val="0"/>
        <w:bidi w:val="0"/>
        <w:adjustRightInd w:val="0"/>
        <w:snapToGrid w:val="0"/>
        <w:spacing w:line="500" w:lineRule="exact"/>
        <w:jc w:val="left"/>
        <w:rPr>
          <w:rStyle w:val="31"/>
          <w:rFonts w:hint="eastAsia" w:ascii="宋体" w:hAnsi="宋体" w:eastAsia="宋体" w:cs="宋体"/>
          <w:color w:val="auto"/>
          <w:sz w:val="24"/>
          <w:szCs w:val="20"/>
          <w:highlight w:val="none"/>
        </w:rPr>
      </w:pPr>
    </w:p>
    <w:p w14:paraId="2E1BE412">
      <w:pPr>
        <w:pageBreakBefore w:val="0"/>
        <w:wordWrap/>
        <w:overflowPunct/>
        <w:topLinePunct w:val="0"/>
        <w:bidi w:val="0"/>
        <w:adjustRightInd w:val="0"/>
        <w:snapToGrid w:val="0"/>
        <w:spacing w:line="500" w:lineRule="exact"/>
        <w:jc w:val="left"/>
        <w:rPr>
          <w:rStyle w:val="31"/>
          <w:rFonts w:hint="eastAsia" w:ascii="宋体" w:hAnsi="宋体" w:eastAsia="宋体" w:cs="宋体"/>
          <w:color w:val="auto"/>
          <w:sz w:val="24"/>
          <w:szCs w:val="20"/>
          <w:highlight w:val="none"/>
        </w:rPr>
      </w:pPr>
    </w:p>
    <w:p w14:paraId="76371322">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u w:val="single"/>
        </w:rPr>
        <w:t xml:space="preserve">　　　　　　　　　　　　                  </w:t>
      </w:r>
    </w:p>
    <w:p w14:paraId="10604E6D">
      <w:pPr>
        <w:pageBreakBefore w:val="0"/>
        <w:wordWrap/>
        <w:overflowPunct/>
        <w:topLinePunct w:val="0"/>
        <w:bidi w:val="0"/>
        <w:adjustRightInd w:val="0"/>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r>
        <w:rPr>
          <w:rFonts w:hint="eastAsia" w:ascii="宋体" w:hAnsi="宋体" w:eastAsia="宋体" w:cs="宋体"/>
          <w:color w:val="auto"/>
          <w:sz w:val="24"/>
          <w:highlight w:val="none"/>
          <w:u w:val="single"/>
        </w:rPr>
        <w:t>　　　　　　　　　　</w:t>
      </w:r>
    </w:p>
    <w:p w14:paraId="0AC3CB29">
      <w:pPr>
        <w:pStyle w:val="37"/>
        <w:pageBreakBefore w:val="0"/>
        <w:wordWrap/>
        <w:overflowPunct/>
        <w:topLinePunct w:val="0"/>
        <w:bidi w:val="0"/>
        <w:adjustRightInd w:val="0"/>
        <w:snapToGrid w:val="0"/>
        <w:spacing w:line="500" w:lineRule="exact"/>
        <w:jc w:val="left"/>
        <w:rPr>
          <w:rStyle w:val="31"/>
          <w:rFonts w:hint="eastAsia" w:ascii="宋体" w:hAnsi="宋体" w:eastAsia="宋体" w:cs="宋体"/>
          <w:b/>
          <w:color w:val="auto"/>
          <w:sz w:val="22"/>
          <w:szCs w:val="28"/>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14:paraId="3A41ADBD">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3F88E1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其他资格审查资料</w:t>
      </w:r>
    </w:p>
    <w:p w14:paraId="58CCC74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1.供应商应具备《中华人民共和国政府采购法》第二十二条规定的条件（提供承诺书，格式自拟）；</w:t>
      </w:r>
    </w:p>
    <w:p w14:paraId="766989B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 xml:space="preserve">、信誉良好，申请单位未处于被责令停业，投标资格被取消，财产被接管、冻结、破产状态；没有受到取消投标资格的行政处罚，没有涉及正在诉讼的案件（提供承诺书）； </w:t>
      </w:r>
    </w:p>
    <w:p w14:paraId="3CEF80A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供应商未被列入“信用中国”网站（www.creditchina.gov.cn）失信被执行人、重大税收违法失信主体，政府采购严重违法失信行为记录名单及中国政府采购网（www.ccgp.gov.cn）“政府采购严重违法失信行为信息记录”,提供承诺函（截图由采购人或采购代理机构在开标后统一查询）。</w:t>
      </w:r>
    </w:p>
    <w:p w14:paraId="6C6BE8D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left"/>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供应商认为有必要提供的其他材料。</w:t>
      </w:r>
    </w:p>
    <w:p w14:paraId="685DAE65">
      <w:pPr>
        <w:pageBreakBefore w:val="0"/>
        <w:wordWrap/>
        <w:overflowPunct/>
        <w:topLinePunct w:val="0"/>
        <w:bidi w:val="0"/>
        <w:adjustRightInd w:val="0"/>
        <w:snapToGrid w:val="0"/>
        <w:spacing w:line="500" w:lineRule="exact"/>
        <w:rPr>
          <w:rFonts w:hint="eastAsia" w:ascii="宋体" w:hAnsi="宋体" w:eastAsia="宋体" w:cs="宋体"/>
          <w:color w:val="auto"/>
          <w:highlight w:val="none"/>
          <w:lang w:eastAsia="zh-CN"/>
        </w:rPr>
      </w:pPr>
    </w:p>
    <w:p w14:paraId="0C795C0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657CC63E">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附件：</w:t>
      </w:r>
      <w:r>
        <w:rPr>
          <w:rFonts w:hint="eastAsia" w:ascii="宋体" w:hAnsi="宋体" w:eastAsia="宋体" w:cs="宋体"/>
          <w:b/>
          <w:bCs/>
          <w:color w:val="auto"/>
          <w:sz w:val="24"/>
          <w:szCs w:val="24"/>
          <w:highlight w:val="none"/>
        </w:rPr>
        <w:t>（一）小型和微型企业需要提供的部分资料格式（供应商根据自身情况提供）：</w:t>
      </w:r>
    </w:p>
    <w:p w14:paraId="2A28D1F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中小企业声明函（工程、服务）</w:t>
      </w:r>
    </w:p>
    <w:p w14:paraId="5F567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 企业发展管理办法》（财库﹝2020﹞46 号）的规定，本公司 （联合体）参加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全部由符合政策要求的中小企业承接）。相关企业（含联合体中的中小企业、签订分包意向协议的中小企业）的具体情况如下：</w:t>
      </w:r>
    </w:p>
    <w:p w14:paraId="4047E7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65163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66B07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C277D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3B73EBAD">
      <w:pPr>
        <w:spacing w:line="360" w:lineRule="auto"/>
        <w:rPr>
          <w:rFonts w:hint="eastAsia" w:ascii="宋体" w:hAnsi="宋体" w:eastAsia="宋体" w:cs="宋体"/>
          <w:color w:val="auto"/>
          <w:sz w:val="24"/>
          <w:szCs w:val="24"/>
          <w:highlight w:val="none"/>
        </w:rPr>
      </w:pPr>
    </w:p>
    <w:p w14:paraId="00A927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2D7069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5793B52F">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D8FFDE9">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（二）监狱企业证明函（供应商根据自身情况提供）</w:t>
      </w:r>
    </w:p>
    <w:p w14:paraId="6844E57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监狱企业证明函</w:t>
      </w:r>
    </w:p>
    <w:p w14:paraId="043D7C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本公司郑重声明，根据《财政部 司法部关于政府采购支持监狱企业发展有关问题的通知》（财库[2014]68 号）的规定，本公司为监狱企业。</w:t>
      </w:r>
    </w:p>
    <w:p w14:paraId="26BD95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省级以上监狱管理局、戒毒管理局（含新疆生产建设兵团）（盖章）：</w:t>
      </w:r>
    </w:p>
    <w:p w14:paraId="7A556778">
      <w:pPr>
        <w:spacing w:line="360" w:lineRule="auto"/>
        <w:ind w:firstLine="480" w:firstLineChars="200"/>
        <w:rPr>
          <w:rFonts w:hint="eastAsia" w:ascii="宋体" w:hAnsi="宋体" w:eastAsia="宋体" w:cs="宋体"/>
          <w:color w:val="auto"/>
          <w:sz w:val="24"/>
          <w:szCs w:val="24"/>
          <w:highlight w:val="none"/>
        </w:rPr>
      </w:pPr>
    </w:p>
    <w:p w14:paraId="54EF27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1039D8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BB8E3BC">
      <w:pPr>
        <w:spacing w:line="360" w:lineRule="auto"/>
        <w:rPr>
          <w:rFonts w:hint="eastAsia" w:ascii="宋体" w:hAnsi="宋体" w:eastAsia="宋体" w:cs="宋体"/>
          <w:color w:val="auto"/>
          <w:sz w:val="24"/>
          <w:szCs w:val="24"/>
          <w:highlight w:val="none"/>
        </w:rPr>
      </w:pPr>
    </w:p>
    <w:p w14:paraId="310D5A82">
      <w:pPr>
        <w:spacing w:line="360" w:lineRule="auto"/>
        <w:rPr>
          <w:rFonts w:hint="eastAsia" w:ascii="宋体" w:hAnsi="宋体" w:eastAsia="宋体" w:cs="宋体"/>
          <w:color w:val="auto"/>
          <w:sz w:val="24"/>
          <w:szCs w:val="24"/>
          <w:highlight w:val="none"/>
        </w:rPr>
      </w:pPr>
    </w:p>
    <w:p w14:paraId="196B622A">
      <w:pPr>
        <w:spacing w:line="360" w:lineRule="auto"/>
        <w:rPr>
          <w:rFonts w:hint="eastAsia" w:ascii="宋体" w:hAnsi="宋体" w:eastAsia="宋体" w:cs="宋体"/>
          <w:color w:val="auto"/>
          <w:sz w:val="24"/>
          <w:szCs w:val="24"/>
          <w:highlight w:val="none"/>
        </w:rPr>
      </w:pPr>
    </w:p>
    <w:p w14:paraId="5D287812">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（三）残疾人福利性单位声明函（供应商根据自身情况提供）</w:t>
      </w:r>
    </w:p>
    <w:p w14:paraId="7E17F48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残疾人福利性单位声明函</w:t>
      </w:r>
    </w:p>
    <w:p w14:paraId="18FEBB90">
      <w:pPr>
        <w:spacing w:line="360" w:lineRule="auto"/>
        <w:rPr>
          <w:rFonts w:hint="eastAsia" w:ascii="宋体" w:hAnsi="宋体" w:eastAsia="宋体" w:cs="宋体"/>
          <w:color w:val="auto"/>
          <w:sz w:val="24"/>
          <w:szCs w:val="24"/>
          <w:highlight w:val="none"/>
        </w:rPr>
      </w:pPr>
    </w:p>
    <w:p w14:paraId="09F704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5650C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C80DB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09304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419BFB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2C6D267B">
      <w:pPr>
        <w:spacing w:line="360" w:lineRule="auto"/>
        <w:rPr>
          <w:rFonts w:hint="eastAsia" w:ascii="宋体" w:hAnsi="宋体" w:eastAsia="宋体" w:cs="宋体"/>
          <w:b/>
          <w:color w:val="auto"/>
          <w:sz w:val="32"/>
          <w:szCs w:val="32"/>
          <w:highlight w:val="none"/>
          <w:shd w:val="clear" w:color="auto" w:fill="FFFFFF"/>
        </w:rPr>
      </w:pPr>
    </w:p>
    <w:p w14:paraId="1C73D9F4">
      <w:pPr>
        <w:rPr>
          <w:rFonts w:hint="eastAsia" w:ascii="宋体" w:hAnsi="宋体" w:eastAsia="宋体" w:cs="宋体"/>
          <w:color w:val="auto"/>
          <w:highlight w:val="none"/>
        </w:rPr>
      </w:pPr>
    </w:p>
    <w:p w14:paraId="7A27CB8C">
      <w:pPr>
        <w:pageBreakBefore w:val="0"/>
        <w:wordWrap/>
        <w:overflowPunct/>
        <w:topLinePunct w:val="0"/>
        <w:bidi w:val="0"/>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p>
    <w:p w14:paraId="645CD1E5">
      <w:pPr>
        <w:pStyle w:val="4"/>
        <w:keepNext/>
        <w:keepLines/>
        <w:widowControl/>
        <w:numPr>
          <w:ilvl w:val="0"/>
          <w:numId w:val="0"/>
        </w:numPr>
        <w:tabs>
          <w:tab w:val="left" w:pos="0"/>
        </w:tabs>
        <w:spacing w:line="415" w:lineRule="auto"/>
        <w:ind w:left="0" w:leftChars="0" w:firstLine="0" w:firstLineChars="0"/>
        <w:jc w:val="center"/>
        <w:rPr>
          <w:rFonts w:hint="eastAsia" w:ascii="宋体" w:hAnsi="宋体" w:eastAsia="宋体" w:cs="宋体"/>
          <w:bCs/>
          <w:color w:val="auto"/>
          <w:kern w:val="0"/>
          <w:sz w:val="30"/>
          <w:szCs w:val="30"/>
          <w:highlight w:val="none"/>
        </w:rPr>
      </w:pPr>
      <w:bookmarkStart w:id="226" w:name="_Toc30801"/>
      <w:r>
        <w:rPr>
          <w:rFonts w:hint="eastAsia" w:ascii="宋体" w:hAnsi="宋体" w:eastAsia="宋体" w:cs="宋体"/>
          <w:b/>
          <w:bCs/>
          <w:snapToGrid w:val="0"/>
          <w:color w:val="auto"/>
          <w:kern w:val="0"/>
          <w:sz w:val="30"/>
          <w:szCs w:val="30"/>
          <w:highlight w:val="none"/>
          <w:lang w:val="en-US" w:eastAsia="zh-CN" w:bidi="ar-SA"/>
        </w:rPr>
        <w:t>六、</w:t>
      </w:r>
      <w:bookmarkStart w:id="227" w:name="_Toc27730"/>
      <w:bookmarkStart w:id="228" w:name="_Toc21648"/>
      <w:r>
        <w:rPr>
          <w:rFonts w:hint="eastAsia" w:ascii="宋体" w:hAnsi="宋体" w:eastAsia="宋体" w:cs="宋体"/>
          <w:bCs/>
          <w:color w:val="auto"/>
          <w:kern w:val="0"/>
          <w:sz w:val="30"/>
          <w:szCs w:val="30"/>
          <w:highlight w:val="none"/>
        </w:rPr>
        <w:t>技术</w:t>
      </w:r>
      <w:bookmarkEnd w:id="227"/>
      <w:r>
        <w:rPr>
          <w:rFonts w:hint="eastAsia" w:ascii="宋体" w:hAnsi="宋体" w:eastAsia="宋体" w:cs="宋体"/>
          <w:bCs/>
          <w:color w:val="auto"/>
          <w:kern w:val="0"/>
          <w:sz w:val="30"/>
          <w:szCs w:val="30"/>
          <w:highlight w:val="none"/>
        </w:rPr>
        <w:t>部分</w:t>
      </w:r>
      <w:bookmarkEnd w:id="226"/>
      <w:bookmarkEnd w:id="228"/>
    </w:p>
    <w:p w14:paraId="100F5FE1">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应按照</w:t>
      </w:r>
      <w:r>
        <w:rPr>
          <w:rFonts w:hint="eastAsia" w:ascii="宋体" w:hAnsi="宋体" w:eastAsia="宋体" w:cs="宋体"/>
          <w:color w:val="auto"/>
          <w:sz w:val="24"/>
          <w:highlight w:val="none"/>
          <w:lang w:val="en-US" w:eastAsia="zh-CN"/>
        </w:rPr>
        <w:t>询比</w:t>
      </w:r>
      <w:r>
        <w:rPr>
          <w:rFonts w:hint="eastAsia" w:ascii="宋体" w:hAnsi="宋体" w:eastAsia="宋体" w:cs="宋体"/>
          <w:color w:val="auto"/>
          <w:sz w:val="24"/>
          <w:highlight w:val="none"/>
        </w:rPr>
        <w:t>文件要求，对“第三章 采购需求”中的内容作出全面响应。编制和提交的内容应包括但不限于以下各项。</w:t>
      </w:r>
    </w:p>
    <w:p w14:paraId="772A069D">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声明格式</w:t>
      </w:r>
    </w:p>
    <w:p w14:paraId="0204AA29">
      <w:pPr>
        <w:spacing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对本项目的理解及重、难点分析</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r>
        <w:rPr>
          <w:rFonts w:hint="eastAsia" w:ascii="宋体" w:hAnsi="宋体" w:eastAsia="宋体" w:cs="宋体"/>
          <w:color w:val="auto"/>
          <w:sz w:val="24"/>
          <w:highlight w:val="none"/>
          <w:lang w:eastAsia="zh-CN"/>
        </w:rPr>
        <w:t>。</w:t>
      </w:r>
    </w:p>
    <w:p w14:paraId="5AD4FAAD">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项目服务方案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r>
        <w:rPr>
          <w:rFonts w:hint="eastAsia" w:ascii="宋体" w:hAnsi="宋体" w:eastAsia="宋体" w:cs="宋体"/>
          <w:color w:val="auto"/>
          <w:sz w:val="24"/>
          <w:highlight w:val="none"/>
          <w:lang w:eastAsia="zh-CN"/>
        </w:rPr>
        <w:t>。</w:t>
      </w:r>
    </w:p>
    <w:p w14:paraId="0F2B7A0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6.4  </w:t>
      </w:r>
      <w:r>
        <w:rPr>
          <w:rFonts w:hint="eastAsia" w:ascii="宋体" w:hAnsi="宋体" w:eastAsia="宋体" w:cs="宋体"/>
          <w:color w:val="auto"/>
          <w:sz w:val="24"/>
          <w:highlight w:val="none"/>
          <w:lang w:eastAsia="zh-CN"/>
        </w:rPr>
        <w:t>服务质量保证措施及违约责任承诺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p>
    <w:p w14:paraId="424ABF40">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6.5</w:t>
      </w:r>
      <w:r>
        <w:rPr>
          <w:rFonts w:hint="eastAsia" w:ascii="宋体" w:hAnsi="宋体" w:eastAsia="宋体" w:cs="宋体"/>
          <w:color w:val="auto"/>
          <w:sz w:val="24"/>
          <w:highlight w:val="none"/>
        </w:rPr>
        <w:t xml:space="preserve"> </w:t>
      </w:r>
      <w:bookmarkStart w:id="229" w:name="_Hlk531092532"/>
      <w:r>
        <w:rPr>
          <w:rFonts w:hint="eastAsia" w:ascii="宋体" w:hAnsi="宋体" w:eastAsia="宋体" w:cs="宋体"/>
          <w:color w:val="auto"/>
          <w:sz w:val="24"/>
          <w:highlight w:val="none"/>
          <w:lang w:val="en-US" w:eastAsia="zh-CN"/>
        </w:rPr>
        <w:t xml:space="preserve"> </w:t>
      </w:r>
      <w:bookmarkEnd w:id="229"/>
      <w:r>
        <w:rPr>
          <w:rFonts w:hint="eastAsia" w:ascii="宋体" w:hAnsi="宋体" w:eastAsia="宋体" w:cs="宋体"/>
          <w:color w:val="auto"/>
          <w:sz w:val="24"/>
          <w:highlight w:val="none"/>
          <w:lang w:val="en-US" w:eastAsia="zh-CN"/>
        </w:rPr>
        <w:t>拟派人员配备方案</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w:t>
      </w:r>
      <w:r>
        <w:rPr>
          <w:rFonts w:hint="eastAsia" w:ascii="宋体" w:hAnsi="宋体" w:eastAsia="宋体" w:cs="宋体"/>
          <w:color w:val="auto"/>
          <w:sz w:val="24"/>
          <w:highlight w:val="none"/>
          <w:lang w:eastAsia="zh-CN"/>
        </w:rPr>
        <w:t>。</w:t>
      </w:r>
    </w:p>
    <w:p w14:paraId="5D4EF165">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6.6  </w:t>
      </w:r>
      <w:r>
        <w:rPr>
          <w:rFonts w:hint="eastAsia" w:ascii="宋体" w:hAnsi="宋体" w:eastAsia="宋体" w:cs="宋体"/>
          <w:color w:val="auto"/>
          <w:sz w:val="24"/>
          <w:highlight w:val="none"/>
        </w:rPr>
        <w:t>企业</w:t>
      </w:r>
      <w:r>
        <w:rPr>
          <w:rFonts w:hint="eastAsia" w:ascii="宋体" w:hAnsi="宋体" w:eastAsia="宋体" w:cs="宋体"/>
          <w:color w:val="auto"/>
          <w:sz w:val="24"/>
          <w:highlight w:val="none"/>
          <w:lang w:val="en-US" w:eastAsia="zh-CN"/>
        </w:rPr>
        <w:t>类似业绩</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w:t>
      </w:r>
    </w:p>
    <w:p w14:paraId="67FCA356">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6.7</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供应商认为有必要提供的其他资料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自行编制，格式自拟）。</w:t>
      </w:r>
    </w:p>
    <w:p w14:paraId="7F54F482">
      <w:pPr>
        <w:pStyle w:val="3"/>
        <w:rPr>
          <w:rFonts w:hint="eastAsia" w:ascii="宋体" w:hAnsi="宋体" w:eastAsia="宋体" w:cs="宋体"/>
          <w:color w:val="auto"/>
          <w:highlight w:val="none"/>
        </w:rPr>
      </w:pPr>
    </w:p>
    <w:p w14:paraId="174FA933">
      <w:pPr>
        <w:pStyle w:val="3"/>
        <w:rPr>
          <w:rFonts w:hint="eastAsia" w:ascii="宋体" w:hAnsi="宋体" w:eastAsia="宋体" w:cs="宋体"/>
          <w:color w:val="auto"/>
          <w:highlight w:val="none"/>
        </w:rPr>
      </w:pPr>
    </w:p>
    <w:p w14:paraId="26D8104E">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highlight w:val="none"/>
        </w:rPr>
      </w:pPr>
      <w:r>
        <w:rPr>
          <w:rFonts w:hint="eastAsia" w:ascii="宋体" w:hAnsi="宋体" w:eastAsia="宋体" w:cs="宋体"/>
          <w:color w:val="auto"/>
          <w:highlight w:val="none"/>
        </w:rPr>
        <w:br w:type="page"/>
      </w:r>
      <w:bookmarkStart w:id="230" w:name="_Toc403381121"/>
      <w:r>
        <w:rPr>
          <w:rFonts w:hint="eastAsia" w:ascii="宋体" w:hAnsi="宋体" w:eastAsia="宋体" w:cs="宋体"/>
          <w:b/>
          <w:bCs/>
          <w:color w:val="auto"/>
          <w:highlight w:val="none"/>
          <w:lang w:val="en-US" w:eastAsia="zh-CN"/>
        </w:rPr>
        <w:t>6.</w:t>
      </w:r>
      <w:r>
        <w:rPr>
          <w:rFonts w:hint="eastAsia" w:ascii="宋体" w:hAnsi="宋体" w:eastAsia="宋体" w:cs="宋体"/>
          <w:b/>
          <w:bCs/>
          <w:color w:val="auto"/>
          <w:kern w:val="2"/>
          <w:szCs w:val="24"/>
          <w:highlight w:val="none"/>
        </w:rPr>
        <w:t xml:space="preserve">1  </w:t>
      </w:r>
      <w:r>
        <w:rPr>
          <w:rFonts w:hint="eastAsia" w:ascii="宋体" w:hAnsi="宋体" w:eastAsia="宋体" w:cs="宋体"/>
          <w:b/>
          <w:color w:val="auto"/>
          <w:kern w:val="2"/>
          <w:szCs w:val="24"/>
          <w:highlight w:val="none"/>
          <w:lang w:eastAsia="zh-CN"/>
        </w:rPr>
        <w:t>供应商</w:t>
      </w:r>
      <w:r>
        <w:rPr>
          <w:rFonts w:hint="eastAsia" w:ascii="宋体" w:hAnsi="宋体" w:eastAsia="宋体" w:cs="宋体"/>
          <w:b/>
          <w:color w:val="auto"/>
          <w:kern w:val="2"/>
          <w:szCs w:val="24"/>
          <w:highlight w:val="none"/>
        </w:rPr>
        <w:t>声明格式</w:t>
      </w:r>
      <w:bookmarkEnd w:id="230"/>
    </w:p>
    <w:p w14:paraId="4258ACE3">
      <w:pPr>
        <w:pStyle w:val="40"/>
        <w:numPr>
          <w:ilvl w:val="3"/>
          <w:numId w:val="4"/>
        </w:numPr>
        <w:spacing w:before="240" w:after="24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声明</w:t>
      </w:r>
    </w:p>
    <w:p w14:paraId="2BDCE8C5">
      <w:pPr>
        <w:spacing w:line="800" w:lineRule="exact"/>
        <w:rPr>
          <w:rFonts w:hint="eastAsia" w:ascii="宋体" w:hAnsi="宋体" w:eastAsia="宋体" w:cs="宋体"/>
          <w:bCs/>
          <w:color w:val="auto"/>
          <w:highlight w:val="none"/>
        </w:rPr>
      </w:pPr>
      <w:r>
        <w:rPr>
          <w:rFonts w:hint="eastAsia" w:ascii="宋体" w:hAnsi="宋体" w:eastAsia="宋体" w:cs="宋体"/>
          <w:b/>
          <w:bCs/>
          <w:color w:val="auto"/>
          <w:sz w:val="24"/>
          <w:highlight w:val="none"/>
        </w:rPr>
        <w:t>致：</w:t>
      </w:r>
      <w:r>
        <w:rPr>
          <w:rFonts w:hint="eastAsia" w:ascii="宋体" w:hAnsi="宋体" w:eastAsia="宋体" w:cs="宋体"/>
          <w:b/>
          <w:color w:val="auto"/>
          <w:sz w:val="24"/>
          <w:szCs w:val="20"/>
          <w:highlight w:val="none"/>
          <w:u w:val="single"/>
        </w:rPr>
        <w:t>（</w:t>
      </w:r>
      <w:r>
        <w:rPr>
          <w:rFonts w:hint="eastAsia" w:ascii="宋体" w:hAnsi="宋体" w:eastAsia="宋体" w:cs="宋体"/>
          <w:b/>
          <w:color w:val="auto"/>
          <w:sz w:val="24"/>
          <w:szCs w:val="20"/>
          <w:highlight w:val="none"/>
          <w:u w:val="single"/>
          <w:lang w:eastAsia="zh-CN"/>
        </w:rPr>
        <w:t>采购人</w:t>
      </w:r>
      <w:r>
        <w:rPr>
          <w:rFonts w:hint="eastAsia" w:ascii="宋体" w:hAnsi="宋体" w:eastAsia="宋体" w:cs="宋体"/>
          <w:b/>
          <w:color w:val="auto"/>
          <w:sz w:val="24"/>
          <w:szCs w:val="20"/>
          <w:highlight w:val="none"/>
          <w:u w:val="single"/>
        </w:rPr>
        <w:t>名称）</w:t>
      </w:r>
    </w:p>
    <w:p w14:paraId="6B7C4CE2">
      <w:pPr>
        <w:pStyle w:val="13"/>
        <w:adjustRightInd w:val="0"/>
        <w:snapToGrid w:val="0"/>
        <w:spacing w:line="800" w:lineRule="exact"/>
        <w:ind w:left="98" w:leftChars="47" w:firstLine="480" w:firstLineChars="200"/>
        <w:rPr>
          <w:rFonts w:hint="eastAsia" w:ascii="宋体" w:hAnsi="宋体" w:eastAsia="宋体" w:cs="宋体"/>
          <w:bCs/>
          <w:color w:val="auto"/>
          <w:sz w:val="24"/>
          <w:szCs w:val="18"/>
          <w:highlight w:val="none"/>
        </w:rPr>
      </w:pPr>
      <w:r>
        <w:rPr>
          <w:rFonts w:hint="eastAsia" w:ascii="宋体" w:hAnsi="宋体" w:eastAsia="宋体" w:cs="宋体"/>
          <w:bCs/>
          <w:color w:val="auto"/>
          <w:sz w:val="24"/>
          <w:szCs w:val="18"/>
          <w:highlight w:val="none"/>
        </w:rPr>
        <w:t>我方已充分了解本次</w:t>
      </w:r>
      <w:r>
        <w:rPr>
          <w:rFonts w:hint="eastAsia" w:ascii="宋体" w:hAnsi="宋体" w:eastAsia="宋体" w:cs="宋体"/>
          <w:bCs/>
          <w:color w:val="auto"/>
          <w:sz w:val="24"/>
          <w:szCs w:val="18"/>
          <w:highlight w:val="none"/>
          <w:lang w:val="en-US" w:eastAsia="zh-CN"/>
        </w:rPr>
        <w:t>询比</w:t>
      </w:r>
      <w:r>
        <w:rPr>
          <w:rFonts w:hint="eastAsia" w:ascii="宋体" w:hAnsi="宋体" w:eastAsia="宋体" w:cs="宋体"/>
          <w:b/>
          <w:color w:val="auto"/>
          <w:sz w:val="24"/>
          <w:szCs w:val="18"/>
          <w:highlight w:val="none"/>
          <w:u w:val="single"/>
          <w:lang w:eastAsia="zh-CN"/>
        </w:rPr>
        <w:t>玉溪市“十五五”综合交通枢纽发展规划</w:t>
      </w:r>
      <w:r>
        <w:rPr>
          <w:rFonts w:hint="eastAsia" w:ascii="宋体" w:hAnsi="宋体" w:eastAsia="宋体" w:cs="宋体"/>
          <w:bCs/>
          <w:color w:val="auto"/>
          <w:sz w:val="24"/>
          <w:szCs w:val="18"/>
          <w:highlight w:val="none"/>
        </w:rPr>
        <w:t>，标包编号：</w:t>
      </w:r>
      <w:r>
        <w:rPr>
          <w:rFonts w:hint="eastAsia" w:ascii="宋体" w:hAnsi="宋体" w:eastAsia="宋体" w:cs="宋体"/>
          <w:bCs/>
          <w:color w:val="auto"/>
          <w:sz w:val="24"/>
          <w:szCs w:val="18"/>
          <w:highlight w:val="none"/>
          <w:u w:val="single"/>
          <w:lang w:eastAsia="zh-CN"/>
        </w:rPr>
        <w:t>YNSY-ZC2025-08</w:t>
      </w:r>
      <w:r>
        <w:rPr>
          <w:rFonts w:hint="eastAsia" w:ascii="宋体" w:hAnsi="宋体" w:eastAsia="宋体" w:cs="宋体"/>
          <w:bCs/>
          <w:color w:val="auto"/>
          <w:sz w:val="24"/>
          <w:szCs w:val="18"/>
          <w:highlight w:val="none"/>
        </w:rPr>
        <w:t>所需</w:t>
      </w:r>
      <w:r>
        <w:rPr>
          <w:rFonts w:hint="eastAsia" w:ascii="宋体" w:hAnsi="宋体" w:eastAsia="宋体" w:cs="宋体"/>
          <w:bCs/>
          <w:color w:val="auto"/>
          <w:sz w:val="24"/>
          <w:szCs w:val="18"/>
          <w:highlight w:val="none"/>
          <w:lang w:eastAsia="zh-CN"/>
        </w:rPr>
        <w:t>服务</w:t>
      </w:r>
      <w:r>
        <w:rPr>
          <w:rFonts w:hint="eastAsia" w:ascii="宋体" w:hAnsi="宋体" w:eastAsia="宋体" w:cs="宋体"/>
          <w:bCs/>
          <w:color w:val="auto"/>
          <w:sz w:val="24"/>
          <w:szCs w:val="18"/>
          <w:highlight w:val="none"/>
        </w:rPr>
        <w:t>的技术要求、规格等，以及</w:t>
      </w:r>
      <w:r>
        <w:rPr>
          <w:rFonts w:hint="eastAsia" w:ascii="宋体" w:hAnsi="宋体" w:eastAsia="宋体" w:cs="宋体"/>
          <w:bCs/>
          <w:color w:val="auto"/>
          <w:sz w:val="24"/>
          <w:szCs w:val="18"/>
          <w:highlight w:val="none"/>
          <w:lang w:val="en-US" w:eastAsia="zh-CN"/>
        </w:rPr>
        <w:t>采购</w:t>
      </w:r>
      <w:r>
        <w:rPr>
          <w:rFonts w:hint="eastAsia" w:ascii="宋体" w:hAnsi="宋体" w:eastAsia="宋体" w:cs="宋体"/>
          <w:bCs/>
          <w:color w:val="auto"/>
          <w:sz w:val="24"/>
          <w:szCs w:val="18"/>
          <w:highlight w:val="none"/>
        </w:rPr>
        <w:t>人在</w:t>
      </w:r>
      <w:r>
        <w:rPr>
          <w:rFonts w:hint="eastAsia" w:ascii="宋体" w:hAnsi="宋体" w:eastAsia="宋体" w:cs="宋体"/>
          <w:color w:val="auto"/>
          <w:sz w:val="24"/>
          <w:szCs w:val="18"/>
          <w:highlight w:val="none"/>
        </w:rPr>
        <w:t xml:space="preserve">“第三章 </w:t>
      </w:r>
      <w:r>
        <w:rPr>
          <w:rFonts w:hint="eastAsia" w:ascii="宋体" w:hAnsi="宋体" w:eastAsia="宋体" w:cs="宋体"/>
          <w:color w:val="auto"/>
          <w:sz w:val="24"/>
          <w:szCs w:val="18"/>
          <w:highlight w:val="none"/>
          <w:lang w:val="en-US" w:eastAsia="zh-CN"/>
        </w:rPr>
        <w:t>采购需求</w:t>
      </w:r>
      <w:r>
        <w:rPr>
          <w:rFonts w:hint="eastAsia" w:ascii="宋体" w:hAnsi="宋体" w:eastAsia="宋体" w:cs="宋体"/>
          <w:color w:val="auto"/>
          <w:sz w:val="24"/>
          <w:szCs w:val="18"/>
          <w:highlight w:val="none"/>
        </w:rPr>
        <w:t>”</w:t>
      </w:r>
      <w:r>
        <w:rPr>
          <w:rFonts w:hint="eastAsia" w:ascii="宋体" w:hAnsi="宋体" w:eastAsia="宋体" w:cs="宋体"/>
          <w:bCs/>
          <w:color w:val="auto"/>
          <w:sz w:val="24"/>
          <w:szCs w:val="18"/>
          <w:highlight w:val="none"/>
        </w:rPr>
        <w:t>提出的所有要求。我方愿意在以上条件下参加本项目竞争</w:t>
      </w:r>
      <w:r>
        <w:rPr>
          <w:rFonts w:hint="eastAsia" w:ascii="宋体" w:hAnsi="宋体" w:eastAsia="宋体" w:cs="宋体"/>
          <w:bCs/>
          <w:color w:val="auto"/>
          <w:sz w:val="24"/>
          <w:szCs w:val="18"/>
          <w:highlight w:val="none"/>
          <w:lang w:val="en-US" w:eastAsia="zh-CN"/>
        </w:rPr>
        <w:t>性磋商</w:t>
      </w:r>
      <w:r>
        <w:rPr>
          <w:rFonts w:hint="eastAsia" w:ascii="宋体" w:hAnsi="宋体" w:eastAsia="宋体" w:cs="宋体"/>
          <w:bCs/>
          <w:color w:val="auto"/>
          <w:sz w:val="24"/>
          <w:szCs w:val="18"/>
          <w:highlight w:val="none"/>
        </w:rPr>
        <w:t>，如果中标，在此条件下完成合同规定的责任、义务，并得到相应的权利和利益。</w:t>
      </w:r>
    </w:p>
    <w:p w14:paraId="658818CA">
      <w:pPr>
        <w:spacing w:line="800" w:lineRule="exact"/>
        <w:ind w:firstLine="554" w:firstLineChars="231"/>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13703C64">
      <w:pPr>
        <w:spacing w:line="800" w:lineRule="exact"/>
        <w:ind w:firstLine="435"/>
        <w:rPr>
          <w:rFonts w:hint="eastAsia" w:ascii="宋体" w:hAnsi="宋体" w:eastAsia="宋体" w:cs="宋体"/>
          <w:color w:val="auto"/>
          <w:sz w:val="24"/>
          <w:highlight w:val="none"/>
        </w:rPr>
      </w:pPr>
    </w:p>
    <w:p w14:paraId="51E3AD7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14:paraId="7CEC9E6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法定代表人或授权委托代理人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95551B0">
      <w:pPr>
        <w:spacing w:line="400" w:lineRule="atLeas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F971DFE">
      <w:pPr>
        <w:adjustRightInd w:val="0"/>
        <w:snapToGrid w:val="0"/>
        <w:spacing w:line="600" w:lineRule="auto"/>
        <w:jc w:val="left"/>
        <w:rPr>
          <w:rFonts w:hint="eastAsia" w:ascii="宋体" w:hAnsi="宋体" w:eastAsia="宋体" w:cs="宋体"/>
          <w:snapToGrid w:val="0"/>
          <w:color w:val="auto"/>
          <w:kern w:val="0"/>
          <w:sz w:val="24"/>
          <w:highlight w:val="none"/>
        </w:rPr>
      </w:pPr>
    </w:p>
    <w:p w14:paraId="4622D69A">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highlight w:val="none"/>
          <w:lang w:eastAsia="zh-CN"/>
        </w:rPr>
      </w:pPr>
      <w:r>
        <w:rPr>
          <w:rFonts w:hint="eastAsia" w:ascii="宋体" w:hAnsi="宋体" w:eastAsia="宋体" w:cs="宋体"/>
          <w:color w:val="auto"/>
          <w:kern w:val="2"/>
          <w:szCs w:val="24"/>
          <w:highlight w:val="none"/>
        </w:rPr>
        <w:br w:type="page"/>
      </w:r>
      <w:bookmarkStart w:id="231" w:name="_Toc403381125"/>
      <w:r>
        <w:rPr>
          <w:rFonts w:hint="eastAsia" w:ascii="宋体" w:hAnsi="宋体" w:eastAsia="宋体" w:cs="宋体"/>
          <w:b/>
          <w:bCs/>
          <w:color w:val="auto"/>
          <w:kern w:val="2"/>
          <w:szCs w:val="24"/>
          <w:highlight w:val="none"/>
          <w:lang w:val="en-US" w:eastAsia="zh-CN"/>
        </w:rPr>
        <w:t>6.2</w:t>
      </w:r>
      <w:r>
        <w:rPr>
          <w:rFonts w:hint="eastAsia" w:ascii="宋体" w:hAnsi="宋体" w:eastAsia="宋体" w:cs="宋体"/>
          <w:b/>
          <w:bCs/>
          <w:color w:val="auto"/>
          <w:kern w:val="2"/>
          <w:szCs w:val="24"/>
          <w:highlight w:val="none"/>
        </w:rPr>
        <w:t xml:space="preserve"> </w:t>
      </w:r>
      <w:bookmarkEnd w:id="231"/>
      <w:r>
        <w:rPr>
          <w:rFonts w:hint="eastAsia" w:ascii="宋体" w:hAnsi="宋体" w:eastAsia="宋体" w:cs="宋体"/>
          <w:b/>
          <w:bCs/>
          <w:color w:val="auto"/>
          <w:kern w:val="2"/>
          <w:szCs w:val="24"/>
          <w:highlight w:val="none"/>
          <w:lang w:eastAsia="zh-CN"/>
        </w:rPr>
        <w:t>对本项目的理解及重、难点分析</w:t>
      </w:r>
    </w:p>
    <w:p w14:paraId="106D69E0">
      <w:pPr>
        <w:pStyle w:val="40"/>
        <w:numPr>
          <w:ilvl w:val="3"/>
          <w:numId w:val="4"/>
        </w:numPr>
        <w:rPr>
          <w:rFonts w:hint="eastAsia" w:ascii="宋体" w:hAnsi="宋体" w:eastAsia="宋体" w:cs="宋体"/>
          <w:color w:val="auto"/>
          <w:sz w:val="24"/>
          <w:highlight w:val="none"/>
        </w:rPr>
      </w:pPr>
    </w:p>
    <w:p w14:paraId="7BB59916">
      <w:pPr>
        <w:pStyle w:val="40"/>
        <w:numPr>
          <w:ilvl w:val="3"/>
          <w:numId w:val="4"/>
        </w:numPr>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对本项目的理解及重、难点分析</w:t>
      </w:r>
    </w:p>
    <w:p w14:paraId="76A06847">
      <w:pPr>
        <w:adjustRightInd w:val="0"/>
        <w:snapToGrid w:val="0"/>
        <w:spacing w:line="360" w:lineRule="auto"/>
        <w:ind w:firstLine="63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p>
    <w:p w14:paraId="52C5EB07">
      <w:pPr>
        <w:adjustRightInd w:val="0"/>
        <w:snapToGrid w:val="0"/>
        <w:spacing w:line="600" w:lineRule="auto"/>
        <w:jc w:val="left"/>
        <w:rPr>
          <w:rFonts w:hint="eastAsia" w:ascii="宋体" w:hAnsi="宋体" w:eastAsia="宋体" w:cs="宋体"/>
          <w:snapToGrid w:val="0"/>
          <w:color w:val="auto"/>
          <w:kern w:val="0"/>
          <w:sz w:val="24"/>
          <w:highlight w:val="none"/>
        </w:rPr>
      </w:pPr>
    </w:p>
    <w:p w14:paraId="09784A00">
      <w:pPr>
        <w:pStyle w:val="3"/>
        <w:rPr>
          <w:rFonts w:hint="eastAsia" w:ascii="宋体" w:hAnsi="宋体" w:eastAsia="宋体" w:cs="宋体"/>
          <w:color w:val="auto"/>
          <w:highlight w:val="none"/>
        </w:rPr>
      </w:pPr>
    </w:p>
    <w:p w14:paraId="71324BCA">
      <w:pPr>
        <w:adjustRightInd w:val="0"/>
        <w:snapToGrid w:val="0"/>
        <w:spacing w:line="360" w:lineRule="auto"/>
        <w:rPr>
          <w:rFonts w:hint="eastAsia" w:ascii="宋体" w:hAnsi="宋体" w:eastAsia="宋体" w:cs="宋体"/>
          <w:color w:val="auto"/>
          <w:sz w:val="24"/>
          <w:highlight w:val="none"/>
        </w:rPr>
      </w:pPr>
    </w:p>
    <w:p w14:paraId="4B16E7D2">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highlight w:val="none"/>
        </w:rPr>
      </w:pPr>
      <w:r>
        <w:rPr>
          <w:rFonts w:hint="eastAsia" w:ascii="宋体" w:hAnsi="宋体" w:eastAsia="宋体" w:cs="宋体"/>
          <w:b/>
          <w:color w:val="auto"/>
          <w:kern w:val="2"/>
          <w:szCs w:val="24"/>
          <w:highlight w:val="none"/>
          <w:lang w:val="en-US" w:eastAsia="zh-CN"/>
        </w:rPr>
        <w:t>6.3</w:t>
      </w:r>
      <w:r>
        <w:rPr>
          <w:rFonts w:hint="eastAsia" w:ascii="宋体" w:hAnsi="宋体" w:eastAsia="宋体" w:cs="宋体"/>
          <w:b/>
          <w:bCs/>
          <w:color w:val="auto"/>
          <w:kern w:val="2"/>
          <w:szCs w:val="24"/>
          <w:highlight w:val="none"/>
          <w:lang w:eastAsia="zh-CN"/>
        </w:rPr>
        <w:t>项目服务方案</w:t>
      </w:r>
    </w:p>
    <w:p w14:paraId="59676083">
      <w:pPr>
        <w:pStyle w:val="40"/>
        <w:numPr>
          <w:ilvl w:val="3"/>
          <w:numId w:val="4"/>
        </w:numPr>
        <w:rPr>
          <w:rFonts w:hint="eastAsia" w:ascii="宋体" w:hAnsi="宋体" w:eastAsia="宋体" w:cs="宋体"/>
          <w:color w:val="auto"/>
          <w:sz w:val="24"/>
          <w:highlight w:val="none"/>
        </w:rPr>
      </w:pPr>
    </w:p>
    <w:p w14:paraId="7ADAC396">
      <w:pPr>
        <w:pStyle w:val="40"/>
        <w:numPr>
          <w:ilvl w:val="3"/>
          <w:numId w:val="4"/>
        </w:numPr>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项目服务方案</w:t>
      </w:r>
    </w:p>
    <w:p w14:paraId="3AD91532">
      <w:pPr>
        <w:adjustRightInd w:val="0"/>
        <w:snapToGrid w:val="0"/>
        <w:spacing w:line="360" w:lineRule="auto"/>
        <w:ind w:firstLine="63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p>
    <w:p w14:paraId="15E3558A">
      <w:pPr>
        <w:adjustRightInd w:val="0"/>
        <w:snapToGrid w:val="0"/>
        <w:spacing w:line="360" w:lineRule="auto"/>
        <w:ind w:firstLine="630"/>
        <w:rPr>
          <w:rFonts w:hint="eastAsia" w:ascii="宋体" w:hAnsi="宋体" w:eastAsia="宋体" w:cs="宋体"/>
          <w:color w:val="auto"/>
          <w:sz w:val="24"/>
          <w:highlight w:val="none"/>
        </w:rPr>
      </w:pPr>
    </w:p>
    <w:p w14:paraId="0EFEA108">
      <w:pPr>
        <w:adjustRightInd w:val="0"/>
        <w:snapToGrid w:val="0"/>
        <w:spacing w:line="360" w:lineRule="auto"/>
        <w:ind w:firstLine="630"/>
        <w:rPr>
          <w:rFonts w:hint="eastAsia" w:ascii="宋体" w:hAnsi="宋体" w:eastAsia="宋体" w:cs="宋体"/>
          <w:color w:val="auto"/>
          <w:sz w:val="24"/>
          <w:highlight w:val="none"/>
        </w:rPr>
      </w:pPr>
    </w:p>
    <w:p w14:paraId="009990A1">
      <w:pPr>
        <w:pStyle w:val="3"/>
        <w:rPr>
          <w:rFonts w:hint="eastAsia" w:ascii="宋体" w:hAnsi="宋体" w:eastAsia="宋体" w:cs="宋体"/>
          <w:color w:val="auto"/>
          <w:highlight w:val="none"/>
        </w:rPr>
      </w:pPr>
    </w:p>
    <w:p w14:paraId="5460CB82">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rPr>
      </w:pPr>
    </w:p>
    <w:p w14:paraId="4D632CCE">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rPr>
      </w:pPr>
    </w:p>
    <w:p w14:paraId="5FB9AE5F">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rPr>
      </w:pPr>
    </w:p>
    <w:p w14:paraId="449DAA3D">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highlight w:val="none"/>
          <w:lang w:eastAsia="zh-CN"/>
        </w:rPr>
      </w:pPr>
      <w:r>
        <w:rPr>
          <w:rFonts w:hint="eastAsia" w:ascii="宋体" w:hAnsi="宋体" w:eastAsia="宋体" w:cs="宋体"/>
          <w:b/>
          <w:color w:val="auto"/>
          <w:kern w:val="2"/>
          <w:szCs w:val="24"/>
          <w:highlight w:val="none"/>
          <w:lang w:val="en-US" w:eastAsia="zh-CN"/>
        </w:rPr>
        <w:t>6.4</w:t>
      </w:r>
      <w:r>
        <w:rPr>
          <w:rFonts w:hint="eastAsia" w:ascii="宋体" w:hAnsi="宋体" w:eastAsia="宋体" w:cs="宋体"/>
          <w:b/>
          <w:color w:val="auto"/>
          <w:kern w:val="2"/>
          <w:szCs w:val="24"/>
          <w:highlight w:val="none"/>
          <w:lang w:eastAsia="zh-CN"/>
        </w:rPr>
        <w:t>服务质量保证措施及违约责任承诺</w:t>
      </w:r>
    </w:p>
    <w:p w14:paraId="19D422F6">
      <w:pPr>
        <w:pStyle w:val="40"/>
        <w:numPr>
          <w:ilvl w:val="3"/>
          <w:numId w:val="4"/>
        </w:numPr>
        <w:rPr>
          <w:rFonts w:hint="eastAsia" w:ascii="宋体" w:hAnsi="宋体" w:eastAsia="宋体" w:cs="宋体"/>
          <w:color w:val="auto"/>
          <w:sz w:val="24"/>
          <w:highlight w:val="none"/>
        </w:rPr>
      </w:pPr>
    </w:p>
    <w:p w14:paraId="4838DFC5">
      <w:pPr>
        <w:pStyle w:val="40"/>
        <w:numPr>
          <w:ilvl w:val="3"/>
          <w:numId w:val="4"/>
        </w:numPr>
        <w:rPr>
          <w:rFonts w:hint="eastAsia" w:ascii="宋体" w:hAnsi="宋体" w:eastAsia="宋体" w:cs="宋体"/>
          <w:color w:val="auto"/>
          <w:sz w:val="24"/>
          <w:highlight w:val="none"/>
        </w:rPr>
      </w:pPr>
      <w:r>
        <w:rPr>
          <w:rFonts w:hint="eastAsia" w:ascii="宋体" w:hAnsi="宋体" w:eastAsia="宋体" w:cs="宋体"/>
          <w:b/>
          <w:bCs w:val="0"/>
          <w:color w:val="auto"/>
          <w:highlight w:val="none"/>
          <w:lang w:eastAsia="zh-CN"/>
        </w:rPr>
        <w:t>服务质量保证措施及违约责任承诺</w:t>
      </w:r>
    </w:p>
    <w:p w14:paraId="6D5D74B2">
      <w:pPr>
        <w:adjustRightInd w:val="0"/>
        <w:snapToGrid w:val="0"/>
        <w:spacing w:line="360" w:lineRule="auto"/>
        <w:ind w:firstLine="63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p>
    <w:p w14:paraId="356BE676">
      <w:pPr>
        <w:adjustRightInd w:val="0"/>
        <w:snapToGrid w:val="0"/>
        <w:spacing w:line="360" w:lineRule="auto"/>
        <w:ind w:firstLine="630"/>
        <w:rPr>
          <w:rFonts w:hint="eastAsia" w:ascii="宋体" w:hAnsi="宋体" w:eastAsia="宋体" w:cs="宋体"/>
          <w:color w:val="auto"/>
          <w:sz w:val="24"/>
          <w:highlight w:val="none"/>
        </w:rPr>
      </w:pPr>
    </w:p>
    <w:p w14:paraId="6E9AF660">
      <w:pPr>
        <w:pStyle w:val="3"/>
        <w:rPr>
          <w:rFonts w:hint="eastAsia" w:ascii="宋体" w:hAnsi="宋体" w:eastAsia="宋体" w:cs="宋体"/>
          <w:color w:val="auto"/>
          <w:highlight w:val="none"/>
        </w:rPr>
      </w:pPr>
    </w:p>
    <w:p w14:paraId="01C9DC9E">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lang w:val="en-US" w:eastAsia="zh-CN"/>
        </w:rPr>
      </w:pPr>
    </w:p>
    <w:p w14:paraId="01D2F15D">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lang w:val="en-US" w:eastAsia="zh-CN"/>
        </w:rPr>
      </w:pPr>
    </w:p>
    <w:p w14:paraId="540E6748">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highlight w:val="none"/>
          <w:lang w:eastAsia="zh-CN"/>
        </w:rPr>
      </w:pPr>
      <w:r>
        <w:rPr>
          <w:rFonts w:hint="eastAsia" w:ascii="宋体" w:hAnsi="宋体" w:eastAsia="宋体" w:cs="宋体"/>
          <w:b/>
          <w:color w:val="auto"/>
          <w:kern w:val="2"/>
          <w:szCs w:val="24"/>
          <w:highlight w:val="none"/>
          <w:lang w:val="en-US" w:eastAsia="zh-CN"/>
        </w:rPr>
        <w:t>6.5</w:t>
      </w:r>
      <w:r>
        <w:rPr>
          <w:rFonts w:hint="eastAsia" w:ascii="宋体" w:hAnsi="宋体" w:eastAsia="宋体" w:cs="宋体"/>
          <w:b/>
          <w:color w:val="auto"/>
          <w:kern w:val="2"/>
          <w:szCs w:val="24"/>
          <w:highlight w:val="none"/>
          <w:lang w:eastAsia="zh-CN"/>
        </w:rPr>
        <w:t>拟派人员配备方案</w:t>
      </w:r>
    </w:p>
    <w:p w14:paraId="7C8E3FF2">
      <w:pPr>
        <w:pStyle w:val="40"/>
        <w:numPr>
          <w:ilvl w:val="3"/>
          <w:numId w:val="4"/>
        </w:numPr>
        <w:rPr>
          <w:rFonts w:hint="eastAsia" w:ascii="宋体" w:hAnsi="宋体" w:eastAsia="宋体" w:cs="宋体"/>
          <w:color w:val="auto"/>
          <w:sz w:val="24"/>
          <w:highlight w:val="none"/>
        </w:rPr>
      </w:pPr>
    </w:p>
    <w:p w14:paraId="07DB583D">
      <w:pPr>
        <w:pStyle w:val="40"/>
        <w:numPr>
          <w:ilvl w:val="3"/>
          <w:numId w:val="4"/>
        </w:numPr>
        <w:rPr>
          <w:rFonts w:hint="eastAsia" w:ascii="宋体" w:hAnsi="宋体" w:eastAsia="宋体" w:cs="宋体"/>
          <w:color w:val="auto"/>
          <w:sz w:val="24"/>
          <w:highlight w:val="none"/>
        </w:rPr>
      </w:pPr>
      <w:r>
        <w:rPr>
          <w:rFonts w:hint="eastAsia" w:ascii="宋体" w:hAnsi="宋体" w:eastAsia="宋体" w:cs="宋体"/>
          <w:b/>
          <w:bCs w:val="0"/>
          <w:color w:val="auto"/>
          <w:highlight w:val="none"/>
          <w:lang w:eastAsia="zh-CN"/>
        </w:rPr>
        <w:t>拟派人员配备方案</w:t>
      </w:r>
    </w:p>
    <w:p w14:paraId="4351088A">
      <w:pPr>
        <w:adjustRightInd w:val="0"/>
        <w:snapToGrid w:val="0"/>
        <w:spacing w:line="360" w:lineRule="auto"/>
        <w:ind w:firstLine="63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根据相对应的评标办法自行编制，格式自拟。</w:t>
      </w:r>
    </w:p>
    <w:p w14:paraId="692ADFAD">
      <w:pPr>
        <w:adjustRightInd w:val="0"/>
        <w:snapToGrid w:val="0"/>
        <w:spacing w:line="360" w:lineRule="auto"/>
        <w:rPr>
          <w:rFonts w:hint="eastAsia" w:ascii="宋体" w:hAnsi="宋体" w:eastAsia="宋体" w:cs="宋体"/>
          <w:color w:val="auto"/>
          <w:sz w:val="24"/>
          <w:highlight w:val="none"/>
        </w:rPr>
      </w:pPr>
    </w:p>
    <w:p w14:paraId="2369BBA0">
      <w:pPr>
        <w:spacing w:line="360" w:lineRule="auto"/>
        <w:ind w:firstLine="480" w:firstLineChars="200"/>
        <w:jc w:val="left"/>
        <w:rPr>
          <w:rFonts w:hint="eastAsia" w:ascii="宋体" w:hAnsi="宋体" w:eastAsia="宋体" w:cs="宋体"/>
          <w:b/>
          <w:color w:val="auto"/>
          <w:kern w:val="2"/>
          <w:sz w:val="24"/>
          <w:szCs w:val="32"/>
          <w:highlight w:val="none"/>
          <w:lang w:val="en-US" w:eastAsia="zh-CN"/>
        </w:rPr>
      </w:pPr>
    </w:p>
    <w:p w14:paraId="1CB3DBF5">
      <w:pPr>
        <w:spacing w:line="360" w:lineRule="auto"/>
        <w:jc w:val="left"/>
        <w:rPr>
          <w:rFonts w:hint="eastAsia" w:ascii="宋体" w:hAnsi="宋体" w:eastAsia="宋体" w:cs="宋体"/>
          <w:b/>
          <w:color w:val="auto"/>
          <w:kern w:val="2"/>
          <w:szCs w:val="24"/>
          <w:highlight w:val="none"/>
          <w:lang w:val="en-US" w:eastAsia="zh-CN"/>
        </w:rPr>
      </w:pPr>
      <w:r>
        <w:rPr>
          <w:rFonts w:hint="eastAsia" w:ascii="宋体" w:hAnsi="宋体" w:eastAsia="宋体" w:cs="宋体"/>
          <w:b/>
          <w:color w:val="auto"/>
          <w:kern w:val="2"/>
          <w:sz w:val="24"/>
          <w:szCs w:val="32"/>
          <w:highlight w:val="none"/>
          <w:lang w:val="en-US" w:eastAsia="zh-CN"/>
        </w:rPr>
        <w:br w:type="page"/>
      </w:r>
      <w:r>
        <w:rPr>
          <w:rFonts w:hint="eastAsia" w:ascii="宋体" w:hAnsi="宋体" w:eastAsia="宋体" w:cs="宋体"/>
          <w:b/>
          <w:color w:val="auto"/>
          <w:kern w:val="2"/>
          <w:sz w:val="24"/>
          <w:szCs w:val="32"/>
          <w:highlight w:val="none"/>
          <w:lang w:val="en-US" w:eastAsia="zh-CN"/>
        </w:rPr>
        <w:t>6.6企业业绩</w:t>
      </w:r>
    </w:p>
    <w:p w14:paraId="43CF97D1">
      <w:pPr>
        <w:pStyle w:val="4"/>
        <w:spacing w:line="480" w:lineRule="exact"/>
        <w:jc w:val="center"/>
        <w:rPr>
          <w:rFonts w:hint="eastAsia" w:ascii="宋体" w:hAnsi="宋体" w:eastAsia="宋体" w:cs="宋体"/>
          <w:bCs/>
          <w:color w:val="auto"/>
          <w:sz w:val="36"/>
          <w:szCs w:val="21"/>
          <w:highlight w:val="none"/>
        </w:rPr>
      </w:pPr>
      <w:r>
        <w:rPr>
          <w:rFonts w:hint="eastAsia" w:ascii="宋体" w:hAnsi="宋体" w:eastAsia="宋体" w:cs="宋体"/>
          <w:b/>
          <w:color w:val="auto"/>
          <w:sz w:val="28"/>
          <w:szCs w:val="28"/>
          <w:highlight w:val="none"/>
        </w:rPr>
        <w:t xml:space="preserve"> </w:t>
      </w:r>
      <w:bookmarkStart w:id="232" w:name="_Toc14035"/>
      <w:bookmarkStart w:id="233" w:name="_Toc28509"/>
      <w:bookmarkStart w:id="234" w:name="_Toc14680"/>
      <w:bookmarkStart w:id="235" w:name="_Toc14268"/>
      <w:bookmarkStart w:id="236" w:name="_Toc14939"/>
      <w:bookmarkStart w:id="237" w:name="_Toc22075"/>
      <w:r>
        <w:rPr>
          <w:rFonts w:hint="eastAsia" w:ascii="宋体" w:hAnsi="宋体" w:eastAsia="宋体" w:cs="宋体"/>
          <w:b/>
          <w:color w:val="auto"/>
          <w:sz w:val="28"/>
          <w:szCs w:val="28"/>
          <w:highlight w:val="none"/>
        </w:rPr>
        <w:t>企业</w:t>
      </w:r>
      <w:r>
        <w:rPr>
          <w:rFonts w:hint="eastAsia" w:ascii="宋体" w:hAnsi="宋体" w:eastAsia="宋体" w:cs="宋体"/>
          <w:b/>
          <w:color w:val="auto"/>
          <w:sz w:val="28"/>
          <w:szCs w:val="28"/>
          <w:highlight w:val="none"/>
          <w:lang w:val="en-US" w:eastAsia="zh-CN"/>
        </w:rPr>
        <w:t>类似</w:t>
      </w:r>
      <w:r>
        <w:rPr>
          <w:rFonts w:hint="eastAsia" w:ascii="宋体" w:hAnsi="宋体" w:eastAsia="宋体" w:cs="宋体"/>
          <w:b/>
          <w:color w:val="auto"/>
          <w:sz w:val="28"/>
          <w:szCs w:val="28"/>
          <w:highlight w:val="none"/>
        </w:rPr>
        <w:t>业绩</w:t>
      </w:r>
      <w:r>
        <w:rPr>
          <w:rFonts w:hint="eastAsia" w:ascii="宋体" w:hAnsi="宋体" w:eastAsia="宋体" w:cs="宋体"/>
          <w:b/>
          <w:color w:val="auto"/>
          <w:sz w:val="28"/>
          <w:szCs w:val="28"/>
          <w:highlight w:val="none"/>
          <w:lang w:val="en-US" w:eastAsia="zh-CN"/>
        </w:rPr>
        <w:t>表</w:t>
      </w:r>
      <w:bookmarkEnd w:id="232"/>
      <w:bookmarkEnd w:id="233"/>
      <w:bookmarkEnd w:id="234"/>
      <w:bookmarkEnd w:id="235"/>
      <w:bookmarkEnd w:id="236"/>
      <w:bookmarkEnd w:id="23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53"/>
        <w:gridCol w:w="1664"/>
        <w:gridCol w:w="1796"/>
        <w:gridCol w:w="1693"/>
        <w:gridCol w:w="1292"/>
      </w:tblGrid>
      <w:tr w14:paraId="1D1C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0"/>
            <w:vAlign w:val="center"/>
          </w:tcPr>
          <w:p w14:paraId="28CBCA19">
            <w:pPr>
              <w:adjustRightInd w:val="0"/>
              <w:snapToGrid w:val="0"/>
              <w:spacing w:line="30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序号</w:t>
            </w:r>
          </w:p>
        </w:tc>
        <w:tc>
          <w:tcPr>
            <w:tcW w:w="2553" w:type="dxa"/>
            <w:noWrap w:val="0"/>
            <w:vAlign w:val="center"/>
          </w:tcPr>
          <w:p w14:paraId="3D247996">
            <w:pPr>
              <w:adjustRightInd w:val="0"/>
              <w:snapToGrid w:val="0"/>
              <w:spacing w:line="300" w:lineRule="auto"/>
              <w:ind w:firstLine="240" w:firstLineChars="100"/>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项目名称</w:t>
            </w:r>
          </w:p>
        </w:tc>
        <w:tc>
          <w:tcPr>
            <w:tcW w:w="1664" w:type="dxa"/>
            <w:noWrap w:val="0"/>
            <w:vAlign w:val="center"/>
          </w:tcPr>
          <w:p w14:paraId="2FD9D2CC">
            <w:pPr>
              <w:adjustRightInd w:val="0"/>
              <w:snapToGrid w:val="0"/>
              <w:spacing w:line="30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lang w:eastAsia="zh-CN"/>
              </w:rPr>
              <w:t>项目经理</w:t>
            </w:r>
            <w:r>
              <w:rPr>
                <w:rFonts w:hint="eastAsia" w:ascii="宋体" w:hAnsi="宋体" w:eastAsia="宋体" w:cs="宋体"/>
                <w:b/>
                <w:snapToGrid w:val="0"/>
                <w:color w:val="auto"/>
                <w:kern w:val="0"/>
                <w:sz w:val="24"/>
                <w:highlight w:val="none"/>
              </w:rPr>
              <w:t>及电话</w:t>
            </w:r>
          </w:p>
        </w:tc>
        <w:tc>
          <w:tcPr>
            <w:tcW w:w="1796" w:type="dxa"/>
            <w:noWrap w:val="0"/>
            <w:vAlign w:val="center"/>
          </w:tcPr>
          <w:p w14:paraId="427F20E3">
            <w:pPr>
              <w:adjustRightInd w:val="0"/>
              <w:snapToGrid w:val="0"/>
              <w:spacing w:line="30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合同内容</w:t>
            </w:r>
          </w:p>
        </w:tc>
        <w:tc>
          <w:tcPr>
            <w:tcW w:w="1693" w:type="dxa"/>
            <w:noWrap w:val="0"/>
            <w:vAlign w:val="center"/>
          </w:tcPr>
          <w:p w14:paraId="737DCCCD">
            <w:pPr>
              <w:adjustRightInd w:val="0"/>
              <w:snapToGrid w:val="0"/>
              <w:spacing w:line="300" w:lineRule="auto"/>
              <w:jc w:val="center"/>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合同总价</w:t>
            </w:r>
          </w:p>
        </w:tc>
        <w:tc>
          <w:tcPr>
            <w:tcW w:w="1292" w:type="dxa"/>
            <w:noWrap w:val="0"/>
            <w:vAlign w:val="center"/>
          </w:tcPr>
          <w:p w14:paraId="0F45EA77">
            <w:pPr>
              <w:adjustRightInd w:val="0"/>
              <w:snapToGrid w:val="0"/>
              <w:spacing w:line="300" w:lineRule="auto"/>
              <w:rPr>
                <w:rFonts w:hint="eastAsia"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签约日期</w:t>
            </w:r>
          </w:p>
        </w:tc>
      </w:tr>
      <w:tr w14:paraId="2145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731" w:type="dxa"/>
            <w:noWrap w:val="0"/>
            <w:vAlign w:val="center"/>
          </w:tcPr>
          <w:p w14:paraId="338631B8">
            <w:pPr>
              <w:adjustRightInd w:val="0"/>
              <w:snapToGrid w:val="0"/>
              <w:spacing w:line="300" w:lineRule="auto"/>
              <w:jc w:val="center"/>
              <w:rPr>
                <w:rFonts w:hint="eastAsia" w:ascii="宋体" w:hAnsi="宋体" w:eastAsia="宋体" w:cs="宋体"/>
                <w:bCs/>
                <w:snapToGrid w:val="0"/>
                <w:color w:val="auto"/>
                <w:kern w:val="0"/>
                <w:sz w:val="24"/>
                <w:highlight w:val="none"/>
              </w:rPr>
            </w:pPr>
          </w:p>
          <w:p w14:paraId="59109B58">
            <w:pPr>
              <w:adjustRightInd w:val="0"/>
              <w:snapToGrid w:val="0"/>
              <w:spacing w:line="300" w:lineRule="auto"/>
              <w:rPr>
                <w:rFonts w:hint="eastAsia" w:ascii="宋体" w:hAnsi="宋体" w:eastAsia="宋体" w:cs="宋体"/>
                <w:bCs/>
                <w:snapToGrid w:val="0"/>
                <w:color w:val="auto"/>
                <w:kern w:val="0"/>
                <w:sz w:val="24"/>
                <w:highlight w:val="none"/>
              </w:rPr>
            </w:pPr>
          </w:p>
        </w:tc>
        <w:tc>
          <w:tcPr>
            <w:tcW w:w="2553" w:type="dxa"/>
            <w:noWrap w:val="0"/>
            <w:vAlign w:val="center"/>
          </w:tcPr>
          <w:p w14:paraId="7443FE0D">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1F5894FE">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618C49F6">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6B50A279">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6649D617">
            <w:pPr>
              <w:adjustRightInd w:val="0"/>
              <w:snapToGrid w:val="0"/>
              <w:spacing w:line="300" w:lineRule="auto"/>
              <w:jc w:val="center"/>
              <w:rPr>
                <w:rFonts w:hint="eastAsia" w:ascii="宋体" w:hAnsi="宋体" w:eastAsia="宋体" w:cs="宋体"/>
                <w:bCs/>
                <w:snapToGrid w:val="0"/>
                <w:color w:val="auto"/>
                <w:kern w:val="0"/>
                <w:sz w:val="24"/>
                <w:highlight w:val="none"/>
              </w:rPr>
            </w:pPr>
          </w:p>
        </w:tc>
      </w:tr>
      <w:tr w14:paraId="1506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31" w:type="dxa"/>
            <w:noWrap w:val="0"/>
            <w:vAlign w:val="center"/>
          </w:tcPr>
          <w:p w14:paraId="25DCCA95">
            <w:pPr>
              <w:adjustRightInd w:val="0"/>
              <w:snapToGrid w:val="0"/>
              <w:spacing w:line="300" w:lineRule="auto"/>
              <w:jc w:val="center"/>
              <w:rPr>
                <w:rFonts w:hint="eastAsia" w:ascii="宋体" w:hAnsi="宋体" w:eastAsia="宋体" w:cs="宋体"/>
                <w:bCs/>
                <w:snapToGrid w:val="0"/>
                <w:color w:val="auto"/>
                <w:kern w:val="0"/>
                <w:sz w:val="24"/>
                <w:highlight w:val="none"/>
              </w:rPr>
            </w:pPr>
          </w:p>
          <w:p w14:paraId="002446A4">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2553" w:type="dxa"/>
            <w:noWrap w:val="0"/>
            <w:vAlign w:val="center"/>
          </w:tcPr>
          <w:p w14:paraId="1748BF2D">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0D1E5D07">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5DC53AC9">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27874C66">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2A91FBEC">
            <w:pPr>
              <w:adjustRightInd w:val="0"/>
              <w:snapToGrid w:val="0"/>
              <w:spacing w:line="300" w:lineRule="auto"/>
              <w:jc w:val="center"/>
              <w:rPr>
                <w:rFonts w:hint="eastAsia" w:ascii="宋体" w:hAnsi="宋体" w:eastAsia="宋体" w:cs="宋体"/>
                <w:bCs/>
                <w:snapToGrid w:val="0"/>
                <w:color w:val="auto"/>
                <w:kern w:val="0"/>
                <w:sz w:val="24"/>
                <w:highlight w:val="none"/>
              </w:rPr>
            </w:pPr>
          </w:p>
        </w:tc>
      </w:tr>
      <w:tr w14:paraId="3198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31" w:type="dxa"/>
            <w:noWrap w:val="0"/>
            <w:vAlign w:val="center"/>
          </w:tcPr>
          <w:p w14:paraId="144A2F80">
            <w:pPr>
              <w:adjustRightInd w:val="0"/>
              <w:snapToGrid w:val="0"/>
              <w:spacing w:line="300" w:lineRule="auto"/>
              <w:jc w:val="center"/>
              <w:rPr>
                <w:rFonts w:hint="eastAsia" w:ascii="宋体" w:hAnsi="宋体" w:eastAsia="宋体" w:cs="宋体"/>
                <w:bCs/>
                <w:snapToGrid w:val="0"/>
                <w:color w:val="auto"/>
                <w:kern w:val="0"/>
                <w:sz w:val="24"/>
                <w:highlight w:val="none"/>
              </w:rPr>
            </w:pPr>
          </w:p>
          <w:p w14:paraId="4E1DF005">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2553" w:type="dxa"/>
            <w:noWrap w:val="0"/>
            <w:vAlign w:val="center"/>
          </w:tcPr>
          <w:p w14:paraId="6E467C30">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707E4FAE">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29863446">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2AE49E0C">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2CAF30A9">
            <w:pPr>
              <w:adjustRightInd w:val="0"/>
              <w:snapToGrid w:val="0"/>
              <w:spacing w:line="300" w:lineRule="auto"/>
              <w:jc w:val="center"/>
              <w:rPr>
                <w:rFonts w:hint="eastAsia" w:ascii="宋体" w:hAnsi="宋体" w:eastAsia="宋体" w:cs="宋体"/>
                <w:bCs/>
                <w:snapToGrid w:val="0"/>
                <w:color w:val="auto"/>
                <w:kern w:val="0"/>
                <w:sz w:val="24"/>
                <w:highlight w:val="none"/>
              </w:rPr>
            </w:pPr>
          </w:p>
        </w:tc>
      </w:tr>
      <w:tr w14:paraId="42D6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731" w:type="dxa"/>
            <w:noWrap w:val="0"/>
            <w:vAlign w:val="center"/>
          </w:tcPr>
          <w:p w14:paraId="3458E136">
            <w:pPr>
              <w:adjustRightInd w:val="0"/>
              <w:snapToGrid w:val="0"/>
              <w:spacing w:line="300" w:lineRule="auto"/>
              <w:jc w:val="center"/>
              <w:rPr>
                <w:rFonts w:hint="eastAsia" w:ascii="宋体" w:hAnsi="宋体" w:eastAsia="宋体" w:cs="宋体"/>
                <w:bCs/>
                <w:snapToGrid w:val="0"/>
                <w:color w:val="auto"/>
                <w:kern w:val="0"/>
                <w:sz w:val="24"/>
                <w:highlight w:val="none"/>
              </w:rPr>
            </w:pPr>
          </w:p>
          <w:p w14:paraId="4E26E4D0">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2553" w:type="dxa"/>
            <w:noWrap w:val="0"/>
            <w:vAlign w:val="center"/>
          </w:tcPr>
          <w:p w14:paraId="3995459A">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270AB8E8">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6BC9DC87">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56423BAC">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7CAA771A">
            <w:pPr>
              <w:adjustRightInd w:val="0"/>
              <w:snapToGrid w:val="0"/>
              <w:spacing w:line="300" w:lineRule="auto"/>
              <w:jc w:val="center"/>
              <w:rPr>
                <w:rFonts w:hint="eastAsia" w:ascii="宋体" w:hAnsi="宋体" w:eastAsia="宋体" w:cs="宋体"/>
                <w:bCs/>
                <w:snapToGrid w:val="0"/>
                <w:color w:val="auto"/>
                <w:kern w:val="0"/>
                <w:sz w:val="24"/>
                <w:highlight w:val="none"/>
              </w:rPr>
            </w:pPr>
          </w:p>
        </w:tc>
      </w:tr>
      <w:tr w14:paraId="5A36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31" w:type="dxa"/>
            <w:noWrap w:val="0"/>
            <w:vAlign w:val="center"/>
          </w:tcPr>
          <w:p w14:paraId="1A8BD27F">
            <w:pPr>
              <w:adjustRightInd w:val="0"/>
              <w:snapToGrid w:val="0"/>
              <w:spacing w:line="300" w:lineRule="auto"/>
              <w:jc w:val="center"/>
              <w:rPr>
                <w:rFonts w:hint="eastAsia" w:ascii="宋体" w:hAnsi="宋体" w:eastAsia="宋体" w:cs="宋体"/>
                <w:bCs/>
                <w:snapToGrid w:val="0"/>
                <w:color w:val="auto"/>
                <w:kern w:val="0"/>
                <w:sz w:val="24"/>
                <w:highlight w:val="none"/>
              </w:rPr>
            </w:pPr>
          </w:p>
          <w:p w14:paraId="31EF8F55">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2553" w:type="dxa"/>
            <w:noWrap w:val="0"/>
            <w:vAlign w:val="center"/>
          </w:tcPr>
          <w:p w14:paraId="530D99BD">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0DE5CABE">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19511549">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57C2287B">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0CEE6E5F">
            <w:pPr>
              <w:adjustRightInd w:val="0"/>
              <w:snapToGrid w:val="0"/>
              <w:spacing w:line="300" w:lineRule="auto"/>
              <w:jc w:val="center"/>
              <w:rPr>
                <w:rFonts w:hint="eastAsia" w:ascii="宋体" w:hAnsi="宋体" w:eastAsia="宋体" w:cs="宋体"/>
                <w:bCs/>
                <w:snapToGrid w:val="0"/>
                <w:color w:val="auto"/>
                <w:kern w:val="0"/>
                <w:sz w:val="24"/>
                <w:highlight w:val="none"/>
              </w:rPr>
            </w:pPr>
          </w:p>
        </w:tc>
      </w:tr>
      <w:tr w14:paraId="7D65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731" w:type="dxa"/>
            <w:noWrap w:val="0"/>
            <w:vAlign w:val="center"/>
          </w:tcPr>
          <w:p w14:paraId="1E7A6250">
            <w:pPr>
              <w:adjustRightInd w:val="0"/>
              <w:snapToGrid w:val="0"/>
              <w:spacing w:line="300" w:lineRule="auto"/>
              <w:jc w:val="center"/>
              <w:rPr>
                <w:rFonts w:hint="eastAsia" w:ascii="宋体" w:hAnsi="宋体" w:eastAsia="宋体" w:cs="宋体"/>
                <w:bCs/>
                <w:snapToGrid w:val="0"/>
                <w:color w:val="auto"/>
                <w:kern w:val="0"/>
                <w:sz w:val="24"/>
                <w:highlight w:val="none"/>
              </w:rPr>
            </w:pPr>
          </w:p>
          <w:p w14:paraId="568DC5AA">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2553" w:type="dxa"/>
            <w:noWrap w:val="0"/>
            <w:vAlign w:val="center"/>
          </w:tcPr>
          <w:p w14:paraId="658CA8D6">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64" w:type="dxa"/>
            <w:noWrap w:val="0"/>
            <w:vAlign w:val="center"/>
          </w:tcPr>
          <w:p w14:paraId="78973DB2">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796" w:type="dxa"/>
            <w:noWrap w:val="0"/>
            <w:vAlign w:val="center"/>
          </w:tcPr>
          <w:p w14:paraId="0102F50C">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693" w:type="dxa"/>
            <w:noWrap w:val="0"/>
            <w:vAlign w:val="center"/>
          </w:tcPr>
          <w:p w14:paraId="01779C1E">
            <w:pPr>
              <w:adjustRightInd w:val="0"/>
              <w:snapToGrid w:val="0"/>
              <w:spacing w:line="300" w:lineRule="auto"/>
              <w:jc w:val="center"/>
              <w:rPr>
                <w:rFonts w:hint="eastAsia" w:ascii="宋体" w:hAnsi="宋体" w:eastAsia="宋体" w:cs="宋体"/>
                <w:bCs/>
                <w:snapToGrid w:val="0"/>
                <w:color w:val="auto"/>
                <w:kern w:val="0"/>
                <w:sz w:val="24"/>
                <w:highlight w:val="none"/>
              </w:rPr>
            </w:pPr>
          </w:p>
        </w:tc>
        <w:tc>
          <w:tcPr>
            <w:tcW w:w="1292" w:type="dxa"/>
            <w:noWrap w:val="0"/>
            <w:vAlign w:val="center"/>
          </w:tcPr>
          <w:p w14:paraId="0ED029C1">
            <w:pPr>
              <w:adjustRightInd w:val="0"/>
              <w:snapToGrid w:val="0"/>
              <w:spacing w:line="300" w:lineRule="auto"/>
              <w:jc w:val="center"/>
              <w:rPr>
                <w:rFonts w:hint="eastAsia" w:ascii="宋体" w:hAnsi="宋体" w:eastAsia="宋体" w:cs="宋体"/>
                <w:bCs/>
                <w:snapToGrid w:val="0"/>
                <w:color w:val="auto"/>
                <w:kern w:val="0"/>
                <w:sz w:val="24"/>
                <w:highlight w:val="none"/>
              </w:rPr>
            </w:pPr>
          </w:p>
        </w:tc>
      </w:tr>
    </w:tbl>
    <w:p w14:paraId="2E4E56CD">
      <w:pPr>
        <w:pStyle w:val="41"/>
        <w:keepNext w:val="0"/>
        <w:keepLines w:val="0"/>
        <w:pageBreakBefore w:val="0"/>
        <w:widowControl w:val="0"/>
        <w:kinsoku/>
        <w:wordWrap/>
        <w:overflowPunct/>
        <w:topLinePunct w:val="0"/>
        <w:autoSpaceDE/>
        <w:autoSpaceDN/>
        <w:bidi w:val="0"/>
        <w:adjustRightInd w:val="0"/>
        <w:snapToGrid w:val="0"/>
        <w:spacing w:before="240"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注：1、（本表可扩展）。</w:t>
      </w:r>
    </w:p>
    <w:p w14:paraId="77CA10A1">
      <w:pPr>
        <w:pStyle w:val="42"/>
        <w:keepNext w:val="0"/>
        <w:keepLines w:val="0"/>
        <w:pageBreakBefore w:val="0"/>
        <w:widowControl w:val="0"/>
        <w:numPr>
          <w:ilvl w:val="0"/>
          <w:numId w:val="5"/>
        </w:numPr>
        <w:kinsoku/>
        <w:wordWrap/>
        <w:overflowPunct/>
        <w:topLinePunct w:val="0"/>
        <w:autoSpaceDE/>
        <w:autoSpaceDN/>
        <w:bidi w:val="0"/>
        <w:spacing w:line="360" w:lineRule="auto"/>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SA"/>
        </w:rPr>
        <w:t>供应商</w:t>
      </w:r>
      <w:r>
        <w:rPr>
          <w:rFonts w:hint="eastAsia" w:ascii="宋体" w:hAnsi="宋体" w:eastAsia="宋体" w:cs="宋体"/>
          <w:color w:val="auto"/>
          <w:kern w:val="0"/>
          <w:sz w:val="21"/>
          <w:szCs w:val="21"/>
          <w:highlight w:val="none"/>
          <w:lang w:bidi="ar-SA"/>
        </w:rPr>
        <w:t>20</w:t>
      </w:r>
      <w:r>
        <w:rPr>
          <w:rFonts w:hint="eastAsia" w:ascii="宋体" w:hAnsi="宋体" w:eastAsia="宋体" w:cs="宋体"/>
          <w:color w:val="auto"/>
          <w:kern w:val="0"/>
          <w:sz w:val="21"/>
          <w:szCs w:val="21"/>
          <w:highlight w:val="none"/>
          <w:lang w:val="en-US" w:eastAsia="zh-CN" w:bidi="ar-SA"/>
        </w:rPr>
        <w:t>22年01月01日（以合同签订时间为准）</w:t>
      </w:r>
      <w:r>
        <w:rPr>
          <w:rFonts w:hint="eastAsia" w:ascii="宋体" w:hAnsi="宋体" w:eastAsia="宋体" w:cs="宋体"/>
          <w:color w:val="auto"/>
          <w:kern w:val="0"/>
          <w:sz w:val="21"/>
          <w:szCs w:val="21"/>
          <w:highlight w:val="none"/>
          <w:lang w:bidi="ar-SA"/>
        </w:rPr>
        <w:t>至今完成的类似业绩情况</w:t>
      </w:r>
      <w:r>
        <w:rPr>
          <w:rFonts w:hint="eastAsia" w:ascii="宋体" w:hAnsi="宋体" w:eastAsia="宋体" w:cs="宋体"/>
          <w:color w:val="auto"/>
          <w:sz w:val="21"/>
          <w:szCs w:val="21"/>
          <w:highlight w:val="none"/>
        </w:rPr>
        <w:t>，须附</w:t>
      </w:r>
      <w:r>
        <w:rPr>
          <w:rFonts w:hint="eastAsia" w:ascii="宋体" w:hAnsi="宋体" w:eastAsia="宋体" w:cs="宋体"/>
          <w:color w:val="auto"/>
          <w:sz w:val="21"/>
          <w:szCs w:val="21"/>
          <w:highlight w:val="none"/>
          <w:lang w:val="en-US" w:eastAsia="zh-CN"/>
        </w:rPr>
        <w:t>类似业绩证明材料（业绩证明材料为合同（包括但不限于合同首页、标的及金额所在页及合同签字盖章页的复印件）</w:t>
      </w:r>
      <w:r>
        <w:rPr>
          <w:rFonts w:hint="eastAsia" w:ascii="宋体" w:hAnsi="宋体" w:eastAsia="宋体" w:cs="宋体"/>
          <w:color w:val="auto"/>
          <w:sz w:val="21"/>
          <w:szCs w:val="21"/>
          <w:highlight w:val="none"/>
        </w:rPr>
        <w:t>。</w:t>
      </w:r>
    </w:p>
    <w:p w14:paraId="3A750E9D">
      <w:pPr>
        <w:widowControl w:val="0"/>
        <w:numPr>
          <w:ilvl w:val="0"/>
          <w:numId w:val="0"/>
        </w:numPr>
        <w:tabs>
          <w:tab w:val="left" w:pos="0"/>
        </w:tabs>
        <w:jc w:val="both"/>
        <w:rPr>
          <w:rFonts w:hint="eastAsia" w:ascii="宋体" w:hAnsi="宋体" w:eastAsia="宋体" w:cs="宋体"/>
          <w:color w:val="auto"/>
          <w:highlight w:val="none"/>
        </w:rPr>
      </w:pPr>
    </w:p>
    <w:p w14:paraId="20599BDE">
      <w:pPr>
        <w:pStyle w:val="39"/>
        <w:tabs>
          <w:tab w:val="left" w:pos="315"/>
        </w:tabs>
        <w:overflowPunct/>
        <w:autoSpaceDE/>
        <w:autoSpaceDN/>
        <w:adjustRightInd/>
        <w:spacing w:line="240" w:lineRule="auto"/>
        <w:textAlignment w:val="auto"/>
        <w:outlineLvl w:val="9"/>
        <w:rPr>
          <w:rFonts w:hint="eastAsia" w:ascii="宋体" w:hAnsi="宋体" w:eastAsia="宋体" w:cs="宋体"/>
          <w:b/>
          <w:color w:val="auto"/>
          <w:kern w:val="2"/>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color w:val="auto"/>
          <w:kern w:val="2"/>
          <w:szCs w:val="24"/>
          <w:highlight w:val="none"/>
          <w:lang w:val="en-US" w:eastAsia="zh-CN"/>
        </w:rPr>
        <w:t>6.7供应商认为有必要提供的其他资料</w:t>
      </w:r>
    </w:p>
    <w:p w14:paraId="4D7C08CC">
      <w:pPr>
        <w:pStyle w:val="4"/>
        <w:spacing w:line="480" w:lineRule="exact"/>
        <w:jc w:val="center"/>
        <w:rPr>
          <w:rFonts w:hint="eastAsia" w:ascii="宋体" w:hAnsi="宋体" w:eastAsia="宋体" w:cs="宋体"/>
          <w:b/>
          <w:color w:val="auto"/>
          <w:sz w:val="24"/>
          <w:szCs w:val="24"/>
          <w:highlight w:val="none"/>
        </w:rPr>
      </w:pPr>
      <w:bookmarkStart w:id="238" w:name="_Toc20695"/>
      <w:bookmarkStart w:id="239" w:name="_Toc3552"/>
      <w:bookmarkStart w:id="240" w:name="_Toc24673"/>
      <w:bookmarkStart w:id="241" w:name="_Toc25280"/>
      <w:bookmarkStart w:id="242" w:name="_Toc22499"/>
      <w:bookmarkStart w:id="243" w:name="_Toc6471"/>
      <w:r>
        <w:rPr>
          <w:rFonts w:hint="eastAsia" w:ascii="宋体" w:hAnsi="宋体" w:eastAsia="宋体" w:cs="宋体"/>
          <w:b/>
          <w:color w:val="auto"/>
          <w:sz w:val="28"/>
          <w:szCs w:val="28"/>
          <w:highlight w:val="none"/>
        </w:rPr>
        <w:t>供应商认为有必要提供的</w:t>
      </w:r>
      <w:r>
        <w:rPr>
          <w:rFonts w:hint="eastAsia" w:ascii="宋体" w:hAnsi="宋体" w:eastAsia="宋体" w:cs="宋体"/>
          <w:b/>
          <w:color w:val="auto"/>
          <w:sz w:val="28"/>
          <w:szCs w:val="28"/>
          <w:highlight w:val="none"/>
          <w:lang w:val="en-US" w:eastAsia="zh-CN"/>
        </w:rPr>
        <w:t>其他</w:t>
      </w:r>
      <w:r>
        <w:rPr>
          <w:rFonts w:hint="eastAsia" w:ascii="宋体" w:hAnsi="宋体" w:eastAsia="宋体" w:cs="宋体"/>
          <w:b/>
          <w:color w:val="auto"/>
          <w:sz w:val="28"/>
          <w:szCs w:val="28"/>
          <w:highlight w:val="none"/>
        </w:rPr>
        <w:t>资料</w:t>
      </w:r>
      <w:bookmarkEnd w:id="238"/>
      <w:bookmarkEnd w:id="239"/>
      <w:bookmarkEnd w:id="240"/>
      <w:bookmarkEnd w:id="241"/>
      <w:bookmarkEnd w:id="242"/>
      <w:bookmarkEnd w:id="243"/>
    </w:p>
    <w:p w14:paraId="20E1C0C1">
      <w:pPr>
        <w:pStyle w:val="5"/>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自行编制，格式自拟）</w:t>
      </w:r>
    </w:p>
    <w:p w14:paraId="6FD32785">
      <w:pPr>
        <w:pStyle w:val="42"/>
        <w:rPr>
          <w:rFonts w:hint="eastAsia" w:ascii="宋体" w:hAnsi="宋体" w:eastAsia="宋体" w:cs="宋体"/>
          <w:color w:val="auto"/>
          <w:highlight w:val="none"/>
        </w:rPr>
      </w:pPr>
    </w:p>
    <w:p w14:paraId="3281C0A5">
      <w:pPr>
        <w:rPr>
          <w:rFonts w:hint="eastAsia" w:ascii="宋体" w:hAnsi="宋体" w:eastAsia="宋体" w:cs="宋体"/>
          <w:b/>
          <w:bCs/>
          <w:snapToGrid w:val="0"/>
          <w:color w:val="auto"/>
          <w:kern w:val="0"/>
          <w:sz w:val="30"/>
          <w:szCs w:val="30"/>
          <w:highlight w:val="none"/>
          <w:lang w:val="en-US" w:eastAsia="zh-CN" w:bidi="ar-SA"/>
        </w:rPr>
      </w:pPr>
      <w:r>
        <w:rPr>
          <w:rFonts w:hint="eastAsia" w:ascii="宋体" w:hAnsi="宋体" w:eastAsia="宋体" w:cs="宋体"/>
          <w:b/>
          <w:bCs/>
          <w:snapToGrid w:val="0"/>
          <w:color w:val="auto"/>
          <w:kern w:val="0"/>
          <w:sz w:val="30"/>
          <w:szCs w:val="30"/>
          <w:highlight w:val="none"/>
          <w:lang w:val="en-US" w:eastAsia="zh-CN" w:bidi="ar-SA"/>
        </w:rPr>
        <w:br w:type="page"/>
      </w:r>
    </w:p>
    <w:p w14:paraId="29A17EFF">
      <w:pPr>
        <w:pStyle w:val="3"/>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b w:val="0"/>
          <w:bCs/>
          <w:color w:val="auto"/>
          <w:sz w:val="36"/>
          <w:highlight w:val="none"/>
        </w:rPr>
      </w:pPr>
      <w:bookmarkStart w:id="244" w:name="_Toc12297"/>
      <w:bookmarkStart w:id="245" w:name="_Toc4998"/>
      <w:r>
        <w:rPr>
          <w:rFonts w:hint="eastAsia" w:ascii="宋体" w:hAnsi="宋体" w:eastAsia="宋体" w:cs="宋体"/>
          <w:b/>
          <w:bCs w:val="0"/>
          <w:color w:val="auto"/>
          <w:sz w:val="36"/>
          <w:highlight w:val="none"/>
        </w:rPr>
        <w:t>第</w:t>
      </w:r>
      <w:r>
        <w:rPr>
          <w:rFonts w:hint="eastAsia" w:ascii="宋体" w:hAnsi="宋体" w:eastAsia="宋体" w:cs="宋体"/>
          <w:b/>
          <w:bCs w:val="0"/>
          <w:color w:val="auto"/>
          <w:sz w:val="36"/>
          <w:highlight w:val="none"/>
          <w:lang w:val="en-US" w:eastAsia="zh-CN"/>
        </w:rPr>
        <w:t>六</w:t>
      </w:r>
      <w:r>
        <w:rPr>
          <w:rFonts w:hint="eastAsia" w:ascii="宋体" w:hAnsi="宋体" w:eastAsia="宋体" w:cs="宋体"/>
          <w:b/>
          <w:bCs w:val="0"/>
          <w:color w:val="auto"/>
          <w:sz w:val="36"/>
          <w:highlight w:val="none"/>
        </w:rPr>
        <w:t>章 合同主要条款及格式（参考）</w:t>
      </w:r>
      <w:bookmarkEnd w:id="244"/>
      <w:bookmarkEnd w:id="245"/>
    </w:p>
    <w:p w14:paraId="5A7C91A6">
      <w:pPr>
        <w:spacing w:line="44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(具体合同</w:t>
      </w:r>
      <w:r>
        <w:rPr>
          <w:rFonts w:hint="eastAsia" w:ascii="宋体" w:hAnsi="宋体" w:eastAsia="宋体" w:cs="宋体"/>
          <w:b/>
          <w:color w:val="auto"/>
          <w:sz w:val="24"/>
          <w:szCs w:val="24"/>
          <w:highlight w:val="none"/>
          <w:lang w:val="en-US" w:eastAsia="zh-CN"/>
        </w:rPr>
        <w:t>内容</w:t>
      </w:r>
      <w:r>
        <w:rPr>
          <w:rFonts w:hint="eastAsia" w:ascii="宋体" w:hAnsi="宋体" w:eastAsia="宋体" w:cs="宋体"/>
          <w:b/>
          <w:color w:val="auto"/>
          <w:sz w:val="24"/>
          <w:szCs w:val="24"/>
          <w:highlight w:val="none"/>
        </w:rPr>
        <w:t>以采购人跟供应商</w:t>
      </w:r>
      <w:r>
        <w:rPr>
          <w:rFonts w:hint="eastAsia" w:ascii="宋体" w:hAnsi="宋体" w:eastAsia="宋体" w:cs="宋体"/>
          <w:b/>
          <w:color w:val="auto"/>
          <w:sz w:val="24"/>
          <w:szCs w:val="24"/>
          <w:highlight w:val="none"/>
          <w:lang w:val="en-US" w:eastAsia="zh-CN"/>
        </w:rPr>
        <w:t xml:space="preserve">实际签订为准)  </w:t>
      </w:r>
    </w:p>
    <w:p w14:paraId="45206003">
      <w:pPr>
        <w:pStyle w:val="28"/>
        <w:rPr>
          <w:rFonts w:hint="eastAsia" w:ascii="宋体" w:hAnsi="宋体" w:eastAsia="宋体" w:cs="宋体"/>
          <w:highlight w:val="none"/>
          <w:lang w:val="en-US" w:eastAsia="zh-CN"/>
        </w:rPr>
      </w:pPr>
    </w:p>
    <w:sectPr>
      <w:headerReference r:id="rId9" w:type="default"/>
      <w:footerReference r:id="rId10" w:type="default"/>
      <w:pgSz w:w="11906" w:h="16838"/>
      <w:pgMar w:top="1417" w:right="1644" w:bottom="1417" w:left="1644" w:header="851" w:footer="992" w:gutter="0"/>
      <w:pgNumType w:fmt="decimal"/>
      <w:cols w:space="0" w:num="1"/>
      <w:titlePg/>
      <w:rtlGutter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20B0604020202020204"/>
    <w:charset w:val="86"/>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946C">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F03B6">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1CF03B6">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56F3">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132A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17132A3">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D3298">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492ECA">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492ECA">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0E53">
    <w:pPr>
      <w:pStyle w:val="16"/>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玉溪市“十五五”综合交通枢纽发展规划</w:t>
    </w:r>
    <w:r>
      <w:rPr>
        <w:rFonts w:hint="eastAsia" w:ascii="仿宋" w:hAnsi="仿宋" w:eastAsia="仿宋" w:cs="仿宋"/>
        <w:sz w:val="18"/>
        <w:szCs w:val="18"/>
      </w:rPr>
      <w:t xml:space="preserve">     </w:t>
    </w:r>
    <w:r>
      <w:rPr>
        <w:rFonts w:hint="eastAsia" w:ascii="仿宋" w:hAnsi="仿宋" w:eastAsia="仿宋" w:cs="仿宋"/>
        <w:sz w:val="18"/>
        <w:szCs w:val="18"/>
        <w:lang w:val="en-US" w:eastAsia="zh-CN"/>
      </w:rPr>
      <w:t xml:space="preserve">                                              询比文件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8DA8">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FE">
    <w:pPr>
      <w:spacing w:line="210" w:lineRule="auto"/>
      <w:ind w:left="12"/>
      <w:rPr>
        <w:rFonts w:hint="eastAsia" w:ascii="仿宋" w:hAnsi="仿宋" w:eastAsia="宋体" w:cs="仿宋"/>
        <w:sz w:val="18"/>
        <w:szCs w:val="18"/>
        <w:lang w:eastAsia="zh-CN"/>
      </w:rPr>
    </w:pPr>
    <w:r>
      <mc:AlternateContent>
        <mc:Choice Requires="wps">
          <w:drawing>
            <wp:anchor distT="0" distB="0" distL="114300" distR="114300" simplePos="0" relativeHeight="251660288" behindDoc="0" locked="0" layoutInCell="0" allowOverlap="1">
              <wp:simplePos x="0" y="0"/>
              <wp:positionH relativeFrom="page">
                <wp:posOffset>892810</wp:posOffset>
              </wp:positionH>
              <wp:positionV relativeFrom="page">
                <wp:posOffset>688340</wp:posOffset>
              </wp:positionV>
              <wp:extent cx="577532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775325" cy="6350"/>
                      </a:xfrm>
                      <a:custGeom>
                        <a:avLst/>
                        <a:gdLst/>
                        <a:ahLst/>
                        <a:cxnLst/>
                        <a:pathLst>
                          <a:path w="9095" h="10">
                            <a:moveTo>
                              <a:pt x="0" y="0"/>
                            </a:moveTo>
                            <a:lnTo>
                              <a:pt x="9094" y="0"/>
                            </a:lnTo>
                            <a:lnTo>
                              <a:pt x="909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3pt;margin-top:54.2pt;height:0.5pt;width:454.75pt;mso-position-horizontal-relative:page;mso-position-vertical-relative:page;z-index:251660288;mso-width-relative:page;mso-height-relative:page;" fillcolor="#000000" filled="t" stroked="f" coordsize="9095,10" o:allowincell="f" o:gfxdata="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WAYM7ZAAAADAEAAA8AAAAAAAAA&#10;AQAgAAAAIgAAAGRycy9kb3ducmV2LnhtbFBLAQIUABQAAAAIAIdO4kCku7sCEAIAAHkEAAAOAAAA&#10;AAAAAAEAIAAAACgBAABkcnMvZTJvRG9jLnhtbFBLBQYAAAAABgAGAFkBAACqBQAAAAA=&#10;" path="m0,0l9094,0,9094,9,0,9,0,0xe">
              <v:fill on="t" focussize="0,0"/>
              <v:stroke on="f"/>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5080000</wp:posOffset>
              </wp:positionH>
              <wp:positionV relativeFrom="paragraph">
                <wp:posOffset>-12065</wp:posOffset>
              </wp:positionV>
              <wp:extent cx="704215" cy="1631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4215" cy="163195"/>
                      </a:xfrm>
                      <a:prstGeom prst="rect">
                        <a:avLst/>
                      </a:prstGeom>
                      <a:noFill/>
                      <a:ln>
                        <a:noFill/>
                      </a:ln>
                    </wps:spPr>
                    <wps:txbx>
                      <w:txbxContent>
                        <w:p w14:paraId="2040A877">
                          <w:pPr>
                            <w:spacing w:before="20" w:line="222" w:lineRule="auto"/>
                            <w:ind w:left="20"/>
                            <w:rPr>
                              <w:rFonts w:ascii="仿宋" w:hAnsi="仿宋" w:eastAsia="仿宋" w:cs="仿宋"/>
                              <w:sz w:val="18"/>
                              <w:szCs w:val="18"/>
                            </w:rPr>
                          </w:pPr>
                          <w:r>
                            <w:rPr>
                              <w:rFonts w:hint="eastAsia" w:ascii="仿宋" w:hAnsi="仿宋" w:eastAsia="仿宋" w:cs="仿宋"/>
                              <w:spacing w:val="-2"/>
                              <w:sz w:val="18"/>
                              <w:szCs w:val="18"/>
                              <w:lang w:eastAsia="zh-CN"/>
                            </w:rPr>
                            <w:t>询比文件</w:t>
                          </w:r>
                        </w:p>
                      </w:txbxContent>
                    </wps:txbx>
                    <wps:bodyPr lIns="0" tIns="0" rIns="0" bIns="0" upright="1"/>
                  </wps:wsp>
                </a:graphicData>
              </a:graphic>
            </wp:anchor>
          </w:drawing>
        </mc:Choice>
        <mc:Fallback>
          <w:pict>
            <v:shape id="_x0000_s1026" o:spid="_x0000_s1026" o:spt="202" type="#_x0000_t202" style="position:absolute;left:0pt;margin-left:400pt;margin-top:-0.95pt;height:12.85pt;width:55.45pt;z-index:251659264;mso-width-relative:page;mso-height-relative:page;" filled="f" stroked="f" coordsize="21600,21600" o:gfxdata="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0iRZXYAAAACQEAAA8AAAAAAAAAAQAgAAAAIgAAAGRycy9kb3ducmV2LnhtbFBLAQIU&#10;ABQAAAAIAIdO4kB0JpblugEAAHEDAAAOAAAAAAAAAAEAIAAAACcBAABkcnMvZTJvRG9jLnhtbFBL&#10;BQYAAAAABgAGAFkBAABTBQAAAAA=&#10;">
              <v:fill on="f" focussize="0,0"/>
              <v:stroke on="f"/>
              <v:imagedata o:title=""/>
              <o:lock v:ext="edit" aspectratio="f"/>
              <v:textbox inset="0mm,0mm,0mm,0mm">
                <w:txbxContent>
                  <w:p w14:paraId="2040A877">
                    <w:pPr>
                      <w:spacing w:before="20" w:line="222" w:lineRule="auto"/>
                      <w:ind w:left="20"/>
                      <w:rPr>
                        <w:rFonts w:ascii="仿宋" w:hAnsi="仿宋" w:eastAsia="仿宋" w:cs="仿宋"/>
                        <w:sz w:val="18"/>
                        <w:szCs w:val="18"/>
                      </w:rPr>
                    </w:pPr>
                    <w:r>
                      <w:rPr>
                        <w:rFonts w:hint="eastAsia" w:ascii="仿宋" w:hAnsi="仿宋" w:eastAsia="仿宋" w:cs="仿宋"/>
                        <w:spacing w:val="-2"/>
                        <w:sz w:val="18"/>
                        <w:szCs w:val="18"/>
                        <w:lang w:eastAsia="zh-CN"/>
                      </w:rPr>
                      <w:t>询比文件</w:t>
                    </w:r>
                  </w:p>
                </w:txbxContent>
              </v:textbox>
            </v:shape>
          </w:pict>
        </mc:Fallback>
      </mc:AlternateContent>
    </w:r>
    <w:r>
      <w:rPr>
        <w:rFonts w:hint="eastAsia" w:ascii="仿宋" w:hAnsi="仿宋" w:eastAsia="仿宋" w:cs="仿宋"/>
        <w:spacing w:val="-1"/>
        <w:sz w:val="18"/>
        <w:szCs w:val="18"/>
        <w:lang w:eastAsia="zh-CN"/>
      </w:rPr>
      <w:t>玉溪市“十五五”综合交通枢纽发展规划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71111"/>
    <w:multiLevelType w:val="singleLevel"/>
    <w:tmpl w:val="A8271111"/>
    <w:lvl w:ilvl="0" w:tentative="0">
      <w:start w:val="3"/>
      <w:numFmt w:val="chineseCounting"/>
      <w:suff w:val="space"/>
      <w:lvlText w:val="第%1章"/>
      <w:lvlJc w:val="left"/>
      <w:rPr>
        <w:rFonts w:hint="eastAsia"/>
      </w:rPr>
    </w:lvl>
  </w:abstractNum>
  <w:abstractNum w:abstractNumId="1">
    <w:nsid w:val="00000007"/>
    <w:multiLevelType w:val="multilevel"/>
    <w:tmpl w:val="0000000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suff w:val="nothing"/>
      <w:lvlText w:val=""/>
      <w:lvlJc w:val="left"/>
      <w:pPr>
        <w:tabs>
          <w:tab w:val="left" w:pos="0"/>
        </w:tabs>
        <w:ind w:left="0" w:firstLine="0"/>
      </w:pPr>
      <w:rPr>
        <w:rFonts w:hint="eastAsia"/>
      </w:rPr>
    </w:lvl>
    <w:lvl w:ilvl="5" w:tentative="0">
      <w:start w:val="1"/>
      <w:numFmt w:val="none"/>
      <w:suff w:val="nothing"/>
      <w:lvlText w:val=""/>
      <w:lvlJc w:val="left"/>
      <w:pPr>
        <w:tabs>
          <w:tab w:val="left" w:pos="0"/>
        </w:tabs>
        <w:ind w:left="0" w:firstLine="0"/>
      </w:pPr>
      <w:rPr>
        <w:rFonts w:hint="eastAsia"/>
      </w:rPr>
    </w:lvl>
    <w:lvl w:ilvl="6" w:tentative="0">
      <w:start w:val="1"/>
      <w:numFmt w:val="none"/>
      <w:suff w:val="nothing"/>
      <w:lvlText w:val=""/>
      <w:lvlJc w:val="left"/>
      <w:pPr>
        <w:tabs>
          <w:tab w:val="left" w:pos="0"/>
        </w:tabs>
        <w:ind w:left="0" w:firstLine="0"/>
      </w:pPr>
      <w:rPr>
        <w:rFonts w:hint="eastAsia"/>
      </w:rPr>
    </w:lvl>
    <w:lvl w:ilvl="7" w:tentative="0">
      <w:start w:val="1"/>
      <w:numFmt w:val="none"/>
      <w:suff w:val="nothing"/>
      <w:lvlText w:val=""/>
      <w:lvlJc w:val="left"/>
      <w:pPr>
        <w:tabs>
          <w:tab w:val="left" w:pos="0"/>
        </w:tabs>
        <w:ind w:left="0" w:firstLine="0"/>
      </w:pPr>
      <w:rPr>
        <w:rFonts w:hint="eastAsia"/>
      </w:rPr>
    </w:lvl>
    <w:lvl w:ilvl="8" w:tentative="0">
      <w:start w:val="1"/>
      <w:numFmt w:val="none"/>
      <w:suff w:val="nothing"/>
      <w:lvlText w:val=""/>
      <w:lvlJc w:val="left"/>
      <w:pPr>
        <w:tabs>
          <w:tab w:val="left" w:pos="0"/>
        </w:tabs>
        <w:ind w:left="0" w:firstLine="0"/>
      </w:pPr>
      <w:rPr>
        <w:rFonts w:hint="eastAsia"/>
      </w:rPr>
    </w:lvl>
  </w:abstractNum>
  <w:abstractNum w:abstractNumId="2">
    <w:nsid w:val="00000016"/>
    <w:multiLevelType w:val="multilevel"/>
    <w:tmpl w:val="00000016"/>
    <w:lvl w:ilvl="0" w:tentative="0">
      <w:start w:val="1"/>
      <w:numFmt w:val="decimal"/>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pStyle w:val="40"/>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2E7A0CF4"/>
    <w:multiLevelType w:val="singleLevel"/>
    <w:tmpl w:val="2E7A0CF4"/>
    <w:lvl w:ilvl="0" w:tentative="0">
      <w:start w:val="1"/>
      <w:numFmt w:val="decimal"/>
      <w:suff w:val="space"/>
      <w:lvlText w:val="%1、"/>
      <w:lvlJc w:val="left"/>
      <w:pPr>
        <w:tabs>
          <w:tab w:val="left" w:pos="0"/>
        </w:tabs>
        <w:ind w:left="0" w:firstLine="0"/>
      </w:pPr>
    </w:lvl>
  </w:abstractNum>
  <w:abstractNum w:abstractNumId="4">
    <w:nsid w:val="5A82A6DC"/>
    <w:multiLevelType w:val="singleLevel"/>
    <w:tmpl w:val="5A82A6DC"/>
    <w:lvl w:ilvl="0" w:tentative="0">
      <w:start w:val="1"/>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TRlMzQ4MWExYWQ2MGVhMTU5YTk2YzVmYjllOTIifQ=="/>
  </w:docVars>
  <w:rsids>
    <w:rsidRoot w:val="258371FF"/>
    <w:rsid w:val="00005C74"/>
    <w:rsid w:val="001E6599"/>
    <w:rsid w:val="00D162AB"/>
    <w:rsid w:val="00E645A8"/>
    <w:rsid w:val="0215224C"/>
    <w:rsid w:val="032D02FC"/>
    <w:rsid w:val="04E23639"/>
    <w:rsid w:val="05587CB8"/>
    <w:rsid w:val="063B7479"/>
    <w:rsid w:val="065310E6"/>
    <w:rsid w:val="0680104B"/>
    <w:rsid w:val="083A04DD"/>
    <w:rsid w:val="0930292B"/>
    <w:rsid w:val="094B5940"/>
    <w:rsid w:val="095022D0"/>
    <w:rsid w:val="0AA15807"/>
    <w:rsid w:val="0AB45767"/>
    <w:rsid w:val="0BC419DA"/>
    <w:rsid w:val="0C2801BA"/>
    <w:rsid w:val="0C451879"/>
    <w:rsid w:val="0C7E76A4"/>
    <w:rsid w:val="0E033EC5"/>
    <w:rsid w:val="0E4A4418"/>
    <w:rsid w:val="13C775FF"/>
    <w:rsid w:val="14762F14"/>
    <w:rsid w:val="149A56F6"/>
    <w:rsid w:val="15992BFF"/>
    <w:rsid w:val="15B11221"/>
    <w:rsid w:val="15F164CE"/>
    <w:rsid w:val="1609105D"/>
    <w:rsid w:val="16A70BFD"/>
    <w:rsid w:val="187D3A16"/>
    <w:rsid w:val="197D699A"/>
    <w:rsid w:val="1B066629"/>
    <w:rsid w:val="1BF2232C"/>
    <w:rsid w:val="1C8C20A0"/>
    <w:rsid w:val="1F386500"/>
    <w:rsid w:val="22F26804"/>
    <w:rsid w:val="245F061F"/>
    <w:rsid w:val="245F7382"/>
    <w:rsid w:val="24AF026D"/>
    <w:rsid w:val="24CD0204"/>
    <w:rsid w:val="25230FA8"/>
    <w:rsid w:val="25284504"/>
    <w:rsid w:val="252F5CBE"/>
    <w:rsid w:val="258371FF"/>
    <w:rsid w:val="25C428AA"/>
    <w:rsid w:val="26DB7512"/>
    <w:rsid w:val="27E965F8"/>
    <w:rsid w:val="29797829"/>
    <w:rsid w:val="29E4351B"/>
    <w:rsid w:val="2FE65539"/>
    <w:rsid w:val="323138EA"/>
    <w:rsid w:val="3436277E"/>
    <w:rsid w:val="3537346D"/>
    <w:rsid w:val="36AA727A"/>
    <w:rsid w:val="36B67C90"/>
    <w:rsid w:val="371D2CA1"/>
    <w:rsid w:val="3748761E"/>
    <w:rsid w:val="37516ECC"/>
    <w:rsid w:val="3764724C"/>
    <w:rsid w:val="38B85B09"/>
    <w:rsid w:val="3A9065C8"/>
    <w:rsid w:val="3C741756"/>
    <w:rsid w:val="3D9B529B"/>
    <w:rsid w:val="412B1850"/>
    <w:rsid w:val="42422D8E"/>
    <w:rsid w:val="42D545E1"/>
    <w:rsid w:val="4504461A"/>
    <w:rsid w:val="453E5D7D"/>
    <w:rsid w:val="47064679"/>
    <w:rsid w:val="48EA6CE2"/>
    <w:rsid w:val="4AC565F9"/>
    <w:rsid w:val="4C39729F"/>
    <w:rsid w:val="4C5F703D"/>
    <w:rsid w:val="4D1D5486"/>
    <w:rsid w:val="4D8F559E"/>
    <w:rsid w:val="4DB766CD"/>
    <w:rsid w:val="4DCF499C"/>
    <w:rsid w:val="50185024"/>
    <w:rsid w:val="50724B2D"/>
    <w:rsid w:val="51986815"/>
    <w:rsid w:val="523C2D93"/>
    <w:rsid w:val="547D15FE"/>
    <w:rsid w:val="5582503A"/>
    <w:rsid w:val="55C5424D"/>
    <w:rsid w:val="5AA453CA"/>
    <w:rsid w:val="5CDA23D8"/>
    <w:rsid w:val="5D413549"/>
    <w:rsid w:val="5EAB325C"/>
    <w:rsid w:val="5F1E4941"/>
    <w:rsid w:val="5FD45AC6"/>
    <w:rsid w:val="61A62889"/>
    <w:rsid w:val="624F742C"/>
    <w:rsid w:val="63505247"/>
    <w:rsid w:val="646B1B68"/>
    <w:rsid w:val="6ACC17C6"/>
    <w:rsid w:val="6D782F1F"/>
    <w:rsid w:val="6DA32372"/>
    <w:rsid w:val="6DA53394"/>
    <w:rsid w:val="6F1B6A91"/>
    <w:rsid w:val="6F5D481F"/>
    <w:rsid w:val="7041529F"/>
    <w:rsid w:val="723D7CA0"/>
    <w:rsid w:val="75CD4430"/>
    <w:rsid w:val="78512222"/>
    <w:rsid w:val="785B21C7"/>
    <w:rsid w:val="79DA01EC"/>
    <w:rsid w:val="7A770476"/>
    <w:rsid w:val="7AB22562"/>
    <w:rsid w:val="7B8B4B71"/>
    <w:rsid w:val="7B9F3C1C"/>
    <w:rsid w:val="7BD320D8"/>
    <w:rsid w:val="7BD9299B"/>
    <w:rsid w:val="7C4B4301"/>
    <w:rsid w:val="7CB65C1E"/>
    <w:rsid w:val="7D0F64FC"/>
    <w:rsid w:val="7ED02674"/>
    <w:rsid w:val="7F3E5BD8"/>
    <w:rsid w:val="7FAF4BA7"/>
    <w:rsid w:val="7FCA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2" w:lineRule="auto"/>
      <w:outlineLvl w:val="2"/>
    </w:pPr>
    <w:rPr>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Times New Roman" w:cs="Times New Roman"/>
      <w:color w:val="000000"/>
      <w:kern w:val="0"/>
      <w:sz w:val="24"/>
      <w:szCs w:val="22"/>
      <w:lang w:val="en-US" w:eastAsia="zh-CN" w:bidi="ar-SA"/>
    </w:rPr>
  </w:style>
  <w:style w:type="paragraph" w:styleId="5">
    <w:name w:val="Normal Indent"/>
    <w:basedOn w:val="1"/>
    <w:qFormat/>
    <w:uiPriority w:val="0"/>
    <w:pPr>
      <w:autoSpaceDE w:val="0"/>
      <w:autoSpaceDN w:val="0"/>
      <w:adjustRightInd w:val="0"/>
      <w:ind w:firstLine="200" w:firstLineChars="200"/>
      <w:jc w:val="left"/>
    </w:pPr>
    <w:rPr>
      <w:rFonts w:ascii="仿宋_GB2312" w:eastAsia="仿宋_GB2312"/>
      <w:kern w:val="0"/>
      <w:sz w:val="24"/>
    </w:rPr>
  </w:style>
  <w:style w:type="paragraph" w:styleId="8">
    <w:name w:val="Salutation"/>
    <w:basedOn w:val="1"/>
    <w:next w:val="1"/>
    <w:qFormat/>
    <w:uiPriority w:val="0"/>
    <w:rPr>
      <w:rFonts w:ascii="Arial" w:hAnsi="Arial"/>
      <w:sz w:val="24"/>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w:basedOn w:val="1"/>
    <w:qFormat/>
    <w:uiPriority w:val="0"/>
    <w:pPr>
      <w:tabs>
        <w:tab w:val="left" w:pos="3260"/>
      </w:tabs>
      <w:spacing w:before="120" w:after="120" w:line="360" w:lineRule="auto"/>
    </w:pPr>
    <w:rPr>
      <w:sz w:val="24"/>
    </w:r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next w:val="1"/>
    <w:qFormat/>
    <w:uiPriority w:val="99"/>
    <w:pPr>
      <w:widowControl w:val="0"/>
      <w:textAlignment w:val="auto"/>
    </w:pPr>
    <w:rPr>
      <w:rFonts w:ascii="宋体" w:hAnsi="Courier New" w:cs="Times New Roman"/>
      <w:szCs w:val="20"/>
    </w:rPr>
  </w:style>
  <w:style w:type="paragraph" w:styleId="13">
    <w:name w:val="Date"/>
    <w:basedOn w:val="1"/>
    <w:next w:val="1"/>
    <w:qFormat/>
    <w:uiPriority w:val="0"/>
    <w:rPr>
      <w:sz w:val="28"/>
    </w:rPr>
  </w:style>
  <w:style w:type="paragraph" w:styleId="14">
    <w:name w:val="Body Text Indent 2"/>
    <w:basedOn w:val="1"/>
    <w:qFormat/>
    <w:uiPriority w:val="0"/>
    <w:pPr>
      <w:widowControl w:val="0"/>
      <w:spacing w:after="120" w:line="480" w:lineRule="auto"/>
      <w:ind w:left="420" w:leftChars="200"/>
      <w:textAlignment w:val="auto"/>
    </w:pPr>
    <w:rPr>
      <w:rFonts w:cs="Times New Roman"/>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widowControl w:val="0"/>
      <w:spacing w:beforeAutospacing="1" w:afterAutospacing="1"/>
      <w:jc w:val="left"/>
      <w:textAlignment w:val="auto"/>
    </w:pPr>
    <w:rPr>
      <w:rFonts w:cs="Times New Roman" w:asciiTheme="minorHAnsi" w:hAnsiTheme="minorHAnsi" w:eastAsiaTheme="minorEastAsia"/>
      <w:kern w:val="0"/>
      <w:sz w:val="24"/>
      <w:szCs w:val="24"/>
    </w:rPr>
  </w:style>
  <w:style w:type="paragraph" w:styleId="20">
    <w:name w:val="Title"/>
    <w:basedOn w:val="1"/>
    <w:next w:val="9"/>
    <w:qFormat/>
    <w:uiPriority w:val="0"/>
    <w:pPr>
      <w:spacing w:before="240" w:after="60"/>
      <w:jc w:val="center"/>
      <w:outlineLvl w:val="0"/>
    </w:pPr>
    <w:rPr>
      <w:rFonts w:ascii="Cambria" w:hAnsi="Cambria"/>
      <w:b/>
      <w:bCs/>
      <w:sz w:val="32"/>
      <w:szCs w:val="32"/>
    </w:rPr>
  </w:style>
  <w:style w:type="paragraph" w:styleId="21">
    <w:name w:val="Body Text First Indent"/>
    <w:basedOn w:val="9"/>
    <w:qFormat/>
    <w:uiPriority w:val="0"/>
    <w:pPr>
      <w:tabs>
        <w:tab w:val="left" w:pos="-1698"/>
      </w:tabs>
      <w:spacing w:before="0" w:after="120" w:line="360" w:lineRule="auto"/>
      <w:ind w:firstLine="420" w:firstLineChars="100"/>
    </w:pPr>
    <w:rPr>
      <w:rFonts w:ascii="金山简黑体" w:hAnsi="金山简黑体"/>
      <w:b/>
      <w:spacing w:val="-8"/>
      <w:szCs w:val="20"/>
    </w:rPr>
  </w:style>
  <w:style w:type="paragraph" w:styleId="22">
    <w:name w:val="Body Text First Indent 2"/>
    <w:basedOn w:val="10"/>
    <w:next w:val="1"/>
    <w:qFormat/>
    <w:uiPriority w:val="0"/>
    <w:pPr>
      <w:ind w:left="200" w:leftChars="200" w:firstLine="420" w:firstLineChars="200"/>
    </w:pPr>
  </w:style>
  <w:style w:type="table" w:styleId="24">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basedOn w:val="25"/>
    <w:qFormat/>
    <w:uiPriority w:val="99"/>
    <w:rPr>
      <w:color w:val="000000"/>
      <w:u w:val="none"/>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Table Text"/>
    <w:basedOn w:val="1"/>
    <w:semiHidden/>
    <w:qFormat/>
    <w:uiPriority w:val="0"/>
    <w:rPr>
      <w:rFonts w:ascii="仿宋" w:hAnsi="仿宋" w:eastAsia="仿宋" w:cs="仿宋"/>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character" w:customStyle="1" w:styleId="31">
    <w:name w:val="NormalCharacter"/>
    <w:qFormat/>
    <w:uiPriority w:val="0"/>
  </w:style>
  <w:style w:type="character" w:customStyle="1" w:styleId="32">
    <w:name w:val="font41"/>
    <w:basedOn w:val="25"/>
    <w:qFormat/>
    <w:uiPriority w:val="0"/>
    <w:rPr>
      <w:rFonts w:hint="eastAsia" w:ascii="宋体" w:hAnsi="宋体" w:eastAsia="宋体" w:cs="宋体"/>
      <w:color w:val="000000"/>
      <w:sz w:val="24"/>
      <w:szCs w:val="24"/>
      <w:u w:val="none"/>
    </w:rPr>
  </w:style>
  <w:style w:type="paragraph" w:customStyle="1" w:styleId="33">
    <w:name w:val="表格文字"/>
    <w:basedOn w:val="1"/>
    <w:qFormat/>
    <w:uiPriority w:val="0"/>
    <w:pPr>
      <w:spacing w:line="360" w:lineRule="atLeast"/>
    </w:pPr>
    <w:rPr>
      <w:rFonts w:ascii="宋体"/>
      <w:sz w:val="24"/>
      <w:szCs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Heading2"/>
    <w:basedOn w:val="1"/>
    <w:next w:val="1"/>
    <w:qFormat/>
    <w:uiPriority w:val="0"/>
    <w:pPr>
      <w:keepNext/>
      <w:keepLines/>
      <w:spacing w:line="400" w:lineRule="exact"/>
      <w:jc w:val="center"/>
    </w:pPr>
    <w:rPr>
      <w:rFonts w:ascii="Arial" w:hAnsi="Arial"/>
      <w:b/>
      <w:kern w:val="0"/>
      <w:sz w:val="30"/>
    </w:rPr>
  </w:style>
  <w:style w:type="paragraph" w:customStyle="1" w:styleId="37">
    <w:name w:val="BodyText"/>
    <w:basedOn w:val="1"/>
    <w:qFormat/>
    <w:uiPriority w:val="0"/>
    <w:pPr>
      <w:spacing w:line="440" w:lineRule="exact"/>
    </w:pPr>
    <w:rPr>
      <w:rFonts w:ascii="宋体" w:hAnsi="宋体" w:cs="Times New Roman"/>
      <w:bCs/>
      <w:color w:val="000000"/>
      <w:sz w:val="24"/>
    </w:rPr>
  </w:style>
  <w:style w:type="paragraph" w:customStyle="1" w:styleId="38">
    <w:name w:val="p0"/>
    <w:basedOn w:val="1"/>
    <w:qFormat/>
    <w:uiPriority w:val="0"/>
    <w:pPr>
      <w:widowControl/>
    </w:pPr>
    <w:rPr>
      <w:kern w:val="0"/>
      <w:szCs w:val="28"/>
    </w:rPr>
  </w:style>
  <w:style w:type="paragraph" w:customStyle="1" w:styleId="39">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40">
    <w:name w:val="元正正文标题2"/>
    <w:basedOn w:val="7"/>
    <w:qFormat/>
    <w:uiPriority w:val="0"/>
    <w:pPr>
      <w:keepNext w:val="0"/>
      <w:keepLines w:val="0"/>
      <w:widowControl w:val="0"/>
      <w:numPr>
        <w:ilvl w:val="3"/>
        <w:numId w:val="1"/>
      </w:numPr>
      <w:adjustRightInd w:val="0"/>
      <w:snapToGrid w:val="0"/>
      <w:spacing w:before="0" w:after="0" w:line="300" w:lineRule="auto"/>
      <w:jc w:val="center"/>
      <w:outlineLvl w:val="9"/>
    </w:pPr>
    <w:rPr>
      <w:rFonts w:ascii="宋体" w:eastAsia="宋体" w:cs="Times New Roman"/>
      <w:bCs w:val="0"/>
      <w:sz w:val="30"/>
      <w:szCs w:val="24"/>
      <w:lang w:bidi="ar-SA"/>
    </w:rPr>
  </w:style>
  <w:style w:type="paragraph" w:customStyle="1" w:styleId="41">
    <w:name w:val="1"/>
    <w:basedOn w:val="1"/>
    <w:next w:val="12"/>
    <w:qFormat/>
    <w:uiPriority w:val="0"/>
    <w:rPr>
      <w:rFonts w:ascii="宋体"/>
      <w:szCs w:val="20"/>
    </w:rPr>
  </w:style>
  <w:style w:type="paragraph" w:customStyle="1" w:styleId="42">
    <w:name w:val="无间隔1"/>
    <w:next w:val="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43">
    <w:name w:val="font101"/>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15575</Words>
  <Characters>16725</Characters>
  <Lines>0</Lines>
  <Paragraphs>0</Paragraphs>
  <TotalTime>6</TotalTime>
  <ScaleCrop>false</ScaleCrop>
  <LinksUpToDate>false</LinksUpToDate>
  <CharactersWithSpaces>18443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2023-12-06T07:13:00Z</dcterms:created>
  <dc:creator>J.</dc:creator>
  <cp:lastModifiedBy>Markson</cp:lastModifiedBy>
  <cp:lastPrinted>2025-01-24T02:48:00Z</cp:lastPrinted>
  <dcterms:modified xsi:type="dcterms:W3CDTF">2025-05-22T07:51:18Z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7701B216ABAE49F79B64205229700313_13</vt:lpwstr>
  </property>
  <property fmtid="{D5CDD505-2E9C-101B-9397-08002B2CF9AE}" pid="4" name="KSOTemplateDocerSaveRecord">
    <vt:lpwstr>eyJoZGlkIjoiYWI3M2Y4NzA1ODUyZWY5MDEyYWIxMTVkMjgyOWI0MjciLCJ1c2VySWQiOiI3NDc5MzgzNTcifQ==</vt:lpwstr>
  </property>
</Properties>
</file>