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仿宋" w:hAnsi="仿宋" w:cs="仿宋" w:eastAsia="仿宋"/>
          <w:b/>
          <w:color w:val="auto"/>
          <w:spacing w:val="0"/>
          <w:position w:val="0"/>
          <w:sz w:val="44"/>
          <w:shd w:fill="auto" w:val="clear"/>
        </w:rPr>
      </w:pPr>
      <w:r>
        <w:rPr>
          <w:rFonts w:ascii="宋体" w:hAnsi="宋体" w:cs="宋体" w:eastAsia="宋体"/>
          <w:b/>
          <w:color w:val="auto"/>
          <w:spacing w:val="0"/>
          <w:position w:val="0"/>
          <w:sz w:val="44"/>
          <w:shd w:fill="auto" w:val="clear"/>
        </w:rPr>
        <w:t xml:space="preserve">南昌大学附属小学前湖分校采购足球场人工草皮参数及要求</w:t>
      </w:r>
    </w:p>
    <w:p>
      <w:pPr>
        <w:spacing w:before="0" w:after="0" w:line="400"/>
        <w:ind w:right="0" w:left="0" w:firstLine="0"/>
        <w:jc w:val="left"/>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一、人造草规格要求和参数要求</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 、人造草坪化学性能应满足GB36246-2018《中小学合成材料面层运动场地》下表内容（须提供检测报告复印件佐证）</w:t>
      </w:r>
    </w:p>
    <w:tbl>
      <w:tblPr>
        <w:tblInd w:w="196" w:type="dxa"/>
      </w:tblPr>
      <w:tblGrid>
        <w:gridCol w:w="1911"/>
        <w:gridCol w:w="2142"/>
        <w:gridCol w:w="2140"/>
        <w:gridCol w:w="2019"/>
      </w:tblGrid>
      <w:tr>
        <w:trPr>
          <w:trHeight w:val="1" w:hRule="atLeast"/>
          <w:jc w:val="left"/>
        </w:trPr>
        <w:tc>
          <w:tcPr>
            <w:tcW w:w="405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32"/>
                <w:shd w:fill="auto" w:val="clear"/>
              </w:rPr>
              <w:t xml:space="preserve">检验检测项目</w:t>
            </w:r>
          </w:p>
        </w:tc>
        <w:tc>
          <w:tcPr>
            <w:tcW w:w="2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32"/>
                <w:shd w:fill="auto" w:val="clear"/>
              </w:rPr>
              <w:t xml:space="preserve">单位</w:t>
            </w: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32"/>
                <w:shd w:fill="auto" w:val="clear"/>
              </w:rPr>
              <w:t xml:space="preserve">技术要求</w:t>
            </w:r>
          </w:p>
        </w:tc>
      </w:tr>
      <w:tr>
        <w:trPr>
          <w:trHeight w:val="1" w:hRule="atLeast"/>
          <w:jc w:val="left"/>
        </w:trPr>
        <w:tc>
          <w:tcPr>
            <w:tcW w:w="19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有害物质含量</w:t>
            </w: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3种邻苯二甲酸酯类化合物（DBP、BBP、DEHP）总和</w:t>
            </w:r>
          </w:p>
        </w:tc>
        <w:tc>
          <w:tcPr>
            <w:tcW w:w="21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g/kg</w:t>
            </w: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3种邻苯二甲酸酯类化合物（DNOP、DINP、DIDP）总和</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18种多环芳烃总和</w:t>
            </w:r>
          </w:p>
        </w:tc>
        <w:tc>
          <w:tcPr>
            <w:tcW w:w="21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mg/kg</w:t>
            </w: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≤50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苯并[a]芘</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可溶性铅</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≤50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可溶性铬</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可溶性镉</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可溶性汞</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≤2</w:t>
            </w:r>
          </w:p>
        </w:tc>
      </w:tr>
      <w:tr>
        <w:trPr>
          <w:trHeight w:val="1" w:hRule="atLeast"/>
          <w:jc w:val="left"/>
        </w:trPr>
        <w:tc>
          <w:tcPr>
            <w:tcW w:w="191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有害物质释放量</w:t>
            </w: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总挥发性有机化合物（TVOC）</w:t>
            </w:r>
          </w:p>
        </w:tc>
        <w:tc>
          <w:tcPr>
            <w:tcW w:w="21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mg/（㎡</w:t>
            </w:r>
            <w:r>
              <w:rPr>
                <w:rFonts w:ascii="Segoe UI Symbol" w:hAnsi="Segoe UI Symbol" w:cs="Segoe UI Symbol" w:eastAsia="Segoe UI Symbol"/>
                <w:color w:val="auto"/>
                <w:spacing w:val="0"/>
                <w:position w:val="0"/>
                <w:sz w:val="24"/>
                <w:shd w:fill="auto" w:val="clear"/>
              </w:rPr>
              <w:t xml:space="preserve">▪</w:t>
            </w:r>
            <w:r>
              <w:rPr>
                <w:rFonts w:ascii="仿宋" w:hAnsi="仿宋" w:cs="仿宋" w:eastAsia="仿宋"/>
                <w:color w:val="auto"/>
                <w:spacing w:val="0"/>
                <w:position w:val="0"/>
                <w:sz w:val="24"/>
                <w:shd w:fill="auto" w:val="clear"/>
              </w:rPr>
              <w:t xml:space="preserve">h）</w:t>
            </w: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≤5.0</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甲醛</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≤0.4</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苯</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≤0.1</w:t>
            </w:r>
          </w:p>
        </w:tc>
      </w:tr>
      <w:tr>
        <w:trPr>
          <w:trHeight w:val="1" w:hRule="atLeast"/>
          <w:jc w:val="left"/>
        </w:trPr>
        <w:tc>
          <w:tcPr>
            <w:tcW w:w="191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甲苯、二甲苯和乙苯总和</w:t>
            </w:r>
          </w:p>
        </w:tc>
        <w:tc>
          <w:tcPr>
            <w:tcW w:w="21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c>
          <w:tcPr>
            <w:tcW w:w="20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bl>
    <w:p>
      <w:pPr>
        <w:spacing w:before="0" w:after="0" w:line="240"/>
        <w:ind w:right="0" w:left="0" w:firstLine="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2、人造草坪物理性能应满足GB36246-2018《中小学合成材料面层运动场地》下表内容（须提供检测报告复印件佐证）</w:t>
      </w:r>
    </w:p>
    <w:tbl>
      <w:tblPr>
        <w:tblInd w:w="211" w:type="dxa"/>
      </w:tblPr>
      <w:tblGrid>
        <w:gridCol w:w="1903"/>
        <w:gridCol w:w="2144"/>
        <w:gridCol w:w="2146"/>
        <w:gridCol w:w="1993"/>
      </w:tblGrid>
      <w:tr>
        <w:trPr>
          <w:trHeight w:val="1" w:hRule="atLeast"/>
          <w:jc w:val="left"/>
        </w:trPr>
        <w:tc>
          <w:tcPr>
            <w:tcW w:w="404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检验检测项目</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单位</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技术要求</w:t>
            </w:r>
          </w:p>
        </w:tc>
      </w:tr>
      <w:tr>
        <w:trPr>
          <w:trHeight w:val="1" w:hRule="atLeast"/>
          <w:jc w:val="left"/>
        </w:trPr>
        <w:tc>
          <w:tcPr>
            <w:tcW w:w="404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冲击吸收，%</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w:t>
            </w:r>
          </w:p>
        </w:tc>
        <w:tc>
          <w:tcPr>
            <w:tcW w:w="19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45-70</w:t>
            </w:r>
          </w:p>
        </w:tc>
      </w:tr>
      <w:tr>
        <w:trPr>
          <w:trHeight w:val="1" w:hRule="atLeast"/>
          <w:jc w:val="left"/>
        </w:trPr>
        <w:tc>
          <w:tcPr>
            <w:tcW w:w="404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w:t>
            </w:r>
          </w:p>
        </w:tc>
        <w:tc>
          <w:tcPr>
            <w:tcW w:w="19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r>
      <w:tr>
        <w:trPr>
          <w:trHeight w:val="1" w:hRule="atLeast"/>
          <w:jc w:val="left"/>
        </w:trPr>
        <w:tc>
          <w:tcPr>
            <w:tcW w:w="404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w:t>
            </w:r>
          </w:p>
        </w:tc>
        <w:tc>
          <w:tcPr>
            <w:tcW w:w="19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rPr>
            </w:pPr>
          </w:p>
        </w:tc>
      </w:tr>
      <w:tr>
        <w:trPr>
          <w:trHeight w:val="1" w:hRule="atLeast"/>
          <w:jc w:val="left"/>
        </w:trPr>
        <w:tc>
          <w:tcPr>
            <w:tcW w:w="404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垂直变形</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mm</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4～11</w:t>
            </w:r>
          </w:p>
        </w:tc>
      </w:tr>
      <w:tr>
        <w:trPr>
          <w:trHeight w:val="1" w:hRule="atLeast"/>
          <w:jc w:val="left"/>
        </w:trPr>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草丝拉断力</w:t>
            </w:r>
          </w:p>
        </w:tc>
        <w:tc>
          <w:tcPr>
            <w:tcW w:w="21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单丝</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N</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≥10</w:t>
            </w:r>
          </w:p>
        </w:tc>
      </w:tr>
      <w:tr>
        <w:trPr>
          <w:trHeight w:val="1" w:hRule="atLeast"/>
          <w:jc w:val="left"/>
        </w:trPr>
        <w:tc>
          <w:tcPr>
            <w:tcW w:w="404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单簇草丝拔出力</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N</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≥20</w:t>
            </w:r>
          </w:p>
        </w:tc>
      </w:tr>
      <w:tr>
        <w:trPr>
          <w:trHeight w:val="1" w:hRule="atLeast"/>
          <w:jc w:val="left"/>
        </w:trPr>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加速老化500h后草丝拉断力保持率，%</w:t>
            </w:r>
          </w:p>
        </w:tc>
        <w:tc>
          <w:tcPr>
            <w:tcW w:w="21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单丝</w:t>
            </w:r>
          </w:p>
        </w:tc>
        <w:tc>
          <w:tcPr>
            <w:tcW w:w="21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rPr>
            </w:pPr>
            <w:r>
              <w:rPr>
                <w:rFonts w:ascii="仿宋" w:hAnsi="仿宋" w:cs="仿宋" w:eastAsia="仿宋"/>
                <w:color w:val="auto"/>
                <w:spacing w:val="0"/>
                <w:position w:val="0"/>
                <w:sz w:val="24"/>
                <w:shd w:fill="auto" w:val="clear"/>
              </w:rPr>
              <w:t xml:space="preserve">≥80</w:t>
            </w:r>
          </w:p>
        </w:tc>
      </w:tr>
    </w:tbl>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3、足球场：50mm足球</w:t>
      </w:r>
      <w:r>
        <w:rPr>
          <w:rFonts w:ascii="仿宋" w:hAnsi="仿宋" w:cs="仿宋" w:eastAsia="仿宋"/>
          <w:color w:val="auto"/>
          <w:spacing w:val="0"/>
          <w:position w:val="0"/>
          <w:sz w:val="32"/>
          <w:shd w:fill="FFFFFF" w:val="clear"/>
        </w:rPr>
        <w:t xml:space="preserve">草坪技术参数</w:t>
      </w:r>
    </w:p>
    <w:tbl>
      <w:tblPr>
        <w:tblInd w:w="147" w:type="dxa"/>
      </w:tblPr>
      <w:tblGrid>
        <w:gridCol w:w="2397"/>
        <w:gridCol w:w="5773"/>
      </w:tblGrid>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草丝形状及编织工艺</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挤出双面筋（单丝加筋）</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草丝颜色</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翠绿+嫩绿</w:t>
            </w:r>
          </w:p>
        </w:tc>
      </w:tr>
      <w:tr>
        <w:trPr>
          <w:trHeight w:val="509"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底布走针方式</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簇绒法一字走针</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草纤维磅重（dtex）</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PE12000</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草高（不含底布高度）</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50</w:t>
            </w:r>
            <w:r>
              <w:rPr>
                <w:rFonts w:ascii="仿宋" w:hAnsi="仿宋" w:cs="仿宋" w:eastAsia="仿宋"/>
                <w:color w:val="auto"/>
                <w:spacing w:val="0"/>
                <w:position w:val="0"/>
                <w:sz w:val="32"/>
                <w:shd w:fill="auto" w:val="clear"/>
              </w:rPr>
              <w:t xml:space="preserve">±1mm。</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行距</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5/8英寸</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织距</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16.7针/10cm</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密度</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10500针/㎡</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底布材质</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三层（网格）底布</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背胶</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丁苯乳胶（必须是机器通过高温渗透）</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卷宽</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4米（卷长：按场地实际需要）</w:t>
            </w:r>
          </w:p>
        </w:tc>
      </w:tr>
      <w:tr>
        <w:trPr>
          <w:trHeight w:val="23" w:hRule="auto"/>
          <w:jc w:val="left"/>
        </w:trPr>
        <w:tc>
          <w:tcPr>
            <w:tcW w:w="239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填充物要求</w:t>
            </w:r>
          </w:p>
        </w:tc>
        <w:tc>
          <w:tcPr>
            <w:tcW w:w="57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石英砂粒径20-40目，填充30kg/㎡</w:t>
            </w:r>
          </w:p>
          <w:p>
            <w:pPr>
              <w:spacing w:before="0" w:after="0" w:line="240"/>
              <w:ind w:right="0" w:left="0" w:firstLine="0"/>
              <w:jc w:val="left"/>
              <w:rPr>
                <w:color w:val="auto"/>
                <w:spacing w:val="0"/>
                <w:position w:val="0"/>
              </w:rPr>
            </w:pPr>
            <w:r>
              <w:rPr>
                <w:rFonts w:ascii="仿宋" w:hAnsi="仿宋" w:cs="仿宋" w:eastAsia="仿宋"/>
                <w:color w:val="auto"/>
                <w:spacing w:val="0"/>
                <w:position w:val="0"/>
                <w:sz w:val="32"/>
                <w:shd w:fill="auto" w:val="clear"/>
              </w:rPr>
              <w:t xml:space="preserve">环保橡胶颗粒，填充4kg/m</w:t>
            </w:r>
            <w:r>
              <w:rPr>
                <w:rFonts w:ascii="Malgun Gothic" w:hAnsi="Malgun Gothic" w:cs="Malgun Gothic" w:eastAsia="Malgun Gothic"/>
                <w:color w:val="auto"/>
                <w:spacing w:val="0"/>
                <w:position w:val="0"/>
                <w:sz w:val="32"/>
                <w:shd w:fill="auto" w:val="clear"/>
              </w:rPr>
              <w:t xml:space="preserve">²</w:t>
            </w:r>
          </w:p>
        </w:tc>
      </w:tr>
    </w:tbl>
    <w:p>
      <w:pPr>
        <w:spacing w:before="0" w:after="0" w:line="240"/>
        <w:ind w:right="0" w:left="0" w:firstLine="0"/>
        <w:jc w:val="both"/>
        <w:rPr>
          <w:rFonts w:ascii="仿宋" w:hAnsi="仿宋" w:cs="仿宋" w:eastAsia="仿宋"/>
          <w:color w:val="auto"/>
          <w:spacing w:val="0"/>
          <w:position w:val="0"/>
          <w:sz w:val="32"/>
          <w:shd w:fill="auto" w:val="clear"/>
        </w:rPr>
      </w:pP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4、为相应国家政策，人造草坪企业提供中小企业声明函 </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5、产品认证要求：人造草坪须通过中国环境标志产品认证，并提供中国环境标志产品认证证书</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6、抗老化性能要求：人造草坪企业提供权威检测机构依据GB/T20394-2019标准出具高温96℃，低温-55℃两种环境下3000小时后老化后色牢度6级检测报告。</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7、草丝拔脱力性能要求：人造草坪生产企业提供权威机构出具人造草坪在耐酸、耐碱、耐高温、耐低3000小时以后，草丝拉断力≥17N，耐气候色牢度≥6级，底布拉断力纵向≥890N，底部拉断力横向≥800N的检测报告。</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8、草丝环保性能要求：为保证人造草坪无毒无害、安全可靠性，人造草坪产品经过具有CMA或CNAS标志认证权威机构依据GB/T21605-2008化学品急性吸入毒性试验方法所出具合格的报告，同时提供GB36246-2018人造草坪成品气味等级≤2级的专项合格的检测报告以保证产品的环保性能。</w:t>
      </w:r>
    </w:p>
    <w:p>
      <w:pPr>
        <w:spacing w:before="0" w:after="0" w:line="240"/>
        <w:ind w:right="0" w:left="0" w:firstLine="0"/>
        <w:jc w:val="both"/>
        <w:rPr>
          <w:rFonts w:ascii="仿宋" w:hAnsi="仿宋" w:cs="仿宋" w:eastAsia="仿宋"/>
          <w:b/>
          <w:color w:val="FF0000"/>
          <w:spacing w:val="0"/>
          <w:position w:val="0"/>
          <w:sz w:val="32"/>
          <w:shd w:fill="auto" w:val="clear"/>
        </w:rPr>
      </w:pPr>
      <w:r>
        <w:rPr>
          <w:rFonts w:ascii="仿宋" w:hAnsi="仿宋" w:cs="仿宋" w:eastAsia="仿宋"/>
          <w:color w:val="auto"/>
          <w:spacing w:val="0"/>
          <w:position w:val="0"/>
          <w:sz w:val="32"/>
          <w:shd w:fill="auto" w:val="clear"/>
        </w:rPr>
        <w:t xml:space="preserve">9、人造草坪依据（食品接触用塑料材料及制品）标准在高温70℃，4％乙酸，10％乙醇两种环境条件下对总迁移量的检测，结果均为未检出，并提供相应检测报告。</w:t>
      </w:r>
    </w:p>
    <w:p>
      <w:pPr>
        <w:spacing w:before="0" w:after="0" w:line="24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10、其它要求</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（1）竞价文件中供应商必须提供产品制造商加盖公章的售后承诺书、参数承诺函、产品检测报告及环保检测报告。</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（2）质量总要求：</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①质量要求：请注意采购需求清单中需要提供检测报告的产品，按要求提供检测报告、提供样品，否则报价无效。</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②质量保证期：本项目所采购产品须提供不少于四年的质保，质保期内有产品质量问题需免费维修；供货后由采购方指定的专业环保检测单位进行抽样检测，并通过且符合环保检测要求(如有害气体检测等)。技术要求另有约定的按约定执行。</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③现场勘察：请供应商于2025年7月25日当天14:00至17:00带盖公章的营业执照复印件和法人代表授权书、产品检测报告及环保检测报告、报价单详情、企业承诺书、并提供样品送达学校进行现场勘查，（样品会进行封存，后期中标单位需按提供的封存样品供货，未中标的样品请在中标公示后一周内自行到学校取回，逾期未取回视为放弃。）</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（3）竞价文件中供应商必须提供产品制造商加盖公章的售后承诺书、参数承诺函、产品检测报告及环保检测报告及企业承诺函。</w:t>
      </w:r>
    </w:p>
    <w:p>
      <w:pPr>
        <w:spacing w:before="0" w:after="0" w:line="240"/>
        <w:ind w:right="0" w:left="0" w:firstLine="643"/>
        <w:jc w:val="both"/>
        <w:rPr>
          <w:rFonts w:ascii="仿宋" w:hAnsi="仿宋" w:cs="仿宋" w:eastAsia="仿宋"/>
          <w:b/>
          <w:color w:val="auto"/>
          <w:spacing w:val="0"/>
          <w:position w:val="0"/>
          <w:sz w:val="32"/>
          <w:shd w:fill="000000" w:val="clear"/>
        </w:rPr>
      </w:pPr>
      <w:r>
        <w:rPr>
          <w:rFonts w:ascii="仿宋" w:hAnsi="仿宋" w:cs="仿宋" w:eastAsia="仿宋"/>
          <w:b/>
          <w:color w:val="FF0000"/>
          <w:spacing w:val="0"/>
          <w:position w:val="0"/>
          <w:sz w:val="32"/>
          <w:shd w:fill="auto" w:val="clear"/>
        </w:rPr>
        <w:t xml:space="preserve">注：“企业承诺函”需包含材料的真实性，如存在弄虚作假的材料需赔偿合同金额的30%，且必须法人签字盖章上传，否则认定竞价失败。</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（4）请严格按照各项竞价要求提交竞价文件，如未按以上要求提供资质证明材料的报价为无效报价，采购人有权不予以采纳。</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（5）报价应包含原草皮铲除和场地清理、铺设草皮、填细沙等所有工序。</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（6）整个采购过程产生的代理费和专家费及验收产生的所有费用均由供货方负责。</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（7）施工时机械不能碾压塑胶跑道，不能损坏学校其它施。施工作业请拍照留档，如果因施工原因损坏，由施工方赔偿或者修复。</w:t>
      </w:r>
    </w:p>
    <w:p>
      <w:pPr>
        <w:spacing w:before="0" w:after="0" w:line="240"/>
        <w:ind w:right="0" w:left="0" w:firstLine="5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（8）安装完成时间需在8月25日之前。</w:t>
      </w:r>
    </w:p>
    <w:p>
      <w:pPr>
        <w:spacing w:before="0" w:after="0" w:line="240"/>
        <w:ind w:right="0" w:left="0" w:firstLine="0"/>
        <w:jc w:val="both"/>
        <w:rPr>
          <w:rFonts w:ascii="仿宋" w:hAnsi="仿宋" w:cs="仿宋" w:eastAsia="仿宋"/>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