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A0D3065">
      <w:pPr>
        <w:ind w:right="-315" w:rightChars="-150"/>
        <w:jc w:val="center"/>
        <w:rPr>
          <w:rFonts w:ascii="仿宋" w:hAnsi="仿宋" w:eastAsia="仿宋" w:cs="仿宋"/>
          <w:b/>
          <w:bCs/>
          <w:color w:val="auto"/>
          <w:sz w:val="92"/>
          <w:szCs w:val="92"/>
          <w:highlight w:val="none"/>
          <w:u w:val="single"/>
          <w:vertAlign w:val="subscript"/>
        </w:rPr>
      </w:pPr>
    </w:p>
    <w:p w14:paraId="3D25F2EF">
      <w:pPr>
        <w:spacing w:line="400" w:lineRule="atLeast"/>
        <w:jc w:val="center"/>
        <w:rPr>
          <w:rFonts w:hint="eastAsia" w:ascii="宋体" w:hAnsi="宋体" w:eastAsia="宋体" w:cs="宋体"/>
          <w:b/>
          <w:color w:val="auto"/>
          <w:spacing w:val="-10"/>
          <w:sz w:val="52"/>
          <w:szCs w:val="52"/>
        </w:rPr>
      </w:pPr>
      <w:r>
        <w:rPr>
          <w:rFonts w:hint="eastAsia" w:ascii="宋体" w:hAnsi="宋体" w:cs="宋体"/>
          <w:b/>
          <w:color w:val="auto"/>
          <w:spacing w:val="-10"/>
          <w:sz w:val="52"/>
          <w:szCs w:val="52"/>
          <w:highlight w:val="none"/>
          <w:lang w:val="en-US" w:eastAsia="zh-CN"/>
        </w:rPr>
        <w:t>亭城玺悦里项目园林景观工程（红线内）石材采购</w:t>
      </w:r>
    </w:p>
    <w:p w14:paraId="340C8F43">
      <w:pPr>
        <w:spacing w:line="400" w:lineRule="atLeast"/>
        <w:jc w:val="center"/>
        <w:rPr>
          <w:rFonts w:hint="eastAsia" w:ascii="宋体" w:hAnsi="宋体" w:eastAsia="宋体" w:cs="宋体"/>
          <w:b/>
          <w:color w:val="auto"/>
          <w:spacing w:val="-10"/>
          <w:sz w:val="52"/>
          <w:szCs w:val="52"/>
        </w:rPr>
      </w:pPr>
    </w:p>
    <w:p w14:paraId="3A555F97">
      <w:pPr>
        <w:spacing w:line="400" w:lineRule="atLeast"/>
        <w:jc w:val="center"/>
        <w:rPr>
          <w:rFonts w:hint="eastAsia" w:ascii="宋体" w:hAnsi="宋体" w:eastAsia="宋体" w:cs="宋体"/>
          <w:b/>
          <w:color w:val="auto"/>
          <w:spacing w:val="-10"/>
          <w:sz w:val="52"/>
          <w:szCs w:val="52"/>
        </w:rPr>
      </w:pPr>
    </w:p>
    <w:p w14:paraId="6B8A6D1F">
      <w:pPr>
        <w:spacing w:line="400" w:lineRule="atLeast"/>
        <w:jc w:val="center"/>
        <w:rPr>
          <w:rFonts w:hint="eastAsia" w:ascii="宋体" w:hAnsi="宋体" w:eastAsia="宋体" w:cs="宋体"/>
          <w:b/>
          <w:color w:val="auto"/>
          <w:spacing w:val="-10"/>
          <w:sz w:val="52"/>
          <w:szCs w:val="52"/>
        </w:rPr>
      </w:pPr>
    </w:p>
    <w:p w14:paraId="793FBCB7">
      <w:pPr>
        <w:spacing w:line="400" w:lineRule="atLeast"/>
        <w:jc w:val="center"/>
        <w:rPr>
          <w:rFonts w:hint="eastAsia" w:ascii="宋体" w:hAnsi="宋体" w:eastAsia="宋体" w:cs="宋体"/>
          <w:b/>
          <w:bCs/>
          <w:color w:val="auto"/>
          <w:sz w:val="98"/>
        </w:rPr>
      </w:pPr>
      <w:r>
        <w:rPr>
          <w:rFonts w:hint="eastAsia" w:ascii="宋体" w:hAnsi="宋体" w:eastAsia="宋体" w:cs="宋体"/>
          <w:b/>
          <w:bCs/>
          <w:color w:val="auto"/>
          <w:sz w:val="98"/>
          <w:lang w:eastAsia="zh-CN"/>
        </w:rPr>
        <w:t>招</w:t>
      </w:r>
      <w:r>
        <w:rPr>
          <w:rFonts w:hint="eastAsia" w:ascii="宋体" w:hAnsi="宋体" w:eastAsia="宋体" w:cs="宋体"/>
          <w:b/>
          <w:bCs/>
          <w:color w:val="auto"/>
          <w:sz w:val="98"/>
          <w:lang w:val="en-US" w:eastAsia="zh-CN"/>
        </w:rPr>
        <w:t xml:space="preserve"> </w:t>
      </w:r>
      <w:r>
        <w:rPr>
          <w:rFonts w:hint="eastAsia" w:ascii="宋体" w:hAnsi="宋体" w:eastAsia="宋体" w:cs="宋体"/>
          <w:b/>
          <w:bCs/>
          <w:color w:val="auto"/>
          <w:sz w:val="98"/>
          <w:lang w:eastAsia="zh-CN"/>
        </w:rPr>
        <w:t>标</w:t>
      </w:r>
      <w:r>
        <w:rPr>
          <w:rFonts w:hint="eastAsia" w:ascii="宋体" w:hAnsi="宋体" w:eastAsia="宋体" w:cs="宋体"/>
          <w:b/>
          <w:bCs/>
          <w:color w:val="auto"/>
          <w:sz w:val="98"/>
        </w:rPr>
        <w:t xml:space="preserve"> 文 件</w:t>
      </w:r>
    </w:p>
    <w:p w14:paraId="11101DE5">
      <w:pPr>
        <w:spacing w:line="400" w:lineRule="atLeast"/>
        <w:ind w:firstLine="3694" w:firstLineChars="1150"/>
        <w:rPr>
          <w:rFonts w:hint="default" w:ascii="宋体" w:hAnsi="宋体" w:eastAsia="宋体" w:cs="宋体"/>
          <w:b/>
          <w:color w:val="auto"/>
          <w:sz w:val="32"/>
          <w:lang w:val="en-US" w:eastAsia="zh-CN"/>
        </w:rPr>
      </w:pPr>
      <w:r>
        <w:rPr>
          <w:rFonts w:hint="eastAsia" w:ascii="宋体" w:hAnsi="宋体" w:eastAsia="宋体" w:cs="宋体"/>
          <w:b/>
          <w:color w:val="auto"/>
          <w:sz w:val="32"/>
        </w:rPr>
        <w:t xml:space="preserve"> </w:t>
      </w:r>
      <w:r>
        <w:rPr>
          <w:rFonts w:hint="eastAsia" w:ascii="宋体" w:hAnsi="宋体" w:eastAsia="宋体" w:cs="宋体"/>
          <w:b/>
          <w:color w:val="auto"/>
          <w:sz w:val="32"/>
          <w:lang w:eastAsia="zh-CN"/>
        </w:rPr>
        <w:t>（</w:t>
      </w:r>
      <w:r>
        <w:rPr>
          <w:rFonts w:hint="eastAsia" w:ascii="宋体" w:hAnsi="宋体" w:eastAsia="宋体" w:cs="宋体"/>
          <w:b/>
          <w:color w:val="auto"/>
          <w:sz w:val="32"/>
          <w:lang w:val="en-US" w:eastAsia="zh-CN"/>
        </w:rPr>
        <w:t>公开招标）</w:t>
      </w:r>
    </w:p>
    <w:p w14:paraId="2CC6DB1D">
      <w:pPr>
        <w:spacing w:line="480" w:lineRule="exact"/>
        <w:rPr>
          <w:rFonts w:hint="eastAsia" w:ascii="宋体" w:hAnsi="宋体" w:eastAsia="宋体" w:cs="宋体"/>
          <w:b/>
          <w:bCs/>
          <w:color w:val="auto"/>
          <w:sz w:val="44"/>
        </w:rPr>
      </w:pPr>
    </w:p>
    <w:p w14:paraId="4DF7EE22">
      <w:pPr>
        <w:spacing w:line="480" w:lineRule="exact"/>
        <w:ind w:firstLine="643" w:firstLineChars="200"/>
        <w:jc w:val="center"/>
        <w:rPr>
          <w:rFonts w:hint="eastAsia" w:ascii="宋体" w:hAnsi="宋体" w:eastAsia="宋体" w:cs="宋体"/>
          <w:b/>
          <w:bCs/>
          <w:color w:val="auto"/>
          <w:sz w:val="32"/>
        </w:rPr>
      </w:pPr>
    </w:p>
    <w:p w14:paraId="7D077592">
      <w:pPr>
        <w:spacing w:line="480" w:lineRule="exact"/>
        <w:ind w:firstLine="472" w:firstLineChars="147"/>
        <w:rPr>
          <w:rFonts w:hint="eastAsia" w:ascii="宋体" w:hAnsi="宋体" w:eastAsia="宋体" w:cs="宋体"/>
          <w:b/>
          <w:bCs/>
          <w:color w:val="auto"/>
          <w:sz w:val="32"/>
        </w:rPr>
      </w:pPr>
    </w:p>
    <w:p w14:paraId="7EB1F684">
      <w:pPr>
        <w:spacing w:line="480" w:lineRule="exact"/>
        <w:ind w:firstLine="472" w:firstLineChars="147"/>
        <w:rPr>
          <w:rFonts w:hint="eastAsia" w:ascii="宋体" w:hAnsi="宋体" w:eastAsia="宋体" w:cs="宋体"/>
          <w:b/>
          <w:bCs/>
          <w:color w:val="auto"/>
          <w:sz w:val="32"/>
        </w:rPr>
      </w:pPr>
    </w:p>
    <w:p w14:paraId="191C9979">
      <w:pPr>
        <w:spacing w:line="480" w:lineRule="exact"/>
        <w:ind w:firstLine="472" w:firstLineChars="147"/>
        <w:rPr>
          <w:rFonts w:hint="eastAsia" w:ascii="宋体" w:hAnsi="宋体" w:eastAsia="宋体" w:cs="宋体"/>
          <w:b/>
          <w:bCs/>
          <w:color w:val="auto"/>
          <w:sz w:val="32"/>
        </w:rPr>
      </w:pPr>
    </w:p>
    <w:p w14:paraId="31BA6E05">
      <w:pPr>
        <w:adjustRightInd w:val="0"/>
        <w:snapToGrid w:val="0"/>
        <w:ind w:firstLine="358" w:firstLineChars="94"/>
        <w:rPr>
          <w:rFonts w:hint="eastAsia" w:ascii="宋体" w:hAnsi="宋体" w:eastAsia="宋体" w:cs="宋体"/>
          <w:b/>
          <w:color w:val="auto"/>
          <w:sz w:val="32"/>
          <w:u w:val="thick"/>
          <w:lang w:val="en-US" w:eastAsia="zh-CN"/>
        </w:rPr>
      </w:pPr>
      <w:r>
        <w:rPr>
          <w:rFonts w:hint="eastAsia" w:ascii="宋体" w:hAnsi="宋体" w:eastAsia="宋体" w:cs="宋体"/>
          <w:b/>
          <w:color w:val="auto"/>
          <w:spacing w:val="30"/>
          <w:sz w:val="32"/>
          <w:szCs w:val="32"/>
          <w:highlight w:val="none"/>
        </w:rPr>
        <w:t>招  标  人:</w:t>
      </w:r>
      <w:r>
        <w:rPr>
          <w:rFonts w:hint="eastAsia" w:ascii="宋体" w:hAnsi="宋体" w:eastAsia="宋体" w:cs="宋体"/>
          <w:color w:val="auto"/>
          <w:sz w:val="32"/>
          <w:highlight w:val="none"/>
          <w:u w:val="thick"/>
        </w:rPr>
        <w:t xml:space="preserve"> </w:t>
      </w:r>
      <w:r>
        <w:rPr>
          <w:rFonts w:hint="eastAsia" w:ascii="宋体" w:hAnsi="宋体" w:eastAsia="宋体" w:cs="宋体"/>
          <w:b/>
          <w:color w:val="auto"/>
          <w:sz w:val="32"/>
          <w:u w:val="thick"/>
        </w:rPr>
        <w:t xml:space="preserve"> </w:t>
      </w:r>
      <w:r>
        <w:rPr>
          <w:rFonts w:hint="eastAsia" w:ascii="宋体" w:hAnsi="宋体" w:cs="宋体"/>
          <w:b/>
          <w:color w:val="auto"/>
          <w:sz w:val="32"/>
          <w:u w:val="thick"/>
          <w:lang w:val="en-US" w:eastAsia="zh-CN"/>
        </w:rPr>
        <w:t xml:space="preserve">   滁州市园林绿化工程有限公司   </w:t>
      </w:r>
      <w:r>
        <w:rPr>
          <w:rFonts w:hint="eastAsia" w:ascii="宋体" w:hAnsi="宋体" w:eastAsia="宋体" w:cs="宋体"/>
          <w:b/>
          <w:color w:val="auto"/>
          <w:sz w:val="32"/>
          <w:u w:val="thick"/>
          <w:lang w:eastAsia="zh-CN"/>
        </w:rPr>
        <w:t>（盖章）</w:t>
      </w:r>
    </w:p>
    <w:p w14:paraId="32B920EA">
      <w:pPr>
        <w:adjustRightInd w:val="0"/>
        <w:snapToGrid w:val="0"/>
        <w:ind w:firstLine="723" w:firstLineChars="200"/>
        <w:rPr>
          <w:rFonts w:hint="eastAsia" w:ascii="宋体" w:hAnsi="宋体" w:eastAsia="宋体" w:cs="宋体"/>
          <w:b/>
          <w:color w:val="auto"/>
          <w:spacing w:val="20"/>
          <w:sz w:val="32"/>
          <w:u w:val="single"/>
        </w:rPr>
      </w:pPr>
    </w:p>
    <w:p w14:paraId="7802E41D">
      <w:pPr>
        <w:adjustRightInd w:val="0"/>
        <w:snapToGrid w:val="0"/>
        <w:rPr>
          <w:rFonts w:hint="eastAsia" w:ascii="宋体" w:hAnsi="宋体" w:eastAsia="宋体" w:cs="宋体"/>
          <w:b/>
          <w:color w:val="auto"/>
          <w:spacing w:val="20"/>
          <w:sz w:val="32"/>
        </w:rPr>
      </w:pPr>
    </w:p>
    <w:p w14:paraId="29DB1655">
      <w:pPr>
        <w:adjustRightInd w:val="0"/>
        <w:snapToGrid w:val="0"/>
        <w:spacing w:line="460" w:lineRule="exact"/>
        <w:ind w:firstLine="315" w:firstLineChars="98"/>
        <w:rPr>
          <w:rFonts w:hint="eastAsia" w:ascii="宋体" w:hAnsi="宋体" w:eastAsia="宋体" w:cs="宋体"/>
          <w:b/>
          <w:color w:val="auto"/>
          <w:sz w:val="32"/>
          <w:u w:val="thick"/>
          <w:lang w:val="en-US" w:eastAsia="zh-CN"/>
        </w:rPr>
      </w:pPr>
      <w:r>
        <w:rPr>
          <w:rFonts w:hint="eastAsia" w:ascii="宋体" w:hAnsi="宋体" w:eastAsia="宋体" w:cs="宋体"/>
          <w:b/>
          <w:color w:val="auto"/>
          <w:spacing w:val="0"/>
          <w:sz w:val="32"/>
        </w:rPr>
        <w:t>招标代理机构:</w:t>
      </w:r>
      <w:r>
        <w:rPr>
          <w:rFonts w:hint="eastAsia" w:ascii="宋体" w:hAnsi="宋体" w:eastAsia="宋体" w:cs="宋体"/>
          <w:b/>
          <w:color w:val="auto"/>
          <w:sz w:val="32"/>
          <w:u w:val="thick"/>
          <w:lang w:val="en-US" w:eastAsia="zh-CN"/>
        </w:rPr>
        <w:t xml:space="preserve">    滁州市城投工程咨询管理有限公司 （盖章）</w:t>
      </w:r>
    </w:p>
    <w:p w14:paraId="7EE11B5C">
      <w:pPr>
        <w:adjustRightInd w:val="0"/>
        <w:snapToGrid w:val="0"/>
        <w:spacing w:line="460" w:lineRule="exact"/>
        <w:ind w:firstLine="315" w:firstLineChars="98"/>
        <w:rPr>
          <w:rFonts w:hint="eastAsia" w:ascii="宋体" w:hAnsi="宋体" w:eastAsia="宋体" w:cs="宋体"/>
          <w:b/>
          <w:color w:val="auto"/>
          <w:sz w:val="32"/>
          <w:u w:val="thick"/>
          <w:lang w:val="en-US" w:eastAsia="zh-CN"/>
        </w:rPr>
      </w:pPr>
    </w:p>
    <w:p w14:paraId="50D88E74">
      <w:pPr>
        <w:adjustRightInd w:val="0"/>
        <w:snapToGrid w:val="0"/>
        <w:ind w:firstLine="900" w:firstLineChars="250"/>
        <w:rPr>
          <w:rFonts w:hint="eastAsia" w:ascii="宋体" w:hAnsi="宋体" w:eastAsia="宋体" w:cs="宋体"/>
          <w:color w:val="auto"/>
          <w:spacing w:val="20"/>
          <w:sz w:val="32"/>
          <w:u w:val="single"/>
        </w:rPr>
      </w:pPr>
    </w:p>
    <w:p w14:paraId="2D41B98B">
      <w:pPr>
        <w:adjustRightInd w:val="0"/>
        <w:snapToGrid w:val="0"/>
        <w:spacing w:line="460" w:lineRule="exact"/>
        <w:ind w:firstLine="354" w:firstLineChars="98"/>
        <w:rPr>
          <w:rFonts w:hint="eastAsia" w:ascii="宋体" w:hAnsi="宋体" w:eastAsia="宋体" w:cs="宋体"/>
          <w:b/>
          <w:color w:val="auto"/>
          <w:spacing w:val="20"/>
          <w:sz w:val="32"/>
          <w:szCs w:val="32"/>
        </w:rPr>
      </w:pPr>
      <w:r>
        <w:rPr>
          <w:rFonts w:hint="eastAsia" w:ascii="宋体" w:hAnsi="宋体" w:eastAsia="宋体" w:cs="宋体"/>
          <w:b/>
          <w:color w:val="auto"/>
          <w:spacing w:val="20"/>
          <w:sz w:val="32"/>
        </w:rPr>
        <w:t>发 布 日 期:</w:t>
      </w:r>
      <w:r>
        <w:rPr>
          <w:rFonts w:hint="eastAsia" w:ascii="宋体" w:hAnsi="宋体" w:eastAsia="宋体" w:cs="宋体"/>
          <w:b/>
          <w:color w:val="auto"/>
          <w:sz w:val="32"/>
          <w:u w:val="thick"/>
        </w:rPr>
        <w:t xml:space="preserve">         </w:t>
      </w:r>
      <w:r>
        <w:rPr>
          <w:rFonts w:hint="eastAsia" w:ascii="宋体" w:hAnsi="宋体" w:cs="宋体"/>
          <w:b/>
          <w:color w:val="auto"/>
          <w:sz w:val="32"/>
          <w:u w:val="thick"/>
          <w:lang w:val="en-US" w:eastAsia="zh-CN"/>
        </w:rPr>
        <w:t xml:space="preserve">2025年5月27日 </w:t>
      </w:r>
      <w:r>
        <w:rPr>
          <w:rFonts w:hint="eastAsia" w:ascii="宋体" w:hAnsi="宋体" w:cs="宋体"/>
          <w:b/>
          <w:color w:val="auto"/>
          <w:sz w:val="32"/>
          <w:u w:val="none"/>
          <w:lang w:val="en-US" w:eastAsia="zh-CN"/>
        </w:rPr>
        <w:t xml:space="preserve">    </w:t>
      </w:r>
      <w:r>
        <w:rPr>
          <w:rFonts w:hint="eastAsia" w:ascii="宋体" w:hAnsi="宋体" w:eastAsia="宋体" w:cs="宋体"/>
          <w:b/>
          <w:color w:val="auto"/>
          <w:sz w:val="32"/>
          <w:u w:val="none"/>
        </w:rPr>
        <w:t xml:space="preserve">      </w:t>
      </w:r>
      <w:r>
        <w:rPr>
          <w:rFonts w:hint="eastAsia" w:ascii="宋体" w:hAnsi="宋体" w:eastAsia="宋体" w:cs="宋体"/>
          <w:b/>
          <w:color w:val="auto"/>
          <w:sz w:val="32"/>
          <w:u w:val="thick"/>
        </w:rPr>
        <w:t xml:space="preserve">               </w:t>
      </w:r>
    </w:p>
    <w:p w14:paraId="2AB91967">
      <w:pPr>
        <w:adjustRightInd w:val="0"/>
        <w:snapToGrid w:val="0"/>
        <w:spacing w:line="460" w:lineRule="exact"/>
        <w:rPr>
          <w:rFonts w:hint="eastAsia" w:ascii="宋体" w:hAnsi="宋体" w:eastAsia="宋体" w:cs="宋体"/>
          <w:b/>
          <w:color w:val="auto"/>
          <w:spacing w:val="20"/>
          <w:sz w:val="32"/>
          <w:szCs w:val="32"/>
        </w:rPr>
      </w:pPr>
    </w:p>
    <w:p w14:paraId="46D906D8">
      <w:pPr>
        <w:jc w:val="center"/>
        <w:rPr>
          <w:rFonts w:hint="eastAsia" w:ascii="仿宋" w:hAnsi="仿宋" w:eastAsia="仿宋" w:cs="仿宋"/>
          <w:b/>
          <w:bCs/>
          <w:color w:val="auto"/>
          <w:sz w:val="28"/>
          <w:szCs w:val="28"/>
          <w:highlight w:val="none"/>
        </w:rPr>
      </w:pPr>
    </w:p>
    <w:p w14:paraId="41C6372C">
      <w:pPr>
        <w:jc w:val="center"/>
        <w:rPr>
          <w:rFonts w:hint="eastAsia" w:ascii="仿宋" w:hAnsi="仿宋" w:eastAsia="仿宋" w:cs="仿宋"/>
          <w:b/>
          <w:bCs/>
          <w:color w:val="auto"/>
          <w:sz w:val="32"/>
          <w:szCs w:val="32"/>
          <w:highlight w:val="none"/>
        </w:rPr>
      </w:pPr>
    </w:p>
    <w:p w14:paraId="623286D0">
      <w:pPr>
        <w:jc w:val="center"/>
        <w:rPr>
          <w:rFonts w:hint="eastAsia" w:ascii="仿宋" w:hAnsi="仿宋" w:eastAsia="仿宋" w:cs="仿宋"/>
          <w:b/>
          <w:bCs/>
          <w:color w:val="auto"/>
          <w:sz w:val="32"/>
          <w:szCs w:val="32"/>
          <w:highlight w:val="none"/>
        </w:rPr>
      </w:pPr>
    </w:p>
    <w:p w14:paraId="35094F88">
      <w:pPr>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目</w:t>
      </w:r>
      <w:r>
        <w:rPr>
          <w:rFonts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rPr>
        <w:t>录</w:t>
      </w:r>
    </w:p>
    <w:p w14:paraId="68A928CD">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 w:val="0"/>
          <w:bCs w:val="0"/>
          <w:color w:val="auto"/>
          <w:sz w:val="28"/>
          <w:szCs w:val="28"/>
          <w:highlight w:val="none"/>
        </w:rPr>
        <w:fldChar w:fldCharType="begin"/>
      </w:r>
      <w:r>
        <w:rPr>
          <w:rFonts w:hint="eastAsia" w:ascii="宋体" w:hAnsi="宋体" w:eastAsia="宋体" w:cs="宋体"/>
          <w:b w:val="0"/>
          <w:bCs w:val="0"/>
          <w:color w:val="auto"/>
          <w:sz w:val="28"/>
          <w:szCs w:val="28"/>
          <w:highlight w:val="none"/>
        </w:rPr>
        <w:instrText xml:space="preserve">TOC \o "1-2" \h \u </w:instrText>
      </w:r>
      <w:r>
        <w:rPr>
          <w:rFonts w:hint="eastAsia" w:ascii="宋体" w:hAnsi="宋体" w:eastAsia="宋体" w:cs="宋体"/>
          <w:b w:val="0"/>
          <w:bCs w:val="0"/>
          <w:color w:val="auto"/>
          <w:sz w:val="28"/>
          <w:szCs w:val="28"/>
          <w:highlight w:val="none"/>
        </w:rPr>
        <w:fldChar w:fldCharType="separate"/>
      </w: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_Toc4340 </w:instrText>
      </w:r>
      <w:r>
        <w:rPr>
          <w:rFonts w:hint="eastAsia" w:ascii="宋体" w:hAnsi="宋体" w:eastAsia="宋体" w:cs="宋体"/>
          <w:bCs w:val="0"/>
          <w:sz w:val="28"/>
          <w:szCs w:val="28"/>
          <w:highlight w:val="none"/>
        </w:rPr>
        <w:fldChar w:fldCharType="separate"/>
      </w:r>
      <w:r>
        <w:rPr>
          <w:rFonts w:hint="eastAsia" w:ascii="宋体" w:hAnsi="宋体" w:eastAsia="宋体" w:cs="宋体"/>
          <w:bCs/>
          <w:sz w:val="28"/>
          <w:szCs w:val="28"/>
          <w:highlight w:val="none"/>
        </w:rPr>
        <w:t>招标公告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_Toc4340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45378531">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_Toc2965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一</w:t>
      </w:r>
      <w:r>
        <w:rPr>
          <w:rFonts w:hint="eastAsia" w:ascii="宋体" w:hAnsi="宋体" w:eastAsia="宋体" w:cs="宋体"/>
          <w:sz w:val="28"/>
          <w:szCs w:val="28"/>
          <w:highlight w:val="none"/>
        </w:rPr>
        <w:t>章投标须知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_Toc2965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60B53B82">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_Toc2909 </w:instrText>
      </w:r>
      <w:r>
        <w:rPr>
          <w:rFonts w:hint="eastAsia" w:ascii="宋体" w:hAnsi="宋体" w:eastAsia="宋体" w:cs="宋体"/>
          <w:bCs w:val="0"/>
          <w:sz w:val="28"/>
          <w:szCs w:val="28"/>
          <w:highlight w:val="none"/>
        </w:rPr>
        <w:fldChar w:fldCharType="separate"/>
      </w:r>
      <w:r>
        <w:rPr>
          <w:rFonts w:hint="eastAsia" w:ascii="宋体" w:hAnsi="宋体" w:eastAsia="宋体" w:cs="宋体"/>
          <w:bCs/>
          <w:sz w:val="28"/>
          <w:szCs w:val="28"/>
        </w:rPr>
        <w:t xml:space="preserve">第二章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资格审查办法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_Toc2909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63E72826">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_Toc27913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lang w:val="en-US" w:eastAsia="zh-CN"/>
        </w:rPr>
        <w:t>第三章  评标办法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_Toc27913 \h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799EB4AD">
      <w:pPr>
        <w:pStyle w:val="40"/>
        <w:tabs>
          <w:tab w:val="right" w:leader="dot" w:pos="9541"/>
        </w:tabs>
        <w:ind w:left="0" w:leftChars="0" w:firstLine="0" w:firstLineChars="0"/>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_Toc78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四</w:t>
      </w:r>
      <w:r>
        <w:rPr>
          <w:rFonts w:hint="eastAsia" w:ascii="宋体" w:hAnsi="宋体" w:eastAsia="宋体" w:cs="宋体"/>
          <w:sz w:val="28"/>
          <w:szCs w:val="28"/>
          <w:highlight w:val="none"/>
        </w:rPr>
        <w:t>章  合同条款及格式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_Toc78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64462EAD">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_Toc12494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lang w:val="en-US" w:eastAsia="zh-CN"/>
        </w:rPr>
        <w:t>第五章投标文件格式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_Toc12494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0FA54D12">
      <w:pPr>
        <w:pStyle w:val="33"/>
        <w:tabs>
          <w:tab w:val="right" w:leader="dot" w:pos="9541"/>
          <w:tab w:val="clear" w:pos="8296"/>
        </w:tabs>
        <w:rPr>
          <w:rFonts w:hint="eastAsia" w:ascii="宋体" w:hAnsi="宋体" w:eastAsia="宋体" w:cs="宋体"/>
          <w:sz w:val="28"/>
          <w:szCs w:val="28"/>
        </w:rPr>
      </w:pPr>
      <w:r>
        <w:rPr>
          <w:rFonts w:hint="eastAsia" w:ascii="宋体" w:hAnsi="宋体" w:eastAsia="宋体" w:cs="宋体"/>
          <w:bCs w:val="0"/>
          <w:color w:val="auto"/>
          <w:sz w:val="28"/>
          <w:szCs w:val="28"/>
          <w:highlight w:val="none"/>
        </w:rPr>
        <w:fldChar w:fldCharType="begin"/>
      </w:r>
      <w:r>
        <w:rPr>
          <w:rFonts w:hint="eastAsia" w:ascii="宋体" w:hAnsi="宋体" w:eastAsia="宋体" w:cs="宋体"/>
          <w:bCs w:val="0"/>
          <w:sz w:val="28"/>
          <w:szCs w:val="28"/>
          <w:highlight w:val="none"/>
        </w:rPr>
        <w:instrText xml:space="preserve"> HYPERLINK \l _Toc13863 </w:instrText>
      </w:r>
      <w:r>
        <w:rPr>
          <w:rFonts w:hint="eastAsia" w:ascii="宋体" w:hAnsi="宋体" w:eastAsia="宋体" w:cs="宋体"/>
          <w:bCs w:val="0"/>
          <w:sz w:val="28"/>
          <w:szCs w:val="28"/>
          <w:highlight w:val="none"/>
        </w:rPr>
        <w:fldChar w:fldCharType="separate"/>
      </w:r>
      <w:r>
        <w:rPr>
          <w:rFonts w:hint="eastAsia" w:ascii="宋体" w:hAnsi="宋体" w:eastAsia="宋体" w:cs="宋体"/>
          <w:sz w:val="28"/>
          <w:szCs w:val="28"/>
          <w:highlight w:val="none"/>
          <w:lang w:val="en-US" w:eastAsia="zh-CN"/>
        </w:rPr>
        <w:t>第六章招标单位、招标代理机构对本招标文件的确认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_Toc13863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bCs w:val="0"/>
          <w:color w:val="auto"/>
          <w:sz w:val="28"/>
          <w:szCs w:val="28"/>
          <w:highlight w:val="none"/>
        </w:rPr>
        <w:fldChar w:fldCharType="end"/>
      </w:r>
    </w:p>
    <w:p w14:paraId="70F828E3">
      <w:pPr>
        <w:pStyle w:val="2"/>
        <w:spacing w:before="0" w:after="0" w:line="480" w:lineRule="auto"/>
        <w:jc w:val="both"/>
        <w:rPr>
          <w:rFonts w:hint="default" w:ascii="仿宋" w:eastAsia="宋体" w:cs="仿宋"/>
          <w:b w:val="0"/>
          <w:bCs w:val="0"/>
          <w:color w:val="auto"/>
          <w:sz w:val="24"/>
          <w:szCs w:val="24"/>
          <w:highlight w:val="none"/>
          <w:lang w:val="en-US" w:eastAsia="zh-CN"/>
        </w:rPr>
      </w:pPr>
      <w:r>
        <w:rPr>
          <w:rFonts w:hint="eastAsia" w:ascii="宋体" w:hAnsi="宋体" w:eastAsia="宋体" w:cs="宋体"/>
          <w:bCs w:val="0"/>
          <w:color w:val="auto"/>
          <w:sz w:val="28"/>
          <w:szCs w:val="28"/>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1EF5A411">
      <w:pPr>
        <w:rPr>
          <w:color w:val="auto"/>
          <w:highlight w:val="none"/>
        </w:rPr>
        <w:sectPr>
          <w:footerReference r:id="rId5" w:type="first"/>
          <w:headerReference r:id="rId3" w:type="default"/>
          <w:footerReference r:id="rId4" w:type="default"/>
          <w:pgSz w:w="11906" w:h="16838"/>
          <w:pgMar w:top="935" w:right="1106" w:bottom="936"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0DD821C9">
      <w:pPr>
        <w:pStyle w:val="2"/>
        <w:keepNext/>
        <w:keepLines/>
        <w:pageBreakBefore w:val="0"/>
        <w:widowControl w:val="0"/>
        <w:kinsoku/>
        <w:wordWrap w:val="0"/>
        <w:overflowPunct/>
        <w:topLinePunct w:val="0"/>
        <w:autoSpaceDE/>
        <w:autoSpaceDN/>
        <w:bidi w:val="0"/>
        <w:adjustRightInd w:val="0"/>
        <w:snapToGrid w:val="0"/>
        <w:spacing w:before="0" w:after="0" w:line="440" w:lineRule="exact"/>
        <w:jc w:val="center"/>
        <w:textAlignment w:val="auto"/>
        <w:rPr>
          <w:rFonts w:hint="eastAsia" w:ascii="宋体" w:hAnsi="宋体" w:eastAsia="宋体" w:cs="宋体"/>
          <w:bCs/>
          <w:color w:val="auto"/>
          <w:sz w:val="36"/>
          <w:szCs w:val="36"/>
          <w:highlight w:val="none"/>
        </w:rPr>
      </w:pPr>
      <w:bookmarkStart w:id="0" w:name="_Toc4340"/>
      <w:r>
        <w:rPr>
          <w:rFonts w:hint="eastAsia" w:ascii="宋体" w:hAnsi="宋体" w:eastAsia="宋体" w:cs="宋体"/>
          <w:bCs/>
          <w:color w:val="auto"/>
          <w:sz w:val="36"/>
          <w:szCs w:val="36"/>
          <w:highlight w:val="none"/>
          <w:lang w:eastAsia="zh-CN"/>
        </w:rPr>
        <w:t>亭城玺悦里项目园林景观工程（红线内）石材采购</w:t>
      </w:r>
      <w:r>
        <w:rPr>
          <w:rFonts w:hint="eastAsia" w:ascii="宋体" w:hAnsi="宋体" w:eastAsia="宋体" w:cs="宋体"/>
          <w:bCs/>
          <w:color w:val="auto"/>
          <w:sz w:val="36"/>
          <w:szCs w:val="36"/>
          <w:highlight w:val="none"/>
        </w:rPr>
        <w:t>招标公告</w:t>
      </w:r>
      <w:bookmarkEnd w:id="0"/>
    </w:p>
    <w:tbl>
      <w:tblPr>
        <w:tblStyle w:val="47"/>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529"/>
        <w:gridCol w:w="2597"/>
        <w:gridCol w:w="525"/>
        <w:gridCol w:w="2123"/>
        <w:gridCol w:w="2872"/>
      </w:tblGrid>
      <w:tr w14:paraId="632B5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001" w:type="dxa"/>
            <w:gridSpan w:val="2"/>
            <w:noWrap w:val="0"/>
            <w:vAlign w:val="center"/>
          </w:tcPr>
          <w:p w14:paraId="7BC5E32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招标项目名称</w:t>
            </w:r>
          </w:p>
        </w:tc>
        <w:tc>
          <w:tcPr>
            <w:tcW w:w="8117" w:type="dxa"/>
            <w:gridSpan w:val="4"/>
            <w:noWrap w:val="0"/>
            <w:vAlign w:val="center"/>
          </w:tcPr>
          <w:p w14:paraId="5DFD2539">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cs="宋体"/>
                <w:color w:val="auto"/>
                <w:kern w:val="0"/>
                <w:szCs w:val="21"/>
                <w:lang w:val="en-US" w:eastAsia="zh-CN"/>
              </w:rPr>
              <w:t>亭城玺悦里项目园林景观工程（红线内）石材采购</w:t>
            </w:r>
          </w:p>
        </w:tc>
      </w:tr>
      <w:tr w14:paraId="2699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56375FC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招标方式</w:t>
            </w:r>
          </w:p>
        </w:tc>
        <w:tc>
          <w:tcPr>
            <w:tcW w:w="8117" w:type="dxa"/>
            <w:gridSpan w:val="4"/>
            <w:noWrap w:val="0"/>
            <w:vAlign w:val="center"/>
          </w:tcPr>
          <w:p w14:paraId="028DD97B">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公开招标</w:t>
            </w:r>
          </w:p>
        </w:tc>
      </w:tr>
      <w:tr w14:paraId="3253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5" w:hRule="atLeast"/>
          <w:jc w:val="center"/>
        </w:trPr>
        <w:tc>
          <w:tcPr>
            <w:tcW w:w="2001" w:type="dxa"/>
            <w:gridSpan w:val="2"/>
            <w:noWrap w:val="0"/>
            <w:vAlign w:val="center"/>
          </w:tcPr>
          <w:p w14:paraId="4044FAA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投标人资格要求</w:t>
            </w:r>
          </w:p>
        </w:tc>
        <w:tc>
          <w:tcPr>
            <w:tcW w:w="8117" w:type="dxa"/>
            <w:gridSpan w:val="4"/>
            <w:noWrap w:val="0"/>
            <w:vAlign w:val="center"/>
          </w:tcPr>
          <w:p w14:paraId="50F7DC5A">
            <w:pPr>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.具有独立法人资格</w:t>
            </w:r>
            <w:r>
              <w:rPr>
                <w:rFonts w:hint="eastAsia" w:ascii="宋体" w:hAnsi="宋体" w:cs="宋体"/>
                <w:color w:val="auto"/>
                <w:kern w:val="0"/>
                <w:szCs w:val="21"/>
                <w:lang w:val="en-US" w:eastAsia="zh-CN"/>
              </w:rPr>
              <w:t>和供货能力的企业；</w:t>
            </w:r>
          </w:p>
          <w:p w14:paraId="3F30F6B5">
            <w:pPr>
              <w:pStyle w:val="25"/>
              <w:pageBreakBefore w:val="0"/>
              <w:kinsoku/>
              <w:wordWrap/>
              <w:overflowPunct/>
              <w:topLinePunct w:val="0"/>
              <w:autoSpaceDE/>
              <w:autoSpaceDN/>
              <w:bidi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2.投标人存在以下情形之一的，不得被确定为中标人：</w:t>
            </w:r>
          </w:p>
          <w:p w14:paraId="662B9E28">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①被列入“信用中国”网站“失信被执行人”的;</w:t>
            </w:r>
          </w:p>
          <w:p w14:paraId="36F727BE">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②被列入“信用中国”网站“重大税收违法失信主体”的；</w:t>
            </w:r>
          </w:p>
          <w:p w14:paraId="4B1B28F6">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③被列入“信用中国”网站“拖欠农民工工资失信联合惩戒对象名单”的；</w:t>
            </w:r>
          </w:p>
          <w:p w14:paraId="7956BB22">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④被列入“信用中国”网站 “严重失信主体名单”的；</w:t>
            </w:r>
          </w:p>
          <w:p w14:paraId="250DED2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⑤在“信用中国”网站上披露的仍在公示期的严重失信行为（具体行为类别及判定依据见附件2）的。</w:t>
            </w:r>
          </w:p>
          <w:p w14:paraId="646B30E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⑥被列入国家企业信用信息公示系统网站“经营异常名录”或者“严重违法失信名单”的。</w:t>
            </w:r>
          </w:p>
          <w:p w14:paraId="52DABB9A">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⑦前三年有行贿犯罪行为的单位和个人；</w:t>
            </w:r>
          </w:p>
          <w:p w14:paraId="138709DF">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⑧被滁州市县两级公管部门及各行业主管部门取消在一定期限内的投标资格且在取消期限内的；</w:t>
            </w:r>
          </w:p>
          <w:p w14:paraId="10189479">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⑨因拖欠农民工工资被县级及以上有关行政主管部门限制投标资格且在限制期限内的；</w:t>
            </w:r>
          </w:p>
          <w:p w14:paraId="2274BCB5">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eastAsia="宋体" w:cs="宋体"/>
                <w:bCs/>
                <w:color w:val="auto"/>
                <w:kern w:val="1"/>
                <w:sz w:val="21"/>
                <w:szCs w:val="21"/>
                <w:highlight w:val="none"/>
                <w:lang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CF675DF">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val="en-US" w:eastAsia="zh-CN"/>
              </w:rPr>
              <w:t>3.</w:t>
            </w:r>
            <w:r>
              <w:rPr>
                <w:rFonts w:hint="eastAsia" w:ascii="宋体" w:hAnsi="宋体" w:eastAsia="宋体" w:cs="宋体"/>
                <w:bCs/>
                <w:color w:val="auto"/>
                <w:kern w:val="1"/>
                <w:sz w:val="21"/>
                <w:szCs w:val="21"/>
                <w:highlight w:val="none"/>
                <w:lang w:eastAsia="zh-CN"/>
              </w:rPr>
              <w:t>投标人所属分公司、办事处等分支机构存在第2条信誉要求①-⑩项情形之一的，接受其被确定为中标人。</w:t>
            </w:r>
          </w:p>
          <w:p w14:paraId="6234B71C">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eastAsia="zh-CN"/>
              </w:rPr>
            </w:pPr>
            <w:r>
              <w:rPr>
                <w:rFonts w:hint="eastAsia" w:ascii="宋体" w:hAnsi="宋体" w:cs="宋体"/>
                <w:bCs/>
                <w:color w:val="auto"/>
                <w:kern w:val="1"/>
                <w:sz w:val="21"/>
                <w:szCs w:val="21"/>
                <w:highlight w:val="none"/>
                <w:lang w:val="en-US" w:eastAsia="zh-CN"/>
              </w:rPr>
              <w:t>4.</w:t>
            </w:r>
            <w:r>
              <w:rPr>
                <w:rFonts w:hint="eastAsia" w:ascii="宋体" w:hAnsi="宋体" w:eastAsia="宋体" w:cs="宋体"/>
                <w:bCs/>
                <w:color w:val="auto"/>
                <w:kern w:val="1"/>
                <w:sz w:val="21"/>
                <w:szCs w:val="21"/>
                <w:highlight w:val="none"/>
                <w:lang w:eastAsia="zh-CN"/>
              </w:rPr>
              <w:t xml:space="preserve">特别说明：凡是虚假承诺或业绩经查实后属造假的终身列入企业投标限制范围，包括此公司法人所有注册的公司均属于限制投标企业。至投标截止时间前被列入分包单位黑名单的企业将被限制投标并拒绝其投标（分包单位黑名单见亭城文旅官网https://www.tcwljt.com/display.php?id=2221）。 </w:t>
            </w:r>
          </w:p>
        </w:tc>
      </w:tr>
      <w:tr w14:paraId="741A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16E012DA">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是否接受联合体投标</w:t>
            </w:r>
          </w:p>
        </w:tc>
        <w:tc>
          <w:tcPr>
            <w:tcW w:w="8117" w:type="dxa"/>
            <w:gridSpan w:val="4"/>
            <w:noWrap w:val="0"/>
            <w:vAlign w:val="center"/>
          </w:tcPr>
          <w:p w14:paraId="6EF5C1A5">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不接受</w:t>
            </w:r>
          </w:p>
        </w:tc>
      </w:tr>
      <w:tr w14:paraId="1FA9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46E6899E">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标段划分</w:t>
            </w:r>
          </w:p>
        </w:tc>
        <w:tc>
          <w:tcPr>
            <w:tcW w:w="8117" w:type="dxa"/>
            <w:gridSpan w:val="4"/>
            <w:noWrap w:val="0"/>
            <w:vAlign w:val="center"/>
          </w:tcPr>
          <w:p w14:paraId="60C5DD0F">
            <w:pPr>
              <w:rPr>
                <w:rFonts w:hint="default"/>
                <w:lang w:val="en-US" w:eastAsia="zh-CN"/>
              </w:rPr>
            </w:pPr>
            <w:r>
              <w:rPr>
                <w:rFonts w:hint="eastAsia" w:hAnsi="宋体" w:cs="宋体"/>
                <w:color w:val="auto"/>
                <w:kern w:val="0"/>
                <w:sz w:val="21"/>
                <w:szCs w:val="21"/>
                <w:lang w:val="en-US" w:eastAsia="zh-CN"/>
              </w:rPr>
              <w:t>一</w:t>
            </w:r>
            <w:r>
              <w:rPr>
                <w:rFonts w:hint="eastAsia" w:ascii="宋体" w:hAnsi="宋体" w:eastAsia="宋体" w:cs="宋体"/>
                <w:color w:val="auto"/>
                <w:kern w:val="0"/>
                <w:sz w:val="21"/>
                <w:szCs w:val="21"/>
                <w:lang w:val="en-US" w:eastAsia="zh-CN"/>
              </w:rPr>
              <w:t>个标段</w:t>
            </w:r>
          </w:p>
        </w:tc>
      </w:tr>
      <w:tr w14:paraId="34B4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0302F06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招标项目规模</w:t>
            </w:r>
          </w:p>
        </w:tc>
        <w:tc>
          <w:tcPr>
            <w:tcW w:w="8117" w:type="dxa"/>
            <w:gridSpan w:val="4"/>
            <w:noWrap w:val="0"/>
            <w:vAlign w:val="center"/>
          </w:tcPr>
          <w:p w14:paraId="1FAF25BA">
            <w:pPr>
              <w:pStyle w:val="25"/>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lang w:val="en-US" w:eastAsia="zh-CN"/>
              </w:rPr>
            </w:pPr>
            <w:r>
              <w:rPr>
                <w:rFonts w:hint="eastAsia" w:hAnsi="宋体" w:cs="宋体"/>
                <w:color w:val="auto"/>
                <w:kern w:val="0"/>
                <w:sz w:val="21"/>
                <w:szCs w:val="21"/>
                <w:lang w:val="en-US" w:eastAsia="zh-CN"/>
              </w:rPr>
              <w:t>石材采购</w:t>
            </w:r>
            <w:r>
              <w:rPr>
                <w:rFonts w:hint="eastAsia" w:ascii="宋体" w:hAnsi="宋体" w:eastAsia="宋体" w:cs="宋体"/>
                <w:color w:val="auto"/>
                <w:kern w:val="0"/>
                <w:sz w:val="21"/>
                <w:szCs w:val="21"/>
                <w:lang w:val="en-US" w:eastAsia="zh-CN"/>
              </w:rPr>
              <w:t>，项目预算</w:t>
            </w:r>
            <w:r>
              <w:rPr>
                <w:rFonts w:hint="eastAsia" w:hAnsi="宋体" w:cs="宋体"/>
                <w:color w:val="auto"/>
                <w:kern w:val="0"/>
                <w:sz w:val="21"/>
                <w:szCs w:val="21"/>
                <w:lang w:val="en-US" w:eastAsia="zh-CN"/>
              </w:rPr>
              <w:t>1336356.44</w:t>
            </w:r>
            <w:r>
              <w:rPr>
                <w:rFonts w:hint="eastAsia" w:ascii="宋体" w:hAnsi="宋体" w:eastAsia="宋体" w:cs="宋体"/>
                <w:color w:val="auto"/>
                <w:kern w:val="0"/>
                <w:sz w:val="21"/>
                <w:szCs w:val="21"/>
                <w:lang w:val="en-US" w:eastAsia="zh-CN"/>
              </w:rPr>
              <w:t>元，最终按实际结算。</w:t>
            </w:r>
          </w:p>
        </w:tc>
      </w:tr>
      <w:tr w14:paraId="0F51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711A709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招标项目内容范围</w:t>
            </w:r>
          </w:p>
        </w:tc>
        <w:tc>
          <w:tcPr>
            <w:tcW w:w="8117" w:type="dxa"/>
            <w:gridSpan w:val="4"/>
            <w:noWrap w:val="0"/>
            <w:vAlign w:val="center"/>
          </w:tcPr>
          <w:p w14:paraId="431DE7B5">
            <w:pPr>
              <w:pStyle w:val="25"/>
              <w:keepNext w:val="0"/>
              <w:keepLines w:val="0"/>
              <w:pageBreakBefore w:val="0"/>
              <w:kinsoku/>
              <w:wordWrap/>
              <w:overflowPunct/>
              <w:topLinePunct w:val="0"/>
              <w:autoSpaceDE/>
              <w:autoSpaceDN/>
              <w:bidi w:val="0"/>
              <w:spacing w:line="460" w:lineRule="exact"/>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根据招标人提供的招标工程量清单内的全部内容。</w:t>
            </w:r>
          </w:p>
        </w:tc>
      </w:tr>
      <w:tr w14:paraId="79A4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4EF34D1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招标文件获取时间</w:t>
            </w:r>
          </w:p>
        </w:tc>
        <w:tc>
          <w:tcPr>
            <w:tcW w:w="8117" w:type="dxa"/>
            <w:gridSpan w:val="4"/>
            <w:noWrap w:val="0"/>
            <w:vAlign w:val="center"/>
          </w:tcPr>
          <w:p w14:paraId="763E15CF">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lang w:val="en-US" w:eastAsia="zh-CN"/>
              </w:rPr>
            </w:pPr>
            <w:r>
              <w:rPr>
                <w:rFonts w:hint="eastAsia" w:hAnsi="宋体" w:cs="宋体"/>
                <w:b/>
                <w:bCs/>
                <w:color w:val="auto"/>
                <w:kern w:val="0"/>
                <w:sz w:val="21"/>
                <w:szCs w:val="21"/>
                <w:lang w:val="en-US" w:eastAsia="zh-CN"/>
              </w:rPr>
              <w:t>2025年5月27日</w:t>
            </w:r>
            <w:r>
              <w:rPr>
                <w:rFonts w:hint="eastAsia" w:ascii="宋体" w:hAnsi="宋体" w:eastAsia="宋体" w:cs="宋体"/>
                <w:b/>
                <w:bCs/>
                <w:color w:val="auto"/>
                <w:kern w:val="0"/>
                <w:sz w:val="21"/>
                <w:szCs w:val="21"/>
                <w:lang w:val="en-US" w:eastAsia="zh-CN"/>
              </w:rPr>
              <w:t>-</w:t>
            </w:r>
            <w:r>
              <w:rPr>
                <w:rFonts w:hint="eastAsia" w:hAnsi="宋体" w:cs="宋体"/>
                <w:b/>
                <w:bCs/>
                <w:color w:val="auto"/>
                <w:kern w:val="0"/>
                <w:sz w:val="21"/>
                <w:szCs w:val="21"/>
                <w:lang w:val="en-US" w:eastAsia="zh-CN"/>
              </w:rPr>
              <w:t>2025年5月30日</w:t>
            </w:r>
          </w:p>
        </w:tc>
      </w:tr>
      <w:tr w14:paraId="41292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6B77F591">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招标文件获取方式</w:t>
            </w:r>
          </w:p>
        </w:tc>
        <w:tc>
          <w:tcPr>
            <w:tcW w:w="8117" w:type="dxa"/>
            <w:gridSpan w:val="4"/>
            <w:noWrap w:val="0"/>
            <w:vAlign w:val="center"/>
          </w:tcPr>
          <w:p w14:paraId="5CFEBFFF">
            <w:pPr>
              <w:keepNext w:val="0"/>
              <w:keepLines w:val="0"/>
              <w:pageBreakBefore w:val="0"/>
              <w:kinsoku/>
              <w:wordWrap/>
              <w:overflowPunct/>
              <w:topLinePunct w:val="0"/>
              <w:autoSpaceDE/>
              <w:autoSpaceDN/>
              <w:bidi w:val="0"/>
              <w:spacing w:line="44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val="0"/>
                <w:color w:val="auto"/>
                <w:sz w:val="21"/>
                <w:szCs w:val="21"/>
                <w:highlight w:val="none"/>
                <w:lang w:val="en-US" w:eastAsia="zh-CN"/>
              </w:rPr>
              <w:t>网上下载</w:t>
            </w:r>
            <w:r>
              <w:rPr>
                <w:rFonts w:hint="eastAsia" w:ascii="宋体" w:hAnsi="宋体" w:cs="宋体"/>
                <w:b w:val="0"/>
                <w:bCs w:val="0"/>
                <w:color w:val="auto"/>
                <w:sz w:val="21"/>
                <w:szCs w:val="21"/>
                <w:highlight w:val="none"/>
                <w:lang w:val="en-US" w:eastAsia="zh-CN"/>
              </w:rPr>
              <w:t>，</w:t>
            </w:r>
            <w:r>
              <w:rPr>
                <w:rFonts w:hint="eastAsia" w:ascii="宋体" w:hAnsi="宋体" w:eastAsia="宋体" w:cs="宋体"/>
                <w:color w:val="auto"/>
                <w:sz w:val="21"/>
                <w:szCs w:val="21"/>
                <w:highlight w:val="none"/>
                <w:lang w:bidi="ar"/>
              </w:rPr>
              <w:t>滁州市亭城文化旅游投资集团有限公司网站（http://www.tcwljt.com/default.php）</w:t>
            </w:r>
            <w:r>
              <w:rPr>
                <w:rFonts w:hint="eastAsia" w:ascii="宋体" w:hAnsi="宋体" w:cs="宋体"/>
                <w:color w:val="auto"/>
                <w:sz w:val="21"/>
                <w:szCs w:val="21"/>
                <w:highlight w:val="none"/>
                <w:lang w:eastAsia="zh-CN" w:bidi="ar"/>
              </w:rPr>
              <w:t>、</w:t>
            </w: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城投工程咨询管理</w:t>
            </w:r>
            <w:r>
              <w:rPr>
                <w:rFonts w:hint="eastAsia" w:ascii="宋体" w:hAnsi="宋体" w:cs="宋体"/>
                <w:color w:val="auto"/>
                <w:highlight w:val="none"/>
                <w:lang w:eastAsia="zh-CN"/>
              </w:rPr>
              <w:t>有限责任公司</w:t>
            </w:r>
            <w:r>
              <w:rPr>
                <w:rFonts w:hint="eastAsia" w:ascii="宋体" w:hAnsi="宋体" w:cs="宋体"/>
                <w:color w:val="auto"/>
                <w:highlight w:val="none"/>
              </w:rPr>
              <w:t>网站（https://www.czctgczx.com/）</w:t>
            </w:r>
            <w:r>
              <w:rPr>
                <w:rFonts w:hint="eastAsia" w:ascii="宋体" w:hAnsi="宋体" w:cs="宋体"/>
                <w:color w:val="auto"/>
                <w:highlight w:val="none"/>
                <w:lang w:eastAsia="zh-CN"/>
              </w:rPr>
              <w:t>。</w:t>
            </w:r>
          </w:p>
        </w:tc>
      </w:tr>
      <w:tr w14:paraId="33F3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5DBCD557">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递交投标文件的</w:t>
            </w:r>
          </w:p>
          <w:p w14:paraId="25BD18A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截止时间</w:t>
            </w:r>
          </w:p>
        </w:tc>
        <w:tc>
          <w:tcPr>
            <w:tcW w:w="8117" w:type="dxa"/>
            <w:gridSpan w:val="4"/>
            <w:noWrap w:val="0"/>
            <w:vAlign w:val="center"/>
          </w:tcPr>
          <w:p w14:paraId="4D345648">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lang w:val="en-US" w:eastAsia="zh-CN"/>
              </w:rPr>
            </w:pPr>
            <w:bookmarkStart w:id="102" w:name="_GoBack"/>
            <w:bookmarkEnd w:id="102"/>
            <w:r>
              <w:rPr>
                <w:rFonts w:hint="eastAsia" w:hAnsi="宋体" w:cs="宋体"/>
                <w:b/>
                <w:bCs/>
                <w:color w:val="auto"/>
                <w:kern w:val="0"/>
                <w:sz w:val="21"/>
                <w:szCs w:val="21"/>
                <w:lang w:val="en-US" w:eastAsia="zh-CN"/>
              </w:rPr>
              <w:t>2025年5月30日15时30分</w:t>
            </w:r>
          </w:p>
        </w:tc>
      </w:tr>
      <w:tr w14:paraId="028E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70A4947A">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开标时间</w:t>
            </w:r>
          </w:p>
        </w:tc>
        <w:tc>
          <w:tcPr>
            <w:tcW w:w="8117" w:type="dxa"/>
            <w:gridSpan w:val="4"/>
            <w:noWrap w:val="0"/>
            <w:vAlign w:val="center"/>
          </w:tcPr>
          <w:p w14:paraId="34470BCE">
            <w:pPr>
              <w:pStyle w:val="25"/>
              <w:keepNext w:val="0"/>
              <w:keepLines w:val="0"/>
              <w:pageBreakBefore w:val="0"/>
              <w:kinsoku/>
              <w:wordWrap/>
              <w:overflowPunct/>
              <w:topLinePunct w:val="0"/>
              <w:autoSpaceDE/>
              <w:autoSpaceDN/>
              <w:bidi w:val="0"/>
              <w:spacing w:line="460" w:lineRule="exact"/>
              <w:jc w:val="left"/>
              <w:textAlignment w:val="auto"/>
              <w:rPr>
                <w:rFonts w:hint="eastAsia" w:ascii="宋体" w:hAnsi="宋体" w:eastAsia="宋体" w:cs="宋体"/>
                <w:b/>
                <w:bCs/>
                <w:color w:val="auto"/>
                <w:kern w:val="0"/>
                <w:sz w:val="21"/>
                <w:szCs w:val="21"/>
                <w:lang w:val="en-US" w:eastAsia="zh-CN"/>
              </w:rPr>
            </w:pPr>
            <w:r>
              <w:rPr>
                <w:rFonts w:hint="eastAsia" w:hAnsi="宋体" w:cs="宋体"/>
                <w:b/>
                <w:bCs/>
                <w:color w:val="auto"/>
                <w:kern w:val="0"/>
                <w:sz w:val="21"/>
                <w:szCs w:val="21"/>
                <w:lang w:val="en-US" w:eastAsia="zh-CN"/>
              </w:rPr>
              <w:t>2025年5月30日15时30分</w:t>
            </w:r>
          </w:p>
        </w:tc>
      </w:tr>
      <w:tr w14:paraId="708E6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01" w:type="dxa"/>
            <w:gridSpan w:val="2"/>
            <w:noWrap w:val="0"/>
            <w:vAlign w:val="center"/>
          </w:tcPr>
          <w:p w14:paraId="3CAFC535">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color w:val="auto"/>
                <w:sz w:val="21"/>
                <w:szCs w:val="21"/>
                <w:highlight w:val="none"/>
              </w:rPr>
              <w:t>开标地点</w:t>
            </w:r>
          </w:p>
        </w:tc>
        <w:tc>
          <w:tcPr>
            <w:tcW w:w="8117" w:type="dxa"/>
            <w:gridSpan w:val="4"/>
            <w:noWrap w:val="0"/>
            <w:vAlign w:val="center"/>
          </w:tcPr>
          <w:p w14:paraId="44EAE54B">
            <w:pPr>
              <w:keepNext w:val="0"/>
              <w:keepLines w:val="0"/>
              <w:pageBreakBefore w:val="0"/>
              <w:kinsoku/>
              <w:wordWrap/>
              <w:overflowPunct/>
              <w:topLinePunct w:val="0"/>
              <w:autoSpaceDE/>
              <w:autoSpaceDN/>
              <w:bidi w:val="0"/>
              <w:spacing w:line="400" w:lineRule="exact"/>
              <w:jc w:val="left"/>
              <w:textAlignment w:val="auto"/>
              <w:rPr>
                <w:rFonts w:hint="eastAsia" w:ascii="宋体" w:hAnsi="宋体" w:eastAsia="宋体" w:cs="宋体"/>
                <w:b/>
                <w:bCs/>
                <w:color w:val="auto"/>
                <w:kern w:val="1"/>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滁州市龙蟠大道109号房产商务大厦6楼603会议室 </w:t>
            </w:r>
          </w:p>
        </w:tc>
      </w:tr>
      <w:tr w14:paraId="2A61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1" w:type="dxa"/>
            <w:gridSpan w:val="2"/>
            <w:noWrap w:val="0"/>
            <w:vAlign w:val="center"/>
          </w:tcPr>
          <w:p w14:paraId="611E2A34">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招标文件售价</w:t>
            </w:r>
          </w:p>
        </w:tc>
        <w:tc>
          <w:tcPr>
            <w:tcW w:w="8117" w:type="dxa"/>
            <w:gridSpan w:val="4"/>
            <w:noWrap w:val="0"/>
            <w:vAlign w:val="center"/>
          </w:tcPr>
          <w:p w14:paraId="2AA63BD6">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0元</w:t>
            </w:r>
          </w:p>
        </w:tc>
      </w:tr>
      <w:tr w14:paraId="2636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8" w:type="dxa"/>
            <w:gridSpan w:val="6"/>
            <w:noWrap w:val="0"/>
            <w:vAlign w:val="center"/>
          </w:tcPr>
          <w:p w14:paraId="6A988AC6">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信  息  内  容</w:t>
            </w:r>
          </w:p>
        </w:tc>
      </w:tr>
      <w:tr w14:paraId="7E0F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11448096">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评标办法</w:t>
            </w:r>
          </w:p>
        </w:tc>
        <w:tc>
          <w:tcPr>
            <w:tcW w:w="3126" w:type="dxa"/>
            <w:gridSpan w:val="2"/>
            <w:noWrap w:val="0"/>
            <w:vAlign w:val="center"/>
          </w:tcPr>
          <w:p w14:paraId="1972B9C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 xml:space="preserve"> 经评审的最低价法</w:t>
            </w:r>
          </w:p>
        </w:tc>
        <w:tc>
          <w:tcPr>
            <w:tcW w:w="2648" w:type="dxa"/>
            <w:gridSpan w:val="2"/>
            <w:noWrap w:val="0"/>
            <w:vAlign w:val="center"/>
          </w:tcPr>
          <w:p w14:paraId="6BC3341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工程款支付方式</w:t>
            </w:r>
          </w:p>
        </w:tc>
        <w:tc>
          <w:tcPr>
            <w:tcW w:w="2872" w:type="dxa"/>
            <w:noWrap w:val="0"/>
            <w:vAlign w:val="center"/>
          </w:tcPr>
          <w:p w14:paraId="04FCE2A8">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078A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5FA0AF2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工程概算</w:t>
            </w:r>
          </w:p>
        </w:tc>
        <w:tc>
          <w:tcPr>
            <w:tcW w:w="3126" w:type="dxa"/>
            <w:gridSpan w:val="2"/>
            <w:noWrap w:val="0"/>
            <w:vAlign w:val="center"/>
          </w:tcPr>
          <w:p w14:paraId="5742E19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1336356.44</w:t>
            </w:r>
            <w:r>
              <w:rPr>
                <w:rFonts w:hint="eastAsia" w:ascii="宋体" w:hAnsi="宋体" w:eastAsia="宋体" w:cs="宋体"/>
                <w:color w:val="auto"/>
                <w:kern w:val="0"/>
                <w:sz w:val="21"/>
                <w:szCs w:val="21"/>
                <w:lang w:val="en-US" w:eastAsia="zh-CN"/>
              </w:rPr>
              <w:t>元</w:t>
            </w:r>
            <w:r>
              <w:rPr>
                <w:rFonts w:hint="eastAsia" w:ascii="宋体" w:hAnsi="宋体" w:eastAsia="宋体" w:cs="宋体"/>
                <w:color w:val="auto"/>
                <w:kern w:val="0"/>
                <w:sz w:val="21"/>
                <w:szCs w:val="21"/>
                <w:highlight w:val="none"/>
              </w:rPr>
              <w:t xml:space="preserve"> </w:t>
            </w:r>
          </w:p>
        </w:tc>
        <w:tc>
          <w:tcPr>
            <w:tcW w:w="2648" w:type="dxa"/>
            <w:gridSpan w:val="2"/>
            <w:noWrap w:val="0"/>
            <w:vAlign w:val="center"/>
          </w:tcPr>
          <w:p w14:paraId="2059868D">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计划工期</w:t>
            </w:r>
          </w:p>
        </w:tc>
        <w:tc>
          <w:tcPr>
            <w:tcW w:w="2872" w:type="dxa"/>
            <w:noWrap w:val="0"/>
            <w:vAlign w:val="center"/>
          </w:tcPr>
          <w:p w14:paraId="0C7ED85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详见招标文件</w:t>
            </w:r>
          </w:p>
        </w:tc>
      </w:tr>
      <w:tr w14:paraId="307E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2" w:type="dxa"/>
            <w:noWrap w:val="0"/>
            <w:vAlign w:val="center"/>
          </w:tcPr>
          <w:p w14:paraId="7B15F530">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资金来源</w:t>
            </w:r>
          </w:p>
        </w:tc>
        <w:tc>
          <w:tcPr>
            <w:tcW w:w="3126" w:type="dxa"/>
            <w:gridSpan w:val="2"/>
            <w:noWrap w:val="0"/>
            <w:vAlign w:val="center"/>
          </w:tcPr>
          <w:p w14:paraId="151731BB">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自筹资金</w:t>
            </w:r>
          </w:p>
        </w:tc>
        <w:tc>
          <w:tcPr>
            <w:tcW w:w="2648" w:type="dxa"/>
            <w:gridSpan w:val="2"/>
            <w:noWrap w:val="0"/>
            <w:vAlign w:val="center"/>
          </w:tcPr>
          <w:p w14:paraId="3CB42759">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招标文件等获取方式</w:t>
            </w:r>
          </w:p>
        </w:tc>
        <w:tc>
          <w:tcPr>
            <w:tcW w:w="2872" w:type="dxa"/>
            <w:noWrap w:val="0"/>
            <w:vAlign w:val="center"/>
          </w:tcPr>
          <w:p w14:paraId="269440E3">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网上下载</w:t>
            </w:r>
          </w:p>
        </w:tc>
      </w:tr>
      <w:tr w14:paraId="6483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8" w:type="dxa"/>
            <w:gridSpan w:val="6"/>
            <w:noWrap w:val="0"/>
            <w:vAlign w:val="center"/>
          </w:tcPr>
          <w:p w14:paraId="3E92AF4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default"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投标保证金的金额：</w:t>
            </w:r>
            <w:r>
              <w:rPr>
                <w:rFonts w:hint="eastAsia" w:ascii="宋体" w:hAnsi="宋体" w:cs="宋体"/>
                <w:bCs/>
                <w:color w:val="auto"/>
                <w:kern w:val="1"/>
                <w:sz w:val="21"/>
                <w:szCs w:val="21"/>
                <w:highlight w:val="none"/>
                <w:lang w:val="en-US" w:eastAsia="zh-CN"/>
              </w:rPr>
              <w:t>2.6万元</w:t>
            </w:r>
          </w:p>
          <w:p w14:paraId="35BF7D4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val="en-US" w:eastAsia="zh-CN"/>
              </w:rPr>
              <w:t>投标文件递交</w:t>
            </w:r>
            <w:r>
              <w:rPr>
                <w:rFonts w:hint="eastAsia" w:ascii="宋体" w:hAnsi="宋体" w:eastAsia="宋体" w:cs="宋体"/>
                <w:color w:val="auto"/>
                <w:sz w:val="21"/>
                <w:szCs w:val="21"/>
                <w:highlight w:val="none"/>
              </w:rPr>
              <w:t>截止时间前缴纳完毕。保证金须</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基本账户转入</w:t>
            </w:r>
            <w:r>
              <w:rPr>
                <w:rFonts w:hint="eastAsia" w:ascii="宋体" w:hAnsi="宋体" w:eastAsia="宋体" w:cs="宋体"/>
                <w:color w:val="auto"/>
                <w:sz w:val="21"/>
                <w:szCs w:val="21"/>
                <w:highlight w:val="none"/>
                <w:lang w:val="en-US" w:eastAsia="zh-CN"/>
              </w:rPr>
              <w:t>下列账户</w:t>
            </w:r>
            <w:r>
              <w:rPr>
                <w:rFonts w:hint="eastAsia" w:ascii="宋体" w:hAnsi="宋体" w:eastAsia="宋体" w:cs="宋体"/>
                <w:color w:val="auto"/>
                <w:sz w:val="21"/>
                <w:szCs w:val="21"/>
                <w:highlight w:val="none"/>
              </w:rPr>
              <w:t>，保证金付款人的账户名称必须与</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名称一致，不接受汇票和结算卡汇入</w:t>
            </w:r>
            <w:r>
              <w:rPr>
                <w:rFonts w:hint="eastAsia" w:ascii="宋体" w:hAnsi="宋体" w:eastAsia="宋体" w:cs="宋体"/>
                <w:color w:val="auto"/>
                <w:sz w:val="21"/>
                <w:szCs w:val="21"/>
                <w:highlight w:val="none"/>
                <w:lang w:eastAsia="zh-CN"/>
              </w:rPr>
              <w:t>。</w:t>
            </w:r>
          </w:p>
          <w:p w14:paraId="3FCB71A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保证金的形式：银行转账、银行电汇、银行保函、保证保险、国有担保公司出具的保函。</w:t>
            </w:r>
          </w:p>
          <w:p w14:paraId="6887DE0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转账缴纳的投标保证金须投标截止时间前交纳完毕；投标保证金须从投标人基本账户转入以下账户，投标保证金付款人的账户名称必须与投标人名称一致，不接受汇票和结算卡汇入，以资金到账时间为确认保证金交纳完毕时间。投标保证金以银行转账形式的，转账记录和开户行证明材料复印件需加盖公章后与投标文件同时递交。</w:t>
            </w:r>
          </w:p>
          <w:p w14:paraId="3C4B3F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单位名称：滁州市园林绿化工程有限公司               </w:t>
            </w:r>
          </w:p>
          <w:p w14:paraId="054DB8F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纳税人识别号：91341100152622423B</w:t>
            </w:r>
          </w:p>
          <w:p w14:paraId="770E5E5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地址：安徽省滁州市长江路336号</w:t>
            </w:r>
          </w:p>
          <w:p w14:paraId="2AA204D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联系电话：0550-3064139</w:t>
            </w:r>
          </w:p>
          <w:p w14:paraId="2B7A4F7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开户行：农业银行滁州琅琊区支行</w:t>
            </w:r>
          </w:p>
          <w:p w14:paraId="4F610BA6">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账号：12330001040007865</w:t>
            </w:r>
          </w:p>
          <w:p w14:paraId="4B1D56E5">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保证金到账截止时间同投标文件递交截止时间，交纳保证金时须在交易附言中注明：“</w:t>
            </w:r>
            <w:r>
              <w:rPr>
                <w:rFonts w:hint="eastAsia" w:ascii="宋体" w:hAnsi="宋体" w:cs="宋体"/>
                <w:color w:val="auto"/>
                <w:kern w:val="0"/>
                <w:szCs w:val="21"/>
                <w:lang w:val="en-US" w:eastAsia="zh-CN"/>
              </w:rPr>
              <w:t>亭城玺悦里项目园林景观工程（红线内）石材采购</w:t>
            </w:r>
            <w:r>
              <w:rPr>
                <w:rFonts w:hint="eastAsia" w:ascii="宋体" w:hAnsi="宋体" w:eastAsia="宋体" w:cs="宋体"/>
                <w:color w:val="auto"/>
                <w:kern w:val="2"/>
                <w:sz w:val="21"/>
                <w:szCs w:val="21"/>
                <w:highlight w:val="none"/>
                <w:lang w:val="en-US" w:eastAsia="zh-CN" w:bidi="ar-SA"/>
              </w:rPr>
              <w:t>”项目招标保证金，附言可简写。</w:t>
            </w:r>
          </w:p>
          <w:p w14:paraId="772441A6">
            <w:pPr>
              <w:keepNext w:val="0"/>
              <w:keepLines w:val="0"/>
              <w:pageBreakBefore w:val="0"/>
              <w:kinsoku/>
              <w:wordWrap/>
              <w:overflowPunct/>
              <w:topLinePunct w:val="0"/>
              <w:autoSpaceDE/>
              <w:autoSpaceDN/>
              <w:bidi w:val="0"/>
              <w:adjustRightInd w:val="0"/>
              <w:snapToGrid w:val="0"/>
              <w:spacing w:line="460" w:lineRule="exact"/>
              <w:ind w:firstLine="210" w:firstLineChars="100"/>
              <w:jc w:val="left"/>
              <w:textAlignment w:val="auto"/>
              <w:rPr>
                <w:rFonts w:hint="eastAsia" w:ascii="宋体" w:hAnsi="宋体" w:eastAsia="宋体" w:cs="宋体"/>
                <w:bCs/>
                <w:color w:val="auto"/>
                <w:kern w:val="1"/>
                <w:sz w:val="21"/>
                <w:szCs w:val="21"/>
                <w:highlight w:val="none"/>
                <w:lang w:val="en-US" w:eastAsia="zh-CN"/>
              </w:rPr>
            </w:pPr>
            <w:r>
              <w:rPr>
                <w:rFonts w:hint="eastAsia" w:ascii="宋体" w:hAnsi="宋体" w:eastAsia="宋体" w:cs="宋体"/>
                <w:bCs/>
                <w:color w:val="auto"/>
                <w:kern w:val="1"/>
                <w:sz w:val="21"/>
                <w:szCs w:val="21"/>
                <w:highlight w:val="none"/>
                <w:lang w:val="en-US" w:eastAsia="zh-CN"/>
              </w:rPr>
              <w:t>投标人采用银行保函、保证保险、国有担保公司出具的保函方式提交投标保证金的，投标保函的保证期截止时间不得早于该项目投标有效期的截止时间，否则资格审查不通过。如出现本招标文件约定不予退还情形的，提供担保的银行、担保机构及保险机构将无条件向招标人支付保函所列的全部投标保证金金额，该支付行为视同投标保证金不予退还。投标人采用虚假银行保函、保证保险、国有担保公司出具的保函方式提交投标保证金的，应依法承担弄虚作假、骗取中标的法律责任。投标保证金以银行保函、保证保险、国有担保公司出具的保函方式提交的，原件须与投标文件同时递交。</w:t>
            </w:r>
          </w:p>
        </w:tc>
      </w:tr>
      <w:tr w14:paraId="3D6F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3" w:type="dxa"/>
            <w:gridSpan w:val="4"/>
            <w:noWrap w:val="0"/>
            <w:vAlign w:val="center"/>
          </w:tcPr>
          <w:p w14:paraId="1B6AE9EC">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 xml:space="preserve"> 滁州市园林绿化工程有限公司</w:t>
            </w:r>
          </w:p>
          <w:p w14:paraId="4A92CA03">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地址：</w:t>
            </w:r>
            <w:r>
              <w:rPr>
                <w:rFonts w:hint="eastAsia" w:ascii="宋体" w:hAnsi="宋体" w:eastAsia="宋体" w:cs="宋体"/>
                <w:color w:val="auto"/>
                <w:sz w:val="21"/>
                <w:szCs w:val="21"/>
                <w:highlight w:val="none"/>
                <w:lang w:eastAsia="zh-CN" w:bidi="ar"/>
              </w:rPr>
              <w:t>滁州市南谯区紫云路</w:t>
            </w:r>
            <w:r>
              <w:rPr>
                <w:rFonts w:hint="eastAsia" w:ascii="宋体" w:hAnsi="宋体" w:eastAsia="宋体" w:cs="宋体"/>
                <w:color w:val="auto"/>
                <w:sz w:val="21"/>
                <w:szCs w:val="21"/>
                <w:highlight w:val="none"/>
                <w:lang w:val="en-US" w:eastAsia="zh-CN" w:bidi="ar"/>
              </w:rPr>
              <w:t xml:space="preserve">  </w:t>
            </w:r>
          </w:p>
          <w:p w14:paraId="7AA9930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联系人：</w:t>
            </w:r>
            <w:r>
              <w:rPr>
                <w:rFonts w:hint="eastAsia" w:ascii="宋体" w:hAnsi="宋体" w:cs="宋体"/>
                <w:color w:val="auto"/>
                <w:sz w:val="21"/>
                <w:szCs w:val="21"/>
                <w:highlight w:val="none"/>
                <w:lang w:val="en-US" w:eastAsia="zh-CN" w:bidi="ar"/>
              </w:rPr>
              <w:t>郑倩倩</w:t>
            </w:r>
          </w:p>
          <w:p w14:paraId="3DBACC4B">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
              </w:rPr>
              <w:t>联系方式：</w:t>
            </w:r>
            <w:r>
              <w:rPr>
                <w:rFonts w:hint="eastAsia" w:ascii="宋体" w:hAnsi="宋体" w:cs="宋体"/>
                <w:color w:val="auto"/>
                <w:sz w:val="21"/>
                <w:szCs w:val="21"/>
                <w:highlight w:val="none"/>
                <w:lang w:val="en-US" w:eastAsia="zh-CN" w:bidi="ar"/>
              </w:rPr>
              <w:t>18055093270</w:t>
            </w:r>
          </w:p>
        </w:tc>
        <w:tc>
          <w:tcPr>
            <w:tcW w:w="4995" w:type="dxa"/>
            <w:gridSpan w:val="2"/>
            <w:noWrap w:val="0"/>
            <w:vAlign w:val="center"/>
          </w:tcPr>
          <w:p w14:paraId="01111A52">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lang w:bidi="ar"/>
              </w:rPr>
            </w:pPr>
            <w:r>
              <w:rPr>
                <w:rFonts w:hint="eastAsia" w:ascii="宋体" w:hAnsi="宋体" w:cs="宋体"/>
                <w:color w:val="auto"/>
                <w:szCs w:val="21"/>
              </w:rPr>
              <w:t>招标代理机构名称：滁州市城投</w:t>
            </w:r>
            <w:r>
              <w:rPr>
                <w:rFonts w:hint="eastAsia"/>
                <w:color w:val="auto"/>
                <w:lang w:bidi="ar"/>
              </w:rPr>
              <w:t xml:space="preserve">工程咨询管理有限公司 </w:t>
            </w:r>
          </w:p>
          <w:p w14:paraId="49159837">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color w:val="auto"/>
                <w:lang w:bidi="ar"/>
              </w:rPr>
            </w:pPr>
            <w:r>
              <w:rPr>
                <w:rFonts w:hint="eastAsia"/>
                <w:color w:val="auto"/>
                <w:lang w:bidi="ar"/>
              </w:rPr>
              <w:t>地址： 滁州市龙蟠大道109号房产大厦6楼605室　</w:t>
            </w:r>
          </w:p>
          <w:p w14:paraId="408D9E78">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联系人：</w:t>
            </w:r>
            <w:r>
              <w:rPr>
                <w:rFonts w:hint="eastAsia" w:ascii="宋体" w:hAnsi="宋体" w:eastAsia="宋体" w:cs="宋体"/>
                <w:color w:val="auto"/>
                <w:sz w:val="21"/>
                <w:szCs w:val="21"/>
                <w:highlight w:val="none"/>
                <w:lang w:val="en-US" w:eastAsia="zh-CN" w:bidi="ar"/>
              </w:rPr>
              <w:t>曹思敏</w:t>
            </w:r>
          </w:p>
          <w:p w14:paraId="4B37FF8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bidi="ar"/>
              </w:rPr>
              <w:t>联系方式：</w:t>
            </w:r>
            <w:r>
              <w:rPr>
                <w:rFonts w:hint="eastAsia" w:ascii="宋体" w:hAnsi="宋体" w:eastAsia="宋体" w:cs="宋体"/>
                <w:color w:val="auto"/>
                <w:sz w:val="21"/>
                <w:szCs w:val="21"/>
                <w:highlight w:val="none"/>
                <w:lang w:val="en-US" w:eastAsia="zh-CN" w:bidi="ar"/>
              </w:rPr>
              <w:t>0550-3519516、18712012204</w:t>
            </w:r>
          </w:p>
        </w:tc>
      </w:tr>
      <w:tr w14:paraId="43CB2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1B60A4E8">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color w:val="auto"/>
                <w:kern w:val="2"/>
                <w:sz w:val="21"/>
                <w:szCs w:val="24"/>
                <w:lang w:val="en-US" w:eastAsia="zh-CN" w:bidi="ar"/>
              </w:rPr>
            </w:pPr>
            <w:r>
              <w:rPr>
                <w:rFonts w:hint="eastAsia" w:ascii="宋体" w:hAnsi="宋体" w:eastAsia="宋体" w:cs="宋体"/>
                <w:color w:val="auto"/>
                <w:sz w:val="21"/>
                <w:szCs w:val="21"/>
                <w:highlight w:val="none"/>
                <w:lang w:bidi="ar"/>
              </w:rPr>
              <w:t>公告发布媒体：滁州市亭城文化旅游投资集团有限公司网站（http://www.tcwljt.com/default.php）</w:t>
            </w:r>
            <w:r>
              <w:rPr>
                <w:rFonts w:hint="eastAsia" w:ascii="宋体" w:hAnsi="宋体" w:cs="宋体"/>
                <w:color w:val="auto"/>
                <w:sz w:val="21"/>
                <w:szCs w:val="21"/>
                <w:highlight w:val="none"/>
                <w:lang w:eastAsia="zh-CN" w:bidi="ar"/>
              </w:rPr>
              <w:t>、</w:t>
            </w:r>
            <w:r>
              <w:rPr>
                <w:rFonts w:hint="eastAsia" w:ascii="宋体" w:hAnsi="宋体" w:cs="宋体"/>
                <w:color w:val="auto"/>
                <w:highlight w:val="none"/>
                <w:lang w:eastAsia="zh-CN"/>
              </w:rPr>
              <w:t>滁州市</w:t>
            </w:r>
            <w:r>
              <w:rPr>
                <w:rFonts w:hint="eastAsia" w:ascii="宋体" w:hAnsi="宋体" w:cs="宋体"/>
                <w:color w:val="auto"/>
                <w:highlight w:val="none"/>
                <w:lang w:val="en-US" w:eastAsia="zh-CN"/>
              </w:rPr>
              <w:t>城投工程咨询管理</w:t>
            </w:r>
            <w:r>
              <w:rPr>
                <w:rFonts w:hint="eastAsia" w:ascii="宋体" w:hAnsi="宋体" w:cs="宋体"/>
                <w:color w:val="auto"/>
                <w:highlight w:val="none"/>
                <w:lang w:eastAsia="zh-CN"/>
              </w:rPr>
              <w:t>有限责任公司</w:t>
            </w:r>
            <w:r>
              <w:rPr>
                <w:rFonts w:hint="eastAsia" w:ascii="宋体" w:hAnsi="宋体" w:cs="宋体"/>
                <w:color w:val="auto"/>
                <w:highlight w:val="none"/>
              </w:rPr>
              <w:t>网站（https://www.czctgczx.com/）</w:t>
            </w:r>
          </w:p>
        </w:tc>
      </w:tr>
      <w:tr w14:paraId="3BE1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118" w:type="dxa"/>
            <w:gridSpan w:val="6"/>
            <w:noWrap w:val="0"/>
            <w:vAlign w:val="center"/>
          </w:tcPr>
          <w:p w14:paraId="1FA3976B">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 w:val="21"/>
                <w:szCs w:val="21"/>
                <w:highlight w:val="none"/>
                <w:lang w:bidi="ar"/>
              </w:rPr>
              <w:t>监督电话:0550-3801220，</w:t>
            </w:r>
            <w:r>
              <w:rPr>
                <w:rFonts w:hint="eastAsia" w:ascii="宋体" w:hAnsi="宋体" w:eastAsia="宋体" w:cs="宋体"/>
                <w:color w:val="auto"/>
                <w:sz w:val="21"/>
                <w:szCs w:val="21"/>
                <w:highlight w:val="none"/>
                <w:lang w:val="en-US" w:eastAsia="zh-CN" w:bidi="ar"/>
              </w:rPr>
              <w:t>驻集团</w:t>
            </w:r>
            <w:r>
              <w:rPr>
                <w:rFonts w:hint="eastAsia" w:ascii="宋体" w:hAnsi="宋体" w:eastAsia="宋体" w:cs="宋体"/>
                <w:color w:val="auto"/>
                <w:sz w:val="21"/>
                <w:szCs w:val="21"/>
                <w:highlight w:val="none"/>
                <w:lang w:bidi="ar"/>
              </w:rPr>
              <w:t>纪检监察组监督电话:0550-3801206</w:t>
            </w:r>
          </w:p>
        </w:tc>
      </w:tr>
    </w:tbl>
    <w:p w14:paraId="726548FA">
      <w:pPr>
        <w:jc w:val="both"/>
        <w:rPr>
          <w:rFonts w:hint="eastAsia" w:ascii="宋体" w:hAnsi="宋体" w:eastAsia="宋体" w:cs="宋体"/>
          <w:color w:val="auto"/>
          <w:sz w:val="32"/>
          <w:szCs w:val="32"/>
          <w:highlight w:val="none"/>
        </w:rPr>
      </w:pPr>
    </w:p>
    <w:p w14:paraId="72170307">
      <w:pPr>
        <w:jc w:val="both"/>
        <w:rPr>
          <w:rFonts w:hint="eastAsia" w:ascii="宋体" w:hAnsi="宋体" w:eastAsia="宋体" w:cs="宋体"/>
          <w:color w:val="auto"/>
          <w:sz w:val="32"/>
          <w:szCs w:val="32"/>
          <w:highlight w:val="none"/>
        </w:rPr>
      </w:pPr>
    </w:p>
    <w:p w14:paraId="5F96D3B8">
      <w:pPr>
        <w:jc w:val="both"/>
        <w:rPr>
          <w:rFonts w:hint="eastAsia" w:ascii="宋体" w:hAnsi="宋体" w:eastAsia="宋体" w:cs="宋体"/>
          <w:color w:val="auto"/>
          <w:sz w:val="32"/>
          <w:szCs w:val="32"/>
          <w:highlight w:val="none"/>
        </w:rPr>
      </w:pPr>
    </w:p>
    <w:p w14:paraId="7ADF15DE">
      <w:pPr>
        <w:jc w:val="both"/>
        <w:rPr>
          <w:rFonts w:hint="eastAsia" w:ascii="宋体" w:hAnsi="宋体" w:eastAsia="宋体" w:cs="宋体"/>
          <w:color w:val="auto"/>
          <w:sz w:val="32"/>
          <w:szCs w:val="32"/>
          <w:highlight w:val="none"/>
        </w:rPr>
      </w:pPr>
    </w:p>
    <w:p w14:paraId="21167821">
      <w:pPr>
        <w:jc w:val="both"/>
        <w:rPr>
          <w:rFonts w:hint="eastAsia" w:ascii="宋体" w:hAnsi="宋体" w:eastAsia="宋体" w:cs="宋体"/>
          <w:color w:val="auto"/>
          <w:sz w:val="32"/>
          <w:szCs w:val="32"/>
          <w:highlight w:val="none"/>
        </w:rPr>
      </w:pPr>
    </w:p>
    <w:p w14:paraId="6FB675DE">
      <w:pPr>
        <w:jc w:val="both"/>
        <w:rPr>
          <w:rFonts w:hint="eastAsia" w:ascii="宋体" w:hAnsi="宋体" w:eastAsia="宋体" w:cs="宋体"/>
          <w:color w:val="auto"/>
          <w:sz w:val="32"/>
          <w:szCs w:val="32"/>
          <w:highlight w:val="none"/>
        </w:rPr>
      </w:pPr>
    </w:p>
    <w:p w14:paraId="1E6D70A8">
      <w:pPr>
        <w:jc w:val="both"/>
        <w:rPr>
          <w:rFonts w:hint="eastAsia" w:ascii="宋体" w:hAnsi="宋体" w:eastAsia="宋体" w:cs="宋体"/>
          <w:color w:val="auto"/>
          <w:sz w:val="32"/>
          <w:szCs w:val="32"/>
          <w:highlight w:val="none"/>
        </w:rPr>
      </w:pPr>
    </w:p>
    <w:p w14:paraId="4A15FF9B">
      <w:pPr>
        <w:jc w:val="both"/>
        <w:rPr>
          <w:rFonts w:hint="eastAsia" w:ascii="宋体" w:hAnsi="宋体" w:eastAsia="宋体" w:cs="宋体"/>
          <w:color w:val="auto"/>
          <w:sz w:val="32"/>
          <w:szCs w:val="32"/>
          <w:highlight w:val="none"/>
        </w:rPr>
      </w:pPr>
    </w:p>
    <w:p w14:paraId="53CB5A68">
      <w:pPr>
        <w:jc w:val="both"/>
        <w:rPr>
          <w:rFonts w:hint="eastAsia" w:ascii="宋体" w:hAnsi="宋体" w:eastAsia="宋体" w:cs="宋体"/>
          <w:color w:val="auto"/>
          <w:sz w:val="32"/>
          <w:szCs w:val="32"/>
          <w:highlight w:val="none"/>
        </w:rPr>
      </w:pPr>
    </w:p>
    <w:p w14:paraId="0C35D517">
      <w:pPr>
        <w:jc w:val="both"/>
        <w:rPr>
          <w:rFonts w:hint="eastAsia" w:ascii="宋体" w:hAnsi="宋体" w:eastAsia="宋体" w:cs="宋体"/>
          <w:color w:val="auto"/>
          <w:sz w:val="32"/>
          <w:szCs w:val="32"/>
          <w:highlight w:val="none"/>
        </w:rPr>
      </w:pPr>
    </w:p>
    <w:p w14:paraId="44B46962">
      <w:pPr>
        <w:jc w:val="both"/>
        <w:rPr>
          <w:rFonts w:hint="eastAsia" w:ascii="宋体" w:hAnsi="宋体" w:eastAsia="宋体" w:cs="宋体"/>
          <w:color w:val="auto"/>
          <w:sz w:val="32"/>
          <w:szCs w:val="32"/>
          <w:highlight w:val="none"/>
        </w:rPr>
      </w:pPr>
    </w:p>
    <w:p w14:paraId="7D3DF57A">
      <w:pPr>
        <w:jc w:val="both"/>
        <w:rPr>
          <w:rFonts w:hint="eastAsia" w:ascii="宋体" w:hAnsi="宋体" w:eastAsia="宋体" w:cs="宋体"/>
          <w:color w:val="auto"/>
          <w:sz w:val="32"/>
          <w:szCs w:val="32"/>
          <w:highlight w:val="none"/>
        </w:rPr>
      </w:pPr>
    </w:p>
    <w:p w14:paraId="5E185A5B">
      <w:pPr>
        <w:jc w:val="both"/>
        <w:rPr>
          <w:rFonts w:hint="eastAsia" w:ascii="宋体" w:hAnsi="宋体" w:eastAsia="宋体" w:cs="宋体"/>
          <w:color w:val="auto"/>
          <w:sz w:val="32"/>
          <w:szCs w:val="32"/>
          <w:highlight w:val="none"/>
        </w:rPr>
      </w:pPr>
    </w:p>
    <w:p w14:paraId="60C4D019">
      <w:pPr>
        <w:jc w:val="both"/>
        <w:rPr>
          <w:rFonts w:hint="eastAsia" w:ascii="宋体" w:hAnsi="宋体" w:eastAsia="宋体" w:cs="宋体"/>
          <w:color w:val="auto"/>
          <w:sz w:val="32"/>
          <w:szCs w:val="32"/>
          <w:highlight w:val="none"/>
        </w:rPr>
      </w:pPr>
    </w:p>
    <w:p w14:paraId="63B5125E">
      <w:pPr>
        <w:jc w:val="center"/>
        <w:rPr>
          <w:rFonts w:hint="eastAsia" w:ascii="宋体" w:hAnsi="宋体" w:eastAsia="宋体" w:cs="宋体"/>
          <w:color w:val="auto"/>
          <w:sz w:val="32"/>
          <w:szCs w:val="32"/>
          <w:highlight w:val="none"/>
        </w:rPr>
      </w:pPr>
    </w:p>
    <w:p w14:paraId="5C20224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A、投标须知前附表</w:t>
      </w:r>
    </w:p>
    <w:tbl>
      <w:tblPr>
        <w:tblStyle w:val="47"/>
        <w:tblW w:w="10260" w:type="dxa"/>
        <w:tblInd w:w="-540" w:type="dxa"/>
        <w:tblLayout w:type="fixed"/>
        <w:tblCellMar>
          <w:top w:w="0" w:type="dxa"/>
          <w:left w:w="0" w:type="dxa"/>
          <w:bottom w:w="0" w:type="dxa"/>
          <w:right w:w="0" w:type="dxa"/>
        </w:tblCellMar>
      </w:tblPr>
      <w:tblGrid>
        <w:gridCol w:w="563"/>
        <w:gridCol w:w="1185"/>
        <w:gridCol w:w="8512"/>
      </w:tblGrid>
      <w:tr w14:paraId="13495E28">
        <w:tblPrEx>
          <w:tblCellMar>
            <w:top w:w="0" w:type="dxa"/>
            <w:left w:w="0" w:type="dxa"/>
            <w:bottom w:w="0" w:type="dxa"/>
            <w:right w:w="0" w:type="dxa"/>
          </w:tblCellMar>
        </w:tblPrEx>
        <w:trPr>
          <w:trHeight w:val="27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C28B4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编号</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D0712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内容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5081A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说明与要求</w:t>
            </w:r>
          </w:p>
        </w:tc>
      </w:tr>
      <w:tr w14:paraId="183C631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FBB8A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2BD5DB9">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lang w:val="en-US" w:eastAsia="zh-CN"/>
              </w:rPr>
              <w:t>项目</w:t>
            </w:r>
            <w:r>
              <w:rPr>
                <w:rFonts w:hint="eastAsia" w:ascii="宋体" w:hAnsi="宋体" w:eastAsia="宋体" w:cs="宋体"/>
                <w:color w:val="auto"/>
                <w:kern w:val="0"/>
              </w:rPr>
              <w:t>概况</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13587E3">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0"/>
                <w:sz w:val="21"/>
                <w:szCs w:val="21"/>
                <w:lang w:eastAsia="zh-CN"/>
              </w:rPr>
            </w:pPr>
            <w:r>
              <w:rPr>
                <w:rFonts w:hint="eastAsia" w:ascii="宋体" w:hAnsi="宋体" w:eastAsia="宋体" w:cs="宋体"/>
                <w:color w:val="auto"/>
                <w:spacing w:val="0"/>
                <w:kern w:val="0"/>
                <w:sz w:val="21"/>
                <w:lang w:val="en-US" w:eastAsia="zh-CN"/>
              </w:rPr>
              <w:t>项目</w:t>
            </w:r>
            <w:r>
              <w:rPr>
                <w:rFonts w:hint="eastAsia" w:ascii="宋体" w:hAnsi="宋体" w:eastAsia="宋体" w:cs="宋体"/>
                <w:color w:val="auto"/>
                <w:spacing w:val="0"/>
                <w:kern w:val="0"/>
                <w:sz w:val="21"/>
              </w:rPr>
              <w:t>名称：</w:t>
            </w:r>
            <w:r>
              <w:rPr>
                <w:rFonts w:hint="eastAsia" w:ascii="宋体" w:hAnsi="宋体" w:cs="宋体"/>
                <w:bCs/>
                <w:color w:val="auto"/>
                <w:kern w:val="1"/>
                <w:sz w:val="21"/>
                <w:szCs w:val="21"/>
                <w:highlight w:val="none"/>
                <w:lang w:val="en-US" w:eastAsia="zh-CN"/>
              </w:rPr>
              <w:t>亭城玺悦里项目园林景观工程（红线内）石材采购</w:t>
            </w:r>
            <w:r>
              <w:rPr>
                <w:rFonts w:hint="default" w:ascii="宋体" w:hAnsi="宋体" w:eastAsia="宋体" w:cs="宋体"/>
                <w:bCs/>
                <w:color w:val="auto"/>
                <w:kern w:val="1"/>
                <w:sz w:val="21"/>
                <w:szCs w:val="21"/>
                <w:highlight w:val="none"/>
                <w:lang w:val="en-US" w:eastAsia="zh-CN"/>
              </w:rPr>
              <w:t xml:space="preserve"> </w:t>
            </w:r>
          </w:p>
          <w:p w14:paraId="653BC884">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lang w:val="en-US"/>
              </w:rPr>
            </w:pPr>
            <w:r>
              <w:rPr>
                <w:rFonts w:hint="eastAsia" w:ascii="宋体" w:hAnsi="宋体" w:eastAsia="宋体" w:cs="宋体"/>
                <w:color w:val="auto"/>
                <w:kern w:val="0"/>
              </w:rPr>
              <w:t>项目地点：玺悦里项目园林景观工程（红线内）</w:t>
            </w:r>
          </w:p>
          <w:p w14:paraId="205EB6DE">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zCs w:val="21"/>
              </w:rPr>
            </w:pPr>
            <w:r>
              <w:rPr>
                <w:rFonts w:hint="eastAsia" w:ascii="宋体" w:hAnsi="宋体" w:eastAsia="宋体" w:cs="宋体"/>
                <w:color w:val="auto"/>
                <w:kern w:val="0"/>
              </w:rPr>
              <w:t>采购内容如下：</w:t>
            </w:r>
            <w:r>
              <w:rPr>
                <w:rFonts w:hint="eastAsia" w:ascii="宋体" w:hAnsi="宋体" w:cs="宋体"/>
                <w:color w:val="auto"/>
                <w:kern w:val="0"/>
                <w:lang w:eastAsia="zh-CN"/>
              </w:rPr>
              <w:t>石材采购</w:t>
            </w:r>
            <w:r>
              <w:rPr>
                <w:rFonts w:hint="eastAsia" w:ascii="宋体" w:hAnsi="宋体" w:eastAsia="宋体" w:cs="宋体"/>
                <w:color w:val="auto"/>
                <w:kern w:val="0"/>
              </w:rPr>
              <w:t>，项目预算</w:t>
            </w:r>
            <w:r>
              <w:rPr>
                <w:rFonts w:hint="eastAsia" w:ascii="宋体" w:hAnsi="宋体" w:cs="宋体"/>
                <w:color w:val="auto"/>
                <w:kern w:val="0"/>
                <w:lang w:eastAsia="zh-CN"/>
              </w:rPr>
              <w:t>1336356.44</w:t>
            </w:r>
            <w:r>
              <w:rPr>
                <w:rFonts w:hint="eastAsia" w:ascii="宋体" w:hAnsi="宋体" w:eastAsia="宋体" w:cs="宋体"/>
                <w:color w:val="auto"/>
                <w:kern w:val="0"/>
              </w:rPr>
              <w:t>元，最终按实际结算。</w:t>
            </w:r>
          </w:p>
        </w:tc>
      </w:tr>
      <w:tr w14:paraId="752A6750">
        <w:tblPrEx>
          <w:tblCellMar>
            <w:top w:w="0" w:type="dxa"/>
            <w:left w:w="0" w:type="dxa"/>
            <w:bottom w:w="0" w:type="dxa"/>
            <w:right w:w="0" w:type="dxa"/>
          </w:tblCellMar>
        </w:tblPrEx>
        <w:trPr>
          <w:trHeight w:val="1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0F0FED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E7211DA">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招标范围</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C91C028">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按招标人要求供应</w:t>
            </w:r>
            <w:r>
              <w:rPr>
                <w:rFonts w:hint="eastAsia" w:ascii="宋体" w:hAnsi="宋体" w:cs="宋体"/>
                <w:color w:val="auto"/>
                <w:kern w:val="0"/>
                <w:lang w:val="en-US" w:eastAsia="zh-CN"/>
              </w:rPr>
              <w:t>石材</w:t>
            </w:r>
            <w:r>
              <w:rPr>
                <w:rFonts w:hint="eastAsia" w:ascii="宋体" w:hAnsi="宋体" w:eastAsia="宋体" w:cs="宋体"/>
                <w:color w:val="auto"/>
                <w:kern w:val="0"/>
                <w:lang w:val="en-US" w:eastAsia="zh-CN"/>
              </w:rPr>
              <w:t>。</w:t>
            </w:r>
          </w:p>
        </w:tc>
      </w:tr>
      <w:tr w14:paraId="1D0B9905">
        <w:tblPrEx>
          <w:tblCellMar>
            <w:top w:w="0" w:type="dxa"/>
            <w:left w:w="0" w:type="dxa"/>
            <w:bottom w:w="0" w:type="dxa"/>
            <w:right w:w="0" w:type="dxa"/>
          </w:tblCellMar>
        </w:tblPrEx>
        <w:trPr>
          <w:trHeight w:val="22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F0706D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3</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1AF5DC1">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供货</w:t>
            </w:r>
            <w:r>
              <w:rPr>
                <w:rFonts w:hint="eastAsia" w:ascii="宋体" w:hAnsi="宋体" w:eastAsia="宋体" w:cs="宋体"/>
                <w:color w:val="auto"/>
                <w:kern w:val="0"/>
                <w:highlight w:val="none"/>
              </w:rPr>
              <w:t>工期</w:t>
            </w:r>
          </w:p>
          <w:p w14:paraId="3653F232">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highlight w:val="none"/>
              </w:rPr>
              <w:t>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535211F5">
            <w:pPr>
              <w:keepNext w:val="0"/>
              <w:keepLines w:val="0"/>
              <w:pageBreakBefore w:val="0"/>
              <w:kinsoku/>
              <w:wordWrap/>
              <w:overflowPunct/>
              <w:topLinePunct w:val="0"/>
              <w:autoSpaceDE/>
              <w:autoSpaceDN/>
              <w:bidi w:val="0"/>
              <w:adjustRightInd/>
              <w:snapToGrid/>
              <w:spacing w:line="350" w:lineRule="exact"/>
              <w:textAlignment w:val="auto"/>
              <w:rPr>
                <w:rFonts w:hint="default" w:ascii="宋体" w:hAnsi="宋体" w:eastAsia="宋体" w:cs="宋体"/>
                <w:color w:val="auto"/>
                <w:kern w:val="0"/>
                <w:szCs w:val="21"/>
                <w:lang w:val="en-US" w:eastAsia="zh-CN"/>
              </w:rPr>
            </w:pPr>
            <w:r>
              <w:rPr>
                <w:rFonts w:hint="default" w:ascii="宋体" w:hAnsi="宋体" w:eastAsia="宋体" w:cs="宋体"/>
                <w:color w:val="auto"/>
                <w:kern w:val="0"/>
                <w:szCs w:val="21"/>
                <w:lang w:val="en-US" w:eastAsia="zh-CN"/>
              </w:rPr>
              <w:t>投标单位应根据招标人计划安排进场施工，不高于</w:t>
            </w:r>
            <w:r>
              <w:rPr>
                <w:rFonts w:hint="eastAsia" w:ascii="宋体" w:hAnsi="宋体" w:cs="宋体"/>
                <w:color w:val="auto"/>
                <w:kern w:val="0"/>
                <w:szCs w:val="21"/>
                <w:lang w:val="en-US" w:eastAsia="zh-CN"/>
              </w:rPr>
              <w:t>180</w:t>
            </w:r>
            <w:r>
              <w:rPr>
                <w:rFonts w:hint="default" w:ascii="宋体" w:hAnsi="宋体" w:eastAsia="宋体" w:cs="宋体"/>
                <w:color w:val="auto"/>
                <w:kern w:val="0"/>
                <w:szCs w:val="21"/>
                <w:lang w:val="en-US" w:eastAsia="zh-CN"/>
              </w:rPr>
              <w:t>个日历天。</w:t>
            </w:r>
          </w:p>
        </w:tc>
      </w:tr>
      <w:tr w14:paraId="6C26A421">
        <w:tblPrEx>
          <w:tblCellMar>
            <w:top w:w="0" w:type="dxa"/>
            <w:left w:w="0" w:type="dxa"/>
            <w:bottom w:w="0" w:type="dxa"/>
            <w:right w:w="0" w:type="dxa"/>
          </w:tblCellMar>
        </w:tblPrEx>
        <w:trPr>
          <w:trHeight w:val="266"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4BC150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4</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299082B">
            <w:pPr>
              <w:keepNext w:val="0"/>
              <w:keepLines w:val="0"/>
              <w:pageBreakBefore w:val="0"/>
              <w:kinsoku/>
              <w:wordWrap/>
              <w:overflowPunct/>
              <w:topLinePunct w:val="0"/>
              <w:autoSpaceDE/>
              <w:autoSpaceDN/>
              <w:bidi w:val="0"/>
              <w:adjustRightInd/>
              <w:snapToGrid/>
              <w:spacing w:line="350" w:lineRule="exact"/>
              <w:ind w:left="1470" w:leftChars="0" w:hanging="1470" w:hangingChars="700"/>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质量要求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4FE117B">
            <w:pPr>
              <w:keepNext w:val="0"/>
              <w:keepLines w:val="0"/>
              <w:pageBreakBefore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default" w:eastAsia="宋体"/>
                <w:color w:val="auto"/>
                <w:lang w:val="en-US" w:eastAsia="zh-CN"/>
              </w:rPr>
              <w:t>达到验收合格标准</w:t>
            </w:r>
            <w:r>
              <w:rPr>
                <w:rFonts w:hint="eastAsia"/>
                <w:color w:val="auto"/>
                <w:lang w:val="en-US" w:eastAsia="zh-CN"/>
              </w:rPr>
              <w:t>及满足招标人要求</w:t>
            </w:r>
            <w:r>
              <w:rPr>
                <w:rFonts w:hint="default" w:eastAsia="宋体"/>
                <w:color w:val="auto"/>
                <w:lang w:val="en-US" w:eastAsia="zh-CN"/>
              </w:rPr>
              <w:t>。</w:t>
            </w:r>
          </w:p>
        </w:tc>
      </w:tr>
      <w:tr w14:paraId="59A99006">
        <w:tblPrEx>
          <w:tblCellMar>
            <w:top w:w="0" w:type="dxa"/>
            <w:left w:w="0" w:type="dxa"/>
            <w:bottom w:w="0" w:type="dxa"/>
            <w:right w:w="0" w:type="dxa"/>
          </w:tblCellMar>
        </w:tblPrEx>
        <w:trPr>
          <w:trHeight w:val="549"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59F18B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5</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7D29972">
            <w:pPr>
              <w:keepNext w:val="0"/>
              <w:keepLines w:val="0"/>
              <w:pageBreakBefore w:val="0"/>
              <w:widowControl/>
              <w:kinsoku/>
              <w:wordWrap/>
              <w:overflowPunct/>
              <w:topLinePunct w:val="0"/>
              <w:autoSpaceDE/>
              <w:autoSpaceDN/>
              <w:bidi w:val="0"/>
              <w:adjustRightInd w:val="0"/>
              <w:snapToGrid w:val="0"/>
              <w:spacing w:line="46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sz w:val="21"/>
                <w:szCs w:val="21"/>
                <w:highlight w:val="none"/>
              </w:rPr>
              <w:t>投标人资格要求</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24582B3">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default"/>
                <w:color w:val="auto"/>
                <w:lang w:val="en-US" w:eastAsia="zh-CN"/>
              </w:rPr>
            </w:pPr>
            <w:r>
              <w:rPr>
                <w:rFonts w:hint="eastAsia" w:ascii="宋体" w:hAnsi="宋体" w:cs="宋体"/>
                <w:color w:val="auto"/>
                <w:kern w:val="0"/>
                <w:szCs w:val="21"/>
                <w:lang w:val="en-US" w:eastAsia="zh-CN"/>
              </w:rPr>
              <w:t>详见招标公告</w:t>
            </w:r>
            <w:r>
              <w:rPr>
                <w:rFonts w:hint="eastAsia" w:ascii="宋体" w:hAnsi="宋体" w:eastAsia="宋体" w:cs="宋体"/>
                <w:bCs/>
                <w:color w:val="auto"/>
                <w:kern w:val="1"/>
                <w:sz w:val="21"/>
                <w:szCs w:val="21"/>
                <w:highlight w:val="none"/>
                <w:lang w:val="en-US" w:eastAsia="zh-CN"/>
              </w:rPr>
              <w:t xml:space="preserve"> </w:t>
            </w:r>
            <w:r>
              <w:rPr>
                <w:rFonts w:hint="eastAsia" w:ascii="宋体" w:hAnsi="宋体" w:eastAsia="宋体" w:cs="宋体"/>
                <w:bCs/>
                <w:color w:val="auto"/>
                <w:kern w:val="1"/>
                <w:sz w:val="21"/>
                <w:szCs w:val="21"/>
                <w:highlight w:val="none"/>
                <w:lang w:eastAsia="zh-CN"/>
              </w:rPr>
              <w:t xml:space="preserve">         </w:t>
            </w:r>
          </w:p>
        </w:tc>
      </w:tr>
      <w:tr w14:paraId="278819E2">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ED56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6</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2161780">
            <w:pPr>
              <w:keepNext w:val="0"/>
              <w:keepLines w:val="0"/>
              <w:pageBreakBefore w:val="0"/>
              <w:widowControl w:val="0"/>
              <w:kinsoku/>
              <w:wordWrap/>
              <w:overflowPunct/>
              <w:topLinePunct w:val="0"/>
              <w:autoSpaceDE/>
              <w:autoSpaceDN/>
              <w:bidi w:val="0"/>
              <w:adjustRightInd/>
              <w:snapToGrid/>
              <w:spacing w:line="350" w:lineRule="exact"/>
              <w:ind w:left="1470" w:leftChars="0" w:hanging="1470" w:hangingChars="700"/>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最高限价</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2103F9A6">
            <w:pPr>
              <w:keepNext w:val="0"/>
              <w:keepLines w:val="0"/>
              <w:pageBreakBefore w:val="0"/>
              <w:widowControl/>
              <w:numPr>
                <w:ilvl w:val="0"/>
                <w:numId w:val="0"/>
              </w:numPr>
              <w:kinsoku/>
              <w:wordWrap/>
              <w:overflowPunct/>
              <w:topLinePunct w:val="0"/>
              <w:autoSpaceDE/>
              <w:autoSpaceDN/>
              <w:bidi w:val="0"/>
              <w:adjustRightInd/>
              <w:snapToGrid/>
              <w:spacing w:line="35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w:t>
            </w:r>
            <w:r>
              <w:rPr>
                <w:rFonts w:hint="eastAsia" w:ascii="宋体" w:hAnsi="宋体" w:eastAsia="宋体" w:cs="宋体"/>
                <w:color w:val="auto"/>
                <w:kern w:val="0"/>
                <w:szCs w:val="21"/>
                <w:highlight w:val="none"/>
                <w:lang w:val="en-US" w:eastAsia="zh-CN"/>
              </w:rPr>
              <w:t>项目最高限价为</w:t>
            </w:r>
            <w:r>
              <w:rPr>
                <w:rFonts w:hint="eastAsia" w:ascii="宋体" w:hAnsi="宋体" w:cs="宋体"/>
                <w:color w:val="auto"/>
                <w:kern w:val="0"/>
                <w:szCs w:val="21"/>
                <w:highlight w:val="none"/>
                <w:lang w:val="en-US" w:eastAsia="zh-CN"/>
              </w:rPr>
              <w:t>1336356.44</w:t>
            </w:r>
            <w:r>
              <w:rPr>
                <w:rFonts w:hint="eastAsia" w:ascii="宋体" w:hAnsi="宋体" w:eastAsia="宋体" w:cs="宋体"/>
                <w:color w:val="auto"/>
                <w:kern w:val="0"/>
                <w:szCs w:val="21"/>
                <w:highlight w:val="none"/>
                <w:lang w:val="en-US" w:eastAsia="zh-CN"/>
              </w:rPr>
              <w:t>元</w:t>
            </w:r>
            <w:r>
              <w:rPr>
                <w:rFonts w:hint="eastAsia" w:ascii="宋体" w:hAnsi="宋体" w:cs="宋体"/>
                <w:color w:val="FF0000"/>
                <w:kern w:val="0"/>
                <w:szCs w:val="21"/>
                <w:highlight w:val="none"/>
                <w:lang w:val="en-US" w:eastAsia="zh-CN"/>
              </w:rPr>
              <w:t>（含税率13%）</w:t>
            </w:r>
            <w:r>
              <w:rPr>
                <w:rFonts w:hint="eastAsia" w:ascii="宋体" w:hAnsi="宋体" w:eastAsia="宋体" w:cs="宋体"/>
                <w:color w:val="auto"/>
                <w:kern w:val="0"/>
                <w:szCs w:val="21"/>
                <w:highlight w:val="none"/>
                <w:lang w:val="en-US" w:eastAsia="zh-CN"/>
              </w:rPr>
              <w:t>。投标人结合现行的市场价格信息并充分考虑市场价格的走势风险，按招标文件规定的计价依据及结算方式进行报价。本项目投标人的投标报价不得高于</w:t>
            </w:r>
            <w:r>
              <w:rPr>
                <w:rFonts w:hint="eastAsia" w:ascii="宋体" w:hAnsi="宋体" w:cs="宋体"/>
                <w:color w:val="auto"/>
                <w:kern w:val="0"/>
                <w:szCs w:val="21"/>
                <w:highlight w:val="none"/>
                <w:lang w:val="en-US" w:eastAsia="zh-CN"/>
              </w:rPr>
              <w:t>的</w:t>
            </w:r>
            <w:r>
              <w:rPr>
                <w:rFonts w:hint="eastAsia" w:ascii="宋体" w:hAnsi="宋体" w:eastAsia="宋体" w:cs="宋体"/>
                <w:color w:val="auto"/>
                <w:kern w:val="0"/>
                <w:szCs w:val="21"/>
                <w:highlight w:val="none"/>
                <w:lang w:val="en-US" w:eastAsia="zh-CN"/>
              </w:rPr>
              <w:t>最高限价总报价和最高限价单价</w:t>
            </w:r>
            <w:r>
              <w:rPr>
                <w:rFonts w:hint="eastAsia" w:ascii="宋体" w:hAnsi="宋体" w:cs="宋体"/>
                <w:color w:val="auto"/>
                <w:kern w:val="0"/>
                <w:szCs w:val="21"/>
                <w:highlight w:val="none"/>
                <w:lang w:val="en-US" w:eastAsia="zh-CN"/>
              </w:rPr>
              <w:t>，</w:t>
            </w:r>
            <w:r>
              <w:rPr>
                <w:rFonts w:hint="eastAsia" w:ascii="宋体" w:hAnsi="宋体" w:cs="宋体"/>
                <w:color w:val="FF0000"/>
                <w:kern w:val="0"/>
                <w:szCs w:val="21"/>
                <w:highlight w:val="none"/>
                <w:lang w:val="en-US" w:eastAsia="zh-CN"/>
              </w:rPr>
              <w:t>且不含税投标报价也不得高于最高限价不含税价，</w:t>
            </w:r>
            <w:r>
              <w:rPr>
                <w:rFonts w:hint="eastAsia" w:ascii="宋体" w:hAnsi="宋体" w:eastAsia="宋体" w:cs="宋体"/>
                <w:color w:val="auto"/>
                <w:kern w:val="0"/>
                <w:szCs w:val="21"/>
                <w:highlight w:val="none"/>
                <w:lang w:val="en-US" w:eastAsia="zh-CN"/>
              </w:rPr>
              <w:t>否则按无效标处理。</w:t>
            </w:r>
          </w:p>
        </w:tc>
      </w:tr>
      <w:tr w14:paraId="7FDA4F8C">
        <w:tblPrEx>
          <w:tblCellMar>
            <w:top w:w="0" w:type="dxa"/>
            <w:left w:w="0" w:type="dxa"/>
            <w:bottom w:w="0" w:type="dxa"/>
            <w:right w:w="0" w:type="dxa"/>
          </w:tblCellMar>
        </w:tblPrEx>
        <w:trPr>
          <w:trHeight w:val="413"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C6E6F25">
            <w:pPr>
              <w:keepNext w:val="0"/>
              <w:keepLines w:val="0"/>
              <w:pageBreakBefore w:val="0"/>
              <w:kinsoku/>
              <w:wordWrap/>
              <w:overflowPunct/>
              <w:topLinePunct w:val="0"/>
              <w:autoSpaceDE/>
              <w:autoSpaceDN/>
              <w:bidi w:val="0"/>
              <w:adjustRightInd/>
              <w:snapToGrid/>
              <w:spacing w:line="400" w:lineRule="exact"/>
              <w:ind w:firstLine="210" w:firstLineChars="100"/>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lang w:val="en-US" w:eastAsia="zh-CN"/>
              </w:rPr>
              <w:t>7</w:t>
            </w:r>
          </w:p>
        </w:tc>
        <w:tc>
          <w:tcPr>
            <w:tcW w:w="1185" w:type="dxa"/>
            <w:tcBorders>
              <w:top w:val="single" w:color="auto" w:sz="8" w:space="0"/>
              <w:left w:val="single" w:color="auto" w:sz="4" w:space="0"/>
              <w:bottom w:val="single" w:color="auto" w:sz="8" w:space="0"/>
              <w:right w:val="single" w:color="auto" w:sz="4" w:space="0"/>
            </w:tcBorders>
            <w:noWrap w:val="0"/>
            <w:vAlign w:val="bottom"/>
          </w:tcPr>
          <w:p w14:paraId="17E41655">
            <w:pPr>
              <w:pStyle w:val="27"/>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spacing w:val="-6"/>
                <w:kern w:val="0"/>
                <w:sz w:val="21"/>
                <w:szCs w:val="24"/>
              </w:rPr>
            </w:pPr>
            <w:r>
              <w:rPr>
                <w:rFonts w:hint="eastAsia" w:ascii="宋体" w:hAnsi="宋体" w:eastAsia="宋体" w:cs="宋体"/>
                <w:color w:val="auto"/>
                <w:spacing w:val="-6"/>
                <w:kern w:val="0"/>
                <w:sz w:val="21"/>
                <w:szCs w:val="24"/>
              </w:rPr>
              <w:t>投标文件份数</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59D0C43B">
            <w:pPr>
              <w:pStyle w:val="27"/>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sz w:val="21"/>
                <w:szCs w:val="24"/>
                <w:lang w:eastAsia="zh-CN"/>
              </w:rPr>
            </w:pPr>
            <w:r>
              <w:rPr>
                <w:rFonts w:hint="eastAsia" w:ascii="宋体" w:hAnsi="宋体" w:eastAsia="宋体" w:cs="宋体"/>
                <w:color w:val="auto"/>
                <w:kern w:val="0"/>
                <w:sz w:val="21"/>
                <w:szCs w:val="24"/>
              </w:rPr>
              <w:t>正本</w:t>
            </w:r>
            <w:r>
              <w:rPr>
                <w:rFonts w:hint="eastAsia" w:ascii="宋体" w:hAnsi="宋体" w:eastAsia="宋体" w:cs="宋体"/>
                <w:color w:val="auto"/>
                <w:kern w:val="0"/>
                <w:sz w:val="21"/>
                <w:szCs w:val="24"/>
                <w:u w:val="single"/>
              </w:rPr>
              <w:t xml:space="preserve"> 一 </w:t>
            </w:r>
            <w:r>
              <w:rPr>
                <w:rFonts w:hint="eastAsia" w:ascii="宋体" w:hAnsi="宋体" w:eastAsia="宋体" w:cs="宋体"/>
                <w:color w:val="auto"/>
                <w:kern w:val="0"/>
                <w:sz w:val="21"/>
                <w:szCs w:val="24"/>
              </w:rPr>
              <w:t>份，副本</w:t>
            </w:r>
            <w:r>
              <w:rPr>
                <w:rFonts w:hint="eastAsia" w:ascii="宋体" w:hAnsi="宋体" w:eastAsia="宋体" w:cs="宋体"/>
                <w:color w:val="auto"/>
                <w:kern w:val="0"/>
                <w:sz w:val="21"/>
                <w:szCs w:val="24"/>
                <w:u w:val="single"/>
              </w:rPr>
              <w:t xml:space="preserve"> </w:t>
            </w:r>
            <w:r>
              <w:rPr>
                <w:rFonts w:hint="eastAsia" w:ascii="宋体" w:hAnsi="宋体" w:eastAsia="宋体" w:cs="宋体"/>
                <w:color w:val="auto"/>
                <w:kern w:val="0"/>
                <w:sz w:val="21"/>
                <w:szCs w:val="24"/>
                <w:u w:val="single"/>
                <w:lang w:val="en-US" w:eastAsia="zh-CN"/>
              </w:rPr>
              <w:t>二</w:t>
            </w:r>
            <w:r>
              <w:rPr>
                <w:rFonts w:hint="eastAsia" w:ascii="宋体" w:hAnsi="宋体" w:eastAsia="宋体" w:cs="宋体"/>
                <w:color w:val="auto"/>
                <w:kern w:val="0"/>
                <w:sz w:val="21"/>
                <w:szCs w:val="24"/>
                <w:u w:val="single"/>
              </w:rPr>
              <w:t xml:space="preserve"> </w:t>
            </w:r>
            <w:r>
              <w:rPr>
                <w:rFonts w:hint="eastAsia" w:ascii="宋体" w:hAnsi="宋体" w:eastAsia="宋体" w:cs="宋体"/>
                <w:color w:val="auto"/>
                <w:kern w:val="0"/>
                <w:sz w:val="21"/>
                <w:szCs w:val="24"/>
              </w:rPr>
              <w:t>份。</w:t>
            </w:r>
          </w:p>
        </w:tc>
      </w:tr>
      <w:tr w14:paraId="5A7EB89E">
        <w:tblPrEx>
          <w:tblCellMar>
            <w:top w:w="0" w:type="dxa"/>
            <w:left w:w="0" w:type="dxa"/>
            <w:bottom w:w="0" w:type="dxa"/>
            <w:right w:w="0" w:type="dxa"/>
          </w:tblCellMar>
        </w:tblPrEx>
        <w:trPr>
          <w:trHeight w:val="105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330FB37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lang w:val="en-US" w:eastAsia="zh-CN"/>
              </w:rPr>
              <w:t>8</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18934F66">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rPr>
              <w:t>勘察现场及投标预备会</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683CE862">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kern w:val="0"/>
                <w:u w:val="single"/>
              </w:rPr>
            </w:pPr>
            <w:r>
              <w:rPr>
                <w:rFonts w:hint="eastAsia" w:ascii="宋体" w:hAnsi="宋体" w:eastAsia="宋体" w:cs="宋体"/>
                <w:color w:val="auto"/>
                <w:kern w:val="0"/>
                <w:u w:val="single"/>
              </w:rPr>
              <w:t>不再集中召开招标答疑会；投标人自行组织勘察现场。</w:t>
            </w:r>
          </w:p>
        </w:tc>
      </w:tr>
      <w:tr w14:paraId="4A7D92EF">
        <w:tblPrEx>
          <w:tblCellMar>
            <w:top w:w="0" w:type="dxa"/>
            <w:left w:w="0" w:type="dxa"/>
            <w:bottom w:w="0" w:type="dxa"/>
            <w:right w:w="0" w:type="dxa"/>
          </w:tblCellMar>
        </w:tblPrEx>
        <w:trPr>
          <w:trHeight w:val="90"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1E616BA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9</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628EEAE5">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投标保证金</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7C73595E">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详见招标公告</w:t>
            </w:r>
          </w:p>
        </w:tc>
      </w:tr>
      <w:tr w14:paraId="73E9EC3C">
        <w:tblPrEx>
          <w:tblCellMar>
            <w:top w:w="0" w:type="dxa"/>
            <w:left w:w="0" w:type="dxa"/>
            <w:bottom w:w="0" w:type="dxa"/>
            <w:right w:w="0" w:type="dxa"/>
          </w:tblCellMar>
        </w:tblPrEx>
        <w:trPr>
          <w:trHeight w:val="1172"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6CEFF19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rPr>
              <w:t>1</w:t>
            </w:r>
            <w:r>
              <w:rPr>
                <w:rFonts w:hint="eastAsia" w:ascii="宋体" w:hAnsi="宋体" w:eastAsia="宋体" w:cs="宋体"/>
                <w:color w:val="auto"/>
                <w:kern w:val="0"/>
                <w:lang w:val="en-US" w:eastAsia="zh-CN"/>
              </w:rPr>
              <w:t>0</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4607C3EE">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rPr>
            </w:pPr>
            <w:r>
              <w:rPr>
                <w:rFonts w:hint="eastAsia" w:ascii="宋体" w:hAnsi="宋体" w:eastAsia="宋体" w:cs="宋体"/>
                <w:color w:val="auto"/>
                <w:kern w:val="0"/>
                <w:sz w:val="21"/>
                <w:szCs w:val="21"/>
                <w:highlight w:val="none"/>
              </w:rPr>
              <w:t>投标文件提交截止时间及地点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DA54C8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收件人：滁州市城投工程咨询管理有限公司</w:t>
            </w:r>
          </w:p>
          <w:p w14:paraId="27C6500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时间：</w:t>
            </w:r>
            <w:r>
              <w:rPr>
                <w:rFonts w:hint="eastAsia" w:hAnsi="宋体" w:cs="宋体"/>
                <w:b/>
                <w:bCs/>
                <w:color w:val="auto"/>
                <w:kern w:val="0"/>
                <w:sz w:val="21"/>
                <w:szCs w:val="21"/>
                <w:lang w:val="en-US" w:eastAsia="zh-CN"/>
              </w:rPr>
              <w:t>2025年5月30日15时30分</w:t>
            </w:r>
            <w:r>
              <w:rPr>
                <w:rFonts w:hint="eastAsia" w:ascii="宋体" w:hAnsi="宋体" w:eastAsia="宋体" w:cs="宋体"/>
                <w:color w:val="auto"/>
                <w:kern w:val="0"/>
                <w:szCs w:val="21"/>
                <w:highlight w:val="none"/>
                <w:lang w:val="en-US" w:eastAsia="zh-CN"/>
              </w:rPr>
              <w:t xml:space="preserve"> </w:t>
            </w:r>
          </w:p>
          <w:p w14:paraId="04D3E73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地点：滁州市龙蟠大道109号房产商务大厦6楼</w:t>
            </w:r>
            <w:r>
              <w:rPr>
                <w:rFonts w:hint="eastAsia" w:ascii="宋体" w:hAnsi="宋体" w:cs="宋体"/>
                <w:color w:val="auto"/>
                <w:kern w:val="0"/>
                <w:szCs w:val="21"/>
                <w:highlight w:val="none"/>
                <w:lang w:val="en-US" w:eastAsia="zh-CN"/>
              </w:rPr>
              <w:t xml:space="preserve">603会议室 </w:t>
            </w:r>
            <w:r>
              <w:rPr>
                <w:rFonts w:hint="eastAsia" w:ascii="宋体" w:hAnsi="宋体" w:eastAsia="宋体" w:cs="宋体"/>
                <w:color w:val="auto"/>
                <w:kern w:val="0"/>
                <w:szCs w:val="21"/>
                <w:highlight w:val="none"/>
                <w:lang w:val="en-US" w:eastAsia="zh-CN"/>
              </w:rPr>
              <w:t xml:space="preserve"> </w:t>
            </w:r>
          </w:p>
        </w:tc>
      </w:tr>
      <w:tr w14:paraId="6AE0F34F">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83B542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rPr>
              <w:t>1</w:t>
            </w:r>
            <w:r>
              <w:rPr>
                <w:rFonts w:hint="eastAsia" w:ascii="宋体" w:hAnsi="宋体" w:eastAsia="宋体" w:cs="宋体"/>
                <w:color w:val="auto"/>
                <w:kern w:val="0"/>
                <w:lang w:val="en-US" w:eastAsia="zh-CN"/>
              </w:rPr>
              <w:t>1</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04344BF9">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sz w:val="21"/>
                <w:szCs w:val="21"/>
                <w:highlight w:val="none"/>
              </w:rPr>
              <w:t>开标</w:t>
            </w:r>
            <w:r>
              <w:rPr>
                <w:rFonts w:hint="eastAsia" w:ascii="宋体" w:hAnsi="宋体" w:eastAsia="宋体" w:cs="宋体"/>
                <w:color w:val="auto"/>
                <w:kern w:val="0"/>
                <w:sz w:val="21"/>
                <w:szCs w:val="21"/>
                <w:highlight w:val="none"/>
                <w:lang w:val="en-US" w:eastAsia="zh-CN"/>
              </w:rPr>
              <w:t>时间及地点</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3FBD933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开标时间：</w:t>
            </w:r>
            <w:r>
              <w:rPr>
                <w:rFonts w:hint="eastAsia" w:hAnsi="宋体" w:cs="宋体"/>
                <w:b/>
                <w:bCs/>
                <w:color w:val="auto"/>
                <w:kern w:val="0"/>
                <w:sz w:val="21"/>
                <w:szCs w:val="21"/>
                <w:lang w:val="en-US" w:eastAsia="zh-CN"/>
              </w:rPr>
              <w:t>2025年5月30日15时30分</w:t>
            </w:r>
            <w:r>
              <w:rPr>
                <w:rFonts w:hint="eastAsia" w:ascii="宋体" w:hAnsi="宋体" w:eastAsia="宋体" w:cs="宋体"/>
                <w:color w:val="auto"/>
                <w:kern w:val="0"/>
                <w:szCs w:val="21"/>
                <w:highlight w:val="none"/>
                <w:lang w:val="en-US" w:eastAsia="zh-CN"/>
              </w:rPr>
              <w:t xml:space="preserve"> </w:t>
            </w:r>
          </w:p>
          <w:p w14:paraId="34EF271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开标地点：滁州市龙蟠大道109号房产商务大厦6楼</w:t>
            </w:r>
            <w:r>
              <w:rPr>
                <w:rFonts w:hint="eastAsia" w:ascii="宋体" w:hAnsi="宋体" w:cs="宋体"/>
                <w:color w:val="auto"/>
                <w:kern w:val="0"/>
                <w:szCs w:val="21"/>
                <w:highlight w:val="none"/>
                <w:lang w:val="en-US" w:eastAsia="zh-CN"/>
              </w:rPr>
              <w:t xml:space="preserve">603会议室 </w:t>
            </w:r>
            <w:r>
              <w:rPr>
                <w:rFonts w:hint="eastAsia" w:ascii="宋体" w:hAnsi="宋体" w:eastAsia="宋体" w:cs="宋体"/>
                <w:color w:val="auto"/>
                <w:kern w:val="0"/>
                <w:szCs w:val="21"/>
                <w:highlight w:val="none"/>
                <w:lang w:val="en-US" w:eastAsia="zh-CN"/>
              </w:rPr>
              <w:t xml:space="preserve"> </w:t>
            </w:r>
          </w:p>
        </w:tc>
      </w:tr>
      <w:tr w14:paraId="0774D646">
        <w:tblPrEx>
          <w:tblCellMar>
            <w:top w:w="0" w:type="dxa"/>
            <w:left w:w="0" w:type="dxa"/>
            <w:bottom w:w="0" w:type="dxa"/>
            <w:right w:w="0" w:type="dxa"/>
          </w:tblCellMar>
        </w:tblPrEx>
        <w:trPr>
          <w:trHeight w:val="444" w:hRule="atLeast"/>
        </w:trPr>
        <w:tc>
          <w:tcPr>
            <w:tcW w:w="563" w:type="dxa"/>
            <w:tcBorders>
              <w:top w:val="single" w:color="auto" w:sz="8" w:space="0"/>
              <w:left w:val="single" w:color="auto" w:sz="8" w:space="0"/>
              <w:bottom w:val="single" w:color="auto" w:sz="8" w:space="0"/>
              <w:right w:val="single" w:color="auto" w:sz="8" w:space="0"/>
            </w:tcBorders>
            <w:noWrap w:val="0"/>
            <w:vAlign w:val="center"/>
          </w:tcPr>
          <w:p w14:paraId="25CCA137">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12</w:t>
            </w:r>
          </w:p>
        </w:tc>
        <w:tc>
          <w:tcPr>
            <w:tcW w:w="1185" w:type="dxa"/>
            <w:tcBorders>
              <w:top w:val="single" w:color="auto" w:sz="8" w:space="0"/>
              <w:left w:val="single" w:color="auto" w:sz="4" w:space="0"/>
              <w:bottom w:val="single" w:color="auto" w:sz="8" w:space="0"/>
              <w:right w:val="single" w:color="auto" w:sz="4" w:space="0"/>
            </w:tcBorders>
            <w:noWrap w:val="0"/>
            <w:vAlign w:val="center"/>
          </w:tcPr>
          <w:p w14:paraId="7DA94F27">
            <w:pPr>
              <w:keepNext w:val="0"/>
              <w:keepLines w:val="0"/>
              <w:pageBreakBefore w:val="0"/>
              <w:kinsoku/>
              <w:wordWrap/>
              <w:overflowPunct/>
              <w:topLinePunct w:val="0"/>
              <w:autoSpaceDE/>
              <w:autoSpaceDN/>
              <w:bidi w:val="0"/>
              <w:adjustRightInd/>
              <w:snapToGrid/>
              <w:spacing w:line="350" w:lineRule="exact"/>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付款方式</w:t>
            </w:r>
          </w:p>
        </w:tc>
        <w:tc>
          <w:tcPr>
            <w:tcW w:w="8512" w:type="dxa"/>
            <w:tcBorders>
              <w:top w:val="single" w:color="auto" w:sz="8" w:space="0"/>
              <w:left w:val="single" w:color="auto" w:sz="4" w:space="0"/>
              <w:bottom w:val="single" w:color="auto" w:sz="8" w:space="0"/>
              <w:right w:val="single" w:color="auto" w:sz="8" w:space="0"/>
            </w:tcBorders>
            <w:noWrap w:val="0"/>
            <w:vAlign w:val="center"/>
          </w:tcPr>
          <w:p w14:paraId="04023B6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（一）本项目无预付款，次月付上月实际供货量价款的60%，整体工程竣工验收合格后支付至实际供货量价款的80%；竣工结算完成审计且经审核或复核后付至结算价款的100%。</w:t>
            </w:r>
          </w:p>
          <w:p w14:paraId="1EEA29B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（二）付款前中标单位必须提供足额有效的增值税专用发票。</w:t>
            </w:r>
          </w:p>
        </w:tc>
      </w:tr>
      <w:tr w14:paraId="17C1C3C4">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195827C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r>
              <w:rPr>
                <w:rFonts w:hint="eastAsia" w:ascii="宋体" w:hAnsi="宋体" w:eastAsia="宋体" w:cs="宋体"/>
                <w:color w:val="auto"/>
                <w:kern w:val="0"/>
                <w:lang w:val="en-US" w:eastAsia="zh-CN"/>
              </w:rPr>
              <w:t>13</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3FB4DBC">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kern w:val="0"/>
                <w:lang w:eastAsia="zh-CN"/>
              </w:rPr>
            </w:pPr>
            <w:r>
              <w:rPr>
                <w:rFonts w:hint="eastAsia" w:ascii="宋体" w:hAnsi="宋体" w:eastAsia="宋体" w:cs="宋体"/>
                <w:color w:val="auto"/>
                <w:kern w:val="0"/>
                <w:lang w:eastAsia="zh-CN"/>
              </w:rPr>
              <w:t>相关费用</w:t>
            </w:r>
          </w:p>
        </w:tc>
        <w:tc>
          <w:tcPr>
            <w:tcW w:w="8512" w:type="dxa"/>
            <w:tcBorders>
              <w:top w:val="single" w:color="auto" w:sz="4" w:space="0"/>
              <w:left w:val="single" w:color="auto" w:sz="4" w:space="0"/>
              <w:bottom w:val="single" w:color="auto" w:sz="4" w:space="0"/>
              <w:right w:val="single" w:color="auto" w:sz="8" w:space="0"/>
            </w:tcBorders>
            <w:noWrap w:val="0"/>
            <w:vAlign w:val="center"/>
          </w:tcPr>
          <w:p w14:paraId="25EAB17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本工程招标代理费用</w:t>
            </w:r>
            <w:r>
              <w:rPr>
                <w:rFonts w:hint="eastAsia" w:ascii="宋体" w:hAnsi="宋体" w:cs="宋体"/>
                <w:color w:val="auto"/>
                <w:kern w:val="0"/>
                <w:szCs w:val="21"/>
                <w:highlight w:val="none"/>
                <w:lang w:val="en-US" w:eastAsia="zh-CN"/>
              </w:rPr>
              <w:t>3070元；</w:t>
            </w:r>
            <w:r>
              <w:rPr>
                <w:rFonts w:hint="eastAsia" w:ascii="宋体" w:hAnsi="宋体" w:eastAsia="宋体" w:cs="宋体"/>
                <w:color w:val="auto"/>
                <w:kern w:val="0"/>
                <w:szCs w:val="21"/>
                <w:highlight w:val="none"/>
                <w:lang w:val="en-US" w:eastAsia="zh-CN"/>
              </w:rPr>
              <w:t>评委费（如有）另计，以实际发生为准，上述费用含在投标让利中，不单独列项，由中标单位在领取中标通知书时一次性付清给代理机构</w:t>
            </w:r>
          </w:p>
        </w:tc>
      </w:tr>
      <w:tr w14:paraId="220FFB83">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0AEDCB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eastAsia="宋体" w:cs="宋体"/>
                <w:color w:val="auto"/>
                <w:kern w:val="0"/>
                <w:lang w:val="en-US" w:eastAsia="zh-CN"/>
              </w:rPr>
              <w:t>14</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17CBBA">
            <w:pPr>
              <w:pStyle w:val="25"/>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b w:val="0"/>
                <w:bCs w:val="0"/>
                <w:color w:val="auto"/>
                <w:kern w:val="2"/>
                <w:sz w:val="21"/>
                <w:szCs w:val="21"/>
                <w:lang w:val="en-US" w:eastAsia="zh-CN" w:bidi="ar-SA"/>
              </w:rPr>
            </w:pPr>
            <w:r>
              <w:rPr>
                <w:rFonts w:hint="eastAsia" w:hAnsi="宋体" w:cs="宋体"/>
                <w:color w:val="auto"/>
                <w:szCs w:val="21"/>
              </w:rPr>
              <w:t>履约担保</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18538B2C">
            <w:pPr>
              <w:widowControl/>
              <w:spacing w:line="440" w:lineRule="exact"/>
              <w:rPr>
                <w:rFonts w:hint="eastAsia" w:ascii="宋体" w:hAnsi="宋体" w:eastAsia="宋体" w:cs="宋体"/>
                <w:b w:val="0"/>
                <w:bCs w:val="0"/>
                <w:color w:val="auto"/>
                <w:szCs w:val="21"/>
                <w:highlight w:val="none"/>
                <w:lang w:eastAsia="zh-CN"/>
              </w:rPr>
            </w:pPr>
            <w:r>
              <w:rPr>
                <w:rFonts w:hint="eastAsia" w:ascii="宋体" w:hAnsi="宋体" w:cs="宋体"/>
                <w:b w:val="0"/>
                <w:bCs w:val="0"/>
                <w:color w:val="auto"/>
                <w:szCs w:val="21"/>
                <w:highlight w:val="none"/>
              </w:rPr>
              <w:t>形式：</w:t>
            </w:r>
            <w:r>
              <w:rPr>
                <w:rFonts w:hint="eastAsia" w:ascii="宋体" w:hAnsi="宋体" w:eastAsia="宋体" w:cs="宋体"/>
                <w:color w:val="auto"/>
                <w:sz w:val="21"/>
                <w:szCs w:val="21"/>
                <w:highlight w:val="none"/>
                <w:lang w:val="en-US" w:eastAsia="zh-CN"/>
              </w:rPr>
              <w:t>银行转账、银行电汇、银行保函、保证保险、国有担保公司出具的保函。</w:t>
            </w:r>
            <w:r>
              <w:rPr>
                <w:rFonts w:hint="eastAsia" w:eastAsia="宋体" w:cs="宋体"/>
                <w:b w:val="0"/>
                <w:bCs w:val="0"/>
                <w:color w:val="auto"/>
                <w:highlight w:val="none"/>
                <w:lang w:eastAsia="zh-CN"/>
              </w:rPr>
              <w:t>（</w:t>
            </w:r>
            <w:r>
              <w:rPr>
                <w:rFonts w:hint="eastAsia" w:eastAsia="宋体" w:cs="宋体"/>
                <w:b w:val="0"/>
                <w:bCs w:val="0"/>
                <w:color w:val="auto"/>
                <w:highlight w:val="none"/>
                <w:lang w:val="en-US" w:eastAsia="zh-CN"/>
              </w:rPr>
              <w:t>无条件保函</w:t>
            </w:r>
            <w:r>
              <w:rPr>
                <w:rFonts w:hint="eastAsia" w:eastAsia="宋体" w:cs="宋体"/>
                <w:b w:val="0"/>
                <w:bCs w:val="0"/>
                <w:color w:val="auto"/>
                <w:highlight w:val="none"/>
                <w:lang w:eastAsia="zh-CN"/>
              </w:rPr>
              <w:t>）</w:t>
            </w:r>
          </w:p>
          <w:p w14:paraId="40BDECA7">
            <w:pPr>
              <w:widowControl/>
              <w:spacing w:line="440" w:lineRule="exac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金   额：</w:t>
            </w:r>
            <w:r>
              <w:rPr>
                <w:rFonts w:hint="eastAsia" w:ascii="宋体" w:hAnsi="宋体" w:eastAsia="宋体" w:cs="宋体"/>
                <w:b w:val="0"/>
                <w:bCs w:val="0"/>
                <w:color w:val="auto"/>
                <w:highlight w:val="none"/>
                <w:lang w:val="en-US" w:eastAsia="zh-CN"/>
              </w:rPr>
              <w:t>合同金额</w:t>
            </w:r>
            <w:r>
              <w:rPr>
                <w:rFonts w:hint="eastAsia" w:ascii="宋体" w:hAnsi="宋体" w:eastAsia="宋体" w:cs="宋体"/>
                <w:b w:val="0"/>
                <w:bCs w:val="0"/>
                <w:color w:val="auto"/>
                <w:highlight w:val="none"/>
              </w:rPr>
              <w:t>*2%</w:t>
            </w:r>
            <w:r>
              <w:rPr>
                <w:rFonts w:hint="eastAsia" w:ascii="宋体" w:hAnsi="宋体" w:cs="宋体"/>
                <w:b w:val="0"/>
                <w:bCs w:val="0"/>
                <w:color w:val="auto"/>
                <w:szCs w:val="21"/>
                <w:highlight w:val="none"/>
              </w:rPr>
              <w:t xml:space="preserve">     </w:t>
            </w:r>
          </w:p>
          <w:p w14:paraId="2F6759C0">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名称：滁州市园林绿化工程有限公司</w:t>
            </w:r>
          </w:p>
          <w:p w14:paraId="3B2096B3">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税号：91341100152622423B</w:t>
            </w:r>
          </w:p>
          <w:p w14:paraId="47A7B17B">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单位地址：安徽省滁州市长江路336号</w:t>
            </w:r>
          </w:p>
          <w:p w14:paraId="4F95E41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电话：0550-3064139</w:t>
            </w:r>
          </w:p>
          <w:p w14:paraId="7B4BBAA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开户银行：农业银行滁州琅琊区支行</w:t>
            </w:r>
          </w:p>
          <w:p w14:paraId="08DCB41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银行账户：</w:t>
            </w:r>
            <w:r>
              <w:rPr>
                <w:rFonts w:hint="eastAsia" w:ascii="宋体" w:hAnsi="宋体" w:cs="宋体"/>
                <w:b w:val="0"/>
                <w:bCs w:val="0"/>
                <w:color w:val="auto"/>
                <w:highlight w:val="none"/>
                <w:lang w:val="en-US" w:eastAsia="zh-CN"/>
              </w:rPr>
              <w:t>12</w:t>
            </w:r>
            <w:r>
              <w:rPr>
                <w:rFonts w:hint="eastAsia" w:ascii="宋体" w:hAnsi="宋体" w:eastAsia="宋体" w:cs="宋体"/>
                <w:b w:val="0"/>
                <w:bCs w:val="0"/>
                <w:color w:val="auto"/>
                <w:highlight w:val="none"/>
                <w:lang w:val="en-US" w:eastAsia="zh-CN"/>
              </w:rPr>
              <w:t xml:space="preserve">330001040007865      </w:t>
            </w:r>
          </w:p>
          <w:p w14:paraId="2CC46304">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注：汇款务必注明缴款人名称及用途。</w:t>
            </w:r>
          </w:p>
          <w:p w14:paraId="0ABD908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履约保证金退还时限：履约保证金有效期满7日内 </w:t>
            </w:r>
          </w:p>
          <w:p w14:paraId="47616CFD">
            <w:pPr>
              <w:widowControl/>
              <w:spacing w:line="440" w:lineRule="exact"/>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其他相关要求：</w:t>
            </w:r>
          </w:p>
          <w:p w14:paraId="74FA0A96">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中标人须在规定时间内足额缴纳履约保证金，如未按期交齐履约保证金或未按期签订合同的，视同放弃中标资格，招标人将扣除投标保证金。履约保证金按要求缴纳的，自合同签订之日起5个工作日内退还中标人的投标保证金。</w:t>
            </w:r>
          </w:p>
          <w:p w14:paraId="1398A2D5">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备注：①保函出具前须取得招标人认可。</w:t>
            </w:r>
          </w:p>
          <w:p w14:paraId="31895BFC">
            <w:pPr>
              <w:widowControl/>
              <w:spacing w:line="440" w:lineRule="exac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highlight w:val="none"/>
                <w:lang w:val="en-US" w:eastAsia="zh-CN"/>
              </w:rPr>
              <w:t>②履约保函格式应按照《住房和城乡建设部关于印发工程保函示范文本的通知》（建市〔2021〕11号）执行。</w:t>
            </w:r>
          </w:p>
        </w:tc>
      </w:tr>
      <w:tr w14:paraId="7A8CA75A">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EF443E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15</w:t>
            </w:r>
          </w:p>
          <w:p w14:paraId="4C4F083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lang w:val="en-US" w:eastAsia="zh-CN"/>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EAB89A7">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color w:val="auto"/>
                <w:position w:val="6"/>
                <w:sz w:val="21"/>
                <w:szCs w:val="21"/>
                <w:highlight w:val="none"/>
                <w:u w:val="none"/>
                <w:lang w:val="en-US" w:eastAsia="zh-CN"/>
              </w:rPr>
              <w:t>项目其他</w:t>
            </w:r>
          </w:p>
          <w:p w14:paraId="077DE6B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cs="宋体"/>
                <w:color w:val="auto"/>
                <w:position w:val="6"/>
                <w:sz w:val="21"/>
                <w:szCs w:val="21"/>
                <w:highlight w:val="none"/>
                <w:u w:val="none"/>
                <w:lang w:val="en-US" w:eastAsia="zh-CN"/>
              </w:rPr>
              <w:t xml:space="preserve"> </w:t>
            </w:r>
            <w:r>
              <w:rPr>
                <w:rFonts w:hint="eastAsia" w:ascii="宋体" w:hAnsi="宋体" w:eastAsia="宋体" w:cs="宋体"/>
                <w:color w:val="auto"/>
                <w:position w:val="6"/>
                <w:sz w:val="21"/>
                <w:szCs w:val="21"/>
                <w:highlight w:val="none"/>
                <w:u w:val="none"/>
                <w:lang w:val="en-US" w:eastAsia="zh-CN"/>
              </w:rPr>
              <w:t>相关要求</w:t>
            </w:r>
          </w:p>
          <w:p w14:paraId="560E7270">
            <w:pPr>
              <w:keepNext w:val="0"/>
              <w:keepLines w:val="0"/>
              <w:pageBreakBefore w:val="0"/>
              <w:kinsoku/>
              <w:wordWrap/>
              <w:overflowPunct/>
              <w:topLinePunct w:val="0"/>
              <w:autoSpaceDE/>
              <w:autoSpaceDN/>
              <w:bidi w:val="0"/>
              <w:adjustRightInd/>
              <w:snapToGrid/>
              <w:spacing w:line="350" w:lineRule="exact"/>
              <w:jc w:val="center"/>
              <w:textAlignment w:val="auto"/>
              <w:rPr>
                <w:rFonts w:hint="eastAsia" w:ascii="宋体" w:hAnsi="宋体" w:cs="宋体"/>
                <w:color w:val="auto"/>
                <w:kern w:val="0"/>
                <w:sz w:val="21"/>
                <w:szCs w:val="21"/>
                <w:highlight w:val="none"/>
                <w:lang w:val="en-US" w:eastAsia="zh-CN"/>
              </w:rPr>
            </w:pPr>
          </w:p>
        </w:tc>
        <w:tc>
          <w:tcPr>
            <w:tcW w:w="8512" w:type="dxa"/>
            <w:tcBorders>
              <w:top w:val="single" w:color="auto" w:sz="4" w:space="0"/>
              <w:left w:val="single" w:color="auto" w:sz="4" w:space="0"/>
              <w:bottom w:val="single" w:color="auto" w:sz="4" w:space="0"/>
              <w:right w:val="single" w:color="auto" w:sz="8" w:space="0"/>
            </w:tcBorders>
            <w:noWrap w:val="0"/>
            <w:vAlign w:val="center"/>
          </w:tcPr>
          <w:p w14:paraId="76B4EDE8">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color w:val="auto"/>
                <w:position w:val="6"/>
                <w:sz w:val="21"/>
                <w:szCs w:val="21"/>
                <w:highlight w:val="none"/>
                <w:u w:val="none"/>
                <w:lang w:val="en-US" w:eastAsia="zh-CN"/>
              </w:rPr>
              <w:t>（</w:t>
            </w:r>
            <w:r>
              <w:rPr>
                <w:rFonts w:hint="eastAsia" w:ascii="宋体" w:hAnsi="宋体" w:eastAsia="宋体" w:cs="宋体"/>
                <w:b w:val="0"/>
                <w:bCs w:val="0"/>
                <w:color w:val="auto"/>
                <w:highlight w:val="none"/>
                <w:lang w:val="en-US" w:eastAsia="zh-CN"/>
              </w:rPr>
              <w:t>一）供货周期内</w:t>
            </w:r>
            <w:r>
              <w:rPr>
                <w:rFonts w:hint="eastAsia" w:ascii="宋体" w:hAnsi="宋体" w:cs="宋体"/>
                <w:b w:val="0"/>
                <w:bCs w:val="0"/>
                <w:color w:val="auto"/>
                <w:highlight w:val="none"/>
                <w:lang w:val="en-US" w:eastAsia="zh-CN"/>
              </w:rPr>
              <w:t>投标综合</w:t>
            </w:r>
            <w:r>
              <w:rPr>
                <w:rFonts w:hint="eastAsia" w:ascii="宋体" w:hAnsi="宋体" w:eastAsia="宋体" w:cs="宋体"/>
                <w:b w:val="0"/>
                <w:bCs w:val="0"/>
                <w:color w:val="auto"/>
                <w:highlight w:val="none"/>
                <w:lang w:val="en-US" w:eastAsia="zh-CN"/>
              </w:rPr>
              <w:t>单价不调整。</w:t>
            </w:r>
          </w:p>
          <w:p w14:paraId="258EEEB2">
            <w:pPr>
              <w:widowControl/>
              <w:spacing w:line="440" w:lineRule="exact"/>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b w:val="0"/>
                <w:bCs w:val="0"/>
                <w:color w:val="auto"/>
                <w:highlight w:val="none"/>
                <w:lang w:val="en-US" w:eastAsia="zh-CN"/>
              </w:rPr>
              <w:t>（二）投标人自行勘察现场，地形条件、周边交通等因素由投标人综合考虑在报价中，后期不得以任何理由要求调整费用。</w:t>
            </w:r>
          </w:p>
        </w:tc>
      </w:tr>
      <w:tr w14:paraId="3DEE46DD">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387417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16</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B663BE">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其它</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43473785">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.中标人未履行下述义务的，招标人将依法对中标人 进行处理，追究相关责任：①招标文件载明在规定期限内中标人应领取《中标通知书》，若中标人未在规定期限内领取《中标通知书》，招标人有权取消中标人中标资格，并将相关违约行为报送监管部门，实施信用惩戒； </w:t>
            </w:r>
          </w:p>
          <w:p w14:paraId="1BBE45E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②中标人应在规定期限内提交履约担保并与招标人签订合同， 若中标人未能在规定期限内提交履约担保或签订合同，招标人有权取消中标人中标资格，并将相关违约行为报送监管部门，记不良行为记录，实施信用惩戒； </w:t>
            </w:r>
          </w:p>
          <w:p w14:paraId="2132AE2F">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③合同签订后，中标人存在规定时间内不组织人员进场开工、不履行供货安装义务等情况，招标人有权解除合同，并追究违约责任，同时将相关违约行为报送监管部门，记不良行为记录， 实施信用惩戒； </w:t>
            </w:r>
          </w:p>
          <w:p w14:paraId="41C1B0C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④中标人中标后被监管部门查实存在违法行为，不满足中标条件的，中标无效，并做好项目后续工作； </w:t>
            </w:r>
          </w:p>
          <w:p w14:paraId="09B5241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⑤中标人在中标项目发生投诉、信访举报案件、履约存在争议时，拒绝协助配合执法部门调查案件的，招标人可以取消其中标资格或解除合同。 </w:t>
            </w:r>
          </w:p>
        </w:tc>
      </w:tr>
      <w:tr w14:paraId="67631CD7">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7AC78FA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17</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59A57D">
            <w:pPr>
              <w:keepNext w:val="0"/>
              <w:keepLines w:val="0"/>
              <w:pageBreakBefore w:val="0"/>
              <w:kinsoku/>
              <w:wordWrap/>
              <w:overflowPunct/>
              <w:topLinePunct w:val="0"/>
              <w:autoSpaceDE/>
              <w:autoSpaceDN/>
              <w:bidi w:val="0"/>
              <w:adjustRightInd/>
              <w:snapToGrid/>
              <w:spacing w:line="350" w:lineRule="exact"/>
              <w:textAlignment w:val="auto"/>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color w:val="auto"/>
                <w:position w:val="6"/>
                <w:sz w:val="21"/>
                <w:szCs w:val="21"/>
                <w:highlight w:val="none"/>
                <w:u w:val="none"/>
                <w:lang w:val="en-US" w:eastAsia="zh-CN"/>
              </w:rPr>
              <w:t>取消中标资格</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529F1BBA">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cs="宋体"/>
                <w:b w:val="0"/>
                <w:bCs w:val="0"/>
                <w:color w:val="auto"/>
                <w:highlight w:val="none"/>
                <w:lang w:val="en-US" w:eastAsia="zh-CN"/>
              </w:rPr>
              <w:t>存</w:t>
            </w:r>
            <w:r>
              <w:rPr>
                <w:rFonts w:hint="eastAsia" w:ascii="宋体" w:hAnsi="宋体" w:eastAsia="宋体" w:cs="宋体"/>
                <w:b w:val="0"/>
                <w:bCs w:val="0"/>
                <w:color w:val="auto"/>
                <w:highlight w:val="none"/>
                <w:lang w:val="en-US" w:eastAsia="zh-CN"/>
              </w:rPr>
              <w:t xml:space="preserve">在以下情形的，取消中标资格，一年内不得参与我公司所有项目投标，情节严重的，提请相关行政执法部门进行处罚： </w:t>
            </w:r>
          </w:p>
          <w:p w14:paraId="4E243E09">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（1）拟派项目负责人不能满足招标文件中投标人须知的；</w:t>
            </w:r>
          </w:p>
          <w:p w14:paraId="06C2EECE">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（2）开标现场要求到场人员或参加约谈人员冒名顶替的；</w:t>
            </w:r>
          </w:p>
          <w:p w14:paraId="248A9C57">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（3）投标文件弄虚作假的，考察结果与投标文件不符，或所报项目存在违约行为的； </w:t>
            </w:r>
          </w:p>
          <w:p w14:paraId="6E423090">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（4）投标或履约保函造假； </w:t>
            </w:r>
          </w:p>
          <w:p w14:paraId="365B1DB5">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（5）工程开工首周首月人员考勤考核不合格，发包人终止合同的； </w:t>
            </w:r>
          </w:p>
          <w:p w14:paraId="2326542D">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（6）未经业主同意擅自变更项目负责人（建造师）的； </w:t>
            </w:r>
          </w:p>
          <w:p w14:paraId="732E8DBA">
            <w:pPr>
              <w:widowControl/>
              <w:spacing w:line="440" w:lineRule="exact"/>
              <w:rPr>
                <w:rFonts w:hint="eastAsia" w:ascii="宋体" w:hAnsi="宋体" w:eastAsia="宋体" w:cs="宋体"/>
                <w:color w:val="auto"/>
                <w:position w:val="6"/>
                <w:sz w:val="21"/>
                <w:szCs w:val="21"/>
                <w:highlight w:val="none"/>
                <w:u w:val="none"/>
                <w:lang w:val="en-US" w:eastAsia="zh-CN"/>
              </w:rPr>
            </w:pPr>
            <w:r>
              <w:rPr>
                <w:rFonts w:hint="eastAsia" w:ascii="宋体" w:hAnsi="宋体" w:eastAsia="宋体" w:cs="宋体"/>
                <w:b w:val="0"/>
                <w:bCs w:val="0"/>
                <w:color w:val="auto"/>
                <w:highlight w:val="none"/>
                <w:lang w:val="en-US" w:eastAsia="zh-CN"/>
              </w:rPr>
              <w:t>（7）其他违反招标文件及合同情形的。</w:t>
            </w:r>
          </w:p>
        </w:tc>
      </w:tr>
      <w:tr w14:paraId="1851D5AA">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5DA0D0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lang w:val="en-US" w:eastAsia="zh-CN"/>
              </w:rPr>
            </w:pPr>
            <w:r>
              <w:rPr>
                <w:rFonts w:hint="eastAsia" w:ascii="宋体" w:hAnsi="宋体" w:cs="宋体"/>
                <w:color w:val="auto"/>
                <w:kern w:val="0"/>
                <w:lang w:val="en-US" w:eastAsia="zh-CN"/>
              </w:rPr>
              <w:t>19</w:t>
            </w:r>
          </w:p>
        </w:tc>
        <w:tc>
          <w:tcPr>
            <w:tcW w:w="118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5CBF87">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中标候选人考察</w:t>
            </w:r>
          </w:p>
        </w:tc>
        <w:tc>
          <w:tcPr>
            <w:tcW w:w="8512" w:type="dxa"/>
            <w:tcBorders>
              <w:top w:val="single" w:color="auto" w:sz="4" w:space="0"/>
              <w:left w:val="single" w:color="auto" w:sz="4" w:space="0"/>
              <w:bottom w:val="single" w:color="auto" w:sz="4" w:space="0"/>
              <w:right w:val="single" w:color="auto" w:sz="8" w:space="0"/>
            </w:tcBorders>
            <w:shd w:val="clear" w:color="auto" w:fill="auto"/>
            <w:noWrap w:val="0"/>
            <w:vAlign w:val="center"/>
          </w:tcPr>
          <w:p w14:paraId="153E98E6">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招标人将保留对中标候选人所提供的业绩材料、资格审查提供的证明材料等情况进行实地考察的权利，若考察发现有弄虚作假情形，将取消其中标资格。</w:t>
            </w:r>
          </w:p>
        </w:tc>
      </w:tr>
      <w:tr w14:paraId="2ECC6FE6">
        <w:tblPrEx>
          <w:tblCellMar>
            <w:top w:w="0" w:type="dxa"/>
            <w:left w:w="0" w:type="dxa"/>
            <w:bottom w:w="0" w:type="dxa"/>
            <w:right w:w="0" w:type="dxa"/>
          </w:tblCellMar>
        </w:tblPrEx>
        <w:trPr>
          <w:trHeight w:val="370" w:hRule="atLeast"/>
        </w:trPr>
        <w:tc>
          <w:tcPr>
            <w:tcW w:w="563" w:type="dxa"/>
            <w:tcBorders>
              <w:top w:val="single" w:color="auto" w:sz="4" w:space="0"/>
              <w:left w:val="single" w:color="auto" w:sz="8" w:space="0"/>
              <w:bottom w:val="single" w:color="auto" w:sz="4" w:space="0"/>
              <w:right w:val="single" w:color="auto" w:sz="8" w:space="0"/>
            </w:tcBorders>
            <w:noWrap w:val="0"/>
            <w:vAlign w:val="center"/>
          </w:tcPr>
          <w:p w14:paraId="0167EAE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cs="宋体"/>
                <w:color w:val="auto"/>
                <w:kern w:val="0"/>
                <w:lang w:val="en-US" w:eastAsia="zh-CN"/>
              </w:rPr>
            </w:pPr>
            <w:r>
              <w:rPr>
                <w:rFonts w:hint="eastAsia" w:ascii="宋体" w:hAnsi="宋体" w:cs="宋体"/>
                <w:color w:val="auto"/>
                <w:kern w:val="0"/>
                <w:lang w:val="en-US" w:eastAsia="zh-CN"/>
              </w:rPr>
              <w:t>20</w:t>
            </w:r>
          </w:p>
        </w:tc>
        <w:tc>
          <w:tcPr>
            <w:tcW w:w="9697" w:type="dxa"/>
            <w:gridSpan w:val="2"/>
            <w:tcBorders>
              <w:top w:val="single" w:color="auto" w:sz="4" w:space="0"/>
              <w:left w:val="single" w:color="auto" w:sz="4" w:space="0"/>
              <w:bottom w:val="single" w:color="auto" w:sz="4" w:space="0"/>
              <w:right w:val="single" w:color="auto" w:sz="8" w:space="0"/>
            </w:tcBorders>
            <w:shd w:val="clear" w:color="auto" w:fill="auto"/>
            <w:noWrap w:val="0"/>
            <w:vAlign w:val="center"/>
          </w:tcPr>
          <w:p w14:paraId="2993FC61">
            <w:pPr>
              <w:widowControl/>
              <w:spacing w:line="440" w:lineRule="exac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中标后，中标单位必须本着诚信的原则编制结算造价，如果中标单位报送的结算造价最终核减额在核定总价的10%以上，为不合理报送，中标单位须无条件接受超出部分最终核减额的10%扣款处罚，并接受</w:t>
            </w:r>
            <w:r>
              <w:rPr>
                <w:rFonts w:hint="eastAsia" w:ascii="宋体" w:hAnsi="宋体" w:cs="宋体"/>
                <w:b w:val="0"/>
                <w:bCs w:val="0"/>
                <w:color w:val="auto"/>
                <w:highlight w:val="none"/>
                <w:lang w:val="en-US" w:eastAsia="zh-CN"/>
              </w:rPr>
              <w:t>招标人</w:t>
            </w:r>
            <w:r>
              <w:rPr>
                <w:rFonts w:hint="eastAsia" w:ascii="宋体" w:hAnsi="宋体" w:eastAsia="宋体" w:cs="宋体"/>
                <w:b w:val="0"/>
                <w:bCs w:val="0"/>
                <w:color w:val="auto"/>
                <w:highlight w:val="none"/>
                <w:lang w:val="en-US" w:eastAsia="zh-CN"/>
              </w:rPr>
              <w:t>有权将中标单位列入不诚信合作单位名单，直至取消之后中标单位在</w:t>
            </w:r>
            <w:r>
              <w:rPr>
                <w:rFonts w:hint="eastAsia" w:ascii="宋体" w:hAnsi="宋体" w:cs="宋体"/>
                <w:b w:val="0"/>
                <w:bCs w:val="0"/>
                <w:color w:val="auto"/>
                <w:highlight w:val="none"/>
                <w:lang w:val="en-US" w:eastAsia="zh-CN"/>
              </w:rPr>
              <w:t>招标人</w:t>
            </w:r>
            <w:r>
              <w:rPr>
                <w:rFonts w:hint="eastAsia" w:ascii="宋体" w:hAnsi="宋体" w:eastAsia="宋体" w:cs="宋体"/>
                <w:b w:val="0"/>
                <w:bCs w:val="0"/>
                <w:color w:val="auto"/>
                <w:highlight w:val="none"/>
                <w:lang w:val="en-US" w:eastAsia="zh-CN"/>
              </w:rPr>
              <w:t>投标的权利。</w:t>
            </w:r>
          </w:p>
        </w:tc>
      </w:tr>
    </w:tbl>
    <w:p w14:paraId="309F7BB9">
      <w:pPr>
        <w:spacing w:line="360" w:lineRule="exact"/>
        <w:ind w:firstLine="3500" w:firstLineChars="1250"/>
        <w:rPr>
          <w:rFonts w:hint="eastAsia" w:ascii="宋体" w:hAnsi="宋体" w:eastAsia="宋体" w:cs="宋体"/>
          <w:bCs/>
          <w:color w:val="auto"/>
          <w:sz w:val="28"/>
          <w:szCs w:val="28"/>
        </w:rPr>
      </w:pPr>
    </w:p>
    <w:p w14:paraId="1CD26315">
      <w:pPr>
        <w:pStyle w:val="2"/>
        <w:spacing w:before="0" w:after="0"/>
        <w:rPr>
          <w:rFonts w:hint="eastAsia" w:ascii="宋体" w:hAnsi="宋体" w:eastAsia="宋体" w:cs="宋体"/>
          <w:color w:val="auto"/>
          <w:highlight w:val="none"/>
        </w:rPr>
      </w:pPr>
    </w:p>
    <w:p w14:paraId="6F6875F8">
      <w:pPr>
        <w:pStyle w:val="2"/>
        <w:spacing w:before="0" w:after="0"/>
        <w:rPr>
          <w:rFonts w:hint="eastAsia" w:ascii="宋体" w:hAnsi="宋体" w:eastAsia="宋体" w:cs="宋体"/>
          <w:color w:val="auto"/>
          <w:highlight w:val="none"/>
        </w:rPr>
      </w:pPr>
      <w:bookmarkStart w:id="1" w:name="_Toc296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章投标须知</w:t>
      </w:r>
      <w:bookmarkEnd w:id="1"/>
    </w:p>
    <w:p w14:paraId="4C9A1375">
      <w:pPr>
        <w:spacing w:line="400" w:lineRule="exact"/>
        <w:jc w:val="center"/>
        <w:outlineLvl w:val="1"/>
        <w:rPr>
          <w:rFonts w:hint="eastAsia" w:ascii="宋体" w:hAnsi="宋体" w:eastAsia="宋体" w:cs="宋体"/>
          <w:b/>
          <w:bCs/>
          <w:color w:val="auto"/>
          <w:sz w:val="28"/>
          <w:highlight w:val="none"/>
        </w:rPr>
      </w:pPr>
      <w:bookmarkStart w:id="2" w:name="_Toc515"/>
      <w:bookmarkStart w:id="3" w:name="_Toc28946"/>
      <w:r>
        <w:rPr>
          <w:rFonts w:hint="eastAsia" w:ascii="宋体" w:hAnsi="宋体" w:eastAsia="宋体" w:cs="宋体"/>
          <w:b/>
          <w:bCs/>
          <w:color w:val="auto"/>
          <w:sz w:val="28"/>
          <w:highlight w:val="none"/>
        </w:rPr>
        <w:t>一、总  则</w:t>
      </w:r>
      <w:bookmarkEnd w:id="2"/>
      <w:bookmarkEnd w:id="3"/>
    </w:p>
    <w:p w14:paraId="10F9BD4D">
      <w:pPr>
        <w:keepNext w:val="0"/>
        <w:keepLines w:val="0"/>
        <w:pageBreakBefore w:val="0"/>
        <w:widowControl w:val="0"/>
        <w:kinsoku/>
        <w:wordWrap/>
        <w:overflowPunct/>
        <w:topLinePunct w:val="0"/>
        <w:autoSpaceDE/>
        <w:autoSpaceDN/>
        <w:bidi w:val="0"/>
        <w:adjustRightInd/>
        <w:snapToGrid/>
        <w:spacing w:line="510" w:lineRule="exact"/>
        <w:ind w:left="0" w:left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6F0EFCB6">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1.1本次招标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cs="宋体"/>
          <w:color w:val="auto"/>
          <w:sz w:val="21"/>
          <w:szCs w:val="21"/>
          <w:highlight w:val="none"/>
          <w:lang w:eastAsia="zh-CN"/>
        </w:rPr>
        <w:t>亭城玺悦里项目园林景观工程（红线内）石材采购</w:t>
      </w:r>
    </w:p>
    <w:p w14:paraId="24A206ED">
      <w:pPr>
        <w:keepNext w:val="0"/>
        <w:keepLines w:val="0"/>
        <w:pageBreakBefore w:val="0"/>
        <w:widowControl w:val="0"/>
        <w:kinsoku/>
        <w:wordWrap/>
        <w:overflowPunct/>
        <w:topLinePunct w:val="0"/>
        <w:autoSpaceDE/>
        <w:autoSpaceDN/>
        <w:bidi w:val="0"/>
        <w:adjustRightInd/>
        <w:snapToGrid/>
        <w:spacing w:line="510" w:lineRule="exact"/>
        <w:ind w:left="1050" w:leftChars="0" w:hanging="1050" w:hangingChars="5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工程地址：</w:t>
      </w:r>
      <w:r>
        <w:rPr>
          <w:rFonts w:hint="eastAsia" w:ascii="宋体" w:hAnsi="宋体" w:eastAsia="宋体" w:cs="宋体"/>
          <w:color w:val="auto"/>
          <w:sz w:val="21"/>
          <w:szCs w:val="21"/>
          <w:highlight w:val="none"/>
          <w:u w:val="single"/>
        </w:rPr>
        <w:t>滁州市</w:t>
      </w:r>
      <w:r>
        <w:rPr>
          <w:rFonts w:hint="eastAsia" w:ascii="宋体" w:hAnsi="宋体" w:eastAsia="宋体" w:cs="宋体"/>
          <w:color w:val="auto"/>
          <w:sz w:val="21"/>
          <w:szCs w:val="21"/>
          <w:highlight w:val="none"/>
          <w:u w:val="single"/>
          <w:lang w:val="en-US" w:eastAsia="zh-CN"/>
        </w:rPr>
        <w:t>内</w:t>
      </w:r>
    </w:p>
    <w:p w14:paraId="6BCEA7F2">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u w:val="single"/>
          <w:lang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单位：</w:t>
      </w:r>
      <w:r>
        <w:rPr>
          <w:rFonts w:hint="eastAsia" w:ascii="宋体" w:hAnsi="宋体" w:cs="宋体"/>
          <w:color w:val="auto"/>
          <w:szCs w:val="21"/>
          <w:u w:val="single"/>
          <w:lang w:eastAsia="zh-CN"/>
        </w:rPr>
        <w:t>滁州市园林绿化工程有限公司</w:t>
      </w:r>
      <w:r>
        <w:rPr>
          <w:rFonts w:hint="eastAsia" w:ascii="宋体" w:hAnsi="宋体" w:eastAsia="宋体" w:cs="宋体"/>
          <w:color w:val="auto"/>
          <w:szCs w:val="21"/>
          <w:u w:val="single"/>
        </w:rPr>
        <w:t xml:space="preserve"> </w:t>
      </w:r>
    </w:p>
    <w:p w14:paraId="1C1FD52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本</w:t>
      </w:r>
      <w:r>
        <w:rPr>
          <w:rFonts w:hint="eastAsia" w:ascii="宋体" w:hAnsi="宋体" w:cs="宋体"/>
          <w:color w:val="auto"/>
          <w:sz w:val="21"/>
          <w:szCs w:val="21"/>
          <w:highlight w:val="none"/>
          <w:lang w:val="en-US" w:eastAsia="zh-CN"/>
        </w:rPr>
        <w:t>项目采购内容</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石材采购</w:t>
      </w:r>
      <w:r>
        <w:rPr>
          <w:rFonts w:hint="eastAsia" w:ascii="宋体" w:hAnsi="宋体" w:eastAsia="宋体" w:cs="宋体"/>
          <w:color w:val="auto"/>
          <w:sz w:val="21"/>
          <w:szCs w:val="21"/>
          <w:highlight w:val="none"/>
        </w:rPr>
        <w:t xml:space="preserve">，最终按实际结算。 </w:t>
      </w:r>
      <w:r>
        <w:rPr>
          <w:rFonts w:hint="eastAsia" w:ascii="宋体" w:hAnsi="宋体" w:cs="宋体"/>
          <w:color w:val="auto"/>
          <w:sz w:val="21"/>
          <w:szCs w:val="21"/>
          <w:highlight w:val="none"/>
          <w:lang w:val="en-US" w:eastAsia="zh-CN"/>
        </w:rPr>
        <w:t xml:space="preserve"> </w:t>
      </w:r>
    </w:p>
    <w:p w14:paraId="4D30B02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r>
        <w:rPr>
          <w:rFonts w:hint="eastAsia" w:ascii="宋体" w:hAnsi="宋体" w:eastAsia="宋体" w:cs="宋体"/>
          <w:color w:val="auto"/>
          <w:szCs w:val="21"/>
        </w:rPr>
        <w:t>本</w:t>
      </w:r>
      <w:r>
        <w:rPr>
          <w:rFonts w:hint="eastAsia" w:ascii="宋体" w:hAnsi="宋体" w:eastAsia="宋体" w:cs="宋体"/>
          <w:color w:val="auto"/>
          <w:szCs w:val="21"/>
          <w:lang w:val="en-US" w:eastAsia="zh-CN"/>
        </w:rPr>
        <w:t>项目估算价</w:t>
      </w:r>
      <w:r>
        <w:rPr>
          <w:rFonts w:hint="eastAsia" w:ascii="宋体" w:hAnsi="宋体" w:cs="宋体"/>
          <w:color w:val="auto"/>
          <w:szCs w:val="21"/>
          <w:lang w:val="en-US" w:eastAsia="zh-CN"/>
        </w:rPr>
        <w:t>为1336356.44元</w:t>
      </w:r>
    </w:p>
    <w:p w14:paraId="52F35130">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招标范围</w:t>
      </w:r>
    </w:p>
    <w:p w14:paraId="1431CFFA">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2.1按招标人要求供应石材。</w:t>
      </w:r>
    </w:p>
    <w:p w14:paraId="0292878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4.供货工期要求</w:t>
      </w:r>
    </w:p>
    <w:p w14:paraId="1657B9E4">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宋体"/>
          <w:color w:val="auto"/>
          <w:kern w:val="0"/>
          <w:szCs w:val="21"/>
          <w:highlight w:val="none"/>
          <w:lang w:val="en-US"/>
        </w:rPr>
      </w:pPr>
      <w:r>
        <w:rPr>
          <w:rFonts w:hint="default" w:ascii="宋体" w:hAnsi="宋体" w:eastAsia="宋体" w:cs="宋体"/>
          <w:color w:val="auto"/>
          <w:kern w:val="0"/>
          <w:szCs w:val="21"/>
          <w:highlight w:val="none"/>
          <w:lang w:val="en-US"/>
        </w:rPr>
        <w:t>（一）投标单位应根据招标人计划安排进场施工，不高于</w:t>
      </w:r>
      <w:r>
        <w:rPr>
          <w:rFonts w:hint="eastAsia" w:ascii="宋体" w:hAnsi="宋体" w:cs="宋体"/>
          <w:color w:val="auto"/>
          <w:kern w:val="0"/>
          <w:szCs w:val="21"/>
          <w:highlight w:val="none"/>
          <w:lang w:val="en-US" w:eastAsia="zh-CN"/>
        </w:rPr>
        <w:t>180</w:t>
      </w:r>
      <w:r>
        <w:rPr>
          <w:rFonts w:hint="default" w:ascii="宋体" w:hAnsi="宋体" w:eastAsia="宋体" w:cs="宋体"/>
          <w:color w:val="auto"/>
          <w:kern w:val="0"/>
          <w:szCs w:val="21"/>
          <w:highlight w:val="none"/>
          <w:lang w:val="en-US"/>
        </w:rPr>
        <w:t>个日历天。</w:t>
      </w:r>
    </w:p>
    <w:p w14:paraId="0312AE0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Cs/>
          <w:color w:val="auto"/>
          <w:sz w:val="21"/>
          <w:szCs w:val="21"/>
          <w:highlight w:val="none"/>
        </w:rPr>
      </w:pPr>
      <w:r>
        <w:rPr>
          <w:rFonts w:hint="default" w:ascii="宋体" w:hAnsi="宋体" w:eastAsia="宋体" w:cs="宋体"/>
          <w:color w:val="auto"/>
          <w:kern w:val="0"/>
          <w:szCs w:val="21"/>
          <w:highlight w:val="none"/>
          <w:lang w:val="en-US"/>
        </w:rPr>
        <w:t xml:space="preserve"> （二）若中标人未能按招标人要求的供货时间供货的，招标人有权解除合同并向中标人追偿损失。</w:t>
      </w:r>
    </w:p>
    <w:p w14:paraId="07BAC4A8">
      <w:pPr>
        <w:keepNext w:val="0"/>
        <w:keepLines w:val="0"/>
        <w:pageBreakBefore w:val="0"/>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5.质量要求</w:t>
      </w:r>
    </w:p>
    <w:p w14:paraId="110C5C7A">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5.1</w:t>
      </w:r>
      <w:r>
        <w:rPr>
          <w:rFonts w:hint="eastAsia" w:ascii="宋体" w:hAnsi="宋体" w:eastAsia="宋体" w:cs="宋体"/>
          <w:color w:val="auto"/>
          <w:sz w:val="21"/>
          <w:szCs w:val="21"/>
          <w:highlight w:val="none"/>
          <w:lang w:val="en-US" w:eastAsia="zh-CN"/>
        </w:rPr>
        <w:t>详见《投标须知前附表》要求</w:t>
      </w:r>
      <w:r>
        <w:rPr>
          <w:rFonts w:hint="eastAsia" w:ascii="宋体" w:hAnsi="宋体" w:eastAsia="宋体" w:cs="宋体"/>
          <w:color w:val="auto"/>
          <w:sz w:val="21"/>
          <w:szCs w:val="21"/>
          <w:highlight w:val="none"/>
        </w:rPr>
        <w:t>。</w:t>
      </w:r>
    </w:p>
    <w:p w14:paraId="7C9EC063">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0F6BEEFF">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详见《投标须知前附表》要求。</w:t>
      </w:r>
    </w:p>
    <w:p w14:paraId="48D2FBD1">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16621F3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自筹</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6D4046E6">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555A0B78">
      <w:pPr>
        <w:keepNext w:val="0"/>
        <w:keepLines w:val="0"/>
        <w:pageBreakBefore w:val="0"/>
        <w:widowControl w:val="0"/>
        <w:kinsoku/>
        <w:wordWrap/>
        <w:overflowPunct/>
        <w:topLinePunct w:val="0"/>
        <w:autoSpaceDE/>
        <w:autoSpaceDN/>
        <w:bidi w:val="0"/>
        <w:spacing w:line="51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个标段  </w:t>
      </w:r>
    </w:p>
    <w:p w14:paraId="29C1A234">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615B2A7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公开招标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DE62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0BB05BA8">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rPr>
        <w:t>固定</w:t>
      </w:r>
      <w:r>
        <w:rPr>
          <w:rFonts w:hint="eastAsia" w:ascii="宋体" w:hAnsi="宋体" w:cs="宋体"/>
          <w:color w:val="auto"/>
          <w:sz w:val="21"/>
          <w:szCs w:val="21"/>
          <w:highlight w:val="none"/>
          <w:u w:val="single"/>
          <w:lang w:val="en-US" w:eastAsia="zh-CN"/>
        </w:rPr>
        <w:t>单价</w:t>
      </w:r>
      <w:r>
        <w:rPr>
          <w:rFonts w:hint="eastAsia" w:ascii="宋体" w:hAnsi="宋体" w:eastAsia="宋体" w:cs="宋体"/>
          <w:color w:val="auto"/>
          <w:sz w:val="21"/>
          <w:szCs w:val="21"/>
          <w:highlight w:val="none"/>
        </w:rPr>
        <w:t>。</w:t>
      </w:r>
    </w:p>
    <w:p w14:paraId="23BE0D7A">
      <w:pPr>
        <w:keepNext w:val="0"/>
        <w:keepLines w:val="0"/>
        <w:pageBreakBefore w:val="0"/>
        <w:widowControl w:val="0"/>
        <w:kinsoku/>
        <w:wordWrap/>
        <w:overflowPunct/>
        <w:topLinePunct w:val="0"/>
        <w:autoSpaceDE/>
        <w:autoSpaceDN/>
        <w:bidi w:val="0"/>
        <w:spacing w:line="51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11B3B85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 xml:space="preserve"> 经评审的最低价法（以不含税报价评审）</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C792C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4" w:name="_Toc29988"/>
    </w:p>
    <w:p w14:paraId="602A4F6F">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highlight w:val="none"/>
        </w:rPr>
      </w:pPr>
      <w:bookmarkStart w:id="5" w:name="_Toc27183"/>
      <w:r>
        <w:rPr>
          <w:rFonts w:hint="eastAsia" w:ascii="宋体" w:hAnsi="宋体" w:eastAsia="宋体" w:cs="宋体"/>
          <w:color w:val="auto"/>
          <w:sz w:val="28"/>
          <w:highlight w:val="none"/>
        </w:rPr>
        <w:t>二、招标文件</w:t>
      </w:r>
      <w:bookmarkEnd w:id="4"/>
      <w:bookmarkEnd w:id="5"/>
    </w:p>
    <w:p w14:paraId="5058B600">
      <w:pPr>
        <w:keepNext w:val="0"/>
        <w:keepLines w:val="0"/>
        <w:pageBreakBefore w:val="0"/>
        <w:widowControl w:val="0"/>
        <w:kinsoku/>
        <w:wordWrap/>
        <w:overflowPunct/>
        <w:topLinePunct w:val="0"/>
        <w:autoSpaceDE/>
        <w:autoSpaceDN/>
        <w:bidi w:val="0"/>
        <w:spacing w:line="510" w:lineRule="exact"/>
        <w:jc w:val="center"/>
        <w:textAlignment w:val="auto"/>
        <w:rPr>
          <w:rFonts w:hint="eastAsia" w:ascii="宋体" w:hAnsi="宋体" w:eastAsia="宋体" w:cs="宋体"/>
          <w:color w:val="auto"/>
          <w:sz w:val="28"/>
          <w:highlight w:val="none"/>
        </w:rPr>
      </w:pPr>
    </w:p>
    <w:p w14:paraId="75F8D2D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招标文件的编制依据</w:t>
      </w:r>
    </w:p>
    <w:p w14:paraId="6CA59BA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   根据《中华人民共和国招标投标法》、《工程建设项目施工招标投标办法》（七部委联合部令第30号）等相关法律法规和规章及部、省、市级规范性文件的规定，编制本招标文件。</w:t>
      </w:r>
    </w:p>
    <w:p w14:paraId="7801DC49">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0A32E5D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  招标文件包括内容：</w:t>
      </w:r>
    </w:p>
    <w:p w14:paraId="116F9DD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14:paraId="2E1DC6E6">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cs="宋体"/>
          <w:color w:val="auto"/>
          <w:sz w:val="21"/>
          <w:szCs w:val="21"/>
          <w:highlight w:val="none"/>
          <w:lang w:val="en-US" w:eastAsia="zh-CN"/>
        </w:rPr>
        <w:t>评标办法</w:t>
      </w:r>
    </w:p>
    <w:p w14:paraId="05EABB5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第三章  服务要求</w:t>
      </w:r>
    </w:p>
    <w:p w14:paraId="60917EE1">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rPr>
        <w:t>章  合同条款</w:t>
      </w:r>
    </w:p>
    <w:p w14:paraId="3CD61608">
      <w:pPr>
        <w:keepNext w:val="0"/>
        <w:keepLines w:val="0"/>
        <w:pageBreakBefore w:val="0"/>
        <w:widowControl w:val="0"/>
        <w:kinsoku/>
        <w:wordWrap/>
        <w:overflowPunct/>
        <w:topLinePunct w:val="0"/>
        <w:autoSpaceDE/>
        <w:autoSpaceDN/>
        <w:bidi w:val="0"/>
        <w:spacing w:line="510" w:lineRule="exact"/>
        <w:ind w:firstLine="1050" w:firstLineChars="5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rPr>
        <w:t>章  投标文件格式</w:t>
      </w:r>
    </w:p>
    <w:p w14:paraId="469F004A">
      <w:pPr>
        <w:keepNext w:val="0"/>
        <w:keepLines w:val="0"/>
        <w:pageBreakBefore w:val="0"/>
        <w:widowControl w:val="0"/>
        <w:kinsoku/>
        <w:wordWrap/>
        <w:overflowPunct/>
        <w:topLinePunct w:val="0"/>
        <w:autoSpaceDE/>
        <w:autoSpaceDN/>
        <w:bidi w:val="0"/>
        <w:adjustRightInd w:val="0"/>
        <w:snapToGrid w:val="0"/>
        <w:spacing w:line="510" w:lineRule="exact"/>
        <w:ind w:firstLine="1050" w:firstLineChars="5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cs="宋体"/>
          <w:color w:val="auto"/>
          <w:sz w:val="21"/>
          <w:szCs w:val="21"/>
          <w:highlight w:val="none"/>
          <w:lang w:val="en-US" w:eastAsia="zh-CN"/>
        </w:rPr>
        <w:t>六</w:t>
      </w:r>
      <w:r>
        <w:rPr>
          <w:rFonts w:hint="eastAsia" w:ascii="宋体" w:hAnsi="宋体" w:eastAsia="宋体" w:cs="宋体"/>
          <w:color w:val="auto"/>
          <w:sz w:val="21"/>
          <w:szCs w:val="21"/>
          <w:highlight w:val="none"/>
        </w:rPr>
        <w:t>章  招标单位、招标代理机构对本招标文件的确认</w:t>
      </w:r>
    </w:p>
    <w:p w14:paraId="6F91BDE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63AA4AA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13.3投标人应仔细检查招标文件的所有内容，</w:t>
      </w:r>
      <w:r>
        <w:rPr>
          <w:rFonts w:hint="eastAsia" w:ascii="宋体" w:hAnsi="宋体" w:eastAsia="宋体" w:cs="宋体"/>
          <w:bCs/>
          <w:color w:val="auto"/>
          <w:sz w:val="21"/>
          <w:szCs w:val="21"/>
          <w:highlight w:val="none"/>
        </w:rPr>
        <w:t>如有残缺等问题应在</w:t>
      </w:r>
      <w:r>
        <w:rPr>
          <w:rFonts w:hint="eastAsia" w:ascii="宋体" w:hAnsi="宋体" w:cs="宋体"/>
          <w:bCs/>
          <w:color w:val="auto"/>
          <w:sz w:val="21"/>
          <w:szCs w:val="21"/>
          <w:highlight w:val="none"/>
          <w:u w:val="single"/>
          <w:lang w:eastAsia="zh-CN"/>
        </w:rPr>
        <w:t>2025年5月</w:t>
      </w:r>
      <w:r>
        <w:rPr>
          <w:rFonts w:hint="eastAsia" w:ascii="宋体" w:hAnsi="宋体" w:cs="宋体"/>
          <w:bCs/>
          <w:color w:val="auto"/>
          <w:sz w:val="21"/>
          <w:szCs w:val="21"/>
          <w:highlight w:val="none"/>
          <w:u w:val="single"/>
          <w:lang w:val="en-US" w:eastAsia="zh-CN"/>
        </w:rPr>
        <w:t>28</w:t>
      </w:r>
      <w:r>
        <w:rPr>
          <w:rFonts w:hint="eastAsia" w:ascii="宋体" w:hAnsi="宋体" w:cs="宋体"/>
          <w:bCs/>
          <w:color w:val="auto"/>
          <w:sz w:val="21"/>
          <w:szCs w:val="21"/>
          <w:highlight w:val="none"/>
          <w:u w:val="single"/>
          <w:lang w:eastAsia="zh-CN"/>
        </w:rPr>
        <w:t>日</w:t>
      </w:r>
      <w:r>
        <w:rPr>
          <w:rFonts w:hint="eastAsia" w:ascii="宋体" w:hAnsi="宋体" w:cs="宋体"/>
          <w:b/>
          <w:bCs w:val="0"/>
          <w:color w:val="auto"/>
          <w:sz w:val="21"/>
          <w:szCs w:val="21"/>
          <w:highlight w:val="none"/>
          <w:u w:val="single"/>
          <w:lang w:val="en-US" w:eastAsia="zh-CN"/>
        </w:rPr>
        <w:t>17</w:t>
      </w:r>
      <w:r>
        <w:rPr>
          <w:rFonts w:hint="eastAsia" w:ascii="宋体" w:hAnsi="宋体" w:eastAsia="宋体" w:cs="宋体"/>
          <w:b/>
          <w:bCs w:val="0"/>
          <w:color w:val="auto"/>
          <w:sz w:val="21"/>
          <w:szCs w:val="21"/>
          <w:highlight w:val="none"/>
          <w:u w:val="single"/>
        </w:rPr>
        <w:t>时</w:t>
      </w:r>
      <w:r>
        <w:rPr>
          <w:rFonts w:hint="eastAsia" w:ascii="宋体" w:hAnsi="宋体" w:eastAsia="宋体" w:cs="宋体"/>
          <w:bCs/>
          <w:color w:val="auto"/>
          <w:sz w:val="21"/>
          <w:szCs w:val="21"/>
          <w:highlight w:val="none"/>
          <w:u w:val="single"/>
        </w:rPr>
        <w:t>前</w:t>
      </w:r>
      <w:r>
        <w:rPr>
          <w:rFonts w:hint="eastAsia" w:ascii="宋体" w:hAnsi="宋体" w:eastAsia="宋体" w:cs="宋体"/>
          <w:bCs/>
          <w:color w:val="auto"/>
          <w:sz w:val="21"/>
          <w:szCs w:val="21"/>
          <w:highlight w:val="none"/>
        </w:rPr>
        <w:t>投标人将所遇到的问题以电子邮件形式传czsctgczx@163.com滁州市城投工程咨询管理有限公司电子邮箱</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否则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由此引起的损失均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否决。</w:t>
      </w:r>
    </w:p>
    <w:p w14:paraId="3ABED51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139ED62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澄清内容</w:t>
      </w:r>
      <w:r>
        <w:rPr>
          <w:rFonts w:hint="eastAsia" w:ascii="宋体" w:hAnsi="宋体" w:eastAsia="宋体" w:cs="宋体"/>
          <w:color w:val="auto"/>
          <w:kern w:val="0"/>
          <w:sz w:val="21"/>
          <w:szCs w:val="21"/>
          <w:highlight w:val="none"/>
        </w:rPr>
        <w:t>将于</w:t>
      </w:r>
      <w:r>
        <w:rPr>
          <w:rFonts w:hint="eastAsia" w:ascii="宋体" w:hAnsi="宋体" w:eastAsia="宋体" w:cs="宋体"/>
          <w:b/>
          <w:bCs w:val="0"/>
          <w:color w:val="auto"/>
          <w:kern w:val="0"/>
          <w:sz w:val="21"/>
          <w:szCs w:val="21"/>
          <w:highlight w:val="none"/>
          <w:u w:val="single"/>
        </w:rPr>
        <w:t>202</w:t>
      </w:r>
      <w:r>
        <w:rPr>
          <w:rFonts w:hint="eastAsia" w:ascii="宋体" w:hAnsi="宋体" w:cs="宋体"/>
          <w:b/>
          <w:bCs w:val="0"/>
          <w:color w:val="auto"/>
          <w:kern w:val="0"/>
          <w:sz w:val="21"/>
          <w:szCs w:val="21"/>
          <w:highlight w:val="none"/>
          <w:u w:val="single"/>
          <w:lang w:val="en-US" w:eastAsia="zh-CN"/>
        </w:rPr>
        <w:t>5</w:t>
      </w:r>
      <w:r>
        <w:rPr>
          <w:rFonts w:hint="eastAsia" w:ascii="宋体" w:hAnsi="宋体" w:eastAsia="宋体" w:cs="宋体"/>
          <w:b/>
          <w:bCs w:val="0"/>
          <w:color w:val="auto"/>
          <w:kern w:val="0"/>
          <w:sz w:val="21"/>
          <w:szCs w:val="21"/>
          <w:highlight w:val="none"/>
          <w:u w:val="single"/>
        </w:rPr>
        <w:t>年</w:t>
      </w:r>
      <w:r>
        <w:rPr>
          <w:rFonts w:hint="eastAsia" w:ascii="宋体" w:hAnsi="宋体" w:cs="宋体"/>
          <w:b/>
          <w:bCs w:val="0"/>
          <w:color w:val="auto"/>
          <w:kern w:val="0"/>
          <w:sz w:val="21"/>
          <w:szCs w:val="21"/>
          <w:highlight w:val="none"/>
          <w:u w:val="single"/>
          <w:lang w:val="en-US" w:eastAsia="zh-CN"/>
        </w:rPr>
        <w:t>5</w:t>
      </w:r>
      <w:r>
        <w:rPr>
          <w:rFonts w:hint="eastAsia" w:ascii="宋体" w:hAnsi="宋体" w:eastAsia="宋体" w:cs="宋体"/>
          <w:b/>
          <w:bCs w:val="0"/>
          <w:color w:val="auto"/>
          <w:kern w:val="0"/>
          <w:sz w:val="21"/>
          <w:szCs w:val="21"/>
          <w:highlight w:val="none"/>
          <w:u w:val="single"/>
        </w:rPr>
        <w:t>月</w:t>
      </w:r>
      <w:r>
        <w:rPr>
          <w:rFonts w:hint="eastAsia" w:ascii="宋体" w:hAnsi="宋体" w:cs="宋体"/>
          <w:b/>
          <w:bCs w:val="0"/>
          <w:color w:val="auto"/>
          <w:kern w:val="0"/>
          <w:sz w:val="21"/>
          <w:szCs w:val="21"/>
          <w:highlight w:val="none"/>
          <w:u w:val="single"/>
          <w:lang w:val="en-US" w:eastAsia="zh-CN"/>
        </w:rPr>
        <w:t>29</w:t>
      </w:r>
      <w:r>
        <w:rPr>
          <w:rFonts w:hint="eastAsia" w:ascii="宋体" w:hAnsi="宋体" w:eastAsia="宋体" w:cs="宋体"/>
          <w:b/>
          <w:bCs w:val="0"/>
          <w:color w:val="auto"/>
          <w:kern w:val="0"/>
          <w:sz w:val="21"/>
          <w:szCs w:val="21"/>
          <w:highlight w:val="none"/>
          <w:u w:val="single"/>
        </w:rPr>
        <w:t>日1</w:t>
      </w:r>
      <w:r>
        <w:rPr>
          <w:rFonts w:hint="eastAsia" w:ascii="宋体" w:hAnsi="宋体" w:cs="宋体"/>
          <w:b/>
          <w:bCs w:val="0"/>
          <w:color w:val="auto"/>
          <w:kern w:val="0"/>
          <w:sz w:val="21"/>
          <w:szCs w:val="21"/>
          <w:highlight w:val="none"/>
          <w:u w:val="single"/>
          <w:lang w:val="en-US" w:eastAsia="zh-CN"/>
        </w:rPr>
        <w:t>2</w:t>
      </w:r>
      <w:r>
        <w:rPr>
          <w:rFonts w:hint="eastAsia" w:ascii="宋体" w:hAnsi="宋体" w:eastAsia="宋体" w:cs="宋体"/>
          <w:b/>
          <w:bCs w:val="0"/>
          <w:color w:val="auto"/>
          <w:kern w:val="0"/>
          <w:sz w:val="21"/>
          <w:szCs w:val="21"/>
          <w:highlight w:val="none"/>
          <w:u w:val="single"/>
        </w:rPr>
        <w:t>时</w:t>
      </w:r>
      <w:r>
        <w:rPr>
          <w:rFonts w:hint="eastAsia" w:ascii="宋体" w:hAnsi="宋体" w:eastAsia="宋体" w:cs="宋体"/>
          <w:b/>
          <w:bCs w:val="0"/>
          <w:color w:val="auto"/>
          <w:kern w:val="0"/>
          <w:sz w:val="21"/>
          <w:szCs w:val="21"/>
          <w:highlight w:val="none"/>
        </w:rPr>
        <w:t>后</w:t>
      </w:r>
      <w:r>
        <w:rPr>
          <w:rFonts w:hint="eastAsia" w:ascii="宋体" w:hAnsi="宋体" w:eastAsia="宋体" w:cs="宋体"/>
          <w:color w:val="auto"/>
          <w:kern w:val="0"/>
          <w:sz w:val="21"/>
          <w:szCs w:val="21"/>
          <w:highlight w:val="none"/>
        </w:rPr>
        <w:t>以书面</w:t>
      </w:r>
      <w:r>
        <w:rPr>
          <w:rFonts w:hint="eastAsia" w:ascii="宋体" w:hAnsi="宋体" w:cs="宋体"/>
          <w:color w:val="auto"/>
          <w:kern w:val="0"/>
          <w:sz w:val="21"/>
          <w:szCs w:val="21"/>
          <w:highlight w:val="none"/>
          <w:lang w:val="en-US" w:eastAsia="zh-CN"/>
        </w:rPr>
        <w:t>(滁州市亭城文化旅游投资集团有限公司网站发布)</w:t>
      </w:r>
      <w:r>
        <w:rPr>
          <w:rFonts w:hint="eastAsia" w:ascii="宋体" w:hAnsi="宋体" w:eastAsia="宋体" w:cs="宋体"/>
          <w:color w:val="auto"/>
          <w:kern w:val="0"/>
          <w:sz w:val="21"/>
          <w:szCs w:val="21"/>
          <w:highlight w:val="none"/>
        </w:rPr>
        <w:t>通知各投标人</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FBB63B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  本招标文件由招标人委托的招标代理机构负责解释。</w:t>
      </w:r>
    </w:p>
    <w:p w14:paraId="4E18B7D2">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 踏勘现场及投标预备会</w:t>
      </w:r>
    </w:p>
    <w:p w14:paraId="25993C06">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15.1 踏勘现场</w:t>
      </w:r>
    </w:p>
    <w:p w14:paraId="1C3DC862">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15.1.1 投标人自行对工程现场及周围环境进行踏勘，以便投标人获取有关编制投标文件和签署合同所涉及现场的资料。投标人承担踏勘现场所发生的自身费用。</w:t>
      </w:r>
    </w:p>
    <w:p w14:paraId="60C5F0B8">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15.2 投标预备会</w:t>
      </w:r>
    </w:p>
    <w:p w14:paraId="75D66753">
      <w:pPr>
        <w:spacing w:line="440" w:lineRule="exact"/>
        <w:rPr>
          <w:rFonts w:hint="eastAsia" w:ascii="宋体" w:hAnsi="宋体" w:eastAsia="宋体" w:cs="Times New Roman"/>
          <w:color w:val="auto"/>
          <w:szCs w:val="21"/>
        </w:rPr>
      </w:pPr>
      <w:r>
        <w:rPr>
          <w:rFonts w:hint="eastAsia" w:ascii="宋体" w:hAnsi="宋体" w:eastAsia="宋体" w:cs="Times New Roman"/>
          <w:color w:val="auto"/>
          <w:szCs w:val="21"/>
        </w:rPr>
        <w:t>15.2.1不再集中召开招标答疑会。</w:t>
      </w:r>
    </w:p>
    <w:p w14:paraId="3C9C78B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招标文件的发出</w:t>
      </w:r>
    </w:p>
    <w:p w14:paraId="3F336592">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4CA905F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最高投标限价的作用和说明</w:t>
      </w:r>
    </w:p>
    <w:p w14:paraId="2FE6022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本项目最高限价为</w:t>
      </w:r>
      <w:r>
        <w:rPr>
          <w:rFonts w:hint="eastAsia" w:ascii="宋体" w:hAnsi="宋体" w:cs="宋体"/>
          <w:color w:val="auto"/>
          <w:sz w:val="21"/>
          <w:szCs w:val="21"/>
          <w:highlight w:val="none"/>
          <w:lang w:val="en-US" w:eastAsia="zh-CN"/>
        </w:rPr>
        <w:t>1336356.44元</w:t>
      </w:r>
      <w:r>
        <w:rPr>
          <w:rFonts w:hint="eastAsia" w:ascii="宋体" w:hAnsi="宋体" w:eastAsia="宋体" w:cs="宋体"/>
          <w:color w:val="auto"/>
          <w:sz w:val="21"/>
          <w:szCs w:val="21"/>
          <w:highlight w:val="none"/>
          <w:lang w:val="en-US" w:eastAsia="zh-CN"/>
        </w:rPr>
        <w:t>。</w:t>
      </w:r>
    </w:p>
    <w:p w14:paraId="358FCE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17.2</w:t>
      </w:r>
      <w:r>
        <w:rPr>
          <w:rFonts w:hint="eastAsia" w:ascii="宋体" w:hAnsi="宋体" w:eastAsia="宋体" w:cs="宋体"/>
          <w:color w:val="auto"/>
          <w:sz w:val="21"/>
          <w:szCs w:val="21"/>
          <w:highlight w:val="none"/>
          <w:lang w:val="en-US" w:eastAsia="zh-CN"/>
        </w:rPr>
        <w:t>投标人结合现行的市场价格信息并充分考虑市场价格的走势风险，按招标文件规定的计价依据及结算方式进行报价。</w:t>
      </w:r>
    </w:p>
    <w:p w14:paraId="11738E3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6" w:name="_Toc24852"/>
      <w:bookmarkStart w:id="7" w:name="_Toc17676"/>
      <w:r>
        <w:rPr>
          <w:rFonts w:hint="eastAsia" w:ascii="宋体" w:hAnsi="宋体" w:eastAsia="宋体" w:cs="宋体"/>
          <w:color w:val="auto"/>
          <w:sz w:val="28"/>
          <w:szCs w:val="28"/>
          <w:highlight w:val="none"/>
        </w:rPr>
        <w:t>三、投标文件的编制</w:t>
      </w:r>
      <w:bookmarkEnd w:id="6"/>
      <w:bookmarkEnd w:id="7"/>
    </w:p>
    <w:p w14:paraId="70C2426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.投标文件的组成：见第五章投标文件格式</w:t>
      </w:r>
    </w:p>
    <w:p w14:paraId="59CFC076">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．投标报价</w:t>
      </w:r>
    </w:p>
    <w:p w14:paraId="1D1FB267">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19</w:t>
      </w:r>
      <w:r>
        <w:rPr>
          <w:rFonts w:hint="eastAsia" w:ascii="宋体" w:hAnsi="宋体" w:eastAsia="宋体" w:cs="宋体"/>
          <w:b/>
          <w:bCs/>
          <w:color w:val="auto"/>
          <w:sz w:val="21"/>
          <w:szCs w:val="21"/>
          <w:highlight w:val="none"/>
        </w:rPr>
        <w:t>.1 投标人的投标报价应为提供招标文件及合同条款中明示或暗示的服务内容而所需的（包括但不限于）</w:t>
      </w:r>
      <w:r>
        <w:rPr>
          <w:rFonts w:hint="eastAsia" w:ascii="宋体" w:hAnsi="宋体" w:eastAsia="宋体" w:cs="宋体"/>
          <w:b/>
          <w:color w:val="auto"/>
          <w:szCs w:val="21"/>
        </w:rPr>
        <w:t>：</w:t>
      </w:r>
      <w:r>
        <w:rPr>
          <w:rFonts w:hint="eastAsia" w:ascii="宋体" w:hAnsi="宋体" w:eastAsia="宋体" w:cs="宋体"/>
          <w:b/>
          <w:color w:val="auto"/>
          <w:szCs w:val="21"/>
          <w:lang w:val="en-US" w:eastAsia="zh-CN"/>
        </w:rPr>
        <w:t>货物（所有材料）出厂价、材料费、装卸费、运输费、机械费、</w:t>
      </w:r>
      <w:r>
        <w:rPr>
          <w:rFonts w:hint="eastAsia" w:ascii="宋体" w:hAnsi="宋体" w:cs="宋体"/>
          <w:b/>
          <w:color w:val="auto"/>
          <w:szCs w:val="21"/>
          <w:lang w:val="en-US" w:eastAsia="zh-CN"/>
        </w:rPr>
        <w:t>人工费、</w:t>
      </w:r>
      <w:r>
        <w:rPr>
          <w:rFonts w:hint="eastAsia" w:ascii="宋体" w:hAnsi="宋体" w:eastAsia="宋体" w:cs="宋体"/>
          <w:b/>
          <w:color w:val="auto"/>
          <w:szCs w:val="21"/>
          <w:lang w:val="en-US" w:eastAsia="zh-CN"/>
        </w:rPr>
        <w:t>措施费、保护费、</w:t>
      </w:r>
      <w:r>
        <w:rPr>
          <w:rFonts w:hint="eastAsia" w:ascii="宋体" w:hAnsi="宋体" w:eastAsia="宋体" w:cs="宋体"/>
          <w:b/>
          <w:color w:val="auto"/>
          <w:szCs w:val="21"/>
        </w:rPr>
        <w:t>验收费用</w:t>
      </w:r>
      <w:r>
        <w:rPr>
          <w:rFonts w:hint="eastAsia" w:ascii="宋体" w:hAnsi="宋体" w:eastAsia="宋体" w:cs="宋体"/>
          <w:b/>
          <w:color w:val="auto"/>
          <w:szCs w:val="21"/>
          <w:lang w:eastAsia="zh-CN"/>
        </w:rPr>
        <w:t>、</w:t>
      </w:r>
      <w:r>
        <w:rPr>
          <w:rFonts w:hint="eastAsia" w:ascii="宋体" w:hAnsi="宋体" w:eastAsia="宋体" w:cs="宋体"/>
          <w:b/>
          <w:color w:val="auto"/>
          <w:szCs w:val="21"/>
        </w:rPr>
        <w:t>管理费、利润、招标代理费用</w:t>
      </w:r>
      <w:r>
        <w:rPr>
          <w:rFonts w:hint="eastAsia" w:ascii="宋体" w:hAnsi="宋体" w:eastAsia="宋体" w:cs="宋体"/>
          <w:b/>
          <w:color w:val="auto"/>
          <w:szCs w:val="21"/>
          <w:lang w:eastAsia="zh-CN"/>
        </w:rPr>
        <w:t>、</w:t>
      </w:r>
      <w:r>
        <w:rPr>
          <w:rFonts w:hint="eastAsia" w:ascii="宋体" w:hAnsi="宋体" w:eastAsia="宋体" w:cs="宋体"/>
          <w:b/>
          <w:color w:val="auto"/>
          <w:szCs w:val="21"/>
          <w:lang w:val="en-US" w:eastAsia="zh-CN"/>
        </w:rPr>
        <w:t>税费</w:t>
      </w:r>
      <w:r>
        <w:rPr>
          <w:rFonts w:hint="eastAsia" w:ascii="宋体" w:hAnsi="宋体" w:cs="宋体"/>
          <w:b/>
          <w:color w:val="auto"/>
          <w:szCs w:val="21"/>
          <w:lang w:val="en-US" w:eastAsia="zh-CN"/>
        </w:rPr>
        <w:t>、</w:t>
      </w:r>
      <w:r>
        <w:rPr>
          <w:rFonts w:hint="eastAsia" w:ascii="宋体" w:hAnsi="宋体" w:eastAsia="宋体" w:cs="宋体"/>
          <w:b/>
          <w:bCs/>
          <w:color w:val="auto"/>
          <w:sz w:val="21"/>
          <w:szCs w:val="21"/>
          <w:highlight w:val="none"/>
        </w:rPr>
        <w:t>各类保险、政策性及指导性文件规定及合同包含的所有风险、责任、义务等一切应有费用</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综合单价不作任何调整，招标人不再另行支付任何费用</w:t>
      </w:r>
      <w:r>
        <w:rPr>
          <w:rFonts w:hint="eastAsia" w:ascii="宋体" w:hAnsi="宋体" w:cs="宋体"/>
          <w:b/>
          <w:color w:val="auto"/>
          <w:szCs w:val="21"/>
          <w:lang w:val="en-US" w:eastAsia="zh-CN"/>
        </w:rPr>
        <w:t>。</w:t>
      </w:r>
    </w:p>
    <w:p w14:paraId="48EC500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.2 投标报价不按规定报价的，其投标文件按无效标处理。</w:t>
      </w:r>
    </w:p>
    <w:p w14:paraId="6AFB912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.投标有效期</w:t>
      </w:r>
    </w:p>
    <w:p w14:paraId="6C4214E5">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666320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3DE1E54A">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4"/>
          <w:highlight w:val="none"/>
          <w:lang w:val="en-US" w:eastAsia="zh-CN"/>
        </w:rPr>
      </w:pPr>
      <w:bookmarkStart w:id="8" w:name="_Toc27519"/>
      <w:r>
        <w:rPr>
          <w:rFonts w:hint="eastAsia" w:ascii="宋体" w:hAnsi="宋体" w:eastAsia="宋体" w:cs="宋体"/>
          <w:color w:val="auto"/>
          <w:sz w:val="24"/>
          <w:highlight w:val="none"/>
          <w:lang w:val="en-US" w:eastAsia="zh-CN"/>
        </w:rPr>
        <w:t xml:space="preserve"> </w:t>
      </w:r>
    </w:p>
    <w:p w14:paraId="71C94BD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b/>
          <w:bCs/>
          <w:color w:val="auto"/>
          <w:sz w:val="21"/>
          <w:szCs w:val="21"/>
          <w:highlight w:val="none"/>
          <w:lang w:eastAsia="zh-CN"/>
        </w:rPr>
      </w:pPr>
      <w:bookmarkStart w:id="9" w:name="_Toc22793"/>
      <w:r>
        <w:rPr>
          <w:rFonts w:hint="eastAsia" w:ascii="宋体" w:hAnsi="宋体" w:eastAsia="宋体" w:cs="宋体"/>
          <w:color w:val="auto"/>
          <w:sz w:val="28"/>
          <w:szCs w:val="28"/>
          <w:highlight w:val="none"/>
        </w:rPr>
        <w:t>四、投标文件的密封和递交</w:t>
      </w:r>
      <w:bookmarkEnd w:id="8"/>
      <w:bookmarkEnd w:id="9"/>
    </w:p>
    <w:p w14:paraId="3E099B0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投标文件的份数和签署</w:t>
      </w:r>
    </w:p>
    <w:p w14:paraId="45ADB7F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  投标文件：书面文件一式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份，正本</w:t>
      </w:r>
      <w:r>
        <w:rPr>
          <w:rFonts w:hint="eastAsia" w:ascii="宋体" w:hAnsi="宋体" w:eastAsia="宋体" w:cs="宋体"/>
          <w:color w:val="auto"/>
          <w:sz w:val="21"/>
          <w:szCs w:val="21"/>
          <w:highlight w:val="none"/>
          <w:u w:val="single"/>
        </w:rPr>
        <w:t xml:space="preserve"> 一 </w:t>
      </w:r>
      <w:r>
        <w:rPr>
          <w:rFonts w:hint="eastAsia" w:ascii="宋体" w:hAnsi="宋体" w:eastAsia="宋体" w:cs="宋体"/>
          <w:color w:val="auto"/>
          <w:sz w:val="21"/>
          <w:szCs w:val="21"/>
          <w:highlight w:val="none"/>
        </w:rPr>
        <w:t>份，副本</w:t>
      </w:r>
      <w:r>
        <w:rPr>
          <w:rFonts w:hint="eastAsia" w:ascii="宋体" w:hAnsi="宋体" w:cs="宋体"/>
          <w:color w:val="auto"/>
          <w:sz w:val="21"/>
          <w:szCs w:val="21"/>
          <w:highlight w:val="none"/>
          <w:u w:val="single"/>
          <w:lang w:val="en-US" w:eastAsia="zh-CN"/>
        </w:rPr>
        <w:t>二</w:t>
      </w:r>
      <w:r>
        <w:rPr>
          <w:rFonts w:hint="eastAsia" w:ascii="宋体" w:hAnsi="宋体" w:eastAsia="宋体" w:cs="宋体"/>
          <w:color w:val="auto"/>
          <w:sz w:val="21"/>
          <w:szCs w:val="21"/>
          <w:highlight w:val="none"/>
        </w:rPr>
        <w:t>份。</w:t>
      </w:r>
    </w:p>
    <w:p w14:paraId="31D9F1E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  投标文件的正本和副本均需打印或使用不褪色的蓝、黑墨水笔书写，字迹应清晰易于</w:t>
      </w:r>
      <w:r>
        <w:rPr>
          <w:rFonts w:hint="eastAsia" w:ascii="宋体" w:hAnsi="宋体" w:cs="宋体"/>
          <w:color w:val="auto"/>
          <w:sz w:val="21"/>
          <w:szCs w:val="21"/>
          <w:highlight w:val="none"/>
          <w:lang w:eastAsia="zh-CN"/>
        </w:rPr>
        <w:t>辨认</w:t>
      </w:r>
      <w:r>
        <w:rPr>
          <w:rFonts w:hint="eastAsia" w:ascii="宋体" w:hAnsi="宋体" w:eastAsia="宋体" w:cs="宋体"/>
          <w:color w:val="auto"/>
          <w:sz w:val="21"/>
          <w:szCs w:val="21"/>
          <w:highlight w:val="none"/>
        </w:rPr>
        <w:t>，并应在投标文件封面的右上角清楚地注明“正本”或“副本”。正本和副本如有不一致之处，以正本为准。</w:t>
      </w:r>
    </w:p>
    <w:p w14:paraId="0BB98C82">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投标文件的装订、密封和标记</w:t>
      </w:r>
    </w:p>
    <w:p w14:paraId="05C838D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投标文件的装订要求</w:t>
      </w:r>
    </w:p>
    <w:p w14:paraId="38DCCC2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.1.1投标文件应组成按顺序装订在一起</w:t>
      </w:r>
    </w:p>
    <w:p w14:paraId="1E0C131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.2  投标文件的密封</w:t>
      </w:r>
    </w:p>
    <w:p w14:paraId="4FFAE4DC">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.2.1投标人应当将投标文件正本、副本密封在文件袋内。</w:t>
      </w:r>
    </w:p>
    <w:p w14:paraId="034E15E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22.2.2投标人应当将资格证明材料和商务标分别密封于相对应的密封袋中。</w:t>
      </w:r>
    </w:p>
    <w:p w14:paraId="5CA312E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  投标文件密封袋的标记</w:t>
      </w:r>
    </w:p>
    <w:p w14:paraId="1D1515D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.3.1在投标文件密封袋上应写明投标人名称和地址；注明下列识别标志：招标</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p>
    <w:p w14:paraId="54BB1FA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投标文件的提交</w:t>
      </w:r>
    </w:p>
    <w:p w14:paraId="1D66C374">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  投标文件提交的收件人、截止时间及地点</w:t>
      </w:r>
    </w:p>
    <w:p w14:paraId="1DB3EDB9">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b w:val="0"/>
          <w:bCs w:val="0"/>
          <w:color w:val="auto"/>
          <w:kern w:val="0"/>
          <w:sz w:val="21"/>
          <w:szCs w:val="21"/>
          <w:highlight w:val="none"/>
          <w:u w:val="single"/>
        </w:rPr>
      </w:pPr>
      <w:r>
        <w:rPr>
          <w:rFonts w:hint="eastAsia" w:ascii="宋体" w:hAnsi="宋体" w:eastAsia="宋体" w:cs="宋体"/>
          <w:color w:val="auto"/>
          <w:kern w:val="0"/>
          <w:sz w:val="21"/>
          <w:szCs w:val="21"/>
          <w:highlight w:val="none"/>
        </w:rPr>
        <w:t xml:space="preserve">   </w:t>
      </w:r>
      <w:r>
        <w:rPr>
          <w:rFonts w:hint="eastAsia" w:ascii="宋体" w:hAnsi="宋体" w:eastAsia="宋体" w:cs="宋体"/>
          <w:b w:val="0"/>
          <w:bCs w:val="0"/>
          <w:color w:val="auto"/>
          <w:kern w:val="0"/>
          <w:sz w:val="21"/>
          <w:szCs w:val="21"/>
          <w:highlight w:val="none"/>
        </w:rPr>
        <w:t xml:space="preserve"> 收件人：</w:t>
      </w:r>
      <w:r>
        <w:rPr>
          <w:rFonts w:hint="eastAsia" w:ascii="宋体" w:hAnsi="宋体" w:eastAsia="宋体" w:cs="宋体"/>
          <w:b w:val="0"/>
          <w:bCs w:val="0"/>
          <w:color w:val="auto"/>
          <w:kern w:val="0"/>
          <w:sz w:val="21"/>
          <w:szCs w:val="21"/>
          <w:highlight w:val="none"/>
          <w:u w:val="single"/>
        </w:rPr>
        <w:t xml:space="preserve"> 滁州市城投工程咨询管理有限公司</w:t>
      </w:r>
    </w:p>
    <w:p w14:paraId="41C35C7D">
      <w:pPr>
        <w:keepNext w:val="0"/>
        <w:keepLines w:val="0"/>
        <w:pageBreakBefore w:val="0"/>
        <w:widowControl w:val="0"/>
        <w:kinsoku/>
        <w:wordWrap/>
        <w:overflowPunct/>
        <w:topLinePunct w:val="0"/>
        <w:autoSpaceDE/>
        <w:autoSpaceDN/>
        <w:bidi w:val="0"/>
        <w:spacing w:line="510" w:lineRule="exact"/>
        <w:ind w:firstLine="630" w:firstLineChars="300"/>
        <w:textAlignment w:val="auto"/>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rPr>
        <w:t>时  间：</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cs="宋体"/>
          <w:b w:val="0"/>
          <w:bCs w:val="0"/>
          <w:color w:val="auto"/>
          <w:kern w:val="0"/>
          <w:sz w:val="21"/>
          <w:szCs w:val="21"/>
          <w:highlight w:val="none"/>
          <w:u w:val="single"/>
          <w:lang w:val="en-US" w:eastAsia="zh-CN"/>
        </w:rPr>
        <w:t xml:space="preserve">详见投标须知前附表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p>
    <w:p w14:paraId="414DA934">
      <w:pPr>
        <w:keepNext w:val="0"/>
        <w:keepLines w:val="0"/>
        <w:pageBreakBefore w:val="0"/>
        <w:widowControl w:val="0"/>
        <w:kinsoku/>
        <w:wordWrap/>
        <w:overflowPunct/>
        <w:topLinePunct w:val="0"/>
        <w:autoSpaceDE/>
        <w:autoSpaceDN/>
        <w:bidi w:val="0"/>
        <w:spacing w:line="510" w:lineRule="exact"/>
        <w:ind w:firstLine="630" w:firstLineChars="300"/>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b w:val="0"/>
          <w:bCs w:val="0"/>
          <w:color w:val="auto"/>
          <w:kern w:val="0"/>
          <w:sz w:val="21"/>
          <w:szCs w:val="21"/>
          <w:highlight w:val="none"/>
        </w:rPr>
        <w:t>地  点：</w:t>
      </w:r>
      <w:r>
        <w:rPr>
          <w:rFonts w:hint="eastAsia" w:ascii="宋体" w:hAnsi="宋体" w:cs="宋体"/>
          <w:b w:val="0"/>
          <w:bCs w:val="0"/>
          <w:color w:val="auto"/>
          <w:kern w:val="0"/>
          <w:sz w:val="21"/>
          <w:szCs w:val="21"/>
          <w:highlight w:val="none"/>
          <w:u w:val="single"/>
          <w:lang w:val="en-US" w:eastAsia="zh-CN"/>
        </w:rPr>
        <w:t xml:space="preserve">详见投标须知前附表 </w:t>
      </w:r>
      <w:r>
        <w:rPr>
          <w:rFonts w:hint="eastAsia" w:ascii="宋体" w:hAnsi="宋体" w:eastAsia="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cs="宋体"/>
          <w:b w:val="0"/>
          <w:bCs w:val="0"/>
          <w:color w:val="auto"/>
          <w:kern w:val="0"/>
          <w:sz w:val="21"/>
          <w:szCs w:val="21"/>
          <w:highlight w:val="none"/>
          <w:u w:val="single"/>
          <w:lang w:val="en-US" w:eastAsia="zh-CN"/>
        </w:rPr>
        <w:t xml:space="preserve"> </w:t>
      </w:r>
      <w:r>
        <w:rPr>
          <w:rFonts w:hint="eastAsia" w:ascii="宋体" w:hAnsi="宋体" w:eastAsia="宋体" w:cs="宋体"/>
          <w:b w:val="0"/>
          <w:bCs w:val="0"/>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rPr>
        <w:t xml:space="preserve">  </w:t>
      </w:r>
    </w:p>
    <w:p w14:paraId="671F230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  迟交的投标文件</w:t>
      </w:r>
    </w:p>
    <w:p w14:paraId="3DC3CCB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.2.1招标人在本须知第2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.1款规定的投标截止时间以后收到的投标文件，将被拒绝并退回给投标人。</w:t>
      </w:r>
    </w:p>
    <w:p w14:paraId="0F5ED6FD">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投标文件的补充、修改与撤回</w:t>
      </w:r>
    </w:p>
    <w:p w14:paraId="0F84A05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投标人在提交投标文件以后，在规定的投标截止时间之前，可以书面形式补充、修改或撤回已提交的投标文件，并以书面形式通知招标人。补充、修改的内容为投标文件的组成部分。</w:t>
      </w:r>
    </w:p>
    <w:p w14:paraId="7037C4C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投标人对投标文件的补充、修改，应按本须知第2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条、第2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条和第</w:t>
      </w:r>
      <w:r>
        <w:rPr>
          <w:rFonts w:hint="eastAsia" w:ascii="宋体" w:hAnsi="宋体" w:eastAsia="宋体" w:cs="宋体"/>
          <w:color w:val="auto"/>
          <w:sz w:val="21"/>
          <w:szCs w:val="21"/>
          <w:highlight w:val="none"/>
          <w:lang w:val="en-US" w:eastAsia="zh-CN"/>
        </w:rPr>
        <w:t>23</w:t>
      </w:r>
      <w:r>
        <w:rPr>
          <w:rFonts w:hint="eastAsia" w:ascii="宋体" w:hAnsi="宋体" w:eastAsia="宋体" w:cs="宋体"/>
          <w:color w:val="auto"/>
          <w:sz w:val="21"/>
          <w:szCs w:val="21"/>
          <w:highlight w:val="none"/>
        </w:rPr>
        <w:t>条有关规定密封、标记和提交，并在投标文件密封袋上清楚标明“补充”、“修改”字样。</w:t>
      </w:r>
    </w:p>
    <w:p w14:paraId="4973F53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在投标截止时间之后，投标人不得补充、修改投标文件。</w:t>
      </w:r>
    </w:p>
    <w:p w14:paraId="0CBB500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8"/>
          <w:szCs w:val="28"/>
          <w:highlight w:val="none"/>
        </w:rPr>
      </w:pPr>
    </w:p>
    <w:p w14:paraId="0D955FAD">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10" w:name="_Toc2503"/>
      <w:bookmarkStart w:id="11" w:name="_Toc18173"/>
      <w:r>
        <w:rPr>
          <w:rFonts w:hint="eastAsia" w:ascii="宋体" w:hAnsi="宋体" w:eastAsia="宋体" w:cs="宋体"/>
          <w:color w:val="auto"/>
          <w:sz w:val="28"/>
          <w:szCs w:val="28"/>
          <w:highlight w:val="none"/>
        </w:rPr>
        <w:t>五、开标、评标和定标</w:t>
      </w:r>
      <w:bookmarkEnd w:id="10"/>
      <w:bookmarkEnd w:id="11"/>
    </w:p>
    <w:p w14:paraId="09D71D2F">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开标</w:t>
      </w:r>
    </w:p>
    <w:p w14:paraId="2FE298DA">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267AD346">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.1.1招标人按本须知第2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.1条提交投标文件的截止时间和地点公开开标，并邀请所有投标人参加。</w:t>
      </w:r>
    </w:p>
    <w:p w14:paraId="669C974F">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4009D205">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  对参加开标的投标人的要求</w:t>
      </w:r>
    </w:p>
    <w:p w14:paraId="47CA976E">
      <w:pPr>
        <w:keepNext w:val="0"/>
        <w:keepLines w:val="0"/>
        <w:pageBreakBefore w:val="0"/>
        <w:widowControl w:val="0"/>
        <w:kinsoku/>
        <w:wordWrap/>
        <w:overflowPunct/>
        <w:topLinePunct w:val="0"/>
        <w:autoSpaceDE/>
        <w:autoSpaceDN/>
        <w:bidi w:val="0"/>
        <w:spacing w:line="510" w:lineRule="exact"/>
        <w:ind w:right="-334" w:rightChars="-159"/>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 投标人的法定代表人（或委托代理人）必须准时参加开标会议</w:t>
      </w:r>
      <w:r>
        <w:rPr>
          <w:rFonts w:hint="eastAsia" w:ascii="宋体" w:hAnsi="宋体" w:eastAsia="宋体" w:cs="宋体"/>
          <w:b/>
          <w:bCs/>
          <w:color w:val="auto"/>
          <w:sz w:val="21"/>
          <w:szCs w:val="21"/>
          <w:highlight w:val="none"/>
        </w:rPr>
        <w:t>。</w:t>
      </w:r>
    </w:p>
    <w:p w14:paraId="1DD8FC91">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  开标程序</w:t>
      </w:r>
    </w:p>
    <w:p w14:paraId="47A56684">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①开标会议由招标代理机构：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u w:val="single"/>
        </w:rPr>
        <w:t>滁州市城投工程咨询管理有限公司</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（招标代理公司）主持；</w:t>
      </w:r>
    </w:p>
    <w:p w14:paraId="3E63BE7C">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②公布在投标截止时间前递交投标文件的投标人名称，并确认投标单位相关人员是否到场；</w:t>
      </w:r>
    </w:p>
    <w:p w14:paraId="22307300">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③由投标人或其推选的代表检查投标文件的密封情况；</w:t>
      </w:r>
    </w:p>
    <w:p w14:paraId="233645BD">
      <w:pPr>
        <w:keepNext w:val="0"/>
        <w:keepLines w:val="0"/>
        <w:pageBreakBefore w:val="0"/>
        <w:widowControl w:val="0"/>
        <w:kinsoku/>
        <w:wordWrap/>
        <w:overflowPunct/>
        <w:topLinePunct w:val="0"/>
        <w:autoSpaceDE/>
        <w:autoSpaceDN/>
        <w:bidi w:val="0"/>
        <w:spacing w:line="510" w:lineRule="exact"/>
        <w:ind w:firstLine="105" w:firstLineChars="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④经确认无误后，有关工作人员当众拆封，宣读投标人名称和投标文件的主要内容；</w:t>
      </w:r>
    </w:p>
    <w:p w14:paraId="1ED0CA5F">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⑤经投标文件评审后，</w:t>
      </w:r>
      <w:r>
        <w:rPr>
          <w:rFonts w:hint="eastAsia" w:ascii="宋体" w:hAnsi="宋体" w:eastAsia="宋体" w:cs="宋体"/>
          <w:color w:val="auto"/>
          <w:sz w:val="21"/>
          <w:szCs w:val="21"/>
          <w:highlight w:val="none"/>
          <w:lang w:val="en-US" w:eastAsia="zh-CN"/>
        </w:rPr>
        <w:t>确定</w:t>
      </w:r>
      <w:r>
        <w:rPr>
          <w:rFonts w:hint="eastAsia" w:ascii="宋体" w:hAnsi="宋体" w:eastAsia="宋体" w:cs="宋体"/>
          <w:color w:val="auto"/>
          <w:sz w:val="21"/>
          <w:szCs w:val="21"/>
          <w:highlight w:val="none"/>
        </w:rPr>
        <w:t>中标候选人</w:t>
      </w:r>
      <w:r>
        <w:rPr>
          <w:rFonts w:hint="eastAsia" w:ascii="宋体" w:hAnsi="宋体" w:eastAsia="宋体" w:cs="宋体"/>
          <w:color w:val="auto"/>
          <w:sz w:val="21"/>
          <w:szCs w:val="21"/>
          <w:highlight w:val="none"/>
          <w:lang w:val="en-US" w:eastAsia="zh-CN"/>
        </w:rPr>
        <w:t>排序</w:t>
      </w:r>
      <w:r>
        <w:rPr>
          <w:rFonts w:hint="eastAsia" w:ascii="宋体" w:hAnsi="宋体" w:eastAsia="宋体" w:cs="宋体"/>
          <w:color w:val="auto"/>
          <w:sz w:val="21"/>
          <w:szCs w:val="21"/>
          <w:highlight w:val="none"/>
        </w:rPr>
        <w:t>；</w:t>
      </w:r>
    </w:p>
    <w:p w14:paraId="1506F51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对开标过程进行记录，并存档备查。</w:t>
      </w:r>
    </w:p>
    <w:p w14:paraId="33099044">
      <w:pPr>
        <w:keepNext w:val="0"/>
        <w:keepLines w:val="0"/>
        <w:pageBreakBefore w:val="0"/>
        <w:widowControl w:val="0"/>
        <w:kinsoku/>
        <w:wordWrap/>
        <w:overflowPunct/>
        <w:topLinePunct w:val="0"/>
        <w:autoSpaceDE/>
        <w:autoSpaceDN/>
        <w:bidi w:val="0"/>
        <w:spacing w:line="510" w:lineRule="exact"/>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多标段的按标段顺序进行评审。</w:t>
      </w:r>
    </w:p>
    <w:p w14:paraId="65CB4357">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   评标</w:t>
      </w:r>
    </w:p>
    <w:p w14:paraId="6C935728">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.1  评标办法</w:t>
      </w:r>
    </w:p>
    <w:p w14:paraId="6166AFCD">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26</w:t>
      </w:r>
      <w:r>
        <w:rPr>
          <w:rFonts w:hint="eastAsia" w:ascii="宋体" w:hAnsi="宋体" w:eastAsia="宋体" w:cs="宋体"/>
          <w:color w:val="auto"/>
          <w:sz w:val="21"/>
          <w:szCs w:val="21"/>
          <w:highlight w:val="none"/>
        </w:rPr>
        <w:t>.1.1评标办法按招标文件的规定执行。</w:t>
      </w:r>
    </w:p>
    <w:p w14:paraId="7C0B461E">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  否决投标情况</w:t>
      </w:r>
    </w:p>
    <w:p w14:paraId="2B23862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27</w:t>
      </w:r>
      <w:r>
        <w:rPr>
          <w:rFonts w:hint="eastAsia" w:ascii="宋体" w:hAnsi="宋体" w:eastAsia="宋体" w:cs="宋体"/>
          <w:color w:val="auto"/>
          <w:sz w:val="21"/>
          <w:szCs w:val="21"/>
          <w:highlight w:val="none"/>
        </w:rPr>
        <w:t>.1  投标文件出现下列情形之一的，应当否决其投标：</w:t>
      </w:r>
    </w:p>
    <w:p w14:paraId="23DF93DD">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rPr>
        <w:t>逾期送达的或未送达指定地点的；</w:t>
      </w:r>
    </w:p>
    <w:p w14:paraId="77636BE2">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rPr>
        <w:t>未按招标文件要求密封的；</w:t>
      </w:r>
    </w:p>
    <w:p w14:paraId="799B8512">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rPr>
        <w:t>无单位盖章、无法定代表人或法定代表人授权的代理人签字或盖章的；</w:t>
      </w:r>
    </w:p>
    <w:p w14:paraId="41BFD5E0">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④</w:t>
      </w:r>
      <w:r>
        <w:rPr>
          <w:rFonts w:hint="eastAsia" w:ascii="宋体" w:hAnsi="宋体" w:eastAsia="宋体" w:cs="宋体"/>
          <w:color w:val="auto"/>
          <w:sz w:val="21"/>
          <w:szCs w:val="21"/>
          <w:highlight w:val="none"/>
        </w:rPr>
        <w:t>未按规定的格式填写，内容不全或关键字迹模糊、无法辨认的；</w:t>
      </w:r>
    </w:p>
    <w:p w14:paraId="4CC598E5">
      <w:pPr>
        <w:keepNext w:val="0"/>
        <w:keepLines w:val="0"/>
        <w:pageBreakBefore w:val="0"/>
        <w:widowControl w:val="0"/>
        <w:kinsoku/>
        <w:wordWrap/>
        <w:overflowPunct/>
        <w:topLinePunct w:val="0"/>
        <w:autoSpaceDE/>
        <w:autoSpaceDN/>
        <w:bidi w:val="0"/>
        <w:adjustRightInd/>
        <w:snapToGrid/>
        <w:spacing w:line="51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⑤</w:t>
      </w:r>
      <w:r>
        <w:rPr>
          <w:rFonts w:hint="eastAsia" w:ascii="宋体" w:hAnsi="宋体" w:eastAsia="宋体" w:cs="宋体"/>
          <w:color w:val="auto"/>
          <w:sz w:val="21"/>
          <w:szCs w:val="21"/>
          <w:highlight w:val="none"/>
        </w:rPr>
        <w:t>工期或质量不符合招标文件要求的；</w:t>
      </w:r>
    </w:p>
    <w:p w14:paraId="488185EC">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w:t>
      </w:r>
      <w:r>
        <w:rPr>
          <w:rFonts w:hint="eastAsia" w:ascii="宋体" w:hAnsi="宋体" w:eastAsia="宋体" w:cs="宋体"/>
          <w:color w:val="auto"/>
          <w:szCs w:val="21"/>
          <w:highlight w:val="none"/>
        </w:rPr>
        <w:t>投标</w:t>
      </w:r>
      <w:r>
        <w:rPr>
          <w:rFonts w:hint="eastAsia" w:ascii="宋体" w:hAnsi="宋体" w:cs="宋体"/>
          <w:color w:val="auto"/>
          <w:szCs w:val="21"/>
          <w:highlight w:val="none"/>
          <w:lang w:val="en-US" w:eastAsia="zh-CN"/>
        </w:rPr>
        <w:t>报价高于最高限价的</w:t>
      </w:r>
      <w:r>
        <w:rPr>
          <w:rFonts w:hint="eastAsia" w:ascii="宋体" w:hAnsi="宋体" w:cs="宋体"/>
          <w:color w:val="auto"/>
          <w:szCs w:val="21"/>
          <w:highlight w:val="none"/>
          <w:lang w:eastAsia="zh-CN"/>
        </w:rPr>
        <w:t>；</w:t>
      </w:r>
    </w:p>
    <w:p w14:paraId="51237B34">
      <w:pPr>
        <w:keepNext w:val="0"/>
        <w:keepLines w:val="0"/>
        <w:pageBreakBefore w:val="0"/>
        <w:widowControl w:val="0"/>
        <w:kinsoku/>
        <w:wordWrap/>
        <w:overflowPunct/>
        <w:topLinePunct w:val="0"/>
        <w:autoSpaceDE/>
        <w:autoSpaceDN/>
        <w:bidi w:val="0"/>
        <w:adjustRightInd/>
        <w:snapToGrid/>
        <w:spacing w:line="510" w:lineRule="exact"/>
        <w:ind w:firstLine="525" w:firstLineChars="25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法律、法规、规章和招标文件规定的其他否决投标情形。</w:t>
      </w:r>
    </w:p>
    <w:p w14:paraId="30408ECB">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   定标</w:t>
      </w:r>
    </w:p>
    <w:p w14:paraId="05F2F753">
      <w:pPr>
        <w:keepNext w:val="0"/>
        <w:keepLines w:val="0"/>
        <w:pageBreakBefore w:val="0"/>
        <w:widowControl w:val="0"/>
        <w:kinsoku/>
        <w:wordWrap/>
        <w:overflowPunct/>
        <w:topLinePunct w:val="0"/>
        <w:autoSpaceDE/>
        <w:autoSpaceDN/>
        <w:bidi w:val="0"/>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.1  中标候选人和中标人的确定</w:t>
      </w:r>
    </w:p>
    <w:p w14:paraId="064A2F02">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2" w:name="_Toc25120"/>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.1.1</w:t>
      </w:r>
      <w:bookmarkEnd w:id="12"/>
      <w:bookmarkStart w:id="13" w:name="_Toc21491"/>
      <w:r>
        <w:rPr>
          <w:rFonts w:hint="eastAsia" w:ascii="宋体" w:hAnsi="宋体" w:eastAsia="宋体" w:cs="宋体"/>
          <w:color w:val="auto"/>
          <w:sz w:val="21"/>
          <w:szCs w:val="21"/>
          <w:highlight w:val="none"/>
        </w:rPr>
        <w:t>本次评标采用</w:t>
      </w:r>
      <w:r>
        <w:rPr>
          <w:rFonts w:hint="eastAsia" w:ascii="宋体" w:hAnsi="宋体" w:cs="宋体"/>
          <w:color w:val="auto"/>
          <w:sz w:val="21"/>
          <w:szCs w:val="21"/>
          <w:highlight w:val="none"/>
          <w:lang w:eastAsia="zh-CN"/>
        </w:rPr>
        <w:t>经评审的最低价法</w:t>
      </w:r>
      <w:r>
        <w:rPr>
          <w:rFonts w:hint="eastAsia" w:ascii="宋体" w:hAnsi="宋体" w:eastAsia="宋体" w:cs="宋体"/>
          <w:color w:val="auto"/>
          <w:sz w:val="21"/>
          <w:szCs w:val="21"/>
          <w:highlight w:val="none"/>
        </w:rPr>
        <w:t>。评标小组对满足招标文件实质性要求的投标文件，最终按投标总报价</w:t>
      </w:r>
      <w:r>
        <w:rPr>
          <w:rFonts w:hint="eastAsia" w:ascii="宋体" w:hAnsi="Times New Roman" w:eastAsia="宋体" w:cs="Times New Roman"/>
          <w:color w:val="000000"/>
          <w:szCs w:val="21"/>
          <w:highlight w:val="yellow"/>
          <w:lang w:eastAsia="zh-CN"/>
        </w:rPr>
        <w:t>（扣除可抵扣的进项税后的金额）</w:t>
      </w:r>
      <w:r>
        <w:rPr>
          <w:rFonts w:hint="eastAsia" w:ascii="宋体" w:hAnsi="宋体" w:eastAsia="宋体" w:cs="宋体"/>
          <w:color w:val="auto"/>
          <w:sz w:val="21"/>
          <w:szCs w:val="21"/>
          <w:highlight w:val="none"/>
        </w:rPr>
        <w:t>从低到高的先后顺序推荐3名中标候选人，投标总报价最低的为中标候选人，低于成本价的除外。投标总报价相等，由招标人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w:t>
      </w:r>
      <w:bookmarkStart w:id="14" w:name="_Toc18251"/>
    </w:p>
    <w:p w14:paraId="7A41B9CE">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备注：所有计算均保留小数点后两位，第三位四舍五入进行计算。</w:t>
      </w:r>
      <w:bookmarkEnd w:id="14"/>
    </w:p>
    <w:p w14:paraId="4EE556E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5" w:name="_Toc851"/>
      <w:r>
        <w:rPr>
          <w:rFonts w:hint="eastAsia" w:ascii="宋体" w:hAnsi="宋体" w:eastAsia="宋体" w:cs="宋体"/>
          <w:color w:val="auto"/>
          <w:sz w:val="21"/>
          <w:szCs w:val="21"/>
          <w:highlight w:val="none"/>
        </w:rPr>
        <w:t>28.1.2商务标评审表注：</w:t>
      </w:r>
      <w:bookmarkEnd w:id="15"/>
    </w:p>
    <w:p w14:paraId="5416EB55">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6" w:name="_Toc10768"/>
      <w:r>
        <w:rPr>
          <w:rFonts w:hint="eastAsia" w:ascii="宋体" w:hAnsi="宋体" w:eastAsia="宋体" w:cs="宋体"/>
          <w:color w:val="auto"/>
          <w:sz w:val="21"/>
          <w:szCs w:val="21"/>
          <w:highlight w:val="none"/>
        </w:rPr>
        <w:t>1、只有通过商务标符合性评审的投标人才能参加评分。</w:t>
      </w:r>
      <w:bookmarkEnd w:id="16"/>
    </w:p>
    <w:p w14:paraId="1AF4F4B0">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7" w:name="_Toc3336"/>
      <w:r>
        <w:rPr>
          <w:rFonts w:hint="eastAsia" w:ascii="宋体" w:hAnsi="宋体" w:eastAsia="宋体" w:cs="宋体"/>
          <w:color w:val="auto"/>
          <w:sz w:val="21"/>
          <w:szCs w:val="21"/>
          <w:highlight w:val="none"/>
        </w:rPr>
        <w:t>2、投标报价是指按招标文件规定修正后的投标总报价（多算投标报价、多报费用不扣减）。</w:t>
      </w:r>
      <w:bookmarkEnd w:id="17"/>
    </w:p>
    <w:p w14:paraId="7D46B28B">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8" w:name="_Toc26504"/>
      <w:r>
        <w:rPr>
          <w:rFonts w:hint="eastAsia" w:ascii="宋体" w:hAnsi="宋体" w:eastAsia="宋体" w:cs="宋体"/>
          <w:color w:val="auto"/>
          <w:sz w:val="21"/>
          <w:szCs w:val="21"/>
          <w:highlight w:val="none"/>
        </w:rPr>
        <w:t>3、报价修正原则：</w:t>
      </w:r>
      <w:bookmarkEnd w:id="18"/>
    </w:p>
    <w:p w14:paraId="662064AC">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19" w:name="_Toc29440"/>
      <w:r>
        <w:rPr>
          <w:rFonts w:hint="eastAsia" w:ascii="宋体" w:hAnsi="宋体" w:eastAsia="宋体" w:cs="宋体"/>
          <w:color w:val="auto"/>
          <w:sz w:val="21"/>
          <w:szCs w:val="21"/>
          <w:highlight w:val="none"/>
        </w:rPr>
        <w:t>评标小组审查投标文件，看其是否有计算或表达上的错误，投标报价有错误的，评标小组按以下原则对投标报价进行修正。</w:t>
      </w:r>
      <w:bookmarkEnd w:id="19"/>
    </w:p>
    <w:p w14:paraId="6D2A0E0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20" w:name="_Toc20507"/>
      <w:r>
        <w:rPr>
          <w:rFonts w:hint="eastAsia" w:ascii="宋体" w:hAnsi="宋体" w:eastAsia="宋体" w:cs="宋体"/>
          <w:color w:val="auto"/>
          <w:sz w:val="21"/>
          <w:szCs w:val="21"/>
          <w:highlight w:val="none"/>
        </w:rPr>
        <w:t>（1）投标文件中的大写金额与小写金额不一致的，以大写金额为准。</w:t>
      </w:r>
      <w:bookmarkEnd w:id="20"/>
    </w:p>
    <w:p w14:paraId="7542E1E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21" w:name="_Toc2287"/>
      <w:r>
        <w:rPr>
          <w:rFonts w:hint="eastAsia" w:ascii="宋体" w:hAnsi="宋体" w:eastAsia="宋体" w:cs="宋体"/>
          <w:color w:val="auto"/>
          <w:sz w:val="21"/>
          <w:szCs w:val="21"/>
          <w:highlight w:val="none"/>
        </w:rPr>
        <w:t>（2）总价金额与依据单价计算出的结果不一致的，以单价金额为准修正总价，但单价金额小数点有明显错误的除外。</w:t>
      </w:r>
      <w:bookmarkEnd w:id="21"/>
    </w:p>
    <w:p w14:paraId="2AF11924">
      <w:pPr>
        <w:keepNext w:val="0"/>
        <w:keepLines w:val="0"/>
        <w:pageBreakBefore w:val="0"/>
        <w:widowControl w:val="0"/>
        <w:kinsoku/>
        <w:wordWrap/>
        <w:overflowPunct/>
        <w:topLinePunct w:val="0"/>
        <w:autoSpaceDE/>
        <w:autoSpaceDN/>
        <w:bidi w:val="0"/>
        <w:spacing w:line="510" w:lineRule="exact"/>
        <w:jc w:val="left"/>
        <w:textAlignment w:val="auto"/>
        <w:outlineLvl w:val="1"/>
        <w:rPr>
          <w:rFonts w:hint="eastAsia" w:ascii="宋体" w:hAnsi="宋体" w:eastAsia="宋体" w:cs="宋体"/>
          <w:color w:val="auto"/>
          <w:sz w:val="21"/>
          <w:szCs w:val="21"/>
          <w:highlight w:val="none"/>
        </w:rPr>
      </w:pPr>
      <w:bookmarkStart w:id="22" w:name="_Toc16888"/>
      <w:r>
        <w:rPr>
          <w:rFonts w:hint="eastAsia" w:ascii="宋体" w:hAnsi="宋体" w:eastAsia="宋体" w:cs="宋体"/>
          <w:color w:val="auto"/>
          <w:sz w:val="21"/>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bookmarkEnd w:id="22"/>
    </w:p>
    <w:p w14:paraId="466CE590">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p>
    <w:p w14:paraId="502E5792">
      <w:pPr>
        <w:keepNext w:val="0"/>
        <w:keepLines w:val="0"/>
        <w:pageBreakBefore w:val="0"/>
        <w:widowControl w:val="0"/>
        <w:kinsoku/>
        <w:wordWrap/>
        <w:overflowPunct/>
        <w:topLinePunct w:val="0"/>
        <w:autoSpaceDE/>
        <w:autoSpaceDN/>
        <w:bidi w:val="0"/>
        <w:spacing w:line="510" w:lineRule="exact"/>
        <w:jc w:val="center"/>
        <w:textAlignment w:val="auto"/>
        <w:outlineLvl w:val="1"/>
        <w:rPr>
          <w:rFonts w:hint="eastAsia" w:ascii="宋体" w:hAnsi="宋体" w:eastAsia="宋体" w:cs="宋体"/>
          <w:color w:val="auto"/>
          <w:sz w:val="28"/>
          <w:szCs w:val="28"/>
          <w:highlight w:val="none"/>
        </w:rPr>
      </w:pPr>
      <w:bookmarkStart w:id="23" w:name="_Toc12420"/>
      <w:r>
        <w:rPr>
          <w:rFonts w:hint="eastAsia" w:ascii="宋体" w:hAnsi="宋体" w:eastAsia="宋体" w:cs="宋体"/>
          <w:color w:val="auto"/>
          <w:sz w:val="28"/>
          <w:szCs w:val="28"/>
          <w:highlight w:val="none"/>
        </w:rPr>
        <w:t>六、合同的授予</w:t>
      </w:r>
      <w:bookmarkEnd w:id="13"/>
      <w:bookmarkEnd w:id="23"/>
    </w:p>
    <w:p w14:paraId="2FD38207">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   合同授予标准</w:t>
      </w:r>
    </w:p>
    <w:p w14:paraId="486C568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rPr>
        <w:t>.1  本招标工程的合同授予按本须知第3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条规定所确定的中标人。</w:t>
      </w:r>
    </w:p>
    <w:p w14:paraId="7C6C72F6">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   合同协议书的签订</w:t>
      </w:r>
    </w:p>
    <w:p w14:paraId="53D0FC6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  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01DDFB0E">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0.2 </w:t>
      </w:r>
      <w:r>
        <w:rPr>
          <w:rFonts w:hint="eastAsia" w:ascii="宋体" w:hAnsi="宋体" w:eastAsia="宋体" w:cs="宋体"/>
          <w:color w:val="auto"/>
          <w:sz w:val="21"/>
          <w:szCs w:val="21"/>
          <w:highlight w:val="none"/>
        </w:rPr>
        <w:t xml:space="preserve"> 中标人如不按本投标须知第3</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4CDB8BEF">
      <w:pPr>
        <w:keepNext w:val="0"/>
        <w:keepLines w:val="0"/>
        <w:pageBreakBefore w:val="0"/>
        <w:widowControl w:val="0"/>
        <w:kinsoku/>
        <w:wordWrap/>
        <w:overflowPunct/>
        <w:topLinePunct w:val="0"/>
        <w:autoSpaceDE/>
        <w:autoSpaceDN/>
        <w:bidi w:val="0"/>
        <w:adjustRightInd/>
        <w:snapToGrid/>
        <w:spacing w:line="51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中标人应当按照合同约定履行义务，完成中标项目的实施，不得将中标项目转让（转包）给他人。</w:t>
      </w:r>
      <w:bookmarkStart w:id="24" w:name="_Toc3222"/>
      <w:bookmarkStart w:id="25" w:name="_Toc31589_WPSOffice_Level1"/>
    </w:p>
    <w:p w14:paraId="704B14C5">
      <w:pPr>
        <w:pageBreakBefore/>
        <w:spacing w:before="120" w:beforeLines="50" w:after="120" w:afterLines="50" w:line="360" w:lineRule="auto"/>
        <w:jc w:val="center"/>
        <w:outlineLvl w:val="0"/>
        <w:rPr>
          <w:rFonts w:hint="eastAsia"/>
          <w:b/>
          <w:bCs/>
          <w:color w:val="auto"/>
          <w:sz w:val="28"/>
          <w:szCs w:val="28"/>
        </w:rPr>
      </w:pPr>
      <w:bookmarkStart w:id="26" w:name="_Toc324404864"/>
      <w:bookmarkStart w:id="27" w:name="_Toc22455"/>
      <w:bookmarkStart w:id="28" w:name="_Toc506107317"/>
      <w:bookmarkStart w:id="29" w:name="_Toc2909"/>
      <w:bookmarkStart w:id="30" w:name="_Toc79686984"/>
      <w:bookmarkStart w:id="31" w:name="_Toc15058902"/>
      <w:r>
        <w:rPr>
          <w:rFonts w:hint="eastAsia"/>
          <w:b/>
          <w:bCs/>
          <w:color w:val="auto"/>
          <w:sz w:val="28"/>
          <w:szCs w:val="28"/>
        </w:rPr>
        <w:t>第二章 资格审查</w:t>
      </w:r>
      <w:bookmarkEnd w:id="26"/>
      <w:r>
        <w:rPr>
          <w:rFonts w:hint="eastAsia"/>
          <w:b/>
          <w:bCs/>
          <w:color w:val="auto"/>
          <w:sz w:val="28"/>
          <w:szCs w:val="28"/>
        </w:rPr>
        <w:t>办法</w:t>
      </w:r>
      <w:bookmarkEnd w:id="27"/>
      <w:bookmarkEnd w:id="28"/>
      <w:bookmarkEnd w:id="29"/>
      <w:bookmarkEnd w:id="30"/>
      <w:bookmarkEnd w:id="31"/>
    </w:p>
    <w:p w14:paraId="5CC54FAA">
      <w:pPr>
        <w:spacing w:before="120" w:beforeLines="50" w:after="120" w:afterLines="50" w:line="440" w:lineRule="exact"/>
        <w:jc w:val="center"/>
        <w:rPr>
          <w:rFonts w:hint="eastAsia" w:ascii="宋体" w:hAnsi="宋体" w:cs="宋体"/>
          <w:b/>
          <w:bCs/>
          <w:color w:val="auto"/>
          <w:sz w:val="24"/>
        </w:rPr>
      </w:pPr>
      <w:bookmarkStart w:id="32" w:name="_Toc15058903"/>
      <w:bookmarkStart w:id="33" w:name="_Toc506107318"/>
      <w:bookmarkStart w:id="34" w:name="_Toc324404865"/>
      <w:bookmarkStart w:id="35" w:name="_Toc5756"/>
      <w:r>
        <w:rPr>
          <w:rFonts w:hint="eastAsia" w:ascii="宋体" w:hAnsi="宋体" w:cs="宋体"/>
          <w:b/>
          <w:bCs/>
          <w:color w:val="auto"/>
          <w:sz w:val="24"/>
        </w:rPr>
        <w:t>资格审查办法前附表</w:t>
      </w:r>
      <w:bookmarkEnd w:id="32"/>
      <w:bookmarkEnd w:id="33"/>
      <w:bookmarkEnd w:id="34"/>
      <w:bookmarkEnd w:id="35"/>
    </w:p>
    <w:tbl>
      <w:tblPr>
        <w:tblStyle w:val="47"/>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4"/>
        <w:gridCol w:w="4084"/>
        <w:gridCol w:w="3912"/>
      </w:tblGrid>
      <w:tr w14:paraId="268E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84" w:type="dxa"/>
            <w:noWrap w:val="0"/>
            <w:vAlign w:val="center"/>
          </w:tcPr>
          <w:p w14:paraId="39C586BE">
            <w:pPr>
              <w:spacing w:line="440" w:lineRule="exact"/>
              <w:jc w:val="center"/>
              <w:rPr>
                <w:rFonts w:hint="eastAsia" w:ascii="宋体" w:hAnsi="宋体" w:cs="宋体"/>
                <w:b/>
                <w:bCs/>
                <w:color w:val="auto"/>
                <w:szCs w:val="21"/>
              </w:rPr>
            </w:pPr>
            <w:r>
              <w:rPr>
                <w:rFonts w:hint="eastAsia" w:ascii="宋体" w:hAnsi="宋体" w:cs="宋体"/>
                <w:b/>
                <w:bCs/>
                <w:color w:val="auto"/>
                <w:sz w:val="22"/>
                <w:szCs w:val="28"/>
                <w:lang w:val="en-US" w:eastAsia="zh-CN"/>
              </w:rPr>
              <w:t xml:space="preserve"> </w:t>
            </w:r>
            <w:r>
              <w:rPr>
                <w:rFonts w:hint="eastAsia" w:ascii="宋体" w:hAnsi="宋体" w:cs="宋体"/>
                <w:b/>
                <w:bCs/>
                <w:color w:val="auto"/>
                <w:szCs w:val="21"/>
              </w:rPr>
              <w:t>条款号</w:t>
            </w:r>
          </w:p>
        </w:tc>
        <w:tc>
          <w:tcPr>
            <w:tcW w:w="4084" w:type="dxa"/>
            <w:noWrap w:val="0"/>
            <w:vAlign w:val="center"/>
          </w:tcPr>
          <w:p w14:paraId="3F55DD32">
            <w:pPr>
              <w:spacing w:line="440" w:lineRule="exact"/>
              <w:jc w:val="center"/>
              <w:rPr>
                <w:rFonts w:hint="eastAsia" w:ascii="宋体" w:hAnsi="宋体" w:cs="宋体"/>
                <w:b/>
                <w:bCs/>
                <w:color w:val="auto"/>
                <w:szCs w:val="21"/>
              </w:rPr>
            </w:pPr>
            <w:r>
              <w:rPr>
                <w:rFonts w:hint="eastAsia" w:ascii="宋体" w:hAnsi="宋体" w:cs="宋体"/>
                <w:b/>
                <w:bCs/>
                <w:color w:val="auto"/>
                <w:szCs w:val="21"/>
              </w:rPr>
              <w:t>审查内容</w:t>
            </w:r>
          </w:p>
        </w:tc>
        <w:tc>
          <w:tcPr>
            <w:tcW w:w="3912" w:type="dxa"/>
            <w:noWrap w:val="0"/>
            <w:vAlign w:val="center"/>
          </w:tcPr>
          <w:p w14:paraId="691B56F5">
            <w:pPr>
              <w:spacing w:line="440" w:lineRule="exact"/>
              <w:jc w:val="center"/>
              <w:rPr>
                <w:rFonts w:hint="eastAsia" w:ascii="宋体" w:hAnsi="宋体" w:cs="宋体"/>
                <w:b/>
                <w:bCs/>
                <w:color w:val="auto"/>
                <w:szCs w:val="21"/>
              </w:rPr>
            </w:pPr>
            <w:r>
              <w:rPr>
                <w:rFonts w:hint="eastAsia" w:ascii="宋体" w:hAnsi="宋体" w:cs="宋体"/>
                <w:b/>
                <w:bCs/>
                <w:color w:val="auto"/>
                <w:szCs w:val="21"/>
              </w:rPr>
              <w:t>评审标准</w:t>
            </w:r>
          </w:p>
        </w:tc>
      </w:tr>
      <w:tr w14:paraId="01F4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2184" w:type="dxa"/>
            <w:vMerge w:val="restart"/>
            <w:noWrap w:val="0"/>
            <w:vAlign w:val="center"/>
          </w:tcPr>
          <w:p w14:paraId="54AD7081">
            <w:pPr>
              <w:spacing w:line="440" w:lineRule="exact"/>
              <w:jc w:val="center"/>
              <w:rPr>
                <w:rFonts w:hint="eastAsia" w:ascii="宋体" w:hAnsi="宋体" w:cs="宋体"/>
                <w:color w:val="auto"/>
                <w:szCs w:val="21"/>
              </w:rPr>
            </w:pPr>
          </w:p>
          <w:p w14:paraId="302E511E">
            <w:pPr>
              <w:spacing w:line="440" w:lineRule="exact"/>
              <w:jc w:val="center"/>
              <w:rPr>
                <w:rFonts w:hint="eastAsia" w:ascii="宋体" w:hAnsi="宋体" w:cs="宋体"/>
                <w:b/>
                <w:bCs/>
                <w:color w:val="auto"/>
                <w:szCs w:val="21"/>
              </w:rPr>
            </w:pPr>
            <w:r>
              <w:rPr>
                <w:rFonts w:hint="eastAsia" w:ascii="宋体" w:hAnsi="宋体" w:cs="宋体"/>
                <w:b/>
                <w:bCs/>
                <w:color w:val="auto"/>
                <w:szCs w:val="21"/>
                <w:lang w:val="en-US" w:eastAsia="zh-CN"/>
              </w:rPr>
              <w:t>资格</w:t>
            </w:r>
            <w:r>
              <w:rPr>
                <w:rFonts w:hint="eastAsia" w:ascii="宋体" w:hAnsi="宋体" w:cs="宋体"/>
                <w:b/>
                <w:bCs/>
                <w:color w:val="auto"/>
                <w:szCs w:val="21"/>
              </w:rPr>
              <w:t>审查资料</w:t>
            </w:r>
          </w:p>
        </w:tc>
        <w:tc>
          <w:tcPr>
            <w:tcW w:w="4084" w:type="dxa"/>
            <w:noWrap w:val="0"/>
            <w:vAlign w:val="top"/>
          </w:tcPr>
          <w:p w14:paraId="6B6952AC">
            <w:pPr>
              <w:spacing w:line="440" w:lineRule="exact"/>
              <w:rPr>
                <w:rFonts w:hint="eastAsia" w:ascii="宋体" w:hAnsi="宋体" w:cs="宋体"/>
                <w:color w:val="auto"/>
                <w:szCs w:val="21"/>
              </w:rPr>
            </w:pPr>
            <w:r>
              <w:rPr>
                <w:rFonts w:hint="eastAsia" w:ascii="宋体" w:hAnsi="宋体" w:cs="宋体"/>
                <w:color w:val="auto"/>
                <w:szCs w:val="21"/>
              </w:rPr>
              <w:t>法定代表人身份证明文件和本人有效身份证(或法定代表人授权委托书和委托代理人有效身份证)</w:t>
            </w:r>
          </w:p>
        </w:tc>
        <w:tc>
          <w:tcPr>
            <w:tcW w:w="3912" w:type="dxa"/>
            <w:noWrap w:val="0"/>
            <w:vAlign w:val="center"/>
          </w:tcPr>
          <w:p w14:paraId="1F603F90">
            <w:pPr>
              <w:spacing w:line="440" w:lineRule="exact"/>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原件</w:t>
            </w:r>
          </w:p>
        </w:tc>
      </w:tr>
      <w:tr w14:paraId="7D2B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84" w:type="dxa"/>
            <w:vMerge w:val="continue"/>
            <w:noWrap w:val="0"/>
            <w:vAlign w:val="center"/>
          </w:tcPr>
          <w:p w14:paraId="7CC99B3C">
            <w:pPr>
              <w:spacing w:line="440" w:lineRule="exact"/>
              <w:jc w:val="center"/>
              <w:rPr>
                <w:rFonts w:hint="eastAsia" w:ascii="宋体" w:hAnsi="宋体" w:cs="宋体"/>
                <w:b/>
                <w:bCs/>
                <w:color w:val="auto"/>
                <w:szCs w:val="21"/>
              </w:rPr>
            </w:pPr>
          </w:p>
        </w:tc>
        <w:tc>
          <w:tcPr>
            <w:tcW w:w="4084" w:type="dxa"/>
            <w:noWrap w:val="0"/>
            <w:vAlign w:val="top"/>
          </w:tcPr>
          <w:p w14:paraId="574CDE3B">
            <w:pPr>
              <w:spacing w:line="440" w:lineRule="exact"/>
              <w:rPr>
                <w:rFonts w:hint="eastAsia" w:ascii="宋体" w:hAnsi="宋体" w:cs="宋体"/>
                <w:color w:val="auto"/>
                <w:szCs w:val="21"/>
              </w:rPr>
            </w:pPr>
            <w:r>
              <w:rPr>
                <w:rFonts w:hint="eastAsia" w:ascii="宋体" w:hAnsi="宋体" w:cs="宋体"/>
                <w:color w:val="auto"/>
                <w:szCs w:val="21"/>
              </w:rPr>
              <w:t>诚信投标承诺书</w:t>
            </w:r>
          </w:p>
        </w:tc>
        <w:tc>
          <w:tcPr>
            <w:tcW w:w="3912" w:type="dxa"/>
            <w:noWrap w:val="0"/>
            <w:vAlign w:val="center"/>
          </w:tcPr>
          <w:p w14:paraId="798D9565">
            <w:pPr>
              <w:spacing w:line="440" w:lineRule="exact"/>
              <w:jc w:val="center"/>
              <w:rPr>
                <w:rFonts w:hint="eastAsia" w:ascii="宋体" w:hAnsi="宋体" w:eastAsia="宋体" w:cs="宋体"/>
                <w:b/>
                <w:color w:val="auto"/>
                <w:szCs w:val="21"/>
                <w:lang w:eastAsia="zh-CN"/>
              </w:rPr>
            </w:pPr>
            <w:r>
              <w:rPr>
                <w:rFonts w:hint="eastAsia" w:ascii="宋体" w:hAnsi="宋体" w:cs="宋体"/>
                <w:b/>
                <w:color w:val="auto"/>
                <w:szCs w:val="21"/>
                <w:lang w:val="en-US" w:eastAsia="zh-CN"/>
              </w:rPr>
              <w:t>原件</w:t>
            </w:r>
          </w:p>
        </w:tc>
      </w:tr>
      <w:tr w14:paraId="000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184" w:type="dxa"/>
            <w:vMerge w:val="continue"/>
            <w:noWrap w:val="0"/>
            <w:vAlign w:val="center"/>
          </w:tcPr>
          <w:p w14:paraId="2189DCB8">
            <w:pPr>
              <w:spacing w:line="440" w:lineRule="exact"/>
              <w:jc w:val="center"/>
              <w:rPr>
                <w:rFonts w:hint="eastAsia" w:ascii="宋体" w:hAnsi="宋体" w:cs="宋体"/>
                <w:b/>
                <w:bCs/>
                <w:color w:val="auto"/>
                <w:szCs w:val="21"/>
              </w:rPr>
            </w:pPr>
          </w:p>
        </w:tc>
        <w:tc>
          <w:tcPr>
            <w:tcW w:w="4084" w:type="dxa"/>
            <w:noWrap w:val="0"/>
            <w:vAlign w:val="top"/>
          </w:tcPr>
          <w:p w14:paraId="3A843E13">
            <w:pPr>
              <w:spacing w:line="440" w:lineRule="exact"/>
              <w:rPr>
                <w:rFonts w:hint="eastAsia" w:ascii="宋体" w:hAnsi="宋体" w:eastAsia="宋体" w:cs="宋体"/>
                <w:color w:val="auto"/>
                <w:szCs w:val="21"/>
                <w:lang w:eastAsia="zh-CN"/>
              </w:rPr>
            </w:pPr>
            <w:r>
              <w:rPr>
                <w:rFonts w:hint="eastAsia" w:ascii="宋体" w:hAnsi="宋体" w:cs="宋体"/>
                <w:color w:val="auto"/>
                <w:szCs w:val="21"/>
              </w:rPr>
              <w:t>企业法人营业执照</w:t>
            </w:r>
            <w:r>
              <w:rPr>
                <w:rFonts w:hint="eastAsia" w:ascii="宋体" w:hAnsi="宋体" w:cs="宋体"/>
                <w:color w:val="auto"/>
                <w:szCs w:val="21"/>
                <w:lang w:val="en-US" w:eastAsia="zh-CN"/>
              </w:rPr>
              <w:t xml:space="preserve"> </w:t>
            </w:r>
          </w:p>
        </w:tc>
        <w:tc>
          <w:tcPr>
            <w:tcW w:w="3912" w:type="dxa"/>
            <w:noWrap w:val="0"/>
            <w:vAlign w:val="center"/>
          </w:tcPr>
          <w:p w14:paraId="3D3F68E3">
            <w:pPr>
              <w:spacing w:line="440" w:lineRule="exact"/>
              <w:jc w:val="center"/>
              <w:rPr>
                <w:rFonts w:hint="eastAsia" w:ascii="宋体" w:hAnsi="宋体" w:cs="宋体"/>
                <w:color w:val="auto"/>
                <w:szCs w:val="21"/>
              </w:rPr>
            </w:pPr>
            <w:r>
              <w:rPr>
                <w:rFonts w:hint="eastAsia" w:ascii="宋体" w:hAnsi="宋体" w:cs="宋体"/>
                <w:b/>
                <w:color w:val="auto"/>
                <w:szCs w:val="21"/>
                <w:lang w:val="en-US" w:eastAsia="zh-CN"/>
              </w:rPr>
              <w:t xml:space="preserve">原件或复印件加盖投标单位公章 </w:t>
            </w:r>
          </w:p>
        </w:tc>
      </w:tr>
      <w:tr w14:paraId="3FC2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184" w:type="dxa"/>
            <w:shd w:val="clear" w:color="auto" w:fill="auto"/>
            <w:noWrap w:val="0"/>
            <w:vAlign w:val="center"/>
          </w:tcPr>
          <w:p w14:paraId="2AFC005F">
            <w:pPr>
              <w:spacing w:line="440" w:lineRule="exact"/>
              <w:jc w:val="center"/>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Cs w:val="21"/>
                <w:lang w:val="en-US" w:eastAsia="zh-CN"/>
              </w:rPr>
              <w:t>到场要求</w:t>
            </w:r>
          </w:p>
        </w:tc>
        <w:tc>
          <w:tcPr>
            <w:tcW w:w="4084" w:type="dxa"/>
            <w:shd w:val="clear" w:color="auto" w:fill="auto"/>
            <w:noWrap w:val="0"/>
            <w:vAlign w:val="top"/>
          </w:tcPr>
          <w:p w14:paraId="3F48CB4A">
            <w:pPr>
              <w:spacing w:line="44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lang w:val="en-US" w:eastAsia="zh-CN"/>
              </w:rPr>
              <w:t>投标人的法定代表人（或委托代理人）应当参加开标会议</w:t>
            </w:r>
          </w:p>
        </w:tc>
        <w:tc>
          <w:tcPr>
            <w:tcW w:w="3912" w:type="dxa"/>
            <w:shd w:val="clear" w:color="auto" w:fill="auto"/>
            <w:noWrap w:val="0"/>
            <w:vAlign w:val="center"/>
          </w:tcPr>
          <w:p w14:paraId="2CBE1A07">
            <w:pPr>
              <w:spacing w:line="440" w:lineRule="exact"/>
              <w:jc w:val="cente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lang w:val="en-US" w:eastAsia="zh-CN"/>
              </w:rPr>
              <w:t>到场</w:t>
            </w:r>
          </w:p>
        </w:tc>
      </w:tr>
      <w:tr w14:paraId="5249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0180" w:type="dxa"/>
            <w:gridSpan w:val="3"/>
            <w:shd w:val="clear" w:color="auto" w:fill="auto"/>
            <w:noWrap w:val="0"/>
            <w:vAlign w:val="center"/>
          </w:tcPr>
          <w:p w14:paraId="38C31CFE">
            <w:pPr>
              <w:spacing w:line="440" w:lineRule="exact"/>
              <w:jc w:val="both"/>
              <w:rPr>
                <w:rFonts w:hint="eastAsia" w:ascii="宋体" w:hAnsi="宋体" w:cs="宋体"/>
                <w:b/>
                <w:color w:val="auto"/>
                <w:szCs w:val="21"/>
                <w:lang w:val="en-US" w:eastAsia="zh-CN"/>
              </w:rPr>
            </w:pPr>
            <w:r>
              <w:rPr>
                <w:rFonts w:hint="eastAsia"/>
                <w:color w:val="auto"/>
                <w:szCs w:val="21"/>
              </w:rPr>
              <w:t>注：只有通过资格审查的投标人才能进入下一步的评标程序。</w:t>
            </w:r>
          </w:p>
        </w:tc>
      </w:tr>
    </w:tbl>
    <w:p w14:paraId="2805DB7F">
      <w:pPr>
        <w:pStyle w:val="13"/>
        <w:rPr>
          <w:rFonts w:hint="eastAsia"/>
          <w:color w:val="auto"/>
          <w:highlight w:val="none"/>
          <w:lang w:val="en-US" w:eastAsia="zh-CN"/>
        </w:rPr>
      </w:pPr>
    </w:p>
    <w:p w14:paraId="2921D19B">
      <w:pPr>
        <w:rPr>
          <w:rFonts w:hint="eastAsia" w:ascii="宋体" w:hAnsi="宋体" w:eastAsia="宋体" w:cs="宋体"/>
          <w:color w:val="auto"/>
          <w:highlight w:val="none"/>
          <w:lang w:val="en-US" w:eastAsia="zh-CN"/>
        </w:rPr>
      </w:pPr>
    </w:p>
    <w:p w14:paraId="1C5BE0D6">
      <w:pPr>
        <w:rPr>
          <w:rFonts w:hint="eastAsia" w:ascii="宋体" w:hAnsi="宋体" w:eastAsia="宋体" w:cs="宋体"/>
          <w:color w:val="auto"/>
          <w:highlight w:val="none"/>
          <w:lang w:val="en-US" w:eastAsia="zh-CN"/>
        </w:rPr>
      </w:pPr>
    </w:p>
    <w:p w14:paraId="6A8D23AC">
      <w:pPr>
        <w:rPr>
          <w:rFonts w:hint="eastAsia" w:ascii="宋体" w:hAnsi="宋体" w:eastAsia="宋体" w:cs="宋体"/>
          <w:color w:val="auto"/>
          <w:highlight w:val="none"/>
          <w:lang w:val="en-US" w:eastAsia="zh-CN"/>
        </w:rPr>
      </w:pPr>
    </w:p>
    <w:p w14:paraId="0ABD2B36">
      <w:pPr>
        <w:pStyle w:val="2"/>
        <w:spacing w:before="0" w:after="0"/>
        <w:rPr>
          <w:rFonts w:hint="eastAsia" w:ascii="宋体" w:hAnsi="宋体" w:eastAsia="宋体" w:cs="宋体"/>
          <w:color w:val="auto"/>
          <w:highlight w:val="none"/>
          <w:lang w:val="en-US" w:eastAsia="zh-CN"/>
        </w:rPr>
      </w:pPr>
      <w:bookmarkStart w:id="36" w:name="_Toc27913"/>
      <w:r>
        <w:rPr>
          <w:rFonts w:hint="eastAsia" w:ascii="宋体" w:hAnsi="宋体" w:eastAsia="宋体" w:cs="宋体"/>
          <w:color w:val="auto"/>
          <w:highlight w:val="none"/>
          <w:lang w:val="en-US" w:eastAsia="zh-CN"/>
        </w:rPr>
        <w:t>第三章  评标办法</w:t>
      </w:r>
      <w:bookmarkEnd w:id="36"/>
    </w:p>
    <w:p w14:paraId="22680986">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1、本次评选方法采用</w:t>
      </w:r>
      <w:r>
        <w:rPr>
          <w:rFonts w:hint="eastAsia" w:ascii="宋体" w:hAnsi="宋体" w:cs="宋体"/>
          <w:color w:val="auto"/>
          <w:szCs w:val="21"/>
          <w:highlight w:val="none"/>
          <w:lang w:eastAsia="zh-CN"/>
        </w:rPr>
        <w:t>经评审的最低价法</w:t>
      </w:r>
      <w:r>
        <w:rPr>
          <w:rFonts w:hint="eastAsia" w:ascii="宋体" w:hAnsi="宋体" w:eastAsia="宋体" w:cs="宋体"/>
          <w:color w:val="auto"/>
          <w:szCs w:val="21"/>
          <w:highlight w:val="none"/>
        </w:rPr>
        <w:t>。评标小组对满足招标文件实质性要求的投标文件，最终按投标总报价</w:t>
      </w:r>
      <w:r>
        <w:rPr>
          <w:rFonts w:hint="eastAsia" w:ascii="宋体" w:hAnsi="Times New Roman" w:eastAsia="宋体" w:cs="Times New Roman"/>
          <w:color w:val="000000"/>
          <w:szCs w:val="21"/>
          <w:highlight w:val="yellow"/>
          <w:lang w:eastAsia="zh-CN"/>
        </w:rPr>
        <w:t>（扣除可抵扣的进项税后的金额）</w:t>
      </w:r>
      <w:r>
        <w:rPr>
          <w:rFonts w:hint="eastAsia" w:ascii="宋体" w:hAnsi="宋体" w:eastAsia="宋体" w:cs="宋体"/>
          <w:color w:val="auto"/>
          <w:szCs w:val="21"/>
          <w:highlight w:val="none"/>
        </w:rPr>
        <w:t>从低到高的先后顺序推荐3名中标候选人，投标总报价</w:t>
      </w:r>
      <w:r>
        <w:rPr>
          <w:rFonts w:hint="eastAsia" w:ascii="宋体" w:hAnsi="Times New Roman" w:eastAsia="宋体" w:cs="Times New Roman"/>
          <w:color w:val="000000"/>
          <w:szCs w:val="21"/>
          <w:highlight w:val="yellow"/>
          <w:lang w:eastAsia="zh-CN"/>
        </w:rPr>
        <w:t>（扣除可抵扣的进项税后的金额）</w:t>
      </w:r>
      <w:r>
        <w:rPr>
          <w:rFonts w:hint="eastAsia" w:ascii="宋体" w:hAnsi="宋体" w:eastAsia="宋体" w:cs="宋体"/>
          <w:color w:val="auto"/>
          <w:szCs w:val="21"/>
          <w:highlight w:val="none"/>
        </w:rPr>
        <w:t>最低的为中标候选人，低于成本价的除外。投标总报价</w:t>
      </w:r>
      <w:r>
        <w:rPr>
          <w:rFonts w:hint="eastAsia" w:ascii="宋体" w:hAnsi="Times New Roman" w:eastAsia="宋体" w:cs="Times New Roman"/>
          <w:color w:val="000000"/>
          <w:szCs w:val="21"/>
          <w:highlight w:val="yellow"/>
          <w:lang w:eastAsia="zh-CN"/>
        </w:rPr>
        <w:t>（扣除可抵扣的进项税后的金额）</w:t>
      </w:r>
      <w:r>
        <w:rPr>
          <w:rFonts w:hint="eastAsia" w:ascii="宋体" w:hAnsi="宋体" w:eastAsia="宋体" w:cs="宋体"/>
          <w:color w:val="auto"/>
          <w:szCs w:val="21"/>
          <w:highlight w:val="none"/>
        </w:rPr>
        <w:t>相等，由招标人</w:t>
      </w:r>
      <w:r>
        <w:rPr>
          <w:rFonts w:hint="eastAsia" w:ascii="宋体" w:hAnsi="宋体" w:eastAsia="宋体" w:cs="宋体"/>
          <w:color w:val="auto"/>
          <w:szCs w:val="21"/>
          <w:highlight w:val="none"/>
          <w:lang w:val="en-US" w:eastAsia="zh-CN"/>
        </w:rPr>
        <w:t>或评标委员会主任</w:t>
      </w:r>
      <w:r>
        <w:rPr>
          <w:rFonts w:hint="eastAsia" w:ascii="宋体" w:hAnsi="宋体" w:eastAsia="宋体" w:cs="宋体"/>
          <w:color w:val="auto"/>
          <w:szCs w:val="21"/>
          <w:highlight w:val="none"/>
        </w:rPr>
        <w:t>随机抽取确定。备注：所有计算均保留小数点后两位，第三位四舍五入进行计算。</w:t>
      </w:r>
    </w:p>
    <w:p w14:paraId="73DEF3C7">
      <w:pPr>
        <w:spacing w:line="480" w:lineRule="exact"/>
        <w:rPr>
          <w:rFonts w:hint="default" w:ascii="宋体" w:hAnsi="宋体" w:eastAsia="宋体" w:cs="宋体"/>
          <w:color w:val="auto"/>
          <w:szCs w:val="21"/>
          <w:highlight w:val="yellow"/>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yellow"/>
          <w:lang w:val="en-US" w:eastAsia="zh-CN"/>
        </w:rPr>
        <w:t>投标总报价指扣除可抵扣的进项税后的金额</w:t>
      </w:r>
      <w:r>
        <w:rPr>
          <w:rFonts w:hint="eastAsia" w:ascii="宋体" w:hAnsi="宋体" w:eastAsia="宋体" w:cs="宋体"/>
          <w:color w:val="auto"/>
          <w:szCs w:val="21"/>
          <w:highlight w:val="yellow"/>
        </w:rPr>
        <w:t>【</w:t>
      </w:r>
      <w:r>
        <w:rPr>
          <w:rFonts w:hint="eastAsia" w:ascii="宋体" w:hAnsi="宋体" w:eastAsia="宋体" w:cs="宋体"/>
          <w:color w:val="auto"/>
          <w:szCs w:val="21"/>
          <w:highlight w:val="yellow"/>
          <w:lang w:val="en-US" w:eastAsia="zh-CN"/>
        </w:rPr>
        <w:t>投标人的投标报价/（1+开票税率）</w:t>
      </w:r>
      <w:r>
        <w:rPr>
          <w:rFonts w:hint="eastAsia" w:ascii="宋体" w:hAnsi="宋体" w:eastAsia="宋体" w:cs="宋体"/>
          <w:color w:val="auto"/>
          <w:szCs w:val="21"/>
          <w:highlight w:val="yellow"/>
        </w:rPr>
        <w:t>】</w:t>
      </w:r>
    </w:p>
    <w:p w14:paraId="1D297F28">
      <w:pPr>
        <w:spacing w:line="480" w:lineRule="exact"/>
        <w:rPr>
          <w:rFonts w:hint="default" w:ascii="宋体" w:hAnsi="宋体" w:eastAsia="宋体" w:cs="宋体"/>
          <w:color w:val="auto"/>
          <w:szCs w:val="21"/>
          <w:highlight w:val="none"/>
          <w:lang w:val="en-US" w:eastAsia="zh-CN"/>
        </w:rPr>
      </w:pPr>
    </w:p>
    <w:bookmarkEnd w:id="24"/>
    <w:bookmarkEnd w:id="25"/>
    <w:p w14:paraId="2E7225DC">
      <w:pPr>
        <w:pageBreakBefore/>
        <w:spacing w:before="249" w:beforeLines="80" w:after="249" w:afterLines="80" w:line="440" w:lineRule="exact"/>
        <w:jc w:val="center"/>
        <w:outlineLvl w:val="1"/>
        <w:rPr>
          <w:rFonts w:hint="eastAsia" w:ascii="宋体" w:eastAsia="宋体"/>
          <w:b/>
          <w:color w:val="auto"/>
          <w:sz w:val="32"/>
          <w:szCs w:val="32"/>
          <w:highlight w:val="none"/>
          <w:lang w:eastAsia="zh-CN"/>
        </w:rPr>
      </w:pPr>
      <w:bookmarkStart w:id="37" w:name="_Toc78"/>
      <w:bookmarkStart w:id="38" w:name="_Toc77262196"/>
      <w:r>
        <w:rPr>
          <w:rFonts w:hint="eastAsia" w:ascii="宋体"/>
          <w:b/>
          <w:color w:val="auto"/>
          <w:sz w:val="32"/>
          <w:szCs w:val="32"/>
          <w:highlight w:val="none"/>
        </w:rPr>
        <w:t>第</w:t>
      </w:r>
      <w:r>
        <w:rPr>
          <w:rFonts w:hint="eastAsia" w:ascii="宋体"/>
          <w:b/>
          <w:color w:val="auto"/>
          <w:sz w:val="32"/>
          <w:szCs w:val="32"/>
          <w:highlight w:val="none"/>
          <w:lang w:val="en-US" w:eastAsia="zh-CN"/>
        </w:rPr>
        <w:t>四</w:t>
      </w:r>
      <w:r>
        <w:rPr>
          <w:rFonts w:hint="eastAsia" w:ascii="宋体"/>
          <w:b/>
          <w:color w:val="auto"/>
          <w:sz w:val="32"/>
          <w:szCs w:val="32"/>
          <w:highlight w:val="none"/>
        </w:rPr>
        <w:t>章</w:t>
      </w:r>
      <w:r>
        <w:rPr>
          <w:rFonts w:ascii="宋体"/>
          <w:b/>
          <w:color w:val="auto"/>
          <w:sz w:val="32"/>
          <w:szCs w:val="32"/>
          <w:highlight w:val="none"/>
        </w:rPr>
        <w:t xml:space="preserve">  </w:t>
      </w:r>
      <w:r>
        <w:rPr>
          <w:rFonts w:hint="eastAsia" w:ascii="宋体"/>
          <w:b/>
          <w:color w:val="auto"/>
          <w:sz w:val="32"/>
          <w:szCs w:val="32"/>
          <w:highlight w:val="none"/>
        </w:rPr>
        <w:t>合同条款及格式</w:t>
      </w:r>
      <w:bookmarkEnd w:id="37"/>
      <w:bookmarkEnd w:id="38"/>
    </w:p>
    <w:p w14:paraId="30A2F61F">
      <w:pPr>
        <w:pStyle w:val="161"/>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eastAsia" w:ascii="宋体" w:hAnsi="宋体" w:eastAsia="宋体" w:cs="宋体"/>
          <w:b/>
          <w:color w:val="auto"/>
          <w:sz w:val="32"/>
          <w:szCs w:val="32"/>
          <w:highlight w:val="none"/>
          <w:lang w:val="en-US" w:eastAsia="zh-CN"/>
        </w:rPr>
      </w:pPr>
      <w:bookmarkStart w:id="39" w:name="_Toc2094516902"/>
      <w:bookmarkStart w:id="40" w:name="_Toc184263479"/>
      <w:r>
        <w:rPr>
          <w:rFonts w:hint="eastAsia" w:ascii="宋体" w:hAnsi="宋体" w:eastAsia="宋体" w:cs="宋体"/>
          <w:b/>
          <w:color w:val="auto"/>
          <w:sz w:val="32"/>
          <w:szCs w:val="32"/>
          <w:highlight w:val="none"/>
          <w:lang w:val="en-US" w:eastAsia="zh-CN"/>
        </w:rPr>
        <w:t>本项目合同待确定中标人后双方制定,主要内容包括但不限于中标价、供货期、结算价、付款方式等，其他详细内容双方协商确定。</w:t>
      </w:r>
      <w:bookmarkEnd w:id="39"/>
      <w:bookmarkEnd w:id="40"/>
    </w:p>
    <w:p w14:paraId="77F3F6C2">
      <w:pPr>
        <w:pStyle w:val="161"/>
        <w:keepNext w:val="0"/>
        <w:keepLines w:val="0"/>
        <w:pageBreakBefore w:val="0"/>
        <w:widowControl w:val="0"/>
        <w:kinsoku/>
        <w:wordWrap/>
        <w:overflowPunct/>
        <w:topLinePunct w:val="0"/>
        <w:autoSpaceDE/>
        <w:autoSpaceDN/>
        <w:bidi w:val="0"/>
        <w:adjustRightInd/>
        <w:snapToGrid/>
        <w:spacing w:line="400" w:lineRule="exact"/>
        <w:ind w:firstLine="643" w:firstLineChars="200"/>
        <w:jc w:val="left"/>
        <w:textAlignment w:val="auto"/>
        <w:rPr>
          <w:rFonts w:hint="eastAsia" w:ascii="宋体" w:hAnsi="宋体" w:eastAsia="宋体" w:cs="宋体"/>
          <w:b/>
          <w:color w:val="auto"/>
          <w:sz w:val="32"/>
          <w:szCs w:val="32"/>
          <w:highlight w:val="none"/>
          <w:lang w:val="en-US" w:eastAsia="zh-CN"/>
        </w:rPr>
      </w:pPr>
    </w:p>
    <w:p w14:paraId="7DCE1A8A">
      <w:pPr>
        <w:rPr>
          <w:rFonts w:hint="eastAsia"/>
          <w:color w:val="auto"/>
          <w:highlight w:val="none"/>
          <w:lang w:val="en-US" w:eastAsia="zh-CN"/>
        </w:rPr>
      </w:pPr>
    </w:p>
    <w:p w14:paraId="3E0BEE74">
      <w:pPr>
        <w:pStyle w:val="2"/>
        <w:spacing w:before="0" w:after="0"/>
        <w:rPr>
          <w:rFonts w:hint="eastAsia" w:ascii="宋体" w:hAnsi="宋体" w:eastAsia="宋体" w:cs="宋体"/>
          <w:color w:val="auto"/>
          <w:highlight w:val="none"/>
          <w:lang w:val="en-US" w:eastAsia="zh-CN"/>
        </w:rPr>
      </w:pPr>
    </w:p>
    <w:p w14:paraId="6119CFA9">
      <w:pPr>
        <w:pStyle w:val="2"/>
        <w:spacing w:before="0" w:after="0"/>
        <w:rPr>
          <w:rFonts w:hint="eastAsia" w:ascii="宋体" w:hAnsi="宋体" w:eastAsia="宋体" w:cs="宋体"/>
          <w:color w:val="auto"/>
          <w:highlight w:val="none"/>
          <w:lang w:val="en-US" w:eastAsia="zh-CN"/>
        </w:rPr>
      </w:pPr>
    </w:p>
    <w:p w14:paraId="7C63BB8E">
      <w:pPr>
        <w:pStyle w:val="2"/>
        <w:spacing w:before="0" w:after="0"/>
        <w:rPr>
          <w:rFonts w:hint="eastAsia" w:ascii="宋体" w:hAnsi="宋体" w:eastAsia="宋体" w:cs="宋体"/>
          <w:color w:val="auto"/>
          <w:highlight w:val="none"/>
          <w:lang w:val="en-US" w:eastAsia="zh-CN"/>
        </w:rPr>
      </w:pPr>
    </w:p>
    <w:p w14:paraId="0FE26565">
      <w:pPr>
        <w:pStyle w:val="2"/>
        <w:spacing w:before="0" w:after="0"/>
        <w:rPr>
          <w:rFonts w:hint="eastAsia" w:ascii="宋体" w:hAnsi="宋体" w:eastAsia="宋体" w:cs="宋体"/>
          <w:color w:val="auto"/>
          <w:highlight w:val="none"/>
          <w:lang w:val="en-US" w:eastAsia="zh-CN"/>
        </w:rPr>
      </w:pPr>
    </w:p>
    <w:p w14:paraId="4E01D891">
      <w:pPr>
        <w:pStyle w:val="2"/>
        <w:spacing w:before="0" w:after="0"/>
        <w:rPr>
          <w:rFonts w:hint="eastAsia" w:ascii="宋体" w:hAnsi="宋体" w:eastAsia="宋体" w:cs="宋体"/>
          <w:color w:val="auto"/>
          <w:highlight w:val="none"/>
          <w:lang w:val="en-US" w:eastAsia="zh-CN"/>
        </w:rPr>
      </w:pPr>
    </w:p>
    <w:p w14:paraId="477B5394">
      <w:pPr>
        <w:pStyle w:val="2"/>
        <w:spacing w:before="0" w:after="0"/>
        <w:rPr>
          <w:rFonts w:hint="eastAsia" w:ascii="宋体" w:hAnsi="宋体" w:eastAsia="宋体" w:cs="宋体"/>
          <w:color w:val="auto"/>
          <w:highlight w:val="none"/>
          <w:lang w:val="en-US" w:eastAsia="zh-CN"/>
        </w:rPr>
      </w:pPr>
    </w:p>
    <w:p w14:paraId="4DD55D4D">
      <w:pPr>
        <w:pStyle w:val="2"/>
        <w:spacing w:before="0" w:after="0"/>
        <w:rPr>
          <w:rFonts w:hint="eastAsia" w:ascii="宋体" w:hAnsi="宋体" w:eastAsia="宋体" w:cs="宋体"/>
          <w:color w:val="auto"/>
          <w:highlight w:val="none"/>
          <w:lang w:val="en-US" w:eastAsia="zh-CN"/>
        </w:rPr>
      </w:pPr>
    </w:p>
    <w:p w14:paraId="48B22D91">
      <w:pPr>
        <w:pStyle w:val="2"/>
        <w:spacing w:before="0" w:after="0"/>
        <w:rPr>
          <w:rFonts w:hint="eastAsia" w:ascii="宋体" w:hAnsi="宋体" w:eastAsia="宋体" w:cs="宋体"/>
          <w:color w:val="auto"/>
          <w:highlight w:val="none"/>
          <w:lang w:val="en-US" w:eastAsia="zh-CN"/>
        </w:rPr>
      </w:pPr>
    </w:p>
    <w:p w14:paraId="5414D5D9">
      <w:pPr>
        <w:pStyle w:val="2"/>
        <w:spacing w:before="0" w:after="0"/>
        <w:rPr>
          <w:rFonts w:hint="eastAsia" w:ascii="宋体" w:hAnsi="宋体" w:eastAsia="宋体" w:cs="宋体"/>
          <w:color w:val="auto"/>
          <w:highlight w:val="none"/>
          <w:lang w:val="en-US" w:eastAsia="zh-CN"/>
        </w:rPr>
      </w:pPr>
    </w:p>
    <w:p w14:paraId="7C6EAA2B">
      <w:pPr>
        <w:pStyle w:val="2"/>
        <w:spacing w:before="0" w:after="0"/>
        <w:rPr>
          <w:rFonts w:hint="eastAsia" w:ascii="宋体" w:hAnsi="宋体" w:eastAsia="宋体" w:cs="宋体"/>
          <w:color w:val="auto"/>
          <w:highlight w:val="none"/>
          <w:lang w:val="en-US" w:eastAsia="zh-CN"/>
        </w:rPr>
      </w:pPr>
    </w:p>
    <w:p w14:paraId="3917CC94">
      <w:pPr>
        <w:pStyle w:val="2"/>
        <w:spacing w:before="0" w:after="0"/>
        <w:rPr>
          <w:rFonts w:hint="eastAsia" w:ascii="宋体" w:hAnsi="宋体" w:eastAsia="宋体" w:cs="宋体"/>
          <w:color w:val="auto"/>
          <w:highlight w:val="none"/>
          <w:lang w:val="en-US" w:eastAsia="zh-CN"/>
        </w:rPr>
      </w:pPr>
    </w:p>
    <w:p w14:paraId="4C2C2508">
      <w:pPr>
        <w:pStyle w:val="2"/>
        <w:spacing w:before="0" w:after="0"/>
        <w:rPr>
          <w:rFonts w:hint="eastAsia" w:ascii="宋体" w:hAnsi="宋体" w:eastAsia="宋体" w:cs="宋体"/>
          <w:color w:val="auto"/>
          <w:highlight w:val="none"/>
          <w:lang w:val="en-US" w:eastAsia="zh-CN"/>
        </w:rPr>
      </w:pPr>
    </w:p>
    <w:p w14:paraId="7D5EE6C5">
      <w:pPr>
        <w:pStyle w:val="2"/>
        <w:spacing w:before="0" w:after="0"/>
        <w:rPr>
          <w:rFonts w:hint="eastAsia" w:ascii="宋体" w:hAnsi="宋体" w:eastAsia="宋体" w:cs="宋体"/>
          <w:color w:val="auto"/>
          <w:highlight w:val="none"/>
          <w:lang w:val="en-US" w:eastAsia="zh-CN"/>
        </w:rPr>
      </w:pPr>
    </w:p>
    <w:p w14:paraId="77A5E577">
      <w:pPr>
        <w:pStyle w:val="2"/>
        <w:spacing w:before="0" w:after="0"/>
        <w:rPr>
          <w:rFonts w:hint="eastAsia" w:ascii="宋体" w:hAnsi="宋体" w:eastAsia="宋体" w:cs="宋体"/>
          <w:color w:val="auto"/>
          <w:highlight w:val="none"/>
          <w:lang w:val="en-US" w:eastAsia="zh-CN"/>
        </w:rPr>
      </w:pPr>
    </w:p>
    <w:p w14:paraId="443C6348">
      <w:pPr>
        <w:pStyle w:val="2"/>
        <w:spacing w:before="0" w:after="0"/>
        <w:rPr>
          <w:rFonts w:hint="eastAsia" w:ascii="宋体" w:hAnsi="宋体" w:eastAsia="宋体" w:cs="宋体"/>
          <w:color w:val="auto"/>
          <w:highlight w:val="none"/>
          <w:lang w:val="en-US" w:eastAsia="zh-CN"/>
        </w:rPr>
      </w:pPr>
    </w:p>
    <w:p w14:paraId="1E899C78">
      <w:pPr>
        <w:pStyle w:val="2"/>
        <w:spacing w:before="0" w:after="0"/>
        <w:rPr>
          <w:rFonts w:hint="eastAsia" w:ascii="宋体" w:hAnsi="宋体" w:eastAsia="宋体" w:cs="宋体"/>
          <w:color w:val="auto"/>
          <w:highlight w:val="none"/>
          <w:lang w:val="en-US" w:eastAsia="zh-CN"/>
        </w:rPr>
      </w:pPr>
    </w:p>
    <w:p w14:paraId="1BCD524D">
      <w:pPr>
        <w:rPr>
          <w:rFonts w:hint="eastAsia" w:ascii="宋体" w:hAnsi="宋体" w:eastAsia="宋体" w:cs="宋体"/>
          <w:color w:val="auto"/>
          <w:highlight w:val="none"/>
          <w:lang w:val="en-US" w:eastAsia="zh-CN"/>
        </w:rPr>
      </w:pPr>
    </w:p>
    <w:p w14:paraId="5238A8B5">
      <w:pPr>
        <w:pStyle w:val="13"/>
        <w:rPr>
          <w:rFonts w:hint="eastAsia"/>
          <w:color w:val="auto"/>
          <w:lang w:val="en-US" w:eastAsia="zh-CN"/>
        </w:rPr>
      </w:pPr>
    </w:p>
    <w:p w14:paraId="0916EA53">
      <w:pPr>
        <w:pStyle w:val="2"/>
        <w:spacing w:before="0" w:after="0"/>
        <w:rPr>
          <w:rFonts w:hint="eastAsia" w:ascii="宋体" w:hAnsi="宋体" w:eastAsia="宋体" w:cs="宋体"/>
          <w:color w:val="auto"/>
          <w:highlight w:val="none"/>
          <w:lang w:val="en-US" w:eastAsia="zh-CN"/>
        </w:rPr>
      </w:pPr>
    </w:p>
    <w:p w14:paraId="4C22060F">
      <w:pPr>
        <w:pStyle w:val="2"/>
        <w:spacing w:before="0" w:after="0"/>
        <w:rPr>
          <w:rFonts w:hint="eastAsia" w:ascii="宋体" w:hAnsi="宋体" w:eastAsia="宋体" w:cs="宋体"/>
          <w:color w:val="auto"/>
          <w:highlight w:val="none"/>
          <w:lang w:val="en-US" w:eastAsia="zh-CN"/>
        </w:rPr>
      </w:pPr>
      <w:bookmarkStart w:id="41" w:name="_Toc12494"/>
      <w:r>
        <w:rPr>
          <w:rFonts w:hint="eastAsia" w:ascii="宋体" w:hAnsi="宋体" w:eastAsia="宋体" w:cs="宋体"/>
          <w:color w:val="auto"/>
          <w:highlight w:val="none"/>
          <w:lang w:val="en-US" w:eastAsia="zh-CN"/>
        </w:rPr>
        <w:t>第五章投标文件格式</w:t>
      </w:r>
      <w:bookmarkEnd w:id="41"/>
    </w:p>
    <w:p w14:paraId="36DBE282">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054EA7AB">
      <w:pPr>
        <w:jc w:val="center"/>
        <w:rPr>
          <w:rFonts w:hint="eastAsia" w:ascii="宋体" w:hAnsi="宋体" w:eastAsia="宋体" w:cs="宋体"/>
          <w:color w:val="auto"/>
          <w:sz w:val="20"/>
          <w:szCs w:val="20"/>
          <w:highlight w:val="none"/>
        </w:rPr>
      </w:pPr>
    </w:p>
    <w:p w14:paraId="4F979074">
      <w:pPr>
        <w:jc w:val="center"/>
        <w:rPr>
          <w:rFonts w:hint="eastAsia" w:ascii="宋体" w:hAnsi="宋体" w:eastAsia="宋体" w:cs="宋体"/>
          <w:color w:val="auto"/>
          <w:sz w:val="20"/>
          <w:szCs w:val="20"/>
          <w:highlight w:val="none"/>
        </w:rPr>
      </w:pPr>
    </w:p>
    <w:p w14:paraId="13F88BD6">
      <w:pPr>
        <w:rPr>
          <w:rFonts w:hint="eastAsia" w:ascii="宋体" w:hAnsi="宋体" w:eastAsia="宋体" w:cs="宋体"/>
          <w:color w:val="auto"/>
          <w:sz w:val="20"/>
          <w:szCs w:val="20"/>
          <w:highlight w:val="none"/>
        </w:rPr>
      </w:pPr>
    </w:p>
    <w:p w14:paraId="1B69A9F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投标文件一</w:t>
      </w:r>
    </w:p>
    <w:p w14:paraId="4FA0C009">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资格证明材料</w:t>
      </w:r>
      <w:r>
        <w:rPr>
          <w:rFonts w:hint="eastAsia" w:ascii="宋体" w:hAnsi="宋体" w:eastAsia="宋体" w:cs="宋体"/>
          <w:color w:val="auto"/>
          <w:sz w:val="44"/>
          <w:szCs w:val="44"/>
          <w:highlight w:val="none"/>
        </w:rPr>
        <w:t xml:space="preserve"> </w:t>
      </w:r>
    </w:p>
    <w:p w14:paraId="26C5587E">
      <w:pPr>
        <w:jc w:val="center"/>
        <w:rPr>
          <w:rFonts w:hint="eastAsia" w:ascii="宋体" w:hAnsi="宋体" w:eastAsia="宋体" w:cs="宋体"/>
          <w:color w:val="auto"/>
          <w:sz w:val="44"/>
          <w:szCs w:val="44"/>
          <w:highlight w:val="none"/>
        </w:rPr>
      </w:pPr>
    </w:p>
    <w:p w14:paraId="05BFAA20">
      <w:pPr>
        <w:rPr>
          <w:rFonts w:hint="eastAsia" w:ascii="宋体" w:hAnsi="宋体" w:eastAsia="宋体" w:cs="宋体"/>
          <w:color w:val="auto"/>
          <w:sz w:val="28"/>
          <w:szCs w:val="28"/>
          <w:highlight w:val="none"/>
        </w:rPr>
      </w:pPr>
    </w:p>
    <w:p w14:paraId="2F2D5E03">
      <w:pPr>
        <w:rPr>
          <w:rFonts w:hint="eastAsia" w:ascii="宋体" w:hAnsi="宋体" w:eastAsia="宋体" w:cs="宋体"/>
          <w:color w:val="auto"/>
          <w:sz w:val="28"/>
          <w:szCs w:val="28"/>
          <w:highlight w:val="none"/>
        </w:rPr>
      </w:pPr>
    </w:p>
    <w:p w14:paraId="5421C415">
      <w:pPr>
        <w:rPr>
          <w:rFonts w:hint="eastAsia" w:ascii="宋体" w:hAnsi="宋体" w:eastAsia="宋体" w:cs="宋体"/>
          <w:color w:val="auto"/>
          <w:sz w:val="28"/>
          <w:szCs w:val="28"/>
          <w:highlight w:val="none"/>
        </w:rPr>
      </w:pPr>
    </w:p>
    <w:p w14:paraId="3B038DC1">
      <w:pPr>
        <w:rPr>
          <w:rFonts w:hint="eastAsia" w:ascii="宋体" w:hAnsi="宋体" w:eastAsia="宋体" w:cs="宋体"/>
          <w:color w:val="auto"/>
          <w:sz w:val="28"/>
          <w:szCs w:val="28"/>
          <w:highlight w:val="none"/>
        </w:rPr>
      </w:pPr>
    </w:p>
    <w:p w14:paraId="154F26FA">
      <w:pPr>
        <w:rPr>
          <w:rFonts w:hint="eastAsia" w:ascii="宋体" w:hAnsi="宋体" w:eastAsia="宋体" w:cs="宋体"/>
          <w:color w:val="auto"/>
          <w:sz w:val="28"/>
          <w:szCs w:val="28"/>
          <w:highlight w:val="none"/>
        </w:rPr>
      </w:pPr>
    </w:p>
    <w:p w14:paraId="28EAA3C2">
      <w:pPr>
        <w:rPr>
          <w:rFonts w:hint="eastAsia" w:ascii="宋体" w:hAnsi="宋体" w:eastAsia="宋体" w:cs="宋体"/>
          <w:color w:val="auto"/>
          <w:sz w:val="28"/>
          <w:szCs w:val="28"/>
          <w:highlight w:val="none"/>
        </w:rPr>
      </w:pPr>
    </w:p>
    <w:p w14:paraId="31B439BC">
      <w:pPr>
        <w:rPr>
          <w:rFonts w:hint="eastAsia" w:ascii="宋体" w:hAnsi="宋体" w:eastAsia="宋体" w:cs="宋体"/>
          <w:color w:val="auto"/>
          <w:sz w:val="28"/>
          <w:szCs w:val="28"/>
          <w:highlight w:val="none"/>
        </w:rPr>
      </w:pPr>
    </w:p>
    <w:p w14:paraId="3F74875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AA690A1">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411E5BBB">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E9320FA">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245EBD4">
      <w:pPr>
        <w:spacing w:line="480" w:lineRule="auto"/>
        <w:ind w:right="980" w:firstLine="602" w:firstLineChars="200"/>
        <w:jc w:val="center"/>
        <w:rPr>
          <w:rFonts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目录</w:t>
      </w:r>
    </w:p>
    <w:p w14:paraId="1195E610">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（1）法定代表人身份证明文件和本人有效身份证(或法定代表人授权委托书和委托代理人有效身份证)；</w:t>
      </w:r>
    </w:p>
    <w:p w14:paraId="00AC51E1">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（2）诚信投标承诺书；</w:t>
      </w:r>
    </w:p>
    <w:p w14:paraId="4A15E2CE">
      <w:pPr>
        <w:keepNext w:val="0"/>
        <w:keepLines w:val="0"/>
        <w:pageBreakBefore w:val="0"/>
        <w:widowControl w:val="0"/>
        <w:kinsoku/>
        <w:wordWrap/>
        <w:overflowPunct/>
        <w:topLinePunct w:val="0"/>
        <w:autoSpaceDE/>
        <w:autoSpaceDN/>
        <w:bidi w:val="0"/>
        <w:spacing w:line="51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（3）企业法人营业执照； </w:t>
      </w:r>
    </w:p>
    <w:p w14:paraId="2D323F1A">
      <w:pPr>
        <w:keepNext w:val="0"/>
        <w:keepLines w:val="0"/>
        <w:pageBreakBefore w:val="0"/>
        <w:widowControl w:val="0"/>
        <w:kinsoku/>
        <w:wordWrap/>
        <w:overflowPunct/>
        <w:topLinePunct w:val="0"/>
        <w:autoSpaceDE/>
        <w:autoSpaceDN/>
        <w:bidi w:val="0"/>
        <w:spacing w:line="51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（4）投标人认为需要提供的其他材料。</w:t>
      </w:r>
    </w:p>
    <w:p w14:paraId="170C333B">
      <w:pPr>
        <w:pStyle w:val="13"/>
        <w:ind w:left="0" w:leftChars="0" w:firstLine="0" w:firstLineChars="0"/>
        <w:rPr>
          <w:rFonts w:hint="default" w:eastAsia="宋体"/>
          <w:color w:val="auto"/>
          <w:highlight w:val="none"/>
          <w:lang w:val="en-US" w:eastAsia="zh-CN"/>
        </w:rPr>
      </w:pPr>
    </w:p>
    <w:p w14:paraId="02E1898A">
      <w:pPr>
        <w:rPr>
          <w:rFonts w:ascii="仿宋" w:hAnsi="仿宋" w:eastAsia="仿宋" w:cs="仿宋"/>
          <w:b/>
          <w:color w:val="auto"/>
          <w:sz w:val="21"/>
          <w:szCs w:val="21"/>
          <w:highlight w:val="none"/>
        </w:rPr>
      </w:pPr>
      <w:r>
        <w:rPr>
          <w:rFonts w:ascii="仿宋" w:hAnsi="仿宋" w:eastAsia="仿宋" w:cs="仿宋"/>
          <w:b/>
          <w:color w:val="auto"/>
          <w:sz w:val="21"/>
          <w:szCs w:val="21"/>
          <w:highlight w:val="none"/>
        </w:rPr>
        <w:br w:type="page"/>
      </w:r>
    </w:p>
    <w:p w14:paraId="74F5034F">
      <w:pPr>
        <w:jc w:val="center"/>
        <w:rPr>
          <w:rFonts w:hint="eastAsia" w:ascii="宋体" w:hAnsi="宋体" w:eastAsia="宋体" w:cs="宋体"/>
          <w:b/>
          <w:color w:val="auto"/>
          <w:sz w:val="28"/>
          <w:szCs w:val="28"/>
          <w:highlight w:val="none"/>
        </w:rPr>
      </w:pPr>
    </w:p>
    <w:p w14:paraId="2E77CC68">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5569495B">
      <w:pPr>
        <w:pStyle w:val="146"/>
        <w:spacing w:beforeLines="100" w:afterLines="100" w:line="480" w:lineRule="exact"/>
        <w:ind w:firstLine="180" w:firstLineChars="75"/>
        <w:rPr>
          <w:rFonts w:hint="eastAsia" w:ascii="宋体" w:hAnsi="宋体" w:eastAsia="宋体" w:cs="宋体"/>
          <w:b/>
          <w:color w:val="auto"/>
          <w:sz w:val="24"/>
          <w:szCs w:val="24"/>
          <w:highlight w:val="none"/>
        </w:rPr>
      </w:pPr>
      <w:bookmarkStart w:id="42" w:name="OLE_LINK13"/>
      <w:r>
        <w:rPr>
          <w:rFonts w:hint="eastAsia" w:ascii="宋体" w:hAnsi="宋体" w:eastAsia="宋体" w:cs="宋体"/>
          <w:color w:val="auto"/>
          <w:sz w:val="24"/>
          <w:szCs w:val="24"/>
          <w:highlight w:val="none"/>
        </w:rPr>
        <w:t>1、法定代表人身份证明</w:t>
      </w:r>
    </w:p>
    <w:p w14:paraId="59B79FC5">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3DBFB9B">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4A2E9C8">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EE7DBA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6F81F38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7CCD6F7">
      <w:pPr>
        <w:spacing w:line="480" w:lineRule="exact"/>
        <w:ind w:firstLine="720"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6E1DD1">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7781F3EE">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3DF54F75">
      <w:pPr>
        <w:spacing w:line="360" w:lineRule="auto"/>
        <w:ind w:firstLine="4200" w:firstLineChars="17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4A489CB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bookmarkEnd w:id="42"/>
    <w:p w14:paraId="5272D18D">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6EA50EE2">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eastAsia="宋体" w:cs="宋体"/>
          <w:color w:val="auto"/>
          <w:sz w:val="24"/>
          <w:szCs w:val="24"/>
          <w:highlight w:val="none"/>
          <w:u w:val="single"/>
        </w:rPr>
        <w:t>招标人</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1208C27E">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DE994A1">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附：法定代表人及授权委托人有效身份证复印件</w:t>
      </w:r>
    </w:p>
    <w:p w14:paraId="5FED9BBF">
      <w:pPr>
        <w:spacing w:line="480" w:lineRule="auto"/>
        <w:ind w:right="2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w:t>
      </w:r>
      <w:r>
        <w:rPr>
          <w:rFonts w:hint="eastAsia" w:ascii="宋体" w:hAnsi="宋体" w:eastAsia="宋体" w:cs="宋体"/>
          <w:color w:val="auto"/>
          <w:sz w:val="24"/>
          <w:szCs w:val="24"/>
          <w:highlight w:val="none"/>
          <w:u w:val="single"/>
        </w:rPr>
        <w:t>（签字或盖章）</w:t>
      </w:r>
    </w:p>
    <w:p w14:paraId="0AFC90F8">
      <w:pPr>
        <w:spacing w:line="48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（盖章）</w:t>
      </w:r>
    </w:p>
    <w:p w14:paraId="478E5304">
      <w:pPr>
        <w:spacing w:line="480" w:lineRule="auto"/>
        <w:ind w:right="204" w:firstLine="4560" w:firstLineChars="19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（签字或盖章）</w:t>
      </w:r>
    </w:p>
    <w:p w14:paraId="7C7C774D">
      <w:pPr>
        <w:spacing w:line="480" w:lineRule="auto"/>
        <w:ind w:right="980" w:firstLine="480" w:firstLineChars="200"/>
        <w:jc w:val="center"/>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年月日</w:t>
      </w:r>
    </w:p>
    <w:p w14:paraId="28AD9C4C">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2A44922">
      <w:pPr>
        <w:adjustRightInd w:val="0"/>
        <w:snapToGrid w:val="0"/>
        <w:spacing w:line="360" w:lineRule="auto"/>
        <w:jc w:val="both"/>
        <w:rPr>
          <w:rFonts w:hint="eastAsia" w:ascii="宋体" w:hAnsi="宋体" w:cs="宋体"/>
          <w:b/>
          <w:color w:val="auto"/>
          <w:sz w:val="28"/>
          <w:szCs w:val="28"/>
        </w:rPr>
      </w:pPr>
      <w:r>
        <w:rPr>
          <w:rFonts w:hint="eastAsia" w:ascii="宋体" w:hAnsi="宋体" w:cs="宋体"/>
          <w:b/>
          <w:color w:val="auto"/>
          <w:sz w:val="28"/>
          <w:szCs w:val="28"/>
        </w:rPr>
        <w:t xml:space="preserve"> </w:t>
      </w:r>
    </w:p>
    <w:p w14:paraId="39E39A81">
      <w:pPr>
        <w:adjustRightInd w:val="0"/>
        <w:snapToGrid w:val="0"/>
        <w:spacing w:line="360" w:lineRule="auto"/>
        <w:jc w:val="center"/>
        <w:rPr>
          <w:rFonts w:hint="eastAsia"/>
          <w:b/>
          <w:color w:val="auto"/>
          <w:sz w:val="28"/>
          <w:szCs w:val="28"/>
        </w:rPr>
      </w:pPr>
      <w:r>
        <w:rPr>
          <w:rFonts w:hint="eastAsia" w:ascii="宋体" w:hAnsi="宋体" w:cs="宋体"/>
          <w:b/>
          <w:color w:val="auto"/>
          <w:sz w:val="28"/>
          <w:szCs w:val="28"/>
        </w:rPr>
        <w:t>（2）</w:t>
      </w:r>
      <w:r>
        <w:rPr>
          <w:rFonts w:hint="eastAsia"/>
          <w:b/>
          <w:color w:val="auto"/>
          <w:sz w:val="28"/>
          <w:szCs w:val="28"/>
        </w:rPr>
        <w:t>诚信投标承诺书  </w:t>
      </w:r>
    </w:p>
    <w:p w14:paraId="3C41C28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Cs w:val="21"/>
        </w:rPr>
      </w:pPr>
      <w:r>
        <w:rPr>
          <w:rFonts w:hint="eastAsia" w:ascii="宋体" w:hAnsi="宋体" w:eastAsia="宋体" w:cs="宋体"/>
          <w:color w:val="auto"/>
          <w:szCs w:val="21"/>
        </w:rPr>
        <w:t>本人以企业法定代表人的身份郑重承诺：</w:t>
      </w:r>
    </w:p>
    <w:p w14:paraId="5167FC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一、将遵循公</w:t>
      </w:r>
      <w:bookmarkStart w:id="43" w:name="_Toc503196197"/>
      <w:bookmarkStart w:id="44" w:name="_Toc506107356"/>
      <w:bookmarkStart w:id="45" w:name="_Toc26598"/>
      <w:r>
        <w:rPr>
          <w:rFonts w:hint="eastAsia" w:ascii="宋体" w:hAnsi="宋体" w:eastAsia="宋体" w:cs="宋体"/>
          <w:color w:val="auto"/>
          <w:szCs w:val="21"/>
        </w:rPr>
        <w:t>开、公正和诚实信用</w:t>
      </w:r>
      <w:bookmarkEnd w:id="43"/>
      <w:bookmarkEnd w:id="44"/>
      <w:r>
        <w:rPr>
          <w:rFonts w:hint="eastAsia" w:ascii="宋体" w:hAnsi="宋体" w:eastAsia="宋体" w:cs="宋体"/>
          <w:color w:val="auto"/>
          <w:szCs w:val="21"/>
        </w:rPr>
        <w:t>的</w:t>
      </w:r>
      <w:bookmarkEnd w:id="45"/>
      <w:r>
        <w:rPr>
          <w:rFonts w:hint="eastAsia" w:ascii="宋体" w:hAnsi="宋体" w:eastAsia="宋体" w:cs="宋体"/>
          <w:color w:val="auto"/>
          <w:szCs w:val="21"/>
        </w:rPr>
        <w:t>原则自愿参加</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（项目名称）   标段</w:t>
      </w:r>
      <w:r>
        <w:rPr>
          <w:rFonts w:hint="eastAsia" w:ascii="宋体" w:hAnsi="宋体" w:eastAsia="宋体" w:cs="宋体"/>
          <w:color w:val="auto"/>
          <w:szCs w:val="21"/>
        </w:rPr>
        <w:t>项目的投标；</w:t>
      </w:r>
    </w:p>
    <w:p w14:paraId="4EA11A8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二、所提供的一切材料都是真实、合法的；</w:t>
      </w:r>
    </w:p>
    <w:p w14:paraId="1E191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三、不出借、转让资质证书，不让他人挂靠投标，不以他人名义投标或者以其他方式弄虚作假，骗取中标；</w:t>
      </w:r>
    </w:p>
    <w:p w14:paraId="561A42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四、不与其他投标人相互串通投标报价，不排挤其他投标人的公平竞争、损害招标人的合法权益；</w:t>
      </w:r>
    </w:p>
    <w:p w14:paraId="5AA822B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五、不与招标人、招标代理机构或其他投标人串通投标，损害国家利益、社会公共利益或者他人的合法权益；</w:t>
      </w:r>
    </w:p>
    <w:p w14:paraId="5BF8C8F8">
      <w:pPr>
        <w:adjustRightInd w:val="0"/>
        <w:snapToGrid w:val="0"/>
        <w:spacing w:line="56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46" w:name="OLE_LINK133"/>
      <w:bookmarkStart w:id="47"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46"/>
      <w:bookmarkEnd w:id="47"/>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r>
        <w:rPr>
          <w:rFonts w:hint="eastAsia" w:ascii="宋体" w:hAnsi="宋体" w:eastAsia="宋体" w:cs="宋体"/>
          <w:color w:val="auto"/>
          <w:szCs w:val="21"/>
        </w:rPr>
        <w:t>；</w:t>
      </w:r>
    </w:p>
    <w:p w14:paraId="08ED450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七、严格遵守开标现场纪律，服从监管人员管理；</w:t>
      </w:r>
    </w:p>
    <w:p w14:paraId="412DEE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八、保证中标后不转包及使用挂靠施工队伍，若有分包征得建设单位同意；</w:t>
      </w:r>
    </w:p>
    <w:p w14:paraId="481CCAE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九、保证中标之后，按照投标文件承诺派驻管理人员及投入机械设备，如有违反，同意接受建设单位违约处罚；</w:t>
      </w:r>
    </w:p>
    <w:p w14:paraId="689F2E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十、保证企业及所属相关人员在本次投标中无行贿等犯罪行为；</w:t>
      </w:r>
    </w:p>
    <w:p w14:paraId="1A4BFC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6FF74AC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以上内容我已仔细阅读，本公司若有违反承诺内容的行为，自愿接受取消投标或者中标资格、记入不良行为记录、投标保证金不予退还等有关处理，愿意承担法律责任，给招标人造成损失的，承担赔偿责任。</w:t>
      </w:r>
    </w:p>
    <w:p w14:paraId="628B63B7">
      <w:pPr>
        <w:spacing w:line="440" w:lineRule="exact"/>
        <w:rPr>
          <w:rFonts w:hint="eastAsia" w:ascii="宋体" w:hAnsi="宋体" w:eastAsia="宋体" w:cs="宋体"/>
          <w:color w:val="auto"/>
          <w:szCs w:val="21"/>
        </w:rPr>
      </w:pPr>
      <w:r>
        <w:rPr>
          <w:rFonts w:hint="eastAsia" w:ascii="宋体" w:hAnsi="宋体" w:eastAsia="宋体" w:cs="宋体"/>
          <w:color w:val="auto"/>
          <w:szCs w:val="21"/>
        </w:rPr>
        <w:t>开户银行：                基本账户：</w:t>
      </w:r>
    </w:p>
    <w:p w14:paraId="0D425806">
      <w:pPr>
        <w:spacing w:line="440" w:lineRule="exact"/>
        <w:rPr>
          <w:rFonts w:hint="eastAsia" w:ascii="宋体" w:hAnsi="宋体" w:eastAsia="宋体" w:cs="宋体"/>
          <w:color w:val="auto"/>
          <w:szCs w:val="21"/>
        </w:rPr>
      </w:pPr>
      <w:r>
        <w:rPr>
          <w:rFonts w:hint="eastAsia" w:ascii="宋体" w:hAnsi="宋体" w:eastAsia="宋体" w:cs="宋体"/>
          <w:color w:val="auto"/>
          <w:szCs w:val="21"/>
        </w:rPr>
        <w:t>投标人（盖章）：          法定代表人（盖章或签字）：</w:t>
      </w:r>
    </w:p>
    <w:p w14:paraId="7854ACFF">
      <w:pPr>
        <w:adjustRightInd w:val="0"/>
        <w:snapToGrid w:val="0"/>
        <w:spacing w:line="400" w:lineRule="exact"/>
        <w:rPr>
          <w:rFonts w:hint="eastAsia" w:ascii="宋体" w:hAnsi="宋体"/>
          <w:color w:val="auto"/>
          <w:szCs w:val="21"/>
        </w:rPr>
      </w:pPr>
    </w:p>
    <w:p w14:paraId="4F097E67">
      <w:pPr>
        <w:adjustRightInd w:val="0"/>
        <w:snapToGrid w:val="0"/>
        <w:spacing w:line="400" w:lineRule="exact"/>
        <w:jc w:val="right"/>
        <w:rPr>
          <w:rFonts w:hint="eastAsia" w:ascii="仿宋_GB2312" w:eastAsia="仿宋_GB2312"/>
          <w:color w:val="auto"/>
          <w:sz w:val="32"/>
          <w:szCs w:val="32"/>
        </w:rPr>
      </w:pPr>
      <w:r>
        <w:rPr>
          <w:rFonts w:hint="eastAsia" w:ascii="宋体" w:hAnsi="宋体"/>
          <w:color w:val="auto"/>
          <w:szCs w:val="21"/>
        </w:rPr>
        <w:t>日期：</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rPr>
        <w:t>日</w:t>
      </w:r>
    </w:p>
    <w:p w14:paraId="1ED17FB5">
      <w:pPr>
        <w:jc w:val="center"/>
        <w:rPr>
          <w:rFonts w:hint="eastAsia" w:ascii="宋体" w:hAnsi="宋体" w:cs="宋体"/>
          <w:color w:val="auto"/>
          <w:sz w:val="28"/>
          <w:szCs w:val="28"/>
          <w:u w:val="single"/>
        </w:rPr>
      </w:pPr>
    </w:p>
    <w:p w14:paraId="0FADAC9F">
      <w:pPr>
        <w:jc w:val="center"/>
        <w:rPr>
          <w:rFonts w:ascii="仿宋" w:hAnsi="仿宋" w:eastAsia="仿宋" w:cs="仿宋"/>
          <w:color w:val="auto"/>
          <w:sz w:val="28"/>
          <w:szCs w:val="28"/>
          <w:highlight w:val="none"/>
          <w:u w:val="single"/>
        </w:rPr>
      </w:pPr>
    </w:p>
    <w:p w14:paraId="5F807D9F">
      <w:pPr>
        <w:jc w:val="center"/>
        <w:rPr>
          <w:rFonts w:ascii="仿宋" w:hAnsi="仿宋" w:eastAsia="仿宋" w:cs="仿宋"/>
          <w:color w:val="auto"/>
          <w:sz w:val="28"/>
          <w:szCs w:val="28"/>
          <w:highlight w:val="none"/>
          <w:u w:val="single"/>
        </w:rPr>
      </w:pPr>
    </w:p>
    <w:p w14:paraId="22F134B7">
      <w:pPr>
        <w:jc w:val="center"/>
        <w:rPr>
          <w:rFonts w:ascii="仿宋" w:hAnsi="仿宋" w:eastAsia="仿宋" w:cs="仿宋"/>
          <w:color w:val="auto"/>
          <w:sz w:val="28"/>
          <w:szCs w:val="28"/>
          <w:highlight w:val="none"/>
          <w:u w:val="single"/>
        </w:rPr>
      </w:pPr>
    </w:p>
    <w:p w14:paraId="44615C8B">
      <w:pPr>
        <w:jc w:val="center"/>
        <w:rPr>
          <w:rFonts w:ascii="仿宋" w:hAnsi="仿宋" w:eastAsia="仿宋" w:cs="仿宋"/>
          <w:color w:val="auto"/>
          <w:sz w:val="28"/>
          <w:szCs w:val="28"/>
          <w:highlight w:val="none"/>
          <w:u w:val="single"/>
        </w:rPr>
      </w:pPr>
    </w:p>
    <w:p w14:paraId="46E3347D">
      <w:pPr>
        <w:jc w:val="center"/>
        <w:rPr>
          <w:rFonts w:ascii="仿宋" w:hAnsi="仿宋" w:eastAsia="仿宋" w:cs="仿宋"/>
          <w:color w:val="auto"/>
          <w:sz w:val="28"/>
          <w:szCs w:val="28"/>
          <w:highlight w:val="none"/>
          <w:u w:val="single"/>
        </w:rPr>
      </w:pPr>
    </w:p>
    <w:p w14:paraId="445ABF58">
      <w:pPr>
        <w:jc w:val="center"/>
        <w:rPr>
          <w:rFonts w:ascii="仿宋" w:hAnsi="仿宋" w:eastAsia="仿宋" w:cs="仿宋"/>
          <w:color w:val="auto"/>
          <w:sz w:val="28"/>
          <w:szCs w:val="28"/>
          <w:highlight w:val="none"/>
          <w:u w:val="single"/>
        </w:rPr>
      </w:pPr>
    </w:p>
    <w:p w14:paraId="005045F9">
      <w:pPr>
        <w:jc w:val="center"/>
        <w:rPr>
          <w:rFonts w:ascii="仿宋" w:hAnsi="仿宋" w:eastAsia="仿宋" w:cs="仿宋"/>
          <w:color w:val="auto"/>
          <w:sz w:val="28"/>
          <w:szCs w:val="28"/>
          <w:highlight w:val="none"/>
          <w:u w:val="single"/>
        </w:rPr>
      </w:pPr>
    </w:p>
    <w:p w14:paraId="439BE05A">
      <w:pPr>
        <w:jc w:val="center"/>
        <w:rPr>
          <w:rFonts w:ascii="仿宋" w:hAnsi="仿宋" w:eastAsia="仿宋" w:cs="仿宋"/>
          <w:color w:val="auto"/>
          <w:sz w:val="28"/>
          <w:szCs w:val="28"/>
          <w:highlight w:val="none"/>
          <w:u w:val="single"/>
        </w:rPr>
      </w:pPr>
    </w:p>
    <w:p w14:paraId="3790C306">
      <w:pPr>
        <w:jc w:val="center"/>
        <w:rPr>
          <w:rFonts w:ascii="仿宋" w:hAnsi="仿宋" w:eastAsia="仿宋" w:cs="仿宋"/>
          <w:color w:val="auto"/>
          <w:sz w:val="28"/>
          <w:szCs w:val="28"/>
          <w:highlight w:val="none"/>
          <w:u w:val="single"/>
        </w:rPr>
      </w:pPr>
    </w:p>
    <w:p w14:paraId="2DAF1531">
      <w:pPr>
        <w:jc w:val="center"/>
        <w:rPr>
          <w:rFonts w:ascii="仿宋" w:hAnsi="仿宋" w:eastAsia="仿宋" w:cs="仿宋"/>
          <w:color w:val="auto"/>
          <w:sz w:val="28"/>
          <w:szCs w:val="28"/>
          <w:highlight w:val="none"/>
          <w:u w:val="single"/>
        </w:rPr>
      </w:pPr>
    </w:p>
    <w:p w14:paraId="68997976">
      <w:pPr>
        <w:jc w:val="center"/>
        <w:rPr>
          <w:rFonts w:ascii="仿宋" w:hAnsi="仿宋" w:eastAsia="仿宋" w:cs="仿宋"/>
          <w:color w:val="auto"/>
          <w:sz w:val="28"/>
          <w:szCs w:val="28"/>
          <w:highlight w:val="none"/>
          <w:u w:val="single"/>
        </w:rPr>
      </w:pPr>
    </w:p>
    <w:p w14:paraId="29A8D35D">
      <w:pPr>
        <w:jc w:val="center"/>
        <w:rPr>
          <w:rFonts w:ascii="仿宋" w:hAnsi="仿宋" w:eastAsia="仿宋" w:cs="仿宋"/>
          <w:color w:val="auto"/>
          <w:sz w:val="28"/>
          <w:szCs w:val="28"/>
          <w:highlight w:val="none"/>
          <w:u w:val="single"/>
        </w:rPr>
      </w:pPr>
    </w:p>
    <w:p w14:paraId="7D148262">
      <w:pPr>
        <w:jc w:val="center"/>
        <w:rPr>
          <w:rFonts w:ascii="仿宋" w:hAnsi="仿宋" w:eastAsia="仿宋" w:cs="仿宋"/>
          <w:color w:val="auto"/>
          <w:sz w:val="28"/>
          <w:szCs w:val="28"/>
          <w:highlight w:val="none"/>
          <w:u w:val="single"/>
        </w:rPr>
      </w:pPr>
    </w:p>
    <w:p w14:paraId="7D729309">
      <w:pPr>
        <w:jc w:val="center"/>
        <w:rPr>
          <w:rFonts w:ascii="仿宋" w:hAnsi="仿宋" w:eastAsia="仿宋" w:cs="仿宋"/>
          <w:color w:val="auto"/>
          <w:sz w:val="28"/>
          <w:szCs w:val="28"/>
          <w:highlight w:val="none"/>
          <w:u w:val="single"/>
        </w:rPr>
      </w:pPr>
    </w:p>
    <w:p w14:paraId="7D093318">
      <w:pPr>
        <w:jc w:val="center"/>
        <w:rPr>
          <w:rFonts w:ascii="仿宋" w:hAnsi="仿宋" w:eastAsia="仿宋" w:cs="仿宋"/>
          <w:color w:val="auto"/>
          <w:sz w:val="28"/>
          <w:szCs w:val="28"/>
          <w:highlight w:val="none"/>
          <w:u w:val="single"/>
        </w:rPr>
      </w:pPr>
    </w:p>
    <w:p w14:paraId="40142563">
      <w:pPr>
        <w:jc w:val="center"/>
        <w:rPr>
          <w:rFonts w:ascii="仿宋" w:hAnsi="仿宋" w:eastAsia="仿宋" w:cs="仿宋"/>
          <w:color w:val="auto"/>
          <w:sz w:val="28"/>
          <w:szCs w:val="28"/>
          <w:highlight w:val="none"/>
          <w:u w:val="single"/>
        </w:rPr>
      </w:pPr>
    </w:p>
    <w:p w14:paraId="39FC393C">
      <w:pPr>
        <w:jc w:val="center"/>
        <w:rPr>
          <w:rFonts w:ascii="仿宋" w:hAnsi="仿宋" w:eastAsia="仿宋" w:cs="仿宋"/>
          <w:color w:val="auto"/>
          <w:sz w:val="28"/>
          <w:szCs w:val="28"/>
          <w:highlight w:val="none"/>
          <w:u w:val="single"/>
        </w:rPr>
      </w:pPr>
    </w:p>
    <w:p w14:paraId="772767F0">
      <w:pPr>
        <w:jc w:val="center"/>
        <w:rPr>
          <w:rFonts w:ascii="仿宋" w:hAnsi="仿宋" w:eastAsia="仿宋" w:cs="仿宋"/>
          <w:color w:val="auto"/>
          <w:sz w:val="28"/>
          <w:szCs w:val="28"/>
          <w:highlight w:val="none"/>
          <w:u w:val="single"/>
        </w:rPr>
      </w:pPr>
    </w:p>
    <w:p w14:paraId="3D30548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7636AF6C">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投标文件二</w:t>
      </w:r>
    </w:p>
    <w:p w14:paraId="417A6ED2">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商务标</w:t>
      </w:r>
      <w:r>
        <w:rPr>
          <w:rFonts w:hint="eastAsia" w:ascii="宋体" w:hAnsi="宋体" w:eastAsia="宋体" w:cs="宋体"/>
          <w:color w:val="auto"/>
          <w:sz w:val="44"/>
          <w:szCs w:val="44"/>
          <w:highlight w:val="none"/>
        </w:rPr>
        <w:t xml:space="preserve"> </w:t>
      </w:r>
    </w:p>
    <w:p w14:paraId="63BE0597">
      <w:pPr>
        <w:jc w:val="center"/>
        <w:rPr>
          <w:rFonts w:hint="eastAsia" w:ascii="宋体" w:hAnsi="宋体" w:eastAsia="宋体" w:cs="宋体"/>
          <w:color w:val="auto"/>
          <w:sz w:val="44"/>
          <w:szCs w:val="44"/>
          <w:highlight w:val="none"/>
        </w:rPr>
      </w:pPr>
    </w:p>
    <w:p w14:paraId="4F1EB2E5">
      <w:pPr>
        <w:rPr>
          <w:rFonts w:hint="eastAsia" w:ascii="宋体" w:hAnsi="宋体" w:eastAsia="宋体" w:cs="宋体"/>
          <w:color w:val="auto"/>
          <w:sz w:val="28"/>
          <w:szCs w:val="28"/>
          <w:highlight w:val="none"/>
        </w:rPr>
      </w:pPr>
    </w:p>
    <w:p w14:paraId="59C9F2E0">
      <w:pPr>
        <w:rPr>
          <w:rFonts w:hint="eastAsia" w:ascii="宋体" w:hAnsi="宋体" w:eastAsia="宋体" w:cs="宋体"/>
          <w:color w:val="auto"/>
          <w:sz w:val="28"/>
          <w:szCs w:val="28"/>
          <w:highlight w:val="none"/>
        </w:rPr>
      </w:pPr>
    </w:p>
    <w:p w14:paraId="7E528519">
      <w:pPr>
        <w:rPr>
          <w:rFonts w:hint="eastAsia" w:ascii="宋体" w:hAnsi="宋体" w:eastAsia="宋体" w:cs="宋体"/>
          <w:color w:val="auto"/>
          <w:sz w:val="28"/>
          <w:szCs w:val="28"/>
          <w:highlight w:val="none"/>
        </w:rPr>
      </w:pPr>
    </w:p>
    <w:p w14:paraId="4961742F">
      <w:pPr>
        <w:rPr>
          <w:rFonts w:hint="eastAsia" w:ascii="宋体" w:hAnsi="宋体" w:eastAsia="宋体" w:cs="宋体"/>
          <w:color w:val="auto"/>
          <w:sz w:val="28"/>
          <w:szCs w:val="28"/>
          <w:highlight w:val="none"/>
        </w:rPr>
      </w:pPr>
    </w:p>
    <w:p w14:paraId="6CF6CC3B">
      <w:pPr>
        <w:rPr>
          <w:rFonts w:hint="eastAsia" w:ascii="宋体" w:hAnsi="宋体" w:eastAsia="宋体" w:cs="宋体"/>
          <w:color w:val="auto"/>
          <w:sz w:val="28"/>
          <w:szCs w:val="28"/>
          <w:highlight w:val="none"/>
        </w:rPr>
      </w:pPr>
    </w:p>
    <w:p w14:paraId="51646F3C">
      <w:pPr>
        <w:rPr>
          <w:rFonts w:hint="eastAsia" w:ascii="宋体" w:hAnsi="宋体" w:eastAsia="宋体" w:cs="宋体"/>
          <w:color w:val="auto"/>
          <w:sz w:val="28"/>
          <w:szCs w:val="28"/>
          <w:highlight w:val="none"/>
        </w:rPr>
      </w:pPr>
    </w:p>
    <w:p w14:paraId="697AF514">
      <w:pPr>
        <w:rPr>
          <w:rFonts w:hint="eastAsia" w:ascii="宋体" w:hAnsi="宋体" w:eastAsia="宋体" w:cs="宋体"/>
          <w:color w:val="auto"/>
          <w:sz w:val="28"/>
          <w:szCs w:val="28"/>
          <w:highlight w:val="none"/>
        </w:rPr>
      </w:pPr>
    </w:p>
    <w:p w14:paraId="2EE672BC">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785B32FD">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签字或盖章</w:t>
      </w:r>
      <w:r>
        <w:rPr>
          <w:rFonts w:hint="eastAsia" w:ascii="宋体" w:hAnsi="宋体" w:eastAsia="宋体" w:cs="宋体"/>
          <w:color w:val="auto"/>
          <w:sz w:val="28"/>
          <w:szCs w:val="28"/>
          <w:highlight w:val="none"/>
        </w:rPr>
        <w:t>）</w:t>
      </w:r>
    </w:p>
    <w:p w14:paraId="42D58AAF">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2B8FFB26">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71AE57C">
      <w:pPr>
        <w:spacing w:line="480" w:lineRule="auto"/>
        <w:ind w:right="980" w:firstLine="602" w:firstLineChars="200"/>
        <w:jc w:val="center"/>
        <w:rPr>
          <w:rFonts w:hint="default"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val="en-US" w:eastAsia="zh-CN"/>
        </w:rPr>
        <w:t>目录</w:t>
      </w:r>
    </w:p>
    <w:p w14:paraId="5B8A9D37">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kern w:val="2"/>
          <w:sz w:val="21"/>
          <w:szCs w:val="21"/>
          <w:lang w:val="en-US" w:eastAsia="zh-CN" w:bidi="ar-SA"/>
        </w:rPr>
      </w:pPr>
    </w:p>
    <w:p w14:paraId="47505683">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p>
    <w:p w14:paraId="09C8C2E5">
      <w:pPr>
        <w:keepNext w:val="0"/>
        <w:keepLines w:val="0"/>
        <w:pageBreakBefore w:val="0"/>
        <w:widowControl w:val="0"/>
        <w:numPr>
          <w:ilvl w:val="0"/>
          <w:numId w:val="0"/>
        </w:numPr>
        <w:kinsoku/>
        <w:wordWrap/>
        <w:overflowPunct/>
        <w:topLinePunct w:val="0"/>
        <w:autoSpaceDE/>
        <w:autoSpaceDN/>
        <w:bidi w:val="0"/>
        <w:spacing w:line="51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（2）分项报价表。</w:t>
      </w:r>
    </w:p>
    <w:p w14:paraId="38BF6AF9">
      <w:pPr>
        <w:jc w:val="center"/>
        <w:rPr>
          <w:rFonts w:hint="eastAsia" w:ascii="宋体" w:hAnsi="宋体" w:cs="宋体"/>
          <w:b/>
          <w:bCs/>
          <w:color w:val="auto"/>
          <w:sz w:val="28"/>
          <w:szCs w:val="28"/>
          <w:highlight w:val="none"/>
        </w:rPr>
      </w:pPr>
    </w:p>
    <w:p w14:paraId="1BD4A950">
      <w:pPr>
        <w:jc w:val="center"/>
        <w:rPr>
          <w:rFonts w:hint="eastAsia" w:ascii="宋体" w:hAnsi="宋体" w:cs="宋体"/>
          <w:b/>
          <w:bCs/>
          <w:color w:val="auto"/>
          <w:sz w:val="28"/>
          <w:szCs w:val="28"/>
          <w:highlight w:val="none"/>
        </w:rPr>
      </w:pPr>
    </w:p>
    <w:p w14:paraId="1B0D899D">
      <w:pPr>
        <w:jc w:val="center"/>
        <w:rPr>
          <w:rFonts w:hint="eastAsia" w:ascii="宋体" w:hAnsi="宋体" w:cs="宋体"/>
          <w:b/>
          <w:bCs/>
          <w:color w:val="auto"/>
          <w:sz w:val="28"/>
          <w:szCs w:val="28"/>
          <w:highlight w:val="none"/>
        </w:rPr>
      </w:pPr>
    </w:p>
    <w:p w14:paraId="36FE2075">
      <w:pPr>
        <w:jc w:val="center"/>
        <w:rPr>
          <w:rFonts w:hint="eastAsia" w:ascii="宋体" w:hAnsi="宋体" w:cs="宋体"/>
          <w:b/>
          <w:bCs/>
          <w:color w:val="auto"/>
          <w:sz w:val="28"/>
          <w:szCs w:val="28"/>
          <w:highlight w:val="none"/>
        </w:rPr>
      </w:pPr>
    </w:p>
    <w:p w14:paraId="5E181F06">
      <w:pPr>
        <w:jc w:val="center"/>
        <w:rPr>
          <w:rFonts w:hint="eastAsia" w:ascii="宋体" w:hAnsi="宋体" w:cs="宋体"/>
          <w:b/>
          <w:bCs/>
          <w:color w:val="auto"/>
          <w:sz w:val="28"/>
          <w:szCs w:val="28"/>
          <w:highlight w:val="none"/>
        </w:rPr>
      </w:pPr>
    </w:p>
    <w:p w14:paraId="52A39ED1">
      <w:pPr>
        <w:jc w:val="center"/>
        <w:rPr>
          <w:rFonts w:hint="eastAsia" w:ascii="宋体" w:hAnsi="宋体" w:cs="宋体"/>
          <w:b/>
          <w:bCs/>
          <w:color w:val="auto"/>
          <w:sz w:val="28"/>
          <w:szCs w:val="28"/>
          <w:highlight w:val="none"/>
        </w:rPr>
      </w:pPr>
    </w:p>
    <w:p w14:paraId="49005B6A">
      <w:pPr>
        <w:jc w:val="center"/>
        <w:rPr>
          <w:rFonts w:hint="eastAsia" w:ascii="宋体" w:hAnsi="宋体" w:cs="宋体"/>
          <w:b/>
          <w:bCs/>
          <w:color w:val="auto"/>
          <w:sz w:val="28"/>
          <w:szCs w:val="28"/>
          <w:highlight w:val="none"/>
        </w:rPr>
      </w:pPr>
    </w:p>
    <w:p w14:paraId="3D324F23">
      <w:pPr>
        <w:jc w:val="center"/>
        <w:rPr>
          <w:rFonts w:hint="eastAsia" w:ascii="宋体" w:hAnsi="宋体" w:cs="宋体"/>
          <w:b/>
          <w:bCs/>
          <w:color w:val="auto"/>
          <w:sz w:val="28"/>
          <w:szCs w:val="28"/>
          <w:highlight w:val="none"/>
        </w:rPr>
      </w:pPr>
    </w:p>
    <w:p w14:paraId="73ABBA13">
      <w:pPr>
        <w:jc w:val="center"/>
        <w:rPr>
          <w:rFonts w:hint="eastAsia" w:ascii="宋体" w:hAnsi="宋体" w:cs="宋体"/>
          <w:b/>
          <w:bCs/>
          <w:color w:val="auto"/>
          <w:sz w:val="28"/>
          <w:szCs w:val="28"/>
          <w:highlight w:val="none"/>
        </w:rPr>
      </w:pPr>
    </w:p>
    <w:p w14:paraId="25579B1E">
      <w:pPr>
        <w:jc w:val="center"/>
        <w:rPr>
          <w:rFonts w:hint="eastAsia" w:ascii="宋体" w:hAnsi="宋体" w:cs="宋体"/>
          <w:b/>
          <w:bCs/>
          <w:color w:val="auto"/>
          <w:sz w:val="28"/>
          <w:szCs w:val="28"/>
          <w:highlight w:val="none"/>
        </w:rPr>
      </w:pPr>
    </w:p>
    <w:p w14:paraId="3952A502">
      <w:pPr>
        <w:jc w:val="center"/>
        <w:rPr>
          <w:rFonts w:hint="eastAsia" w:ascii="宋体" w:hAnsi="宋体" w:cs="宋体"/>
          <w:b/>
          <w:bCs/>
          <w:color w:val="auto"/>
          <w:sz w:val="28"/>
          <w:szCs w:val="28"/>
          <w:highlight w:val="none"/>
        </w:rPr>
      </w:pPr>
    </w:p>
    <w:p w14:paraId="3A1FDF65">
      <w:pPr>
        <w:jc w:val="center"/>
        <w:rPr>
          <w:rFonts w:hint="eastAsia" w:ascii="宋体" w:hAnsi="宋体" w:cs="宋体"/>
          <w:b/>
          <w:bCs/>
          <w:color w:val="auto"/>
          <w:sz w:val="28"/>
          <w:szCs w:val="28"/>
          <w:highlight w:val="none"/>
        </w:rPr>
      </w:pPr>
    </w:p>
    <w:p w14:paraId="42C8BA2F">
      <w:pPr>
        <w:jc w:val="center"/>
        <w:rPr>
          <w:rFonts w:hint="eastAsia" w:ascii="宋体" w:hAnsi="宋体" w:cs="宋体"/>
          <w:b/>
          <w:bCs/>
          <w:color w:val="auto"/>
          <w:sz w:val="28"/>
          <w:szCs w:val="28"/>
          <w:highlight w:val="none"/>
        </w:rPr>
      </w:pPr>
    </w:p>
    <w:p w14:paraId="16435E1B">
      <w:pPr>
        <w:jc w:val="center"/>
        <w:rPr>
          <w:rFonts w:hint="eastAsia" w:ascii="宋体" w:hAnsi="宋体" w:cs="宋体"/>
          <w:b/>
          <w:bCs/>
          <w:color w:val="auto"/>
          <w:sz w:val="28"/>
          <w:szCs w:val="28"/>
          <w:highlight w:val="none"/>
        </w:rPr>
      </w:pPr>
    </w:p>
    <w:p w14:paraId="71CEC4F7">
      <w:pPr>
        <w:jc w:val="center"/>
        <w:rPr>
          <w:rFonts w:hint="eastAsia" w:ascii="宋体" w:hAnsi="宋体" w:cs="宋体"/>
          <w:b/>
          <w:bCs/>
          <w:color w:val="auto"/>
          <w:sz w:val="28"/>
          <w:szCs w:val="28"/>
          <w:highlight w:val="none"/>
        </w:rPr>
      </w:pPr>
    </w:p>
    <w:p w14:paraId="43B6D58C">
      <w:pPr>
        <w:jc w:val="center"/>
        <w:rPr>
          <w:rFonts w:hint="eastAsia" w:ascii="宋体" w:hAnsi="宋体" w:cs="宋体"/>
          <w:b/>
          <w:bCs/>
          <w:color w:val="auto"/>
          <w:sz w:val="28"/>
          <w:szCs w:val="28"/>
          <w:highlight w:val="none"/>
        </w:rPr>
      </w:pPr>
    </w:p>
    <w:p w14:paraId="4B8D8490">
      <w:pPr>
        <w:jc w:val="center"/>
        <w:rPr>
          <w:rFonts w:hint="eastAsia" w:ascii="宋体" w:hAnsi="宋体" w:cs="宋体"/>
          <w:b/>
          <w:bCs/>
          <w:color w:val="auto"/>
          <w:sz w:val="28"/>
          <w:szCs w:val="28"/>
          <w:highlight w:val="none"/>
        </w:rPr>
      </w:pPr>
    </w:p>
    <w:p w14:paraId="3BAA9E68">
      <w:pPr>
        <w:jc w:val="center"/>
        <w:rPr>
          <w:rFonts w:hint="eastAsia" w:ascii="宋体" w:hAnsi="宋体" w:cs="宋体"/>
          <w:b/>
          <w:bCs/>
          <w:color w:val="auto"/>
          <w:sz w:val="28"/>
          <w:szCs w:val="28"/>
          <w:highlight w:val="none"/>
        </w:rPr>
      </w:pPr>
    </w:p>
    <w:p w14:paraId="43E98097">
      <w:pPr>
        <w:jc w:val="center"/>
        <w:rPr>
          <w:rFonts w:hint="eastAsia" w:ascii="宋体" w:hAnsi="宋体" w:cs="宋体"/>
          <w:b/>
          <w:bCs/>
          <w:color w:val="auto"/>
          <w:sz w:val="28"/>
          <w:szCs w:val="28"/>
          <w:highlight w:val="none"/>
        </w:rPr>
      </w:pPr>
    </w:p>
    <w:p w14:paraId="078DAE51">
      <w:pPr>
        <w:jc w:val="center"/>
        <w:rPr>
          <w:rFonts w:hint="eastAsia" w:ascii="宋体" w:hAnsi="宋体" w:cs="宋体"/>
          <w:b/>
          <w:bCs/>
          <w:color w:val="auto"/>
          <w:sz w:val="28"/>
          <w:szCs w:val="28"/>
          <w:highlight w:val="none"/>
        </w:rPr>
      </w:pPr>
    </w:p>
    <w:p w14:paraId="40C0A75C">
      <w:pPr>
        <w:jc w:val="center"/>
        <w:rPr>
          <w:rFonts w:hint="eastAsia" w:ascii="宋体" w:hAnsi="宋体" w:cs="宋体"/>
          <w:b/>
          <w:bCs/>
          <w:color w:val="auto"/>
          <w:sz w:val="28"/>
          <w:szCs w:val="28"/>
          <w:highlight w:val="none"/>
        </w:rPr>
      </w:pPr>
    </w:p>
    <w:p w14:paraId="3C6F74FA">
      <w:pPr>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（1）投 标 函</w:t>
      </w:r>
    </w:p>
    <w:p w14:paraId="5FE5143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p>
    <w:p w14:paraId="02E7A2DA">
      <w:pPr>
        <w:keepNext w:val="0"/>
        <w:keepLines w:val="0"/>
        <w:pageBreakBefore w:val="0"/>
        <w:widowControl w:val="0"/>
        <w:kinsoku/>
        <w:wordWrap/>
        <w:overflowPunct/>
        <w:topLinePunct w:val="0"/>
        <w:autoSpaceDE/>
        <w:autoSpaceDN/>
        <w:bidi w:val="0"/>
        <w:adjustRightInd/>
        <w:snapToGrid/>
        <w:spacing w:line="620" w:lineRule="exact"/>
        <w:ind w:leftChars="0" w:right="0" w:rightChars="0"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color w:val="auto"/>
          <w:szCs w:val="21"/>
        </w:rPr>
        <w:t>根据你方招</w:t>
      </w:r>
      <w:bookmarkStart w:id="48" w:name="_Toc60061591"/>
      <w:r>
        <w:rPr>
          <w:rFonts w:hint="eastAsia" w:ascii="宋体" w:hAnsi="宋体"/>
          <w:color w:val="auto"/>
          <w:szCs w:val="21"/>
        </w:rPr>
        <w:t>标项目</w:t>
      </w:r>
      <w:bookmarkEnd w:id="48"/>
      <w:r>
        <w:rPr>
          <w:rFonts w:ascii="宋体" w:hAnsi="宋体"/>
          <w:color w:val="auto"/>
          <w:szCs w:val="21"/>
          <w:u w:val="single"/>
        </w:rPr>
        <w:t xml:space="preserve">                </w:t>
      </w:r>
      <w:r>
        <w:rPr>
          <w:rFonts w:hint="eastAsia" w:ascii="宋体" w:hAnsi="宋体"/>
          <w:color w:val="auto"/>
          <w:szCs w:val="21"/>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lang w:val="en-US" w:eastAsia="zh-CN"/>
        </w:rPr>
        <w:t>投标报价（含税价）</w:t>
      </w:r>
      <w:r>
        <w:rPr>
          <w:rFonts w:hint="eastAsia" w:ascii="宋体" w:hAnsi="宋体"/>
          <w:color w:val="auto"/>
          <w:szCs w:val="21"/>
          <w:u w:val="single"/>
          <w:lang w:val="en-US" w:eastAsia="zh-CN"/>
        </w:rPr>
        <w:t>人民币</w:t>
      </w:r>
      <w:r>
        <w:rPr>
          <w:rFonts w:hint="eastAsia" w:ascii="宋体" w:hAnsi="宋体"/>
          <w:color w:val="auto"/>
          <w:szCs w:val="21"/>
          <w:u w:val="single"/>
        </w:rPr>
        <w:t>大写：</w:t>
      </w:r>
      <w:r>
        <w:rPr>
          <w:rFonts w:hint="eastAsia" w:ascii="宋体" w:hAnsi="宋体"/>
          <w:color w:val="auto"/>
          <w:szCs w:val="21"/>
          <w:u w:val="single"/>
          <w:lang w:val="en-US" w:eastAsia="zh-CN"/>
        </w:rPr>
        <w:t xml:space="preserve">       </w:t>
      </w:r>
      <w:r>
        <w:rPr>
          <w:rFonts w:hint="eastAsia" w:ascii="宋体" w:hAnsi="宋体"/>
          <w:color w:val="auto"/>
          <w:szCs w:val="21"/>
          <w:u w:val="single"/>
        </w:rPr>
        <w:t>，小写：</w:t>
      </w:r>
      <w:r>
        <w:rPr>
          <w:rFonts w:hint="eastAsia" w:ascii="宋体" w:hAnsi="宋体"/>
          <w:color w:val="auto"/>
          <w:szCs w:val="21"/>
          <w:u w:val="single"/>
          <w:lang w:val="en-US" w:eastAsia="zh-CN"/>
        </w:rPr>
        <w:t xml:space="preserve">     ，开票类型：增值税专用发票，</w:t>
      </w:r>
      <w:r>
        <w:rPr>
          <w:rFonts w:hint="eastAsia" w:ascii="宋体" w:hAnsi="宋体"/>
          <w:color w:val="auto"/>
          <w:szCs w:val="21"/>
          <w:highlight w:val="none"/>
          <w:u w:val="single"/>
          <w:lang w:val="en-US" w:eastAsia="zh-CN"/>
        </w:rPr>
        <w:t>开票税率：    %</w:t>
      </w:r>
      <w:r>
        <w:rPr>
          <w:rFonts w:hint="eastAsia" w:ascii="宋体" w:hAnsi="宋体"/>
          <w:color w:val="auto"/>
          <w:szCs w:val="21"/>
        </w:rPr>
        <w:t>的投标总报价承包上述</w:t>
      </w:r>
      <w:r>
        <w:rPr>
          <w:rFonts w:hint="eastAsia" w:ascii="宋体" w:hAnsi="宋体"/>
          <w:color w:val="auto"/>
          <w:szCs w:val="21"/>
          <w:lang w:val="en-US" w:eastAsia="zh-CN"/>
        </w:rPr>
        <w:t>项目</w:t>
      </w:r>
      <w:r>
        <w:rPr>
          <w:rFonts w:hint="eastAsia" w:ascii="宋体" w:hAnsi="宋体"/>
          <w:color w:val="auto"/>
          <w:szCs w:val="21"/>
        </w:rPr>
        <w:t>，并承担任何质量缺陷保修责任</w:t>
      </w:r>
      <w:r>
        <w:rPr>
          <w:rFonts w:hint="eastAsia" w:ascii="宋体" w:hAnsi="宋体" w:eastAsia="宋体" w:cs="宋体"/>
          <w:color w:val="auto"/>
          <w:szCs w:val="21"/>
          <w:highlight w:val="none"/>
        </w:rPr>
        <w:t>。</w:t>
      </w:r>
    </w:p>
    <w:p w14:paraId="00656D1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04" w:firstLineChars="200"/>
        <w:jc w:val="left"/>
        <w:textAlignment w:val="auto"/>
        <w:outlineLvl w:val="9"/>
        <w:rPr>
          <w:rFonts w:hint="eastAsia" w:ascii="宋体" w:hAnsi="宋体" w:eastAsia="宋体" w:cs="宋体"/>
          <w:color w:val="auto"/>
          <w:spacing w:val="-4"/>
          <w:szCs w:val="21"/>
          <w:highlight w:val="none"/>
        </w:rPr>
      </w:pPr>
      <w:r>
        <w:rPr>
          <w:rFonts w:hint="eastAsia" w:ascii="宋体" w:hAnsi="宋体" w:cs="宋体"/>
          <w:color w:val="auto"/>
          <w:spacing w:val="-4"/>
          <w:szCs w:val="21"/>
          <w:highlight w:val="none"/>
          <w:lang w:val="en-US" w:eastAsia="zh-CN"/>
        </w:rPr>
        <w:t>2</w:t>
      </w:r>
      <w:r>
        <w:rPr>
          <w:rFonts w:hint="eastAsia" w:ascii="宋体" w:hAnsi="宋体" w:eastAsia="宋体" w:cs="宋体"/>
          <w:color w:val="auto"/>
          <w:spacing w:val="-4"/>
          <w:szCs w:val="21"/>
          <w:highlight w:val="none"/>
        </w:rPr>
        <w:t>、我方已详细审核全部招标文件及有关附件，承诺招标文件及有关附件中所有条款。</w:t>
      </w:r>
    </w:p>
    <w:p w14:paraId="0DA50DC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、我方拟派本项目的项目负责人为：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2D62F01">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6</w:t>
      </w:r>
      <w:r>
        <w:rPr>
          <w:rFonts w:hint="eastAsia" w:ascii="宋体" w:hAnsi="宋体" w:eastAsia="宋体" w:cs="宋体"/>
          <w:color w:val="auto"/>
          <w:sz w:val="21"/>
          <w:szCs w:val="21"/>
          <w:highlight w:val="none"/>
          <w:u w:val="single"/>
        </w:rPr>
        <w:t>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日历天（从投标截止之日算起）</w:t>
      </w:r>
      <w:r>
        <w:rPr>
          <w:rFonts w:hint="eastAsia" w:ascii="宋体" w:hAnsi="宋体" w:eastAsia="宋体" w:cs="宋体"/>
          <w:color w:val="auto"/>
          <w:sz w:val="21"/>
          <w:szCs w:val="21"/>
          <w:highlight w:val="none"/>
          <w:lang w:eastAsia="zh-CN"/>
        </w:rPr>
        <w:t>。</w:t>
      </w:r>
    </w:p>
    <w:p w14:paraId="2B1B3DD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、我单位承诺在接到贵单位通知后在当日内至现场解决相关问题。</w:t>
      </w:r>
    </w:p>
    <w:p w14:paraId="6614C702">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如果我方在本投标书有效期内撤回投标书，或在中标通知书下达后</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天内未能或拒绝签订合同书，或自行转标，贵单位有权另选中标单位。</w:t>
      </w:r>
    </w:p>
    <w:p w14:paraId="59FFAB5B">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420" w:firstLineChars="200"/>
        <w:jc w:val="left"/>
        <w:textAlignment w:val="auto"/>
        <w:outlineLvl w:val="9"/>
        <w:rPr>
          <w:rFonts w:hint="eastAsia"/>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电子邮箱（地址），确认本项目相关法律文书均通过提供的以上地址送达，相关文书只要发送至以上电子邮箱（地址）即视为送达，投标人愿意承担一切法律后果。</w:t>
      </w:r>
    </w:p>
    <w:p w14:paraId="440C1DBB">
      <w:pPr>
        <w:keepNext w:val="0"/>
        <w:keepLines w:val="0"/>
        <w:pageBreakBefore w:val="0"/>
        <w:widowControl w:val="0"/>
        <w:kinsoku/>
        <w:wordWrap/>
        <w:overflowPunct/>
        <w:topLinePunct w:val="0"/>
        <w:autoSpaceDE/>
        <w:autoSpaceDN/>
        <w:bidi w:val="0"/>
        <w:adjustRightInd/>
        <w:snapToGrid/>
        <w:spacing w:line="400" w:lineRule="exact"/>
        <w:ind w:firstLine="1995" w:firstLineChars="950"/>
        <w:textAlignment w:val="auto"/>
        <w:rPr>
          <w:rFonts w:hint="eastAsia"/>
          <w:color w:val="auto"/>
          <w:szCs w:val="21"/>
          <w:highlight w:val="none"/>
        </w:rPr>
      </w:pPr>
    </w:p>
    <w:p w14:paraId="41670F2A">
      <w:pPr>
        <w:keepNext w:val="0"/>
        <w:keepLines w:val="0"/>
        <w:pageBreakBefore w:val="0"/>
        <w:widowControl w:val="0"/>
        <w:kinsoku/>
        <w:wordWrap/>
        <w:overflowPunct/>
        <w:topLinePunct w:val="0"/>
        <w:autoSpaceDE/>
        <w:autoSpaceDN/>
        <w:bidi w:val="0"/>
        <w:adjustRightInd/>
        <w:snapToGrid/>
        <w:spacing w:line="620" w:lineRule="exact"/>
        <w:ind w:firstLine="1995" w:firstLineChars="950"/>
        <w:textAlignment w:val="auto"/>
        <w:rPr>
          <w:color w:val="auto"/>
          <w:szCs w:val="21"/>
          <w:highlight w:val="none"/>
          <w:u w:val="single"/>
        </w:rPr>
      </w:pPr>
      <w:r>
        <w:rPr>
          <w:rFonts w:hint="eastAsia"/>
          <w:color w:val="auto"/>
          <w:szCs w:val="21"/>
          <w:highlight w:val="none"/>
        </w:rPr>
        <w:t>投标人：</w:t>
      </w:r>
      <w:r>
        <w:rPr>
          <w:rFonts w:hint="eastAsia"/>
          <w:color w:val="auto"/>
          <w:szCs w:val="21"/>
          <w:highlight w:val="none"/>
          <w:u w:val="single"/>
        </w:rPr>
        <w:t xml:space="preserve">                   （</w:t>
      </w:r>
      <w:r>
        <w:rPr>
          <w:rFonts w:hint="eastAsia"/>
          <w:color w:val="auto"/>
          <w:szCs w:val="21"/>
          <w:highlight w:val="none"/>
          <w:u w:val="single"/>
          <w:lang w:val="en-US" w:eastAsia="zh-CN"/>
        </w:rPr>
        <w:t>盖章</w:t>
      </w:r>
      <w:r>
        <w:rPr>
          <w:rFonts w:hint="eastAsia"/>
          <w:color w:val="auto"/>
          <w:szCs w:val="21"/>
          <w:highlight w:val="none"/>
          <w:u w:val="single"/>
        </w:rPr>
        <w:t>）</w:t>
      </w:r>
      <w:r>
        <w:rPr>
          <w:color w:val="auto"/>
          <w:szCs w:val="21"/>
          <w:highlight w:val="none"/>
          <w:u w:val="single"/>
        </w:rPr>
        <w:t xml:space="preserve"> </w:t>
      </w:r>
    </w:p>
    <w:p w14:paraId="62557662">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rFonts w:hint="eastAsia"/>
          <w:color w:val="auto"/>
          <w:szCs w:val="21"/>
          <w:highlight w:val="none"/>
        </w:rPr>
      </w:pPr>
      <w:r>
        <w:rPr>
          <w:rFonts w:hint="eastAsia"/>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（签字或签章）</w:t>
      </w:r>
      <w:r>
        <w:rPr>
          <w:rFonts w:hint="eastAsia"/>
          <w:color w:val="auto"/>
          <w:szCs w:val="21"/>
          <w:highlight w:val="none"/>
        </w:rPr>
        <w:t xml:space="preserve">         </w:t>
      </w:r>
    </w:p>
    <w:p w14:paraId="25136FEA">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color w:val="auto"/>
          <w:szCs w:val="21"/>
          <w:highlight w:val="none"/>
          <w:u w:val="single"/>
        </w:rPr>
      </w:pPr>
      <w:r>
        <w:rPr>
          <w:rFonts w:hint="eastAsia"/>
          <w:color w:val="auto"/>
          <w:szCs w:val="21"/>
          <w:highlight w:val="none"/>
        </w:rPr>
        <w:t>单位地址：</w:t>
      </w:r>
      <w:r>
        <w:rPr>
          <w:rFonts w:hint="eastAsia"/>
          <w:color w:val="auto"/>
          <w:szCs w:val="21"/>
          <w:highlight w:val="none"/>
          <w:u w:val="single"/>
        </w:rPr>
        <w:t xml:space="preserve">                   </w:t>
      </w:r>
    </w:p>
    <w:p w14:paraId="21AE6391">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color w:val="auto"/>
          <w:szCs w:val="21"/>
          <w:highlight w:val="none"/>
          <w:u w:val="single"/>
        </w:rPr>
      </w:pPr>
      <w:r>
        <w:rPr>
          <w:rFonts w:hint="eastAsia"/>
          <w:color w:val="auto"/>
          <w:szCs w:val="21"/>
          <w:highlight w:val="none"/>
        </w:rPr>
        <w:t>电话</w:t>
      </w:r>
      <w:r>
        <w:rPr>
          <w:rFonts w:hint="eastAsia"/>
          <w:color w:val="auto"/>
          <w:szCs w:val="21"/>
          <w:highlight w:val="none"/>
          <w:lang w:eastAsia="zh-CN"/>
        </w:rPr>
        <w:t>：</w:t>
      </w:r>
      <w:r>
        <w:rPr>
          <w:rFonts w:hint="eastAsia"/>
          <w:color w:val="auto"/>
          <w:szCs w:val="21"/>
          <w:highlight w:val="none"/>
          <w:u w:val="single"/>
        </w:rPr>
        <w:t xml:space="preserve">                   </w:t>
      </w:r>
    </w:p>
    <w:p w14:paraId="5AEF658B">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color w:val="auto"/>
          <w:szCs w:val="21"/>
          <w:highlight w:val="none"/>
          <w:u w:val="single"/>
        </w:rPr>
      </w:pPr>
      <w:r>
        <w:rPr>
          <w:rFonts w:hint="eastAsia"/>
          <w:color w:val="auto"/>
          <w:szCs w:val="21"/>
          <w:highlight w:val="none"/>
        </w:rPr>
        <w:t>传真：</w:t>
      </w:r>
      <w:r>
        <w:rPr>
          <w:rFonts w:hint="eastAsia"/>
          <w:color w:val="auto"/>
          <w:szCs w:val="21"/>
          <w:highlight w:val="none"/>
          <w:u w:val="single"/>
        </w:rPr>
        <w:t xml:space="preserve">                   </w:t>
      </w:r>
    </w:p>
    <w:p w14:paraId="4240B72C">
      <w:pPr>
        <w:keepNext w:val="0"/>
        <w:keepLines w:val="0"/>
        <w:pageBreakBefore w:val="0"/>
        <w:widowControl w:val="0"/>
        <w:kinsoku/>
        <w:wordWrap/>
        <w:overflowPunct/>
        <w:topLinePunct w:val="0"/>
        <w:autoSpaceDE/>
        <w:autoSpaceDN/>
        <w:bidi w:val="0"/>
        <w:adjustRightInd/>
        <w:snapToGrid/>
        <w:spacing w:line="620" w:lineRule="exact"/>
        <w:ind w:left="1995" w:leftChars="950"/>
        <w:textAlignment w:val="auto"/>
        <w:rPr>
          <w:rFonts w:hint="eastAsia"/>
          <w:color w:val="auto"/>
          <w:highlight w:val="none"/>
        </w:rPr>
      </w:pPr>
      <w:r>
        <w:rPr>
          <w:rFonts w:hint="eastAsia"/>
          <w:color w:val="auto"/>
          <w:szCs w:val="21"/>
          <w:highlight w:val="none"/>
        </w:rPr>
        <w:t>日期：</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年</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月</w:t>
      </w: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日</w:t>
      </w:r>
    </w:p>
    <w:p w14:paraId="64D877E5">
      <w:pPr>
        <w:keepNext w:val="0"/>
        <w:keepLines w:val="0"/>
        <w:pageBreakBefore w:val="0"/>
        <w:widowControl w:val="0"/>
        <w:kinsoku/>
        <w:wordWrap/>
        <w:overflowPunct/>
        <w:topLinePunct w:val="0"/>
        <w:autoSpaceDE/>
        <w:autoSpaceDN/>
        <w:bidi w:val="0"/>
        <w:adjustRightInd/>
        <w:snapToGrid/>
        <w:spacing w:line="620" w:lineRule="exact"/>
        <w:textAlignment w:val="auto"/>
        <w:rPr>
          <w:rFonts w:ascii="仿宋" w:hAnsi="仿宋" w:eastAsia="仿宋" w:cs="仿宋"/>
          <w:b/>
          <w:bCs/>
          <w:color w:val="auto"/>
          <w:kern w:val="0"/>
          <w:sz w:val="30"/>
          <w:szCs w:val="30"/>
          <w:highlight w:val="none"/>
        </w:rPr>
      </w:pPr>
    </w:p>
    <w:p w14:paraId="1E1E1156">
      <w:pPr>
        <w:rPr>
          <w:color w:val="auto"/>
          <w:highlight w:val="none"/>
        </w:rPr>
      </w:pPr>
    </w:p>
    <w:p w14:paraId="4236E9D6">
      <w:pPr>
        <w:jc w:val="center"/>
        <w:rPr>
          <w:rFonts w:hint="eastAsia" w:ascii="宋体" w:hAnsi="宋体" w:cs="宋体"/>
          <w:b/>
          <w:bCs w:val="0"/>
          <w:color w:val="auto"/>
          <w:sz w:val="36"/>
          <w:szCs w:val="36"/>
          <w:highlight w:val="none"/>
          <w:lang w:val="en-US" w:eastAsia="zh-CN"/>
        </w:rPr>
      </w:pPr>
      <w:bookmarkStart w:id="49" w:name="_Toc95223548"/>
      <w:r>
        <w:rPr>
          <w:rFonts w:hint="eastAsia" w:ascii="宋体" w:hAnsi="宋体" w:eastAsia="宋体" w:cs="宋体"/>
          <w:b/>
          <w:bCs/>
          <w:color w:val="auto"/>
          <w:sz w:val="28"/>
          <w:szCs w:val="28"/>
          <w:highlight w:val="none"/>
          <w:lang w:val="en-US" w:eastAsia="zh-CN"/>
        </w:rPr>
        <w:t>（2）分项报价表</w:t>
      </w:r>
    </w:p>
    <w:tbl>
      <w:tblPr>
        <w:tblStyle w:val="47"/>
        <w:tblW w:w="104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0"/>
        <w:gridCol w:w="1688"/>
        <w:gridCol w:w="2225"/>
        <w:gridCol w:w="750"/>
        <w:gridCol w:w="1062"/>
        <w:gridCol w:w="1075"/>
        <w:gridCol w:w="1263"/>
        <w:gridCol w:w="850"/>
        <w:gridCol w:w="850"/>
      </w:tblGrid>
      <w:tr w14:paraId="6FE73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E35EB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6F9F1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材料编号</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705C0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740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F90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材料用量</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0454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最高限价单价（元）</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FE697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合价（元）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CD22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投标综合单价（元）</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149AD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合计（元）</w:t>
            </w:r>
          </w:p>
        </w:tc>
      </w:tr>
      <w:tr w14:paraId="21C19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F32D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F63CC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702D8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92FB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8731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88.746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D2BFA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DDDB3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4712.4126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641A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5CB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96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25F8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6A87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1899EA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20厚芝麻白光面花岗岩 贴面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3C124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056DE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7.018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C9B9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0609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579.6868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A37CA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519E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80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337199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F4B9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746E9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500X500X60厚芝麻白光面花岗岩 压顶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A5A8D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6DB0A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497932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5F95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249.8886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894C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AE65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93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75E4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5095C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0800A01B01BW~46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D64D1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600X600X250厚芝麻灰火烧面花岗岩整石异型加工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2BD2A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9D5CC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56.539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42AF4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802.4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CFCE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45366.8936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33DE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C1E8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82F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F46D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17C4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0800A01B01BW~47</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8C8A4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600X150X20厚芝麻灰火烧面花岗岩 踢面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A14C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6560C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11.424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29143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F99BB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984.06336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0B726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E94B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68C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6827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0B66B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0800A01B01BW~48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B41BC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600X300X50厚芝麻灰火烧面花岗岩 踏面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43B69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B146E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30.988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0E4F1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DD94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3839.4132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C1708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1C6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5F3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F82A6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DF829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0803A03B00BW~12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0D968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800X400X50厚芝麻灰火烧面花岗岩  汀步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3DF2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E75B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155.031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CFA15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1ABAA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21952.3896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69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A104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7A4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9AB90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D65FC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3607A13B01BY~10</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E2809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600×150×250厚芝麻灰烧面花岗岩立道牙</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68BB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C13A5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3193.880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D37FD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41A6D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199745.2552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6C5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7DE3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4C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A0A34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509FF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2BD1D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600X150X200厚芝麻灰火烧面花岗岩平道牙</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EA8A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6407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90.152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55FBA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66070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4467.93312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3A55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68C2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96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38A97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E276F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846E4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600*150*200厚芝麻灰火烧面花岗岩平道牙</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F26B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414DF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74.176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C6B55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49.56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0EAB5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3676.16256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5E8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9EE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2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25E277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41B0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E083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600*150*250厚芝麻灰火烧面花岗岩立道牙</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6C93C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5B493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671.646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31687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62.54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6DB84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42004.74084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B3009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84A36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B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A9D51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4621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1AC1D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300*100*30厚仿芝麻灰火烧面石英砖收边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EDB2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81190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389.933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D733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B3686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43711.4893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1562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46500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E9D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356E9F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A1039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7FC4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600X100X250芝麻灰火烧面花岗岩立道牙</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8B42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C8AA2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11.571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FB168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42.48</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AFF14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491.53608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83FC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D9E3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E3A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7E2E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9BEA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3607A13B01BY~17</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3B48D9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300X100X18厚仿芝麻灰火烧面石英砖收边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2A0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36F6A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60.393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61186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0914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3919.5057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5849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7ED7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B76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096E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50489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CL-D00038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23067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590×590×20厚黑金沙花岗岩光面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D0C3A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7DA5C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9C747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259.6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7163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1557.6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35A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A27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03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8875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26D57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Z3605A05B01BW~25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594DB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600X300X30厚芝麻白火烧面花岗岩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5F17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D991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504.404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B8833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79.06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09CB9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39878.18024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D7D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974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A6E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7425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5FF37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Z3605A05B01BW~26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2A2DC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600X300X30厚芝麻黑火烧面花岗岩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7CF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AA094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56.048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B1778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C197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5621.6144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B760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9E2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7E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2A0B91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90254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Z3605A05B01BW~28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74FCD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600X600X18厚仿芝麻灰火烧面石英砖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7BB1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10BD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1967.263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FA4014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AC56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104461.6653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2A4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4F7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1C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A40C9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4C4D9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Z3605A05B01BW~29</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385A0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772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DCAB8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418.322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AE429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CAB3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23693.75808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E102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319D6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8B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0F48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CE0DB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Z3605A05B01BW~30</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4464C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600*200*18厚仿芝麻白火烧面石英砖收边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7C0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C91EC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46.477</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5BFFCB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1E7BE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2632.45728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52312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26EC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33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7B79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66952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A9957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600*300*18厚仿芝麻灰火烧面石英砖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88A97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9C3F67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234.181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11524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A9A42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12435.0111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748D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62073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60D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F062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617C6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713054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DF53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070C4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36.540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AD6AB3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81B75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1854.0396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8D05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5EA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55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0473A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6649D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18E8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900*200*18厚仿芝麻黑火烧面石英砖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5AD7A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B924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63.245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991F0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B0089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3731.455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A23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DC8D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F987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379166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78BF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B99A19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3000*900*18厚仿芝麻黑火烧面石英砖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838F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E70C3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06170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5A0D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560.50944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5D6B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31F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4D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3A9C4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FBCD3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EBA86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3300*1000*18厚仿芝麻黑火烧面石英砖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7A7D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BC4BE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0585E5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3CBC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583.864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78F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4A46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556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2EDB6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40F3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2008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300×300×20厚芝麻黑花岗岩烧面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C8B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DD3BB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43.483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0AE47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C0B0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3745.62562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EC4A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BA8A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341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9E37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A6EC7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Z3605A05B01BW~37</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10E0C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300×250×20厚芝麻黑花岗岩光面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C800F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1040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65.224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5943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CC4FC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7311.6104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926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709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E0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D24B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CA77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73D717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300×350×20厚芝麻黑花岗岩光面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70EA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A6125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65.224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1DB26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9505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7311.6104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B811B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964F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21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9BC3D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48A3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Z3605A05B01BW~39</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E1924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600×600×20厚黑金沙花岗岩光面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48529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85322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239.773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D6401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37CA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60830.4101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0B7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D642C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8D9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60E5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9299F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Z3605A05B01BW~40</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B5BFB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600X600X18厚仿芝麻灰烧面石英砖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C327A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E400C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2.030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FDFC04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DFC8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107.793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B15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EB68C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EB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2D7ED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7F7C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326A7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600×730×50厚黑金沙花岗岩光面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67C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716E9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25.883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7CACC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37B2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14354.7118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F53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DA1C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99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2E962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4566D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1CB3A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600×390×50厚黑金沙花岗岩光面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5555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E993E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21.417</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D556E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802B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11877.8682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5B2F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FD07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AFC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505CE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AEFB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ED76B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600×300×20厚黑金沙花岗岩光面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EF3C3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69A05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16.879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5F2D2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AC2B0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4282.2023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0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464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BBC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46000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2321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70031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600×200×90厚黑金沙花岗岩光面 压顶</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D87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36517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14.433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2211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0D80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14987.2272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A990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BD78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D1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E0D1D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DB28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85A0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600×200×20厚黑金沙花岗岩光面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049F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527CB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36.499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C879F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76997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9259.7963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E8D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2A60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397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79714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D9D81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5A69B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600×150×70厚黑金沙花岗岩光面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8EB1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0108D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34.469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2364FD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849.6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0D26A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29284.8624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2FAF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E54D4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94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BA3C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FFB1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Z3605A05B01BW~47</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AC519E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300×350×30厚芝麻黑花岗岩烧面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489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F5D46A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24.817</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536D8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4E93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2489.1451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0747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9992F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BE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C7BE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58C0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C82A1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600×150×90厚黑金沙花岗岩光面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D79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0DE8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44.812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DDE3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62A0A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46532.7808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76E3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AFB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4A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E99C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0EF3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Z3605A05B01BW~49</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A06CA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250×50×150厚黑金沙花岗岩光面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C2D6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64DC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8.323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B2CD3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1652</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CC21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13749.596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BEAF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1318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0D5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C6D62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CFA0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Z3605A05B01BW~50</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94DC0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700×150×70厚黑金沙花岗岩光面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542CC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0BDF5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F1F723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849.6</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8147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3518.1936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BF79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C42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51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A8C6D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6569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D7EB7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750×150×90厚黑金沙花岗岩光面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8318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3D14D2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206F7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1038.4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690A4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3393.4912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2981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C03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30A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195F8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F0333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AB48A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300×300×30厚芝麻黑花岗岩烧面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8467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555257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24.817</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59EC93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100.3</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F9BD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2489.1451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F2EF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886FE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C28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C86D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68BA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2F6D1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600X300X18厚仿芝麻白火烧面石英砖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55B8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0E5DC0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22.635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AEB8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5B85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1148.4999</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1547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567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09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1E3C2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1E2E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3907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600×300×20厚芝麻灰火烧面花岗岩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315FC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086C6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F1E78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D24A8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86.5707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D2440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22295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1B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20B9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E9F9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5BDF7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5BB4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A0FB4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1347.352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9711A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0B7E2C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76314.01728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78220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E02E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6F9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DB6AD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AABF5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7AFF6F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600*200*18厚仿芝麻白火烧面石英砖收边</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67C22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1411C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414.181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BAD60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56.64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1B63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23459.21184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EA6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B9BF3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905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A6B75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57F97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Z3605A05B01BW~57</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016164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600×300×20厚芝麻灰火烧面花岗岩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D59E7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57AC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6BF61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86.14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BC71E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86.5707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7B45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E4E7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E33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55FC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347BE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3A293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600X600X18厚仿芝麻白火烧面石英砖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29AEC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2B820B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202.533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EAC52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AE8D9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10754.5023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60E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B7BE4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EC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C1244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EE299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Z3605A05B01BW~59</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F6698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18厚仿芝麻灰火烧面石英砖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2570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E2CBA1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821.145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38432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374D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43602.7995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1D17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4647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B7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EFC9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C7E37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Z3605A05B01BW~60</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ED72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475D0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B801D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169.353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879D8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095E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8592.97122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42B47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4052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2E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CD1E3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4E912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5EE3E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600*300*18厚仿芝麻灰火烧面石英砖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FE56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F8274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781.154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D62437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D294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39635.75396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4B61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BB0C2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DE7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C85F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8F81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3E3B1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600X600X18厚仿芝麻灰火烧面石英砖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73121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BB753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50.212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5D1BA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FFCF0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2666.2572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BDF4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533B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337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3E35DF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0B1C71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125FC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600X300X300厚火烧面芝麻灰花岗岩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2F76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6DBDE9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71.040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098BD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802.4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699D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57002.496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6EFC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A132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90F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19E8D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9842E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4E8C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18厚黑金沙花岗岩光面</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31FB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D3692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546.862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5B3AB3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253.7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EC4F1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138738.8894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74C82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720CD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9F0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DDFB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6BC5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0C5D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900*200*18厚仿芝麻黑火烧面石英砖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BB907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F1525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380.483</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68EDA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1793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22448.497</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B042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D56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2D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3B1D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EAA50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Z3605A05B01BW~66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D33E0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900X100X18厚仿芝麻灰火烧面石英砖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C905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DC86F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46.020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6D772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FF48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2715.18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5B800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23550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B7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C6CD2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0DA1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0701A05B01BW~1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79319C7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DFA7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108A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192.982</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E58A0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E5EF3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9791.90668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237FA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AC16F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5E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1F5AD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72A1C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0701A05B01BW~2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8C242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600x600x30厚火烧面银灰麻花岗岩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855F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FB78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65.291</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283FA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9748E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6163.4704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BB9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782E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31A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CEB74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68947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0701A05B01BW~3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2E5B6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600x430x30厚火烧面银灰麻花岗岩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7CF3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15467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3.338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DAA94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1932D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315.1072</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F9685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88F2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886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C0CDF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22BEE3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0701A05B01BW~4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20AFF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660x880x30厚火烧面银灰麻花岗岩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260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629AE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A3C3D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129.8</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4294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296.9824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09F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FE8A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52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27CD7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0B1E3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4FC63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600*300*15mm厚仿火烧面银麻灰石英砖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AC8E6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3CB33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600.947</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BF991C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1AE69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30492.05078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BE0C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908A3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411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83AD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2FE6D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0703A01B01BW~10</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213B24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300*300*15mm厚仿火烧面银灰麻石英砖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B5961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5F651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28.934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E0F4C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53.1</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5C91C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1536.3954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776D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4ABA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F1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4FAD7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391937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0703A01B01BW~11</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3D84E7D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330*300*15mm厚仿火烧面银灰麻石英砖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4343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E23D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27.278</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F4A31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5447DB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2092.2226</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7FE0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6609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37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24F1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9DA9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0703A01B01BW~2</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6C0A42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600*350*15mm厚仿火烧面银麻灰石英砖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11A8D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F065C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18.629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305BA0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91D8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1428.8443</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C5944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68B1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EF1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23DABA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21CB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0703A01B01BW~3</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F75CB8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600*150*15mm厚仿火烧面银麻灰石英砖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A2037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7F29B7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83.289</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61E22A1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3C11F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4914.051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1DDF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E1FA6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78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484067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6AF03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0703A01B01BW~4</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50D67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600*100*15mm厚仿火烧面银麻灰石英砖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1FCA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F594F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71.396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53B4C10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0C76D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4212.364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F524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B62D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2B2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1ADBE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77F148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0703A01B01BW~5</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48042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300*600*15mm厚仿火烧面银麻灰石英砖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BF073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E1E1DD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669.396</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885796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50.74</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668E48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33965.15304</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F3D9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D9EB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27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644249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B4468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0703A01B01BW~6</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41FA3D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330*600*15mm厚仿火烧面银灰麻石英砖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3C2F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0D007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45.850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206EAB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4AD34E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3516.695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D643D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382B1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94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737EE9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147B37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0703A01B01BW~7</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20ABFC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330*570*15mm厚仿火烧面银灰麻石英砖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9895C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5D84A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8.630</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4E96CB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3F585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661.921</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8ED3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9E368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0A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0AC13C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AA63C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0703A01B01BW~8</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175ACB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300*520*15mm厚仿火烧面银灰麻石英砖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E12A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99E21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12.534</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7063AC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20BEF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961.3578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6095FC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DECC9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8D7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700" w:type="dxa"/>
            <w:tcBorders>
              <w:top w:val="single" w:color="000000" w:sz="4" w:space="0"/>
              <w:left w:val="single" w:color="000000" w:sz="4" w:space="0"/>
              <w:bottom w:val="single" w:color="000000" w:sz="4" w:space="0"/>
              <w:right w:val="single" w:color="000000" w:sz="4" w:space="0"/>
            </w:tcBorders>
            <w:noWrap/>
            <w:vAlign w:val="center"/>
          </w:tcPr>
          <w:p w14:paraId="5F4B3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688" w:type="dxa"/>
            <w:tcBorders>
              <w:top w:val="single" w:color="000000" w:sz="4" w:space="0"/>
              <w:left w:val="single" w:color="000000" w:sz="4" w:space="0"/>
              <w:bottom w:val="single" w:color="000000" w:sz="4" w:space="0"/>
              <w:right w:val="single" w:color="000000" w:sz="4" w:space="0"/>
            </w:tcBorders>
            <w:noWrap w:val="0"/>
            <w:vAlign w:val="center"/>
          </w:tcPr>
          <w:p w14:paraId="51095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0703A01B01BW~9</w:t>
            </w:r>
          </w:p>
        </w:tc>
        <w:tc>
          <w:tcPr>
            <w:tcW w:w="2225" w:type="dxa"/>
            <w:tcBorders>
              <w:top w:val="single" w:color="000000" w:sz="4" w:space="0"/>
              <w:left w:val="single" w:color="000000" w:sz="4" w:space="0"/>
              <w:bottom w:val="single" w:color="000000" w:sz="4" w:space="0"/>
              <w:right w:val="single" w:color="000000" w:sz="4" w:space="0"/>
            </w:tcBorders>
            <w:noWrap w:val="0"/>
            <w:vAlign w:val="center"/>
          </w:tcPr>
          <w:p w14:paraId="0A1B64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300*110*15mm厚仿火烧面银灰麻石英砖</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44D23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232030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6.755</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14:paraId="1CCD4F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76.7</w:t>
            </w:r>
          </w:p>
        </w:tc>
        <w:tc>
          <w:tcPr>
            <w:tcW w:w="1263" w:type="dxa"/>
            <w:tcBorders>
              <w:top w:val="single" w:color="000000" w:sz="4" w:space="0"/>
              <w:left w:val="single" w:color="000000" w:sz="4" w:space="0"/>
              <w:bottom w:val="single" w:color="000000" w:sz="4" w:space="0"/>
              <w:right w:val="single" w:color="000000" w:sz="4" w:space="0"/>
            </w:tcBorders>
            <w:noWrap/>
            <w:vAlign w:val="center"/>
          </w:tcPr>
          <w:p w14:paraId="7803C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518.1085</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4E69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EBF9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76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jc w:val="center"/>
        </w:trPr>
        <w:tc>
          <w:tcPr>
            <w:tcW w:w="2388" w:type="dxa"/>
            <w:gridSpan w:val="2"/>
            <w:tcBorders>
              <w:top w:val="single" w:color="000000" w:sz="4" w:space="0"/>
              <w:left w:val="single" w:color="000000" w:sz="4" w:space="0"/>
              <w:bottom w:val="single" w:color="000000" w:sz="4" w:space="0"/>
              <w:right w:val="single" w:color="000000" w:sz="4" w:space="0"/>
            </w:tcBorders>
            <w:noWrap/>
            <w:vAlign w:val="center"/>
          </w:tcPr>
          <w:p w14:paraId="0AF03D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0"/>
                <w:szCs w:val="20"/>
                <w:u w:val="none"/>
                <w:lang w:val="en-US" w:eastAsia="zh-CN" w:bidi="ar"/>
              </w:rPr>
              <w:t>投标总报价</w:t>
            </w:r>
          </w:p>
        </w:tc>
        <w:tc>
          <w:tcPr>
            <w:tcW w:w="8075" w:type="dxa"/>
            <w:gridSpan w:val="7"/>
            <w:tcBorders>
              <w:top w:val="single" w:color="000000" w:sz="4" w:space="0"/>
              <w:left w:val="single" w:color="000000" w:sz="4" w:space="0"/>
              <w:bottom w:val="single" w:color="000000" w:sz="4" w:space="0"/>
              <w:right w:val="single" w:color="000000" w:sz="4" w:space="0"/>
            </w:tcBorders>
            <w:noWrap w:val="0"/>
            <w:vAlign w:val="center"/>
          </w:tcPr>
          <w:p w14:paraId="00539171">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大写：             小写：</w:t>
            </w:r>
          </w:p>
        </w:tc>
      </w:tr>
    </w:tbl>
    <w:p w14:paraId="61AE574D">
      <w:pPr>
        <w:numPr>
          <w:ilvl w:val="0"/>
          <w:numId w:val="0"/>
        </w:numPr>
        <w:spacing w:line="500" w:lineRule="exact"/>
        <w:rPr>
          <w:rFonts w:hint="eastAsia" w:ascii="宋体" w:hAnsi="宋体" w:eastAsia="宋体" w:cs="宋体"/>
          <w:color w:val="auto"/>
          <w:szCs w:val="21"/>
        </w:rPr>
      </w:pPr>
      <w:r>
        <w:rPr>
          <w:rFonts w:hint="eastAsia" w:ascii="宋体" w:hAnsi="宋体" w:cs="宋体"/>
          <w:color w:val="auto"/>
          <w:szCs w:val="21"/>
          <w:lang w:val="en-US" w:eastAsia="zh-CN"/>
        </w:rPr>
        <w:t>1、上述表中</w:t>
      </w:r>
      <w:r>
        <w:rPr>
          <w:rFonts w:hint="eastAsia" w:ascii="宋体" w:hAnsi="宋体" w:cs="宋体"/>
          <w:color w:val="auto"/>
          <w:szCs w:val="21"/>
        </w:rPr>
        <w:t>投标人的投标报价应为提供招标文件及合同条款中明示或暗示的服务内容而所需的（包括但不限于）：货物（所有材料）出厂价、材料费、装卸费、运输费、人工费、机械费、措施费、保护费、验收费用、管理费、利润、招标代理费用、税费、各类保险、政策性及指导性文件规定及合同包含的所有风</w:t>
      </w:r>
      <w:r>
        <w:rPr>
          <w:rFonts w:hint="eastAsia" w:ascii="宋体" w:hAnsi="宋体" w:eastAsia="宋体" w:cs="宋体"/>
          <w:color w:val="auto"/>
          <w:szCs w:val="21"/>
        </w:rPr>
        <w:t>险、责任、义务等一切应有费用，</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综合单价不作任何调整，招标人不再另行支付任何费用。</w:t>
      </w:r>
    </w:p>
    <w:p w14:paraId="78B32582">
      <w:pPr>
        <w:numPr>
          <w:ilvl w:val="0"/>
          <w:numId w:val="0"/>
        </w:numPr>
        <w:spacing w:line="5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2、工程量为暂估量，按实际结算。</w:t>
      </w:r>
    </w:p>
    <w:p w14:paraId="7304FF47">
      <w:pPr>
        <w:rPr>
          <w:rFonts w:hint="default"/>
          <w:lang w:val="en-US" w:eastAsia="zh-CN"/>
        </w:rPr>
      </w:pPr>
    </w:p>
    <w:p w14:paraId="1CC63AE4">
      <w:pPr>
        <w:numPr>
          <w:ilvl w:val="0"/>
          <w:numId w:val="0"/>
        </w:numPr>
        <w:spacing w:line="500" w:lineRule="exact"/>
        <w:rPr>
          <w:rFonts w:hint="eastAsia" w:ascii="宋体" w:hAnsi="宋体" w:cs="宋体"/>
          <w:color w:val="auto"/>
          <w:szCs w:val="21"/>
        </w:rPr>
      </w:pPr>
    </w:p>
    <w:p w14:paraId="5F43DAA6">
      <w:pPr>
        <w:spacing w:line="500" w:lineRule="exact"/>
        <w:ind w:firstLine="2293" w:firstLineChars="1092"/>
        <w:rPr>
          <w:rFonts w:hint="eastAsia" w:ascii="宋体" w:hAnsi="宋体" w:cs="宋体"/>
          <w:color w:val="auto"/>
          <w:szCs w:val="21"/>
        </w:rPr>
      </w:pPr>
      <w:r>
        <w:rPr>
          <w:rFonts w:hint="eastAsia" w:ascii="宋体" w:hAnsi="宋体" w:cs="宋体"/>
          <w:color w:val="auto"/>
          <w:szCs w:val="21"/>
        </w:rPr>
        <w:t>单位名称：</w:t>
      </w:r>
      <w:r>
        <w:rPr>
          <w:rFonts w:hint="eastAsia" w:ascii="宋体" w:hAnsi="宋体" w:cs="宋体"/>
          <w:color w:val="auto"/>
          <w:szCs w:val="21"/>
          <w:u w:val="single"/>
        </w:rPr>
        <w:t xml:space="preserve">                  （公    章）   </w:t>
      </w:r>
    </w:p>
    <w:p w14:paraId="254C6995">
      <w:pPr>
        <w:spacing w:line="500" w:lineRule="exact"/>
        <w:ind w:firstLine="2293" w:firstLineChars="1092"/>
        <w:rPr>
          <w:rFonts w:hint="eastAsia" w:ascii="宋体" w:hAnsi="宋体" w:cs="宋体"/>
          <w:color w:val="auto"/>
          <w:szCs w:val="21"/>
        </w:rPr>
      </w:pPr>
      <w:r>
        <w:rPr>
          <w:rFonts w:hint="eastAsia" w:ascii="宋体" w:hAnsi="宋体" w:cs="宋体"/>
          <w:bCs/>
          <w:color w:val="auto"/>
          <w:szCs w:val="21"/>
        </w:rPr>
        <w:t>法定代表人或其委托代理人（签字或盖章）</w:t>
      </w:r>
      <w:r>
        <w:rPr>
          <w:rFonts w:hint="eastAsia" w:ascii="宋体" w:hAnsi="宋体" w:cs="宋体"/>
          <w:color w:val="auto"/>
          <w:szCs w:val="21"/>
        </w:rPr>
        <w:t>：</w:t>
      </w:r>
      <w:r>
        <w:rPr>
          <w:rFonts w:hint="eastAsia" w:ascii="宋体" w:hAnsi="宋体" w:cs="宋体"/>
          <w:color w:val="auto"/>
          <w:szCs w:val="21"/>
          <w:u w:val="single"/>
        </w:rPr>
        <w:t xml:space="preserve">             </w:t>
      </w:r>
    </w:p>
    <w:p w14:paraId="296ABB9C">
      <w:pPr>
        <w:spacing w:line="480" w:lineRule="exact"/>
        <w:rPr>
          <w:rFonts w:hint="eastAsia" w:ascii="黑体" w:hAnsi="黑体" w:eastAsia="黑体"/>
          <w:color w:val="auto"/>
          <w:sz w:val="36"/>
          <w:szCs w:val="28"/>
        </w:rPr>
      </w:pPr>
      <w:r>
        <w:rPr>
          <w:rFonts w:hint="eastAsia" w:ascii="宋体" w:hAnsi="宋体" w:cs="宋体"/>
          <w:color w:val="auto"/>
          <w:szCs w:val="21"/>
        </w:rPr>
        <w:t xml:space="preserve">                      日    期：</w:t>
      </w:r>
      <w:r>
        <w:rPr>
          <w:rFonts w:hint="eastAsia" w:ascii="宋体" w:hAnsi="宋体" w:cs="宋体"/>
          <w:color w:val="auto"/>
          <w:szCs w:val="21"/>
          <w:u w:val="single"/>
        </w:rPr>
        <w:t xml:space="preserve">                               </w:t>
      </w:r>
    </w:p>
    <w:p w14:paraId="4FAFACC5">
      <w:pPr>
        <w:keepNext/>
        <w:keepLines/>
        <w:spacing w:before="200" w:after="200" w:line="600" w:lineRule="exact"/>
        <w:outlineLvl w:val="0"/>
        <w:rPr>
          <w:rFonts w:hint="eastAsia" w:ascii="黑体" w:hAnsi="黑体" w:eastAsia="黑体"/>
          <w:b/>
          <w:bCs/>
          <w:color w:val="auto"/>
          <w:kern w:val="44"/>
          <w:sz w:val="36"/>
          <w:szCs w:val="28"/>
          <w:highlight w:val="none"/>
        </w:rPr>
      </w:pPr>
      <w:bookmarkStart w:id="50" w:name="OLE_LINK7"/>
      <w:bookmarkStart w:id="51" w:name="OLE_LINK25"/>
      <w:bookmarkStart w:id="52" w:name="OLE_LINK24"/>
    </w:p>
    <w:p w14:paraId="2CEDCB7A">
      <w:pPr>
        <w:keepNext/>
        <w:keepLines/>
        <w:spacing w:before="200" w:after="200" w:line="600" w:lineRule="exact"/>
        <w:outlineLvl w:val="0"/>
        <w:rPr>
          <w:rFonts w:hint="eastAsia" w:ascii="黑体" w:hAnsi="黑体" w:eastAsia="黑体"/>
          <w:b/>
          <w:bCs/>
          <w:color w:val="auto"/>
          <w:kern w:val="44"/>
          <w:sz w:val="36"/>
          <w:szCs w:val="28"/>
          <w:highlight w:val="none"/>
        </w:rPr>
      </w:pPr>
    </w:p>
    <w:p w14:paraId="2DFE1555">
      <w:pPr>
        <w:keepNext/>
        <w:keepLines/>
        <w:spacing w:before="200" w:after="200" w:line="600" w:lineRule="exact"/>
        <w:outlineLvl w:val="0"/>
        <w:rPr>
          <w:rFonts w:hint="eastAsia" w:ascii="黑体" w:hAnsi="黑体" w:eastAsia="黑体"/>
          <w:b/>
          <w:bCs/>
          <w:color w:val="auto"/>
          <w:kern w:val="44"/>
          <w:sz w:val="36"/>
          <w:szCs w:val="28"/>
          <w:highlight w:val="none"/>
        </w:rPr>
      </w:pPr>
    </w:p>
    <w:bookmarkEnd w:id="50"/>
    <w:p w14:paraId="77DEB832">
      <w:pPr>
        <w:adjustRightInd w:val="0"/>
        <w:snapToGrid w:val="0"/>
        <w:spacing w:line="560" w:lineRule="exact"/>
        <w:rPr>
          <w:rFonts w:hint="eastAsia" w:ascii="仿宋_GB2312" w:hAnsi="宋体" w:eastAsia="仿宋_GB2312"/>
          <w:color w:val="auto"/>
          <w:sz w:val="28"/>
          <w:szCs w:val="28"/>
          <w:highlight w:val="none"/>
        </w:rPr>
      </w:pPr>
    </w:p>
    <w:p w14:paraId="3C1839B6">
      <w:pPr>
        <w:keepNext/>
        <w:keepLines/>
        <w:spacing w:before="200" w:after="200" w:line="600" w:lineRule="exact"/>
        <w:ind w:firstLine="361" w:firstLineChars="100"/>
        <w:outlineLvl w:val="0"/>
        <w:rPr>
          <w:rFonts w:ascii="黑体" w:hAnsi="黑体" w:eastAsia="黑体"/>
          <w:b/>
          <w:bCs/>
          <w:color w:val="auto"/>
          <w:kern w:val="44"/>
          <w:sz w:val="28"/>
          <w:szCs w:val="28"/>
          <w:highlight w:val="none"/>
        </w:rPr>
      </w:pPr>
      <w:r>
        <w:rPr>
          <w:rFonts w:hint="eastAsia" w:ascii="黑体" w:hAnsi="黑体" w:eastAsia="黑体"/>
          <w:b/>
          <w:bCs/>
          <w:color w:val="auto"/>
          <w:kern w:val="44"/>
          <w:sz w:val="36"/>
          <w:szCs w:val="28"/>
          <w:highlight w:val="none"/>
        </w:rPr>
        <w:t>附件1 关于联合惩戒失信行为加强信用查询管理的通知</w:t>
      </w:r>
    </w:p>
    <w:p w14:paraId="17B254D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75C9ADF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0EB5934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51"/>
    <w:bookmarkEnd w:id="52"/>
    <w:p w14:paraId="5D0E41A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53" w:name="OLE_LINK103"/>
      <w:bookmarkStart w:id="54" w:name="OLE_LINK92"/>
      <w:bookmarkStart w:id="55" w:name="OLE_LINK91"/>
      <w:bookmarkStart w:id="56" w:name="OLE_LINK93"/>
      <w:r>
        <w:rPr>
          <w:rFonts w:hint="eastAsia" w:ascii="仿宋_GB2312" w:hAnsi="宋体" w:eastAsia="仿宋_GB2312"/>
          <w:color w:val="auto"/>
          <w:sz w:val="28"/>
          <w:szCs w:val="28"/>
          <w:highlight w:val="none"/>
        </w:rPr>
        <w:t>投标人、法定代表人及其项目经理(建造师)</w:t>
      </w:r>
      <w:bookmarkEnd w:id="53"/>
      <w:bookmarkEnd w:id="54"/>
      <w:bookmarkEnd w:id="55"/>
      <w:bookmarkEnd w:id="56"/>
      <w:r>
        <w:rPr>
          <w:rFonts w:hint="eastAsia" w:ascii="仿宋_GB2312" w:hAnsi="宋体" w:eastAsia="仿宋_GB2312"/>
          <w:color w:val="auto"/>
          <w:sz w:val="28"/>
          <w:szCs w:val="28"/>
          <w:highlight w:val="none"/>
        </w:rPr>
        <w:t>以下失信行为：</w:t>
      </w:r>
    </w:p>
    <w:p w14:paraId="338D9808">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57" w:name="OLE_LINK87"/>
      <w:bookmarkStart w:id="58" w:name="OLE_LINK119"/>
      <w:bookmarkStart w:id="59" w:name="OLE_LINK86"/>
      <w:bookmarkStart w:id="60" w:name="OLE_LINK94"/>
      <w:r>
        <w:rPr>
          <w:rFonts w:hint="eastAsia" w:ascii="仿宋_GB2312" w:hAnsi="宋体" w:eastAsia="仿宋_GB2312"/>
          <w:color w:val="auto"/>
          <w:sz w:val="28"/>
          <w:szCs w:val="28"/>
          <w:highlight w:val="none"/>
        </w:rPr>
        <w:t>①被列入“失信被执行人”的;</w:t>
      </w:r>
    </w:p>
    <w:p w14:paraId="3BDC2B3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61" w:name="OLE_LINK117"/>
      <w:bookmarkStart w:id="62" w:name="OLE_LINK116"/>
      <w:bookmarkStart w:id="63" w:name="OLE_LINK118"/>
      <w:bookmarkStart w:id="64" w:name="OLE_LINK115"/>
      <w:r>
        <w:rPr>
          <w:rFonts w:hint="eastAsia" w:ascii="仿宋_GB2312" w:hAnsi="宋体" w:eastAsia="仿宋_GB2312"/>
          <w:color w:val="auto"/>
          <w:sz w:val="28"/>
          <w:szCs w:val="28"/>
          <w:highlight w:val="none"/>
        </w:rPr>
        <w:t>“重大税收违法失信主体”</w:t>
      </w:r>
      <w:bookmarkEnd w:id="61"/>
      <w:bookmarkEnd w:id="62"/>
      <w:bookmarkEnd w:id="63"/>
      <w:bookmarkEnd w:id="64"/>
      <w:r>
        <w:rPr>
          <w:rFonts w:hint="eastAsia" w:ascii="仿宋_GB2312" w:hAnsi="宋体" w:eastAsia="仿宋_GB2312"/>
          <w:color w:val="auto"/>
          <w:sz w:val="28"/>
          <w:szCs w:val="28"/>
          <w:highlight w:val="none"/>
        </w:rPr>
        <w:t>的；</w:t>
      </w:r>
    </w:p>
    <w:p w14:paraId="73DCEC2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65" w:name="OLE_LINK84"/>
      <w:bookmarkStart w:id="66" w:name="OLE_LINK85"/>
      <w:r>
        <w:rPr>
          <w:rFonts w:hint="eastAsia" w:ascii="仿宋_GB2312" w:hAnsi="宋体" w:eastAsia="仿宋_GB2312"/>
          <w:color w:val="auto"/>
          <w:sz w:val="28"/>
          <w:szCs w:val="28"/>
          <w:highlight w:val="none"/>
        </w:rPr>
        <w:t>农民工工资失信联合惩戒对象</w:t>
      </w:r>
      <w:bookmarkEnd w:id="65"/>
      <w:bookmarkEnd w:id="66"/>
      <w:r>
        <w:rPr>
          <w:rFonts w:hint="eastAsia" w:ascii="仿宋_GB2312" w:hAnsi="宋体" w:eastAsia="仿宋_GB2312"/>
          <w:color w:val="auto"/>
          <w:sz w:val="28"/>
          <w:szCs w:val="28"/>
          <w:highlight w:val="none"/>
        </w:rPr>
        <w:t>名单”的；</w:t>
      </w:r>
    </w:p>
    <w:p w14:paraId="6BD3462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71A02C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57"/>
    <w:bookmarkEnd w:id="58"/>
    <w:bookmarkEnd w:id="59"/>
    <w:bookmarkEnd w:id="60"/>
    <w:p w14:paraId="1DA35CE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67" w:name="OLE_LINK130"/>
      <w:r>
        <w:rPr>
          <w:rFonts w:hint="eastAsia" w:ascii="仿宋_GB2312" w:hAnsi="宋体" w:eastAsia="仿宋_GB2312"/>
          <w:color w:val="auto"/>
          <w:sz w:val="28"/>
          <w:szCs w:val="28"/>
          <w:highlight w:val="none"/>
        </w:rPr>
        <w:t>国家企业信用信息公示系统网站</w:t>
      </w:r>
      <w:bookmarkEnd w:id="67"/>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68" w:name="OLE_LINK89"/>
      <w:bookmarkStart w:id="69" w:name="OLE_LINK90"/>
      <w:r>
        <w:rPr>
          <w:rStyle w:val="58"/>
          <w:rFonts w:hint="eastAsia" w:ascii="仿宋_GB2312" w:hAnsi="宋体" w:eastAsia="仿宋_GB2312"/>
          <w:color w:val="auto"/>
          <w:sz w:val="28"/>
          <w:szCs w:val="28"/>
          <w:highlight w:val="none"/>
        </w:rPr>
        <w:t>www.gsxt.gov.cn</w:t>
      </w:r>
      <w:bookmarkEnd w:id="68"/>
      <w:bookmarkEnd w:id="69"/>
      <w:r>
        <w:rPr>
          <w:rStyle w:val="58"/>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00AFDE1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70" w:name="OLE_LINK120"/>
      <w:bookmarkStart w:id="71" w:name="OLE_LINK122"/>
      <w:bookmarkStart w:id="72" w:name="OLE_LINK121"/>
      <w:r>
        <w:rPr>
          <w:rFonts w:hint="eastAsia" w:ascii="仿宋_GB2312" w:hAnsi="宋体" w:eastAsia="仿宋_GB2312"/>
          <w:color w:val="auto"/>
          <w:sz w:val="28"/>
          <w:szCs w:val="28"/>
          <w:highlight w:val="none"/>
        </w:rPr>
        <w:t>①被列入“经营异常名录”或者“严重违法失信名单”的。</w:t>
      </w:r>
      <w:bookmarkEnd w:id="70"/>
      <w:bookmarkEnd w:id="71"/>
      <w:bookmarkEnd w:id="72"/>
    </w:p>
    <w:p w14:paraId="1577D23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406EBDE4">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73" w:name="OLE_LINK124"/>
      <w:bookmarkStart w:id="74" w:name="OLE_LINK123"/>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1994D51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532EF29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5A71205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75" w:name="OLE_LINK108"/>
      <w:bookmarkStart w:id="76" w:name="OLE_LINK107"/>
      <w:r>
        <w:rPr>
          <w:rFonts w:hint="eastAsia" w:ascii="仿宋_GB2312" w:hAnsi="宋体" w:eastAsia="仿宋_GB2312"/>
          <w:color w:val="auto"/>
          <w:sz w:val="28"/>
          <w:szCs w:val="28"/>
          <w:highlight w:val="none"/>
        </w:rPr>
        <w:t>县级及以上有关行政主管部门限制投标资格且在限制期限内的</w:t>
      </w:r>
      <w:bookmarkEnd w:id="75"/>
      <w:bookmarkEnd w:id="76"/>
      <w:r>
        <w:rPr>
          <w:rFonts w:hint="eastAsia" w:ascii="仿宋_GB2312" w:hAnsi="宋体" w:eastAsia="仿宋_GB2312"/>
          <w:color w:val="auto"/>
          <w:sz w:val="28"/>
          <w:szCs w:val="28"/>
          <w:highlight w:val="none"/>
        </w:rPr>
        <w:t>；</w:t>
      </w:r>
    </w:p>
    <w:p w14:paraId="27C925D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73"/>
    <w:bookmarkEnd w:id="74"/>
    <w:p w14:paraId="05D13327">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16D6C36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58"/>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08E45E9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2D18203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3B182D3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658A00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65460E8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38F95CE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58"/>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45A878B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77" w:name="OLE_LINK101"/>
      <w:bookmarkStart w:id="78" w:name="OLE_LINK100"/>
      <w:bookmarkStart w:id="79" w:name="OLE_LINK102"/>
      <w:r>
        <w:rPr>
          <w:rFonts w:hint="eastAsia" w:ascii="仿宋_GB2312" w:hAnsi="宋体" w:eastAsia="仿宋_GB2312"/>
          <w:color w:val="auto"/>
          <w:sz w:val="28"/>
          <w:szCs w:val="28"/>
          <w:highlight w:val="none"/>
        </w:rPr>
        <w:t>被列入“经营异常名录”或者“严重违法失信名单”的</w:t>
      </w:r>
      <w:bookmarkEnd w:id="77"/>
      <w:bookmarkEnd w:id="78"/>
      <w:bookmarkEnd w:id="79"/>
      <w:r>
        <w:rPr>
          <w:rFonts w:hint="eastAsia" w:ascii="仿宋_GB2312" w:hAnsi="宋体" w:eastAsia="仿宋_GB2312"/>
          <w:color w:val="auto"/>
          <w:sz w:val="28"/>
          <w:szCs w:val="28"/>
          <w:highlight w:val="none"/>
        </w:rPr>
        <w:t>。</w:t>
      </w:r>
    </w:p>
    <w:p w14:paraId="75B57E0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80" w:name="OLE_LINK96"/>
      <w:bookmarkStart w:id="81"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58"/>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80"/>
      <w:bookmarkEnd w:id="81"/>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72819FD7">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82" w:name="OLE_LINK105"/>
      <w:bookmarkStart w:id="83" w:name="OLE_LINK104"/>
      <w:bookmarkStart w:id="84" w:name="OLE_LINK106"/>
      <w:r>
        <w:rPr>
          <w:rFonts w:hint="eastAsia" w:ascii="仿宋_GB2312" w:hAnsi="宋体" w:eastAsia="仿宋_GB2312"/>
          <w:color w:val="auto"/>
          <w:sz w:val="28"/>
          <w:szCs w:val="28"/>
          <w:highlight w:val="none"/>
        </w:rPr>
        <w:t>被列入“政府采购严重违法失信行为信息记录”的</w:t>
      </w:r>
      <w:bookmarkEnd w:id="82"/>
      <w:bookmarkEnd w:id="83"/>
      <w:bookmarkEnd w:id="84"/>
      <w:r>
        <w:rPr>
          <w:rFonts w:hint="eastAsia" w:ascii="仿宋_GB2312" w:hAnsi="宋体" w:eastAsia="仿宋_GB2312" w:cs="楷体"/>
          <w:color w:val="auto"/>
          <w:sz w:val="28"/>
          <w:szCs w:val="28"/>
          <w:highlight w:val="none"/>
        </w:rPr>
        <w:t>。</w:t>
      </w:r>
    </w:p>
    <w:p w14:paraId="676F8F7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4EE56F3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B4613D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44882FF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14DD37E6">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1DDA75F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007AD09F">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2270EC1B">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239FD85D">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6185A2B4">
      <w:pPr>
        <w:wordWrap w:val="0"/>
        <w:adjustRightInd w:val="0"/>
        <w:snapToGrid w:val="0"/>
        <w:spacing w:line="560" w:lineRule="exact"/>
        <w:ind w:firstLine="560" w:firstLineChars="200"/>
        <w:rPr>
          <w:rFonts w:hint="eastAsia" w:ascii="Times New Roman" w:hAnsi="Times New Roman"/>
          <w:color w:val="auto"/>
          <w:szCs w:val="24"/>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58"/>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0D3A93A">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048D808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059131D4">
      <w:pPr>
        <w:keepNext/>
        <w:keepLines/>
        <w:spacing w:before="200" w:after="200" w:line="600" w:lineRule="exact"/>
        <w:outlineLvl w:val="0"/>
        <w:rPr>
          <w:rFonts w:hint="eastAsia" w:ascii="黑体" w:hAnsi="黑体" w:eastAsia="黑体"/>
          <w:b/>
          <w:bCs/>
          <w:color w:val="auto"/>
          <w:kern w:val="44"/>
          <w:sz w:val="36"/>
          <w:szCs w:val="28"/>
          <w:highlight w:val="none"/>
        </w:rPr>
      </w:pPr>
      <w:r>
        <w:rPr>
          <w:rFonts w:hint="eastAsia" w:ascii="黑体" w:hAnsi="黑体" w:eastAsia="黑体"/>
          <w:b/>
          <w:bCs/>
          <w:color w:val="auto"/>
          <w:kern w:val="44"/>
          <w:sz w:val="36"/>
          <w:szCs w:val="28"/>
          <w:highlight w:val="none"/>
        </w:rPr>
        <w:t xml:space="preserve">附件2 </w:t>
      </w:r>
      <w:bookmarkStart w:id="85" w:name="OLE_LINK75"/>
      <w:bookmarkStart w:id="86" w:name="OLE_LINK74"/>
      <w:r>
        <w:rPr>
          <w:rFonts w:hint="eastAsia" w:ascii="黑体" w:hAnsi="黑体" w:eastAsia="黑体"/>
          <w:b/>
          <w:bCs/>
          <w:color w:val="auto"/>
          <w:kern w:val="44"/>
          <w:sz w:val="36"/>
          <w:szCs w:val="28"/>
          <w:highlight w:val="none"/>
        </w:rPr>
        <w:t>“信用中国”查询的严重失信行为</w:t>
      </w:r>
      <w:bookmarkStart w:id="87" w:name="OLE_LINK40"/>
      <w:bookmarkStart w:id="88" w:name="OLE_LINK76"/>
      <w:r>
        <w:rPr>
          <w:rFonts w:hint="eastAsia" w:ascii="黑体" w:hAnsi="黑体" w:eastAsia="黑体"/>
          <w:b/>
          <w:bCs/>
          <w:color w:val="auto"/>
          <w:kern w:val="44"/>
          <w:sz w:val="36"/>
          <w:szCs w:val="28"/>
          <w:highlight w:val="none"/>
        </w:rPr>
        <w:t>类别及判定依据</w:t>
      </w:r>
      <w:bookmarkEnd w:id="85"/>
      <w:bookmarkEnd w:id="86"/>
      <w:bookmarkEnd w:id="87"/>
      <w:bookmarkEnd w:id="88"/>
    </w:p>
    <w:p w14:paraId="23CABCE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0CA51B06">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1D7879E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7FC02C9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3CA3072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43DF9B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0065442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191DD2D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4E3D9A0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4A24CB0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74D87F0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49C514D5">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134C1AF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0380088C">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eastAsia="仿宋_GB2312"/>
          <w:b/>
          <w:color w:val="auto"/>
          <w:sz w:val="28"/>
          <w:szCs w:val="28"/>
          <w:highlight w:val="none"/>
        </w:rPr>
        <w:t>（2023年8月8日应急管理部令第11号）</w:t>
      </w:r>
    </w:p>
    <w:p w14:paraId="3D93217A">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5B0E609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77F4A52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63DCC9A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5635F4A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2C108D8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2756F72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06FED71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65BA5A7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2685B3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2A7C517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58"/>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7808E7A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27D85FC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33A90BD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4519720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30A72963">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407A75A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89" w:name="OLE_LINK9"/>
      <w:bookmarkStart w:id="90" w:name="OLE_LINK10"/>
      <w:bookmarkStart w:id="91"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89"/>
      <w:bookmarkEnd w:id="90"/>
      <w:bookmarkEnd w:id="91"/>
      <w:r>
        <w:rPr>
          <w:rFonts w:hint="eastAsia" w:ascii="仿宋_GB2312" w:hAnsi="宋体" w:eastAsia="仿宋_GB2312"/>
          <w:b/>
          <w:color w:val="auto"/>
          <w:sz w:val="28"/>
          <w:szCs w:val="28"/>
          <w:highlight w:val="none"/>
        </w:rPr>
        <w:t>》、《</w:t>
      </w:r>
      <w:bookmarkStart w:id="92" w:name="OLE_LINK12"/>
      <w:bookmarkStart w:id="93" w:name="OLE_LINK11"/>
      <w:r>
        <w:rPr>
          <w:rFonts w:hint="eastAsia" w:ascii="仿宋_GB2312" w:hAnsi="宋体" w:eastAsia="仿宋_GB2312"/>
          <w:b/>
          <w:color w:val="auto"/>
          <w:sz w:val="28"/>
          <w:szCs w:val="28"/>
          <w:highlight w:val="none"/>
        </w:rPr>
        <w:t>企业环境信用评价办法（试行）</w:t>
      </w:r>
      <w:bookmarkEnd w:id="92"/>
      <w:bookmarkEnd w:id="93"/>
      <w:r>
        <w:rPr>
          <w:rFonts w:hint="eastAsia" w:ascii="仿宋_GB2312" w:hAnsi="宋体" w:eastAsia="仿宋_GB2312"/>
          <w:b/>
          <w:color w:val="auto"/>
          <w:sz w:val="28"/>
          <w:szCs w:val="28"/>
          <w:highlight w:val="none"/>
        </w:rPr>
        <w:t>》（环发〔2013〕150号）</w:t>
      </w:r>
    </w:p>
    <w:p w14:paraId="7E87BE5D">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7786745">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006D8D2B">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7D21BEA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79B64912">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6A751B9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3AF1478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2F89ADBD">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7C3DB483">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21745E58">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461D80D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0B094486">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65F841E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18CBF15">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0D597C9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55B67F9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1501E9C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5556312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2D1B043D">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75B58D3">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6417BEA1">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5B97195D">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94" w:name="OLE_LINK14"/>
      <w:r>
        <w:rPr>
          <w:rFonts w:hint="eastAsia" w:ascii="仿宋_GB2312" w:hAnsi="宋体" w:eastAsia="仿宋_GB2312"/>
          <w:b/>
          <w:color w:val="auto"/>
          <w:sz w:val="28"/>
          <w:szCs w:val="28"/>
          <w:highlight w:val="none"/>
        </w:rPr>
        <w:t>关于对公共资源交易领域严重失信主体开展联合惩戒的备忘录</w:t>
      </w:r>
      <w:bookmarkEnd w:id="94"/>
      <w:r>
        <w:rPr>
          <w:rFonts w:hint="eastAsia" w:ascii="仿宋_GB2312" w:hAnsi="宋体" w:eastAsia="仿宋_GB2312"/>
          <w:b/>
          <w:color w:val="auto"/>
          <w:sz w:val="28"/>
          <w:szCs w:val="28"/>
          <w:highlight w:val="none"/>
        </w:rPr>
        <w:t>》（发改法规〔2018〕457号）</w:t>
      </w:r>
    </w:p>
    <w:p w14:paraId="61E53D31">
      <w:pPr>
        <w:adjustRightInd w:val="0"/>
        <w:snapToGrid w:val="0"/>
        <w:spacing w:line="560" w:lineRule="exact"/>
        <w:ind w:firstLine="645"/>
        <w:jc w:val="left"/>
        <w:rPr>
          <w:rFonts w:hint="eastAsia" w:ascii="仿宋_GB2312" w:hAnsi="宋体" w:eastAsia="仿宋_GB2312"/>
          <w:color w:val="auto"/>
          <w:sz w:val="28"/>
          <w:szCs w:val="28"/>
          <w:highlight w:val="none"/>
        </w:rPr>
      </w:pPr>
    </w:p>
    <w:p w14:paraId="259C3AF9">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2E9A381B">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5BCBE5E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44551AC4">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2791A2E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1F58A1D9">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6836A33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3134539E">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3758F18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314CEE40">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13B5FEEE">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w:t>
      </w:r>
      <w:bookmarkStart w:id="95" w:name="OLE_LINK16"/>
      <w:bookmarkStart w:id="96" w:name="OLE_LINK15"/>
      <w:r>
        <w:rPr>
          <w:rFonts w:hint="eastAsia" w:ascii="仿宋_GB2312" w:eastAsia="仿宋_GB2312"/>
          <w:b/>
          <w:color w:val="auto"/>
          <w:sz w:val="28"/>
          <w:szCs w:val="28"/>
          <w:highlight w:val="none"/>
        </w:rPr>
        <w:t>关于对社会保险领域严重失信企业及其有关人员实施联合惩戒的合作备忘录</w:t>
      </w:r>
      <w:bookmarkEnd w:id="95"/>
      <w:bookmarkEnd w:id="96"/>
      <w:r>
        <w:rPr>
          <w:rFonts w:hint="eastAsia" w:ascii="仿宋_GB2312" w:eastAsia="仿宋_GB2312"/>
          <w:b/>
          <w:color w:val="auto"/>
          <w:sz w:val="28"/>
          <w:szCs w:val="28"/>
          <w:highlight w:val="none"/>
        </w:rPr>
        <w:t>》（发改财金〔2018〕1704号）</w:t>
      </w:r>
    </w:p>
    <w:p w14:paraId="60D9D94F">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4B0A40F7">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0FE777F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1F14AEC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22C20223">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B4A1934">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18205D6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55BAF72A">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w:t>
      </w:r>
      <w:bookmarkStart w:id="97" w:name="OLE_LINK17"/>
      <w:bookmarkStart w:id="98" w:name="OLE_LINK18"/>
      <w:r>
        <w:rPr>
          <w:rFonts w:hint="eastAsia" w:ascii="仿宋_GB2312" w:eastAsia="仿宋_GB2312"/>
          <w:b/>
          <w:color w:val="auto"/>
          <w:sz w:val="28"/>
          <w:szCs w:val="28"/>
          <w:highlight w:val="none"/>
        </w:rPr>
        <w:t>建筑市场信用管理暂行办法</w:t>
      </w:r>
      <w:bookmarkEnd w:id="97"/>
      <w:bookmarkEnd w:id="98"/>
      <w:r>
        <w:rPr>
          <w:rFonts w:hint="eastAsia" w:ascii="仿宋_GB2312" w:eastAsia="仿宋_GB2312"/>
          <w:b/>
          <w:color w:val="auto"/>
          <w:sz w:val="28"/>
          <w:szCs w:val="28"/>
          <w:highlight w:val="none"/>
        </w:rPr>
        <w:t>》（建市〔2017〕241号）</w:t>
      </w:r>
    </w:p>
    <w:p w14:paraId="0DF578A0">
      <w:pPr>
        <w:adjustRightInd w:val="0"/>
        <w:snapToGrid w:val="0"/>
        <w:spacing w:line="560" w:lineRule="exact"/>
        <w:rPr>
          <w:rFonts w:hint="eastAsia" w:ascii="仿宋_GB2312" w:hAnsi="宋体" w:eastAsia="仿宋_GB2312"/>
          <w:b/>
          <w:color w:val="auto"/>
          <w:sz w:val="28"/>
          <w:szCs w:val="28"/>
          <w:highlight w:val="none"/>
        </w:rPr>
      </w:pPr>
    </w:p>
    <w:p w14:paraId="78D79CF2">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99" w:name="OLE_LINK19"/>
      <w:bookmarkStart w:id="100" w:name="OLE_LINK20"/>
      <w:r>
        <w:rPr>
          <w:rFonts w:hint="eastAsia" w:ascii="仿宋_GB2312" w:hAnsi="宋体" w:eastAsia="仿宋_GB2312"/>
          <w:b/>
          <w:color w:val="auto"/>
          <w:sz w:val="28"/>
          <w:szCs w:val="28"/>
          <w:highlight w:val="none"/>
        </w:rPr>
        <w:t>政府采购严重失信行为</w:t>
      </w:r>
      <w:bookmarkEnd w:id="99"/>
      <w:bookmarkEnd w:id="100"/>
    </w:p>
    <w:p w14:paraId="28BA372D">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（一）三万元以上罚款；</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（二）在一至三年内禁止参加政府采购活动（处罚期限届满的除外）；</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（三）在一至三年内禁止代理政府采购业务（处罚期限届满的除外）；</w:t>
      </w:r>
      <w:r>
        <w:rPr>
          <w:rFonts w:hint="eastAsia" w:ascii="仿宋_GB2312"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601D66F7">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rFonts w:hint="eastAsia"/>
          <w:b/>
          <w:color w:val="auto"/>
          <w:sz w:val="28"/>
          <w:szCs w:val="28"/>
          <w:highlight w:val="none"/>
        </w:rPr>
        <w:t>（财办库〔</w:t>
      </w:r>
      <w:r>
        <w:rPr>
          <w:b/>
          <w:color w:val="auto"/>
          <w:sz w:val="28"/>
          <w:szCs w:val="28"/>
          <w:highlight w:val="none"/>
        </w:rPr>
        <w:t>2014</w:t>
      </w:r>
      <w:r>
        <w:rPr>
          <w:rFonts w:hint="eastAsia"/>
          <w:b/>
          <w:color w:val="auto"/>
          <w:sz w:val="28"/>
          <w:szCs w:val="28"/>
          <w:highlight w:val="none"/>
        </w:rPr>
        <w:t>〕</w:t>
      </w:r>
      <w:r>
        <w:rPr>
          <w:b/>
          <w:color w:val="auto"/>
          <w:sz w:val="28"/>
          <w:szCs w:val="28"/>
          <w:highlight w:val="none"/>
        </w:rPr>
        <w:t>526</w:t>
      </w:r>
      <w:r>
        <w:rPr>
          <w:rFonts w:hint="eastAsia"/>
          <w:b/>
          <w:color w:val="auto"/>
          <w:sz w:val="28"/>
          <w:szCs w:val="28"/>
          <w:highlight w:val="none"/>
        </w:rPr>
        <w:t>号）</w:t>
      </w:r>
    </w:p>
    <w:p w14:paraId="6796118E">
      <w:pPr>
        <w:adjustRightInd w:val="0"/>
        <w:snapToGrid w:val="0"/>
        <w:spacing w:line="560" w:lineRule="exact"/>
        <w:ind w:firstLine="615"/>
        <w:rPr>
          <w:rFonts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7F79D371">
      <w:pPr>
        <w:adjustRightInd w:val="0"/>
        <w:snapToGrid w:val="0"/>
        <w:spacing w:line="560" w:lineRule="exact"/>
        <w:ind w:firstLine="615"/>
        <w:rPr>
          <w:rFonts w:hint="eastAsia" w:ascii="仿宋_GB2312" w:eastAsia="仿宋_GB2312"/>
          <w:b/>
          <w:color w:val="auto"/>
          <w:sz w:val="32"/>
          <w:szCs w:val="32"/>
        </w:rPr>
      </w:pPr>
    </w:p>
    <w:bookmarkEnd w:id="49"/>
    <w:p w14:paraId="4FFC0806">
      <w:pPr>
        <w:rPr>
          <w:rFonts w:hint="eastAsia" w:ascii="宋体" w:hAnsi="宋体" w:eastAsia="宋体" w:cs="宋体"/>
          <w:color w:val="auto"/>
          <w:highlight w:val="none"/>
          <w:lang w:val="en-US" w:eastAsia="zh-CN"/>
        </w:rPr>
      </w:pPr>
    </w:p>
    <w:p w14:paraId="104A31FD">
      <w:pPr>
        <w:pStyle w:val="13"/>
        <w:rPr>
          <w:rFonts w:hint="eastAsia" w:ascii="宋体" w:hAnsi="宋体" w:eastAsia="宋体" w:cs="宋体"/>
          <w:color w:val="auto"/>
          <w:highlight w:val="none"/>
          <w:lang w:val="en-US" w:eastAsia="zh-CN"/>
        </w:rPr>
      </w:pPr>
    </w:p>
    <w:p w14:paraId="69CEDC90">
      <w:pPr>
        <w:rPr>
          <w:rFonts w:hint="eastAsia" w:ascii="宋体" w:hAnsi="宋体" w:eastAsia="宋体" w:cs="宋体"/>
          <w:color w:val="auto"/>
          <w:highlight w:val="none"/>
          <w:lang w:val="en-US" w:eastAsia="zh-CN"/>
        </w:rPr>
      </w:pPr>
    </w:p>
    <w:p w14:paraId="58F391DB">
      <w:pPr>
        <w:pStyle w:val="13"/>
        <w:rPr>
          <w:rFonts w:hint="eastAsia"/>
          <w:color w:val="auto"/>
          <w:lang w:val="en-US" w:eastAsia="zh-CN"/>
        </w:rPr>
      </w:pPr>
    </w:p>
    <w:p w14:paraId="0ABBB40B">
      <w:pPr>
        <w:rPr>
          <w:rFonts w:hint="eastAsia"/>
          <w:color w:val="auto"/>
          <w:lang w:val="en-US" w:eastAsia="zh-CN"/>
        </w:rPr>
      </w:pPr>
    </w:p>
    <w:p w14:paraId="28C8F5AE">
      <w:pPr>
        <w:pStyle w:val="13"/>
        <w:rPr>
          <w:rFonts w:hint="eastAsia"/>
          <w:color w:val="auto"/>
          <w:lang w:val="en-US" w:eastAsia="zh-CN"/>
        </w:rPr>
      </w:pPr>
    </w:p>
    <w:p w14:paraId="55C0F80F">
      <w:pPr>
        <w:rPr>
          <w:rFonts w:hint="eastAsia"/>
          <w:color w:val="auto"/>
          <w:lang w:val="en-US" w:eastAsia="zh-CN"/>
        </w:rPr>
      </w:pPr>
    </w:p>
    <w:p w14:paraId="012CD402">
      <w:pPr>
        <w:pStyle w:val="13"/>
        <w:ind w:left="0" w:leftChars="0" w:firstLine="0" w:firstLineChars="0"/>
        <w:rPr>
          <w:rFonts w:hint="eastAsia"/>
          <w:color w:val="auto"/>
          <w:lang w:val="en-US" w:eastAsia="zh-CN"/>
        </w:rPr>
      </w:pPr>
    </w:p>
    <w:p w14:paraId="76BF5FC5">
      <w:pPr>
        <w:pStyle w:val="2"/>
        <w:spacing w:before="0" w:after="0"/>
        <w:rPr>
          <w:rFonts w:hint="eastAsia" w:ascii="宋体" w:hAnsi="宋体" w:eastAsia="宋体" w:cs="宋体"/>
          <w:color w:val="auto"/>
          <w:highlight w:val="none"/>
          <w:lang w:val="en-US" w:eastAsia="zh-CN"/>
        </w:rPr>
      </w:pPr>
      <w:bookmarkStart w:id="101" w:name="_Toc13863"/>
      <w:r>
        <w:rPr>
          <w:rFonts w:hint="eastAsia" w:ascii="宋体" w:hAnsi="宋体" w:eastAsia="宋体" w:cs="宋体"/>
          <w:color w:val="auto"/>
          <w:highlight w:val="none"/>
          <w:lang w:val="en-US" w:eastAsia="zh-CN"/>
        </w:rPr>
        <w:t>第六章招标单位、招标代理机构对本招标文件的确认</w:t>
      </w:r>
      <w:bookmarkEnd w:id="101"/>
    </w:p>
    <w:tbl>
      <w:tblPr>
        <w:tblStyle w:val="4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6"/>
      </w:tblGrid>
      <w:tr w14:paraId="28CE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456" w:type="dxa"/>
          </w:tcPr>
          <w:p w14:paraId="09660384">
            <w:pPr>
              <w:spacing w:line="320" w:lineRule="atLeast"/>
              <w:ind w:firstLine="560" w:firstLineChars="200"/>
              <w:rPr>
                <w:rFonts w:hint="eastAsia" w:ascii="宋体" w:hAnsi="宋体" w:eastAsia="宋体" w:cs="宋体"/>
                <w:color w:val="auto"/>
                <w:sz w:val="28"/>
                <w:szCs w:val="28"/>
                <w:highlight w:val="none"/>
              </w:rPr>
            </w:pPr>
          </w:p>
          <w:p w14:paraId="02F0B2C7">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cs="宋体"/>
                <w:color w:val="auto"/>
                <w:sz w:val="28"/>
                <w:szCs w:val="28"/>
                <w:highlight w:val="none"/>
                <w:u w:val="single"/>
                <w:lang w:eastAsia="zh-CN"/>
              </w:rPr>
              <w:t>亭城玺悦里项目园林景观工程（红线内）石材采购</w:t>
            </w:r>
            <w:r>
              <w:rPr>
                <w:rFonts w:hint="eastAsia" w:ascii="宋体" w:hAnsi="宋体" w:eastAsia="宋体" w:cs="宋体"/>
                <w:color w:val="auto"/>
                <w:sz w:val="28"/>
                <w:szCs w:val="28"/>
                <w:highlight w:val="none"/>
              </w:rPr>
              <w:t>的招标文件进行确认。</w:t>
            </w:r>
          </w:p>
          <w:p w14:paraId="0C8108E3">
            <w:pPr>
              <w:spacing w:line="700" w:lineRule="exact"/>
              <w:ind w:firstLine="600" w:firstLineChars="200"/>
              <w:jc w:val="left"/>
              <w:rPr>
                <w:rFonts w:hint="eastAsia" w:ascii="宋体" w:hAnsi="宋体" w:eastAsia="宋体" w:cs="宋体"/>
                <w:color w:val="auto"/>
                <w:sz w:val="30"/>
                <w:lang w:eastAsia="zh-CN"/>
              </w:rPr>
            </w:pPr>
            <w:r>
              <w:rPr>
                <w:rFonts w:hint="eastAsia" w:ascii="宋体" w:hAnsi="宋体" w:eastAsia="宋体" w:cs="宋体"/>
                <w:color w:val="auto"/>
                <w:sz w:val="30"/>
              </w:rPr>
              <w:t>招标单位：</w:t>
            </w:r>
            <w:r>
              <w:rPr>
                <w:rFonts w:hint="eastAsia" w:ascii="宋体" w:hAnsi="宋体" w:cs="宋体"/>
                <w:color w:val="auto"/>
                <w:sz w:val="30"/>
                <w:lang w:eastAsia="zh-CN"/>
              </w:rPr>
              <w:t>滁州市园林绿化工程有限公司</w:t>
            </w:r>
            <w:r>
              <w:rPr>
                <w:rFonts w:hint="eastAsia" w:ascii="宋体" w:hAnsi="宋体" w:eastAsia="宋体" w:cs="宋体"/>
                <w:color w:val="auto"/>
                <w:sz w:val="30"/>
              </w:rPr>
              <w:t xml:space="preserve">  </w:t>
            </w:r>
            <w:r>
              <w:rPr>
                <w:rFonts w:hint="eastAsia" w:ascii="宋体" w:hAnsi="宋体" w:eastAsia="宋体" w:cs="宋体"/>
                <w:color w:val="auto"/>
                <w:sz w:val="30"/>
                <w:lang w:val="en-US" w:eastAsia="zh-CN"/>
              </w:rPr>
              <w:t xml:space="preserve">  </w:t>
            </w:r>
          </w:p>
          <w:p w14:paraId="2663CD02">
            <w:pPr>
              <w:spacing w:line="700" w:lineRule="exact"/>
              <w:ind w:firstLine="600" w:firstLineChars="200"/>
              <w:jc w:val="both"/>
              <w:rPr>
                <w:rFonts w:hint="default" w:ascii="宋体" w:hAnsi="宋体" w:eastAsia="宋体" w:cs="宋体"/>
                <w:color w:val="auto"/>
                <w:sz w:val="30"/>
                <w:lang w:val="en-US" w:eastAsia="zh-CN"/>
              </w:rPr>
            </w:pPr>
            <w:r>
              <w:rPr>
                <w:rFonts w:hint="eastAsia" w:ascii="宋体" w:hAnsi="宋体" w:eastAsia="宋体" w:cs="宋体"/>
                <w:color w:val="auto"/>
                <w:sz w:val="30"/>
              </w:rPr>
              <w:t>经 办 人：</w:t>
            </w:r>
            <w:r>
              <w:rPr>
                <w:rFonts w:hint="eastAsia" w:ascii="宋体" w:hAnsi="宋体" w:cs="宋体"/>
                <w:color w:val="auto"/>
                <w:sz w:val="30"/>
                <w:lang w:val="en-US" w:eastAsia="zh-CN"/>
              </w:rPr>
              <w:t>郑倩倩</w:t>
            </w:r>
          </w:p>
          <w:p w14:paraId="3A0A7942">
            <w:pPr>
              <w:spacing w:line="700" w:lineRule="exact"/>
              <w:ind w:firstLine="600" w:firstLineChars="200"/>
              <w:rPr>
                <w:rFonts w:hint="eastAsia" w:ascii="宋体" w:hAnsi="宋体" w:cs="宋体"/>
                <w:color w:val="auto"/>
                <w:sz w:val="30"/>
                <w:lang w:eastAsia="zh-CN"/>
              </w:rPr>
            </w:pPr>
            <w:r>
              <w:rPr>
                <w:rFonts w:hint="eastAsia" w:ascii="宋体" w:hAnsi="宋体" w:eastAsia="宋体" w:cs="宋体"/>
                <w:color w:val="auto"/>
                <w:sz w:val="30"/>
              </w:rPr>
              <w:t>联系电话：</w:t>
            </w:r>
            <w:r>
              <w:rPr>
                <w:rFonts w:hint="eastAsia" w:ascii="宋体" w:hAnsi="宋体" w:cs="宋体"/>
                <w:color w:val="auto"/>
                <w:sz w:val="30"/>
                <w:lang w:eastAsia="zh-CN"/>
              </w:rPr>
              <w:t>18055093270</w:t>
            </w:r>
          </w:p>
          <w:p w14:paraId="031B865C">
            <w:pPr>
              <w:spacing w:line="700" w:lineRule="exact"/>
              <w:ind w:firstLine="600" w:firstLineChars="200"/>
              <w:rPr>
                <w:rFonts w:hint="eastAsia" w:ascii="宋体" w:hAnsi="宋体" w:cs="宋体"/>
                <w:color w:val="auto"/>
                <w:sz w:val="30"/>
                <w:lang w:val="en-US" w:eastAsia="zh-CN"/>
              </w:rPr>
            </w:pPr>
          </w:p>
          <w:p w14:paraId="58E21503">
            <w:pPr>
              <w:spacing w:line="500" w:lineRule="exact"/>
              <w:ind w:firstLine="560" w:firstLineChars="200"/>
              <w:jc w:val="center"/>
              <w:rPr>
                <w:rFonts w:hint="eastAsia" w:ascii="宋体" w:hAnsi="宋体" w:eastAsia="宋体" w:cs="宋体"/>
                <w:color w:val="auto"/>
                <w:sz w:val="30"/>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5EDA1525">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2025年5月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lang w:eastAsia="zh-CN"/>
              </w:rPr>
              <w:t>日</w:t>
            </w:r>
          </w:p>
        </w:tc>
      </w:tr>
      <w:tr w14:paraId="5ECD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1" w:hRule="atLeast"/>
        </w:trPr>
        <w:tc>
          <w:tcPr>
            <w:tcW w:w="9456" w:type="dxa"/>
          </w:tcPr>
          <w:p w14:paraId="710C9E97">
            <w:pPr>
              <w:spacing w:line="320" w:lineRule="atLeast"/>
              <w:ind w:firstLine="560" w:firstLineChars="200"/>
              <w:rPr>
                <w:rFonts w:hint="eastAsia" w:ascii="宋体" w:hAnsi="宋体" w:eastAsia="宋体" w:cs="宋体"/>
                <w:color w:val="auto"/>
                <w:sz w:val="28"/>
                <w:szCs w:val="28"/>
                <w:highlight w:val="none"/>
              </w:rPr>
            </w:pPr>
          </w:p>
          <w:p w14:paraId="0CCB65F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4DCBC466">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cs="宋体"/>
                <w:color w:val="auto"/>
                <w:sz w:val="28"/>
                <w:szCs w:val="28"/>
                <w:highlight w:val="none"/>
                <w:lang w:val="en-US" w:eastAsia="zh-CN"/>
              </w:rPr>
              <w:t>曹思敏</w:t>
            </w:r>
            <w:r>
              <w:rPr>
                <w:rFonts w:hint="eastAsia" w:ascii="宋体" w:hAnsi="宋体" w:eastAsia="宋体" w:cs="宋体"/>
                <w:color w:val="auto"/>
                <w:sz w:val="28"/>
                <w:szCs w:val="28"/>
                <w:highlight w:val="none"/>
              </w:rPr>
              <w:t xml:space="preserve"> </w:t>
            </w:r>
          </w:p>
          <w:p w14:paraId="79A129CC">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 0550-35195</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18712012204</w:t>
            </w:r>
          </w:p>
          <w:p w14:paraId="007A61A0">
            <w:pPr>
              <w:rPr>
                <w:rFonts w:hint="eastAsia" w:ascii="宋体" w:hAnsi="宋体" w:eastAsia="宋体" w:cs="宋体"/>
                <w:color w:val="auto"/>
                <w:sz w:val="28"/>
                <w:szCs w:val="28"/>
                <w:highlight w:val="none"/>
              </w:rPr>
            </w:pPr>
          </w:p>
          <w:p w14:paraId="739189A1">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（单位盖章）</w:t>
            </w:r>
          </w:p>
          <w:p w14:paraId="7760108B">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lang w:eastAsia="zh-CN"/>
              </w:rPr>
              <w:t>2025年5月</w:t>
            </w:r>
            <w:r>
              <w:rPr>
                <w:rFonts w:hint="eastAsia" w:ascii="宋体" w:hAnsi="宋体" w:cs="宋体"/>
                <w:color w:val="auto"/>
                <w:sz w:val="28"/>
                <w:szCs w:val="28"/>
                <w:highlight w:val="none"/>
                <w:lang w:val="en-US" w:eastAsia="zh-CN"/>
              </w:rPr>
              <w:t>27</w:t>
            </w:r>
            <w:r>
              <w:rPr>
                <w:rFonts w:hint="eastAsia" w:ascii="宋体" w:hAnsi="宋体" w:cs="宋体"/>
                <w:color w:val="auto"/>
                <w:sz w:val="28"/>
                <w:szCs w:val="28"/>
                <w:highlight w:val="none"/>
                <w:lang w:eastAsia="zh-CN"/>
              </w:rPr>
              <w:t>日</w:t>
            </w:r>
          </w:p>
        </w:tc>
      </w:tr>
    </w:tbl>
    <w:p w14:paraId="3F2D5FAA">
      <w:pPr>
        <w:pStyle w:val="19"/>
        <w:jc w:val="left"/>
        <w:rPr>
          <w:rFonts w:ascii="仿宋" w:hAnsi="仿宋" w:eastAsia="仿宋" w:cs="仿宋"/>
          <w:color w:val="auto"/>
          <w:kern w:val="0"/>
          <w:sz w:val="24"/>
          <w:szCs w:val="24"/>
          <w:highlight w:val="none"/>
        </w:rPr>
      </w:pPr>
    </w:p>
    <w:p w14:paraId="34FE805E">
      <w:pPr>
        <w:pStyle w:val="19"/>
        <w:jc w:val="left"/>
        <w:rPr>
          <w:rFonts w:ascii="仿宋" w:hAnsi="仿宋" w:eastAsia="仿宋" w:cs="仿宋"/>
          <w:color w:val="auto"/>
          <w:kern w:val="0"/>
          <w:sz w:val="24"/>
          <w:szCs w:val="24"/>
          <w:highlight w:val="none"/>
        </w:rPr>
      </w:pPr>
    </w:p>
    <w:p w14:paraId="256DB549">
      <w:pPr>
        <w:pStyle w:val="19"/>
        <w:jc w:val="left"/>
        <w:rPr>
          <w:rFonts w:ascii="仿宋" w:hAnsi="仿宋" w:eastAsia="仿宋" w:cs="仿宋"/>
          <w:color w:val="auto"/>
          <w:kern w:val="0"/>
          <w:sz w:val="24"/>
          <w:szCs w:val="24"/>
          <w:highlight w:val="none"/>
        </w:rPr>
      </w:pPr>
    </w:p>
    <w:p w14:paraId="5FAA8BCB">
      <w:pPr>
        <w:pStyle w:val="19"/>
        <w:jc w:val="left"/>
        <w:rPr>
          <w:rFonts w:ascii="仿宋" w:hAnsi="仿宋" w:eastAsia="仿宋" w:cs="仿宋"/>
          <w:color w:val="auto"/>
          <w:kern w:val="0"/>
          <w:sz w:val="24"/>
          <w:szCs w:val="24"/>
          <w:highlight w:val="none"/>
        </w:rPr>
      </w:pPr>
    </w:p>
    <w:p w14:paraId="720E62C0">
      <w:pPr>
        <w:pStyle w:val="19"/>
        <w:jc w:val="left"/>
        <w:rPr>
          <w:rFonts w:ascii="仿宋" w:hAnsi="仿宋" w:eastAsia="仿宋" w:cs="仿宋"/>
          <w:color w:val="auto"/>
          <w:kern w:val="0"/>
          <w:sz w:val="24"/>
          <w:szCs w:val="24"/>
          <w:highlight w:val="none"/>
        </w:rPr>
      </w:pPr>
    </w:p>
    <w:p w14:paraId="44E14124">
      <w:pPr>
        <w:pStyle w:val="19"/>
        <w:jc w:val="left"/>
        <w:rPr>
          <w:rFonts w:ascii="仿宋" w:hAnsi="仿宋" w:eastAsia="仿宋" w:cs="仿宋"/>
          <w:color w:val="auto"/>
          <w:kern w:val="0"/>
          <w:sz w:val="24"/>
          <w:szCs w:val="24"/>
          <w:highlight w:val="none"/>
        </w:rPr>
      </w:pPr>
    </w:p>
    <w:p w14:paraId="4944ABE4">
      <w:pPr>
        <w:pStyle w:val="19"/>
        <w:jc w:val="left"/>
        <w:rPr>
          <w:rFonts w:hint="eastAsia" w:ascii="仿宋" w:hAnsi="仿宋" w:eastAsia="仿宋" w:cs="仿宋"/>
          <w:color w:val="auto"/>
          <w:kern w:val="0"/>
          <w:sz w:val="24"/>
          <w:szCs w:val="24"/>
          <w:highlight w:val="none"/>
          <w:lang w:eastAsia="zh-CN"/>
        </w:rPr>
      </w:pPr>
    </w:p>
    <w:sectPr>
      <w:footerReference r:id="rId6"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EE615">
    <w:pPr>
      <w:pStyle w:val="30"/>
      <w:rPr>
        <w:rStyle w:val="51"/>
      </w:rPr>
    </w:pPr>
  </w:p>
  <w:p w14:paraId="6D3F3BEE">
    <w:pPr>
      <w:pStyle w:val="30"/>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DC54B0B"/>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5DC54B0B"/>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9046">
    <w:pPr>
      <w:pStyle w:val="30"/>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3CB8615">
                          <w:pPr>
                            <w:pStyle w:val="30"/>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13CB8615">
                    <w:pPr>
                      <w:pStyle w:val="30"/>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7C135">
    <w:pPr>
      <w:pStyle w:val="30"/>
      <w:rPr>
        <w:rStyle w:val="5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12F24">
                          <w:pPr>
                            <w:pStyle w:val="3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8E12F24">
                    <w:pPr>
                      <w:pStyle w:val="30"/>
                    </w:pPr>
                    <w:r>
                      <w:fldChar w:fldCharType="begin"/>
                    </w:r>
                    <w:r>
                      <w:instrText xml:space="preserve"> PAGE  \* MERGEFORMAT </w:instrText>
                    </w:r>
                    <w:r>
                      <w:fldChar w:fldCharType="separate"/>
                    </w:r>
                    <w:r>
                      <w:t>19</w:t>
                    </w:r>
                    <w:r>
                      <w:fldChar w:fldCharType="end"/>
                    </w:r>
                  </w:p>
                </w:txbxContent>
              </v:textbox>
            </v:shape>
          </w:pict>
        </mc:Fallback>
      </mc:AlternateContent>
    </w:r>
  </w:p>
  <w:p w14:paraId="746A05B5">
    <w:pPr>
      <w:pStyle w:val="30"/>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58EC50B4"/>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58EC50B4"/>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EB35">
    <w:pPr>
      <w:pStyle w:val="32"/>
      <w:pBdr>
        <w:bottom w:val="none" w:color="auto" w:sz="0" w:space="0"/>
      </w:pBdr>
    </w:pP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0ZTM1OThkNDRiNzM2OWNjMmFkYWEzNjc1MWViMTgifQ=="/>
  </w:docVars>
  <w:rsids>
    <w:rsidRoot w:val="00277DEA"/>
    <w:rsid w:val="000407AC"/>
    <w:rsid w:val="00040A78"/>
    <w:rsid w:val="00057816"/>
    <w:rsid w:val="000E13AD"/>
    <w:rsid w:val="0011760F"/>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A058C"/>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174420A"/>
    <w:rsid w:val="01893084"/>
    <w:rsid w:val="02033D08"/>
    <w:rsid w:val="021A6C4F"/>
    <w:rsid w:val="024A0BB7"/>
    <w:rsid w:val="02860CE1"/>
    <w:rsid w:val="02A06DF6"/>
    <w:rsid w:val="03311B51"/>
    <w:rsid w:val="035607B0"/>
    <w:rsid w:val="035A0B08"/>
    <w:rsid w:val="03DD3435"/>
    <w:rsid w:val="045521C0"/>
    <w:rsid w:val="04880F3B"/>
    <w:rsid w:val="04BB1052"/>
    <w:rsid w:val="04C51782"/>
    <w:rsid w:val="05E27A84"/>
    <w:rsid w:val="07023E8A"/>
    <w:rsid w:val="073060B3"/>
    <w:rsid w:val="073F34F8"/>
    <w:rsid w:val="079B25E0"/>
    <w:rsid w:val="08A47722"/>
    <w:rsid w:val="08EE1782"/>
    <w:rsid w:val="091268D2"/>
    <w:rsid w:val="094625ED"/>
    <w:rsid w:val="098C0FAE"/>
    <w:rsid w:val="098E3A7F"/>
    <w:rsid w:val="09ED40D0"/>
    <w:rsid w:val="09EF276F"/>
    <w:rsid w:val="0A1370D9"/>
    <w:rsid w:val="0A430D0D"/>
    <w:rsid w:val="0A783487"/>
    <w:rsid w:val="0A920A74"/>
    <w:rsid w:val="0ACC6B48"/>
    <w:rsid w:val="0B3B4932"/>
    <w:rsid w:val="0B8A5AE2"/>
    <w:rsid w:val="0BA06A0A"/>
    <w:rsid w:val="0C460641"/>
    <w:rsid w:val="0C6A21B9"/>
    <w:rsid w:val="0CDE4AF1"/>
    <w:rsid w:val="0D2F7233"/>
    <w:rsid w:val="0DB0649C"/>
    <w:rsid w:val="0E2234E7"/>
    <w:rsid w:val="0E832759"/>
    <w:rsid w:val="0F895718"/>
    <w:rsid w:val="11731E51"/>
    <w:rsid w:val="119470D6"/>
    <w:rsid w:val="127E0B34"/>
    <w:rsid w:val="12C34E9D"/>
    <w:rsid w:val="137A735A"/>
    <w:rsid w:val="13B24508"/>
    <w:rsid w:val="13B57800"/>
    <w:rsid w:val="141259D8"/>
    <w:rsid w:val="141D7D8E"/>
    <w:rsid w:val="142E658A"/>
    <w:rsid w:val="143F69DA"/>
    <w:rsid w:val="148111FB"/>
    <w:rsid w:val="14B545B5"/>
    <w:rsid w:val="15D60886"/>
    <w:rsid w:val="15ED33A3"/>
    <w:rsid w:val="16722D36"/>
    <w:rsid w:val="16A220B2"/>
    <w:rsid w:val="16AB249D"/>
    <w:rsid w:val="16C32FBA"/>
    <w:rsid w:val="16D84848"/>
    <w:rsid w:val="177C26E2"/>
    <w:rsid w:val="18417A35"/>
    <w:rsid w:val="18421AC0"/>
    <w:rsid w:val="18BB4177"/>
    <w:rsid w:val="19632832"/>
    <w:rsid w:val="198A5283"/>
    <w:rsid w:val="19AD5CBE"/>
    <w:rsid w:val="19BC302E"/>
    <w:rsid w:val="1A33331F"/>
    <w:rsid w:val="1AF847D0"/>
    <w:rsid w:val="1C136BB6"/>
    <w:rsid w:val="1C2C0216"/>
    <w:rsid w:val="1C4B5EA8"/>
    <w:rsid w:val="1D1F02B2"/>
    <w:rsid w:val="1D502DF1"/>
    <w:rsid w:val="1E1554ED"/>
    <w:rsid w:val="1F822F2C"/>
    <w:rsid w:val="1F8452B0"/>
    <w:rsid w:val="207B6E01"/>
    <w:rsid w:val="20BD4367"/>
    <w:rsid w:val="20D64E62"/>
    <w:rsid w:val="2165554F"/>
    <w:rsid w:val="22446C29"/>
    <w:rsid w:val="22622886"/>
    <w:rsid w:val="234663CE"/>
    <w:rsid w:val="23B802A0"/>
    <w:rsid w:val="23C7645A"/>
    <w:rsid w:val="2459752F"/>
    <w:rsid w:val="24961F6E"/>
    <w:rsid w:val="24A25124"/>
    <w:rsid w:val="24A361D8"/>
    <w:rsid w:val="26252182"/>
    <w:rsid w:val="265E174C"/>
    <w:rsid w:val="2686038F"/>
    <w:rsid w:val="26F44BEE"/>
    <w:rsid w:val="27C25EC6"/>
    <w:rsid w:val="27FA7072"/>
    <w:rsid w:val="28C72B2B"/>
    <w:rsid w:val="28CC69A9"/>
    <w:rsid w:val="2912392D"/>
    <w:rsid w:val="29E82667"/>
    <w:rsid w:val="2A241E9E"/>
    <w:rsid w:val="2A875297"/>
    <w:rsid w:val="2B9B3EA4"/>
    <w:rsid w:val="2BCE4483"/>
    <w:rsid w:val="2C874AAF"/>
    <w:rsid w:val="2C8E66A6"/>
    <w:rsid w:val="2CAF5168"/>
    <w:rsid w:val="2CBB47F9"/>
    <w:rsid w:val="2D4A1910"/>
    <w:rsid w:val="2D611888"/>
    <w:rsid w:val="2D731FB6"/>
    <w:rsid w:val="2D9708A4"/>
    <w:rsid w:val="2DED34CC"/>
    <w:rsid w:val="2E9E7841"/>
    <w:rsid w:val="2EFD1D1D"/>
    <w:rsid w:val="2F2851D6"/>
    <w:rsid w:val="2F3A186E"/>
    <w:rsid w:val="2F3B2F8F"/>
    <w:rsid w:val="2F3D1C08"/>
    <w:rsid w:val="2F635E07"/>
    <w:rsid w:val="2FC42E20"/>
    <w:rsid w:val="2FCD67FF"/>
    <w:rsid w:val="2FEC7E93"/>
    <w:rsid w:val="301E6878"/>
    <w:rsid w:val="305D5DD5"/>
    <w:rsid w:val="307849BD"/>
    <w:rsid w:val="30E107B4"/>
    <w:rsid w:val="31114A03"/>
    <w:rsid w:val="31AA5A63"/>
    <w:rsid w:val="32852601"/>
    <w:rsid w:val="332433C5"/>
    <w:rsid w:val="332845FB"/>
    <w:rsid w:val="3376156C"/>
    <w:rsid w:val="348E387D"/>
    <w:rsid w:val="356202E4"/>
    <w:rsid w:val="35A46FAE"/>
    <w:rsid w:val="35EF127D"/>
    <w:rsid w:val="36733CD8"/>
    <w:rsid w:val="37F05781"/>
    <w:rsid w:val="387D7A67"/>
    <w:rsid w:val="391B05DB"/>
    <w:rsid w:val="398960D8"/>
    <w:rsid w:val="3A066436"/>
    <w:rsid w:val="3A1514CF"/>
    <w:rsid w:val="3A2516BB"/>
    <w:rsid w:val="3A7206CF"/>
    <w:rsid w:val="3AC86541"/>
    <w:rsid w:val="3AE10910"/>
    <w:rsid w:val="3AFB4323"/>
    <w:rsid w:val="3B3C635C"/>
    <w:rsid w:val="3B563000"/>
    <w:rsid w:val="3CA202DF"/>
    <w:rsid w:val="3CCB04A6"/>
    <w:rsid w:val="3CD37326"/>
    <w:rsid w:val="3D161479"/>
    <w:rsid w:val="3DDB658B"/>
    <w:rsid w:val="3E5C29CA"/>
    <w:rsid w:val="3EED354E"/>
    <w:rsid w:val="3EF46D14"/>
    <w:rsid w:val="3F173AB4"/>
    <w:rsid w:val="3F7A539C"/>
    <w:rsid w:val="3FA728BD"/>
    <w:rsid w:val="3FB5783A"/>
    <w:rsid w:val="404B0923"/>
    <w:rsid w:val="405857FB"/>
    <w:rsid w:val="408338D7"/>
    <w:rsid w:val="41510996"/>
    <w:rsid w:val="41FC69AE"/>
    <w:rsid w:val="42147451"/>
    <w:rsid w:val="43881670"/>
    <w:rsid w:val="43E82525"/>
    <w:rsid w:val="44A8055A"/>
    <w:rsid w:val="44BA68F8"/>
    <w:rsid w:val="45515C5C"/>
    <w:rsid w:val="45AF30FD"/>
    <w:rsid w:val="460C19D8"/>
    <w:rsid w:val="465B3014"/>
    <w:rsid w:val="46BC2AFB"/>
    <w:rsid w:val="472F5293"/>
    <w:rsid w:val="474E6020"/>
    <w:rsid w:val="47905EE7"/>
    <w:rsid w:val="47B80F48"/>
    <w:rsid w:val="47DB0FE0"/>
    <w:rsid w:val="485A4022"/>
    <w:rsid w:val="4886767F"/>
    <w:rsid w:val="48986B3F"/>
    <w:rsid w:val="49080B7C"/>
    <w:rsid w:val="49814CC4"/>
    <w:rsid w:val="49B66251"/>
    <w:rsid w:val="4A452406"/>
    <w:rsid w:val="4BB93099"/>
    <w:rsid w:val="4C983030"/>
    <w:rsid w:val="4CAC5709"/>
    <w:rsid w:val="4D4C4DB0"/>
    <w:rsid w:val="4D4D2EE2"/>
    <w:rsid w:val="4D927DCE"/>
    <w:rsid w:val="4DEC44F9"/>
    <w:rsid w:val="4E720846"/>
    <w:rsid w:val="4E9609D8"/>
    <w:rsid w:val="4EBA0D9E"/>
    <w:rsid w:val="4F3A75B6"/>
    <w:rsid w:val="4F8A1859"/>
    <w:rsid w:val="4FE958A7"/>
    <w:rsid w:val="502D24E4"/>
    <w:rsid w:val="50F747E5"/>
    <w:rsid w:val="51020F56"/>
    <w:rsid w:val="511E5BAD"/>
    <w:rsid w:val="51BC2AE8"/>
    <w:rsid w:val="51C61D96"/>
    <w:rsid w:val="5251785F"/>
    <w:rsid w:val="528D5C4E"/>
    <w:rsid w:val="52CE5689"/>
    <w:rsid w:val="53181B44"/>
    <w:rsid w:val="53412131"/>
    <w:rsid w:val="53A476F3"/>
    <w:rsid w:val="540B32CF"/>
    <w:rsid w:val="54B80B1D"/>
    <w:rsid w:val="558A3D0F"/>
    <w:rsid w:val="565E6C2C"/>
    <w:rsid w:val="569E5C28"/>
    <w:rsid w:val="57313D11"/>
    <w:rsid w:val="578D69F6"/>
    <w:rsid w:val="57B20AA6"/>
    <w:rsid w:val="57B23D6F"/>
    <w:rsid w:val="57BE1510"/>
    <w:rsid w:val="57DD55F9"/>
    <w:rsid w:val="58136BF6"/>
    <w:rsid w:val="58613E05"/>
    <w:rsid w:val="58984C16"/>
    <w:rsid w:val="5950697A"/>
    <w:rsid w:val="599A4762"/>
    <w:rsid w:val="59CD7278"/>
    <w:rsid w:val="5B5877E2"/>
    <w:rsid w:val="5B8E0A22"/>
    <w:rsid w:val="5BCD3412"/>
    <w:rsid w:val="5BE3458F"/>
    <w:rsid w:val="5D12474B"/>
    <w:rsid w:val="5DD0286D"/>
    <w:rsid w:val="5E005E6E"/>
    <w:rsid w:val="5E2F4302"/>
    <w:rsid w:val="5E8C12D3"/>
    <w:rsid w:val="5EA6784A"/>
    <w:rsid w:val="5EAA7B88"/>
    <w:rsid w:val="5EEA0F2A"/>
    <w:rsid w:val="5F92277B"/>
    <w:rsid w:val="5F925D3F"/>
    <w:rsid w:val="5F9D1CA2"/>
    <w:rsid w:val="5FBE38EB"/>
    <w:rsid w:val="5FD300DB"/>
    <w:rsid w:val="5FE25B93"/>
    <w:rsid w:val="5FF53085"/>
    <w:rsid w:val="608C59E7"/>
    <w:rsid w:val="60F9120D"/>
    <w:rsid w:val="61095D5D"/>
    <w:rsid w:val="61284751"/>
    <w:rsid w:val="61686204"/>
    <w:rsid w:val="619031EF"/>
    <w:rsid w:val="61C422AA"/>
    <w:rsid w:val="62461009"/>
    <w:rsid w:val="642A0711"/>
    <w:rsid w:val="644A3AA8"/>
    <w:rsid w:val="655541D3"/>
    <w:rsid w:val="65594766"/>
    <w:rsid w:val="65A568B8"/>
    <w:rsid w:val="65AE22F3"/>
    <w:rsid w:val="66465782"/>
    <w:rsid w:val="66726AF9"/>
    <w:rsid w:val="66787C50"/>
    <w:rsid w:val="66FD7A53"/>
    <w:rsid w:val="67050051"/>
    <w:rsid w:val="670A4733"/>
    <w:rsid w:val="673D5A3D"/>
    <w:rsid w:val="67DE5EA5"/>
    <w:rsid w:val="684C7E1B"/>
    <w:rsid w:val="6850354E"/>
    <w:rsid w:val="68DF308E"/>
    <w:rsid w:val="69077DF5"/>
    <w:rsid w:val="691015F0"/>
    <w:rsid w:val="69F006B4"/>
    <w:rsid w:val="6A16299D"/>
    <w:rsid w:val="6AA9175D"/>
    <w:rsid w:val="6B8005EE"/>
    <w:rsid w:val="6C0168CA"/>
    <w:rsid w:val="6D0B604A"/>
    <w:rsid w:val="6DAC05BE"/>
    <w:rsid w:val="6EF34A08"/>
    <w:rsid w:val="6F743FC6"/>
    <w:rsid w:val="6F8373FF"/>
    <w:rsid w:val="6FDC1213"/>
    <w:rsid w:val="6FDE7145"/>
    <w:rsid w:val="7023779A"/>
    <w:rsid w:val="7025059A"/>
    <w:rsid w:val="70656D61"/>
    <w:rsid w:val="71B752F6"/>
    <w:rsid w:val="71BF533D"/>
    <w:rsid w:val="71E847F7"/>
    <w:rsid w:val="725809D6"/>
    <w:rsid w:val="726E061C"/>
    <w:rsid w:val="73875405"/>
    <w:rsid w:val="73B74532"/>
    <w:rsid w:val="73C24205"/>
    <w:rsid w:val="74425F26"/>
    <w:rsid w:val="748F3650"/>
    <w:rsid w:val="74CC7CBB"/>
    <w:rsid w:val="75847F67"/>
    <w:rsid w:val="75C15A8B"/>
    <w:rsid w:val="75D51D74"/>
    <w:rsid w:val="76201426"/>
    <w:rsid w:val="76DC7584"/>
    <w:rsid w:val="774E2667"/>
    <w:rsid w:val="780517EC"/>
    <w:rsid w:val="784252EA"/>
    <w:rsid w:val="78866113"/>
    <w:rsid w:val="78EA3B59"/>
    <w:rsid w:val="79004B1D"/>
    <w:rsid w:val="791A1EB8"/>
    <w:rsid w:val="79984D55"/>
    <w:rsid w:val="7AD8717E"/>
    <w:rsid w:val="7B11145D"/>
    <w:rsid w:val="7B360113"/>
    <w:rsid w:val="7C272A20"/>
    <w:rsid w:val="7C8660BD"/>
    <w:rsid w:val="7CA05978"/>
    <w:rsid w:val="7D2B0DAC"/>
    <w:rsid w:val="7D982F9D"/>
    <w:rsid w:val="7DB639FC"/>
    <w:rsid w:val="7EC669AE"/>
    <w:rsid w:val="7EE86560"/>
    <w:rsid w:val="7F09259F"/>
    <w:rsid w:val="7F2B6214"/>
    <w:rsid w:val="7F851177"/>
    <w:rsid w:val="7FBC5227"/>
    <w:rsid w:val="7FEE047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66"/>
    <w:autoRedefine/>
    <w:qFormat/>
    <w:uiPriority w:val="99"/>
    <w:pPr>
      <w:keepNext/>
      <w:keepLines/>
      <w:spacing w:before="340" w:after="330" w:line="360" w:lineRule="auto"/>
      <w:jc w:val="center"/>
      <w:outlineLvl w:val="0"/>
    </w:pPr>
    <w:rPr>
      <w:rFonts w:eastAsia="仿宋"/>
      <w:b/>
      <w:bCs/>
      <w:kern w:val="44"/>
      <w:sz w:val="30"/>
      <w:szCs w:val="44"/>
    </w:rPr>
  </w:style>
  <w:style w:type="paragraph" w:styleId="3">
    <w:name w:val="heading 2"/>
    <w:basedOn w:val="1"/>
    <w:next w:val="1"/>
    <w:link w:val="67"/>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68"/>
    <w:qFormat/>
    <w:uiPriority w:val="99"/>
    <w:pPr>
      <w:keepNext/>
      <w:keepLines/>
      <w:spacing w:before="260" w:after="260" w:line="416" w:lineRule="auto"/>
      <w:outlineLvl w:val="2"/>
    </w:pPr>
    <w:rPr>
      <w:b/>
      <w:bCs/>
      <w:sz w:val="32"/>
      <w:szCs w:val="32"/>
    </w:rPr>
  </w:style>
  <w:style w:type="paragraph" w:styleId="5">
    <w:name w:val="heading 4"/>
    <w:basedOn w:val="1"/>
    <w:next w:val="1"/>
    <w:link w:val="69"/>
    <w:autoRedefine/>
    <w:qFormat/>
    <w:uiPriority w:val="99"/>
    <w:pPr>
      <w:keepNext/>
      <w:keepLines/>
      <w:spacing w:before="280" w:after="290" w:line="372" w:lineRule="auto"/>
      <w:outlineLvl w:val="3"/>
    </w:pPr>
    <w:rPr>
      <w:rFonts w:ascii="Cambria" w:hAnsi="Cambria" w:cs="Cambria"/>
      <w:b/>
      <w:bCs/>
      <w:sz w:val="28"/>
      <w:szCs w:val="28"/>
    </w:rPr>
  </w:style>
  <w:style w:type="paragraph" w:styleId="6">
    <w:name w:val="heading 5"/>
    <w:basedOn w:val="1"/>
    <w:next w:val="1"/>
    <w:link w:val="70"/>
    <w:autoRedefine/>
    <w:qFormat/>
    <w:uiPriority w:val="99"/>
    <w:pPr>
      <w:keepNext/>
      <w:keepLines/>
      <w:spacing w:before="280" w:after="290" w:line="372" w:lineRule="auto"/>
      <w:outlineLvl w:val="4"/>
    </w:pPr>
    <w:rPr>
      <w:rFonts w:ascii="Calibri" w:hAnsi="Calibri" w:cs="Calibri"/>
      <w:b/>
      <w:bCs/>
      <w:sz w:val="28"/>
      <w:szCs w:val="28"/>
    </w:rPr>
  </w:style>
  <w:style w:type="paragraph" w:styleId="7">
    <w:name w:val="heading 6"/>
    <w:basedOn w:val="1"/>
    <w:next w:val="1"/>
    <w:link w:val="71"/>
    <w:autoRedefine/>
    <w:qFormat/>
    <w:uiPriority w:val="99"/>
    <w:pPr>
      <w:keepNext/>
      <w:keepLines/>
      <w:spacing w:before="240" w:after="64" w:line="317" w:lineRule="auto"/>
      <w:outlineLvl w:val="5"/>
    </w:pPr>
    <w:rPr>
      <w:rFonts w:ascii="Cambria" w:hAnsi="Cambria" w:cs="Cambria"/>
      <w:b/>
      <w:bCs/>
      <w:sz w:val="24"/>
      <w:szCs w:val="24"/>
    </w:rPr>
  </w:style>
  <w:style w:type="paragraph" w:styleId="8">
    <w:name w:val="heading 7"/>
    <w:basedOn w:val="1"/>
    <w:next w:val="1"/>
    <w:link w:val="72"/>
    <w:qFormat/>
    <w:uiPriority w:val="99"/>
    <w:pPr>
      <w:keepNext/>
      <w:keepLines/>
      <w:spacing w:before="240" w:after="64" w:line="317" w:lineRule="auto"/>
      <w:outlineLvl w:val="6"/>
    </w:pPr>
    <w:rPr>
      <w:rFonts w:ascii="Calibri" w:hAnsi="Calibri" w:cs="Calibri"/>
      <w:b/>
      <w:bCs/>
      <w:sz w:val="24"/>
      <w:szCs w:val="24"/>
    </w:rPr>
  </w:style>
  <w:style w:type="paragraph" w:styleId="9">
    <w:name w:val="heading 8"/>
    <w:basedOn w:val="1"/>
    <w:next w:val="1"/>
    <w:link w:val="73"/>
    <w:autoRedefine/>
    <w:qFormat/>
    <w:uiPriority w:val="99"/>
    <w:pPr>
      <w:keepNext/>
      <w:keepLines/>
      <w:spacing w:before="240" w:after="64" w:line="317" w:lineRule="auto"/>
      <w:outlineLvl w:val="7"/>
    </w:pPr>
    <w:rPr>
      <w:rFonts w:ascii="Cambria" w:hAnsi="Cambria" w:cs="Cambria"/>
      <w:sz w:val="24"/>
      <w:szCs w:val="24"/>
    </w:rPr>
  </w:style>
  <w:style w:type="paragraph" w:styleId="10">
    <w:name w:val="heading 9"/>
    <w:basedOn w:val="1"/>
    <w:next w:val="1"/>
    <w:link w:val="74"/>
    <w:autoRedefine/>
    <w:qFormat/>
    <w:uiPriority w:val="99"/>
    <w:pPr>
      <w:keepNext/>
      <w:keepLines/>
      <w:spacing w:before="240" w:after="64" w:line="317" w:lineRule="auto"/>
      <w:outlineLvl w:val="8"/>
    </w:pPr>
    <w:rPr>
      <w:rFonts w:ascii="Cambria" w:hAnsi="Cambria" w:cs="Cambria"/>
    </w:rPr>
  </w:style>
  <w:style w:type="character" w:default="1" w:styleId="49">
    <w:name w:val="Default Paragraph Font"/>
    <w:autoRedefine/>
    <w:semiHidden/>
    <w:qFormat/>
    <w:uiPriority w:val="99"/>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rPr>
      <w:rFonts w:ascii="Calibri" w:hAnsi="Calibri" w:cs="Calibri"/>
    </w:rPr>
  </w:style>
  <w:style w:type="paragraph" w:styleId="12">
    <w:name w:val="Normal Indent"/>
    <w:basedOn w:val="1"/>
    <w:next w:val="13"/>
    <w:autoRedefine/>
    <w:qFormat/>
    <w:uiPriority w:val="99"/>
    <w:pPr>
      <w:adjustRightInd w:val="0"/>
      <w:spacing w:line="360" w:lineRule="atLeast"/>
      <w:ind w:firstLine="482"/>
      <w:textAlignment w:val="baseline"/>
    </w:pPr>
    <w:rPr>
      <w:kern w:val="0"/>
      <w:sz w:val="24"/>
      <w:szCs w:val="24"/>
    </w:rPr>
  </w:style>
  <w:style w:type="paragraph" w:styleId="13">
    <w:name w:val="Body Text First Indent 2"/>
    <w:basedOn w:val="14"/>
    <w:next w:val="1"/>
    <w:link w:val="92"/>
    <w:autoRedefine/>
    <w:qFormat/>
    <w:uiPriority w:val="99"/>
    <w:pPr>
      <w:ind w:firstLine="420" w:firstLineChars="200"/>
    </w:pPr>
  </w:style>
  <w:style w:type="paragraph" w:styleId="14">
    <w:name w:val="Body Text Indent"/>
    <w:basedOn w:val="1"/>
    <w:link w:val="79"/>
    <w:autoRedefine/>
    <w:qFormat/>
    <w:uiPriority w:val="99"/>
    <w:pPr>
      <w:spacing w:line="500" w:lineRule="exact"/>
      <w:ind w:firstLine="538"/>
    </w:pPr>
    <w:rPr>
      <w:sz w:val="28"/>
      <w:szCs w:val="28"/>
    </w:rPr>
  </w:style>
  <w:style w:type="paragraph" w:styleId="15">
    <w:name w:val="caption"/>
    <w:basedOn w:val="1"/>
    <w:next w:val="1"/>
    <w:autoRedefine/>
    <w:qFormat/>
    <w:uiPriority w:val="99"/>
    <w:rPr>
      <w:rFonts w:ascii="Cambria" w:hAnsi="Cambria" w:eastAsia="黑体" w:cs="Cambria"/>
      <w:sz w:val="20"/>
      <w:szCs w:val="20"/>
    </w:rPr>
  </w:style>
  <w:style w:type="paragraph" w:styleId="16">
    <w:name w:val="Document Map"/>
    <w:basedOn w:val="1"/>
    <w:link w:val="75"/>
    <w:autoRedefine/>
    <w:semiHidden/>
    <w:qFormat/>
    <w:uiPriority w:val="99"/>
    <w:pPr>
      <w:shd w:val="clear" w:color="auto" w:fill="000080"/>
    </w:pPr>
    <w:rPr>
      <w:kern w:val="0"/>
      <w:sz w:val="20"/>
      <w:szCs w:val="20"/>
      <w:shd w:val="clear" w:color="auto" w:fill="000080"/>
    </w:rPr>
  </w:style>
  <w:style w:type="paragraph" w:styleId="17">
    <w:name w:val="annotation text"/>
    <w:basedOn w:val="1"/>
    <w:link w:val="76"/>
    <w:autoRedefine/>
    <w:semiHidden/>
    <w:qFormat/>
    <w:uiPriority w:val="99"/>
    <w:pPr>
      <w:jc w:val="left"/>
    </w:pPr>
  </w:style>
  <w:style w:type="paragraph" w:styleId="18">
    <w:name w:val="Body Text 3"/>
    <w:basedOn w:val="1"/>
    <w:link w:val="77"/>
    <w:autoRedefine/>
    <w:qFormat/>
    <w:uiPriority w:val="99"/>
    <w:rPr>
      <w:rFonts w:ascii="宋体" w:cs="宋体"/>
      <w:sz w:val="24"/>
      <w:szCs w:val="24"/>
    </w:rPr>
  </w:style>
  <w:style w:type="paragraph" w:styleId="19">
    <w:name w:val="Body Text"/>
    <w:basedOn w:val="1"/>
    <w:next w:val="20"/>
    <w:link w:val="78"/>
    <w:autoRedefine/>
    <w:qFormat/>
    <w:uiPriority w:val="99"/>
    <w:pPr>
      <w:jc w:val="center"/>
    </w:pPr>
    <w:rPr>
      <w:b/>
      <w:bCs/>
      <w:sz w:val="44"/>
      <w:szCs w:val="44"/>
    </w:rPr>
  </w:style>
  <w:style w:type="paragraph" w:customStyle="1" w:styleId="20">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21">
    <w:name w:val="Block Text"/>
    <w:basedOn w:val="1"/>
    <w:autoRedefine/>
    <w:qFormat/>
    <w:uiPriority w:val="99"/>
    <w:pPr>
      <w:spacing w:line="400" w:lineRule="exact"/>
      <w:ind w:left="-359" w:leftChars="-171" w:right="31" w:rightChars="15" w:firstLine="980" w:firstLineChars="350"/>
    </w:pPr>
    <w:rPr>
      <w:rFonts w:ascii="宋体" w:hAnsi="宋体" w:cs="宋体"/>
      <w:sz w:val="28"/>
      <w:szCs w:val="28"/>
    </w:rPr>
  </w:style>
  <w:style w:type="paragraph" w:styleId="22">
    <w:name w:val="index 4"/>
    <w:basedOn w:val="1"/>
    <w:next w:val="1"/>
    <w:autoRedefine/>
    <w:semiHidden/>
    <w:qFormat/>
    <w:uiPriority w:val="99"/>
    <w:pPr>
      <w:ind w:left="600" w:leftChars="600"/>
    </w:pPr>
  </w:style>
  <w:style w:type="paragraph" w:styleId="23">
    <w:name w:val="toc 5"/>
    <w:basedOn w:val="1"/>
    <w:next w:val="1"/>
    <w:autoRedefine/>
    <w:semiHidden/>
    <w:qFormat/>
    <w:uiPriority w:val="99"/>
    <w:pPr>
      <w:tabs>
        <w:tab w:val="right" w:leader="dot" w:pos="8296"/>
      </w:tabs>
      <w:ind w:left="1050" w:leftChars="500"/>
    </w:pPr>
    <w:rPr>
      <w:rFonts w:ascii="Calibri" w:hAnsi="Calibri" w:cs="Calibri"/>
    </w:rPr>
  </w:style>
  <w:style w:type="paragraph" w:styleId="24">
    <w:name w:val="toc 3"/>
    <w:basedOn w:val="1"/>
    <w:next w:val="1"/>
    <w:autoRedefine/>
    <w:semiHidden/>
    <w:qFormat/>
    <w:uiPriority w:val="99"/>
    <w:pPr>
      <w:ind w:left="840" w:leftChars="400"/>
    </w:pPr>
    <w:rPr>
      <w:rFonts w:ascii="Calibri" w:hAnsi="Calibri" w:cs="Calibri"/>
    </w:rPr>
  </w:style>
  <w:style w:type="paragraph" w:styleId="25">
    <w:name w:val="Plain Text"/>
    <w:basedOn w:val="1"/>
    <w:next w:val="1"/>
    <w:link w:val="80"/>
    <w:autoRedefine/>
    <w:qFormat/>
    <w:uiPriority w:val="99"/>
    <w:rPr>
      <w:rFonts w:ascii="宋体" w:hAnsi="Courier New" w:cs="宋体"/>
    </w:rPr>
  </w:style>
  <w:style w:type="paragraph" w:styleId="26">
    <w:name w:val="toc 8"/>
    <w:basedOn w:val="1"/>
    <w:next w:val="1"/>
    <w:autoRedefine/>
    <w:semiHidden/>
    <w:qFormat/>
    <w:uiPriority w:val="99"/>
    <w:pPr>
      <w:ind w:left="2940" w:leftChars="1400"/>
    </w:pPr>
    <w:rPr>
      <w:rFonts w:ascii="Calibri" w:hAnsi="Calibri" w:cs="Calibri"/>
    </w:rPr>
  </w:style>
  <w:style w:type="paragraph" w:styleId="27">
    <w:name w:val="Date"/>
    <w:basedOn w:val="1"/>
    <w:next w:val="1"/>
    <w:link w:val="81"/>
    <w:autoRedefine/>
    <w:qFormat/>
    <w:uiPriority w:val="99"/>
    <w:rPr>
      <w:rFonts w:ascii="仿宋_GB2312" w:eastAsia="仿宋_GB2312" w:cs="仿宋_GB2312"/>
      <w:sz w:val="30"/>
      <w:szCs w:val="30"/>
    </w:rPr>
  </w:style>
  <w:style w:type="paragraph" w:styleId="28">
    <w:name w:val="Body Text Indent 2"/>
    <w:basedOn w:val="1"/>
    <w:link w:val="82"/>
    <w:autoRedefine/>
    <w:qFormat/>
    <w:uiPriority w:val="99"/>
    <w:pPr>
      <w:spacing w:line="360" w:lineRule="exact"/>
      <w:ind w:firstLine="600" w:firstLineChars="250"/>
      <w:jc w:val="left"/>
    </w:pPr>
    <w:rPr>
      <w:sz w:val="24"/>
      <w:szCs w:val="24"/>
    </w:rPr>
  </w:style>
  <w:style w:type="paragraph" w:styleId="29">
    <w:name w:val="Balloon Text"/>
    <w:basedOn w:val="1"/>
    <w:link w:val="83"/>
    <w:autoRedefine/>
    <w:semiHidden/>
    <w:qFormat/>
    <w:uiPriority w:val="99"/>
    <w:rPr>
      <w:sz w:val="18"/>
      <w:szCs w:val="18"/>
    </w:rPr>
  </w:style>
  <w:style w:type="paragraph" w:styleId="30">
    <w:name w:val="footer"/>
    <w:basedOn w:val="1"/>
    <w:link w:val="84"/>
    <w:autoRedefine/>
    <w:qFormat/>
    <w:uiPriority w:val="99"/>
    <w:pPr>
      <w:tabs>
        <w:tab w:val="center" w:pos="4153"/>
        <w:tab w:val="right" w:pos="8306"/>
      </w:tabs>
      <w:snapToGrid w:val="0"/>
      <w:jc w:val="left"/>
    </w:pPr>
    <w:rPr>
      <w:sz w:val="18"/>
      <w:szCs w:val="18"/>
    </w:rPr>
  </w:style>
  <w:style w:type="paragraph" w:styleId="31">
    <w:name w:val="envelope return"/>
    <w:basedOn w:val="1"/>
    <w:next w:val="11"/>
    <w:autoRedefine/>
    <w:qFormat/>
    <w:uiPriority w:val="99"/>
    <w:pPr>
      <w:snapToGrid w:val="0"/>
    </w:pPr>
    <w:rPr>
      <w:rFonts w:ascii="Arial" w:hAnsi="Arial"/>
    </w:rPr>
  </w:style>
  <w:style w:type="paragraph" w:styleId="32">
    <w:name w:val="header"/>
    <w:basedOn w:val="1"/>
    <w:link w:val="85"/>
    <w:autoRedefine/>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semiHidden/>
    <w:qFormat/>
    <w:uiPriority w:val="99"/>
    <w:pPr>
      <w:tabs>
        <w:tab w:val="right" w:leader="dot" w:pos="8296"/>
      </w:tabs>
    </w:pPr>
    <w:rPr>
      <w:rFonts w:ascii="宋体" w:eastAsia="楷体_GB2312" w:cs="宋体"/>
      <w:b/>
      <w:bCs/>
      <w:kern w:val="0"/>
      <w:sz w:val="28"/>
      <w:szCs w:val="28"/>
    </w:rPr>
  </w:style>
  <w:style w:type="paragraph" w:styleId="34">
    <w:name w:val="toc 4"/>
    <w:basedOn w:val="1"/>
    <w:next w:val="1"/>
    <w:autoRedefine/>
    <w:semiHidden/>
    <w:qFormat/>
    <w:uiPriority w:val="99"/>
    <w:pPr>
      <w:tabs>
        <w:tab w:val="left" w:pos="1890"/>
        <w:tab w:val="right" w:leader="dot" w:pos="8296"/>
      </w:tabs>
      <w:ind w:left="630" w:leftChars="300"/>
    </w:pPr>
    <w:rPr>
      <w:rFonts w:ascii="Calibri" w:hAnsi="Calibri" w:cs="Calibri"/>
    </w:rPr>
  </w:style>
  <w:style w:type="paragraph" w:styleId="35">
    <w:name w:val="Subtitle"/>
    <w:basedOn w:val="1"/>
    <w:next w:val="1"/>
    <w:link w:val="86"/>
    <w:autoRedefine/>
    <w:qFormat/>
    <w:uiPriority w:val="99"/>
    <w:pPr>
      <w:spacing w:before="240" w:after="60" w:line="312" w:lineRule="auto"/>
      <w:jc w:val="center"/>
      <w:outlineLvl w:val="1"/>
    </w:pPr>
    <w:rPr>
      <w:rFonts w:ascii="Cambria" w:hAnsi="Cambria" w:cs="Cambria"/>
      <w:b/>
      <w:bCs/>
      <w:kern w:val="28"/>
      <w:sz w:val="32"/>
      <w:szCs w:val="32"/>
    </w:rPr>
  </w:style>
  <w:style w:type="paragraph" w:styleId="36">
    <w:name w:val="footnote text"/>
    <w:basedOn w:val="1"/>
    <w:link w:val="87"/>
    <w:autoRedefine/>
    <w:semiHidden/>
    <w:qFormat/>
    <w:uiPriority w:val="99"/>
    <w:rPr>
      <w:sz w:val="20"/>
      <w:szCs w:val="20"/>
    </w:rPr>
  </w:style>
  <w:style w:type="paragraph" w:styleId="37">
    <w:name w:val="toc 6"/>
    <w:basedOn w:val="1"/>
    <w:next w:val="1"/>
    <w:autoRedefine/>
    <w:semiHidden/>
    <w:qFormat/>
    <w:uiPriority w:val="99"/>
    <w:pPr>
      <w:ind w:left="2100" w:leftChars="1000"/>
    </w:pPr>
    <w:rPr>
      <w:rFonts w:ascii="Calibri" w:hAnsi="Calibri" w:cs="Calibri"/>
    </w:rPr>
  </w:style>
  <w:style w:type="paragraph" w:styleId="38">
    <w:name w:val="Body Text Indent 3"/>
    <w:basedOn w:val="1"/>
    <w:link w:val="88"/>
    <w:autoRedefine/>
    <w:qFormat/>
    <w:uiPriority w:val="99"/>
    <w:pPr>
      <w:spacing w:after="120"/>
      <w:ind w:left="420" w:leftChars="200"/>
    </w:pPr>
    <w:rPr>
      <w:sz w:val="16"/>
      <w:szCs w:val="16"/>
    </w:rPr>
  </w:style>
  <w:style w:type="paragraph" w:styleId="39">
    <w:name w:val="table of figures"/>
    <w:basedOn w:val="1"/>
    <w:next w:val="1"/>
    <w:autoRedefine/>
    <w:semiHidden/>
    <w:qFormat/>
    <w:uiPriority w:val="99"/>
    <w:pPr>
      <w:ind w:left="200" w:leftChars="200" w:hanging="200" w:hangingChars="200"/>
    </w:pPr>
  </w:style>
  <w:style w:type="paragraph" w:styleId="40">
    <w:name w:val="toc 2"/>
    <w:basedOn w:val="1"/>
    <w:next w:val="1"/>
    <w:autoRedefine/>
    <w:semiHidden/>
    <w:qFormat/>
    <w:uiPriority w:val="99"/>
    <w:pPr>
      <w:ind w:left="420" w:leftChars="200"/>
    </w:pPr>
    <w:rPr>
      <w:rFonts w:ascii="宋体" w:cs="宋体"/>
      <w:b/>
      <w:bCs/>
      <w:sz w:val="28"/>
      <w:szCs w:val="28"/>
    </w:rPr>
  </w:style>
  <w:style w:type="paragraph" w:styleId="41">
    <w:name w:val="toc 9"/>
    <w:basedOn w:val="1"/>
    <w:next w:val="1"/>
    <w:autoRedefine/>
    <w:semiHidden/>
    <w:qFormat/>
    <w:uiPriority w:val="99"/>
    <w:pPr>
      <w:ind w:left="3360" w:leftChars="1600"/>
    </w:pPr>
    <w:rPr>
      <w:rFonts w:ascii="Calibri" w:hAnsi="Calibri" w:cs="Calibri"/>
    </w:rPr>
  </w:style>
  <w:style w:type="paragraph" w:styleId="42">
    <w:name w:val="Body Text 2"/>
    <w:basedOn w:val="1"/>
    <w:link w:val="89"/>
    <w:autoRedefine/>
    <w:qFormat/>
    <w:uiPriority w:val="99"/>
    <w:pPr>
      <w:spacing w:line="440" w:lineRule="exact"/>
    </w:pPr>
    <w:rPr>
      <w:sz w:val="28"/>
      <w:szCs w:val="28"/>
    </w:rPr>
  </w:style>
  <w:style w:type="paragraph" w:styleId="43">
    <w:name w:val="Normal (Web)"/>
    <w:basedOn w:val="1"/>
    <w:autoRedefine/>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4">
    <w:name w:val="Title"/>
    <w:basedOn w:val="1"/>
    <w:next w:val="1"/>
    <w:link w:val="90"/>
    <w:autoRedefine/>
    <w:qFormat/>
    <w:uiPriority w:val="99"/>
    <w:pPr>
      <w:spacing w:before="240" w:after="60"/>
      <w:jc w:val="center"/>
      <w:outlineLvl w:val="0"/>
    </w:pPr>
    <w:rPr>
      <w:rFonts w:ascii="Cambria" w:hAnsi="Cambria" w:cs="Cambria"/>
      <w:b/>
      <w:bCs/>
      <w:sz w:val="32"/>
      <w:szCs w:val="32"/>
    </w:rPr>
  </w:style>
  <w:style w:type="paragraph" w:styleId="45">
    <w:name w:val="annotation subject"/>
    <w:basedOn w:val="17"/>
    <w:next w:val="17"/>
    <w:link w:val="91"/>
    <w:autoRedefine/>
    <w:semiHidden/>
    <w:qFormat/>
    <w:uiPriority w:val="99"/>
    <w:rPr>
      <w:rFonts w:ascii="宋体" w:cs="宋体"/>
      <w:b/>
      <w:bCs/>
      <w:kern w:val="0"/>
      <w:sz w:val="28"/>
      <w:szCs w:val="28"/>
    </w:rPr>
  </w:style>
  <w:style w:type="paragraph" w:styleId="46">
    <w:name w:val="Body Text First Indent"/>
    <w:basedOn w:val="19"/>
    <w:autoRedefine/>
    <w:qFormat/>
    <w:locked/>
    <w:uiPriority w:val="0"/>
    <w:pPr>
      <w:adjustRightInd/>
      <w:spacing w:after="120" w:line="240" w:lineRule="auto"/>
      <w:ind w:firstLine="420" w:firstLineChars="100"/>
      <w:jc w:val="both"/>
    </w:pPr>
  </w:style>
  <w:style w:type="table" w:styleId="48">
    <w:name w:val="Table Grid"/>
    <w:basedOn w:val="4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autoRedefine/>
    <w:qFormat/>
    <w:uiPriority w:val="99"/>
    <w:rPr>
      <w:rFonts w:cs="Times New Roman"/>
      <w:b/>
      <w:bCs/>
    </w:rPr>
  </w:style>
  <w:style w:type="character" w:styleId="51">
    <w:name w:val="page number"/>
    <w:basedOn w:val="49"/>
    <w:autoRedefine/>
    <w:qFormat/>
    <w:uiPriority w:val="99"/>
    <w:rPr>
      <w:rFonts w:cs="Times New Roman"/>
    </w:rPr>
  </w:style>
  <w:style w:type="character" w:styleId="52">
    <w:name w:val="FollowedHyperlink"/>
    <w:basedOn w:val="49"/>
    <w:autoRedefine/>
    <w:qFormat/>
    <w:uiPriority w:val="99"/>
    <w:rPr>
      <w:rFonts w:cs="Times New Roman"/>
      <w:color w:val="333333"/>
      <w:u w:val="none"/>
    </w:rPr>
  </w:style>
  <w:style w:type="character" w:styleId="53">
    <w:name w:val="Emphasis"/>
    <w:basedOn w:val="49"/>
    <w:autoRedefine/>
    <w:qFormat/>
    <w:uiPriority w:val="99"/>
    <w:rPr>
      <w:rFonts w:cs="Times New Roman"/>
      <w:color w:val="auto"/>
    </w:rPr>
  </w:style>
  <w:style w:type="character" w:styleId="54">
    <w:name w:val="HTML Definition"/>
    <w:basedOn w:val="49"/>
    <w:autoRedefine/>
    <w:qFormat/>
    <w:uiPriority w:val="99"/>
    <w:rPr>
      <w:rFonts w:cs="Times New Roman"/>
    </w:rPr>
  </w:style>
  <w:style w:type="character" w:styleId="55">
    <w:name w:val="HTML Typewriter"/>
    <w:basedOn w:val="49"/>
    <w:autoRedefine/>
    <w:qFormat/>
    <w:uiPriority w:val="99"/>
    <w:rPr>
      <w:rFonts w:ascii="monospace" w:hAnsi="monospace" w:cs="monospace"/>
      <w:sz w:val="20"/>
    </w:rPr>
  </w:style>
  <w:style w:type="character" w:styleId="56">
    <w:name w:val="HTML Acronym"/>
    <w:basedOn w:val="49"/>
    <w:autoRedefine/>
    <w:qFormat/>
    <w:uiPriority w:val="99"/>
    <w:rPr>
      <w:rFonts w:cs="Times New Roman"/>
    </w:rPr>
  </w:style>
  <w:style w:type="character" w:styleId="57">
    <w:name w:val="HTML Variable"/>
    <w:basedOn w:val="49"/>
    <w:autoRedefine/>
    <w:qFormat/>
    <w:uiPriority w:val="99"/>
    <w:rPr>
      <w:rFonts w:cs="Times New Roman"/>
    </w:rPr>
  </w:style>
  <w:style w:type="character" w:styleId="58">
    <w:name w:val="Hyperlink"/>
    <w:basedOn w:val="49"/>
    <w:autoRedefine/>
    <w:qFormat/>
    <w:uiPriority w:val="99"/>
    <w:rPr>
      <w:rFonts w:cs="Times New Roman"/>
      <w:color w:val="333333"/>
      <w:u w:val="none"/>
    </w:rPr>
  </w:style>
  <w:style w:type="character" w:styleId="59">
    <w:name w:val="HTML Code"/>
    <w:basedOn w:val="49"/>
    <w:autoRedefine/>
    <w:qFormat/>
    <w:uiPriority w:val="99"/>
    <w:rPr>
      <w:rFonts w:ascii="monospace" w:hAnsi="monospace" w:cs="monospace"/>
      <w:sz w:val="20"/>
    </w:rPr>
  </w:style>
  <w:style w:type="character" w:styleId="60">
    <w:name w:val="annotation reference"/>
    <w:basedOn w:val="49"/>
    <w:autoRedefine/>
    <w:semiHidden/>
    <w:qFormat/>
    <w:uiPriority w:val="99"/>
    <w:rPr>
      <w:rFonts w:cs="Times New Roman"/>
      <w:sz w:val="21"/>
      <w:szCs w:val="21"/>
    </w:rPr>
  </w:style>
  <w:style w:type="character" w:styleId="61">
    <w:name w:val="HTML Cite"/>
    <w:basedOn w:val="49"/>
    <w:autoRedefine/>
    <w:qFormat/>
    <w:uiPriority w:val="99"/>
    <w:rPr>
      <w:rFonts w:cs="Times New Roman"/>
    </w:rPr>
  </w:style>
  <w:style w:type="character" w:styleId="62">
    <w:name w:val="footnote reference"/>
    <w:basedOn w:val="49"/>
    <w:autoRedefine/>
    <w:semiHidden/>
    <w:qFormat/>
    <w:uiPriority w:val="99"/>
    <w:rPr>
      <w:rFonts w:cs="Times New Roman"/>
      <w:vertAlign w:val="superscript"/>
    </w:rPr>
  </w:style>
  <w:style w:type="character" w:styleId="63">
    <w:name w:val="HTML Keyboard"/>
    <w:basedOn w:val="49"/>
    <w:autoRedefine/>
    <w:qFormat/>
    <w:uiPriority w:val="99"/>
    <w:rPr>
      <w:rFonts w:ascii="monospace" w:hAnsi="monospace" w:cs="monospace"/>
      <w:sz w:val="20"/>
    </w:rPr>
  </w:style>
  <w:style w:type="character" w:styleId="64">
    <w:name w:val="HTML Sample"/>
    <w:basedOn w:val="49"/>
    <w:autoRedefine/>
    <w:qFormat/>
    <w:uiPriority w:val="99"/>
    <w:rPr>
      <w:rFonts w:ascii="monospace" w:hAnsi="monospace" w:cs="monospace"/>
    </w:rPr>
  </w:style>
  <w:style w:type="paragraph" w:customStyle="1" w:styleId="65">
    <w:name w:val="列出段落1"/>
    <w:basedOn w:val="1"/>
    <w:autoRedefine/>
    <w:qFormat/>
    <w:uiPriority w:val="99"/>
    <w:pPr>
      <w:ind w:firstLine="420" w:firstLineChars="200"/>
    </w:pPr>
    <w:rPr>
      <w:rFonts w:ascii="Calibri" w:hAnsi="Calibri" w:cs="Calibri"/>
    </w:rPr>
  </w:style>
  <w:style w:type="character" w:customStyle="1" w:styleId="66">
    <w:name w:val="Heading 1 Char"/>
    <w:basedOn w:val="49"/>
    <w:link w:val="2"/>
    <w:autoRedefine/>
    <w:qFormat/>
    <w:locked/>
    <w:uiPriority w:val="99"/>
    <w:rPr>
      <w:rFonts w:ascii="Times New Roman" w:hAnsi="Times New Roman" w:eastAsia="仿宋" w:cs="Times New Roman"/>
      <w:b/>
      <w:bCs/>
      <w:kern w:val="44"/>
      <w:sz w:val="44"/>
      <w:szCs w:val="44"/>
      <w:lang w:val="en-US" w:eastAsia="zh-CN"/>
    </w:rPr>
  </w:style>
  <w:style w:type="character" w:customStyle="1" w:styleId="67">
    <w:name w:val="Heading 2 Char"/>
    <w:basedOn w:val="49"/>
    <w:link w:val="3"/>
    <w:autoRedefine/>
    <w:qFormat/>
    <w:locked/>
    <w:uiPriority w:val="99"/>
    <w:rPr>
      <w:rFonts w:ascii="Arial" w:hAnsi="Arial" w:eastAsia="黑体" w:cs="Arial"/>
      <w:b/>
      <w:bCs/>
      <w:kern w:val="2"/>
      <w:sz w:val="32"/>
      <w:szCs w:val="32"/>
      <w:lang w:val="en-US" w:eastAsia="zh-CN"/>
    </w:rPr>
  </w:style>
  <w:style w:type="character" w:customStyle="1" w:styleId="68">
    <w:name w:val="Heading 3 Char"/>
    <w:basedOn w:val="49"/>
    <w:link w:val="4"/>
    <w:autoRedefine/>
    <w:qFormat/>
    <w:locked/>
    <w:uiPriority w:val="99"/>
    <w:rPr>
      <w:rFonts w:eastAsia="宋体" w:cs="Times New Roman"/>
      <w:b/>
      <w:bCs/>
      <w:kern w:val="2"/>
      <w:sz w:val="32"/>
      <w:szCs w:val="32"/>
      <w:lang w:val="en-US" w:eastAsia="zh-CN"/>
    </w:rPr>
  </w:style>
  <w:style w:type="character" w:customStyle="1" w:styleId="69">
    <w:name w:val="Heading 4 Char"/>
    <w:basedOn w:val="49"/>
    <w:link w:val="5"/>
    <w:autoRedefine/>
    <w:qFormat/>
    <w:locked/>
    <w:uiPriority w:val="99"/>
    <w:rPr>
      <w:rFonts w:ascii="Cambria" w:hAnsi="Cambria" w:eastAsia="宋体" w:cs="Cambria"/>
      <w:b/>
      <w:bCs/>
      <w:kern w:val="2"/>
      <w:sz w:val="28"/>
      <w:szCs w:val="28"/>
      <w:lang w:val="en-US" w:eastAsia="zh-CN"/>
    </w:rPr>
  </w:style>
  <w:style w:type="character" w:customStyle="1" w:styleId="70">
    <w:name w:val="Heading 5 Char"/>
    <w:basedOn w:val="49"/>
    <w:link w:val="6"/>
    <w:autoRedefine/>
    <w:qFormat/>
    <w:locked/>
    <w:uiPriority w:val="99"/>
    <w:rPr>
      <w:rFonts w:ascii="Calibri" w:hAnsi="Calibri" w:eastAsia="宋体" w:cs="Calibri"/>
      <w:b/>
      <w:bCs/>
      <w:kern w:val="2"/>
      <w:sz w:val="28"/>
      <w:szCs w:val="28"/>
      <w:lang w:val="en-US" w:eastAsia="zh-CN"/>
    </w:rPr>
  </w:style>
  <w:style w:type="character" w:customStyle="1" w:styleId="71">
    <w:name w:val="Heading 6 Char"/>
    <w:basedOn w:val="49"/>
    <w:link w:val="7"/>
    <w:autoRedefine/>
    <w:qFormat/>
    <w:locked/>
    <w:uiPriority w:val="99"/>
    <w:rPr>
      <w:rFonts w:ascii="Cambria" w:hAnsi="Cambria" w:eastAsia="宋体" w:cs="Cambria"/>
      <w:b/>
      <w:bCs/>
      <w:kern w:val="2"/>
      <w:sz w:val="24"/>
      <w:szCs w:val="24"/>
      <w:lang w:val="en-US" w:eastAsia="zh-CN"/>
    </w:rPr>
  </w:style>
  <w:style w:type="character" w:customStyle="1" w:styleId="72">
    <w:name w:val="Heading 7 Char"/>
    <w:basedOn w:val="49"/>
    <w:link w:val="8"/>
    <w:autoRedefine/>
    <w:qFormat/>
    <w:locked/>
    <w:uiPriority w:val="99"/>
    <w:rPr>
      <w:rFonts w:ascii="Calibri" w:hAnsi="Calibri" w:eastAsia="宋体" w:cs="Calibri"/>
      <w:b/>
      <w:bCs/>
      <w:kern w:val="2"/>
      <w:sz w:val="24"/>
      <w:szCs w:val="24"/>
      <w:lang w:val="en-US" w:eastAsia="zh-CN"/>
    </w:rPr>
  </w:style>
  <w:style w:type="character" w:customStyle="1" w:styleId="73">
    <w:name w:val="Heading 8 Char"/>
    <w:basedOn w:val="49"/>
    <w:link w:val="9"/>
    <w:autoRedefine/>
    <w:qFormat/>
    <w:locked/>
    <w:uiPriority w:val="99"/>
    <w:rPr>
      <w:rFonts w:ascii="Cambria" w:hAnsi="Cambria" w:eastAsia="宋体" w:cs="Cambria"/>
      <w:kern w:val="2"/>
      <w:sz w:val="24"/>
      <w:szCs w:val="24"/>
      <w:lang w:val="en-US" w:eastAsia="zh-CN"/>
    </w:rPr>
  </w:style>
  <w:style w:type="character" w:customStyle="1" w:styleId="74">
    <w:name w:val="Heading 9 Char"/>
    <w:basedOn w:val="49"/>
    <w:link w:val="10"/>
    <w:autoRedefine/>
    <w:qFormat/>
    <w:locked/>
    <w:uiPriority w:val="99"/>
    <w:rPr>
      <w:rFonts w:ascii="Cambria" w:hAnsi="Cambria" w:eastAsia="宋体" w:cs="Cambria"/>
      <w:kern w:val="2"/>
      <w:sz w:val="21"/>
      <w:szCs w:val="21"/>
      <w:lang w:val="en-US" w:eastAsia="zh-CN"/>
    </w:rPr>
  </w:style>
  <w:style w:type="character" w:customStyle="1" w:styleId="75">
    <w:name w:val="Document Map Char"/>
    <w:basedOn w:val="49"/>
    <w:link w:val="16"/>
    <w:autoRedefine/>
    <w:qFormat/>
    <w:locked/>
    <w:uiPriority w:val="99"/>
    <w:rPr>
      <w:rFonts w:cs="Times New Roman"/>
      <w:sz w:val="24"/>
      <w:szCs w:val="24"/>
      <w:shd w:val="clear" w:color="auto" w:fill="000080"/>
    </w:rPr>
  </w:style>
  <w:style w:type="character" w:customStyle="1" w:styleId="76">
    <w:name w:val="Comment Text Char"/>
    <w:basedOn w:val="49"/>
    <w:link w:val="17"/>
    <w:autoRedefine/>
    <w:qFormat/>
    <w:locked/>
    <w:uiPriority w:val="99"/>
    <w:rPr>
      <w:rFonts w:cs="Times New Roman"/>
      <w:kern w:val="2"/>
      <w:sz w:val="22"/>
      <w:szCs w:val="22"/>
    </w:rPr>
  </w:style>
  <w:style w:type="character" w:customStyle="1" w:styleId="77">
    <w:name w:val="Body Text 3 Char"/>
    <w:basedOn w:val="49"/>
    <w:link w:val="18"/>
    <w:autoRedefine/>
    <w:semiHidden/>
    <w:qFormat/>
    <w:locked/>
    <w:uiPriority w:val="99"/>
    <w:rPr>
      <w:rFonts w:cs="Times New Roman"/>
      <w:sz w:val="16"/>
      <w:szCs w:val="16"/>
    </w:rPr>
  </w:style>
  <w:style w:type="character" w:customStyle="1" w:styleId="78">
    <w:name w:val="Body Text Char"/>
    <w:basedOn w:val="49"/>
    <w:link w:val="19"/>
    <w:autoRedefine/>
    <w:qFormat/>
    <w:locked/>
    <w:uiPriority w:val="99"/>
    <w:rPr>
      <w:rFonts w:eastAsia="宋体" w:cs="Times New Roman"/>
      <w:b/>
      <w:bCs/>
      <w:kern w:val="2"/>
      <w:sz w:val="44"/>
      <w:szCs w:val="44"/>
      <w:lang w:val="en-US" w:eastAsia="zh-CN"/>
    </w:rPr>
  </w:style>
  <w:style w:type="character" w:customStyle="1" w:styleId="79">
    <w:name w:val="Body Text Indent Char"/>
    <w:basedOn w:val="49"/>
    <w:link w:val="14"/>
    <w:autoRedefine/>
    <w:semiHidden/>
    <w:qFormat/>
    <w:locked/>
    <w:uiPriority w:val="99"/>
    <w:rPr>
      <w:rFonts w:cs="Times New Roman"/>
      <w:sz w:val="21"/>
      <w:szCs w:val="21"/>
    </w:rPr>
  </w:style>
  <w:style w:type="character" w:customStyle="1" w:styleId="80">
    <w:name w:val="Plain Text Char"/>
    <w:basedOn w:val="49"/>
    <w:link w:val="25"/>
    <w:autoRedefine/>
    <w:semiHidden/>
    <w:qFormat/>
    <w:locked/>
    <w:uiPriority w:val="99"/>
    <w:rPr>
      <w:rFonts w:ascii="宋体" w:hAnsi="Courier New" w:cs="Courier New"/>
      <w:sz w:val="21"/>
      <w:szCs w:val="21"/>
    </w:rPr>
  </w:style>
  <w:style w:type="character" w:customStyle="1" w:styleId="81">
    <w:name w:val="Date Char"/>
    <w:basedOn w:val="49"/>
    <w:link w:val="27"/>
    <w:autoRedefine/>
    <w:qFormat/>
    <w:locked/>
    <w:uiPriority w:val="99"/>
    <w:rPr>
      <w:rFonts w:ascii="仿宋_GB2312" w:eastAsia="仿宋_GB2312" w:cs="仿宋_GB2312"/>
      <w:kern w:val="2"/>
      <w:sz w:val="30"/>
      <w:szCs w:val="30"/>
      <w:lang w:val="en-US" w:eastAsia="zh-CN"/>
    </w:rPr>
  </w:style>
  <w:style w:type="character" w:customStyle="1" w:styleId="82">
    <w:name w:val="Body Text Indent 2 Char"/>
    <w:basedOn w:val="49"/>
    <w:link w:val="28"/>
    <w:autoRedefine/>
    <w:semiHidden/>
    <w:qFormat/>
    <w:locked/>
    <w:uiPriority w:val="99"/>
    <w:rPr>
      <w:rFonts w:cs="Times New Roman"/>
      <w:sz w:val="21"/>
      <w:szCs w:val="21"/>
    </w:rPr>
  </w:style>
  <w:style w:type="character" w:customStyle="1" w:styleId="83">
    <w:name w:val="Balloon Text Char"/>
    <w:basedOn w:val="49"/>
    <w:link w:val="29"/>
    <w:autoRedefine/>
    <w:semiHidden/>
    <w:qFormat/>
    <w:locked/>
    <w:uiPriority w:val="99"/>
    <w:rPr>
      <w:rFonts w:cs="Times New Roman"/>
      <w:sz w:val="2"/>
    </w:rPr>
  </w:style>
  <w:style w:type="character" w:customStyle="1" w:styleId="84">
    <w:name w:val="Footer Char"/>
    <w:basedOn w:val="49"/>
    <w:link w:val="30"/>
    <w:autoRedefine/>
    <w:qFormat/>
    <w:locked/>
    <w:uiPriority w:val="99"/>
    <w:rPr>
      <w:rFonts w:eastAsia="宋体" w:cs="Times New Roman"/>
      <w:kern w:val="2"/>
      <w:sz w:val="18"/>
      <w:szCs w:val="18"/>
      <w:lang w:val="en-US" w:eastAsia="zh-CN"/>
    </w:rPr>
  </w:style>
  <w:style w:type="character" w:customStyle="1" w:styleId="85">
    <w:name w:val="Header Char"/>
    <w:basedOn w:val="49"/>
    <w:link w:val="32"/>
    <w:autoRedefine/>
    <w:qFormat/>
    <w:locked/>
    <w:uiPriority w:val="99"/>
    <w:rPr>
      <w:rFonts w:eastAsia="宋体" w:cs="Times New Roman"/>
      <w:kern w:val="2"/>
      <w:sz w:val="18"/>
      <w:szCs w:val="18"/>
      <w:lang w:val="en-US" w:eastAsia="zh-CN"/>
    </w:rPr>
  </w:style>
  <w:style w:type="character" w:customStyle="1" w:styleId="86">
    <w:name w:val="Subtitle Char"/>
    <w:basedOn w:val="49"/>
    <w:link w:val="35"/>
    <w:autoRedefine/>
    <w:qFormat/>
    <w:locked/>
    <w:uiPriority w:val="99"/>
    <w:rPr>
      <w:rFonts w:ascii="Cambria" w:hAnsi="Cambria" w:cs="Cambria"/>
      <w:b/>
      <w:bCs/>
      <w:kern w:val="28"/>
      <w:sz w:val="32"/>
      <w:szCs w:val="32"/>
    </w:rPr>
  </w:style>
  <w:style w:type="character" w:customStyle="1" w:styleId="87">
    <w:name w:val="Footnote Text Char"/>
    <w:basedOn w:val="49"/>
    <w:link w:val="36"/>
    <w:autoRedefine/>
    <w:semiHidden/>
    <w:qFormat/>
    <w:locked/>
    <w:uiPriority w:val="99"/>
    <w:rPr>
      <w:rFonts w:cs="Times New Roman"/>
      <w:sz w:val="18"/>
      <w:szCs w:val="18"/>
    </w:rPr>
  </w:style>
  <w:style w:type="character" w:customStyle="1" w:styleId="88">
    <w:name w:val="Body Text Indent 3 Char"/>
    <w:basedOn w:val="49"/>
    <w:link w:val="38"/>
    <w:autoRedefine/>
    <w:semiHidden/>
    <w:qFormat/>
    <w:locked/>
    <w:uiPriority w:val="99"/>
    <w:rPr>
      <w:rFonts w:cs="Times New Roman"/>
      <w:sz w:val="16"/>
      <w:szCs w:val="16"/>
    </w:rPr>
  </w:style>
  <w:style w:type="character" w:customStyle="1" w:styleId="89">
    <w:name w:val="Body Text 2 Char"/>
    <w:basedOn w:val="49"/>
    <w:link w:val="42"/>
    <w:autoRedefine/>
    <w:semiHidden/>
    <w:qFormat/>
    <w:locked/>
    <w:uiPriority w:val="99"/>
    <w:rPr>
      <w:rFonts w:cs="Times New Roman"/>
      <w:sz w:val="21"/>
      <w:szCs w:val="21"/>
    </w:rPr>
  </w:style>
  <w:style w:type="character" w:customStyle="1" w:styleId="90">
    <w:name w:val="Title Char"/>
    <w:basedOn w:val="49"/>
    <w:link w:val="44"/>
    <w:autoRedefine/>
    <w:qFormat/>
    <w:locked/>
    <w:uiPriority w:val="99"/>
    <w:rPr>
      <w:rFonts w:ascii="Cambria" w:hAnsi="Cambria" w:cs="Cambria"/>
      <w:b/>
      <w:bCs/>
      <w:kern w:val="2"/>
      <w:sz w:val="32"/>
      <w:szCs w:val="32"/>
    </w:rPr>
  </w:style>
  <w:style w:type="character" w:customStyle="1" w:styleId="91">
    <w:name w:val="Comment Subject Char"/>
    <w:basedOn w:val="76"/>
    <w:link w:val="45"/>
    <w:autoRedefine/>
    <w:qFormat/>
    <w:locked/>
    <w:uiPriority w:val="99"/>
    <w:rPr>
      <w:rFonts w:ascii="宋体" w:cs="宋体"/>
      <w:b/>
      <w:bCs/>
      <w:sz w:val="28"/>
      <w:szCs w:val="28"/>
    </w:rPr>
  </w:style>
  <w:style w:type="character" w:customStyle="1" w:styleId="92">
    <w:name w:val="Body Text First Indent 2 Char"/>
    <w:basedOn w:val="79"/>
    <w:link w:val="13"/>
    <w:autoRedefine/>
    <w:semiHidden/>
    <w:qFormat/>
    <w:locked/>
    <w:uiPriority w:val="99"/>
  </w:style>
  <w:style w:type="character" w:customStyle="1" w:styleId="93">
    <w:name w:val="批注文字 Char Char"/>
    <w:autoRedefine/>
    <w:qFormat/>
    <w:uiPriority w:val="99"/>
    <w:rPr>
      <w:rFonts w:ascii="宋体" w:hAnsi="Times New Roman" w:eastAsia="宋体"/>
      <w:sz w:val="20"/>
    </w:rPr>
  </w:style>
  <w:style w:type="character" w:customStyle="1" w:styleId="94">
    <w:name w:val="标题 1 Char Char"/>
    <w:autoRedefine/>
    <w:qFormat/>
    <w:locked/>
    <w:uiPriority w:val="99"/>
    <w:rPr>
      <w:rFonts w:eastAsia="宋体"/>
      <w:b/>
      <w:kern w:val="44"/>
      <w:sz w:val="44"/>
      <w:lang w:val="en-US" w:eastAsia="zh-CN"/>
    </w:rPr>
  </w:style>
  <w:style w:type="character" w:customStyle="1" w:styleId="95">
    <w:name w:val="Char Char"/>
    <w:autoRedefine/>
    <w:qFormat/>
    <w:uiPriority w:val="99"/>
    <w:rPr>
      <w:rFonts w:ascii="Arial" w:hAnsi="Arial" w:eastAsia="黑体"/>
      <w:b/>
      <w:kern w:val="2"/>
      <w:sz w:val="32"/>
      <w:lang w:val="en-US" w:eastAsia="zh-CN"/>
    </w:rPr>
  </w:style>
  <w:style w:type="character" w:customStyle="1" w:styleId="96">
    <w:name w:val="明显参考1"/>
    <w:autoRedefine/>
    <w:qFormat/>
    <w:uiPriority w:val="99"/>
    <w:rPr>
      <w:b/>
      <w:smallCaps/>
      <w:color w:val="auto"/>
      <w:spacing w:val="5"/>
      <w:u w:val="single"/>
    </w:rPr>
  </w:style>
  <w:style w:type="character" w:customStyle="1" w:styleId="97">
    <w:name w:val="明显强调1"/>
    <w:autoRedefine/>
    <w:qFormat/>
    <w:uiPriority w:val="99"/>
    <w:rPr>
      <w:b/>
      <w:i/>
      <w:color w:val="4F81BD"/>
    </w:rPr>
  </w:style>
  <w:style w:type="character" w:customStyle="1" w:styleId="98">
    <w:name w:val="文档结构图 Char1"/>
    <w:autoRedefine/>
    <w:qFormat/>
    <w:uiPriority w:val="99"/>
    <w:rPr>
      <w:rFonts w:ascii="宋体"/>
      <w:kern w:val="2"/>
      <w:sz w:val="18"/>
    </w:rPr>
  </w:style>
  <w:style w:type="character" w:customStyle="1" w:styleId="99">
    <w:name w:val="日期 Char"/>
    <w:autoRedefine/>
    <w:qFormat/>
    <w:uiPriority w:val="99"/>
    <w:rPr>
      <w:rFonts w:ascii="仿宋_GB2312" w:eastAsia="仿宋_GB2312"/>
      <w:kern w:val="2"/>
      <w:sz w:val="30"/>
      <w:lang w:val="en-US" w:eastAsia="zh-CN"/>
    </w:rPr>
  </w:style>
  <w:style w:type="character" w:customStyle="1" w:styleId="100">
    <w:name w:val="textcontents"/>
    <w:autoRedefine/>
    <w:qFormat/>
    <w:uiPriority w:val="99"/>
  </w:style>
  <w:style w:type="character" w:customStyle="1" w:styleId="101">
    <w:name w:val="引用 Char"/>
    <w:link w:val="102"/>
    <w:autoRedefine/>
    <w:qFormat/>
    <w:locked/>
    <w:uiPriority w:val="99"/>
    <w:rPr>
      <w:i/>
      <w:color w:val="000000"/>
      <w:kern w:val="2"/>
      <w:sz w:val="22"/>
    </w:rPr>
  </w:style>
  <w:style w:type="paragraph" w:customStyle="1" w:styleId="102">
    <w:name w:val="引用1"/>
    <w:basedOn w:val="1"/>
    <w:next w:val="1"/>
    <w:link w:val="101"/>
    <w:autoRedefine/>
    <w:qFormat/>
    <w:uiPriority w:val="99"/>
    <w:rPr>
      <w:i/>
      <w:color w:val="000000"/>
      <w:sz w:val="22"/>
      <w:szCs w:val="20"/>
    </w:rPr>
  </w:style>
  <w:style w:type="character" w:customStyle="1" w:styleId="103">
    <w:name w:val="日期 Char1"/>
    <w:autoRedefine/>
    <w:qFormat/>
    <w:uiPriority w:val="99"/>
    <w:rPr>
      <w:kern w:val="2"/>
      <w:sz w:val="22"/>
    </w:rPr>
  </w:style>
  <w:style w:type="character" w:customStyle="1" w:styleId="104">
    <w:name w:val="不明显参考1"/>
    <w:autoRedefine/>
    <w:qFormat/>
    <w:uiPriority w:val="99"/>
    <w:rPr>
      <w:smallCaps/>
      <w:color w:val="auto"/>
      <w:u w:val="single"/>
    </w:rPr>
  </w:style>
  <w:style w:type="character" w:customStyle="1" w:styleId="105">
    <w:name w:val="批注框文本 Char1"/>
    <w:autoRedefine/>
    <w:qFormat/>
    <w:uiPriority w:val="99"/>
    <w:rPr>
      <w:kern w:val="2"/>
      <w:sz w:val="18"/>
    </w:rPr>
  </w:style>
  <w:style w:type="character" w:customStyle="1" w:styleId="106">
    <w:name w:val="不明显强调1"/>
    <w:autoRedefine/>
    <w:qFormat/>
    <w:uiPriority w:val="99"/>
    <w:rPr>
      <w:i/>
      <w:color w:val="808080"/>
    </w:rPr>
  </w:style>
  <w:style w:type="character" w:customStyle="1" w:styleId="107">
    <w:name w:val="标题4 Char Char"/>
    <w:link w:val="108"/>
    <w:autoRedefine/>
    <w:qFormat/>
    <w:locked/>
    <w:uiPriority w:val="99"/>
    <w:rPr>
      <w:rFonts w:ascii="Arial" w:hAnsi="Arial"/>
      <w:b/>
      <w:sz w:val="32"/>
    </w:rPr>
  </w:style>
  <w:style w:type="paragraph" w:customStyle="1" w:styleId="108">
    <w:name w:val="标题4"/>
    <w:basedOn w:val="3"/>
    <w:next w:val="22"/>
    <w:link w:val="107"/>
    <w:autoRedefine/>
    <w:qFormat/>
    <w:uiPriority w:val="99"/>
    <w:pPr>
      <w:spacing w:line="413" w:lineRule="auto"/>
    </w:pPr>
    <w:rPr>
      <w:rFonts w:eastAsia="宋体" w:cs="Times New Roman"/>
      <w:bCs w:val="0"/>
      <w:kern w:val="0"/>
      <w:szCs w:val="20"/>
    </w:rPr>
  </w:style>
  <w:style w:type="character" w:customStyle="1" w:styleId="109">
    <w:name w:val="书籍标题1"/>
    <w:autoRedefine/>
    <w:qFormat/>
    <w:uiPriority w:val="99"/>
    <w:rPr>
      <w:b/>
      <w:smallCaps/>
      <w:spacing w:val="5"/>
    </w:rPr>
  </w:style>
  <w:style w:type="character" w:customStyle="1" w:styleId="110">
    <w:name w:val="bigfont"/>
    <w:basedOn w:val="49"/>
    <w:autoRedefine/>
    <w:qFormat/>
    <w:uiPriority w:val="99"/>
    <w:rPr>
      <w:rFonts w:cs="Times New Roman"/>
    </w:rPr>
  </w:style>
  <w:style w:type="character" w:customStyle="1" w:styleId="111">
    <w:name w:val="news_title1"/>
    <w:autoRedefine/>
    <w:qFormat/>
    <w:uiPriority w:val="99"/>
    <w:rPr>
      <w:rFonts w:ascii="宋体" w:hAnsi="宋体" w:eastAsia="宋体"/>
      <w:b/>
      <w:color w:val="000000"/>
      <w:sz w:val="36"/>
      <w:u w:val="none"/>
    </w:rPr>
  </w:style>
  <w:style w:type="character" w:customStyle="1" w:styleId="112">
    <w:name w:val="标题5 Char Char"/>
    <w:link w:val="113"/>
    <w:autoRedefine/>
    <w:qFormat/>
    <w:locked/>
    <w:uiPriority w:val="99"/>
    <w:rPr>
      <w:rFonts w:ascii="Arial" w:hAnsi="Arial"/>
      <w:b/>
      <w:sz w:val="32"/>
    </w:rPr>
  </w:style>
  <w:style w:type="paragraph" w:customStyle="1" w:styleId="113">
    <w:name w:val="标题5"/>
    <w:basedOn w:val="4"/>
    <w:link w:val="112"/>
    <w:autoRedefine/>
    <w:qFormat/>
    <w:uiPriority w:val="99"/>
    <w:pPr>
      <w:spacing w:line="413" w:lineRule="auto"/>
    </w:pPr>
    <w:rPr>
      <w:rFonts w:ascii="Arial" w:hAnsi="Arial"/>
      <w:bCs w:val="0"/>
      <w:kern w:val="0"/>
      <w:szCs w:val="20"/>
    </w:rPr>
  </w:style>
  <w:style w:type="character" w:customStyle="1" w:styleId="114">
    <w:name w:val="font161"/>
    <w:autoRedefine/>
    <w:qFormat/>
    <w:uiPriority w:val="99"/>
    <w:rPr>
      <w:b/>
      <w:sz w:val="32"/>
    </w:rPr>
  </w:style>
  <w:style w:type="character" w:customStyle="1" w:styleId="115">
    <w:name w:val="标题 2 Char Char"/>
    <w:autoRedefine/>
    <w:qFormat/>
    <w:locked/>
    <w:uiPriority w:val="99"/>
    <w:rPr>
      <w:rFonts w:ascii="Arial" w:hAnsi="Arial" w:eastAsia="黑体"/>
      <w:b/>
      <w:kern w:val="2"/>
      <w:sz w:val="32"/>
      <w:lang w:val="en-US" w:eastAsia="zh-CN"/>
    </w:rPr>
  </w:style>
  <w:style w:type="character" w:customStyle="1" w:styleId="116">
    <w:name w:val="Char Char1"/>
    <w:autoRedefine/>
    <w:qFormat/>
    <w:uiPriority w:val="99"/>
    <w:rPr>
      <w:rFonts w:ascii="宋体" w:hAnsi="Times New Roman"/>
      <w:sz w:val="28"/>
    </w:rPr>
  </w:style>
  <w:style w:type="character" w:customStyle="1" w:styleId="117">
    <w:name w:val="明显引用 Char"/>
    <w:link w:val="118"/>
    <w:autoRedefine/>
    <w:qFormat/>
    <w:locked/>
    <w:uiPriority w:val="99"/>
    <w:rPr>
      <w:b/>
      <w:i/>
      <w:color w:val="4F81BD"/>
      <w:kern w:val="2"/>
      <w:sz w:val="22"/>
    </w:rPr>
  </w:style>
  <w:style w:type="paragraph" w:customStyle="1" w:styleId="118">
    <w:name w:val="明显引用1"/>
    <w:basedOn w:val="1"/>
    <w:next w:val="1"/>
    <w:link w:val="117"/>
    <w:autoRedefine/>
    <w:qFormat/>
    <w:uiPriority w:val="99"/>
    <w:pPr>
      <w:pBdr>
        <w:bottom w:val="single" w:color="4F81BD" w:sz="4" w:space="4"/>
      </w:pBdr>
      <w:spacing w:before="200" w:after="280"/>
      <w:ind w:left="936" w:right="936"/>
    </w:pPr>
    <w:rPr>
      <w:b/>
      <w:i/>
      <w:color w:val="4F81BD"/>
      <w:sz w:val="22"/>
      <w:szCs w:val="20"/>
    </w:rPr>
  </w:style>
  <w:style w:type="character" w:customStyle="1" w:styleId="119">
    <w:name w:val="批注主题 Char1"/>
    <w:autoRedefine/>
    <w:qFormat/>
    <w:uiPriority w:val="99"/>
    <w:rPr>
      <w:b/>
      <w:kern w:val="2"/>
      <w:sz w:val="22"/>
    </w:rPr>
  </w:style>
  <w:style w:type="character" w:customStyle="1" w:styleId="120">
    <w:name w:val="正文文本 Char1"/>
    <w:autoRedefine/>
    <w:qFormat/>
    <w:uiPriority w:val="99"/>
    <w:rPr>
      <w:kern w:val="2"/>
      <w:sz w:val="22"/>
    </w:rPr>
  </w:style>
  <w:style w:type="paragraph" w:customStyle="1" w:styleId="121">
    <w:name w:val="默认段落字体 Para Char Char Char Char"/>
    <w:basedOn w:val="1"/>
    <w:autoRedefine/>
    <w:qFormat/>
    <w:uiPriority w:val="99"/>
  </w:style>
  <w:style w:type="paragraph" w:customStyle="1" w:styleId="122">
    <w:name w:val="Char Char Char Char Char Char Char Char Char Char Char Char Char"/>
    <w:basedOn w:val="1"/>
    <w:autoRedefine/>
    <w:qFormat/>
    <w:uiPriority w:val="99"/>
  </w:style>
  <w:style w:type="paragraph" w:customStyle="1" w:styleId="123">
    <w:name w:val="样式 标题 3 + (中文) 黑体 小四 非加粗 段前: 7.8 磅 段后: 0 磅 行距: 固定值 20 磅"/>
    <w:basedOn w:val="4"/>
    <w:autoRedefine/>
    <w:qFormat/>
    <w:uiPriority w:val="99"/>
    <w:pPr>
      <w:spacing w:before="0" w:after="0" w:line="400" w:lineRule="exact"/>
    </w:pPr>
    <w:rPr>
      <w:rFonts w:eastAsia="黑体"/>
      <w:b w:val="0"/>
      <w:bCs w:val="0"/>
      <w:sz w:val="24"/>
      <w:szCs w:val="24"/>
    </w:rPr>
  </w:style>
  <w:style w:type="paragraph" w:customStyle="1" w:styleId="124">
    <w:name w:val="表格文字"/>
    <w:basedOn w:val="1"/>
    <w:autoRedefine/>
    <w:qFormat/>
    <w:uiPriority w:val="99"/>
    <w:pPr>
      <w:adjustRightInd w:val="0"/>
      <w:spacing w:line="420" w:lineRule="atLeast"/>
      <w:jc w:val="left"/>
      <w:textAlignment w:val="baseline"/>
    </w:pPr>
    <w:rPr>
      <w:kern w:val="0"/>
    </w:rPr>
  </w:style>
  <w:style w:type="paragraph" w:customStyle="1" w:styleId="125">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126">
    <w:name w:val="Char"/>
    <w:basedOn w:val="1"/>
    <w:next w:val="1"/>
    <w:autoRedefine/>
    <w:qFormat/>
    <w:uiPriority w:val="99"/>
    <w:pPr>
      <w:widowControl/>
      <w:spacing w:line="360" w:lineRule="auto"/>
      <w:jc w:val="left"/>
    </w:pPr>
    <w:rPr>
      <w:kern w:val="0"/>
      <w:lang w:eastAsia="en-US"/>
    </w:rPr>
  </w:style>
  <w:style w:type="paragraph" w:customStyle="1" w:styleId="127">
    <w:name w:val="样式2"/>
    <w:basedOn w:val="4"/>
    <w:autoRedefine/>
    <w:qFormat/>
    <w:uiPriority w:val="99"/>
    <w:pPr>
      <w:spacing w:line="413" w:lineRule="auto"/>
    </w:pPr>
  </w:style>
  <w:style w:type="paragraph" w:customStyle="1" w:styleId="128">
    <w:name w:val="6'"/>
    <w:basedOn w:val="1"/>
    <w:autoRedefine/>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9">
    <w:name w:val="表格"/>
    <w:basedOn w:val="1"/>
    <w:autoRedefine/>
    <w:qFormat/>
    <w:uiPriority w:val="99"/>
    <w:pPr>
      <w:jc w:val="center"/>
      <w:textAlignment w:val="center"/>
    </w:pPr>
    <w:rPr>
      <w:rFonts w:ascii="华文细黑" w:hAnsi="华文细黑" w:cs="华文细黑"/>
      <w:kern w:val="0"/>
    </w:rPr>
  </w:style>
  <w:style w:type="paragraph" w:customStyle="1" w:styleId="130">
    <w:name w:val="Blockquote"/>
    <w:basedOn w:val="1"/>
    <w:autoRedefine/>
    <w:qFormat/>
    <w:uiPriority w:val="99"/>
    <w:pPr>
      <w:autoSpaceDE w:val="0"/>
      <w:autoSpaceDN w:val="0"/>
      <w:adjustRightInd w:val="0"/>
      <w:spacing w:before="100" w:after="100"/>
      <w:ind w:left="360" w:right="360"/>
      <w:jc w:val="left"/>
    </w:pPr>
    <w:rPr>
      <w:kern w:val="0"/>
      <w:sz w:val="24"/>
      <w:szCs w:val="24"/>
    </w:rPr>
  </w:style>
  <w:style w:type="paragraph" w:customStyle="1" w:styleId="131">
    <w:name w:val="1"/>
    <w:basedOn w:val="1"/>
    <w:next w:val="1"/>
    <w:autoRedefine/>
    <w:qFormat/>
    <w:uiPriority w:val="99"/>
  </w:style>
  <w:style w:type="paragraph" w:customStyle="1" w:styleId="132">
    <w:name w:val="样式1"/>
    <w:basedOn w:val="4"/>
    <w:autoRedefine/>
    <w:qFormat/>
    <w:uiPriority w:val="99"/>
    <w:pPr>
      <w:spacing w:line="413" w:lineRule="auto"/>
    </w:pPr>
  </w:style>
  <w:style w:type="paragraph" w:customStyle="1" w:styleId="133">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4">
    <w:name w:val="无间隔1"/>
    <w:autoRedefine/>
    <w:qFormat/>
    <w:uiPriority w:val="99"/>
    <w:pPr>
      <w:widowControl w:val="0"/>
      <w:jc w:val="both"/>
    </w:pPr>
    <w:rPr>
      <w:rFonts w:ascii="Calibri" w:hAnsi="Calibri" w:eastAsia="宋体" w:cs="Calibri"/>
      <w:kern w:val="2"/>
      <w:sz w:val="21"/>
      <w:szCs w:val="21"/>
      <w:lang w:val="en-US" w:eastAsia="zh-CN" w:bidi="ar-SA"/>
    </w:rPr>
  </w:style>
  <w:style w:type="paragraph" w:customStyle="1" w:styleId="135">
    <w:name w:val="样式4"/>
    <w:basedOn w:val="4"/>
    <w:autoRedefine/>
    <w:qFormat/>
    <w:uiPriority w:val="99"/>
    <w:pPr>
      <w:spacing w:line="413" w:lineRule="auto"/>
    </w:pPr>
  </w:style>
  <w:style w:type="paragraph" w:customStyle="1" w:styleId="136">
    <w:name w:val="TOC 标题1"/>
    <w:basedOn w:val="2"/>
    <w:next w:val="1"/>
    <w:autoRedefine/>
    <w:qFormat/>
    <w:uiPriority w:val="99"/>
    <w:pPr>
      <w:spacing w:line="576" w:lineRule="auto"/>
      <w:outlineLvl w:val="9"/>
    </w:pPr>
    <w:rPr>
      <w:rFonts w:ascii="Calibri" w:hAnsi="Calibri" w:cs="Calibri"/>
    </w:rPr>
  </w:style>
  <w:style w:type="paragraph" w:customStyle="1" w:styleId="137">
    <w:name w:val="样式 标题 1 + 黑体 三号 非加粗 居中 段前: 6 磅 段后: 6 磅 行距: 固定值 20 磅"/>
    <w:basedOn w:val="2"/>
    <w:autoRedefine/>
    <w:qFormat/>
    <w:uiPriority w:val="99"/>
    <w:pPr>
      <w:spacing w:before="120" w:after="120" w:line="400" w:lineRule="exact"/>
    </w:pPr>
    <w:rPr>
      <w:rFonts w:ascii="黑体" w:hAnsi="黑体" w:eastAsia="黑体" w:cs="黑体"/>
      <w:b w:val="0"/>
      <w:bCs w:val="0"/>
      <w:sz w:val="32"/>
      <w:szCs w:val="32"/>
    </w:rPr>
  </w:style>
  <w:style w:type="paragraph" w:customStyle="1" w:styleId="138">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9">
    <w:name w:val="Char Char Char Char Char Char Char Char Char Char Char Char Char1"/>
    <w:basedOn w:val="16"/>
    <w:autoRedefine/>
    <w:qFormat/>
    <w:uiPriority w:val="99"/>
    <w:rPr>
      <w:rFonts w:ascii="Tahoma" w:hAnsi="Tahoma" w:cs="Tahoma"/>
      <w:sz w:val="24"/>
      <w:szCs w:val="24"/>
      <w:shd w:val="clear" w:color="auto" w:fill="auto"/>
    </w:rPr>
  </w:style>
  <w:style w:type="paragraph" w:customStyle="1" w:styleId="140">
    <w:name w:val="Char1"/>
    <w:basedOn w:val="1"/>
    <w:autoRedefine/>
    <w:qFormat/>
    <w:uiPriority w:val="99"/>
    <w:rPr>
      <w:rFonts w:ascii="Tahoma" w:hAnsi="Tahoma" w:cs="Tahoma"/>
      <w:sz w:val="24"/>
      <w:szCs w:val="24"/>
    </w:rPr>
  </w:style>
  <w:style w:type="paragraph" w:customStyle="1" w:styleId="141">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142">
    <w:name w:val="样式3"/>
    <w:basedOn w:val="4"/>
    <w:autoRedefine/>
    <w:qFormat/>
    <w:uiPriority w:val="99"/>
    <w:pPr>
      <w:spacing w:line="413" w:lineRule="auto"/>
    </w:pPr>
  </w:style>
  <w:style w:type="paragraph" w:customStyle="1" w:styleId="143">
    <w:name w:val="正文1"/>
    <w:autoRedefine/>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4">
    <w:name w:val="列出段落2"/>
    <w:basedOn w:val="1"/>
    <w:autoRedefine/>
    <w:qFormat/>
    <w:uiPriority w:val="99"/>
    <w:pPr>
      <w:ind w:firstLine="200" w:firstLineChars="200"/>
    </w:pPr>
  </w:style>
  <w:style w:type="paragraph" w:customStyle="1" w:styleId="145">
    <w:name w:val="p0"/>
    <w:basedOn w:val="1"/>
    <w:autoRedefine/>
    <w:qFormat/>
    <w:uiPriority w:val="99"/>
    <w:pPr>
      <w:widowControl/>
    </w:pPr>
    <w:rPr>
      <w:kern w:val="0"/>
    </w:rPr>
  </w:style>
  <w:style w:type="paragraph" w:customStyle="1" w:styleId="146">
    <w:name w:val="节标题"/>
    <w:basedOn w:val="1"/>
    <w:next w:val="1"/>
    <w:autoRedefine/>
    <w:qFormat/>
    <w:uiPriority w:val="99"/>
    <w:pPr>
      <w:widowControl/>
      <w:spacing w:line="289" w:lineRule="atLeast"/>
      <w:jc w:val="center"/>
      <w:textAlignment w:val="baseline"/>
    </w:pPr>
    <w:rPr>
      <w:color w:val="000000"/>
      <w:kern w:val="0"/>
      <w:sz w:val="28"/>
      <w:szCs w:val="20"/>
    </w:rPr>
  </w:style>
  <w:style w:type="paragraph" w:customStyle="1" w:styleId="147">
    <w:name w:val="WPSOffice手动目录 1"/>
    <w:autoRedefine/>
    <w:qFormat/>
    <w:uiPriority w:val="99"/>
    <w:rPr>
      <w:rFonts w:ascii="Times New Roman" w:hAnsi="Times New Roman" w:eastAsia="宋体" w:cs="Times New Roman"/>
      <w:kern w:val="0"/>
      <w:sz w:val="20"/>
      <w:szCs w:val="20"/>
      <w:lang w:val="en-US" w:eastAsia="zh-CN" w:bidi="ar-SA"/>
    </w:rPr>
  </w:style>
  <w:style w:type="paragraph" w:customStyle="1" w:styleId="148">
    <w:name w:val="WPSOffice手动目录 2"/>
    <w:autoRedefine/>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9">
    <w:name w:val="WPSOffice手动目录 3"/>
    <w:autoRedefine/>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50">
    <w:name w:val="font12"/>
    <w:basedOn w:val="49"/>
    <w:autoRedefine/>
    <w:qFormat/>
    <w:uiPriority w:val="0"/>
    <w:rPr>
      <w:rFonts w:hint="eastAsia" w:ascii="仿宋" w:hAnsi="仿宋" w:eastAsia="仿宋" w:cs="仿宋"/>
      <w:b/>
      <w:color w:val="000000"/>
      <w:sz w:val="32"/>
      <w:szCs w:val="32"/>
      <w:u w:val="none"/>
    </w:rPr>
  </w:style>
  <w:style w:type="paragraph" w:customStyle="1" w:styleId="151">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152">
    <w:name w:val="font101"/>
    <w:basedOn w:val="49"/>
    <w:autoRedefine/>
    <w:qFormat/>
    <w:uiPriority w:val="0"/>
    <w:rPr>
      <w:rFonts w:hint="default" w:ascii="Times New Roman" w:hAnsi="Times New Roman" w:cs="Times New Roman"/>
      <w:color w:val="000000"/>
      <w:sz w:val="24"/>
      <w:szCs w:val="24"/>
      <w:u w:val="none"/>
    </w:rPr>
  </w:style>
  <w:style w:type="character" w:customStyle="1" w:styleId="153">
    <w:name w:val="font111"/>
    <w:basedOn w:val="49"/>
    <w:autoRedefine/>
    <w:qFormat/>
    <w:uiPriority w:val="0"/>
    <w:rPr>
      <w:rFonts w:ascii="仿宋_GB2312" w:eastAsia="仿宋_GB2312" w:cs="仿宋_GB2312"/>
      <w:color w:val="000000"/>
      <w:sz w:val="24"/>
      <w:szCs w:val="24"/>
      <w:u w:val="none"/>
    </w:rPr>
  </w:style>
  <w:style w:type="character" w:customStyle="1" w:styleId="154">
    <w:name w:val="font91"/>
    <w:basedOn w:val="49"/>
    <w:autoRedefine/>
    <w:qFormat/>
    <w:uiPriority w:val="0"/>
    <w:rPr>
      <w:rFonts w:hint="eastAsia" w:ascii="仿宋" w:hAnsi="仿宋" w:eastAsia="仿宋" w:cs="仿宋"/>
      <w:color w:val="000000"/>
      <w:sz w:val="24"/>
      <w:szCs w:val="24"/>
      <w:u w:val="single"/>
    </w:rPr>
  </w:style>
  <w:style w:type="character" w:customStyle="1" w:styleId="155">
    <w:name w:val="font81"/>
    <w:basedOn w:val="49"/>
    <w:autoRedefine/>
    <w:qFormat/>
    <w:uiPriority w:val="0"/>
    <w:rPr>
      <w:rFonts w:hint="eastAsia" w:ascii="仿宋" w:hAnsi="仿宋" w:eastAsia="仿宋" w:cs="仿宋"/>
      <w:color w:val="000000"/>
      <w:sz w:val="24"/>
      <w:szCs w:val="24"/>
      <w:u w:val="none"/>
    </w:rPr>
  </w:style>
  <w:style w:type="paragraph" w:customStyle="1" w:styleId="156">
    <w:name w:val="Table Paragraph"/>
    <w:basedOn w:val="1"/>
    <w:autoRedefine/>
    <w:qFormat/>
    <w:uiPriority w:val="1"/>
    <w:pPr>
      <w:autoSpaceDE w:val="0"/>
      <w:autoSpaceDN w:val="0"/>
      <w:jc w:val="left"/>
    </w:pPr>
    <w:rPr>
      <w:rFonts w:ascii="宋体" w:hAnsi="宋体" w:cs="宋体"/>
      <w:kern w:val="0"/>
      <w:sz w:val="22"/>
      <w:szCs w:val="22"/>
    </w:rPr>
  </w:style>
  <w:style w:type="paragraph" w:customStyle="1" w:styleId="157">
    <w:name w:val="正文文字 8"/>
    <w:basedOn w:val="1"/>
    <w:next w:val="1"/>
    <w:autoRedefine/>
    <w:qFormat/>
    <w:uiPriority w:val="0"/>
    <w:pPr>
      <w:ind w:left="240"/>
    </w:pPr>
    <w:rPr>
      <w:sz w:val="16"/>
    </w:rPr>
  </w:style>
  <w:style w:type="character" w:customStyle="1" w:styleId="158">
    <w:name w:val="font21"/>
    <w:basedOn w:val="49"/>
    <w:autoRedefine/>
    <w:qFormat/>
    <w:uiPriority w:val="0"/>
    <w:rPr>
      <w:rFonts w:ascii="宋体" w:hAnsi="宋体" w:eastAsia="宋体" w:cs="宋体"/>
      <w:b/>
      <w:bCs/>
      <w:color w:val="000000"/>
      <w:sz w:val="18"/>
      <w:szCs w:val="18"/>
      <w:u w:val="none"/>
    </w:rPr>
  </w:style>
  <w:style w:type="character" w:customStyle="1" w:styleId="159">
    <w:name w:val="font31"/>
    <w:basedOn w:val="49"/>
    <w:autoRedefine/>
    <w:qFormat/>
    <w:uiPriority w:val="0"/>
    <w:rPr>
      <w:rFonts w:ascii="宋体" w:hAnsi="宋体" w:eastAsia="宋体" w:cs="宋体"/>
      <w:color w:val="000000"/>
      <w:sz w:val="18"/>
      <w:szCs w:val="18"/>
      <w:u w:val="none"/>
    </w:rPr>
  </w:style>
  <w:style w:type="character" w:customStyle="1" w:styleId="160">
    <w:name w:val="font41"/>
    <w:basedOn w:val="49"/>
    <w:autoRedefine/>
    <w:qFormat/>
    <w:uiPriority w:val="0"/>
    <w:rPr>
      <w:rFonts w:ascii="宋体" w:hAnsi="宋体" w:eastAsia="宋体" w:cs="宋体"/>
      <w:color w:val="000000"/>
      <w:sz w:val="16"/>
      <w:szCs w:val="16"/>
      <w:u w:val="none"/>
    </w:rPr>
  </w:style>
  <w:style w:type="paragraph" w:customStyle="1" w:styleId="161">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37</Pages>
  <Words>10136</Words>
  <Characters>11152</Characters>
  <Lines>0</Lines>
  <Paragraphs>0</Paragraphs>
  <TotalTime>0</TotalTime>
  <ScaleCrop>false</ScaleCrop>
  <LinksUpToDate>false</LinksUpToDate>
  <CharactersWithSpaces>12348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2017-05-18T08:09:00Z</dcterms:created>
  <dc:creator>微软用户</dc:creator>
  <cp:lastModifiedBy>Pim Pom丶</cp:lastModifiedBy>
  <cp:lastPrinted>2025-04-10T02:28:00Z</cp:lastPrinted>
  <dcterms:modified xsi:type="dcterms:W3CDTF">2025-05-27T00:54:58Z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23169D3EB40E44B6A18A8A0EBF34925A_13</vt:lpwstr>
  </property>
  <property fmtid="{D5CDD505-2E9C-101B-9397-08002B2CF9AE}" pid="4" name="KSOTemplateDocerSaveRecord">
    <vt:lpwstr>eyJoZGlkIjoiOTk1OGJkZDZlMmJiZjgxZThhZWQ4YzE0YWIxYTUyMmQiLCJ1c2VySWQiOiI0MDkyMjI1MTkifQ==</vt:lpwstr>
  </property>
</Properties>
</file>