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FD0126">
      <w:pPr>
        <w:spacing w:line="480" w:lineRule="auto"/>
        <w:jc w:val="center"/>
        <w:outlineLvl w:val="9"/>
        <w:rPr>
          <w:rFonts w:hint="eastAsia" w:eastAsia="黑体"/>
          <w:b/>
          <w:bCs/>
          <w:color w:val="auto"/>
          <w:sz w:val="48"/>
          <w:szCs w:val="48"/>
        </w:rPr>
      </w:pPr>
      <w:r>
        <w:rPr>
          <w:rFonts w:hint="eastAsia" w:ascii="Times New Roman" w:hAnsi="Times New Roman" w:eastAsia="黑体" w:cs="Times New Roman"/>
          <w:b/>
          <w:bCs/>
          <w:color w:val="auto"/>
          <w:sz w:val="48"/>
          <w:szCs w:val="48"/>
        </w:rPr>
        <w:t>南宁铁路枢纽投资有限公司</w:t>
      </w:r>
      <w:r>
        <w:rPr>
          <w:rFonts w:hint="eastAsia" w:ascii="Times New Roman" w:hAnsi="Times New Roman" w:eastAsia="黑体" w:cs="Times New Roman"/>
          <w:b/>
          <w:bCs/>
          <w:color w:val="auto"/>
          <w:sz w:val="48"/>
          <w:szCs w:val="48"/>
          <w:lang w:val="en-US" w:eastAsia="zh-CN"/>
        </w:rPr>
        <w:t>202</w:t>
      </w:r>
      <w:r>
        <w:rPr>
          <w:rFonts w:hint="eastAsia" w:eastAsia="黑体" w:cs="Times New Roman"/>
          <w:b/>
          <w:bCs/>
          <w:color w:val="auto"/>
          <w:sz w:val="48"/>
          <w:szCs w:val="48"/>
          <w:lang w:val="en-US" w:eastAsia="zh-CN"/>
        </w:rPr>
        <w:t>5</w:t>
      </w:r>
      <w:r>
        <w:rPr>
          <w:rFonts w:hint="eastAsia" w:ascii="Times New Roman" w:hAnsi="Times New Roman" w:eastAsia="黑体" w:cs="Times New Roman"/>
          <w:b/>
          <w:bCs/>
          <w:color w:val="auto"/>
          <w:sz w:val="48"/>
          <w:szCs w:val="48"/>
          <w:lang w:val="en-US" w:eastAsia="zh-CN"/>
        </w:rPr>
        <w:t>年</w:t>
      </w:r>
      <w:r>
        <w:rPr>
          <w:rFonts w:hint="eastAsia" w:ascii="Times New Roman" w:hAnsi="Times New Roman" w:eastAsia="黑体" w:cs="Times New Roman"/>
          <w:b/>
          <w:bCs/>
          <w:color w:val="auto"/>
          <w:sz w:val="48"/>
          <w:szCs w:val="48"/>
        </w:rPr>
        <w:t>度</w:t>
      </w:r>
    </w:p>
    <w:p w14:paraId="08FF787E">
      <w:pPr>
        <w:spacing w:line="480" w:lineRule="auto"/>
        <w:jc w:val="center"/>
        <w:rPr>
          <w:rFonts w:eastAsia="黑体"/>
          <w:b/>
          <w:bCs/>
          <w:color w:val="auto"/>
          <w:sz w:val="48"/>
          <w:szCs w:val="48"/>
        </w:rPr>
      </w:pPr>
      <w:r>
        <w:rPr>
          <w:rFonts w:hint="eastAsia" w:eastAsia="黑体"/>
          <w:b/>
          <w:bCs/>
          <w:color w:val="auto"/>
          <w:sz w:val="48"/>
          <w:szCs w:val="48"/>
        </w:rPr>
        <w:t>法律顾问</w:t>
      </w:r>
      <w:r>
        <w:rPr>
          <w:rFonts w:hint="eastAsia" w:eastAsia="黑体"/>
          <w:b/>
          <w:bCs/>
          <w:color w:val="auto"/>
          <w:sz w:val="48"/>
          <w:szCs w:val="48"/>
          <w:lang w:val="en-US" w:eastAsia="zh-CN"/>
        </w:rPr>
        <w:t>服务</w:t>
      </w:r>
      <w:r>
        <w:rPr>
          <w:rFonts w:hint="eastAsia" w:eastAsia="黑体"/>
          <w:b/>
          <w:bCs/>
          <w:color w:val="auto"/>
          <w:sz w:val="48"/>
          <w:szCs w:val="48"/>
        </w:rPr>
        <w:t>项目</w:t>
      </w:r>
    </w:p>
    <w:p w14:paraId="516B691A">
      <w:pPr>
        <w:spacing w:after="120" w:line="480" w:lineRule="auto"/>
        <w:jc w:val="center"/>
        <w:rPr>
          <w:rFonts w:hint="eastAsia" w:eastAsia="黑体"/>
          <w:b/>
          <w:bCs/>
          <w:color w:val="auto"/>
          <w:sz w:val="44"/>
          <w:szCs w:val="44"/>
        </w:rPr>
      </w:pPr>
    </w:p>
    <w:p w14:paraId="618106E1">
      <w:pPr>
        <w:spacing w:after="120" w:line="480" w:lineRule="auto"/>
        <w:jc w:val="center"/>
        <w:rPr>
          <w:rFonts w:hint="eastAsia" w:eastAsia="黑体"/>
          <w:b/>
          <w:bCs/>
          <w:color w:val="auto"/>
          <w:sz w:val="44"/>
          <w:szCs w:val="44"/>
        </w:rPr>
      </w:pPr>
    </w:p>
    <w:p w14:paraId="595A15DE">
      <w:pPr>
        <w:spacing w:after="120" w:line="480" w:lineRule="auto"/>
        <w:jc w:val="center"/>
        <w:outlineLvl w:val="9"/>
        <w:rPr>
          <w:rFonts w:hint="eastAsia" w:ascii="Times New Roman" w:hAnsi="Times New Roman" w:eastAsia="黑体" w:cs="Times New Roman"/>
          <w:b/>
          <w:bCs/>
          <w:color w:val="auto"/>
          <w:sz w:val="44"/>
          <w:szCs w:val="44"/>
        </w:rPr>
      </w:pPr>
      <w:r>
        <w:rPr>
          <w:rFonts w:hint="eastAsia" w:eastAsia="黑体"/>
          <w:b/>
          <w:bCs/>
          <w:color w:val="auto"/>
          <w:sz w:val="44"/>
          <w:szCs w:val="44"/>
        </w:rPr>
        <w:t>比</w:t>
      </w:r>
    </w:p>
    <w:p w14:paraId="707DEF8F">
      <w:pPr>
        <w:spacing w:line="480" w:lineRule="auto"/>
        <w:jc w:val="center"/>
        <w:rPr>
          <w:rFonts w:hint="eastAsia" w:eastAsia="黑体"/>
          <w:b/>
          <w:bCs/>
          <w:color w:val="auto"/>
          <w:sz w:val="44"/>
          <w:szCs w:val="44"/>
        </w:rPr>
      </w:pPr>
    </w:p>
    <w:p w14:paraId="66B01370">
      <w:pPr>
        <w:spacing w:line="480" w:lineRule="auto"/>
        <w:jc w:val="center"/>
        <w:rPr>
          <w:rFonts w:hint="eastAsia" w:eastAsia="黑体"/>
          <w:b/>
          <w:bCs/>
          <w:color w:val="auto"/>
          <w:sz w:val="44"/>
          <w:szCs w:val="44"/>
        </w:rPr>
      </w:pPr>
    </w:p>
    <w:p w14:paraId="5E882606">
      <w:pPr>
        <w:spacing w:line="480" w:lineRule="auto"/>
        <w:jc w:val="center"/>
        <w:outlineLvl w:val="9"/>
        <w:rPr>
          <w:rFonts w:hint="eastAsia" w:ascii="Times New Roman" w:hAnsi="Times New Roman" w:eastAsia="黑体" w:cs="Times New Roman"/>
          <w:b/>
          <w:bCs/>
          <w:color w:val="auto"/>
          <w:sz w:val="44"/>
          <w:szCs w:val="44"/>
        </w:rPr>
      </w:pPr>
      <w:r>
        <w:rPr>
          <w:rFonts w:hint="eastAsia" w:eastAsia="黑体"/>
          <w:b/>
          <w:bCs/>
          <w:color w:val="auto"/>
          <w:sz w:val="44"/>
          <w:szCs w:val="44"/>
        </w:rPr>
        <w:t>选</w:t>
      </w:r>
    </w:p>
    <w:p w14:paraId="047B6E46">
      <w:pPr>
        <w:spacing w:line="480" w:lineRule="auto"/>
        <w:jc w:val="center"/>
        <w:rPr>
          <w:rFonts w:hint="eastAsia" w:eastAsia="黑体"/>
          <w:b/>
          <w:bCs/>
          <w:color w:val="auto"/>
          <w:sz w:val="44"/>
          <w:szCs w:val="44"/>
        </w:rPr>
      </w:pPr>
    </w:p>
    <w:p w14:paraId="5107B5E0">
      <w:pPr>
        <w:spacing w:line="480" w:lineRule="auto"/>
        <w:jc w:val="center"/>
        <w:rPr>
          <w:rFonts w:hint="eastAsia" w:eastAsia="黑体"/>
          <w:b/>
          <w:bCs/>
          <w:color w:val="auto"/>
          <w:sz w:val="44"/>
          <w:szCs w:val="44"/>
        </w:rPr>
      </w:pPr>
    </w:p>
    <w:p w14:paraId="251A711F">
      <w:pPr>
        <w:spacing w:line="480" w:lineRule="auto"/>
        <w:jc w:val="center"/>
        <w:outlineLvl w:val="9"/>
        <w:rPr>
          <w:rFonts w:hint="eastAsia" w:eastAsia="黑体"/>
          <w:b/>
          <w:bCs/>
          <w:color w:val="auto"/>
          <w:sz w:val="44"/>
          <w:szCs w:val="44"/>
        </w:rPr>
      </w:pPr>
      <w:r>
        <w:rPr>
          <w:rFonts w:hint="eastAsia" w:eastAsia="黑体"/>
          <w:b/>
          <w:bCs/>
          <w:color w:val="auto"/>
          <w:sz w:val="44"/>
          <w:szCs w:val="44"/>
        </w:rPr>
        <w:t>文</w:t>
      </w:r>
    </w:p>
    <w:p w14:paraId="4A150E48">
      <w:pPr>
        <w:spacing w:line="480" w:lineRule="auto"/>
        <w:jc w:val="center"/>
        <w:rPr>
          <w:rFonts w:hint="eastAsia" w:eastAsia="黑体"/>
          <w:b/>
          <w:bCs/>
          <w:color w:val="auto"/>
          <w:sz w:val="44"/>
          <w:szCs w:val="44"/>
        </w:rPr>
      </w:pPr>
    </w:p>
    <w:p w14:paraId="0AE1A40A">
      <w:pPr>
        <w:spacing w:line="480" w:lineRule="auto"/>
        <w:jc w:val="center"/>
        <w:rPr>
          <w:rFonts w:hint="eastAsia" w:eastAsia="黑体"/>
          <w:b/>
          <w:bCs/>
          <w:color w:val="auto"/>
          <w:sz w:val="44"/>
          <w:szCs w:val="44"/>
        </w:rPr>
      </w:pPr>
    </w:p>
    <w:p w14:paraId="53C8F400">
      <w:pPr>
        <w:spacing w:line="480" w:lineRule="auto"/>
        <w:jc w:val="center"/>
        <w:outlineLvl w:val="9"/>
        <w:rPr>
          <w:rFonts w:eastAsia="黑体"/>
          <w:b/>
          <w:bCs/>
          <w:color w:val="auto"/>
          <w:sz w:val="44"/>
          <w:szCs w:val="44"/>
        </w:rPr>
      </w:pPr>
      <w:r>
        <w:rPr>
          <w:rFonts w:hint="eastAsia" w:eastAsia="黑体"/>
          <w:b/>
          <w:bCs/>
          <w:color w:val="auto"/>
          <w:sz w:val="44"/>
          <w:szCs w:val="44"/>
        </w:rPr>
        <w:t>件</w:t>
      </w:r>
    </w:p>
    <w:p w14:paraId="63B45A78">
      <w:pPr>
        <w:spacing w:line="240" w:lineRule="auto"/>
        <w:jc w:val="both"/>
        <w:rPr>
          <w:rFonts w:hint="eastAsia" w:ascii="宋体" w:hAnsi="宋体" w:eastAsia="宋体" w:cs="宋体"/>
          <w:b/>
          <w:bCs/>
          <w:sz w:val="44"/>
          <w:szCs w:val="44"/>
          <w:lang w:eastAsia="zh-CN"/>
        </w:rPr>
      </w:pPr>
    </w:p>
    <w:p w14:paraId="2DE9CECA">
      <w:pPr>
        <w:spacing w:line="240" w:lineRule="auto"/>
        <w:jc w:val="center"/>
        <w:rPr>
          <w:rFonts w:hint="eastAsia" w:ascii="宋体" w:hAnsi="宋体" w:eastAsia="宋体" w:cs="宋体"/>
          <w:b/>
          <w:bCs/>
          <w:sz w:val="44"/>
          <w:szCs w:val="44"/>
          <w:lang w:eastAsia="zh-CN"/>
        </w:rPr>
      </w:pPr>
    </w:p>
    <w:p w14:paraId="28B43A68">
      <w:pPr>
        <w:spacing w:line="240" w:lineRule="auto"/>
        <w:jc w:val="center"/>
        <w:rPr>
          <w:rFonts w:hint="eastAsia" w:ascii="宋体" w:hAnsi="宋体" w:eastAsia="宋体" w:cs="宋体"/>
          <w:b/>
          <w:bCs/>
          <w:sz w:val="44"/>
          <w:szCs w:val="44"/>
          <w:lang w:eastAsia="zh-CN"/>
        </w:rPr>
      </w:pPr>
    </w:p>
    <w:p w14:paraId="337C354B">
      <w:pPr>
        <w:spacing w:line="240" w:lineRule="auto"/>
        <w:jc w:val="both"/>
        <w:rPr>
          <w:rFonts w:hint="eastAsia" w:ascii="宋体" w:hAnsi="宋体" w:eastAsia="宋体" w:cs="宋体"/>
          <w:b/>
          <w:bCs/>
          <w:sz w:val="44"/>
          <w:szCs w:val="44"/>
          <w:lang w:eastAsia="zh-CN"/>
        </w:rPr>
      </w:pPr>
    </w:p>
    <w:p w14:paraId="47B9FAD4">
      <w:pPr>
        <w:spacing w:line="240" w:lineRule="auto"/>
        <w:jc w:val="both"/>
        <w:rPr>
          <w:rFonts w:hint="eastAsia" w:ascii="宋体" w:hAnsi="宋体" w:eastAsia="宋体" w:cs="宋体"/>
          <w:b/>
          <w:bCs/>
          <w:sz w:val="44"/>
          <w:szCs w:val="44"/>
          <w:lang w:eastAsia="zh-CN"/>
        </w:rPr>
      </w:pPr>
    </w:p>
    <w:p w14:paraId="36CA52D5">
      <w:pPr>
        <w:spacing w:line="240" w:lineRule="auto"/>
        <w:jc w:val="both"/>
        <w:rPr>
          <w:rFonts w:hint="eastAsia" w:ascii="宋体" w:hAnsi="宋体" w:eastAsia="宋体" w:cs="宋体"/>
          <w:b/>
          <w:bCs/>
          <w:sz w:val="44"/>
          <w:szCs w:val="44"/>
          <w:lang w:eastAsia="zh-CN"/>
        </w:rPr>
      </w:pPr>
    </w:p>
    <w:p w14:paraId="39482EA5">
      <w:pPr>
        <w:spacing w:line="360" w:lineRule="auto"/>
        <w:jc w:val="center"/>
        <w:outlineLvl w:val="9"/>
        <w:rPr>
          <w:rFonts w:hint="eastAsia" w:ascii="Times New Roman" w:hAnsi="Times New Roman" w:eastAsia="宋体" w:cs="Times New Roman"/>
          <w:b/>
          <w:bCs/>
          <w:color w:val="auto"/>
          <w:sz w:val="32"/>
          <w:szCs w:val="32"/>
        </w:rPr>
      </w:pPr>
      <w:r>
        <w:rPr>
          <w:rFonts w:hint="eastAsia" w:ascii="Times New Roman" w:hAnsi="Times New Roman" w:eastAsia="宋体" w:cs="Times New Roman"/>
          <w:b/>
          <w:bCs/>
          <w:color w:val="auto"/>
          <w:sz w:val="32"/>
          <w:szCs w:val="32"/>
        </w:rPr>
        <w:t>比选人：南宁铁路枢纽投资有限公司</w:t>
      </w:r>
    </w:p>
    <w:p w14:paraId="32A96AC7">
      <w:pPr>
        <w:spacing w:line="360" w:lineRule="auto"/>
        <w:jc w:val="center"/>
        <w:rPr>
          <w:rFonts w:hint="eastAsia" w:ascii="Times New Roman" w:hAnsi="Times New Roman" w:eastAsia="宋体" w:cs="Times New Roman"/>
          <w:b/>
          <w:bCs/>
          <w:color w:val="auto"/>
          <w:sz w:val="32"/>
          <w:szCs w:val="32"/>
        </w:rPr>
      </w:pPr>
      <w:r>
        <w:rPr>
          <w:rFonts w:hint="eastAsia" w:cs="Times New Roman"/>
          <w:b/>
          <w:bCs/>
          <w:color w:val="auto"/>
          <w:sz w:val="32"/>
          <w:szCs w:val="32"/>
          <w:u w:val="none"/>
          <w:lang w:val="en-US" w:eastAsia="zh-CN"/>
        </w:rPr>
        <w:t>2025</w:t>
      </w:r>
      <w:r>
        <w:rPr>
          <w:rFonts w:hint="eastAsia" w:ascii="Times New Roman" w:hAnsi="Times New Roman" w:eastAsia="宋体" w:cs="Times New Roman"/>
          <w:b/>
          <w:bCs/>
          <w:color w:val="auto"/>
          <w:sz w:val="32"/>
          <w:szCs w:val="32"/>
        </w:rPr>
        <w:t>年</w:t>
      </w:r>
      <w:r>
        <w:rPr>
          <w:rFonts w:hint="eastAsia" w:cs="Times New Roman"/>
          <w:b/>
          <w:bCs/>
          <w:color w:val="auto"/>
          <w:sz w:val="32"/>
          <w:szCs w:val="32"/>
          <w:lang w:val="en-US" w:eastAsia="zh-CN"/>
        </w:rPr>
        <w:t>9</w:t>
      </w:r>
      <w:r>
        <w:rPr>
          <w:rFonts w:hint="eastAsia" w:ascii="Times New Roman" w:hAnsi="Times New Roman" w:eastAsia="宋体" w:cs="Times New Roman"/>
          <w:b/>
          <w:bCs/>
          <w:color w:val="auto"/>
          <w:sz w:val="32"/>
          <w:szCs w:val="32"/>
        </w:rPr>
        <w:t>月</w:t>
      </w:r>
      <w:bookmarkStart w:id="0" w:name="_Toc9312"/>
      <w:bookmarkStart w:id="1" w:name="_Toc8337"/>
      <w:bookmarkStart w:id="2" w:name="_Toc26615"/>
      <w:bookmarkStart w:id="3" w:name="_Toc9945"/>
      <w:bookmarkStart w:id="4" w:name="_Toc32588"/>
      <w:bookmarkStart w:id="5" w:name="_Toc26207"/>
      <w:bookmarkStart w:id="6" w:name="_Toc25139"/>
      <w:bookmarkStart w:id="7" w:name="_Toc7670"/>
      <w:bookmarkStart w:id="8" w:name="_Toc20342"/>
      <w:bookmarkStart w:id="9" w:name="_Toc14177"/>
      <w:bookmarkStart w:id="10" w:name="_Toc24235"/>
      <w:bookmarkStart w:id="11" w:name="_Toc30578"/>
      <w:bookmarkStart w:id="12" w:name="_Toc24752"/>
      <w:bookmarkStart w:id="13" w:name="_Toc11052"/>
      <w:bookmarkStart w:id="14" w:name="_Toc32556"/>
      <w:bookmarkStart w:id="15" w:name="_Toc9092"/>
      <w:bookmarkStart w:id="16" w:name="_Toc12557"/>
      <w:bookmarkStart w:id="17" w:name="_Toc32719"/>
      <w:bookmarkStart w:id="18" w:name="_Toc14897"/>
      <w:bookmarkStart w:id="19" w:name="_Toc27762"/>
      <w:bookmarkStart w:id="20" w:name="_Toc461525294"/>
    </w:p>
    <w:bookmarkEnd w:id="0"/>
    <w:bookmarkEnd w:id="1"/>
    <w:bookmarkEnd w:id="2"/>
    <w:bookmarkEnd w:id="3"/>
    <w:bookmarkEnd w:id="4"/>
    <w:bookmarkEnd w:id="5"/>
    <w:bookmarkEnd w:id="6"/>
    <w:bookmarkEnd w:id="7"/>
    <w:p w14:paraId="671526A1">
      <w:pPr>
        <w:jc w:val="center"/>
        <w:rPr>
          <w:rFonts w:eastAsiaTheme="minorEastAsia"/>
          <w:b/>
          <w:sz w:val="44"/>
          <w:szCs w:val="44"/>
        </w:rPr>
      </w:pPr>
      <w:bookmarkStart w:id="21" w:name="_Toc4954"/>
      <w:bookmarkStart w:id="22" w:name="_Toc9980"/>
      <w:bookmarkStart w:id="23" w:name="_Toc32122"/>
      <w:bookmarkStart w:id="24" w:name="_Toc461525293"/>
      <w:bookmarkStart w:id="25" w:name="_Toc471482358"/>
      <w:bookmarkStart w:id="26" w:name="_Toc12363"/>
      <w:bookmarkStart w:id="27" w:name="_Toc14943"/>
      <w:bookmarkStart w:id="28" w:name="_Toc21106"/>
      <w:bookmarkStart w:id="29" w:name="_Toc25905"/>
      <w:bookmarkStart w:id="30" w:name="_Toc18159"/>
      <w:bookmarkStart w:id="31" w:name="_Toc27692"/>
      <w:bookmarkStart w:id="32" w:name="_Toc23188"/>
      <w:r>
        <w:rPr>
          <w:rFonts w:eastAsiaTheme="minorEastAsia"/>
          <w:b/>
          <w:sz w:val="44"/>
          <w:szCs w:val="44"/>
        </w:rPr>
        <w:t>目</w:t>
      </w:r>
      <w:r>
        <w:rPr>
          <w:rFonts w:hint="eastAsia" w:eastAsiaTheme="minorEastAsia"/>
          <w:b/>
          <w:sz w:val="44"/>
          <w:szCs w:val="44"/>
        </w:rPr>
        <w:t xml:space="preserve">  </w:t>
      </w:r>
      <w:r>
        <w:rPr>
          <w:rFonts w:eastAsiaTheme="minorEastAsia"/>
          <w:b/>
          <w:sz w:val="44"/>
          <w:szCs w:val="44"/>
        </w:rPr>
        <w:t>录</w:t>
      </w:r>
      <w:bookmarkEnd w:id="21"/>
      <w:bookmarkEnd w:id="22"/>
      <w:bookmarkEnd w:id="23"/>
      <w:bookmarkEnd w:id="24"/>
      <w:bookmarkEnd w:id="25"/>
      <w:bookmarkEnd w:id="26"/>
      <w:bookmarkEnd w:id="27"/>
      <w:bookmarkEnd w:id="28"/>
      <w:bookmarkEnd w:id="29"/>
      <w:bookmarkEnd w:id="30"/>
      <w:bookmarkEnd w:id="31"/>
      <w:bookmarkEnd w:id="32"/>
    </w:p>
    <w:p w14:paraId="000C9C1D">
      <w:pPr>
        <w:pStyle w:val="18"/>
        <w:jc w:val="both"/>
        <w:rPr>
          <w:sz w:val="24"/>
        </w:rPr>
      </w:pPr>
    </w:p>
    <w:p w14:paraId="010D320A">
      <w:pPr>
        <w:pStyle w:val="23"/>
        <w:tabs>
          <w:tab w:val="right" w:leader="dot" w:pos="9072"/>
        </w:tabs>
      </w:pPr>
      <w:r>
        <w:rPr>
          <w:rFonts w:eastAsiaTheme="minorEastAsia"/>
          <w:sz w:val="24"/>
        </w:rPr>
        <w:fldChar w:fldCharType="begin"/>
      </w:r>
      <w:r>
        <w:rPr>
          <w:rFonts w:eastAsiaTheme="minorEastAsia"/>
          <w:sz w:val="24"/>
        </w:rPr>
        <w:instrText xml:space="preserve"> TOC \o "1-2" \h \z \u </w:instrText>
      </w:r>
      <w:r>
        <w:rPr>
          <w:rFonts w:eastAsiaTheme="minorEastAsia"/>
          <w:sz w:val="24"/>
        </w:rPr>
        <w:fldChar w:fldCharType="separate"/>
      </w:r>
      <w:r>
        <w:rPr>
          <w:rFonts w:eastAsiaTheme="minorEastAsia"/>
        </w:rPr>
        <w:fldChar w:fldCharType="begin"/>
      </w:r>
      <w:r>
        <w:rPr>
          <w:rFonts w:eastAsiaTheme="minorEastAsia"/>
        </w:rPr>
        <w:instrText xml:space="preserve"> HYPERLINK \l _Toc24251 </w:instrText>
      </w:r>
      <w:r>
        <w:rPr>
          <w:rFonts w:eastAsiaTheme="minorEastAsia"/>
        </w:rPr>
        <w:fldChar w:fldCharType="separate"/>
      </w:r>
      <w:r>
        <w:rPr>
          <w:rFonts w:eastAsiaTheme="minorEastAsia"/>
          <w:szCs w:val="44"/>
        </w:rPr>
        <w:t>第</w:t>
      </w:r>
      <w:r>
        <w:rPr>
          <w:rFonts w:hint="eastAsia" w:eastAsiaTheme="minorEastAsia"/>
          <w:szCs w:val="44"/>
          <w:lang w:eastAsia="zh-CN"/>
        </w:rPr>
        <w:t>一</w:t>
      </w:r>
      <w:r>
        <w:rPr>
          <w:rFonts w:eastAsiaTheme="minorEastAsia"/>
          <w:szCs w:val="44"/>
        </w:rPr>
        <w:t>章</w:t>
      </w:r>
      <w:r>
        <w:rPr>
          <w:rFonts w:hint="eastAsia" w:eastAsiaTheme="minorEastAsia"/>
          <w:szCs w:val="44"/>
          <w:lang w:val="en-US" w:eastAsia="zh-CN"/>
        </w:rPr>
        <w:t xml:space="preserve"> </w:t>
      </w:r>
      <w:r>
        <w:rPr>
          <w:rFonts w:eastAsiaTheme="minorEastAsia"/>
          <w:szCs w:val="44"/>
        </w:rPr>
        <w:t>比选须知</w:t>
      </w:r>
      <w:r>
        <w:tab/>
      </w:r>
      <w:r>
        <w:fldChar w:fldCharType="begin"/>
      </w:r>
      <w:r>
        <w:instrText xml:space="preserve"> PAGEREF _Toc24251 \h </w:instrText>
      </w:r>
      <w:r>
        <w:fldChar w:fldCharType="separate"/>
      </w:r>
      <w:r>
        <w:t>1</w:t>
      </w:r>
      <w:r>
        <w:fldChar w:fldCharType="end"/>
      </w:r>
      <w:r>
        <w:rPr>
          <w:rFonts w:eastAsiaTheme="minorEastAsia"/>
        </w:rPr>
        <w:fldChar w:fldCharType="end"/>
      </w:r>
    </w:p>
    <w:p w14:paraId="5018A755">
      <w:pPr>
        <w:pStyle w:val="27"/>
        <w:tabs>
          <w:tab w:val="right" w:leader="dot" w:pos="9072"/>
        </w:tabs>
      </w:pPr>
      <w:r>
        <w:rPr>
          <w:rFonts w:eastAsiaTheme="minorEastAsia"/>
        </w:rPr>
        <w:fldChar w:fldCharType="begin"/>
      </w:r>
      <w:r>
        <w:rPr>
          <w:rFonts w:eastAsiaTheme="minorEastAsia"/>
        </w:rPr>
        <w:instrText xml:space="preserve"> HYPERLINK \l _Toc18856 </w:instrText>
      </w:r>
      <w:r>
        <w:rPr>
          <w:rFonts w:eastAsiaTheme="minorEastAsia"/>
        </w:rPr>
        <w:fldChar w:fldCharType="separate"/>
      </w:r>
      <w:r>
        <w:rPr>
          <w:rFonts w:ascii="Times New Roman" w:hAnsi="Times New Roman" w:eastAsiaTheme="minorEastAsia"/>
          <w:szCs w:val="32"/>
        </w:rPr>
        <w:t>前附表</w:t>
      </w:r>
      <w:r>
        <w:tab/>
      </w:r>
      <w:r>
        <w:fldChar w:fldCharType="begin"/>
      </w:r>
      <w:r>
        <w:instrText xml:space="preserve"> PAGEREF _Toc18856 \h </w:instrText>
      </w:r>
      <w:r>
        <w:fldChar w:fldCharType="separate"/>
      </w:r>
      <w:r>
        <w:t>1</w:t>
      </w:r>
      <w:r>
        <w:fldChar w:fldCharType="end"/>
      </w:r>
      <w:r>
        <w:rPr>
          <w:rFonts w:eastAsiaTheme="minorEastAsia"/>
        </w:rPr>
        <w:fldChar w:fldCharType="end"/>
      </w:r>
    </w:p>
    <w:p w14:paraId="49D54D74">
      <w:pPr>
        <w:pStyle w:val="27"/>
        <w:tabs>
          <w:tab w:val="right" w:leader="dot" w:pos="9072"/>
        </w:tabs>
      </w:pPr>
      <w:r>
        <w:rPr>
          <w:rFonts w:eastAsiaTheme="minorEastAsia"/>
        </w:rPr>
        <w:fldChar w:fldCharType="begin"/>
      </w:r>
      <w:r>
        <w:rPr>
          <w:rFonts w:eastAsiaTheme="minorEastAsia"/>
        </w:rPr>
        <w:instrText xml:space="preserve"> HYPERLINK \l _Toc20721 </w:instrText>
      </w:r>
      <w:r>
        <w:rPr>
          <w:rFonts w:eastAsiaTheme="minorEastAsia"/>
        </w:rPr>
        <w:fldChar w:fldCharType="separate"/>
      </w:r>
      <w:r>
        <w:rPr>
          <w:rFonts w:ascii="Times New Roman" w:hAnsi="Times New Roman" w:eastAsiaTheme="minorEastAsia"/>
          <w:bCs/>
          <w:szCs w:val="32"/>
        </w:rPr>
        <w:t>一、总则</w:t>
      </w:r>
      <w:r>
        <w:tab/>
      </w:r>
      <w:r>
        <w:fldChar w:fldCharType="begin"/>
      </w:r>
      <w:r>
        <w:instrText xml:space="preserve"> PAGEREF _Toc20721 \h </w:instrText>
      </w:r>
      <w:r>
        <w:fldChar w:fldCharType="separate"/>
      </w:r>
      <w:r>
        <w:t>3</w:t>
      </w:r>
      <w:r>
        <w:fldChar w:fldCharType="end"/>
      </w:r>
      <w:r>
        <w:rPr>
          <w:rFonts w:eastAsiaTheme="minorEastAsia"/>
        </w:rPr>
        <w:fldChar w:fldCharType="end"/>
      </w:r>
    </w:p>
    <w:p w14:paraId="04978C89">
      <w:pPr>
        <w:pStyle w:val="27"/>
        <w:tabs>
          <w:tab w:val="right" w:leader="dot" w:pos="9072"/>
        </w:tabs>
      </w:pPr>
      <w:r>
        <w:rPr>
          <w:rFonts w:eastAsiaTheme="minorEastAsia"/>
        </w:rPr>
        <w:fldChar w:fldCharType="begin"/>
      </w:r>
      <w:r>
        <w:rPr>
          <w:rFonts w:eastAsiaTheme="minorEastAsia"/>
        </w:rPr>
        <w:instrText xml:space="preserve"> HYPERLINK \l _Toc2903 </w:instrText>
      </w:r>
      <w:r>
        <w:rPr>
          <w:rFonts w:eastAsiaTheme="minorEastAsia"/>
        </w:rPr>
        <w:fldChar w:fldCharType="separate"/>
      </w:r>
      <w:r>
        <w:rPr>
          <w:rFonts w:ascii="Times New Roman" w:hAnsi="Times New Roman" w:eastAsiaTheme="minorEastAsia"/>
          <w:bCs/>
          <w:szCs w:val="32"/>
        </w:rPr>
        <w:t>二、比选文件</w:t>
      </w:r>
      <w:r>
        <w:tab/>
      </w:r>
      <w:r>
        <w:fldChar w:fldCharType="begin"/>
      </w:r>
      <w:r>
        <w:instrText xml:space="preserve"> PAGEREF _Toc2903 \h </w:instrText>
      </w:r>
      <w:r>
        <w:fldChar w:fldCharType="separate"/>
      </w:r>
      <w:r>
        <w:t>3</w:t>
      </w:r>
      <w:r>
        <w:fldChar w:fldCharType="end"/>
      </w:r>
      <w:r>
        <w:rPr>
          <w:rFonts w:eastAsiaTheme="minorEastAsia"/>
        </w:rPr>
        <w:fldChar w:fldCharType="end"/>
      </w:r>
    </w:p>
    <w:p w14:paraId="61D7437B">
      <w:pPr>
        <w:pStyle w:val="27"/>
        <w:tabs>
          <w:tab w:val="right" w:leader="dot" w:pos="9072"/>
        </w:tabs>
      </w:pPr>
      <w:r>
        <w:rPr>
          <w:rFonts w:eastAsiaTheme="minorEastAsia"/>
        </w:rPr>
        <w:fldChar w:fldCharType="begin"/>
      </w:r>
      <w:r>
        <w:rPr>
          <w:rFonts w:eastAsiaTheme="minorEastAsia"/>
        </w:rPr>
        <w:instrText xml:space="preserve"> HYPERLINK \l _Toc12816 </w:instrText>
      </w:r>
      <w:r>
        <w:rPr>
          <w:rFonts w:eastAsiaTheme="minorEastAsia"/>
        </w:rPr>
        <w:fldChar w:fldCharType="separate"/>
      </w:r>
      <w:r>
        <w:rPr>
          <w:rFonts w:ascii="Times New Roman" w:hAnsi="Times New Roman" w:eastAsiaTheme="minorEastAsia"/>
          <w:bCs/>
          <w:szCs w:val="32"/>
        </w:rPr>
        <w:t>三、</w:t>
      </w:r>
      <w:r>
        <w:rPr>
          <w:rFonts w:hint="eastAsia" w:ascii="Times New Roman" w:hAnsi="Times New Roman" w:eastAsiaTheme="minorEastAsia"/>
          <w:bCs/>
          <w:szCs w:val="32"/>
          <w:lang w:val="en-US" w:eastAsia="zh-CN"/>
        </w:rPr>
        <w:t>申请</w:t>
      </w:r>
      <w:r>
        <w:rPr>
          <w:rFonts w:ascii="Times New Roman" w:hAnsi="Times New Roman" w:eastAsiaTheme="minorEastAsia"/>
          <w:bCs/>
          <w:szCs w:val="32"/>
        </w:rPr>
        <w:t>比选报价说明</w:t>
      </w:r>
      <w:r>
        <w:tab/>
      </w:r>
      <w:r>
        <w:fldChar w:fldCharType="begin"/>
      </w:r>
      <w:r>
        <w:instrText xml:space="preserve"> PAGEREF _Toc12816 \h </w:instrText>
      </w:r>
      <w:r>
        <w:fldChar w:fldCharType="separate"/>
      </w:r>
      <w:r>
        <w:t>4</w:t>
      </w:r>
      <w:r>
        <w:fldChar w:fldCharType="end"/>
      </w:r>
      <w:r>
        <w:rPr>
          <w:rFonts w:eastAsiaTheme="minorEastAsia"/>
        </w:rPr>
        <w:fldChar w:fldCharType="end"/>
      </w:r>
    </w:p>
    <w:p w14:paraId="3AFDB252">
      <w:pPr>
        <w:pStyle w:val="27"/>
        <w:tabs>
          <w:tab w:val="right" w:leader="dot" w:pos="9072"/>
        </w:tabs>
      </w:pPr>
      <w:r>
        <w:rPr>
          <w:rFonts w:eastAsiaTheme="minorEastAsia"/>
        </w:rPr>
        <w:fldChar w:fldCharType="begin"/>
      </w:r>
      <w:r>
        <w:rPr>
          <w:rFonts w:eastAsiaTheme="minorEastAsia"/>
        </w:rPr>
        <w:instrText xml:space="preserve"> HYPERLINK \l _Toc10262 </w:instrText>
      </w:r>
      <w:r>
        <w:rPr>
          <w:rFonts w:eastAsiaTheme="minorEastAsia"/>
        </w:rPr>
        <w:fldChar w:fldCharType="separate"/>
      </w:r>
      <w:r>
        <w:rPr>
          <w:rFonts w:ascii="Times New Roman" w:hAnsi="Times New Roman" w:eastAsiaTheme="minorEastAsia"/>
          <w:bCs/>
          <w:szCs w:val="32"/>
        </w:rPr>
        <w:t>四、比选申请文件的编制</w:t>
      </w:r>
      <w:r>
        <w:tab/>
      </w:r>
      <w:r>
        <w:fldChar w:fldCharType="begin"/>
      </w:r>
      <w:r>
        <w:instrText xml:space="preserve"> PAGEREF _Toc10262 \h </w:instrText>
      </w:r>
      <w:r>
        <w:fldChar w:fldCharType="separate"/>
      </w:r>
      <w:r>
        <w:t>4</w:t>
      </w:r>
      <w:r>
        <w:fldChar w:fldCharType="end"/>
      </w:r>
      <w:r>
        <w:rPr>
          <w:rFonts w:eastAsiaTheme="minorEastAsia"/>
        </w:rPr>
        <w:fldChar w:fldCharType="end"/>
      </w:r>
    </w:p>
    <w:p w14:paraId="10F010D4">
      <w:pPr>
        <w:pStyle w:val="27"/>
        <w:tabs>
          <w:tab w:val="right" w:leader="dot" w:pos="9072"/>
        </w:tabs>
      </w:pPr>
      <w:r>
        <w:rPr>
          <w:rFonts w:eastAsiaTheme="minorEastAsia"/>
        </w:rPr>
        <w:fldChar w:fldCharType="begin"/>
      </w:r>
      <w:r>
        <w:rPr>
          <w:rFonts w:eastAsiaTheme="minorEastAsia"/>
        </w:rPr>
        <w:instrText xml:space="preserve"> HYPERLINK \l _Toc930 </w:instrText>
      </w:r>
      <w:r>
        <w:rPr>
          <w:rFonts w:eastAsiaTheme="minorEastAsia"/>
        </w:rPr>
        <w:fldChar w:fldCharType="separate"/>
      </w:r>
      <w:r>
        <w:rPr>
          <w:rFonts w:ascii="Times New Roman" w:hAnsi="Times New Roman" w:eastAsiaTheme="minorEastAsia"/>
          <w:bCs/>
          <w:szCs w:val="32"/>
        </w:rPr>
        <w:t>五、比选申请文件的递交</w:t>
      </w:r>
      <w:r>
        <w:tab/>
      </w:r>
      <w:r>
        <w:fldChar w:fldCharType="begin"/>
      </w:r>
      <w:r>
        <w:instrText xml:space="preserve"> PAGEREF _Toc930 \h </w:instrText>
      </w:r>
      <w:r>
        <w:fldChar w:fldCharType="separate"/>
      </w:r>
      <w:r>
        <w:t>5</w:t>
      </w:r>
      <w:r>
        <w:fldChar w:fldCharType="end"/>
      </w:r>
      <w:r>
        <w:rPr>
          <w:rFonts w:eastAsiaTheme="minorEastAsia"/>
        </w:rPr>
        <w:fldChar w:fldCharType="end"/>
      </w:r>
    </w:p>
    <w:p w14:paraId="069C73BB">
      <w:pPr>
        <w:pStyle w:val="27"/>
        <w:tabs>
          <w:tab w:val="right" w:leader="dot" w:pos="9072"/>
        </w:tabs>
      </w:pPr>
      <w:r>
        <w:rPr>
          <w:rFonts w:eastAsiaTheme="minorEastAsia"/>
        </w:rPr>
        <w:fldChar w:fldCharType="begin"/>
      </w:r>
      <w:r>
        <w:rPr>
          <w:rFonts w:eastAsiaTheme="minorEastAsia"/>
        </w:rPr>
        <w:instrText xml:space="preserve"> HYPERLINK \l _Toc920 </w:instrText>
      </w:r>
      <w:r>
        <w:rPr>
          <w:rFonts w:eastAsiaTheme="minorEastAsia"/>
        </w:rPr>
        <w:fldChar w:fldCharType="separate"/>
      </w:r>
      <w:r>
        <w:rPr>
          <w:rFonts w:ascii="Times New Roman" w:hAnsi="Times New Roman" w:eastAsiaTheme="minorEastAsia"/>
          <w:bCs/>
          <w:szCs w:val="32"/>
        </w:rPr>
        <w:t>六、评比</w:t>
      </w:r>
      <w:r>
        <w:tab/>
      </w:r>
      <w:r>
        <w:fldChar w:fldCharType="begin"/>
      </w:r>
      <w:r>
        <w:instrText xml:space="preserve"> PAGEREF _Toc920 \h </w:instrText>
      </w:r>
      <w:r>
        <w:fldChar w:fldCharType="separate"/>
      </w:r>
      <w:r>
        <w:t>6</w:t>
      </w:r>
      <w:r>
        <w:fldChar w:fldCharType="end"/>
      </w:r>
      <w:r>
        <w:rPr>
          <w:rFonts w:eastAsiaTheme="minorEastAsia"/>
        </w:rPr>
        <w:fldChar w:fldCharType="end"/>
      </w:r>
    </w:p>
    <w:p w14:paraId="2B6995F5">
      <w:pPr>
        <w:pStyle w:val="27"/>
        <w:tabs>
          <w:tab w:val="right" w:leader="dot" w:pos="9072"/>
        </w:tabs>
      </w:pPr>
      <w:r>
        <w:rPr>
          <w:rFonts w:eastAsiaTheme="minorEastAsia"/>
        </w:rPr>
        <w:fldChar w:fldCharType="begin"/>
      </w:r>
      <w:r>
        <w:rPr>
          <w:rFonts w:eastAsiaTheme="minorEastAsia"/>
        </w:rPr>
        <w:instrText xml:space="preserve"> HYPERLINK \l _Toc10644 </w:instrText>
      </w:r>
      <w:r>
        <w:rPr>
          <w:rFonts w:eastAsiaTheme="minorEastAsia"/>
        </w:rPr>
        <w:fldChar w:fldCharType="separate"/>
      </w:r>
      <w:r>
        <w:rPr>
          <w:rFonts w:ascii="Times New Roman" w:hAnsi="Times New Roman" w:eastAsiaTheme="minorEastAsia"/>
          <w:bCs/>
          <w:szCs w:val="32"/>
        </w:rPr>
        <w:t>七、授予合同</w:t>
      </w:r>
      <w:r>
        <w:tab/>
      </w:r>
      <w:r>
        <w:fldChar w:fldCharType="begin"/>
      </w:r>
      <w:r>
        <w:instrText xml:space="preserve"> PAGEREF _Toc10644 \h </w:instrText>
      </w:r>
      <w:r>
        <w:fldChar w:fldCharType="separate"/>
      </w:r>
      <w:r>
        <w:t>6</w:t>
      </w:r>
      <w:r>
        <w:fldChar w:fldCharType="end"/>
      </w:r>
      <w:r>
        <w:rPr>
          <w:rFonts w:eastAsiaTheme="minorEastAsia"/>
        </w:rPr>
        <w:fldChar w:fldCharType="end"/>
      </w:r>
    </w:p>
    <w:p w14:paraId="70F40021">
      <w:pPr>
        <w:pStyle w:val="23"/>
        <w:tabs>
          <w:tab w:val="right" w:leader="dot" w:pos="9072"/>
        </w:tabs>
      </w:pPr>
      <w:r>
        <w:rPr>
          <w:rFonts w:eastAsiaTheme="minorEastAsia"/>
        </w:rPr>
        <w:fldChar w:fldCharType="begin"/>
      </w:r>
      <w:r>
        <w:rPr>
          <w:rFonts w:eastAsiaTheme="minorEastAsia"/>
        </w:rPr>
        <w:instrText xml:space="preserve"> HYPERLINK \l _Toc27896 </w:instrText>
      </w:r>
      <w:r>
        <w:rPr>
          <w:rFonts w:eastAsiaTheme="minorEastAsia"/>
        </w:rPr>
        <w:fldChar w:fldCharType="separate"/>
      </w:r>
      <w:r>
        <w:rPr>
          <w:rFonts w:eastAsiaTheme="minorEastAsia"/>
          <w:szCs w:val="44"/>
        </w:rPr>
        <w:t>第</w:t>
      </w:r>
      <w:r>
        <w:rPr>
          <w:rFonts w:hint="eastAsia" w:eastAsiaTheme="minorEastAsia"/>
          <w:szCs w:val="44"/>
          <w:lang w:eastAsia="zh-CN"/>
        </w:rPr>
        <w:t>二</w:t>
      </w:r>
      <w:r>
        <w:rPr>
          <w:rFonts w:eastAsiaTheme="minorEastAsia"/>
          <w:szCs w:val="44"/>
        </w:rPr>
        <w:t>章</w:t>
      </w:r>
      <w:r>
        <w:rPr>
          <w:rFonts w:hint="default" w:eastAsiaTheme="minorEastAsia"/>
          <w:szCs w:val="44"/>
          <w:lang w:val="en-US" w:eastAsia="zh-CN"/>
        </w:rPr>
        <w:t xml:space="preserve"> </w:t>
      </w:r>
      <w:r>
        <w:rPr>
          <w:rFonts w:eastAsiaTheme="minorEastAsia"/>
          <w:szCs w:val="44"/>
        </w:rPr>
        <w:t>合同条款</w:t>
      </w:r>
      <w:r>
        <w:tab/>
      </w:r>
      <w:r>
        <w:fldChar w:fldCharType="begin"/>
      </w:r>
      <w:r>
        <w:instrText xml:space="preserve"> PAGEREF _Toc27896 \h </w:instrText>
      </w:r>
      <w:r>
        <w:fldChar w:fldCharType="separate"/>
      </w:r>
      <w:r>
        <w:t>7</w:t>
      </w:r>
      <w:r>
        <w:fldChar w:fldCharType="end"/>
      </w:r>
      <w:r>
        <w:rPr>
          <w:rFonts w:eastAsiaTheme="minorEastAsia"/>
        </w:rPr>
        <w:fldChar w:fldCharType="end"/>
      </w:r>
    </w:p>
    <w:p w14:paraId="7A0A6D2A">
      <w:pPr>
        <w:pStyle w:val="23"/>
        <w:tabs>
          <w:tab w:val="right" w:leader="dot" w:pos="9072"/>
        </w:tabs>
      </w:pPr>
      <w:r>
        <w:rPr>
          <w:rFonts w:eastAsiaTheme="minorEastAsia"/>
        </w:rPr>
        <w:fldChar w:fldCharType="begin"/>
      </w:r>
      <w:r>
        <w:rPr>
          <w:rFonts w:eastAsiaTheme="minorEastAsia"/>
        </w:rPr>
        <w:instrText xml:space="preserve"> HYPERLINK \l _Toc19954 </w:instrText>
      </w:r>
      <w:r>
        <w:rPr>
          <w:rFonts w:eastAsiaTheme="minorEastAsia"/>
        </w:rPr>
        <w:fldChar w:fldCharType="separate"/>
      </w:r>
      <w:r>
        <w:rPr>
          <w:rFonts w:hint="default" w:ascii="宋体" w:hAnsi="宋体" w:eastAsia="宋体" w:cs="宋体"/>
          <w:szCs w:val="28"/>
        </w:rPr>
        <w:t>第</w:t>
      </w:r>
      <w:r>
        <w:rPr>
          <w:rFonts w:hint="eastAsia" w:ascii="宋体" w:hAnsi="宋体" w:cs="宋体"/>
          <w:szCs w:val="28"/>
          <w:lang w:eastAsia="zh-CN"/>
        </w:rPr>
        <w:t>三</w:t>
      </w:r>
      <w:r>
        <w:rPr>
          <w:rFonts w:hint="eastAsia" w:ascii="宋体" w:hAnsi="宋体" w:eastAsia="宋体" w:cs="宋体"/>
          <w:szCs w:val="28"/>
        </w:rPr>
        <w:t>章</w:t>
      </w:r>
      <w:r>
        <w:rPr>
          <w:rFonts w:hint="default" w:ascii="宋体" w:hAnsi="宋体" w:eastAsia="宋体" w:cs="宋体"/>
          <w:szCs w:val="28"/>
          <w:lang w:val="en-US" w:eastAsia="zh-CN"/>
        </w:rPr>
        <w:t xml:space="preserve"> </w:t>
      </w:r>
      <w:r>
        <w:rPr>
          <w:rFonts w:hint="eastAsia" w:ascii="宋体" w:hAnsi="宋体" w:eastAsia="宋体" w:cs="宋体"/>
          <w:szCs w:val="28"/>
        </w:rPr>
        <w:t>比选申请文件</w:t>
      </w:r>
      <w:r>
        <w:rPr>
          <w:rFonts w:hint="eastAsia" w:ascii="宋体" w:hAnsi="宋体" w:eastAsia="宋体" w:cs="宋体"/>
          <w:szCs w:val="28"/>
          <w:lang w:eastAsia="zh-CN"/>
        </w:rPr>
        <w:t>（</w:t>
      </w:r>
      <w:r>
        <w:rPr>
          <w:rFonts w:hint="eastAsia" w:ascii="宋体" w:hAnsi="宋体" w:eastAsia="宋体" w:cs="宋体"/>
          <w:szCs w:val="28"/>
        </w:rPr>
        <w:t>格式</w:t>
      </w:r>
      <w:r>
        <w:rPr>
          <w:rFonts w:hint="eastAsia" w:ascii="宋体" w:hAnsi="宋体" w:eastAsia="宋体" w:cs="宋体"/>
          <w:szCs w:val="28"/>
          <w:lang w:eastAsia="zh-CN"/>
        </w:rPr>
        <w:t>）</w:t>
      </w:r>
      <w:r>
        <w:tab/>
      </w:r>
      <w:r>
        <w:fldChar w:fldCharType="begin"/>
      </w:r>
      <w:r>
        <w:instrText xml:space="preserve"> PAGEREF _Toc19954 \h </w:instrText>
      </w:r>
      <w:r>
        <w:fldChar w:fldCharType="separate"/>
      </w:r>
      <w:r>
        <w:t>16</w:t>
      </w:r>
      <w:r>
        <w:fldChar w:fldCharType="end"/>
      </w:r>
      <w:r>
        <w:rPr>
          <w:rFonts w:eastAsiaTheme="minorEastAsia"/>
        </w:rPr>
        <w:fldChar w:fldCharType="end"/>
      </w:r>
    </w:p>
    <w:p w14:paraId="40E4C945">
      <w:pPr>
        <w:pStyle w:val="27"/>
        <w:tabs>
          <w:tab w:val="right" w:leader="dot" w:pos="9072"/>
        </w:tabs>
      </w:pPr>
      <w:r>
        <w:rPr>
          <w:rFonts w:eastAsiaTheme="minorEastAsia"/>
        </w:rPr>
        <w:fldChar w:fldCharType="begin"/>
      </w:r>
      <w:r>
        <w:rPr>
          <w:rFonts w:eastAsiaTheme="minorEastAsia"/>
        </w:rPr>
        <w:instrText xml:space="preserve"> HYPERLINK \l _Toc2052 </w:instrText>
      </w:r>
      <w:r>
        <w:rPr>
          <w:rFonts w:eastAsiaTheme="minorEastAsia"/>
        </w:rPr>
        <w:fldChar w:fldCharType="separate"/>
      </w:r>
      <w:r>
        <w:rPr>
          <w:rFonts w:hint="eastAsia" w:ascii="Arial" w:hAnsi="Arial"/>
          <w:bCs/>
          <w:kern w:val="0"/>
          <w:szCs w:val="20"/>
        </w:rPr>
        <w:t>一、资格审查章节目录</w:t>
      </w:r>
      <w:r>
        <w:tab/>
      </w:r>
      <w:r>
        <w:fldChar w:fldCharType="begin"/>
      </w:r>
      <w:r>
        <w:instrText xml:space="preserve"> PAGEREF _Toc2052 \h </w:instrText>
      </w:r>
      <w:r>
        <w:fldChar w:fldCharType="separate"/>
      </w:r>
      <w:r>
        <w:t>17</w:t>
      </w:r>
      <w:r>
        <w:fldChar w:fldCharType="end"/>
      </w:r>
      <w:r>
        <w:rPr>
          <w:rFonts w:eastAsiaTheme="minorEastAsia"/>
        </w:rPr>
        <w:fldChar w:fldCharType="end"/>
      </w:r>
    </w:p>
    <w:p w14:paraId="6CF2C66A">
      <w:pPr>
        <w:pStyle w:val="27"/>
        <w:tabs>
          <w:tab w:val="right" w:leader="dot" w:pos="9072"/>
        </w:tabs>
      </w:pPr>
      <w:r>
        <w:rPr>
          <w:rFonts w:eastAsiaTheme="minorEastAsia"/>
        </w:rPr>
        <w:fldChar w:fldCharType="begin"/>
      </w:r>
      <w:r>
        <w:rPr>
          <w:rFonts w:eastAsiaTheme="minorEastAsia"/>
        </w:rPr>
        <w:instrText xml:space="preserve"> HYPERLINK \l _Toc26491 </w:instrText>
      </w:r>
      <w:r>
        <w:rPr>
          <w:rFonts w:eastAsiaTheme="minorEastAsia"/>
        </w:rPr>
        <w:fldChar w:fldCharType="separate"/>
      </w:r>
      <w:r>
        <w:rPr>
          <w:rFonts w:hint="eastAsia" w:ascii="Arial" w:hAnsi="Arial" w:eastAsia="宋体" w:cs="Times New Roman"/>
          <w:bCs/>
          <w:kern w:val="0"/>
          <w:szCs w:val="20"/>
        </w:rPr>
        <w:t>二、技术章节目录</w:t>
      </w:r>
      <w:r>
        <w:tab/>
      </w:r>
      <w:r>
        <w:fldChar w:fldCharType="begin"/>
      </w:r>
      <w:r>
        <w:instrText xml:space="preserve"> PAGEREF _Toc26491 \h </w:instrText>
      </w:r>
      <w:r>
        <w:fldChar w:fldCharType="separate"/>
      </w:r>
      <w:r>
        <w:t>25</w:t>
      </w:r>
      <w:r>
        <w:fldChar w:fldCharType="end"/>
      </w:r>
      <w:r>
        <w:rPr>
          <w:rFonts w:eastAsiaTheme="minorEastAsia"/>
        </w:rPr>
        <w:fldChar w:fldCharType="end"/>
      </w:r>
    </w:p>
    <w:p w14:paraId="5F4A667B">
      <w:pPr>
        <w:pStyle w:val="27"/>
        <w:tabs>
          <w:tab w:val="right" w:leader="dot" w:pos="9072"/>
        </w:tabs>
      </w:pPr>
      <w:r>
        <w:rPr>
          <w:rFonts w:eastAsiaTheme="minorEastAsia"/>
        </w:rPr>
        <w:fldChar w:fldCharType="begin"/>
      </w:r>
      <w:r>
        <w:rPr>
          <w:rFonts w:eastAsiaTheme="minorEastAsia"/>
        </w:rPr>
        <w:instrText xml:space="preserve"> HYPERLINK \l _Toc29187 </w:instrText>
      </w:r>
      <w:r>
        <w:rPr>
          <w:rFonts w:eastAsiaTheme="minorEastAsia"/>
        </w:rPr>
        <w:fldChar w:fldCharType="separate"/>
      </w:r>
      <w:r>
        <w:rPr>
          <w:rFonts w:hint="eastAsia" w:ascii="Arial" w:hAnsi="Arial" w:eastAsia="宋体" w:cs="Times New Roman"/>
          <w:bCs/>
          <w:kern w:val="0"/>
          <w:szCs w:val="20"/>
        </w:rPr>
        <w:t>三、商务</w:t>
      </w:r>
      <w:r>
        <w:rPr>
          <w:rFonts w:hint="eastAsia" w:ascii="Arial" w:hAnsi="Arial" w:eastAsia="宋体" w:cs="Times New Roman"/>
          <w:bCs/>
          <w:kern w:val="0"/>
          <w:szCs w:val="20"/>
          <w:lang w:val="en-US" w:eastAsia="zh-CN"/>
        </w:rPr>
        <w:t>章节</w:t>
      </w:r>
      <w:r>
        <w:rPr>
          <w:rFonts w:hint="eastAsia" w:ascii="Arial" w:hAnsi="Arial" w:eastAsia="宋体" w:cs="Times New Roman"/>
          <w:bCs/>
          <w:kern w:val="0"/>
          <w:szCs w:val="20"/>
        </w:rPr>
        <w:t>目录</w:t>
      </w:r>
      <w:r>
        <w:tab/>
      </w:r>
      <w:r>
        <w:fldChar w:fldCharType="begin"/>
      </w:r>
      <w:r>
        <w:instrText xml:space="preserve"> PAGEREF _Toc29187 \h </w:instrText>
      </w:r>
      <w:r>
        <w:fldChar w:fldCharType="separate"/>
      </w:r>
      <w:r>
        <w:t>31</w:t>
      </w:r>
      <w:r>
        <w:fldChar w:fldCharType="end"/>
      </w:r>
      <w:r>
        <w:rPr>
          <w:rFonts w:eastAsiaTheme="minorEastAsia"/>
        </w:rPr>
        <w:fldChar w:fldCharType="end"/>
      </w:r>
    </w:p>
    <w:p w14:paraId="6D3025A1">
      <w:pPr>
        <w:pStyle w:val="23"/>
        <w:tabs>
          <w:tab w:val="right" w:leader="dot" w:pos="9072"/>
        </w:tabs>
      </w:pPr>
      <w:r>
        <w:rPr>
          <w:rFonts w:eastAsiaTheme="minorEastAsia"/>
        </w:rPr>
        <w:fldChar w:fldCharType="begin"/>
      </w:r>
      <w:r>
        <w:rPr>
          <w:rFonts w:eastAsiaTheme="minorEastAsia"/>
        </w:rPr>
        <w:instrText xml:space="preserve"> HYPERLINK \l _Toc8660 </w:instrText>
      </w:r>
      <w:r>
        <w:rPr>
          <w:rFonts w:eastAsiaTheme="minorEastAsia"/>
        </w:rPr>
        <w:fldChar w:fldCharType="separate"/>
      </w:r>
      <w:r>
        <w:rPr>
          <w:rFonts w:hint="eastAsia" w:eastAsiaTheme="minorEastAsia"/>
          <w:szCs w:val="44"/>
        </w:rPr>
        <w:t>第</w:t>
      </w:r>
      <w:r>
        <w:rPr>
          <w:rFonts w:hint="eastAsia" w:eastAsiaTheme="minorEastAsia"/>
          <w:szCs w:val="44"/>
          <w:lang w:eastAsia="zh-CN"/>
        </w:rPr>
        <w:t>四</w:t>
      </w:r>
      <w:r>
        <w:rPr>
          <w:rFonts w:hint="eastAsia" w:eastAsiaTheme="minorEastAsia"/>
          <w:szCs w:val="44"/>
        </w:rPr>
        <w:t>章</w:t>
      </w:r>
      <w:r>
        <w:rPr>
          <w:rFonts w:hint="default" w:eastAsiaTheme="minorEastAsia"/>
          <w:szCs w:val="44"/>
        </w:rPr>
        <w:t xml:space="preserve"> </w:t>
      </w:r>
      <w:r>
        <w:rPr>
          <w:rFonts w:hint="eastAsia" w:eastAsiaTheme="minorEastAsia"/>
          <w:szCs w:val="44"/>
        </w:rPr>
        <w:t>评比办法</w:t>
      </w:r>
      <w:r>
        <w:tab/>
      </w:r>
      <w:r>
        <w:fldChar w:fldCharType="begin"/>
      </w:r>
      <w:r>
        <w:instrText xml:space="preserve"> PAGEREF _Toc8660 \h </w:instrText>
      </w:r>
      <w:r>
        <w:fldChar w:fldCharType="separate"/>
      </w:r>
      <w:r>
        <w:t>33</w:t>
      </w:r>
      <w:r>
        <w:fldChar w:fldCharType="end"/>
      </w:r>
      <w:r>
        <w:rPr>
          <w:rFonts w:eastAsiaTheme="minorEastAsia"/>
        </w:rPr>
        <w:fldChar w:fldCharType="end"/>
      </w:r>
    </w:p>
    <w:p w14:paraId="250232D8">
      <w:pPr>
        <w:pStyle w:val="27"/>
        <w:tabs>
          <w:tab w:val="right" w:leader="dot" w:pos="9072"/>
        </w:tabs>
      </w:pPr>
      <w:r>
        <w:rPr>
          <w:rFonts w:eastAsiaTheme="minorEastAsia"/>
        </w:rPr>
        <w:fldChar w:fldCharType="begin"/>
      </w:r>
      <w:r>
        <w:rPr>
          <w:rFonts w:eastAsiaTheme="minorEastAsia"/>
        </w:rPr>
        <w:instrText xml:space="preserve"> HYPERLINK \l _Toc1428 </w:instrText>
      </w:r>
      <w:r>
        <w:rPr>
          <w:rFonts w:eastAsiaTheme="minorEastAsia"/>
        </w:rPr>
        <w:fldChar w:fldCharType="separate"/>
      </w:r>
      <w:r>
        <w:rPr>
          <w:rFonts w:ascii="Times New Roman" w:hAnsi="Times New Roman" w:eastAsiaTheme="minorEastAsia"/>
          <w:szCs w:val="32"/>
        </w:rPr>
        <w:t>一、评比</w:t>
      </w:r>
      <w:r>
        <w:tab/>
      </w:r>
      <w:r>
        <w:fldChar w:fldCharType="begin"/>
      </w:r>
      <w:r>
        <w:instrText xml:space="preserve"> PAGEREF _Toc1428 \h </w:instrText>
      </w:r>
      <w:r>
        <w:fldChar w:fldCharType="separate"/>
      </w:r>
      <w:r>
        <w:t>33</w:t>
      </w:r>
      <w:r>
        <w:fldChar w:fldCharType="end"/>
      </w:r>
      <w:r>
        <w:rPr>
          <w:rFonts w:eastAsiaTheme="minorEastAsia"/>
        </w:rPr>
        <w:fldChar w:fldCharType="end"/>
      </w:r>
    </w:p>
    <w:p w14:paraId="0980FC96">
      <w:pPr>
        <w:pStyle w:val="27"/>
        <w:tabs>
          <w:tab w:val="right" w:leader="dot" w:pos="9072"/>
        </w:tabs>
      </w:pPr>
      <w:r>
        <w:rPr>
          <w:rFonts w:eastAsiaTheme="minorEastAsia"/>
        </w:rPr>
        <w:fldChar w:fldCharType="begin"/>
      </w:r>
      <w:r>
        <w:rPr>
          <w:rFonts w:eastAsiaTheme="minorEastAsia"/>
        </w:rPr>
        <w:instrText xml:space="preserve"> HYPERLINK \l _Toc7274 </w:instrText>
      </w:r>
      <w:r>
        <w:rPr>
          <w:rFonts w:eastAsiaTheme="minorEastAsia"/>
        </w:rPr>
        <w:fldChar w:fldCharType="separate"/>
      </w:r>
      <w:r>
        <w:rPr>
          <w:rFonts w:hint="default" w:ascii="Times New Roman" w:hAnsi="Times New Roman" w:eastAsiaTheme="minorEastAsia"/>
          <w:bCs w:val="0"/>
          <w:szCs w:val="32"/>
          <w:lang w:val="en-US" w:eastAsia="zh-CN"/>
        </w:rPr>
        <w:t>二</w:t>
      </w:r>
      <w:r>
        <w:rPr>
          <w:rFonts w:hint="default" w:ascii="Times New Roman" w:hAnsi="Times New Roman" w:eastAsiaTheme="minorEastAsia"/>
          <w:szCs w:val="32"/>
        </w:rPr>
        <w:t>、综合评分办法</w:t>
      </w:r>
      <w:r>
        <w:tab/>
      </w:r>
      <w:r>
        <w:fldChar w:fldCharType="begin"/>
      </w:r>
      <w:r>
        <w:instrText xml:space="preserve"> PAGEREF _Toc7274 \h </w:instrText>
      </w:r>
      <w:r>
        <w:fldChar w:fldCharType="separate"/>
      </w:r>
      <w:r>
        <w:t>35</w:t>
      </w:r>
      <w:r>
        <w:fldChar w:fldCharType="end"/>
      </w:r>
      <w:r>
        <w:rPr>
          <w:rFonts w:eastAsiaTheme="minorEastAsia"/>
        </w:rPr>
        <w:fldChar w:fldCharType="end"/>
      </w:r>
    </w:p>
    <w:p w14:paraId="3555D55D">
      <w:pPr>
        <w:pStyle w:val="27"/>
        <w:tabs>
          <w:tab w:val="right" w:leader="dot" w:pos="9072"/>
        </w:tabs>
      </w:pPr>
      <w:r>
        <w:rPr>
          <w:rFonts w:eastAsiaTheme="minorEastAsia"/>
        </w:rPr>
        <w:fldChar w:fldCharType="begin"/>
      </w:r>
      <w:r>
        <w:rPr>
          <w:rFonts w:eastAsiaTheme="minorEastAsia"/>
        </w:rPr>
        <w:instrText xml:space="preserve"> HYPERLINK \l _Toc32405 </w:instrText>
      </w:r>
      <w:r>
        <w:rPr>
          <w:rFonts w:eastAsiaTheme="minorEastAsia"/>
        </w:rPr>
        <w:fldChar w:fldCharType="separate"/>
      </w:r>
      <w:r>
        <w:rPr>
          <w:rFonts w:hint="eastAsia" w:ascii="Times New Roman" w:hAnsi="Times New Roman" w:eastAsiaTheme="minorEastAsia"/>
          <w:bCs/>
          <w:szCs w:val="32"/>
          <w:lang w:val="en-US" w:eastAsia="zh-CN"/>
        </w:rPr>
        <w:t>三、总分计算公式</w:t>
      </w:r>
      <w:r>
        <w:tab/>
      </w:r>
      <w:r>
        <w:fldChar w:fldCharType="begin"/>
      </w:r>
      <w:r>
        <w:instrText xml:space="preserve"> PAGEREF _Toc32405 \h </w:instrText>
      </w:r>
      <w:r>
        <w:fldChar w:fldCharType="separate"/>
      </w:r>
      <w:r>
        <w:t>36</w:t>
      </w:r>
      <w:r>
        <w:fldChar w:fldCharType="end"/>
      </w:r>
      <w:r>
        <w:rPr>
          <w:rFonts w:eastAsiaTheme="minorEastAsia"/>
        </w:rPr>
        <w:fldChar w:fldCharType="end"/>
      </w:r>
    </w:p>
    <w:p w14:paraId="013426B5">
      <w:pPr>
        <w:pStyle w:val="27"/>
        <w:tabs>
          <w:tab w:val="right" w:leader="dot" w:pos="9072"/>
        </w:tabs>
      </w:pPr>
      <w:r>
        <w:rPr>
          <w:rFonts w:eastAsiaTheme="minorEastAsia"/>
        </w:rPr>
        <w:fldChar w:fldCharType="begin"/>
      </w:r>
      <w:r>
        <w:rPr>
          <w:rFonts w:eastAsiaTheme="minorEastAsia"/>
        </w:rPr>
        <w:instrText xml:space="preserve"> HYPERLINK \l _Toc23870 </w:instrText>
      </w:r>
      <w:r>
        <w:rPr>
          <w:rFonts w:eastAsiaTheme="minorEastAsia"/>
        </w:rPr>
        <w:fldChar w:fldCharType="separate"/>
      </w:r>
      <w:r>
        <w:rPr>
          <w:rFonts w:hint="eastAsia" w:ascii="Times New Roman" w:hAnsi="Times New Roman" w:eastAsiaTheme="minorEastAsia"/>
          <w:bCs/>
          <w:szCs w:val="32"/>
          <w:lang w:val="en-US" w:eastAsia="zh-CN"/>
        </w:rPr>
        <w:t>四</w:t>
      </w:r>
      <w:r>
        <w:rPr>
          <w:rFonts w:ascii="Times New Roman" w:hAnsi="Times New Roman" w:eastAsiaTheme="minorEastAsia"/>
          <w:bCs/>
          <w:szCs w:val="32"/>
        </w:rPr>
        <w:t>、评分细则</w:t>
      </w:r>
      <w:r>
        <w:tab/>
      </w:r>
      <w:r>
        <w:fldChar w:fldCharType="begin"/>
      </w:r>
      <w:r>
        <w:instrText xml:space="preserve"> PAGEREF _Toc23870 \h </w:instrText>
      </w:r>
      <w:r>
        <w:fldChar w:fldCharType="separate"/>
      </w:r>
      <w:r>
        <w:t>36</w:t>
      </w:r>
      <w:r>
        <w:fldChar w:fldCharType="end"/>
      </w:r>
      <w:r>
        <w:rPr>
          <w:rFonts w:eastAsiaTheme="minorEastAsia"/>
        </w:rPr>
        <w:fldChar w:fldCharType="end"/>
      </w:r>
    </w:p>
    <w:p w14:paraId="6E2D735D">
      <w:pPr>
        <w:pStyle w:val="27"/>
        <w:tabs>
          <w:tab w:val="right" w:leader="dot" w:pos="9072"/>
        </w:tabs>
      </w:pPr>
      <w:r>
        <w:rPr>
          <w:rFonts w:eastAsiaTheme="minorEastAsia"/>
        </w:rPr>
        <w:fldChar w:fldCharType="begin"/>
      </w:r>
      <w:r>
        <w:rPr>
          <w:rFonts w:eastAsiaTheme="minorEastAsia"/>
        </w:rPr>
        <w:instrText xml:space="preserve"> HYPERLINK \l _Toc1588 </w:instrText>
      </w:r>
      <w:r>
        <w:rPr>
          <w:rFonts w:eastAsiaTheme="minorEastAsia"/>
        </w:rPr>
        <w:fldChar w:fldCharType="separate"/>
      </w:r>
      <w:r>
        <w:rPr>
          <w:rFonts w:hint="eastAsia" w:ascii="Times New Roman" w:hAnsi="Times New Roman" w:eastAsiaTheme="minorEastAsia"/>
          <w:bCs/>
          <w:szCs w:val="32"/>
          <w:lang w:val="en-US" w:eastAsia="zh-CN"/>
        </w:rPr>
        <w:t>五</w:t>
      </w:r>
      <w:r>
        <w:rPr>
          <w:rFonts w:hint="default" w:ascii="Times New Roman" w:hAnsi="Times New Roman" w:eastAsiaTheme="minorEastAsia"/>
          <w:bCs/>
          <w:szCs w:val="32"/>
        </w:rPr>
        <w:t>、中选标准</w:t>
      </w:r>
      <w:r>
        <w:tab/>
      </w:r>
      <w:r>
        <w:fldChar w:fldCharType="begin"/>
      </w:r>
      <w:r>
        <w:instrText xml:space="preserve"> PAGEREF _Toc1588 \h </w:instrText>
      </w:r>
      <w:r>
        <w:fldChar w:fldCharType="separate"/>
      </w:r>
      <w:r>
        <w:t>38</w:t>
      </w:r>
      <w:r>
        <w:fldChar w:fldCharType="end"/>
      </w:r>
      <w:r>
        <w:rPr>
          <w:rFonts w:eastAsiaTheme="minorEastAsia"/>
        </w:rPr>
        <w:fldChar w:fldCharType="end"/>
      </w:r>
    </w:p>
    <w:p w14:paraId="7B758A18">
      <w:pPr>
        <w:pStyle w:val="18"/>
        <w:rPr>
          <w:sz w:val="24"/>
        </w:rPr>
      </w:pPr>
      <w:r>
        <w:rPr>
          <w:rFonts w:eastAsiaTheme="minorEastAsia"/>
        </w:rPr>
        <w:fldChar w:fldCharType="end"/>
      </w:r>
    </w:p>
    <w:p w14:paraId="6714DB26">
      <w:pPr>
        <w:widowControl/>
        <w:jc w:val="right"/>
        <w:rPr>
          <w:rFonts w:hint="eastAsia" w:eastAsiaTheme="minorEastAsia"/>
          <w:szCs w:val="28"/>
        </w:rPr>
      </w:pPr>
    </w:p>
    <w:p w14:paraId="7734CB5D">
      <w:pPr>
        <w:pStyle w:val="5"/>
        <w:spacing w:before="0" w:after="0" w:line="360" w:lineRule="auto"/>
        <w:outlineLvl w:val="9"/>
        <w:rPr>
          <w:rFonts w:hint="eastAsia" w:eastAsiaTheme="minorEastAsia"/>
          <w:szCs w:val="28"/>
        </w:rPr>
        <w:sectPr>
          <w:headerReference r:id="rId3" w:type="default"/>
          <w:footerReference r:id="rId4" w:type="default"/>
          <w:pgSz w:w="11906" w:h="16838"/>
          <w:pgMar w:top="1417" w:right="1417" w:bottom="1417" w:left="1417" w:header="851" w:footer="992" w:gutter="0"/>
          <w:pgNumType w:start="1"/>
          <w:cols w:space="425" w:num="1"/>
          <w:docGrid w:type="lines" w:linePitch="312" w:charSpace="0"/>
        </w:sectPr>
      </w:pPr>
      <w:r>
        <w:rPr>
          <w:rFonts w:hint="eastAsia" w:eastAsiaTheme="minorEastAsia"/>
          <w:szCs w:val="28"/>
        </w:rPr>
        <w:t xml:space="preserve">    </w:t>
      </w:r>
      <w:bookmarkStart w:id="33" w:name="_Toc28395"/>
      <w:bookmarkStart w:id="34" w:name="_Toc32520"/>
      <w:bookmarkStart w:id="35" w:name="_Toc24131"/>
      <w:bookmarkStart w:id="36" w:name="_Toc23252"/>
      <w:bookmarkStart w:id="37" w:name="_Toc5281"/>
      <w:bookmarkStart w:id="38" w:name="_Toc5724"/>
      <w:bookmarkStart w:id="39" w:name="_Toc8868"/>
      <w:bookmarkStart w:id="40" w:name="_Toc25632"/>
    </w:p>
    <w:p w14:paraId="6DFB3C40">
      <w:pPr>
        <w:pStyle w:val="5"/>
        <w:spacing w:before="0" w:after="0" w:line="360" w:lineRule="auto"/>
        <w:rPr>
          <w:rFonts w:eastAsiaTheme="minorEastAsia"/>
          <w:sz w:val="44"/>
          <w:szCs w:val="44"/>
        </w:rPr>
      </w:pPr>
      <w:bookmarkStart w:id="41" w:name="_Toc24251"/>
      <w:r>
        <w:rPr>
          <w:rFonts w:eastAsiaTheme="minorEastAsia"/>
          <w:sz w:val="44"/>
          <w:szCs w:val="44"/>
        </w:rPr>
        <w:t>第</w:t>
      </w:r>
      <w:r>
        <w:rPr>
          <w:rFonts w:hint="eastAsia" w:eastAsiaTheme="minorEastAsia"/>
          <w:sz w:val="44"/>
          <w:szCs w:val="44"/>
          <w:lang w:eastAsia="zh-CN"/>
        </w:rPr>
        <w:t>一</w:t>
      </w:r>
      <w:r>
        <w:rPr>
          <w:rFonts w:eastAsiaTheme="minorEastAsia"/>
          <w:sz w:val="44"/>
          <w:szCs w:val="44"/>
        </w:rPr>
        <w:t>章</w:t>
      </w:r>
      <w:r>
        <w:rPr>
          <w:rFonts w:hint="eastAsia" w:eastAsiaTheme="minorEastAsia"/>
          <w:sz w:val="44"/>
          <w:szCs w:val="44"/>
          <w:lang w:val="en-US" w:eastAsia="zh-CN"/>
        </w:rPr>
        <w:t xml:space="preserve"> </w:t>
      </w:r>
      <w:r>
        <w:rPr>
          <w:rFonts w:eastAsiaTheme="minorEastAsia"/>
          <w:sz w:val="44"/>
          <w:szCs w:val="44"/>
        </w:rPr>
        <w:t>比选须知</w:t>
      </w:r>
      <w:bookmarkEnd w:id="8"/>
      <w:bookmarkEnd w:id="9"/>
      <w:bookmarkEnd w:id="10"/>
      <w:bookmarkEnd w:id="11"/>
      <w:bookmarkEnd w:id="12"/>
      <w:bookmarkEnd w:id="13"/>
      <w:bookmarkEnd w:id="14"/>
      <w:bookmarkEnd w:id="15"/>
      <w:bookmarkEnd w:id="16"/>
      <w:bookmarkEnd w:id="17"/>
      <w:bookmarkEnd w:id="18"/>
      <w:bookmarkEnd w:id="19"/>
      <w:bookmarkEnd w:id="20"/>
      <w:bookmarkEnd w:id="33"/>
      <w:bookmarkEnd w:id="34"/>
      <w:bookmarkEnd w:id="35"/>
      <w:bookmarkEnd w:id="36"/>
      <w:bookmarkEnd w:id="37"/>
      <w:bookmarkEnd w:id="38"/>
      <w:bookmarkEnd w:id="39"/>
      <w:bookmarkEnd w:id="40"/>
      <w:bookmarkEnd w:id="41"/>
    </w:p>
    <w:p w14:paraId="22BC08FE">
      <w:pPr>
        <w:pStyle w:val="7"/>
        <w:spacing w:before="0" w:after="0" w:line="360" w:lineRule="auto"/>
        <w:jc w:val="center"/>
        <w:rPr>
          <w:rFonts w:ascii="Times New Roman" w:hAnsi="Times New Roman" w:eastAsiaTheme="minorEastAsia"/>
          <w:b/>
          <w:sz w:val="32"/>
          <w:szCs w:val="32"/>
        </w:rPr>
      </w:pPr>
      <w:bookmarkStart w:id="42" w:name="_Toc277"/>
      <w:bookmarkStart w:id="43" w:name="_Toc21327"/>
      <w:bookmarkStart w:id="44" w:name="_Toc14510"/>
      <w:bookmarkStart w:id="45" w:name="_Toc5060"/>
      <w:bookmarkStart w:id="46" w:name="_Toc11527"/>
      <w:bookmarkStart w:id="47" w:name="_Toc18263"/>
      <w:bookmarkStart w:id="48" w:name="_Toc2242"/>
      <w:bookmarkStart w:id="49" w:name="_Toc31166"/>
      <w:bookmarkStart w:id="50" w:name="_Toc31179"/>
      <w:bookmarkStart w:id="51" w:name="_Toc11591"/>
      <w:bookmarkStart w:id="52" w:name="_Toc11329"/>
      <w:bookmarkStart w:id="53" w:name="_Toc17254"/>
      <w:bookmarkStart w:id="54" w:name="_Toc18856"/>
      <w:bookmarkStart w:id="55" w:name="_Toc24239"/>
      <w:bookmarkStart w:id="56" w:name="_Toc11337"/>
      <w:bookmarkStart w:id="57" w:name="_Toc13041"/>
      <w:bookmarkStart w:id="58" w:name="_Toc17641"/>
      <w:bookmarkStart w:id="59" w:name="_Toc2162"/>
      <w:bookmarkStart w:id="60" w:name="_Toc461525295"/>
      <w:bookmarkStart w:id="61" w:name="_Toc1133"/>
      <w:bookmarkStart w:id="62" w:name="_Toc30492"/>
      <w:bookmarkStart w:id="63" w:name="_Toc32591"/>
      <w:r>
        <w:rPr>
          <w:rFonts w:ascii="Times New Roman" w:hAnsi="Times New Roman" w:eastAsiaTheme="minorEastAsia"/>
          <w:b/>
          <w:sz w:val="32"/>
          <w:szCs w:val="32"/>
        </w:rPr>
        <w:t>前附表</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972"/>
        <w:gridCol w:w="7365"/>
      </w:tblGrid>
      <w:tr w14:paraId="489C2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10" w:type="pct"/>
            <w:vAlign w:val="center"/>
          </w:tcPr>
          <w:p w14:paraId="07FF6BE6">
            <w:pPr>
              <w:jc w:val="center"/>
              <w:rPr>
                <w:rFonts w:eastAsiaTheme="minorEastAsia"/>
                <w:sz w:val="24"/>
              </w:rPr>
            </w:pPr>
            <w:r>
              <w:rPr>
                <w:rFonts w:eastAsiaTheme="minorEastAsia"/>
                <w:sz w:val="24"/>
              </w:rPr>
              <w:t>序号</w:t>
            </w:r>
          </w:p>
        </w:tc>
        <w:tc>
          <w:tcPr>
            <w:tcW w:w="523" w:type="pct"/>
            <w:vAlign w:val="center"/>
          </w:tcPr>
          <w:p w14:paraId="067733BA">
            <w:pPr>
              <w:jc w:val="center"/>
              <w:rPr>
                <w:rFonts w:eastAsiaTheme="minorEastAsia"/>
                <w:sz w:val="24"/>
              </w:rPr>
            </w:pPr>
            <w:r>
              <w:rPr>
                <w:rFonts w:eastAsiaTheme="minorEastAsia"/>
                <w:sz w:val="24"/>
              </w:rPr>
              <w:t>内容标题</w:t>
            </w:r>
          </w:p>
        </w:tc>
        <w:tc>
          <w:tcPr>
            <w:tcW w:w="3965" w:type="pct"/>
            <w:vAlign w:val="center"/>
          </w:tcPr>
          <w:p w14:paraId="3095E7CE">
            <w:pPr>
              <w:jc w:val="center"/>
              <w:rPr>
                <w:rFonts w:eastAsiaTheme="minorEastAsia"/>
                <w:sz w:val="24"/>
              </w:rPr>
            </w:pPr>
            <w:r>
              <w:rPr>
                <w:rFonts w:eastAsiaTheme="minorEastAsia"/>
                <w:sz w:val="24"/>
              </w:rPr>
              <w:t>内容规定</w:t>
            </w:r>
          </w:p>
        </w:tc>
      </w:tr>
      <w:tr w14:paraId="6B0A3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510" w:type="pct"/>
            <w:vAlign w:val="center"/>
          </w:tcPr>
          <w:p w14:paraId="387E7A3C">
            <w:pPr>
              <w:jc w:val="center"/>
              <w:rPr>
                <w:rFonts w:eastAsiaTheme="minorEastAsia"/>
                <w:sz w:val="24"/>
              </w:rPr>
            </w:pPr>
            <w:r>
              <w:rPr>
                <w:rFonts w:eastAsiaTheme="minorEastAsia"/>
                <w:sz w:val="24"/>
              </w:rPr>
              <w:t>1</w:t>
            </w:r>
          </w:p>
        </w:tc>
        <w:tc>
          <w:tcPr>
            <w:tcW w:w="523" w:type="pct"/>
            <w:vAlign w:val="center"/>
          </w:tcPr>
          <w:p w14:paraId="64CD5486">
            <w:pPr>
              <w:jc w:val="left"/>
              <w:rPr>
                <w:rFonts w:eastAsiaTheme="minorEastAsia"/>
                <w:sz w:val="24"/>
              </w:rPr>
            </w:pPr>
            <w:r>
              <w:rPr>
                <w:rFonts w:eastAsiaTheme="minorEastAsia"/>
                <w:sz w:val="24"/>
              </w:rPr>
              <w:t>项目名称</w:t>
            </w:r>
          </w:p>
        </w:tc>
        <w:tc>
          <w:tcPr>
            <w:tcW w:w="3965" w:type="pct"/>
            <w:vAlign w:val="center"/>
          </w:tcPr>
          <w:p w14:paraId="19EAD64F">
            <w:pPr>
              <w:jc w:val="left"/>
              <w:rPr>
                <w:rFonts w:eastAsiaTheme="minorEastAsia"/>
                <w:sz w:val="24"/>
              </w:rPr>
            </w:pPr>
            <w:r>
              <w:rPr>
                <w:rFonts w:hint="eastAsia" w:eastAsiaTheme="minorEastAsia"/>
                <w:sz w:val="24"/>
              </w:rPr>
              <w:t>南宁</w:t>
            </w:r>
            <w:r>
              <w:rPr>
                <w:rFonts w:hint="eastAsia" w:eastAsiaTheme="minorEastAsia"/>
                <w:sz w:val="24"/>
                <w:lang w:eastAsia="zh-CN"/>
              </w:rPr>
              <w:t>铁路枢纽投资</w:t>
            </w:r>
            <w:r>
              <w:rPr>
                <w:rFonts w:hint="eastAsia" w:eastAsiaTheme="minorEastAsia"/>
                <w:sz w:val="24"/>
              </w:rPr>
              <w:t>有限公司</w:t>
            </w:r>
            <w:r>
              <w:rPr>
                <w:rFonts w:hint="eastAsia" w:eastAsiaTheme="minorEastAsia"/>
                <w:sz w:val="24"/>
                <w:u w:val="none"/>
                <w:lang w:val="en-US" w:eastAsia="zh-CN"/>
              </w:rPr>
              <w:t>2025</w:t>
            </w:r>
            <w:r>
              <w:rPr>
                <w:rFonts w:hint="eastAsia" w:eastAsiaTheme="minorEastAsia"/>
                <w:sz w:val="24"/>
                <w:lang w:val="en-US" w:eastAsia="zh-CN"/>
              </w:rPr>
              <w:t>年度</w:t>
            </w:r>
            <w:r>
              <w:rPr>
                <w:rFonts w:eastAsiaTheme="minorEastAsia"/>
                <w:sz w:val="24"/>
              </w:rPr>
              <w:t>法律顾问项目</w:t>
            </w:r>
          </w:p>
        </w:tc>
      </w:tr>
      <w:tr w14:paraId="724FC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10" w:type="pct"/>
            <w:vAlign w:val="center"/>
          </w:tcPr>
          <w:p w14:paraId="1B776001">
            <w:pPr>
              <w:jc w:val="center"/>
              <w:rPr>
                <w:rFonts w:eastAsiaTheme="minorEastAsia"/>
                <w:sz w:val="24"/>
              </w:rPr>
            </w:pPr>
            <w:r>
              <w:rPr>
                <w:rFonts w:eastAsiaTheme="minorEastAsia"/>
                <w:sz w:val="24"/>
              </w:rPr>
              <w:t>2</w:t>
            </w:r>
          </w:p>
        </w:tc>
        <w:tc>
          <w:tcPr>
            <w:tcW w:w="523" w:type="pct"/>
            <w:vAlign w:val="center"/>
          </w:tcPr>
          <w:p w14:paraId="60F42AF8">
            <w:pPr>
              <w:jc w:val="left"/>
              <w:rPr>
                <w:rFonts w:hint="eastAsia" w:eastAsiaTheme="minorEastAsia"/>
                <w:sz w:val="24"/>
                <w:lang w:eastAsia="zh-CN"/>
              </w:rPr>
            </w:pPr>
            <w:r>
              <w:rPr>
                <w:rFonts w:eastAsiaTheme="minorEastAsia"/>
                <w:sz w:val="24"/>
              </w:rPr>
              <w:t>项目</w:t>
            </w:r>
            <w:r>
              <w:rPr>
                <w:rFonts w:hint="eastAsia" w:eastAsiaTheme="minorEastAsia"/>
                <w:sz w:val="24"/>
                <w:lang w:val="en-US" w:eastAsia="zh-CN"/>
              </w:rPr>
              <w:t>范围</w:t>
            </w:r>
          </w:p>
        </w:tc>
        <w:tc>
          <w:tcPr>
            <w:tcW w:w="3965" w:type="pct"/>
          </w:tcPr>
          <w:p w14:paraId="642234A1">
            <w:pPr>
              <w:ind w:firstLine="480" w:firstLineChars="200"/>
              <w:jc w:val="left"/>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南宁铁路枢纽投资有限公司法律事务，全资、控股子公司与南宁铁路枢纽投资有限公司相关的法律事务，其他代管公司、参股公司中与南宁铁路枢纽投资有限公司相关的法律事务。</w:t>
            </w:r>
          </w:p>
          <w:p w14:paraId="5E596A37">
            <w:pPr>
              <w:ind w:firstLine="480" w:firstLineChars="200"/>
              <w:jc w:val="left"/>
              <w:rPr>
                <w:rFonts w:eastAsiaTheme="minorEastAsia"/>
                <w:sz w:val="24"/>
              </w:rPr>
            </w:pPr>
            <w:r>
              <w:rPr>
                <w:rFonts w:hint="eastAsia" w:ascii="Times New Roman" w:hAnsi="Times New Roman" w:cs="Times New Roman" w:eastAsiaTheme="minorEastAsia"/>
                <w:color w:val="auto"/>
                <w:sz w:val="24"/>
                <w:szCs w:val="24"/>
                <w:highlight w:val="none"/>
              </w:rPr>
              <w:t>注:南宁铁路枢纽投资有限公司于2021年6月30日注册成立，未来根据业务发展需求，可能会成立全资、控股子公司，参股公司，</w:t>
            </w:r>
            <w:r>
              <w:rPr>
                <w:rFonts w:hint="eastAsia" w:cs="Times New Roman" w:eastAsiaTheme="minorEastAsia"/>
                <w:color w:val="auto"/>
                <w:sz w:val="24"/>
                <w:szCs w:val="24"/>
                <w:highlight w:val="none"/>
                <w:lang w:val="en-US" w:eastAsia="zh-CN"/>
              </w:rPr>
              <w:t>以及</w:t>
            </w:r>
            <w:r>
              <w:rPr>
                <w:rFonts w:hint="eastAsia" w:ascii="Times New Roman" w:hAnsi="Times New Roman" w:cs="Times New Roman" w:eastAsiaTheme="minorEastAsia"/>
                <w:color w:val="auto"/>
                <w:sz w:val="24"/>
                <w:szCs w:val="24"/>
                <w:highlight w:val="none"/>
              </w:rPr>
              <w:t>存在代管公司。</w:t>
            </w:r>
          </w:p>
        </w:tc>
      </w:tr>
      <w:tr w14:paraId="68181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510" w:type="pct"/>
            <w:vAlign w:val="center"/>
          </w:tcPr>
          <w:p w14:paraId="249A01B9">
            <w:pPr>
              <w:jc w:val="center"/>
              <w:rPr>
                <w:rFonts w:eastAsiaTheme="minorEastAsia"/>
                <w:sz w:val="24"/>
              </w:rPr>
            </w:pPr>
            <w:r>
              <w:rPr>
                <w:rFonts w:eastAsiaTheme="minorEastAsia"/>
                <w:sz w:val="24"/>
              </w:rPr>
              <w:t>3</w:t>
            </w:r>
          </w:p>
        </w:tc>
        <w:tc>
          <w:tcPr>
            <w:tcW w:w="523" w:type="pct"/>
            <w:vAlign w:val="center"/>
          </w:tcPr>
          <w:p w14:paraId="151FF17A">
            <w:pPr>
              <w:jc w:val="left"/>
              <w:rPr>
                <w:rFonts w:eastAsiaTheme="minorEastAsia"/>
                <w:sz w:val="24"/>
              </w:rPr>
            </w:pPr>
            <w:r>
              <w:rPr>
                <w:rFonts w:hint="eastAsia" w:eastAsiaTheme="minorEastAsia"/>
                <w:sz w:val="24"/>
                <w:lang w:val="en-US" w:eastAsia="zh-CN"/>
              </w:rPr>
              <w:t>工作</w:t>
            </w:r>
            <w:r>
              <w:rPr>
                <w:rFonts w:eastAsiaTheme="minorEastAsia"/>
                <w:sz w:val="24"/>
              </w:rPr>
              <w:t>内容</w:t>
            </w:r>
          </w:p>
        </w:tc>
        <w:tc>
          <w:tcPr>
            <w:tcW w:w="3965" w:type="pct"/>
          </w:tcPr>
          <w:p w14:paraId="3ADCC48E">
            <w:pPr>
              <w:pStyle w:val="57"/>
              <w:spacing w:line="320" w:lineRule="exact"/>
              <w:ind w:firstLine="480" w:firstLineChars="200"/>
              <w:jc w:val="left"/>
              <w:rPr>
                <w:rFonts w:eastAsiaTheme="minorEastAsia"/>
                <w:sz w:val="24"/>
              </w:rPr>
            </w:pPr>
            <w:r>
              <w:rPr>
                <w:rFonts w:hint="eastAsia" w:ascii="Times New Roman" w:hAnsi="Times New Roman" w:cs="Times New Roman" w:eastAsiaTheme="minorEastAsia"/>
                <w:color w:val="auto"/>
                <w:sz w:val="24"/>
                <w:szCs w:val="24"/>
                <w:highlight w:val="none"/>
              </w:rPr>
              <w:t>为</w:t>
            </w:r>
            <w:r>
              <w:rPr>
                <w:rFonts w:hint="eastAsia" w:ascii="Times New Roman" w:hAnsi="Times New Roman" w:cs="Times New Roman" w:eastAsiaTheme="minorEastAsia"/>
                <w:color w:val="auto"/>
                <w:sz w:val="24"/>
                <w:szCs w:val="24"/>
                <w:highlight w:val="none"/>
                <w:lang w:eastAsia="zh-CN"/>
              </w:rPr>
              <w:t>南宁铁路枢纽投资有限公司</w:t>
            </w:r>
            <w:r>
              <w:rPr>
                <w:rFonts w:hint="eastAsia" w:ascii="Times New Roman" w:hAnsi="Times New Roman" w:cs="Times New Roman" w:eastAsiaTheme="minorEastAsia"/>
                <w:color w:val="auto"/>
                <w:sz w:val="24"/>
                <w:szCs w:val="24"/>
                <w:highlight w:val="none"/>
              </w:rPr>
              <w:t>提</w:t>
            </w:r>
            <w:r>
              <w:rPr>
                <w:rFonts w:hint="eastAsia" w:ascii="Times New Roman" w:hAnsi="Times New Roman" w:cs="Times New Roman" w:eastAsiaTheme="minorEastAsia"/>
                <w:color w:val="auto"/>
                <w:sz w:val="24"/>
                <w:szCs w:val="24"/>
                <w:highlight w:val="none"/>
                <w:lang w:val="en-US" w:eastAsia="zh-CN"/>
              </w:rPr>
              <w:t>供</w:t>
            </w:r>
            <w:r>
              <w:rPr>
                <w:rFonts w:hint="default" w:ascii="Times New Roman" w:hAnsi="Times New Roman" w:cs="Times New Roman" w:eastAsiaTheme="minorEastAsia"/>
                <w:color w:val="auto"/>
                <w:sz w:val="24"/>
                <w:szCs w:val="24"/>
                <w:highlight w:val="none"/>
                <w:lang w:val="en-US" w:eastAsia="zh-CN"/>
              </w:rPr>
              <w:t>202</w:t>
            </w:r>
            <w:r>
              <w:rPr>
                <w:rFonts w:hint="eastAsia" w:cs="Times New Roman" w:eastAsiaTheme="minorEastAsia"/>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val="en-US" w:eastAsia="zh-CN"/>
              </w:rPr>
              <w:t>年度</w:t>
            </w:r>
            <w:r>
              <w:rPr>
                <w:rFonts w:hint="eastAsia" w:ascii="Times New Roman" w:hAnsi="Times New Roman" w:cs="Times New Roman" w:eastAsiaTheme="minorEastAsia"/>
                <w:color w:val="auto"/>
                <w:sz w:val="24"/>
                <w:szCs w:val="24"/>
                <w:highlight w:val="none"/>
              </w:rPr>
              <w:t>法律顾问服务</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主要包括</w:t>
            </w:r>
            <w:r>
              <w:rPr>
                <w:rFonts w:hint="default" w:ascii="Times New Roman" w:hAnsi="Times New Roman" w:cs="Times New Roman" w:eastAsiaTheme="minorEastAsia"/>
                <w:color w:val="auto"/>
                <w:sz w:val="24"/>
                <w:szCs w:val="24"/>
                <w:highlight w:val="none"/>
                <w:lang w:eastAsia="zh-CN"/>
              </w:rPr>
              <w:t>但不限于以下内容：</w:t>
            </w:r>
            <w:r>
              <w:rPr>
                <w:rFonts w:hint="eastAsia" w:ascii="Times New Roman" w:hAnsi="Times New Roman" w:cs="Times New Roman" w:eastAsiaTheme="minorEastAsia"/>
                <w:color w:val="auto"/>
                <w:sz w:val="24"/>
                <w:szCs w:val="24"/>
                <w:highlight w:val="none"/>
                <w:lang w:val="en-US" w:eastAsia="zh-CN"/>
              </w:rPr>
              <w:t>（</w:t>
            </w:r>
            <w:r>
              <w:rPr>
                <w:rFonts w:hint="default" w:ascii="Times New Roman" w:hAnsi="Times New Roman" w:cs="Times New Roman" w:eastAsiaTheme="minorEastAsia"/>
                <w:color w:val="auto"/>
                <w:sz w:val="24"/>
                <w:szCs w:val="24"/>
                <w:highlight w:val="none"/>
                <w:lang w:val="en-US" w:eastAsia="zh-CN"/>
              </w:rPr>
              <w:t>1</w:t>
            </w:r>
            <w:r>
              <w:rPr>
                <w:rFonts w:hint="eastAsia" w:ascii="Times New Roman" w:hAnsi="Times New Roman" w:cs="Times New Roman" w:eastAsiaTheme="minorEastAsia"/>
                <w:color w:val="auto"/>
                <w:sz w:val="24"/>
                <w:szCs w:val="24"/>
                <w:highlight w:val="none"/>
                <w:lang w:val="en-US" w:eastAsia="zh-CN"/>
              </w:rPr>
              <w:t>）</w:t>
            </w:r>
            <w:r>
              <w:rPr>
                <w:rFonts w:hint="default" w:ascii="Times New Roman" w:hAnsi="Times New Roman" w:cs="Times New Roman" w:eastAsiaTheme="minorEastAsia"/>
                <w:color w:val="auto"/>
                <w:sz w:val="24"/>
                <w:szCs w:val="24"/>
                <w:highlight w:val="none"/>
                <w:lang w:val="en-US" w:eastAsia="zh-CN"/>
              </w:rPr>
              <w:t>日常法律咨询服务工作</w:t>
            </w:r>
            <w:r>
              <w:rPr>
                <w:rFonts w:hint="eastAsia" w:ascii="Times New Roman" w:hAnsi="Times New Roman" w:cs="Times New Roman" w:eastAsiaTheme="minorEastAsia"/>
                <w:color w:val="auto"/>
                <w:sz w:val="24"/>
                <w:szCs w:val="24"/>
                <w:highlight w:val="none"/>
                <w:lang w:val="en-US" w:eastAsia="zh-CN"/>
              </w:rPr>
              <w:t>；（</w:t>
            </w:r>
            <w:r>
              <w:rPr>
                <w:rFonts w:hint="default" w:ascii="Times New Roman" w:hAnsi="Times New Roman" w:cs="Times New Roman" w:eastAsiaTheme="minorEastAsia"/>
                <w:color w:val="auto"/>
                <w:sz w:val="24"/>
                <w:szCs w:val="24"/>
                <w:highlight w:val="none"/>
                <w:lang w:val="en-US" w:eastAsia="zh-CN"/>
              </w:rPr>
              <w:t>2</w:t>
            </w:r>
            <w:r>
              <w:rPr>
                <w:rFonts w:hint="eastAsia" w:ascii="Times New Roman" w:hAnsi="Times New Roman" w:cs="Times New Roman" w:eastAsiaTheme="minorEastAsia"/>
                <w:color w:val="auto"/>
                <w:sz w:val="24"/>
                <w:szCs w:val="24"/>
                <w:highlight w:val="none"/>
                <w:lang w:val="en-US" w:eastAsia="zh-CN"/>
              </w:rPr>
              <w:t>）</w:t>
            </w:r>
            <w:r>
              <w:rPr>
                <w:rFonts w:hint="default" w:ascii="Times New Roman" w:hAnsi="Times New Roman" w:cs="Times New Roman" w:eastAsiaTheme="minorEastAsia"/>
                <w:color w:val="auto"/>
                <w:sz w:val="24"/>
                <w:szCs w:val="24"/>
                <w:highlight w:val="none"/>
                <w:lang w:val="en-US" w:eastAsia="zh-CN"/>
              </w:rPr>
              <w:t>公司经营活动方面的法律服务工作</w:t>
            </w:r>
            <w:r>
              <w:rPr>
                <w:rFonts w:hint="eastAsia" w:ascii="Times New Roman" w:hAnsi="Times New Roman" w:cs="Times New Roman" w:eastAsiaTheme="minorEastAsia"/>
                <w:color w:val="auto"/>
                <w:sz w:val="24"/>
                <w:szCs w:val="24"/>
                <w:highlight w:val="none"/>
                <w:lang w:val="en-US" w:eastAsia="zh-CN"/>
              </w:rPr>
              <w:t>；（</w:t>
            </w:r>
            <w:r>
              <w:rPr>
                <w:rFonts w:hint="default" w:ascii="Times New Roman" w:hAnsi="Times New Roman" w:cs="Times New Roman" w:eastAsiaTheme="minorEastAsia"/>
                <w:color w:val="auto"/>
                <w:sz w:val="24"/>
                <w:szCs w:val="24"/>
                <w:highlight w:val="none"/>
                <w:lang w:val="en-US" w:eastAsia="zh-CN"/>
              </w:rPr>
              <w:t>3</w:t>
            </w:r>
            <w:r>
              <w:rPr>
                <w:rFonts w:hint="eastAsia" w:ascii="Times New Roman" w:hAnsi="Times New Roman" w:cs="Times New Roman" w:eastAsiaTheme="minorEastAsia"/>
                <w:color w:val="auto"/>
                <w:sz w:val="24"/>
                <w:szCs w:val="24"/>
                <w:highlight w:val="none"/>
                <w:lang w:val="en-US" w:eastAsia="zh-CN"/>
              </w:rPr>
              <w:t>）</w:t>
            </w:r>
            <w:r>
              <w:rPr>
                <w:rFonts w:hint="default" w:ascii="Times New Roman" w:hAnsi="Times New Roman" w:cs="Times New Roman" w:eastAsiaTheme="minorEastAsia"/>
                <w:color w:val="auto"/>
                <w:sz w:val="24"/>
                <w:szCs w:val="24"/>
                <w:highlight w:val="none"/>
                <w:lang w:val="en-US" w:eastAsia="zh-CN"/>
              </w:rPr>
              <w:t>建设生产、运营过程中的法律服务工作</w:t>
            </w:r>
            <w:r>
              <w:rPr>
                <w:rFonts w:hint="eastAsia" w:ascii="Times New Roman" w:hAnsi="Times New Roman" w:cs="Times New Roman" w:eastAsiaTheme="minorEastAsia"/>
                <w:color w:val="auto"/>
                <w:sz w:val="24"/>
                <w:szCs w:val="24"/>
                <w:highlight w:val="none"/>
                <w:lang w:val="en-US" w:eastAsia="zh-CN"/>
              </w:rPr>
              <w:t>；（</w:t>
            </w:r>
            <w:r>
              <w:rPr>
                <w:rFonts w:hint="default" w:ascii="Times New Roman" w:hAnsi="Times New Roman" w:cs="Times New Roman" w:eastAsiaTheme="minorEastAsia"/>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val="en-US" w:eastAsia="zh-CN"/>
              </w:rPr>
              <w:t>）</w:t>
            </w:r>
            <w:r>
              <w:rPr>
                <w:rFonts w:hint="default" w:ascii="Times New Roman" w:hAnsi="Times New Roman" w:cs="Times New Roman" w:eastAsiaTheme="minorEastAsia"/>
                <w:color w:val="auto"/>
                <w:sz w:val="24"/>
                <w:szCs w:val="24"/>
                <w:highlight w:val="none"/>
                <w:lang w:val="en-US" w:eastAsia="zh-CN"/>
              </w:rPr>
              <w:t>融资、资源开发方面的法律服务</w:t>
            </w:r>
            <w:r>
              <w:rPr>
                <w:rFonts w:hint="eastAsia" w:ascii="Times New Roman" w:hAnsi="Times New Roman" w:cs="Times New Roman" w:eastAsiaTheme="minorEastAsia"/>
                <w:color w:val="auto"/>
                <w:sz w:val="24"/>
                <w:szCs w:val="24"/>
                <w:highlight w:val="none"/>
                <w:lang w:val="en-US" w:eastAsia="zh-CN"/>
              </w:rPr>
              <w:t>；（</w:t>
            </w:r>
            <w:r>
              <w:rPr>
                <w:rFonts w:hint="default" w:ascii="Times New Roman" w:hAnsi="Times New Roman" w:cs="Times New Roman" w:eastAsiaTheme="minorEastAsia"/>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val="en-US" w:eastAsia="zh-CN"/>
              </w:rPr>
              <w:t>）</w:t>
            </w:r>
            <w:r>
              <w:rPr>
                <w:rFonts w:hint="default" w:ascii="Times New Roman" w:hAnsi="Times New Roman" w:cs="Times New Roman" w:eastAsiaTheme="minorEastAsia"/>
                <w:color w:val="auto"/>
                <w:sz w:val="24"/>
                <w:szCs w:val="24"/>
                <w:highlight w:val="none"/>
                <w:lang w:val="en-US" w:eastAsia="zh-CN"/>
              </w:rPr>
              <w:t>投资、资产处置活动的法律服务</w:t>
            </w:r>
            <w:r>
              <w:rPr>
                <w:rFonts w:hint="eastAsia" w:ascii="Times New Roman" w:hAnsi="Times New Roman" w:cs="Times New Roman" w:eastAsiaTheme="minorEastAsia"/>
                <w:color w:val="auto"/>
                <w:sz w:val="24"/>
                <w:szCs w:val="24"/>
                <w:highlight w:val="none"/>
                <w:lang w:val="en-US" w:eastAsia="zh-CN"/>
              </w:rPr>
              <w:t>；（</w:t>
            </w:r>
            <w:r>
              <w:rPr>
                <w:rFonts w:hint="default" w:ascii="Times New Roman" w:hAnsi="Times New Roman" w:cs="Times New Roman" w:eastAsiaTheme="minorEastAsia"/>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val="en-US" w:eastAsia="zh-CN"/>
              </w:rPr>
              <w:t>）</w:t>
            </w:r>
            <w:r>
              <w:rPr>
                <w:rFonts w:hint="default" w:ascii="Times New Roman" w:hAnsi="Times New Roman" w:cs="Times New Roman" w:eastAsiaTheme="minorEastAsia"/>
                <w:color w:val="auto"/>
                <w:sz w:val="24"/>
                <w:szCs w:val="24"/>
                <w:highlight w:val="none"/>
                <w:lang w:val="en-US" w:eastAsia="zh-CN"/>
              </w:rPr>
              <w:t>针对</w:t>
            </w:r>
            <w:r>
              <w:rPr>
                <w:rFonts w:hint="eastAsia" w:ascii="Times New Roman" w:hAnsi="Times New Roman" w:cs="Times New Roman" w:eastAsiaTheme="minorEastAsia"/>
                <w:color w:val="auto"/>
                <w:sz w:val="24"/>
                <w:szCs w:val="24"/>
                <w:highlight w:val="none"/>
                <w:lang w:val="en-US" w:eastAsia="zh-CN"/>
              </w:rPr>
              <w:t>公司</w:t>
            </w:r>
            <w:r>
              <w:rPr>
                <w:rFonts w:hint="default" w:ascii="Times New Roman" w:hAnsi="Times New Roman" w:cs="Times New Roman" w:eastAsiaTheme="minorEastAsia"/>
                <w:color w:val="auto"/>
                <w:sz w:val="24"/>
                <w:szCs w:val="24"/>
                <w:highlight w:val="none"/>
                <w:lang w:val="en-US" w:eastAsia="zh-CN"/>
              </w:rPr>
              <w:t>的企业法律风险管理体系，提供合</w:t>
            </w:r>
            <w:r>
              <w:rPr>
                <w:rFonts w:hint="eastAsia" w:cs="Times New Roman" w:eastAsiaTheme="minorEastAsia"/>
                <w:color w:val="auto"/>
                <w:sz w:val="24"/>
                <w:szCs w:val="24"/>
                <w:highlight w:val="none"/>
                <w:lang w:val="en-US" w:eastAsia="zh-CN"/>
              </w:rPr>
              <w:t>法</w:t>
            </w:r>
            <w:r>
              <w:rPr>
                <w:rFonts w:hint="default" w:ascii="Times New Roman" w:hAnsi="Times New Roman" w:cs="Times New Roman" w:eastAsiaTheme="minorEastAsia"/>
                <w:color w:val="auto"/>
                <w:sz w:val="24"/>
                <w:szCs w:val="24"/>
                <w:highlight w:val="none"/>
                <w:lang w:val="en-US" w:eastAsia="zh-CN"/>
              </w:rPr>
              <w:t>合</w:t>
            </w:r>
            <w:r>
              <w:rPr>
                <w:rFonts w:hint="eastAsia" w:cs="Times New Roman" w:eastAsiaTheme="minorEastAsia"/>
                <w:color w:val="auto"/>
                <w:sz w:val="24"/>
                <w:szCs w:val="24"/>
                <w:highlight w:val="none"/>
                <w:lang w:val="en-US" w:eastAsia="zh-CN"/>
              </w:rPr>
              <w:t>规</w:t>
            </w:r>
            <w:r>
              <w:rPr>
                <w:rFonts w:hint="default" w:ascii="Times New Roman" w:hAnsi="Times New Roman" w:cs="Times New Roman" w:eastAsiaTheme="minorEastAsia"/>
                <w:color w:val="auto"/>
                <w:sz w:val="24"/>
                <w:szCs w:val="24"/>
                <w:highlight w:val="none"/>
                <w:lang w:val="en-US" w:eastAsia="zh-CN"/>
              </w:rPr>
              <w:t>性建议</w:t>
            </w:r>
            <w:r>
              <w:rPr>
                <w:rFonts w:hint="eastAsia" w:ascii="Times New Roman" w:hAnsi="Times New Roman" w:cs="Times New Roman" w:eastAsiaTheme="minorEastAsia"/>
                <w:color w:val="auto"/>
                <w:sz w:val="24"/>
                <w:szCs w:val="24"/>
                <w:highlight w:val="none"/>
                <w:lang w:val="en-US" w:eastAsia="zh-CN"/>
              </w:rPr>
              <w:t>；（7）为我司内控与合规管理体系的持续完善和有效运行提供全流程法律支持与专业咨询服务；(8)负责处理非诉法律文书的起草、审核与修订工作，协助协调解决未进入诉讼、仲裁程序的争议纠纷；（9）在我司审计事务中，依法依规提供法律配合，包括出具法律说明、提供专业意见及其他必要的法律支持；（</w:t>
            </w:r>
            <w:r>
              <w:rPr>
                <w:rFonts w:hint="eastAsia" w:cs="Times New Roman" w:eastAsiaTheme="minorEastAsia"/>
                <w:color w:val="auto"/>
                <w:sz w:val="24"/>
                <w:szCs w:val="24"/>
                <w:highlight w:val="none"/>
                <w:lang w:val="en-US" w:eastAsia="zh-CN"/>
              </w:rPr>
              <w:t>10</w:t>
            </w:r>
            <w:r>
              <w:rPr>
                <w:rFonts w:hint="eastAsia" w:ascii="Times New Roman" w:hAnsi="Times New Roman" w:cs="Times New Roman" w:eastAsiaTheme="minorEastAsia"/>
                <w:color w:val="auto"/>
                <w:sz w:val="24"/>
                <w:szCs w:val="24"/>
                <w:highlight w:val="none"/>
                <w:lang w:val="en-US" w:eastAsia="zh-CN"/>
              </w:rPr>
              <w:t>）</w:t>
            </w:r>
            <w:r>
              <w:rPr>
                <w:rFonts w:hint="default" w:ascii="Times New Roman" w:hAnsi="Times New Roman" w:cs="Times New Roman" w:eastAsiaTheme="minorEastAsia"/>
                <w:color w:val="auto"/>
                <w:sz w:val="24"/>
                <w:szCs w:val="24"/>
                <w:highlight w:val="none"/>
                <w:lang w:val="en-US" w:eastAsia="zh-CN"/>
              </w:rPr>
              <w:t>按照相关法律法规和上级单位的规定，为公司内部治理规范运作提供法律咨询和建议</w:t>
            </w:r>
            <w:r>
              <w:rPr>
                <w:rFonts w:hint="eastAsia" w:ascii="Times New Roman" w:hAnsi="Times New Roman" w:cs="Times New Roman" w:eastAsiaTheme="minorEastAsia"/>
                <w:color w:val="auto"/>
                <w:sz w:val="24"/>
                <w:szCs w:val="24"/>
                <w:highlight w:val="none"/>
                <w:lang w:eastAsia="zh-CN"/>
              </w:rPr>
              <w:t>等。（</w:t>
            </w:r>
            <w:r>
              <w:rPr>
                <w:rFonts w:hint="eastAsia" w:ascii="Times New Roman" w:hAnsi="Times New Roman" w:cs="Times New Roman" w:eastAsiaTheme="minorEastAsia"/>
                <w:color w:val="auto"/>
                <w:sz w:val="24"/>
                <w:szCs w:val="24"/>
                <w:highlight w:val="none"/>
                <w:lang w:val="en-US" w:eastAsia="zh-CN"/>
              </w:rPr>
              <w:t>具体详见合同条款</w:t>
            </w:r>
            <w:r>
              <w:rPr>
                <w:rFonts w:hint="eastAsia" w:ascii="Times New Roman" w:hAnsi="Times New Roman" w:cs="Times New Roman" w:eastAsiaTheme="minorEastAsia"/>
                <w:color w:val="auto"/>
                <w:sz w:val="24"/>
                <w:szCs w:val="24"/>
                <w:highlight w:val="none"/>
                <w:lang w:eastAsia="zh-CN"/>
              </w:rPr>
              <w:t>）</w:t>
            </w:r>
          </w:p>
        </w:tc>
      </w:tr>
      <w:tr w14:paraId="0DB39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10" w:type="pct"/>
            <w:shd w:val="clear" w:color="auto" w:fill="FFFFFF" w:themeFill="background1"/>
            <w:vAlign w:val="center"/>
          </w:tcPr>
          <w:p w14:paraId="18312B6C">
            <w:pPr>
              <w:jc w:val="center"/>
              <w:rPr>
                <w:rFonts w:eastAsiaTheme="minorEastAsia"/>
                <w:sz w:val="24"/>
              </w:rPr>
            </w:pPr>
            <w:r>
              <w:rPr>
                <w:rFonts w:eastAsiaTheme="minorEastAsia"/>
                <w:sz w:val="24"/>
              </w:rPr>
              <w:t>4</w:t>
            </w:r>
          </w:p>
        </w:tc>
        <w:tc>
          <w:tcPr>
            <w:tcW w:w="523" w:type="pct"/>
            <w:shd w:val="clear" w:color="auto" w:fill="FFFFFF" w:themeFill="background1"/>
            <w:vAlign w:val="center"/>
          </w:tcPr>
          <w:p w14:paraId="500023AF">
            <w:pPr>
              <w:jc w:val="left"/>
              <w:rPr>
                <w:rFonts w:eastAsiaTheme="minorEastAsia"/>
                <w:sz w:val="24"/>
              </w:rPr>
            </w:pPr>
            <w:r>
              <w:rPr>
                <w:rFonts w:eastAsiaTheme="minorEastAsia"/>
                <w:sz w:val="24"/>
              </w:rPr>
              <w:t>资金来源</w:t>
            </w:r>
          </w:p>
        </w:tc>
        <w:tc>
          <w:tcPr>
            <w:tcW w:w="3965" w:type="pct"/>
            <w:shd w:val="clear" w:color="auto" w:fill="FFFFFF" w:themeFill="background1"/>
          </w:tcPr>
          <w:p w14:paraId="5B7DCED7">
            <w:pPr>
              <w:ind w:right="-3"/>
              <w:jc w:val="left"/>
              <w:rPr>
                <w:rFonts w:hint="eastAsia" w:eastAsiaTheme="minorEastAsia"/>
                <w:sz w:val="24"/>
                <w:lang w:val="en-US" w:eastAsia="zh-CN"/>
              </w:rPr>
            </w:pPr>
            <w:r>
              <w:rPr>
                <w:rFonts w:hint="eastAsia" w:ascii="宋体" w:hAnsi="宋体" w:cs="宋体"/>
                <w:color w:val="auto"/>
                <w:szCs w:val="21"/>
                <w:lang w:val="en-US" w:eastAsia="zh-CN"/>
              </w:rPr>
              <w:t>企业自筹</w:t>
            </w:r>
          </w:p>
        </w:tc>
      </w:tr>
      <w:tr w14:paraId="0B81C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10" w:type="pct"/>
            <w:vAlign w:val="center"/>
          </w:tcPr>
          <w:p w14:paraId="2483DD95">
            <w:pPr>
              <w:jc w:val="center"/>
              <w:rPr>
                <w:rFonts w:eastAsiaTheme="minorEastAsia"/>
                <w:sz w:val="24"/>
              </w:rPr>
            </w:pPr>
            <w:r>
              <w:rPr>
                <w:rFonts w:eastAsiaTheme="minorEastAsia"/>
                <w:sz w:val="24"/>
              </w:rPr>
              <w:t>5</w:t>
            </w:r>
          </w:p>
        </w:tc>
        <w:tc>
          <w:tcPr>
            <w:tcW w:w="523" w:type="pct"/>
            <w:vAlign w:val="center"/>
          </w:tcPr>
          <w:p w14:paraId="1CD18446">
            <w:pPr>
              <w:jc w:val="both"/>
              <w:rPr>
                <w:rFonts w:eastAsiaTheme="minorEastAsia"/>
                <w:sz w:val="24"/>
              </w:rPr>
            </w:pPr>
            <w:r>
              <w:rPr>
                <w:rFonts w:eastAsiaTheme="minorEastAsia"/>
                <w:sz w:val="24"/>
              </w:rPr>
              <w:t>计费方式</w:t>
            </w:r>
          </w:p>
        </w:tc>
        <w:tc>
          <w:tcPr>
            <w:tcW w:w="3965" w:type="pct"/>
            <w:vAlign w:val="center"/>
          </w:tcPr>
          <w:p w14:paraId="6A3F4C13">
            <w:pPr>
              <w:pStyle w:val="18"/>
              <w:jc w:val="left"/>
              <w:rPr>
                <w:sz w:val="24"/>
              </w:rPr>
            </w:pPr>
            <w:r>
              <w:rPr>
                <w:rFonts w:hint="eastAsia" w:ascii="Times New Roman" w:hAnsi="Times New Roman" w:cs="Times New Roman" w:eastAsiaTheme="minorEastAsia"/>
                <w:color w:val="auto"/>
                <w:sz w:val="24"/>
                <w:szCs w:val="24"/>
              </w:rPr>
              <w:t>法律顾问服务费采用总价包干，费用不予调整。</w:t>
            </w:r>
          </w:p>
        </w:tc>
      </w:tr>
      <w:tr w14:paraId="5610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510" w:type="pct"/>
            <w:vAlign w:val="center"/>
          </w:tcPr>
          <w:p w14:paraId="2A9D4CCF">
            <w:pPr>
              <w:jc w:val="center"/>
              <w:rPr>
                <w:rFonts w:eastAsiaTheme="minorEastAsia"/>
                <w:sz w:val="24"/>
              </w:rPr>
            </w:pPr>
            <w:r>
              <w:rPr>
                <w:rFonts w:eastAsiaTheme="minorEastAsia"/>
                <w:sz w:val="24"/>
              </w:rPr>
              <w:t>6</w:t>
            </w:r>
          </w:p>
        </w:tc>
        <w:tc>
          <w:tcPr>
            <w:tcW w:w="523" w:type="pct"/>
            <w:vAlign w:val="center"/>
          </w:tcPr>
          <w:p w14:paraId="5686C228">
            <w:pPr>
              <w:jc w:val="left"/>
              <w:rPr>
                <w:rFonts w:eastAsiaTheme="minorEastAsia"/>
                <w:sz w:val="24"/>
              </w:rPr>
            </w:pPr>
            <w:r>
              <w:rPr>
                <w:rFonts w:eastAsiaTheme="minorEastAsia"/>
                <w:sz w:val="24"/>
              </w:rPr>
              <w:t>上限控制价</w:t>
            </w:r>
          </w:p>
        </w:tc>
        <w:tc>
          <w:tcPr>
            <w:tcW w:w="3965" w:type="pct"/>
            <w:vAlign w:val="center"/>
          </w:tcPr>
          <w:p w14:paraId="188C476C">
            <w:pPr>
              <w:ind w:right="-3" w:firstLine="0" w:firstLineChars="0"/>
              <w:jc w:val="left"/>
              <w:rPr>
                <w:rFonts w:hint="eastAsia" w:eastAsiaTheme="minorEastAsia"/>
                <w:sz w:val="24"/>
                <w:lang w:eastAsia="zh-CN"/>
              </w:rPr>
            </w:pPr>
            <w:r>
              <w:rPr>
                <w:rFonts w:eastAsiaTheme="minorEastAsia"/>
                <w:sz w:val="24"/>
              </w:rPr>
              <w:t>上限控制价</w:t>
            </w:r>
            <w:r>
              <w:rPr>
                <w:rFonts w:hint="eastAsia" w:eastAsiaTheme="minorEastAsia"/>
                <w:sz w:val="24"/>
                <w:lang w:eastAsia="zh-CN"/>
              </w:rPr>
              <w:t>（</w:t>
            </w:r>
            <w:r>
              <w:rPr>
                <w:rFonts w:hint="eastAsia" w:eastAsiaTheme="minorEastAsia"/>
                <w:sz w:val="24"/>
                <w:lang w:val="en-US" w:eastAsia="zh-CN"/>
              </w:rPr>
              <w:t>含税</w:t>
            </w:r>
            <w:r>
              <w:rPr>
                <w:rFonts w:hint="eastAsia" w:eastAsiaTheme="minorEastAsia"/>
                <w:sz w:val="24"/>
                <w:lang w:eastAsia="zh-CN"/>
              </w:rPr>
              <w:t>）</w:t>
            </w:r>
            <w:r>
              <w:rPr>
                <w:rFonts w:hint="eastAsia" w:eastAsiaTheme="minorEastAsia"/>
                <w:sz w:val="24"/>
                <w:u w:val="none"/>
                <w:lang w:eastAsia="zh-CN"/>
              </w:rPr>
              <w:t>：</w:t>
            </w:r>
            <w:r>
              <w:rPr>
                <w:rFonts w:hint="eastAsia" w:eastAsiaTheme="minorEastAsia"/>
                <w:sz w:val="24"/>
                <w:u w:val="none"/>
                <w:lang w:val="en-US" w:eastAsia="zh-CN"/>
              </w:rPr>
              <w:t>小写：¥140000</w:t>
            </w:r>
            <w:r>
              <w:rPr>
                <w:rFonts w:hint="eastAsia" w:ascii="宋体" w:hAnsi="宋体" w:cs="宋体"/>
                <w:color w:val="auto"/>
                <w:szCs w:val="21"/>
              </w:rPr>
              <w:t>元</w:t>
            </w:r>
            <w:r>
              <w:rPr>
                <w:rFonts w:hint="eastAsia" w:eastAsiaTheme="minorEastAsia"/>
                <w:sz w:val="24"/>
                <w:u w:val="none"/>
                <w:lang w:val="en-US" w:eastAsia="zh-CN"/>
              </w:rPr>
              <w:t>（大写：</w:t>
            </w:r>
            <w:r>
              <w:rPr>
                <w:rFonts w:hint="eastAsia" w:ascii="Times New Roman" w:hAnsi="Times New Roman" w:cs="Times New Roman" w:eastAsiaTheme="minorEastAsia"/>
                <w:color w:val="auto"/>
                <w:sz w:val="24"/>
                <w:szCs w:val="24"/>
                <w:highlight w:val="none"/>
                <w:lang w:val="en-US" w:eastAsia="zh-CN"/>
              </w:rPr>
              <w:t>人民币壹拾</w:t>
            </w:r>
            <w:r>
              <w:rPr>
                <w:rFonts w:hint="eastAsia" w:cs="Times New Roman" w:eastAsiaTheme="minorEastAsia"/>
                <w:color w:val="auto"/>
                <w:sz w:val="24"/>
                <w:szCs w:val="24"/>
                <w:highlight w:val="none"/>
                <w:lang w:val="en-US" w:eastAsia="zh-CN"/>
              </w:rPr>
              <w:t>肆</w:t>
            </w:r>
            <w:r>
              <w:rPr>
                <w:rFonts w:hint="eastAsia" w:ascii="Times New Roman" w:hAnsi="Times New Roman" w:cs="Times New Roman" w:eastAsiaTheme="minorEastAsia"/>
                <w:color w:val="auto"/>
                <w:sz w:val="24"/>
                <w:szCs w:val="24"/>
                <w:highlight w:val="none"/>
                <w:lang w:val="en-US" w:eastAsia="zh-CN"/>
              </w:rPr>
              <w:t>万元整）</w:t>
            </w:r>
            <w:r>
              <w:rPr>
                <w:rFonts w:eastAsiaTheme="minorEastAsia"/>
                <w:sz w:val="24"/>
              </w:rPr>
              <w:t>。</w:t>
            </w:r>
          </w:p>
        </w:tc>
      </w:tr>
      <w:tr w14:paraId="4996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510" w:type="pct"/>
            <w:vAlign w:val="center"/>
          </w:tcPr>
          <w:p w14:paraId="50EAF26B">
            <w:pPr>
              <w:jc w:val="center"/>
              <w:rPr>
                <w:rFonts w:eastAsiaTheme="minorEastAsia"/>
                <w:sz w:val="24"/>
              </w:rPr>
            </w:pPr>
            <w:r>
              <w:rPr>
                <w:rFonts w:eastAsiaTheme="minorEastAsia"/>
                <w:sz w:val="24"/>
              </w:rPr>
              <w:t>7</w:t>
            </w:r>
          </w:p>
        </w:tc>
        <w:tc>
          <w:tcPr>
            <w:tcW w:w="523" w:type="pct"/>
            <w:vAlign w:val="center"/>
          </w:tcPr>
          <w:p w14:paraId="667BAE01">
            <w:pPr>
              <w:jc w:val="left"/>
              <w:rPr>
                <w:rFonts w:eastAsiaTheme="minorEastAsia"/>
                <w:sz w:val="24"/>
              </w:rPr>
            </w:pPr>
            <w:r>
              <w:rPr>
                <w:rFonts w:eastAsiaTheme="minorEastAsia"/>
                <w:sz w:val="24"/>
              </w:rPr>
              <w:t>报价方式</w:t>
            </w:r>
          </w:p>
        </w:tc>
        <w:tc>
          <w:tcPr>
            <w:tcW w:w="3965" w:type="pct"/>
            <w:vAlign w:val="center"/>
          </w:tcPr>
          <w:p w14:paraId="3927494C">
            <w:pPr>
              <w:jc w:val="left"/>
              <w:rPr>
                <w:rFonts w:eastAsiaTheme="minorEastAsia"/>
                <w:sz w:val="24"/>
              </w:rPr>
            </w:pPr>
            <w:r>
              <w:rPr>
                <w:rFonts w:hint="eastAsia" w:eastAsiaTheme="minorEastAsia"/>
                <w:sz w:val="24"/>
              </w:rPr>
              <w:t>比选申请人必须对比选项目内容中所有工作内容作完整唯一的报价。</w:t>
            </w:r>
          </w:p>
        </w:tc>
      </w:tr>
      <w:tr w14:paraId="070FF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510" w:type="pct"/>
            <w:vAlign w:val="center"/>
          </w:tcPr>
          <w:p w14:paraId="00B5D83E">
            <w:pPr>
              <w:jc w:val="center"/>
              <w:rPr>
                <w:rFonts w:eastAsiaTheme="minorEastAsia"/>
                <w:sz w:val="24"/>
              </w:rPr>
            </w:pPr>
            <w:r>
              <w:rPr>
                <w:rFonts w:eastAsiaTheme="minorEastAsia"/>
                <w:sz w:val="24"/>
              </w:rPr>
              <w:t>8</w:t>
            </w:r>
          </w:p>
        </w:tc>
        <w:tc>
          <w:tcPr>
            <w:tcW w:w="523" w:type="pct"/>
            <w:vAlign w:val="center"/>
          </w:tcPr>
          <w:p w14:paraId="7FB01CE6">
            <w:pPr>
              <w:jc w:val="left"/>
              <w:rPr>
                <w:rFonts w:eastAsiaTheme="minorEastAsia"/>
                <w:sz w:val="24"/>
              </w:rPr>
            </w:pPr>
            <w:r>
              <w:rPr>
                <w:rFonts w:eastAsiaTheme="minorEastAsia"/>
                <w:sz w:val="24"/>
              </w:rPr>
              <w:t>合同期限</w:t>
            </w:r>
          </w:p>
        </w:tc>
        <w:tc>
          <w:tcPr>
            <w:tcW w:w="3965" w:type="pct"/>
            <w:vAlign w:val="center"/>
          </w:tcPr>
          <w:p w14:paraId="42745183">
            <w:pPr>
              <w:ind w:right="-3"/>
              <w:jc w:val="left"/>
              <w:rPr>
                <w:rFonts w:eastAsiaTheme="minorEastAsia"/>
                <w:sz w:val="24"/>
              </w:rPr>
            </w:pPr>
            <w:r>
              <w:rPr>
                <w:rFonts w:hint="eastAsia" w:eastAsiaTheme="minorEastAsia"/>
                <w:sz w:val="24"/>
                <w:lang w:val="en-US" w:eastAsia="zh-CN"/>
              </w:rPr>
              <w:t>1年</w:t>
            </w:r>
          </w:p>
        </w:tc>
      </w:tr>
      <w:tr w14:paraId="1A64A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510" w:type="pct"/>
            <w:vAlign w:val="center"/>
          </w:tcPr>
          <w:p w14:paraId="00E6B355">
            <w:pPr>
              <w:jc w:val="center"/>
              <w:rPr>
                <w:rFonts w:eastAsiaTheme="minorEastAsia"/>
                <w:sz w:val="24"/>
              </w:rPr>
            </w:pPr>
            <w:r>
              <w:rPr>
                <w:rFonts w:eastAsiaTheme="minorEastAsia"/>
                <w:sz w:val="24"/>
              </w:rPr>
              <w:t>9</w:t>
            </w:r>
          </w:p>
        </w:tc>
        <w:tc>
          <w:tcPr>
            <w:tcW w:w="523" w:type="pct"/>
            <w:vAlign w:val="center"/>
          </w:tcPr>
          <w:p w14:paraId="268893B5">
            <w:pPr>
              <w:jc w:val="left"/>
              <w:rPr>
                <w:rFonts w:eastAsiaTheme="minorEastAsia"/>
                <w:sz w:val="24"/>
              </w:rPr>
            </w:pPr>
            <w:r>
              <w:rPr>
                <w:rFonts w:eastAsiaTheme="minorEastAsia"/>
                <w:sz w:val="24"/>
              </w:rPr>
              <w:t>比选申请人资格要求</w:t>
            </w:r>
          </w:p>
        </w:tc>
        <w:tc>
          <w:tcPr>
            <w:tcW w:w="3965" w:type="pct"/>
            <w:vAlign w:val="center"/>
          </w:tcPr>
          <w:p w14:paraId="24BD1763">
            <w:pPr>
              <w:pStyle w:val="29"/>
              <w:numPr>
                <w:ilvl w:val="-1"/>
                <w:numId w:val="0"/>
              </w:numPr>
              <w:shd w:val="clear" w:color="auto" w:fill="FFFFFF"/>
              <w:rPr>
                <w:rFonts w:hint="eastAsia" w:ascii="Times New Roman" w:hAnsi="Times New Roman" w:cs="Times New Roman" w:eastAsiaTheme="minorEastAsia"/>
                <w:color w:val="auto"/>
                <w:kern w:val="2"/>
                <w:sz w:val="24"/>
                <w:szCs w:val="24"/>
                <w:highlight w:val="none"/>
                <w:lang w:val="en-US" w:eastAsia="zh-CN" w:bidi="ar-SA"/>
              </w:rPr>
            </w:pPr>
            <w:r>
              <w:rPr>
                <w:rFonts w:hint="eastAsia" w:ascii="Times New Roman" w:hAnsi="Times New Roman" w:cs="Times New Roman" w:eastAsiaTheme="minorEastAsia"/>
                <w:color w:val="auto"/>
                <w:kern w:val="2"/>
                <w:sz w:val="24"/>
                <w:szCs w:val="24"/>
                <w:highlight w:val="none"/>
                <w:lang w:val="en-US" w:eastAsia="zh-CN" w:bidi="ar-SA"/>
              </w:rPr>
              <w:t>1中华人民共和国境内依法设立的法律服务中介机构。</w:t>
            </w:r>
          </w:p>
          <w:p w14:paraId="2B441231">
            <w:pPr>
              <w:pStyle w:val="29"/>
              <w:numPr>
                <w:ilvl w:val="0"/>
                <w:numId w:val="1"/>
              </w:numPr>
              <w:shd w:val="clear" w:color="auto" w:fill="FFFFFF"/>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color w:val="auto"/>
                <w:kern w:val="2"/>
                <w:sz w:val="24"/>
                <w:szCs w:val="24"/>
                <w:highlight w:val="none"/>
                <w:lang w:val="en-US" w:eastAsia="zh-CN" w:bidi="ar-SA"/>
              </w:rPr>
              <w:t>本次比选不接受联合体报价，律师事务所总所及分所只允许其中一家参与比选。</w:t>
            </w:r>
          </w:p>
          <w:p w14:paraId="43B382AE">
            <w:pPr>
              <w:pStyle w:val="29"/>
              <w:numPr>
                <w:ilvl w:val="0"/>
                <w:numId w:val="1"/>
              </w:numPr>
              <w:shd w:val="clear" w:color="auto" w:fill="FFFFFF"/>
              <w:rPr>
                <w:rFonts w:hint="eastAsia" w:ascii="Times New Roman" w:hAnsi="Times New Roman" w:cs="Times New Roman" w:eastAsiaTheme="minorEastAsia"/>
                <w:kern w:val="2"/>
                <w:sz w:val="24"/>
                <w:szCs w:val="24"/>
                <w:lang w:val="en-US" w:eastAsia="zh-CN" w:bidi="ar-SA"/>
              </w:rPr>
            </w:pPr>
            <w:r>
              <w:rPr>
                <w:rFonts w:hint="eastAsia" w:ascii="Times New Roman" w:hAnsi="Times New Roman" w:eastAsiaTheme="minorEastAsia"/>
                <w:color w:val="auto"/>
                <w:kern w:val="2"/>
                <w:highlight w:val="none"/>
                <w:lang w:bidi="ar-SA"/>
              </w:rPr>
              <w:t>律师事务所近3年内未受过司法行政部门的行政处罚或者律师协会的行业处分。</w:t>
            </w:r>
          </w:p>
        </w:tc>
      </w:tr>
      <w:tr w14:paraId="5DB4B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510" w:type="pct"/>
            <w:vAlign w:val="center"/>
          </w:tcPr>
          <w:p w14:paraId="2E3A2495">
            <w:pPr>
              <w:jc w:val="center"/>
              <w:rPr>
                <w:rFonts w:eastAsiaTheme="minorEastAsia"/>
                <w:sz w:val="24"/>
              </w:rPr>
            </w:pPr>
            <w:r>
              <w:rPr>
                <w:rFonts w:eastAsiaTheme="minorEastAsia"/>
                <w:sz w:val="24"/>
              </w:rPr>
              <w:t>10</w:t>
            </w:r>
          </w:p>
        </w:tc>
        <w:tc>
          <w:tcPr>
            <w:tcW w:w="523" w:type="pct"/>
            <w:vAlign w:val="center"/>
          </w:tcPr>
          <w:p w14:paraId="35576519">
            <w:pPr>
              <w:jc w:val="left"/>
              <w:rPr>
                <w:rFonts w:eastAsiaTheme="minorEastAsia"/>
                <w:sz w:val="24"/>
              </w:rPr>
            </w:pPr>
            <w:r>
              <w:rPr>
                <w:rFonts w:eastAsiaTheme="minorEastAsia"/>
                <w:sz w:val="24"/>
              </w:rPr>
              <w:t>比选文件的获取</w:t>
            </w:r>
          </w:p>
        </w:tc>
        <w:tc>
          <w:tcPr>
            <w:tcW w:w="3965" w:type="pct"/>
            <w:vAlign w:val="center"/>
          </w:tcPr>
          <w:p w14:paraId="41F03433">
            <w:pPr>
              <w:jc w:val="left"/>
              <w:rPr>
                <w:rFonts w:eastAsiaTheme="minorEastAsia"/>
                <w:sz w:val="24"/>
              </w:rPr>
            </w:pPr>
            <w:r>
              <w:rPr>
                <w:rFonts w:eastAsiaTheme="minorEastAsia"/>
                <w:sz w:val="24"/>
              </w:rPr>
              <w:t>本项目不发放纸质比选文件，比选申请人自行在</w:t>
            </w:r>
            <w:r>
              <w:rPr>
                <w:rFonts w:hint="eastAsia" w:eastAsiaTheme="minorEastAsia"/>
                <w:sz w:val="24"/>
              </w:rPr>
              <w:t>南宁轨道交通集团</w:t>
            </w:r>
            <w:r>
              <w:rPr>
                <w:rFonts w:eastAsiaTheme="minorEastAsia"/>
                <w:sz w:val="24"/>
              </w:rPr>
              <w:t>官网(http://www.nngdjt.com/)</w:t>
            </w:r>
            <w:r>
              <w:rPr>
                <w:rFonts w:hint="eastAsia" w:eastAsiaTheme="minorEastAsia"/>
                <w:sz w:val="24"/>
                <w:lang w:val="en-US" w:eastAsia="zh-CN"/>
              </w:rPr>
              <w:t>上</w:t>
            </w:r>
            <w:r>
              <w:rPr>
                <w:rFonts w:hint="eastAsia" w:ascii="Times New Roman" w:hAnsi="Times New Roman" w:cs="Times New Roman" w:eastAsiaTheme="minorEastAsia"/>
                <w:sz w:val="24"/>
                <w:lang w:eastAsia="zh-CN"/>
              </w:rPr>
              <w:t>“</w:t>
            </w:r>
            <w:r>
              <w:rPr>
                <w:rFonts w:ascii="Times New Roman" w:hAnsi="Times New Roman" w:cs="Times New Roman" w:eastAsiaTheme="minorEastAsia"/>
                <w:sz w:val="24"/>
              </w:rPr>
              <w:t>招标招商</w:t>
            </w:r>
            <w:r>
              <w:rPr>
                <w:rFonts w:hint="eastAsia" w:ascii="Times New Roman" w:hAnsi="Times New Roman" w:cs="Times New Roman" w:eastAsiaTheme="minorEastAsia"/>
                <w:sz w:val="24"/>
                <w:lang w:eastAsia="zh-CN"/>
              </w:rPr>
              <w:t>”</w:t>
            </w:r>
            <w:r>
              <w:rPr>
                <w:rFonts w:hint="eastAsia" w:ascii="Times New Roman" w:hAnsi="Times New Roman" w:cs="Times New Roman" w:eastAsiaTheme="minorEastAsia"/>
                <w:sz w:val="24"/>
                <w:lang w:val="en-US" w:eastAsia="zh-CN"/>
              </w:rPr>
              <w:t>栏下的</w:t>
            </w:r>
            <w:r>
              <w:rPr>
                <w:rFonts w:ascii="Times New Roman" w:hAnsi="Times New Roman" w:cs="Times New Roman" w:eastAsiaTheme="minorEastAsia"/>
                <w:sz w:val="24"/>
              </w:rPr>
              <w:t>招标公告处下载比选文件（见本公告附件）</w:t>
            </w:r>
            <w:r>
              <w:rPr>
                <w:rFonts w:eastAsiaTheme="minorEastAsia"/>
                <w:sz w:val="24"/>
              </w:rPr>
              <w:t>。</w:t>
            </w:r>
          </w:p>
        </w:tc>
      </w:tr>
      <w:tr w14:paraId="55D1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510" w:type="pct"/>
            <w:vAlign w:val="center"/>
          </w:tcPr>
          <w:p w14:paraId="6B195FC2">
            <w:pPr>
              <w:jc w:val="center"/>
              <w:rPr>
                <w:rFonts w:eastAsiaTheme="minorEastAsia"/>
                <w:sz w:val="24"/>
              </w:rPr>
            </w:pPr>
            <w:r>
              <w:rPr>
                <w:rFonts w:eastAsiaTheme="minorEastAsia"/>
                <w:sz w:val="24"/>
              </w:rPr>
              <w:t>11</w:t>
            </w:r>
          </w:p>
        </w:tc>
        <w:tc>
          <w:tcPr>
            <w:tcW w:w="523" w:type="pct"/>
            <w:vAlign w:val="center"/>
          </w:tcPr>
          <w:p w14:paraId="2FE8E6DF">
            <w:pPr>
              <w:jc w:val="left"/>
              <w:rPr>
                <w:rFonts w:eastAsiaTheme="minorEastAsia"/>
                <w:sz w:val="24"/>
              </w:rPr>
            </w:pPr>
            <w:r>
              <w:rPr>
                <w:rFonts w:eastAsiaTheme="minorEastAsia"/>
                <w:sz w:val="24"/>
              </w:rPr>
              <w:t>比选有效期</w:t>
            </w:r>
          </w:p>
        </w:tc>
        <w:tc>
          <w:tcPr>
            <w:tcW w:w="3965" w:type="pct"/>
            <w:vAlign w:val="center"/>
          </w:tcPr>
          <w:p w14:paraId="12E6A1C5">
            <w:pPr>
              <w:ind w:right="-137"/>
              <w:jc w:val="left"/>
              <w:rPr>
                <w:rFonts w:hint="eastAsia"/>
                <w:sz w:val="24"/>
              </w:rPr>
            </w:pPr>
            <w:r>
              <w:rPr>
                <w:rFonts w:hint="eastAsia"/>
                <w:sz w:val="24"/>
              </w:rPr>
              <w:t>90天（比选有效期是指为保证比选人有足够的时间完成评审和与中选人签订合同而在一定时间内保持有效的期限。比选有效期从比选申请文件递交截止之日算起。）</w:t>
            </w:r>
          </w:p>
        </w:tc>
      </w:tr>
      <w:tr w14:paraId="0A7B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510" w:type="pct"/>
            <w:vAlign w:val="center"/>
          </w:tcPr>
          <w:p w14:paraId="5B0FC08F">
            <w:pPr>
              <w:jc w:val="center"/>
              <w:rPr>
                <w:rFonts w:eastAsiaTheme="minorEastAsia"/>
                <w:sz w:val="24"/>
              </w:rPr>
            </w:pPr>
            <w:r>
              <w:rPr>
                <w:rFonts w:eastAsiaTheme="minorEastAsia"/>
                <w:sz w:val="24"/>
              </w:rPr>
              <w:t>12</w:t>
            </w:r>
          </w:p>
        </w:tc>
        <w:tc>
          <w:tcPr>
            <w:tcW w:w="523" w:type="pct"/>
            <w:vAlign w:val="center"/>
          </w:tcPr>
          <w:p w14:paraId="79725F0E">
            <w:pPr>
              <w:jc w:val="left"/>
              <w:rPr>
                <w:rFonts w:eastAsiaTheme="minorEastAsia"/>
                <w:sz w:val="24"/>
              </w:rPr>
            </w:pPr>
            <w:r>
              <w:rPr>
                <w:rFonts w:eastAsiaTheme="minorEastAsia"/>
                <w:sz w:val="24"/>
              </w:rPr>
              <w:t>比选申请文件份数</w:t>
            </w:r>
          </w:p>
        </w:tc>
        <w:tc>
          <w:tcPr>
            <w:tcW w:w="3965" w:type="pct"/>
            <w:vAlign w:val="center"/>
          </w:tcPr>
          <w:p w14:paraId="00EB6E35">
            <w:pPr>
              <w:keepNext w:val="0"/>
              <w:keepLines w:val="0"/>
              <w:widowControl w:val="0"/>
              <w:suppressLineNumbers w:val="0"/>
              <w:spacing w:before="0" w:beforeAutospacing="0" w:after="0" w:afterAutospacing="0"/>
              <w:ind w:left="0" w:right="0"/>
              <w:jc w:val="both"/>
              <w:rPr>
                <w:rFonts w:hint="default" w:eastAsiaTheme="minorEastAsia"/>
                <w:sz w:val="24"/>
              </w:rPr>
            </w:pPr>
            <w:r>
              <w:rPr>
                <w:rFonts w:eastAsiaTheme="minorEastAsia"/>
                <w:sz w:val="24"/>
              </w:rPr>
              <w:t>纸质版一式</w:t>
            </w:r>
            <w:r>
              <w:rPr>
                <w:rFonts w:hint="eastAsia" w:eastAsiaTheme="minorEastAsia"/>
                <w:sz w:val="24"/>
                <w:lang w:val="en-US" w:eastAsia="zh-CN"/>
              </w:rPr>
              <w:t>三</w:t>
            </w:r>
            <w:r>
              <w:rPr>
                <w:rFonts w:eastAsiaTheme="minorEastAsia"/>
                <w:sz w:val="24"/>
              </w:rPr>
              <w:t>份，其中正本</w:t>
            </w:r>
            <w:r>
              <w:rPr>
                <w:rFonts w:hint="eastAsia" w:eastAsiaTheme="minorEastAsia"/>
                <w:sz w:val="24"/>
                <w:u w:val="none"/>
                <w:lang w:val="en-US" w:eastAsia="zh-CN"/>
              </w:rPr>
              <w:t>一</w:t>
            </w:r>
            <w:r>
              <w:rPr>
                <w:rFonts w:eastAsiaTheme="minorEastAsia"/>
                <w:sz w:val="24"/>
              </w:rPr>
              <w:t>份、副本</w:t>
            </w:r>
            <w:r>
              <w:rPr>
                <w:rFonts w:hint="eastAsia" w:eastAsiaTheme="minorEastAsia"/>
                <w:sz w:val="24"/>
                <w:lang w:val="en-US" w:eastAsia="zh-CN"/>
              </w:rPr>
              <w:t>二</w:t>
            </w:r>
            <w:r>
              <w:rPr>
                <w:rFonts w:eastAsiaTheme="minorEastAsia"/>
                <w:sz w:val="24"/>
              </w:rPr>
              <w:t>份</w:t>
            </w:r>
            <w:r>
              <w:rPr>
                <w:rFonts w:hint="eastAsia" w:eastAsiaTheme="minorEastAsia"/>
                <w:sz w:val="24"/>
              </w:rPr>
              <w:t>。</w:t>
            </w:r>
            <w:r>
              <w:rPr>
                <w:rFonts w:hint="eastAsia" w:ascii="宋体" w:hAnsi="宋体" w:cs="宋体"/>
                <w:color w:val="auto"/>
                <w:szCs w:val="21"/>
              </w:rPr>
              <w:t>（</w:t>
            </w:r>
            <w:r>
              <w:rPr>
                <w:rFonts w:hint="eastAsia" w:ascii="宋体" w:hAnsi="宋体" w:eastAsia="宋体" w:cs="宋体"/>
                <w:b/>
                <w:bCs/>
                <w:kern w:val="2"/>
                <w:sz w:val="24"/>
                <w:szCs w:val="24"/>
                <w:lang w:val="en-US" w:eastAsia="zh-CN" w:bidi="ar"/>
              </w:rPr>
              <w:t>同步提供全套盖章电子版U盘</w:t>
            </w:r>
            <w:r>
              <w:rPr>
                <w:rFonts w:hint="eastAsia" w:ascii="宋体" w:hAnsi="宋体" w:cs="宋体"/>
                <w:color w:val="auto"/>
                <w:szCs w:val="21"/>
              </w:rPr>
              <w:t>）</w:t>
            </w:r>
          </w:p>
        </w:tc>
      </w:tr>
      <w:tr w14:paraId="4E35A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510" w:type="pct"/>
            <w:vAlign w:val="center"/>
          </w:tcPr>
          <w:p w14:paraId="13620ECD">
            <w:pPr>
              <w:jc w:val="center"/>
              <w:rPr>
                <w:rFonts w:eastAsiaTheme="minorEastAsia"/>
                <w:sz w:val="24"/>
              </w:rPr>
            </w:pPr>
            <w:r>
              <w:rPr>
                <w:rFonts w:eastAsiaTheme="minorEastAsia"/>
                <w:sz w:val="24"/>
              </w:rPr>
              <w:t>13</w:t>
            </w:r>
          </w:p>
        </w:tc>
        <w:tc>
          <w:tcPr>
            <w:tcW w:w="523" w:type="pct"/>
            <w:vAlign w:val="center"/>
          </w:tcPr>
          <w:p w14:paraId="0A7AB39F">
            <w:pPr>
              <w:jc w:val="left"/>
              <w:rPr>
                <w:rFonts w:eastAsiaTheme="minorEastAsia"/>
                <w:sz w:val="24"/>
              </w:rPr>
            </w:pPr>
            <w:r>
              <w:rPr>
                <w:rFonts w:eastAsiaTheme="minorEastAsia"/>
                <w:b/>
                <w:bCs/>
                <w:sz w:val="24"/>
              </w:rPr>
              <w:t>比选申请文件递交</w:t>
            </w:r>
            <w:r>
              <w:rPr>
                <w:rFonts w:hint="eastAsia" w:eastAsiaTheme="minorEastAsia"/>
                <w:b/>
                <w:bCs/>
                <w:sz w:val="24"/>
              </w:rPr>
              <w:t>单位和</w:t>
            </w:r>
            <w:r>
              <w:rPr>
                <w:rFonts w:eastAsiaTheme="minorEastAsia"/>
                <w:b/>
                <w:bCs/>
                <w:sz w:val="24"/>
              </w:rPr>
              <w:t>地址</w:t>
            </w:r>
          </w:p>
        </w:tc>
        <w:tc>
          <w:tcPr>
            <w:tcW w:w="3965" w:type="pct"/>
            <w:vAlign w:val="center"/>
          </w:tcPr>
          <w:p w14:paraId="2B474F4A">
            <w:pPr>
              <w:ind w:right="-137"/>
              <w:jc w:val="left"/>
              <w:rPr>
                <w:sz w:val="24"/>
              </w:rPr>
            </w:pPr>
            <w:r>
              <w:rPr>
                <w:rFonts w:hint="eastAsia"/>
                <w:sz w:val="24"/>
              </w:rPr>
              <w:t>单位：南宁铁路枢纽投资有限公司</w:t>
            </w:r>
          </w:p>
          <w:p w14:paraId="234242D7">
            <w:pPr>
              <w:ind w:right="-137"/>
              <w:jc w:val="left"/>
              <w:rPr>
                <w:rFonts w:eastAsiaTheme="minorEastAsia"/>
                <w:sz w:val="24"/>
              </w:rPr>
            </w:pPr>
            <w:r>
              <w:rPr>
                <w:rFonts w:hint="eastAsia"/>
                <w:sz w:val="24"/>
              </w:rPr>
              <w:t>地址：</w:t>
            </w:r>
            <w:r>
              <w:rPr>
                <w:rFonts w:eastAsiaTheme="minorEastAsia"/>
                <w:sz w:val="24"/>
              </w:rPr>
              <w:t>南宁市青秀区云景路69号轨道大厦</w:t>
            </w:r>
            <w:r>
              <w:rPr>
                <w:rFonts w:hint="eastAsia" w:eastAsiaTheme="minorEastAsia"/>
                <w:sz w:val="24"/>
                <w:lang w:val="en-US" w:eastAsia="zh-CN"/>
              </w:rPr>
              <w:t>B座5楼</w:t>
            </w:r>
            <w:r>
              <w:rPr>
                <w:rFonts w:hint="eastAsia" w:eastAsiaTheme="minorEastAsia"/>
                <w:sz w:val="24"/>
                <w:u w:val="none"/>
                <w:lang w:val="en-US" w:eastAsia="zh-CN"/>
              </w:rPr>
              <w:t>小</w:t>
            </w:r>
            <w:r>
              <w:rPr>
                <w:rFonts w:hint="eastAsia" w:eastAsiaTheme="minorEastAsia"/>
                <w:sz w:val="24"/>
                <w:lang w:val="en-US" w:eastAsia="zh-CN"/>
              </w:rPr>
              <w:t>型</w:t>
            </w:r>
            <w:r>
              <w:rPr>
                <w:rFonts w:hint="eastAsia" w:eastAsiaTheme="minorEastAsia"/>
                <w:sz w:val="24"/>
              </w:rPr>
              <w:t>会议室</w:t>
            </w:r>
          </w:p>
        </w:tc>
      </w:tr>
      <w:tr w14:paraId="1E42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pct"/>
            <w:shd w:val="clear" w:color="auto" w:fill="FFFFFF" w:themeFill="background1"/>
            <w:vAlign w:val="center"/>
          </w:tcPr>
          <w:p w14:paraId="08BDF667">
            <w:pPr>
              <w:jc w:val="center"/>
              <w:rPr>
                <w:rFonts w:eastAsiaTheme="minorEastAsia"/>
                <w:sz w:val="24"/>
              </w:rPr>
            </w:pPr>
            <w:r>
              <w:rPr>
                <w:rFonts w:eastAsiaTheme="minorEastAsia"/>
                <w:sz w:val="24"/>
              </w:rPr>
              <w:t>14</w:t>
            </w:r>
          </w:p>
        </w:tc>
        <w:tc>
          <w:tcPr>
            <w:tcW w:w="523" w:type="pct"/>
            <w:shd w:val="clear" w:color="auto" w:fill="FFFFFF" w:themeFill="background1"/>
            <w:vAlign w:val="center"/>
          </w:tcPr>
          <w:p w14:paraId="2EC84BB7">
            <w:pPr>
              <w:jc w:val="left"/>
              <w:rPr>
                <w:rFonts w:eastAsiaTheme="minorEastAsia"/>
                <w:sz w:val="24"/>
              </w:rPr>
            </w:pPr>
            <w:r>
              <w:rPr>
                <w:rFonts w:eastAsiaTheme="minorEastAsia"/>
                <w:b/>
                <w:bCs/>
                <w:sz w:val="24"/>
              </w:rPr>
              <w:t>比选申请文件递交时间</w:t>
            </w:r>
          </w:p>
        </w:tc>
        <w:tc>
          <w:tcPr>
            <w:tcW w:w="3965" w:type="pct"/>
            <w:shd w:val="clear" w:color="auto" w:fill="FFFFFF" w:themeFill="background1"/>
            <w:vAlign w:val="center"/>
          </w:tcPr>
          <w:p w14:paraId="58C06B9E">
            <w:pPr>
              <w:spacing w:line="360" w:lineRule="auto"/>
              <w:ind w:firstLine="0" w:firstLineChars="0"/>
              <w:rPr>
                <w:rFonts w:eastAsiaTheme="minorEastAsia"/>
                <w:color w:val="auto"/>
                <w:sz w:val="24"/>
                <w:highlight w:val="yellow"/>
              </w:rPr>
            </w:pPr>
            <w:r>
              <w:rPr>
                <w:rFonts w:hint="eastAsia" w:eastAsiaTheme="minorEastAsia"/>
                <w:color w:val="auto"/>
                <w:sz w:val="24"/>
                <w:u w:val="none"/>
                <w:lang w:val="en-US" w:eastAsia="zh-CN"/>
              </w:rPr>
              <w:t>2025</w:t>
            </w:r>
            <w:r>
              <w:rPr>
                <w:rFonts w:hint="eastAsia" w:eastAsiaTheme="minorEastAsia"/>
                <w:color w:val="auto"/>
                <w:sz w:val="24"/>
                <w:highlight w:val="none"/>
              </w:rPr>
              <w:t>年</w:t>
            </w:r>
            <w:r>
              <w:rPr>
                <w:rFonts w:hint="eastAsia" w:eastAsiaTheme="minorEastAsia"/>
                <w:color w:val="auto"/>
                <w:sz w:val="24"/>
                <w:highlight w:val="none"/>
                <w:u w:val="none"/>
                <w:lang w:val="en-US" w:eastAsia="zh-CN"/>
              </w:rPr>
              <w:t>9</w:t>
            </w:r>
            <w:r>
              <w:rPr>
                <w:rFonts w:hint="eastAsia" w:eastAsiaTheme="minorEastAsia"/>
                <w:color w:val="auto"/>
                <w:sz w:val="24"/>
                <w:highlight w:val="none"/>
              </w:rPr>
              <w:t>月</w:t>
            </w:r>
            <w:r>
              <w:rPr>
                <w:rFonts w:hint="eastAsia" w:eastAsiaTheme="minorEastAsia"/>
                <w:color w:val="auto"/>
                <w:sz w:val="24"/>
                <w:highlight w:val="none"/>
                <w:u w:val="none"/>
                <w:lang w:val="en-US" w:eastAsia="zh-CN"/>
              </w:rPr>
              <w:t xml:space="preserve"> 11 </w:t>
            </w:r>
            <w:r>
              <w:rPr>
                <w:rFonts w:hint="eastAsia" w:eastAsiaTheme="minorEastAsia"/>
                <w:color w:val="auto"/>
                <w:sz w:val="24"/>
                <w:highlight w:val="none"/>
              </w:rPr>
              <w:t>日</w:t>
            </w:r>
            <w:r>
              <w:rPr>
                <w:rFonts w:hint="eastAsia" w:eastAsiaTheme="minorEastAsia"/>
                <w:color w:val="auto"/>
                <w:sz w:val="24"/>
                <w:highlight w:val="none"/>
                <w:lang w:val="en-US" w:eastAsia="zh-CN"/>
              </w:rPr>
              <w:t>上</w:t>
            </w:r>
            <w:r>
              <w:rPr>
                <w:rFonts w:hint="eastAsia" w:eastAsiaTheme="minorEastAsia"/>
                <w:color w:val="auto"/>
                <w:sz w:val="24"/>
                <w:lang w:val="en-US" w:eastAsia="zh-CN"/>
              </w:rPr>
              <w:t>午8：30——</w:t>
            </w:r>
            <w:r>
              <w:rPr>
                <w:rFonts w:hint="eastAsia" w:eastAsiaTheme="minorEastAsia"/>
                <w:color w:val="auto"/>
                <w:sz w:val="24"/>
                <w:u w:val="none"/>
                <w:lang w:val="en-US" w:eastAsia="zh-CN"/>
              </w:rPr>
              <w:t xml:space="preserve">9 ：00 </w:t>
            </w:r>
          </w:p>
        </w:tc>
      </w:tr>
      <w:tr w14:paraId="1F655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510" w:type="pct"/>
            <w:shd w:val="clear" w:color="auto" w:fill="FFFFFF" w:themeFill="background1"/>
            <w:vAlign w:val="center"/>
          </w:tcPr>
          <w:p w14:paraId="7E0796B3">
            <w:pPr>
              <w:jc w:val="center"/>
              <w:rPr>
                <w:rFonts w:eastAsiaTheme="minorEastAsia"/>
                <w:sz w:val="24"/>
              </w:rPr>
            </w:pPr>
            <w:r>
              <w:rPr>
                <w:rFonts w:eastAsiaTheme="minorEastAsia"/>
                <w:sz w:val="24"/>
              </w:rPr>
              <w:t>15</w:t>
            </w:r>
          </w:p>
        </w:tc>
        <w:tc>
          <w:tcPr>
            <w:tcW w:w="523" w:type="pct"/>
            <w:shd w:val="clear" w:color="auto" w:fill="FFFFFF" w:themeFill="background1"/>
            <w:vAlign w:val="center"/>
          </w:tcPr>
          <w:p w14:paraId="34899D02">
            <w:pPr>
              <w:rPr>
                <w:rFonts w:eastAsiaTheme="minorEastAsia"/>
                <w:sz w:val="24"/>
              </w:rPr>
            </w:pPr>
            <w:r>
              <w:rPr>
                <w:rFonts w:hint="eastAsia" w:eastAsiaTheme="minorEastAsia"/>
                <w:sz w:val="24"/>
              </w:rPr>
              <w:t>比选时间、地点</w:t>
            </w:r>
          </w:p>
        </w:tc>
        <w:tc>
          <w:tcPr>
            <w:tcW w:w="3965" w:type="pct"/>
            <w:shd w:val="clear" w:color="auto" w:fill="FFFFFF" w:themeFill="background1"/>
            <w:vAlign w:val="center"/>
          </w:tcPr>
          <w:p w14:paraId="0CAA734B">
            <w:pPr>
              <w:rPr>
                <w:rFonts w:eastAsiaTheme="minorEastAsia"/>
                <w:color w:val="auto"/>
                <w:sz w:val="24"/>
              </w:rPr>
            </w:pPr>
            <w:r>
              <w:rPr>
                <w:rFonts w:hint="eastAsia" w:eastAsiaTheme="minorEastAsia"/>
                <w:color w:val="auto"/>
                <w:sz w:val="24"/>
              </w:rPr>
              <w:t>时间：</w:t>
            </w:r>
            <w:r>
              <w:rPr>
                <w:rFonts w:hint="eastAsia" w:eastAsiaTheme="minorEastAsia"/>
                <w:color w:val="auto"/>
                <w:sz w:val="24"/>
                <w:u w:val="none"/>
                <w:lang w:val="en-US" w:eastAsia="zh-CN"/>
              </w:rPr>
              <w:t>2025</w:t>
            </w:r>
            <w:r>
              <w:rPr>
                <w:rFonts w:hint="eastAsia" w:eastAsiaTheme="minorEastAsia"/>
                <w:color w:val="auto"/>
                <w:sz w:val="24"/>
              </w:rPr>
              <w:t>年</w:t>
            </w:r>
            <w:r>
              <w:rPr>
                <w:rFonts w:hint="eastAsia" w:eastAsiaTheme="minorEastAsia"/>
                <w:color w:val="auto"/>
                <w:sz w:val="24"/>
                <w:highlight w:val="none"/>
                <w:u w:val="none"/>
                <w:lang w:val="en-US" w:eastAsia="zh-CN"/>
              </w:rPr>
              <w:t>9</w:t>
            </w:r>
            <w:r>
              <w:rPr>
                <w:rFonts w:hint="eastAsia" w:eastAsiaTheme="minorEastAsia"/>
                <w:color w:val="auto"/>
                <w:sz w:val="24"/>
                <w:highlight w:val="none"/>
              </w:rPr>
              <w:t>月</w:t>
            </w:r>
            <w:r>
              <w:rPr>
                <w:rFonts w:hint="eastAsia" w:eastAsiaTheme="minorEastAsia"/>
                <w:color w:val="auto"/>
                <w:sz w:val="24"/>
                <w:highlight w:val="none"/>
                <w:lang w:val="en-US" w:eastAsia="zh-CN"/>
              </w:rPr>
              <w:t xml:space="preserve"> 11</w:t>
            </w:r>
            <w:r>
              <w:rPr>
                <w:rFonts w:hint="eastAsia" w:eastAsiaTheme="minorEastAsia"/>
                <w:color w:val="auto"/>
                <w:sz w:val="24"/>
                <w:highlight w:val="none"/>
              </w:rPr>
              <w:t>日</w:t>
            </w:r>
            <w:r>
              <w:rPr>
                <w:rFonts w:hint="eastAsia" w:eastAsiaTheme="minorEastAsia"/>
                <w:color w:val="auto"/>
                <w:sz w:val="24"/>
                <w:highlight w:val="none"/>
                <w:lang w:val="en-US" w:eastAsia="zh-CN"/>
              </w:rPr>
              <w:t xml:space="preserve"> </w:t>
            </w:r>
            <w:r>
              <w:rPr>
                <w:rFonts w:hint="eastAsia" w:eastAsiaTheme="minorEastAsia"/>
                <w:color w:val="auto"/>
                <w:sz w:val="24"/>
                <w:lang w:val="en-US" w:eastAsia="zh-CN"/>
              </w:rPr>
              <w:t>上午</w:t>
            </w:r>
            <w:r>
              <w:rPr>
                <w:rFonts w:hint="eastAsia" w:eastAsiaTheme="minorEastAsia"/>
                <w:color w:val="auto"/>
                <w:sz w:val="24"/>
                <w:u w:val="none"/>
                <w:lang w:val="en-US" w:eastAsia="zh-CN"/>
              </w:rPr>
              <w:t xml:space="preserve">9 ：10 </w:t>
            </w:r>
            <w:r>
              <w:rPr>
                <w:rFonts w:hint="eastAsia" w:eastAsiaTheme="minorEastAsia"/>
                <w:color w:val="auto"/>
                <w:sz w:val="24"/>
                <w:lang w:val="en-US" w:eastAsia="zh-CN"/>
              </w:rPr>
              <w:t xml:space="preserve"> </w:t>
            </w:r>
          </w:p>
          <w:p w14:paraId="28259C64">
            <w:pPr>
              <w:rPr>
                <w:rFonts w:eastAsiaTheme="minorEastAsia"/>
                <w:color w:val="auto"/>
                <w:sz w:val="24"/>
              </w:rPr>
            </w:pPr>
            <w:r>
              <w:rPr>
                <w:rFonts w:hint="eastAsia" w:eastAsiaTheme="minorEastAsia"/>
                <w:color w:val="auto"/>
                <w:sz w:val="24"/>
              </w:rPr>
              <w:t>地点：</w:t>
            </w:r>
            <w:r>
              <w:rPr>
                <w:rFonts w:eastAsiaTheme="minorEastAsia"/>
                <w:sz w:val="24"/>
              </w:rPr>
              <w:t>南宁市青秀区云景路69号轨道大厦</w:t>
            </w:r>
            <w:r>
              <w:rPr>
                <w:rFonts w:hint="eastAsia" w:eastAsiaTheme="minorEastAsia"/>
                <w:sz w:val="24"/>
                <w:lang w:val="en-US" w:eastAsia="zh-CN"/>
              </w:rPr>
              <w:t xml:space="preserve">B座5楼 </w:t>
            </w:r>
            <w:r>
              <w:rPr>
                <w:rFonts w:hint="eastAsia" w:eastAsiaTheme="minorEastAsia"/>
                <w:sz w:val="24"/>
                <w:u w:val="single"/>
                <w:lang w:val="en-US" w:eastAsia="zh-CN"/>
              </w:rPr>
              <w:t>小</w:t>
            </w:r>
            <w:r>
              <w:rPr>
                <w:rFonts w:hint="eastAsia" w:eastAsiaTheme="minorEastAsia"/>
                <w:sz w:val="24"/>
                <w:u w:val="none"/>
                <w:lang w:val="en-US" w:eastAsia="zh-CN"/>
              </w:rPr>
              <w:t xml:space="preserve"> </w:t>
            </w:r>
            <w:r>
              <w:rPr>
                <w:rFonts w:hint="eastAsia" w:eastAsiaTheme="minorEastAsia"/>
                <w:sz w:val="24"/>
                <w:lang w:val="en-US" w:eastAsia="zh-CN"/>
              </w:rPr>
              <w:t>型</w:t>
            </w:r>
            <w:r>
              <w:rPr>
                <w:rFonts w:hint="eastAsia" w:eastAsiaTheme="minorEastAsia"/>
                <w:sz w:val="24"/>
              </w:rPr>
              <w:t>会议室</w:t>
            </w:r>
          </w:p>
        </w:tc>
      </w:tr>
      <w:tr w14:paraId="5AECA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510" w:type="pct"/>
            <w:shd w:val="clear" w:color="auto" w:fill="FFFFFF" w:themeFill="background1"/>
            <w:vAlign w:val="center"/>
          </w:tcPr>
          <w:p w14:paraId="483FD396">
            <w:pPr>
              <w:jc w:val="center"/>
              <w:rPr>
                <w:rFonts w:hint="eastAsia" w:eastAsiaTheme="minorEastAsia"/>
                <w:sz w:val="24"/>
                <w:lang w:eastAsia="zh-CN"/>
              </w:rPr>
            </w:pPr>
            <w:r>
              <w:rPr>
                <w:rFonts w:eastAsiaTheme="minorEastAsia"/>
                <w:sz w:val="24"/>
              </w:rPr>
              <w:t>1</w:t>
            </w:r>
            <w:r>
              <w:rPr>
                <w:rFonts w:hint="eastAsia" w:eastAsiaTheme="minorEastAsia"/>
                <w:sz w:val="24"/>
              </w:rPr>
              <w:t>6</w:t>
            </w:r>
          </w:p>
        </w:tc>
        <w:tc>
          <w:tcPr>
            <w:tcW w:w="523" w:type="pct"/>
            <w:shd w:val="clear" w:color="auto" w:fill="FFFFFF" w:themeFill="background1"/>
            <w:vAlign w:val="center"/>
          </w:tcPr>
          <w:p w14:paraId="3F9A3EC1">
            <w:pPr>
              <w:jc w:val="left"/>
              <w:rPr>
                <w:rFonts w:eastAsiaTheme="minorEastAsia"/>
                <w:sz w:val="24"/>
              </w:rPr>
            </w:pPr>
            <w:r>
              <w:rPr>
                <w:rFonts w:eastAsiaTheme="minorEastAsia"/>
                <w:sz w:val="24"/>
              </w:rPr>
              <w:t>比选申请文件递交要求</w:t>
            </w:r>
          </w:p>
        </w:tc>
        <w:tc>
          <w:tcPr>
            <w:tcW w:w="3965" w:type="pct"/>
            <w:shd w:val="clear" w:color="auto" w:fill="FFFFFF" w:themeFill="background1"/>
            <w:vAlign w:val="center"/>
          </w:tcPr>
          <w:p w14:paraId="6F910B7E">
            <w:pPr>
              <w:ind w:right="-3"/>
              <w:jc w:val="left"/>
              <w:rPr>
                <w:rFonts w:eastAsiaTheme="minorEastAsia"/>
                <w:sz w:val="24"/>
              </w:rPr>
            </w:pPr>
            <w:r>
              <w:rPr>
                <w:rFonts w:eastAsiaTheme="minorEastAsia"/>
                <w:sz w:val="24"/>
              </w:rPr>
              <w:t>逾期送达或不符合比选文件密封规定的比选申请文件将被拒绝接收。</w:t>
            </w:r>
          </w:p>
        </w:tc>
      </w:tr>
      <w:tr w14:paraId="796C3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510" w:type="pct"/>
            <w:vAlign w:val="center"/>
          </w:tcPr>
          <w:p w14:paraId="61DD6D32">
            <w:pPr>
              <w:jc w:val="center"/>
              <w:rPr>
                <w:rFonts w:eastAsiaTheme="minorEastAsia"/>
                <w:sz w:val="24"/>
              </w:rPr>
            </w:pPr>
            <w:r>
              <w:rPr>
                <w:rFonts w:eastAsiaTheme="minorEastAsia"/>
                <w:sz w:val="24"/>
              </w:rPr>
              <w:t>1</w:t>
            </w:r>
            <w:r>
              <w:rPr>
                <w:rFonts w:hint="eastAsia" w:eastAsiaTheme="minorEastAsia"/>
                <w:sz w:val="24"/>
              </w:rPr>
              <w:t>7</w:t>
            </w:r>
          </w:p>
        </w:tc>
        <w:tc>
          <w:tcPr>
            <w:tcW w:w="523" w:type="pct"/>
            <w:vAlign w:val="center"/>
          </w:tcPr>
          <w:p w14:paraId="5E4BD339">
            <w:pPr>
              <w:jc w:val="left"/>
              <w:rPr>
                <w:rFonts w:eastAsiaTheme="minorEastAsia"/>
                <w:sz w:val="24"/>
              </w:rPr>
            </w:pPr>
            <w:r>
              <w:rPr>
                <w:rFonts w:eastAsiaTheme="minorEastAsia"/>
                <w:sz w:val="24"/>
              </w:rPr>
              <w:t>评比办法</w:t>
            </w:r>
          </w:p>
        </w:tc>
        <w:tc>
          <w:tcPr>
            <w:tcW w:w="3965" w:type="pct"/>
            <w:vAlign w:val="center"/>
          </w:tcPr>
          <w:p w14:paraId="3ADE08B4">
            <w:pPr>
              <w:ind w:right="753"/>
              <w:jc w:val="left"/>
              <w:rPr>
                <w:rFonts w:eastAsiaTheme="minorEastAsia"/>
                <w:sz w:val="24"/>
              </w:rPr>
            </w:pPr>
            <w:r>
              <w:rPr>
                <w:rFonts w:eastAsiaTheme="minorEastAsia"/>
                <w:sz w:val="24"/>
              </w:rPr>
              <w:t>采用综合评分法（详见第</w:t>
            </w:r>
            <w:r>
              <w:rPr>
                <w:rFonts w:hint="eastAsia" w:eastAsiaTheme="minorEastAsia"/>
                <w:sz w:val="24"/>
                <w:lang w:val="en-US" w:eastAsia="zh-CN"/>
              </w:rPr>
              <w:t>四</w:t>
            </w:r>
            <w:r>
              <w:rPr>
                <w:rFonts w:eastAsiaTheme="minorEastAsia"/>
                <w:sz w:val="24"/>
              </w:rPr>
              <w:t>章）</w:t>
            </w:r>
          </w:p>
        </w:tc>
      </w:tr>
      <w:tr w14:paraId="3902F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510" w:type="pct"/>
            <w:vAlign w:val="center"/>
          </w:tcPr>
          <w:p w14:paraId="0F2808E2">
            <w:pPr>
              <w:jc w:val="center"/>
              <w:rPr>
                <w:rFonts w:eastAsiaTheme="minorEastAsia"/>
                <w:sz w:val="24"/>
              </w:rPr>
            </w:pPr>
            <w:r>
              <w:rPr>
                <w:rFonts w:eastAsiaTheme="minorEastAsia"/>
                <w:sz w:val="24"/>
              </w:rPr>
              <w:t>1</w:t>
            </w:r>
            <w:r>
              <w:rPr>
                <w:rFonts w:hint="eastAsia" w:eastAsiaTheme="minorEastAsia"/>
                <w:sz w:val="24"/>
              </w:rPr>
              <w:t>8</w:t>
            </w:r>
          </w:p>
        </w:tc>
        <w:tc>
          <w:tcPr>
            <w:tcW w:w="523" w:type="pct"/>
            <w:vAlign w:val="center"/>
          </w:tcPr>
          <w:p w14:paraId="274E013F">
            <w:pPr>
              <w:jc w:val="left"/>
              <w:rPr>
                <w:rFonts w:eastAsiaTheme="minorEastAsia"/>
                <w:sz w:val="24"/>
              </w:rPr>
            </w:pPr>
            <w:r>
              <w:rPr>
                <w:rFonts w:eastAsiaTheme="minorEastAsia"/>
                <w:sz w:val="24"/>
              </w:rPr>
              <w:t>中选通知</w:t>
            </w:r>
          </w:p>
        </w:tc>
        <w:tc>
          <w:tcPr>
            <w:tcW w:w="3965" w:type="pct"/>
          </w:tcPr>
          <w:p w14:paraId="117F2111">
            <w:pPr>
              <w:numPr>
                <w:ilvl w:val="0"/>
                <w:numId w:val="0"/>
              </w:numPr>
              <w:ind w:right="-3" w:rightChars="0"/>
              <w:jc w:val="left"/>
              <w:rPr>
                <w:rFonts w:eastAsiaTheme="minorEastAsia"/>
                <w:sz w:val="24"/>
              </w:rPr>
            </w:pPr>
            <w:r>
              <w:rPr>
                <w:rFonts w:ascii="Times New Roman" w:hAnsi="Times New Roman" w:cs="Times New Roman" w:eastAsiaTheme="minorEastAsia"/>
                <w:kern w:val="2"/>
                <w:sz w:val="24"/>
                <w:szCs w:val="24"/>
                <w:lang w:val="en-US" w:eastAsia="zh-CN" w:bidi="ar-SA"/>
              </w:rPr>
              <w:t>1、</w:t>
            </w:r>
            <w:r>
              <w:rPr>
                <w:rFonts w:eastAsiaTheme="minorEastAsia"/>
                <w:sz w:val="24"/>
              </w:rPr>
              <w:t>比选人根据评比委员会的评比结果在比选有效期内向中选的比选申请人发出中选通知书。</w:t>
            </w:r>
          </w:p>
          <w:p w14:paraId="78E1BABA">
            <w:pPr>
              <w:ind w:right="-3"/>
              <w:jc w:val="left"/>
              <w:rPr>
                <w:rFonts w:eastAsiaTheme="minorEastAsia"/>
                <w:sz w:val="24"/>
              </w:rPr>
            </w:pPr>
            <w:r>
              <w:rPr>
                <w:rFonts w:hint="eastAsia" w:eastAsiaTheme="minorEastAsia"/>
                <w:sz w:val="24"/>
                <w:lang w:val="en-US" w:eastAsia="zh-CN"/>
              </w:rPr>
              <w:t>2、</w:t>
            </w:r>
            <w:r>
              <w:rPr>
                <w:rFonts w:eastAsiaTheme="minorEastAsia"/>
                <w:sz w:val="24"/>
              </w:rPr>
              <w:t>比选人无义务向未中选的比选申请人解释未中选原因和退还其比选文件。</w:t>
            </w:r>
          </w:p>
        </w:tc>
      </w:tr>
      <w:tr w14:paraId="55AB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510" w:type="pct"/>
            <w:vAlign w:val="center"/>
          </w:tcPr>
          <w:p w14:paraId="7CD57A05">
            <w:pPr>
              <w:jc w:val="center"/>
              <w:rPr>
                <w:rFonts w:hint="default" w:eastAsiaTheme="minorEastAsia"/>
                <w:sz w:val="24"/>
                <w:lang w:val="en-US" w:eastAsia="zh-CN"/>
              </w:rPr>
            </w:pPr>
            <w:r>
              <w:rPr>
                <w:rFonts w:hint="eastAsia" w:eastAsiaTheme="minorEastAsia"/>
                <w:sz w:val="24"/>
                <w:lang w:val="en-US" w:eastAsia="zh-CN"/>
              </w:rPr>
              <w:t>19</w:t>
            </w:r>
          </w:p>
        </w:tc>
        <w:tc>
          <w:tcPr>
            <w:tcW w:w="523" w:type="pct"/>
            <w:vAlign w:val="center"/>
          </w:tcPr>
          <w:p w14:paraId="46958B38">
            <w:pPr>
              <w:jc w:val="left"/>
              <w:rPr>
                <w:rFonts w:eastAsiaTheme="minorEastAsia"/>
                <w:sz w:val="24"/>
              </w:rPr>
            </w:pPr>
            <w:r>
              <w:rPr>
                <w:rFonts w:hint="eastAsia" w:ascii="宋体" w:hAnsi="宋体" w:cs="宋体"/>
                <w:color w:val="auto"/>
                <w:szCs w:val="21"/>
              </w:rPr>
              <w:t>联系方式</w:t>
            </w:r>
          </w:p>
        </w:tc>
        <w:tc>
          <w:tcPr>
            <w:tcW w:w="3965" w:type="pct"/>
            <w:vAlign w:val="center"/>
          </w:tcPr>
          <w:p w14:paraId="390BC062">
            <w:pPr>
              <w:jc w:val="left"/>
              <w:rPr>
                <w:rFonts w:hint="default" w:ascii="宋体" w:hAnsi="宋体" w:cs="宋体"/>
                <w:color w:val="auto"/>
                <w:szCs w:val="21"/>
                <w:highlight w:val="yellow"/>
                <w:lang w:val="en-US" w:eastAsia="zh-CN"/>
              </w:rPr>
            </w:pPr>
            <w:r>
              <w:rPr>
                <w:rFonts w:hint="eastAsia" w:ascii="宋体" w:hAnsi="宋体" w:cs="宋体"/>
                <w:color w:val="auto"/>
                <w:szCs w:val="21"/>
                <w:lang w:val="en-US" w:eastAsia="zh-CN"/>
              </w:rPr>
              <w:t>联系人：</w:t>
            </w:r>
            <w:r>
              <w:rPr>
                <w:rFonts w:hint="eastAsia" w:ascii="宋体" w:hAnsi="宋体" w:cs="宋体"/>
                <w:color w:val="auto"/>
                <w:szCs w:val="21"/>
                <w:highlight w:val="none"/>
                <w:lang w:val="en-US" w:eastAsia="zh-CN"/>
              </w:rPr>
              <w:t>周工 电话：0771-2778485</w:t>
            </w:r>
          </w:p>
          <w:p w14:paraId="4AD7C539">
            <w:pPr>
              <w:ind w:firstLine="840" w:firstLineChars="400"/>
              <w:jc w:val="left"/>
              <w:rPr>
                <w:rFonts w:hint="default" w:eastAsiaTheme="minorEastAsia"/>
                <w:color w:val="FF0000"/>
                <w:sz w:val="24"/>
                <w:lang w:val="en-US" w:eastAsia="zh-CN"/>
              </w:rPr>
            </w:pPr>
            <w:r>
              <w:rPr>
                <w:rFonts w:hint="eastAsia" w:ascii="宋体" w:hAnsi="宋体" w:cs="宋体"/>
                <w:color w:val="auto"/>
                <w:szCs w:val="21"/>
                <w:lang w:val="en-US" w:eastAsia="zh-CN"/>
              </w:rPr>
              <w:t>毛工 电话：0771-2778977</w:t>
            </w:r>
          </w:p>
        </w:tc>
      </w:tr>
      <w:tr w14:paraId="005D1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510" w:type="pct"/>
            <w:vAlign w:val="center"/>
          </w:tcPr>
          <w:p w14:paraId="3E10AC30">
            <w:pPr>
              <w:jc w:val="center"/>
              <w:rPr>
                <w:rFonts w:hint="eastAsia" w:eastAsiaTheme="minorEastAsia"/>
                <w:sz w:val="24"/>
                <w:lang w:eastAsia="zh-CN"/>
              </w:rPr>
            </w:pPr>
            <w:r>
              <w:rPr>
                <w:rFonts w:eastAsiaTheme="minorEastAsia"/>
                <w:sz w:val="24"/>
              </w:rPr>
              <w:t>2</w:t>
            </w:r>
            <w:r>
              <w:rPr>
                <w:rFonts w:hint="eastAsia" w:eastAsiaTheme="minorEastAsia"/>
                <w:sz w:val="24"/>
                <w:lang w:val="en-US" w:eastAsia="zh-CN"/>
              </w:rPr>
              <w:t>0</w:t>
            </w:r>
          </w:p>
        </w:tc>
        <w:tc>
          <w:tcPr>
            <w:tcW w:w="523" w:type="pct"/>
            <w:vAlign w:val="center"/>
          </w:tcPr>
          <w:p w14:paraId="3EFAB378">
            <w:pPr>
              <w:jc w:val="left"/>
              <w:rPr>
                <w:rFonts w:eastAsiaTheme="minorEastAsia"/>
                <w:sz w:val="24"/>
              </w:rPr>
            </w:pPr>
            <w:r>
              <w:rPr>
                <w:rFonts w:eastAsiaTheme="minorEastAsia"/>
                <w:sz w:val="24"/>
              </w:rPr>
              <w:t>其他事项</w:t>
            </w:r>
          </w:p>
        </w:tc>
        <w:tc>
          <w:tcPr>
            <w:tcW w:w="3965" w:type="pct"/>
            <w:vAlign w:val="center"/>
          </w:tcPr>
          <w:p w14:paraId="17869002">
            <w:pPr>
              <w:numPr>
                <w:ilvl w:val="-1"/>
                <w:numId w:val="0"/>
              </w:numPr>
              <w:ind w:right="-3"/>
              <w:jc w:val="left"/>
              <w:rPr>
                <w:rFonts w:hint="eastAsia" w:eastAsiaTheme="minorEastAsia"/>
                <w:color w:val="00B050"/>
                <w:sz w:val="24"/>
                <w:lang w:eastAsia="zh-CN"/>
              </w:rPr>
            </w:pPr>
            <w:r>
              <w:rPr>
                <w:rFonts w:eastAsiaTheme="minorEastAsia"/>
                <w:sz w:val="24"/>
              </w:rPr>
              <w:t>中选单位如放弃中选资格，则比选人有权将其列入不良信用名单</w:t>
            </w:r>
            <w:r>
              <w:rPr>
                <w:rFonts w:hint="eastAsia" w:eastAsiaTheme="minorEastAsia"/>
                <w:sz w:val="24"/>
                <w:lang w:eastAsia="zh-CN"/>
              </w:rPr>
              <w:t>，</w:t>
            </w:r>
            <w:r>
              <w:rPr>
                <w:rFonts w:hint="eastAsia" w:eastAsiaTheme="minorEastAsia"/>
                <w:sz w:val="24"/>
                <w:u w:val="none"/>
                <w:lang w:val="en-US" w:eastAsia="zh-CN"/>
              </w:rPr>
              <w:t>三</w:t>
            </w:r>
            <w:r>
              <w:rPr>
                <w:rFonts w:eastAsiaTheme="minorEastAsia"/>
                <w:sz w:val="24"/>
              </w:rPr>
              <w:t>年内禁止其参加比选人的任何比选项目。</w:t>
            </w:r>
          </w:p>
          <w:p w14:paraId="29BD98E0">
            <w:pPr>
              <w:ind w:right="-3"/>
              <w:jc w:val="left"/>
              <w:rPr>
                <w:rFonts w:hint="eastAsia" w:eastAsiaTheme="minorEastAsia"/>
                <w:sz w:val="24"/>
                <w:lang w:eastAsia="zh-CN"/>
              </w:rPr>
            </w:pPr>
          </w:p>
        </w:tc>
      </w:tr>
    </w:tbl>
    <w:p w14:paraId="23047703">
      <w:pPr>
        <w:rPr>
          <w:rFonts w:eastAsiaTheme="minorEastAsia"/>
          <w:szCs w:val="21"/>
        </w:rPr>
      </w:pPr>
      <w:bookmarkStart w:id="64" w:name="_Toc26201"/>
      <w:bookmarkStart w:id="65" w:name="_Toc12419"/>
      <w:bookmarkStart w:id="66" w:name="_Toc12506"/>
      <w:bookmarkStart w:id="67" w:name="_Toc6681"/>
      <w:bookmarkStart w:id="68" w:name="_Toc30162"/>
      <w:bookmarkStart w:id="69" w:name="_Toc20803"/>
      <w:bookmarkStart w:id="70" w:name="_Toc3861"/>
      <w:bookmarkStart w:id="71" w:name="_Toc18983"/>
      <w:bookmarkStart w:id="72" w:name="_Toc461525297"/>
      <w:bookmarkStart w:id="73" w:name="_Toc16198"/>
      <w:bookmarkStart w:id="74" w:name="_Toc32363"/>
      <w:bookmarkStart w:id="75" w:name="_Toc28086"/>
      <w:bookmarkStart w:id="76" w:name="_Toc336"/>
    </w:p>
    <w:p w14:paraId="2EC146AD">
      <w:pPr>
        <w:rPr>
          <w:rFonts w:eastAsiaTheme="minorEastAsia"/>
          <w:szCs w:val="21"/>
        </w:rPr>
      </w:pPr>
    </w:p>
    <w:p w14:paraId="52EBDF03">
      <w:pPr>
        <w:rPr>
          <w:rFonts w:eastAsiaTheme="minorEastAsia"/>
          <w:szCs w:val="21"/>
        </w:rPr>
      </w:pPr>
    </w:p>
    <w:p w14:paraId="422637F2">
      <w:pPr>
        <w:widowControl/>
        <w:jc w:val="left"/>
        <w:rPr>
          <w:rFonts w:eastAsiaTheme="minorEastAsia"/>
          <w:kern w:val="0"/>
          <w:sz w:val="24"/>
        </w:rPr>
      </w:pPr>
      <w:r>
        <w:rPr>
          <w:rFonts w:eastAsiaTheme="minorEastAsia"/>
          <w:sz w:val="24"/>
        </w:rPr>
        <w:br w:type="page"/>
      </w:r>
    </w:p>
    <w:p w14:paraId="1DA5AC78">
      <w:pPr>
        <w:pStyle w:val="7"/>
        <w:spacing w:before="0" w:after="0" w:line="360" w:lineRule="auto"/>
        <w:jc w:val="center"/>
        <w:rPr>
          <w:rFonts w:ascii="Times New Roman" w:hAnsi="Times New Roman" w:eastAsiaTheme="minorEastAsia"/>
          <w:b/>
          <w:bCs/>
          <w:sz w:val="32"/>
          <w:szCs w:val="32"/>
        </w:rPr>
      </w:pPr>
      <w:bookmarkStart w:id="77" w:name="_Toc1993"/>
      <w:bookmarkStart w:id="78" w:name="_Toc2074"/>
      <w:bookmarkStart w:id="79" w:name="_Toc12598"/>
      <w:bookmarkStart w:id="80" w:name="_Toc21054"/>
      <w:bookmarkStart w:id="81" w:name="_Toc20721"/>
      <w:bookmarkStart w:id="82" w:name="_Toc21840"/>
      <w:bookmarkStart w:id="83" w:name="_Toc28647"/>
      <w:bookmarkStart w:id="84" w:name="_Toc13702"/>
      <w:bookmarkStart w:id="85" w:name="_Toc30228"/>
      <w:r>
        <w:rPr>
          <w:rFonts w:ascii="Times New Roman" w:hAnsi="Times New Roman" w:eastAsiaTheme="minorEastAsia"/>
          <w:b/>
          <w:bCs/>
          <w:sz w:val="32"/>
          <w:szCs w:val="32"/>
        </w:rPr>
        <w:t>一、总则</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4F1A7EA5">
      <w:pPr>
        <w:spacing w:line="360" w:lineRule="auto"/>
        <w:ind w:right="753" w:firstLine="482" w:firstLineChars="200"/>
        <w:jc w:val="left"/>
        <w:outlineLvl w:val="9"/>
        <w:rPr>
          <w:rFonts w:eastAsiaTheme="minorEastAsia"/>
          <w:b/>
          <w:bCs/>
          <w:sz w:val="24"/>
        </w:rPr>
      </w:pPr>
      <w:bookmarkStart w:id="86" w:name="_Toc114052340"/>
      <w:bookmarkStart w:id="87" w:name="_Toc114052414"/>
      <w:bookmarkStart w:id="88" w:name="_Toc310318572"/>
      <w:bookmarkStart w:id="89" w:name="_Toc286386834"/>
      <w:r>
        <w:rPr>
          <w:rFonts w:eastAsiaTheme="minorEastAsia"/>
          <w:b/>
          <w:bCs/>
          <w:sz w:val="24"/>
        </w:rPr>
        <w:t>1.项目比选说明</w:t>
      </w:r>
      <w:bookmarkEnd w:id="86"/>
      <w:bookmarkEnd w:id="87"/>
      <w:bookmarkEnd w:id="88"/>
      <w:bookmarkEnd w:id="89"/>
    </w:p>
    <w:p w14:paraId="05F2B0DD">
      <w:pPr>
        <w:spacing w:line="360" w:lineRule="auto"/>
        <w:ind w:right="-21" w:firstLine="720" w:firstLineChars="300"/>
        <w:jc w:val="left"/>
        <w:rPr>
          <w:rFonts w:eastAsiaTheme="minorEastAsia"/>
          <w:sz w:val="24"/>
        </w:rPr>
      </w:pPr>
      <w:r>
        <w:rPr>
          <w:rFonts w:eastAsiaTheme="minorEastAsia"/>
          <w:sz w:val="24"/>
        </w:rPr>
        <w:t>1.1 项目比选的说明见比选须知前附表（以下称“前附表”）第1项～第2</w:t>
      </w:r>
      <w:r>
        <w:rPr>
          <w:rFonts w:hint="eastAsia" w:eastAsiaTheme="minorEastAsia"/>
          <w:sz w:val="24"/>
          <w:lang w:val="en-US" w:eastAsia="zh-CN"/>
        </w:rPr>
        <w:t>0</w:t>
      </w:r>
      <w:r>
        <w:rPr>
          <w:rFonts w:eastAsiaTheme="minorEastAsia"/>
          <w:sz w:val="24"/>
        </w:rPr>
        <w:t>项所述。</w:t>
      </w:r>
    </w:p>
    <w:p w14:paraId="10A7C7AF">
      <w:pPr>
        <w:spacing w:line="360" w:lineRule="auto"/>
        <w:ind w:right="-21" w:firstLine="720" w:firstLineChars="300"/>
        <w:jc w:val="left"/>
        <w:rPr>
          <w:rFonts w:eastAsiaTheme="minorEastAsia"/>
          <w:sz w:val="24"/>
        </w:rPr>
      </w:pPr>
      <w:r>
        <w:rPr>
          <w:rFonts w:eastAsiaTheme="minorEastAsia"/>
          <w:sz w:val="24"/>
        </w:rPr>
        <w:t>1.2 上述项目按照国家有关的法律、法规作为依据，并按照南宁市政府现行有关规定执行，</w:t>
      </w:r>
      <w:r>
        <w:rPr>
          <w:rFonts w:hint="eastAsia" w:eastAsiaTheme="minorEastAsia"/>
          <w:sz w:val="24"/>
        </w:rPr>
        <w:t>南宁铁路枢纽投资有限公司</w:t>
      </w:r>
      <w:r>
        <w:rPr>
          <w:rFonts w:eastAsiaTheme="minorEastAsia"/>
          <w:sz w:val="24"/>
        </w:rPr>
        <w:t>现通过公开比选</w:t>
      </w:r>
      <w:r>
        <w:rPr>
          <w:rFonts w:hint="eastAsia" w:eastAsiaTheme="minorEastAsia"/>
          <w:sz w:val="24"/>
          <w:lang w:val="en-US" w:eastAsia="zh-CN"/>
        </w:rPr>
        <w:t>方式</w:t>
      </w:r>
      <w:r>
        <w:rPr>
          <w:rFonts w:eastAsiaTheme="minorEastAsia"/>
          <w:sz w:val="24"/>
        </w:rPr>
        <w:t>择优选定服务单位。</w:t>
      </w:r>
    </w:p>
    <w:p w14:paraId="12F690AB">
      <w:pPr>
        <w:spacing w:line="360" w:lineRule="auto"/>
        <w:ind w:right="753" w:firstLine="482" w:firstLineChars="200"/>
        <w:jc w:val="left"/>
        <w:rPr>
          <w:rFonts w:hint="default" w:eastAsiaTheme="minorEastAsia"/>
          <w:sz w:val="24"/>
          <w:lang w:val="en-US" w:eastAsia="zh-CN"/>
        </w:rPr>
      </w:pPr>
      <w:r>
        <w:rPr>
          <w:rFonts w:eastAsiaTheme="minorEastAsia"/>
          <w:b/>
          <w:bCs/>
          <w:sz w:val="24"/>
        </w:rPr>
        <w:t>2.</w:t>
      </w:r>
      <w:r>
        <w:rPr>
          <w:rFonts w:hint="eastAsia" w:eastAsiaTheme="minorEastAsia"/>
          <w:b/>
          <w:bCs/>
          <w:sz w:val="24"/>
          <w:lang w:val="en-US" w:eastAsia="zh-CN"/>
        </w:rPr>
        <w:t>工作</w:t>
      </w:r>
      <w:r>
        <w:rPr>
          <w:rFonts w:eastAsiaTheme="minorEastAsia"/>
          <w:b/>
          <w:bCs/>
          <w:sz w:val="24"/>
        </w:rPr>
        <w:t>内容</w:t>
      </w:r>
      <w:r>
        <w:rPr>
          <w:rFonts w:eastAsiaTheme="minorEastAsia"/>
          <w:sz w:val="24"/>
        </w:rPr>
        <w:t>：</w:t>
      </w:r>
      <w:r>
        <w:rPr>
          <w:rFonts w:hint="eastAsia" w:eastAsiaTheme="minorEastAsia"/>
          <w:sz w:val="24"/>
          <w:lang w:val="en-US" w:eastAsia="zh-CN"/>
        </w:rPr>
        <w:t>详见</w:t>
      </w:r>
      <w:r>
        <w:rPr>
          <w:rFonts w:eastAsiaTheme="minorEastAsia"/>
          <w:sz w:val="24"/>
        </w:rPr>
        <w:t>比选须知前附表</w:t>
      </w:r>
      <w:r>
        <w:rPr>
          <w:rFonts w:hint="eastAsia" w:eastAsiaTheme="minorEastAsia"/>
          <w:sz w:val="24"/>
          <w:lang w:val="en-US" w:eastAsia="zh-CN"/>
        </w:rPr>
        <w:t>第3项所述。</w:t>
      </w:r>
    </w:p>
    <w:p w14:paraId="1447459C">
      <w:pPr>
        <w:spacing w:line="360" w:lineRule="auto"/>
        <w:ind w:right="753" w:firstLine="482" w:firstLineChars="200"/>
        <w:jc w:val="left"/>
        <w:rPr>
          <w:rFonts w:eastAsiaTheme="minorEastAsia"/>
          <w:b/>
          <w:bCs/>
          <w:sz w:val="24"/>
        </w:rPr>
      </w:pPr>
      <w:r>
        <w:rPr>
          <w:rFonts w:eastAsiaTheme="minorEastAsia"/>
          <w:b/>
          <w:bCs/>
          <w:sz w:val="24"/>
        </w:rPr>
        <w:t>3.资金来源</w:t>
      </w:r>
    </w:p>
    <w:p w14:paraId="383F0534">
      <w:pPr>
        <w:spacing w:line="360" w:lineRule="auto"/>
        <w:ind w:firstLine="720" w:firstLineChars="300"/>
        <w:jc w:val="left"/>
        <w:rPr>
          <w:rFonts w:eastAsiaTheme="minorEastAsia"/>
          <w:sz w:val="24"/>
        </w:rPr>
      </w:pPr>
      <w:r>
        <w:rPr>
          <w:rFonts w:hint="eastAsia" w:eastAsiaTheme="minorEastAsia"/>
          <w:sz w:val="24"/>
          <w:lang w:val="en-US" w:eastAsia="zh-CN"/>
        </w:rPr>
        <w:t>3.1</w:t>
      </w:r>
      <w:r>
        <w:rPr>
          <w:rFonts w:eastAsiaTheme="minorEastAsia"/>
          <w:sz w:val="24"/>
        </w:rPr>
        <w:t>资金来源见比选须知前附表第4项所述。</w:t>
      </w:r>
    </w:p>
    <w:p w14:paraId="6C238297">
      <w:pPr>
        <w:spacing w:line="360" w:lineRule="auto"/>
        <w:ind w:right="753" w:firstLine="482" w:firstLineChars="200"/>
        <w:jc w:val="left"/>
        <w:outlineLvl w:val="9"/>
        <w:rPr>
          <w:rFonts w:eastAsiaTheme="minorEastAsia"/>
          <w:b/>
          <w:bCs/>
          <w:sz w:val="24"/>
        </w:rPr>
      </w:pPr>
      <w:r>
        <w:rPr>
          <w:rFonts w:eastAsiaTheme="minorEastAsia"/>
          <w:b/>
          <w:bCs/>
          <w:sz w:val="24"/>
        </w:rPr>
        <w:t>4.</w:t>
      </w:r>
      <w:bookmarkStart w:id="90" w:name="_Toc310318574"/>
      <w:bookmarkStart w:id="91" w:name="_Toc114052416"/>
      <w:bookmarkStart w:id="92" w:name="_Toc114052342"/>
      <w:bookmarkStart w:id="93" w:name="_Toc286386836"/>
      <w:r>
        <w:rPr>
          <w:rFonts w:eastAsiaTheme="minorEastAsia"/>
          <w:b/>
          <w:bCs/>
          <w:sz w:val="24"/>
        </w:rPr>
        <w:t>比选申请人资格要求</w:t>
      </w:r>
      <w:bookmarkEnd w:id="90"/>
      <w:bookmarkEnd w:id="91"/>
      <w:bookmarkEnd w:id="92"/>
      <w:bookmarkEnd w:id="93"/>
    </w:p>
    <w:p w14:paraId="4FC2FE86">
      <w:pPr>
        <w:spacing w:line="360" w:lineRule="auto"/>
        <w:ind w:right="-21" w:firstLine="720" w:firstLineChars="300"/>
        <w:jc w:val="left"/>
        <w:outlineLvl w:val="9"/>
        <w:rPr>
          <w:rFonts w:eastAsiaTheme="minorEastAsia"/>
          <w:sz w:val="24"/>
        </w:rPr>
      </w:pPr>
      <w:r>
        <w:rPr>
          <w:rFonts w:eastAsiaTheme="minorEastAsia"/>
          <w:sz w:val="24"/>
        </w:rPr>
        <w:t>4.1比选申请人必须具有比选须知前附表第9项相应的</w:t>
      </w:r>
      <w:r>
        <w:rPr>
          <w:rFonts w:hint="eastAsia" w:eastAsiaTheme="minorEastAsia"/>
          <w:sz w:val="24"/>
        </w:rPr>
        <w:t>资格</w:t>
      </w:r>
      <w:r>
        <w:rPr>
          <w:rFonts w:eastAsiaTheme="minorEastAsia"/>
          <w:sz w:val="24"/>
        </w:rPr>
        <w:t>要求。</w:t>
      </w:r>
    </w:p>
    <w:p w14:paraId="4D3A233C">
      <w:pPr>
        <w:spacing w:line="360" w:lineRule="auto"/>
        <w:ind w:right="753" w:firstLine="482" w:firstLineChars="200"/>
        <w:jc w:val="left"/>
        <w:outlineLvl w:val="9"/>
        <w:rPr>
          <w:rFonts w:eastAsiaTheme="minorEastAsia"/>
          <w:b/>
          <w:bCs/>
          <w:sz w:val="24"/>
        </w:rPr>
      </w:pPr>
      <w:r>
        <w:rPr>
          <w:rFonts w:eastAsiaTheme="minorEastAsia"/>
          <w:b/>
          <w:bCs/>
          <w:sz w:val="24"/>
        </w:rPr>
        <w:t>5.</w:t>
      </w:r>
      <w:bookmarkStart w:id="94" w:name="_Toc310318575"/>
      <w:bookmarkStart w:id="95" w:name="_Toc286386837"/>
      <w:bookmarkStart w:id="96" w:name="_Toc114052417"/>
      <w:bookmarkStart w:id="97" w:name="_Toc114052343"/>
      <w:r>
        <w:rPr>
          <w:rFonts w:eastAsiaTheme="minorEastAsia"/>
          <w:b/>
          <w:bCs/>
          <w:sz w:val="24"/>
        </w:rPr>
        <w:t>申请比选费用</w:t>
      </w:r>
      <w:bookmarkEnd w:id="94"/>
      <w:bookmarkEnd w:id="95"/>
      <w:bookmarkEnd w:id="96"/>
      <w:bookmarkEnd w:id="97"/>
    </w:p>
    <w:p w14:paraId="4BA95E05">
      <w:pPr>
        <w:tabs>
          <w:tab w:val="left" w:pos="8610"/>
        </w:tabs>
        <w:spacing w:line="360" w:lineRule="auto"/>
        <w:ind w:right="-21" w:firstLine="720" w:firstLineChars="300"/>
        <w:jc w:val="left"/>
        <w:rPr>
          <w:rFonts w:eastAsiaTheme="minorEastAsia"/>
          <w:sz w:val="24"/>
        </w:rPr>
      </w:pPr>
      <w:r>
        <w:rPr>
          <w:rFonts w:eastAsiaTheme="minorEastAsia"/>
          <w:sz w:val="24"/>
        </w:rPr>
        <w:t>5.1 比选申请人应承担其编制文件与递交文件所涉及的一切费用。不管评比结果如何，比选人对上述费用不负任何责任。</w:t>
      </w:r>
    </w:p>
    <w:p w14:paraId="388F0B9C">
      <w:pPr>
        <w:pStyle w:val="7"/>
        <w:spacing w:before="0" w:after="0" w:line="360" w:lineRule="auto"/>
        <w:jc w:val="center"/>
        <w:rPr>
          <w:rFonts w:ascii="Times New Roman" w:hAnsi="Times New Roman" w:eastAsiaTheme="minorEastAsia"/>
          <w:b/>
          <w:bCs/>
          <w:sz w:val="32"/>
          <w:szCs w:val="32"/>
        </w:rPr>
      </w:pPr>
      <w:bookmarkStart w:id="98" w:name="_Toc2903"/>
      <w:bookmarkStart w:id="99" w:name="_Toc16599"/>
      <w:bookmarkStart w:id="100" w:name="_Toc5207"/>
      <w:bookmarkStart w:id="101" w:name="_Toc16023"/>
      <w:bookmarkStart w:id="102" w:name="_Toc6541"/>
      <w:bookmarkStart w:id="103" w:name="_Toc3066"/>
      <w:bookmarkStart w:id="104" w:name="_Toc6538"/>
      <w:bookmarkStart w:id="105" w:name="_Toc17725"/>
      <w:bookmarkStart w:id="106" w:name="_Toc461525298"/>
      <w:bookmarkStart w:id="107" w:name="_Toc8029"/>
      <w:bookmarkStart w:id="108" w:name="_Toc18809"/>
      <w:bookmarkStart w:id="109" w:name="_Toc1442"/>
      <w:bookmarkStart w:id="110" w:name="_Toc22143"/>
      <w:bookmarkStart w:id="111" w:name="_Toc26141"/>
      <w:bookmarkStart w:id="112" w:name="_Toc32251"/>
      <w:bookmarkStart w:id="113" w:name="_Toc12362"/>
      <w:bookmarkStart w:id="114" w:name="_Toc25256"/>
      <w:bookmarkStart w:id="115" w:name="_Toc29804"/>
      <w:bookmarkStart w:id="116" w:name="_Toc16882"/>
      <w:bookmarkStart w:id="117" w:name="_Toc17323"/>
      <w:bookmarkStart w:id="118" w:name="_Toc15439"/>
      <w:bookmarkStart w:id="119" w:name="_Toc29295"/>
      <w:r>
        <w:rPr>
          <w:rFonts w:ascii="Times New Roman" w:hAnsi="Times New Roman" w:eastAsiaTheme="minorEastAsia"/>
          <w:b/>
          <w:bCs/>
          <w:sz w:val="32"/>
          <w:szCs w:val="32"/>
        </w:rPr>
        <w:t>二、比选文件</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4E0A20F3">
      <w:pPr>
        <w:spacing w:line="360" w:lineRule="auto"/>
        <w:ind w:right="753" w:firstLine="482" w:firstLineChars="200"/>
        <w:jc w:val="left"/>
        <w:outlineLvl w:val="9"/>
        <w:rPr>
          <w:rFonts w:eastAsiaTheme="minorEastAsia"/>
          <w:b/>
          <w:bCs/>
          <w:sz w:val="24"/>
        </w:rPr>
      </w:pPr>
      <w:r>
        <w:rPr>
          <w:rFonts w:eastAsiaTheme="minorEastAsia"/>
          <w:b/>
          <w:bCs/>
          <w:sz w:val="24"/>
        </w:rPr>
        <w:t>6.</w:t>
      </w:r>
      <w:bookmarkStart w:id="120" w:name="_Toc310318577"/>
      <w:bookmarkStart w:id="121" w:name="_Toc114052419"/>
      <w:bookmarkStart w:id="122" w:name="_Toc114052345"/>
      <w:bookmarkStart w:id="123" w:name="_Toc286386839"/>
      <w:r>
        <w:rPr>
          <w:rFonts w:eastAsiaTheme="minorEastAsia"/>
          <w:b/>
          <w:bCs/>
          <w:sz w:val="24"/>
        </w:rPr>
        <w:t>比选文件的组成</w:t>
      </w:r>
      <w:bookmarkEnd w:id="120"/>
      <w:bookmarkEnd w:id="121"/>
      <w:bookmarkEnd w:id="122"/>
      <w:bookmarkEnd w:id="123"/>
    </w:p>
    <w:p w14:paraId="5E00476D">
      <w:pPr>
        <w:spacing w:line="360" w:lineRule="auto"/>
        <w:ind w:right="-21" w:firstLine="720" w:firstLineChars="300"/>
        <w:jc w:val="left"/>
        <w:rPr>
          <w:rFonts w:eastAsiaTheme="minorEastAsia"/>
          <w:sz w:val="24"/>
        </w:rPr>
      </w:pPr>
      <w:r>
        <w:rPr>
          <w:rFonts w:eastAsiaTheme="minorEastAsia"/>
          <w:sz w:val="24"/>
        </w:rPr>
        <w:t>6.1比选文件包括</w:t>
      </w:r>
      <w:r>
        <w:rPr>
          <w:rFonts w:hint="eastAsia" w:eastAsiaTheme="minorEastAsia"/>
          <w:sz w:val="24"/>
        </w:rPr>
        <w:t>比选公告、</w:t>
      </w:r>
      <w:r>
        <w:rPr>
          <w:rFonts w:eastAsiaTheme="minorEastAsia"/>
          <w:sz w:val="24"/>
        </w:rPr>
        <w:t>比选须知、合同条款、比选申请文件格式、评比办法。</w:t>
      </w:r>
    </w:p>
    <w:p w14:paraId="4853F325">
      <w:pPr>
        <w:spacing w:line="360" w:lineRule="auto"/>
        <w:ind w:right="-21" w:firstLine="720" w:firstLineChars="300"/>
        <w:jc w:val="left"/>
        <w:rPr>
          <w:rFonts w:eastAsiaTheme="minorEastAsia"/>
          <w:sz w:val="24"/>
        </w:rPr>
      </w:pPr>
      <w:r>
        <w:rPr>
          <w:rFonts w:eastAsiaTheme="minorEastAsia"/>
          <w:sz w:val="24"/>
        </w:rPr>
        <w:t>6.2比选申请人应认真审阅比选文件中所有的比选文件内容要求。如果比选申请人的比选申请文件不能符合比选文件的要求，责任由比选申请人负责。实质上不响应比选文件要求的比选申请文件将被拒绝。</w:t>
      </w:r>
    </w:p>
    <w:p w14:paraId="4869FD75">
      <w:pPr>
        <w:spacing w:line="360" w:lineRule="auto"/>
        <w:ind w:right="753" w:firstLine="482" w:firstLineChars="200"/>
        <w:jc w:val="left"/>
        <w:outlineLvl w:val="9"/>
        <w:rPr>
          <w:rFonts w:eastAsiaTheme="minorEastAsia"/>
          <w:b/>
          <w:bCs/>
          <w:sz w:val="24"/>
        </w:rPr>
      </w:pPr>
      <w:r>
        <w:rPr>
          <w:rFonts w:eastAsiaTheme="minorEastAsia"/>
          <w:b/>
          <w:bCs/>
          <w:sz w:val="24"/>
        </w:rPr>
        <w:t>7.</w:t>
      </w:r>
      <w:bookmarkStart w:id="124" w:name="_Toc114052346"/>
      <w:bookmarkStart w:id="125" w:name="_Toc286386840"/>
      <w:bookmarkStart w:id="126" w:name="_Toc310318578"/>
      <w:bookmarkStart w:id="127" w:name="_Toc114052420"/>
      <w:r>
        <w:rPr>
          <w:rFonts w:eastAsiaTheme="minorEastAsia"/>
          <w:b/>
          <w:bCs/>
          <w:sz w:val="24"/>
        </w:rPr>
        <w:t>比选文件的</w:t>
      </w:r>
      <w:bookmarkEnd w:id="124"/>
      <w:bookmarkEnd w:id="125"/>
      <w:bookmarkEnd w:id="126"/>
      <w:bookmarkEnd w:id="127"/>
      <w:r>
        <w:rPr>
          <w:rFonts w:eastAsiaTheme="minorEastAsia"/>
          <w:b/>
          <w:bCs/>
          <w:sz w:val="24"/>
        </w:rPr>
        <w:t>答疑</w:t>
      </w:r>
    </w:p>
    <w:p w14:paraId="42F2FB3A">
      <w:pPr>
        <w:spacing w:line="360" w:lineRule="auto"/>
        <w:ind w:right="-21" w:firstLine="720" w:firstLineChars="300"/>
        <w:jc w:val="left"/>
        <w:rPr>
          <w:rFonts w:eastAsiaTheme="minorEastAsia"/>
          <w:sz w:val="24"/>
        </w:rPr>
      </w:pPr>
      <w:r>
        <w:rPr>
          <w:rFonts w:eastAsiaTheme="minorEastAsia"/>
          <w:sz w:val="24"/>
        </w:rPr>
        <w:t>7.1比选申请人在获取比选文件后，若有问题需要澄清，均应在递交文件截止时间3</w:t>
      </w:r>
      <w:r>
        <w:rPr>
          <w:rFonts w:hint="eastAsia" w:eastAsiaTheme="minorEastAsia"/>
          <w:sz w:val="24"/>
          <w:lang w:val="en-US" w:eastAsia="zh-CN"/>
        </w:rPr>
        <w:t>天</w:t>
      </w:r>
      <w:r>
        <w:rPr>
          <w:rFonts w:eastAsiaTheme="minorEastAsia"/>
          <w:sz w:val="24"/>
        </w:rPr>
        <w:t>前的正常工作时间内，当面递交通知比选人，其他方式为无效。比选人将于递交文件截止时间2天前以书面形式</w:t>
      </w:r>
      <w:r>
        <w:rPr>
          <w:rFonts w:hint="eastAsia" w:eastAsiaTheme="minorEastAsia"/>
          <w:sz w:val="24"/>
        </w:rPr>
        <w:t>，</w:t>
      </w:r>
      <w:r>
        <w:rPr>
          <w:rFonts w:hint="default" w:ascii="Times New Roman" w:hAnsi="Times New Roman" w:cs="Times New Roman" w:eastAsiaTheme="minorEastAsia"/>
          <w:sz w:val="24"/>
        </w:rPr>
        <w:t>在南宁轨道交通集团有限责任公司官网发布</w:t>
      </w:r>
      <w:r>
        <w:rPr>
          <w:rFonts w:ascii="Times New Roman" w:hAnsi="Times New Roman" w:cs="Times New Roman" w:eastAsiaTheme="minorEastAsia"/>
          <w:sz w:val="24"/>
        </w:rPr>
        <w:t>，</w:t>
      </w:r>
      <w:r>
        <w:rPr>
          <w:rFonts w:eastAsiaTheme="minorEastAsia"/>
          <w:sz w:val="24"/>
        </w:rPr>
        <w:t>予以答复。</w:t>
      </w:r>
    </w:p>
    <w:p w14:paraId="34444943">
      <w:pPr>
        <w:spacing w:line="360" w:lineRule="auto"/>
        <w:ind w:right="753" w:firstLine="482" w:firstLineChars="200"/>
        <w:jc w:val="left"/>
        <w:outlineLvl w:val="9"/>
        <w:rPr>
          <w:rFonts w:eastAsiaTheme="minorEastAsia"/>
          <w:b/>
          <w:bCs/>
          <w:sz w:val="24"/>
        </w:rPr>
      </w:pPr>
      <w:r>
        <w:rPr>
          <w:rFonts w:eastAsiaTheme="minorEastAsia"/>
          <w:b/>
          <w:bCs/>
          <w:sz w:val="24"/>
        </w:rPr>
        <w:t>8.</w:t>
      </w:r>
      <w:bookmarkStart w:id="128" w:name="_Toc114052347"/>
      <w:bookmarkStart w:id="129" w:name="_Toc114052421"/>
      <w:bookmarkStart w:id="130" w:name="_Toc310318579"/>
      <w:bookmarkStart w:id="131" w:name="_Toc286386841"/>
      <w:r>
        <w:rPr>
          <w:rFonts w:eastAsiaTheme="minorEastAsia"/>
          <w:b/>
          <w:bCs/>
          <w:sz w:val="24"/>
        </w:rPr>
        <w:t>比选文件的修改</w:t>
      </w:r>
      <w:bookmarkEnd w:id="128"/>
      <w:bookmarkEnd w:id="129"/>
      <w:bookmarkEnd w:id="130"/>
      <w:bookmarkEnd w:id="131"/>
    </w:p>
    <w:p w14:paraId="41404285">
      <w:pPr>
        <w:spacing w:line="360" w:lineRule="auto"/>
        <w:ind w:right="-21" w:firstLine="720" w:firstLineChars="300"/>
        <w:jc w:val="left"/>
        <w:rPr>
          <w:rFonts w:eastAsiaTheme="minorEastAsia"/>
          <w:sz w:val="24"/>
        </w:rPr>
      </w:pPr>
      <w:r>
        <w:rPr>
          <w:rFonts w:eastAsiaTheme="minorEastAsia"/>
          <w:sz w:val="24"/>
        </w:rPr>
        <w:t>8.1 在递交文件截止日期前2天，比选人可以采用补充通知的方式修改比选文件。</w:t>
      </w:r>
    </w:p>
    <w:p w14:paraId="7B8765D3">
      <w:pPr>
        <w:spacing w:line="360" w:lineRule="auto"/>
        <w:ind w:right="-21" w:firstLine="720" w:firstLineChars="300"/>
        <w:jc w:val="left"/>
        <w:rPr>
          <w:rFonts w:eastAsiaTheme="minorEastAsia"/>
          <w:sz w:val="24"/>
        </w:rPr>
      </w:pPr>
      <w:r>
        <w:rPr>
          <w:rFonts w:eastAsiaTheme="minorEastAsia"/>
          <w:sz w:val="24"/>
        </w:rPr>
        <w:t>8.2 补充通知将以书面形式，</w:t>
      </w:r>
      <w:r>
        <w:rPr>
          <w:rFonts w:hint="eastAsia" w:ascii="Times New Roman" w:hAnsi="Times New Roman" w:cs="Times New Roman" w:eastAsiaTheme="minorEastAsia"/>
          <w:sz w:val="24"/>
        </w:rPr>
        <w:t>在南宁轨道交通集团有限责任公司</w:t>
      </w:r>
      <w:r>
        <w:rPr>
          <w:rFonts w:ascii="Times New Roman" w:hAnsi="Times New Roman" w:cs="Times New Roman" w:eastAsiaTheme="minorEastAsia"/>
          <w:sz w:val="24"/>
        </w:rPr>
        <w:t>官网发布，</w:t>
      </w:r>
      <w:r>
        <w:rPr>
          <w:rFonts w:eastAsiaTheme="minorEastAsia"/>
          <w:sz w:val="24"/>
        </w:rPr>
        <w:t>补充通知作为比选文件的组成部分，对比选申请人起约束作用。</w:t>
      </w:r>
    </w:p>
    <w:p w14:paraId="3B766260">
      <w:pPr>
        <w:pStyle w:val="7"/>
        <w:spacing w:before="0" w:after="0" w:line="360" w:lineRule="auto"/>
        <w:jc w:val="center"/>
        <w:rPr>
          <w:rFonts w:ascii="Times New Roman" w:hAnsi="Times New Roman" w:eastAsiaTheme="minorEastAsia"/>
          <w:b/>
          <w:bCs/>
          <w:sz w:val="32"/>
          <w:szCs w:val="32"/>
        </w:rPr>
      </w:pPr>
      <w:bookmarkStart w:id="132" w:name="_Toc19209"/>
      <w:bookmarkStart w:id="133" w:name="_Toc6395"/>
      <w:bookmarkStart w:id="134" w:name="_Toc18701"/>
      <w:bookmarkStart w:id="135" w:name="_Toc12816"/>
      <w:bookmarkStart w:id="136" w:name="_Toc26897"/>
      <w:bookmarkStart w:id="137" w:name="_Toc6662"/>
      <w:bookmarkStart w:id="138" w:name="_Toc461525299"/>
      <w:bookmarkStart w:id="139" w:name="_Toc24574"/>
      <w:bookmarkStart w:id="140" w:name="_Toc8079"/>
      <w:bookmarkStart w:id="141" w:name="_Toc9453"/>
      <w:bookmarkStart w:id="142" w:name="_Toc506"/>
      <w:bookmarkStart w:id="143" w:name="_Toc18772"/>
      <w:bookmarkStart w:id="144" w:name="_Toc9684"/>
      <w:bookmarkStart w:id="145" w:name="_Toc9199"/>
      <w:bookmarkStart w:id="146" w:name="_Toc18342"/>
      <w:bookmarkStart w:id="147" w:name="_Toc10523"/>
      <w:bookmarkStart w:id="148" w:name="_Toc30617"/>
      <w:bookmarkStart w:id="149" w:name="_Toc7261"/>
      <w:bookmarkStart w:id="150" w:name="_Toc8400"/>
      <w:bookmarkStart w:id="151" w:name="_Toc19896"/>
      <w:bookmarkStart w:id="152" w:name="_Toc29216"/>
      <w:bookmarkStart w:id="153" w:name="_Toc9112"/>
      <w:r>
        <w:rPr>
          <w:rFonts w:ascii="Times New Roman" w:hAnsi="Times New Roman" w:eastAsiaTheme="minorEastAsia"/>
          <w:b/>
          <w:bCs/>
          <w:sz w:val="32"/>
          <w:szCs w:val="32"/>
        </w:rPr>
        <w:t>三、</w:t>
      </w:r>
      <w:r>
        <w:rPr>
          <w:rFonts w:hint="eastAsia" w:ascii="Times New Roman" w:hAnsi="Times New Roman" w:eastAsiaTheme="minorEastAsia"/>
          <w:b/>
          <w:bCs/>
          <w:sz w:val="32"/>
          <w:szCs w:val="32"/>
          <w:lang w:val="en-US" w:eastAsia="zh-CN"/>
        </w:rPr>
        <w:t>申请</w:t>
      </w:r>
      <w:r>
        <w:rPr>
          <w:rFonts w:ascii="Times New Roman" w:hAnsi="Times New Roman" w:eastAsiaTheme="minorEastAsia"/>
          <w:b/>
          <w:bCs/>
          <w:sz w:val="32"/>
          <w:szCs w:val="32"/>
        </w:rPr>
        <w:t>比选报价说明</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5CF999D3">
      <w:pPr>
        <w:spacing w:line="360" w:lineRule="auto"/>
        <w:ind w:right="0" w:firstLine="482" w:firstLineChars="200"/>
        <w:jc w:val="left"/>
        <w:outlineLvl w:val="9"/>
        <w:rPr>
          <w:rFonts w:hint="eastAsia" w:eastAsiaTheme="minorEastAsia"/>
          <w:b/>
          <w:bCs/>
          <w:sz w:val="24"/>
        </w:rPr>
      </w:pPr>
      <w:r>
        <w:rPr>
          <w:rFonts w:hint="eastAsia" w:eastAsiaTheme="minorEastAsia"/>
          <w:b/>
          <w:bCs/>
          <w:sz w:val="24"/>
        </w:rPr>
        <w:t>9.</w:t>
      </w:r>
      <w:bookmarkStart w:id="154" w:name="_Toc114052423"/>
      <w:bookmarkStart w:id="155" w:name="_Toc114052349"/>
      <w:bookmarkStart w:id="156" w:name="_Toc286386843"/>
      <w:bookmarkStart w:id="157" w:name="_Toc310318581"/>
      <w:r>
        <w:rPr>
          <w:rFonts w:hint="eastAsia" w:eastAsiaTheme="minorEastAsia"/>
          <w:b/>
          <w:bCs/>
          <w:sz w:val="24"/>
          <w:lang w:val="en-US" w:eastAsia="zh-CN"/>
        </w:rPr>
        <w:t>申请</w:t>
      </w:r>
      <w:r>
        <w:rPr>
          <w:rFonts w:hint="eastAsia" w:eastAsiaTheme="minorEastAsia"/>
          <w:b/>
          <w:bCs/>
          <w:sz w:val="24"/>
        </w:rPr>
        <w:t>比选</w:t>
      </w:r>
      <w:bookmarkEnd w:id="154"/>
      <w:bookmarkEnd w:id="155"/>
      <w:bookmarkEnd w:id="156"/>
      <w:r>
        <w:rPr>
          <w:rFonts w:hint="eastAsia" w:eastAsiaTheme="minorEastAsia"/>
          <w:b/>
          <w:bCs/>
          <w:sz w:val="24"/>
        </w:rPr>
        <w:t>报价</w:t>
      </w:r>
      <w:bookmarkEnd w:id="157"/>
    </w:p>
    <w:p w14:paraId="1D509D02">
      <w:pPr>
        <w:spacing w:line="360" w:lineRule="auto"/>
        <w:ind w:right="0" w:firstLine="960" w:firstLineChars="400"/>
        <w:jc w:val="left"/>
        <w:outlineLvl w:val="9"/>
        <w:rPr>
          <w:rFonts w:eastAsiaTheme="minorEastAsia"/>
          <w:sz w:val="24"/>
        </w:rPr>
      </w:pPr>
      <w:r>
        <w:rPr>
          <w:rFonts w:hint="eastAsia" w:eastAsiaTheme="minorEastAsia"/>
          <w:sz w:val="24"/>
        </w:rPr>
        <w:t>9.1申请比选报价见比选须知前附表第7项所述。</w:t>
      </w:r>
    </w:p>
    <w:p w14:paraId="498185A9">
      <w:pPr>
        <w:spacing w:line="360" w:lineRule="auto"/>
        <w:ind w:right="0" w:firstLine="480" w:firstLineChars="200"/>
        <w:jc w:val="left"/>
        <w:rPr>
          <w:rFonts w:eastAsiaTheme="minorEastAsia"/>
          <w:sz w:val="24"/>
        </w:rPr>
      </w:pPr>
    </w:p>
    <w:p w14:paraId="377748F8">
      <w:pPr>
        <w:pStyle w:val="7"/>
        <w:spacing w:before="0" w:after="0" w:line="360" w:lineRule="auto"/>
        <w:jc w:val="center"/>
        <w:rPr>
          <w:rFonts w:ascii="Times New Roman" w:hAnsi="Times New Roman" w:eastAsiaTheme="minorEastAsia"/>
          <w:b/>
          <w:bCs/>
          <w:sz w:val="32"/>
          <w:szCs w:val="32"/>
        </w:rPr>
      </w:pPr>
      <w:bookmarkStart w:id="158" w:name="_Toc23191"/>
      <w:bookmarkStart w:id="159" w:name="_Toc15736"/>
      <w:bookmarkStart w:id="160" w:name="_Toc17259"/>
      <w:bookmarkStart w:id="161" w:name="_Toc29743"/>
      <w:bookmarkStart w:id="162" w:name="_Toc26723"/>
      <w:bookmarkStart w:id="163" w:name="_Toc17722"/>
      <w:bookmarkStart w:id="164" w:name="_Toc11943"/>
      <w:bookmarkStart w:id="165" w:name="_Toc31461"/>
      <w:bookmarkStart w:id="166" w:name="_Toc5583"/>
      <w:bookmarkStart w:id="167" w:name="_Toc7549"/>
      <w:bookmarkStart w:id="168" w:name="_Toc25856"/>
      <w:bookmarkStart w:id="169" w:name="_Toc18607"/>
      <w:bookmarkStart w:id="170" w:name="_Toc10262"/>
      <w:bookmarkStart w:id="171" w:name="_Toc25195"/>
      <w:bookmarkStart w:id="172" w:name="_Toc23455"/>
      <w:bookmarkStart w:id="173" w:name="_Toc12134"/>
      <w:bookmarkStart w:id="174" w:name="_Toc461525300"/>
      <w:bookmarkStart w:id="175" w:name="_Toc22778"/>
      <w:bookmarkStart w:id="176" w:name="_Toc2290"/>
      <w:bookmarkStart w:id="177" w:name="_Toc2346"/>
      <w:bookmarkStart w:id="178" w:name="_Toc17188"/>
      <w:bookmarkStart w:id="179" w:name="_Toc1678"/>
      <w:r>
        <w:rPr>
          <w:rFonts w:ascii="Times New Roman" w:hAnsi="Times New Roman" w:eastAsiaTheme="minorEastAsia"/>
          <w:b/>
          <w:bCs/>
          <w:sz w:val="32"/>
          <w:szCs w:val="32"/>
        </w:rPr>
        <w:t>四、比选申请文件的编制</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61A905B9">
      <w:pPr>
        <w:spacing w:line="360" w:lineRule="auto"/>
        <w:ind w:right="753" w:firstLine="482" w:firstLineChars="200"/>
        <w:jc w:val="left"/>
        <w:outlineLvl w:val="9"/>
        <w:rPr>
          <w:rFonts w:eastAsiaTheme="minorEastAsia"/>
          <w:b/>
          <w:bCs/>
          <w:sz w:val="24"/>
        </w:rPr>
      </w:pPr>
      <w:r>
        <w:rPr>
          <w:rFonts w:eastAsiaTheme="minorEastAsia"/>
          <w:b/>
          <w:bCs/>
          <w:sz w:val="24"/>
        </w:rPr>
        <w:t>10.</w:t>
      </w:r>
      <w:bookmarkStart w:id="180" w:name="_Toc286386845"/>
      <w:bookmarkStart w:id="181" w:name="_Toc310318583"/>
      <w:r>
        <w:rPr>
          <w:rFonts w:eastAsiaTheme="minorEastAsia"/>
          <w:b/>
          <w:bCs/>
          <w:sz w:val="24"/>
        </w:rPr>
        <w:t>比选申请文件编写注意事项</w:t>
      </w:r>
      <w:bookmarkEnd w:id="180"/>
      <w:bookmarkEnd w:id="181"/>
    </w:p>
    <w:p w14:paraId="7A12C86F">
      <w:pPr>
        <w:spacing w:line="360" w:lineRule="auto"/>
        <w:ind w:right="-21" w:firstLine="960" w:firstLineChars="400"/>
        <w:jc w:val="left"/>
        <w:rPr>
          <w:rFonts w:eastAsiaTheme="minorEastAsia"/>
          <w:sz w:val="24"/>
        </w:rPr>
      </w:pPr>
      <w:r>
        <w:rPr>
          <w:rFonts w:eastAsiaTheme="minorEastAsia"/>
          <w:sz w:val="24"/>
        </w:rPr>
        <w:t>10.1比选申请人应认真阅读比选文件，按照比选文件的要求编制比选申请文件。如果没有按照比选文件要求提交比选申请文件，没有对比选文件提出的实质性要求和条件作出响应，有可能导致该比选申请文件被拒绝。</w:t>
      </w:r>
    </w:p>
    <w:p w14:paraId="4B3268AB">
      <w:pPr>
        <w:spacing w:line="360" w:lineRule="auto"/>
        <w:ind w:right="-21" w:firstLine="960" w:firstLineChars="400"/>
        <w:jc w:val="left"/>
        <w:rPr>
          <w:rFonts w:eastAsiaTheme="minorEastAsia"/>
          <w:sz w:val="24"/>
        </w:rPr>
      </w:pPr>
      <w:r>
        <w:rPr>
          <w:rFonts w:eastAsiaTheme="minorEastAsia"/>
          <w:sz w:val="24"/>
        </w:rPr>
        <w:t>10.2比选文件提出的实质性要求和条件是指本比选项目所涉及的资格条件</w:t>
      </w:r>
      <w:r>
        <w:rPr>
          <w:rFonts w:hint="eastAsia" w:eastAsiaTheme="minorEastAsia"/>
          <w:sz w:val="24"/>
          <w:lang w:eastAsia="zh-CN"/>
        </w:rPr>
        <w:t>（</w:t>
      </w:r>
      <w:r>
        <w:rPr>
          <w:rFonts w:hint="eastAsia" w:eastAsiaTheme="minorEastAsia"/>
          <w:sz w:val="24"/>
        </w:rPr>
        <w:t>最低人员配置</w:t>
      </w:r>
      <w:r>
        <w:rPr>
          <w:rFonts w:hint="eastAsia" w:eastAsiaTheme="minorEastAsia"/>
          <w:sz w:val="24"/>
          <w:lang w:eastAsia="zh-CN"/>
        </w:rPr>
        <w:t>）</w:t>
      </w:r>
      <w:r>
        <w:rPr>
          <w:rFonts w:eastAsiaTheme="minorEastAsia"/>
          <w:sz w:val="24"/>
        </w:rPr>
        <w:t>、价格、服务及其它要求、合同条款等内容。</w:t>
      </w:r>
    </w:p>
    <w:p w14:paraId="021233BA">
      <w:pPr>
        <w:spacing w:line="360" w:lineRule="auto"/>
        <w:ind w:right="-21" w:firstLine="960" w:firstLineChars="400"/>
        <w:jc w:val="left"/>
        <w:rPr>
          <w:rFonts w:eastAsiaTheme="minorEastAsia"/>
          <w:sz w:val="24"/>
        </w:rPr>
      </w:pPr>
      <w:r>
        <w:rPr>
          <w:rFonts w:eastAsiaTheme="minorEastAsia"/>
          <w:sz w:val="24"/>
        </w:rPr>
        <w:t>10.3比选申请人的比选申请文件所有来往函件统一使用中文</w:t>
      </w:r>
      <w:r>
        <w:rPr>
          <w:rFonts w:hint="eastAsia" w:eastAsiaTheme="minorEastAsia"/>
          <w:sz w:val="24"/>
        </w:rPr>
        <w:t>（</w:t>
      </w:r>
      <w:r>
        <w:rPr>
          <w:rFonts w:eastAsiaTheme="minorEastAsia"/>
          <w:sz w:val="24"/>
        </w:rPr>
        <w:t>特别规定除外</w:t>
      </w:r>
      <w:r>
        <w:rPr>
          <w:rFonts w:hint="eastAsia" w:eastAsiaTheme="minorEastAsia"/>
          <w:sz w:val="24"/>
        </w:rPr>
        <w:t>）</w:t>
      </w:r>
      <w:r>
        <w:rPr>
          <w:rFonts w:eastAsiaTheme="minorEastAsia"/>
          <w:sz w:val="24"/>
        </w:rPr>
        <w:t>。</w:t>
      </w:r>
    </w:p>
    <w:p w14:paraId="7EBC1F75">
      <w:pPr>
        <w:spacing w:line="360" w:lineRule="auto"/>
        <w:ind w:right="-21" w:firstLine="960" w:firstLineChars="400"/>
        <w:jc w:val="left"/>
        <w:rPr>
          <w:rFonts w:eastAsiaTheme="minorEastAsia"/>
          <w:sz w:val="24"/>
        </w:rPr>
      </w:pPr>
      <w:r>
        <w:rPr>
          <w:rFonts w:eastAsiaTheme="minorEastAsia"/>
          <w:sz w:val="24"/>
        </w:rPr>
        <w:t>10.4比选申请文件中使用的计量单位除比选文件中有特殊规定外，一律使用法定计量单位。</w:t>
      </w:r>
    </w:p>
    <w:p w14:paraId="4C8131C4">
      <w:pPr>
        <w:spacing w:line="360" w:lineRule="auto"/>
        <w:ind w:right="753" w:firstLine="482" w:firstLineChars="200"/>
        <w:jc w:val="left"/>
        <w:outlineLvl w:val="9"/>
        <w:rPr>
          <w:rFonts w:eastAsiaTheme="minorEastAsia"/>
          <w:b/>
          <w:bCs/>
          <w:sz w:val="24"/>
        </w:rPr>
      </w:pPr>
      <w:bookmarkStart w:id="182" w:name="_Toc114052426"/>
      <w:bookmarkStart w:id="183" w:name="_Toc286386846"/>
      <w:bookmarkStart w:id="184" w:name="_Toc310318584"/>
      <w:bookmarkStart w:id="185" w:name="_Toc114052352"/>
      <w:r>
        <w:rPr>
          <w:rFonts w:eastAsiaTheme="minorEastAsia"/>
          <w:b/>
          <w:bCs/>
          <w:sz w:val="24"/>
        </w:rPr>
        <w:t>11.比选申请文件的组成</w:t>
      </w:r>
      <w:bookmarkEnd w:id="182"/>
      <w:bookmarkEnd w:id="183"/>
      <w:bookmarkEnd w:id="184"/>
      <w:bookmarkEnd w:id="185"/>
    </w:p>
    <w:p w14:paraId="2A4456CB">
      <w:pPr>
        <w:kinsoku w:val="0"/>
        <w:overflowPunct w:val="0"/>
        <w:autoSpaceDE w:val="0"/>
        <w:autoSpaceDN w:val="0"/>
        <w:adjustRightInd w:val="0"/>
        <w:snapToGrid w:val="0"/>
        <w:ind w:left="420" w:leftChars="200" w:right="754" w:firstLine="422" w:firstLineChars="200"/>
        <w:jc w:val="left"/>
        <w:outlineLvl w:val="9"/>
        <w:rPr>
          <w:rFonts w:hint="eastAsia" w:ascii="宋体" w:hAnsi="宋体" w:eastAsia="宋体" w:cs="宋体"/>
          <w:b/>
          <w:bCs/>
          <w:szCs w:val="21"/>
          <w:lang w:eastAsia="zh-CN"/>
        </w:rPr>
      </w:pPr>
      <w:bookmarkStart w:id="186" w:name="_Toc114052354"/>
      <w:r>
        <w:rPr>
          <w:rFonts w:hint="eastAsia" w:ascii="宋体" w:hAnsi="宋体" w:cs="宋体"/>
          <w:b/>
          <w:bCs/>
          <w:szCs w:val="21"/>
        </w:rPr>
        <w:t>11.1 比选申请文件的详细要求与部分格式详</w:t>
      </w:r>
      <w:r>
        <w:rPr>
          <w:rFonts w:hint="eastAsia" w:ascii="宋体" w:hAnsi="宋体" w:cs="宋体"/>
          <w:b/>
          <w:bCs/>
          <w:color w:val="auto"/>
          <w:szCs w:val="21"/>
        </w:rPr>
        <w:t>见</w:t>
      </w:r>
      <w:r>
        <w:rPr>
          <w:rFonts w:hint="default" w:ascii="Times New Roman" w:hAnsi="Times New Roman" w:cs="Times New Roman" w:eastAsiaTheme="minorEastAsia"/>
          <w:b/>
          <w:bCs/>
          <w:color w:val="auto"/>
          <w:sz w:val="24"/>
          <w:szCs w:val="24"/>
        </w:rPr>
        <w:t>第</w:t>
      </w:r>
      <w:r>
        <w:rPr>
          <w:rFonts w:hint="eastAsia" w:cs="Times New Roman" w:eastAsiaTheme="minorEastAsia"/>
          <w:b/>
          <w:bCs/>
          <w:color w:val="auto"/>
          <w:sz w:val="24"/>
          <w:szCs w:val="24"/>
          <w:lang w:val="en-US" w:eastAsia="zh-CN"/>
        </w:rPr>
        <w:t>三</w:t>
      </w:r>
      <w:r>
        <w:rPr>
          <w:rFonts w:hint="default" w:ascii="Times New Roman" w:hAnsi="Times New Roman" w:cs="Times New Roman" w:eastAsiaTheme="minorEastAsia"/>
          <w:b/>
          <w:bCs/>
          <w:color w:val="auto"/>
          <w:sz w:val="24"/>
          <w:szCs w:val="24"/>
        </w:rPr>
        <w:t>章</w:t>
      </w:r>
      <w:r>
        <w:rPr>
          <w:rFonts w:hint="eastAsia" w:ascii="宋体" w:hAnsi="宋体" w:cs="宋体"/>
          <w:b/>
          <w:bCs/>
          <w:color w:val="auto"/>
          <w:szCs w:val="21"/>
        </w:rPr>
        <w:t>。</w:t>
      </w:r>
    </w:p>
    <w:p w14:paraId="6F0E1283">
      <w:pPr>
        <w:kinsoku w:val="0"/>
        <w:overflowPunct w:val="0"/>
        <w:autoSpaceDE w:val="0"/>
        <w:autoSpaceDN w:val="0"/>
        <w:adjustRightInd w:val="0"/>
        <w:snapToGrid w:val="0"/>
        <w:ind w:left="420" w:leftChars="200" w:right="754" w:firstLine="422" w:firstLineChars="200"/>
        <w:jc w:val="left"/>
        <w:rPr>
          <w:rFonts w:hint="eastAsia" w:ascii="宋体" w:hAnsi="宋体" w:eastAsia="宋体" w:cs="宋体"/>
          <w:b/>
          <w:bCs/>
          <w:szCs w:val="21"/>
          <w:lang w:eastAsia="zh-CN"/>
        </w:rPr>
      </w:pPr>
      <w:r>
        <w:rPr>
          <w:rFonts w:hint="eastAsia" w:ascii="宋体" w:hAnsi="宋体" w:cs="宋体"/>
          <w:b/>
          <w:bCs/>
          <w:szCs w:val="21"/>
        </w:rPr>
        <w:t>11.2 比选申请文件应按以下顺序分</w:t>
      </w:r>
      <w:r>
        <w:rPr>
          <w:rFonts w:hint="default" w:ascii="Times New Roman" w:hAnsi="Times New Roman" w:cs="Times New Roman" w:eastAsiaTheme="minorEastAsia"/>
          <w:b/>
          <w:bCs/>
          <w:color w:val="auto"/>
          <w:sz w:val="24"/>
          <w:szCs w:val="24"/>
        </w:rPr>
        <w:t>三个章节</w:t>
      </w:r>
      <w:r>
        <w:rPr>
          <w:rFonts w:hint="eastAsia" w:ascii="宋体" w:hAnsi="宋体" w:cs="宋体"/>
          <w:b/>
          <w:bCs/>
          <w:szCs w:val="21"/>
        </w:rPr>
        <w:t>进行编制，主要包括下列内容：</w:t>
      </w:r>
    </w:p>
    <w:p w14:paraId="1BE965CE">
      <w:pPr>
        <w:kinsoku w:val="0"/>
        <w:overflowPunct w:val="0"/>
        <w:autoSpaceDE w:val="0"/>
        <w:autoSpaceDN w:val="0"/>
        <w:adjustRightInd w:val="0"/>
        <w:snapToGrid w:val="0"/>
        <w:ind w:left="420" w:leftChars="200" w:right="754" w:firstLine="422" w:firstLineChars="200"/>
        <w:jc w:val="left"/>
        <w:outlineLvl w:val="9"/>
        <w:rPr>
          <w:rFonts w:hint="eastAsia" w:ascii="宋体" w:hAnsi="宋体" w:eastAsia="宋体" w:cs="宋体"/>
          <w:b/>
          <w:bCs/>
          <w:szCs w:val="21"/>
          <w:lang w:eastAsia="zh-CN"/>
        </w:rPr>
      </w:pPr>
      <w:r>
        <w:rPr>
          <w:rFonts w:hint="eastAsia" w:ascii="宋体" w:hAnsi="宋体" w:cs="宋体"/>
          <w:b/>
          <w:bCs/>
          <w:szCs w:val="21"/>
        </w:rPr>
        <w:t>11.2.1 资格审查章节主要包括下列内容</w:t>
      </w:r>
    </w:p>
    <w:p w14:paraId="219F723E">
      <w:pPr>
        <w:kinsoku w:val="0"/>
        <w:overflowPunct w:val="0"/>
        <w:autoSpaceDE w:val="0"/>
        <w:autoSpaceDN w:val="0"/>
        <w:adjustRightInd w:val="0"/>
        <w:snapToGrid w:val="0"/>
        <w:ind w:left="420" w:leftChars="200" w:right="754" w:firstLine="422" w:firstLineChars="200"/>
        <w:jc w:val="left"/>
        <w:rPr>
          <w:rFonts w:hint="eastAsia" w:ascii="宋体" w:hAnsi="宋体" w:eastAsia="宋体" w:cs="宋体"/>
          <w:b/>
          <w:bCs/>
          <w:szCs w:val="21"/>
          <w:lang w:eastAsia="zh-CN"/>
        </w:rPr>
      </w:pPr>
      <w:r>
        <w:rPr>
          <w:rFonts w:ascii="宋体" w:hAnsi="宋体" w:cs="宋体"/>
          <w:b/>
          <w:bCs/>
          <w:szCs w:val="21"/>
        </w:rPr>
        <w:t>（1）诚信声明（原件）；</w:t>
      </w:r>
    </w:p>
    <w:p w14:paraId="2E56BD2D">
      <w:pPr>
        <w:kinsoku w:val="0"/>
        <w:overflowPunct w:val="0"/>
        <w:autoSpaceDE w:val="0"/>
        <w:autoSpaceDN w:val="0"/>
        <w:adjustRightInd w:val="0"/>
        <w:snapToGrid w:val="0"/>
        <w:ind w:left="420" w:leftChars="200" w:right="754" w:firstLine="422" w:firstLineChars="200"/>
        <w:jc w:val="left"/>
        <w:rPr>
          <w:rFonts w:hint="eastAsia" w:ascii="宋体" w:hAnsi="宋体" w:eastAsia="宋体" w:cs="宋体"/>
          <w:b/>
          <w:bCs/>
          <w:szCs w:val="21"/>
          <w:lang w:eastAsia="zh-CN"/>
        </w:rPr>
      </w:pPr>
      <w:r>
        <w:rPr>
          <w:rFonts w:ascii="宋体" w:hAnsi="宋体" w:cs="宋体"/>
          <w:b/>
          <w:bCs/>
          <w:szCs w:val="21"/>
        </w:rPr>
        <w:t>（2）比选函（原件）；</w:t>
      </w:r>
    </w:p>
    <w:p w14:paraId="6E5E7C84">
      <w:pPr>
        <w:kinsoku w:val="0"/>
        <w:overflowPunct w:val="0"/>
        <w:autoSpaceDE w:val="0"/>
        <w:autoSpaceDN w:val="0"/>
        <w:adjustRightInd w:val="0"/>
        <w:snapToGrid w:val="0"/>
        <w:ind w:left="420" w:leftChars="200" w:right="754" w:firstLine="422" w:firstLineChars="200"/>
        <w:jc w:val="left"/>
        <w:rPr>
          <w:rFonts w:hint="eastAsia" w:ascii="宋体" w:hAnsi="宋体" w:eastAsia="宋体" w:cs="宋体"/>
          <w:b/>
          <w:bCs/>
          <w:szCs w:val="21"/>
          <w:lang w:eastAsia="zh-CN"/>
        </w:rPr>
      </w:pPr>
      <w:r>
        <w:rPr>
          <w:rFonts w:ascii="宋体" w:hAnsi="宋体" w:cs="宋体"/>
          <w:b/>
          <w:bCs/>
          <w:szCs w:val="21"/>
        </w:rPr>
        <w:t>（3）律师事务所执业许可证（复印件加盖律所公章）；</w:t>
      </w:r>
    </w:p>
    <w:p w14:paraId="6A893324">
      <w:pPr>
        <w:kinsoku w:val="0"/>
        <w:overflowPunct w:val="0"/>
        <w:autoSpaceDE w:val="0"/>
        <w:autoSpaceDN w:val="0"/>
        <w:adjustRightInd w:val="0"/>
        <w:snapToGrid w:val="0"/>
        <w:ind w:left="420" w:leftChars="200" w:right="754" w:firstLine="422" w:firstLineChars="200"/>
        <w:jc w:val="left"/>
        <w:rPr>
          <w:rFonts w:hint="eastAsia" w:ascii="宋体" w:hAnsi="宋体" w:eastAsia="宋体" w:cs="宋体"/>
          <w:b/>
          <w:bCs/>
          <w:szCs w:val="21"/>
          <w:lang w:eastAsia="zh-CN"/>
        </w:rPr>
      </w:pPr>
      <w:r>
        <w:rPr>
          <w:rFonts w:ascii="宋体" w:hAnsi="宋体" w:cs="宋体"/>
          <w:b/>
          <w:bCs/>
          <w:szCs w:val="21"/>
        </w:rPr>
        <w:t>（4）律师事务所负责人身份证明（复印件加盖律所公章）；</w:t>
      </w:r>
    </w:p>
    <w:p w14:paraId="5D610319">
      <w:pPr>
        <w:kinsoku w:val="0"/>
        <w:overflowPunct w:val="0"/>
        <w:autoSpaceDE w:val="0"/>
        <w:autoSpaceDN w:val="0"/>
        <w:adjustRightInd w:val="0"/>
        <w:snapToGrid w:val="0"/>
        <w:ind w:left="420" w:leftChars="200" w:right="754" w:firstLine="422" w:firstLineChars="200"/>
        <w:jc w:val="left"/>
        <w:rPr>
          <w:rFonts w:hint="eastAsia" w:ascii="宋体" w:hAnsi="宋体" w:eastAsia="宋体" w:cs="宋体"/>
          <w:b/>
          <w:bCs/>
          <w:szCs w:val="21"/>
          <w:lang w:eastAsia="zh-CN"/>
        </w:rPr>
      </w:pPr>
      <w:r>
        <w:rPr>
          <w:rFonts w:ascii="宋体" w:hAnsi="宋体" w:cs="宋体"/>
          <w:b/>
          <w:bCs/>
          <w:szCs w:val="21"/>
        </w:rPr>
        <w:t>（5）比选申请文件签署授权委托书（原件）；</w:t>
      </w:r>
    </w:p>
    <w:p w14:paraId="4C3B2B44">
      <w:pPr>
        <w:kinsoku w:val="0"/>
        <w:overflowPunct w:val="0"/>
        <w:autoSpaceDE w:val="0"/>
        <w:autoSpaceDN w:val="0"/>
        <w:adjustRightInd w:val="0"/>
        <w:snapToGrid w:val="0"/>
        <w:ind w:left="420" w:leftChars="200" w:right="754" w:firstLine="422" w:firstLineChars="200"/>
        <w:jc w:val="left"/>
        <w:rPr>
          <w:rFonts w:hint="eastAsia" w:ascii="宋体" w:hAnsi="宋体" w:eastAsia="宋体" w:cs="宋体"/>
          <w:b/>
          <w:bCs/>
          <w:szCs w:val="21"/>
          <w:lang w:eastAsia="zh-CN"/>
        </w:rPr>
      </w:pPr>
      <w:r>
        <w:rPr>
          <w:rFonts w:ascii="宋体" w:hAnsi="宋体" w:cs="宋体"/>
          <w:b/>
          <w:bCs/>
          <w:szCs w:val="21"/>
        </w:rPr>
        <w:t>（6）授权代表人身份证（复印件加盖单位公章）。</w:t>
      </w:r>
    </w:p>
    <w:p w14:paraId="7DED9B6E">
      <w:pPr>
        <w:kinsoku w:val="0"/>
        <w:overflowPunct w:val="0"/>
        <w:autoSpaceDE w:val="0"/>
        <w:autoSpaceDN w:val="0"/>
        <w:adjustRightInd w:val="0"/>
        <w:snapToGrid w:val="0"/>
        <w:ind w:left="420" w:leftChars="200" w:right="754" w:firstLine="422" w:firstLineChars="200"/>
        <w:jc w:val="left"/>
        <w:outlineLvl w:val="9"/>
        <w:rPr>
          <w:rFonts w:hint="eastAsia" w:ascii="宋体" w:hAnsi="宋体" w:eastAsia="宋体" w:cs="宋体"/>
          <w:b/>
          <w:bCs/>
          <w:szCs w:val="21"/>
          <w:lang w:eastAsia="zh-CN"/>
        </w:rPr>
      </w:pPr>
      <w:r>
        <w:rPr>
          <w:rFonts w:hint="eastAsia" w:ascii="宋体" w:hAnsi="宋体" w:cs="宋体"/>
          <w:b/>
          <w:bCs/>
          <w:szCs w:val="21"/>
        </w:rPr>
        <w:t>11.2.2 技术章节主要包括下列内容：</w:t>
      </w:r>
    </w:p>
    <w:p w14:paraId="5A997974">
      <w:pPr>
        <w:kinsoku w:val="0"/>
        <w:overflowPunct w:val="0"/>
        <w:autoSpaceDE w:val="0"/>
        <w:autoSpaceDN w:val="0"/>
        <w:adjustRightInd w:val="0"/>
        <w:snapToGrid w:val="0"/>
        <w:ind w:left="420" w:leftChars="200" w:right="754" w:firstLine="422" w:firstLineChars="200"/>
        <w:jc w:val="left"/>
        <w:rPr>
          <w:rFonts w:hint="eastAsia" w:ascii="宋体" w:hAnsi="宋体" w:eastAsia="宋体" w:cs="宋体"/>
          <w:b/>
          <w:bCs/>
          <w:szCs w:val="21"/>
          <w:lang w:eastAsia="zh-CN"/>
        </w:rPr>
      </w:pPr>
      <w:r>
        <w:rPr>
          <w:rFonts w:ascii="宋体" w:hAnsi="宋体" w:cs="宋体"/>
          <w:b/>
          <w:bCs/>
          <w:szCs w:val="21"/>
        </w:rPr>
        <w:t>（1）律师事务所业绩表；</w:t>
      </w:r>
    </w:p>
    <w:p w14:paraId="36C10247">
      <w:pPr>
        <w:kinsoku w:val="0"/>
        <w:overflowPunct w:val="0"/>
        <w:autoSpaceDE w:val="0"/>
        <w:autoSpaceDN w:val="0"/>
        <w:adjustRightInd w:val="0"/>
        <w:snapToGrid w:val="0"/>
        <w:ind w:left="420" w:leftChars="200" w:right="754" w:firstLine="422" w:firstLineChars="200"/>
        <w:jc w:val="left"/>
        <w:rPr>
          <w:rFonts w:hint="eastAsia" w:ascii="宋体" w:hAnsi="宋体" w:eastAsia="宋体" w:cs="宋体"/>
          <w:b/>
          <w:bCs/>
          <w:szCs w:val="21"/>
          <w:lang w:eastAsia="zh-CN"/>
        </w:rPr>
      </w:pPr>
      <w:r>
        <w:rPr>
          <w:rFonts w:ascii="宋体" w:hAnsi="宋体" w:cs="宋体"/>
          <w:b/>
          <w:bCs/>
          <w:szCs w:val="21"/>
        </w:rPr>
        <w:t>（2）律师事务所成立时间及信誉材料；</w:t>
      </w:r>
    </w:p>
    <w:p w14:paraId="2CDD53C8">
      <w:pPr>
        <w:kinsoku w:val="0"/>
        <w:overflowPunct w:val="0"/>
        <w:autoSpaceDE w:val="0"/>
        <w:autoSpaceDN w:val="0"/>
        <w:adjustRightInd w:val="0"/>
        <w:snapToGrid w:val="0"/>
        <w:ind w:left="420" w:leftChars="200" w:right="754" w:firstLine="422" w:firstLineChars="200"/>
        <w:jc w:val="left"/>
        <w:rPr>
          <w:rFonts w:hint="eastAsia" w:ascii="宋体" w:hAnsi="宋体" w:eastAsia="宋体" w:cs="宋体"/>
          <w:b/>
          <w:bCs/>
          <w:szCs w:val="21"/>
          <w:lang w:eastAsia="zh-CN"/>
        </w:rPr>
      </w:pPr>
      <w:r>
        <w:rPr>
          <w:rFonts w:ascii="宋体" w:hAnsi="宋体" w:cs="宋体"/>
          <w:b/>
          <w:bCs/>
          <w:szCs w:val="21"/>
        </w:rPr>
        <w:t>（3）拟投入人员配置明细；</w:t>
      </w:r>
    </w:p>
    <w:p w14:paraId="6094A32B">
      <w:pPr>
        <w:kinsoku w:val="0"/>
        <w:overflowPunct w:val="0"/>
        <w:autoSpaceDE w:val="0"/>
        <w:autoSpaceDN w:val="0"/>
        <w:adjustRightInd w:val="0"/>
        <w:snapToGrid w:val="0"/>
        <w:ind w:left="420" w:leftChars="200" w:right="754" w:firstLine="422" w:firstLineChars="200"/>
        <w:jc w:val="left"/>
        <w:rPr>
          <w:rFonts w:hint="eastAsia" w:ascii="宋体" w:hAnsi="宋体" w:eastAsia="宋体" w:cs="宋体"/>
          <w:b/>
          <w:bCs/>
          <w:szCs w:val="21"/>
          <w:lang w:eastAsia="zh-CN"/>
        </w:rPr>
      </w:pPr>
      <w:r>
        <w:rPr>
          <w:rFonts w:ascii="宋体" w:hAnsi="宋体" w:cs="宋体"/>
          <w:b/>
          <w:bCs/>
          <w:szCs w:val="21"/>
        </w:rPr>
        <w:t>（4）拟投入人员资质（拟投入人员律师执业资格证书复印件等材料）；</w:t>
      </w:r>
    </w:p>
    <w:p w14:paraId="6ABF1E7A">
      <w:pPr>
        <w:kinsoku w:val="0"/>
        <w:overflowPunct w:val="0"/>
        <w:autoSpaceDE w:val="0"/>
        <w:autoSpaceDN w:val="0"/>
        <w:adjustRightInd w:val="0"/>
        <w:snapToGrid w:val="0"/>
        <w:ind w:left="420" w:leftChars="200" w:right="754" w:firstLine="422" w:firstLineChars="200"/>
        <w:jc w:val="left"/>
        <w:rPr>
          <w:rFonts w:hint="eastAsia" w:ascii="宋体" w:hAnsi="宋体" w:eastAsia="宋体" w:cs="宋体"/>
          <w:b/>
          <w:bCs/>
          <w:szCs w:val="21"/>
          <w:lang w:eastAsia="zh-CN"/>
        </w:rPr>
      </w:pPr>
      <w:r>
        <w:rPr>
          <w:rFonts w:ascii="宋体" w:hAnsi="宋体" w:cs="宋体"/>
          <w:b/>
          <w:bCs/>
          <w:szCs w:val="21"/>
        </w:rPr>
        <w:t>（5）法律顾问团队服务方案。</w:t>
      </w:r>
    </w:p>
    <w:p w14:paraId="29E4E19E">
      <w:pPr>
        <w:kinsoku w:val="0"/>
        <w:overflowPunct w:val="0"/>
        <w:autoSpaceDE w:val="0"/>
        <w:autoSpaceDN w:val="0"/>
        <w:adjustRightInd w:val="0"/>
        <w:snapToGrid w:val="0"/>
        <w:ind w:left="420" w:leftChars="200" w:right="754" w:firstLine="422" w:firstLineChars="200"/>
        <w:jc w:val="left"/>
        <w:outlineLvl w:val="9"/>
        <w:rPr>
          <w:rFonts w:hint="eastAsia" w:ascii="宋体" w:hAnsi="宋体" w:eastAsia="宋体" w:cs="宋体"/>
          <w:b/>
          <w:bCs/>
          <w:szCs w:val="21"/>
          <w:lang w:eastAsia="zh-CN"/>
        </w:rPr>
      </w:pPr>
      <w:r>
        <w:rPr>
          <w:rFonts w:hint="eastAsia" w:ascii="宋体" w:hAnsi="宋体" w:cs="宋体"/>
          <w:b/>
          <w:bCs/>
          <w:szCs w:val="21"/>
        </w:rPr>
        <w:t>11.2.3 商务章节主要包括下列内容：</w:t>
      </w:r>
    </w:p>
    <w:p w14:paraId="5ADF9BF1">
      <w:pPr>
        <w:kinsoku w:val="0"/>
        <w:overflowPunct w:val="0"/>
        <w:autoSpaceDE w:val="0"/>
        <w:autoSpaceDN w:val="0"/>
        <w:adjustRightInd w:val="0"/>
        <w:snapToGrid w:val="0"/>
        <w:ind w:left="420" w:leftChars="200" w:right="754" w:firstLine="422" w:firstLineChars="200"/>
        <w:jc w:val="left"/>
        <w:rPr>
          <w:rFonts w:ascii="宋体" w:hAnsi="宋体" w:cs="宋体"/>
          <w:b/>
          <w:bCs/>
          <w:szCs w:val="21"/>
        </w:rPr>
      </w:pPr>
      <w:r>
        <w:rPr>
          <w:rFonts w:ascii="宋体" w:hAnsi="宋体" w:cs="宋体"/>
          <w:b/>
          <w:bCs/>
          <w:szCs w:val="21"/>
        </w:rPr>
        <w:t>（1）报价表</w:t>
      </w:r>
      <w:r>
        <w:rPr>
          <w:rFonts w:hint="eastAsia" w:ascii="宋体" w:hAnsi="宋体" w:cs="宋体"/>
          <w:b/>
          <w:bCs/>
          <w:szCs w:val="21"/>
        </w:rPr>
        <w:t>。</w:t>
      </w:r>
    </w:p>
    <w:p w14:paraId="3255F8E1">
      <w:pPr>
        <w:kinsoku w:val="0"/>
        <w:overflowPunct w:val="0"/>
        <w:autoSpaceDE w:val="0"/>
        <w:autoSpaceDN w:val="0"/>
        <w:adjustRightInd w:val="0"/>
        <w:snapToGrid w:val="0"/>
        <w:ind w:left="840" w:leftChars="400" w:right="754" w:firstLine="0" w:firstLineChars="0"/>
        <w:jc w:val="left"/>
        <w:rPr>
          <w:rFonts w:ascii="宋体" w:hAnsi="宋体" w:cs="宋体"/>
          <w:b/>
          <w:bCs/>
          <w:szCs w:val="21"/>
        </w:rPr>
      </w:pPr>
      <w:r>
        <w:rPr>
          <w:rFonts w:hint="eastAsia" w:ascii="宋体" w:hAnsi="宋体" w:cs="宋体"/>
          <w:b/>
          <w:bCs/>
          <w:szCs w:val="21"/>
        </w:rPr>
        <w:t>11.3 比选申请人需按照比选人提供的比选申请文件格式和顺序另行编制比选申请文件，但表格可以按同样格式扩展。</w:t>
      </w:r>
    </w:p>
    <w:bookmarkEnd w:id="186"/>
    <w:p w14:paraId="4F835FD1">
      <w:pPr>
        <w:spacing w:line="360" w:lineRule="auto"/>
        <w:ind w:right="753" w:firstLine="482" w:firstLineChars="200"/>
        <w:jc w:val="left"/>
        <w:outlineLvl w:val="9"/>
        <w:rPr>
          <w:rFonts w:eastAsiaTheme="minorEastAsia"/>
          <w:b/>
          <w:bCs/>
          <w:sz w:val="24"/>
        </w:rPr>
      </w:pPr>
      <w:r>
        <w:rPr>
          <w:rFonts w:eastAsiaTheme="minorEastAsia"/>
          <w:b/>
          <w:bCs/>
          <w:sz w:val="24"/>
        </w:rPr>
        <w:t>12.</w:t>
      </w:r>
      <w:bookmarkStart w:id="187" w:name="_Toc114052427"/>
      <w:bookmarkStart w:id="188" w:name="_Toc286386847"/>
      <w:bookmarkStart w:id="189" w:name="_Toc114052363"/>
      <w:bookmarkStart w:id="190" w:name="_Toc310318585"/>
      <w:r>
        <w:rPr>
          <w:rFonts w:eastAsiaTheme="minorEastAsia"/>
          <w:b/>
          <w:bCs/>
          <w:sz w:val="24"/>
        </w:rPr>
        <w:t>比选有效期</w:t>
      </w:r>
      <w:bookmarkEnd w:id="187"/>
      <w:bookmarkEnd w:id="188"/>
      <w:bookmarkEnd w:id="189"/>
      <w:bookmarkEnd w:id="190"/>
    </w:p>
    <w:p w14:paraId="0F78C90A">
      <w:pPr>
        <w:spacing w:line="360" w:lineRule="auto"/>
        <w:ind w:right="147" w:firstLine="720" w:firstLineChars="300"/>
        <w:jc w:val="left"/>
        <w:rPr>
          <w:rFonts w:eastAsiaTheme="minorEastAsia"/>
          <w:sz w:val="24"/>
        </w:rPr>
      </w:pPr>
      <w:r>
        <w:rPr>
          <w:rFonts w:eastAsiaTheme="minorEastAsia"/>
          <w:sz w:val="24"/>
        </w:rPr>
        <w:t>12.1 比选申请文件在比选须知前附表第14</w:t>
      </w:r>
      <w:r>
        <w:rPr>
          <w:rFonts w:hint="eastAsia" w:eastAsiaTheme="minorEastAsia"/>
          <w:sz w:val="24"/>
        </w:rPr>
        <w:t>项</w:t>
      </w:r>
      <w:r>
        <w:rPr>
          <w:rFonts w:eastAsiaTheme="minorEastAsia"/>
          <w:sz w:val="24"/>
        </w:rPr>
        <w:t>规定的递交比选申请文件日期之后的</w:t>
      </w:r>
      <w:r>
        <w:rPr>
          <w:rFonts w:hint="eastAsia" w:eastAsiaTheme="minorEastAsia"/>
          <w:sz w:val="24"/>
          <w:lang w:val="en-US" w:eastAsia="zh-CN"/>
        </w:rPr>
        <w:t>90</w:t>
      </w:r>
      <w:r>
        <w:rPr>
          <w:rFonts w:hint="eastAsia" w:eastAsiaTheme="minorEastAsia"/>
          <w:sz w:val="24"/>
        </w:rPr>
        <w:t>天</w:t>
      </w:r>
      <w:r>
        <w:rPr>
          <w:rFonts w:eastAsiaTheme="minorEastAsia"/>
          <w:sz w:val="24"/>
        </w:rPr>
        <w:t>内有效。</w:t>
      </w:r>
    </w:p>
    <w:p w14:paraId="6717C121">
      <w:pPr>
        <w:ind w:right="-21" w:firstLine="422" w:firstLineChars="200"/>
        <w:jc w:val="left"/>
        <w:outlineLvl w:val="9"/>
        <w:rPr>
          <w:rFonts w:ascii="宋体" w:hAnsi="宋体" w:cs="宋体"/>
          <w:b/>
          <w:szCs w:val="21"/>
        </w:rPr>
      </w:pPr>
      <w:r>
        <w:rPr>
          <w:rFonts w:ascii="宋体" w:hAnsi="宋体" w:cs="宋体"/>
          <w:b/>
          <w:szCs w:val="21"/>
        </w:rPr>
        <w:t>13.比选保证金</w:t>
      </w:r>
    </w:p>
    <w:p w14:paraId="73243510">
      <w:pPr>
        <w:spacing w:line="360" w:lineRule="auto"/>
        <w:ind w:right="147" w:firstLine="720" w:firstLineChars="300"/>
        <w:jc w:val="left"/>
        <w:outlineLvl w:val="9"/>
        <w:rPr>
          <w:rFonts w:ascii="Times New Roman" w:hAnsi="Times New Roman" w:cs="Times New Roman" w:eastAsiaTheme="minorEastAsia"/>
          <w:sz w:val="24"/>
          <w:szCs w:val="24"/>
        </w:rPr>
      </w:pPr>
      <w:r>
        <w:rPr>
          <w:rFonts w:ascii="Times New Roman" w:hAnsi="Times New Roman" w:cs="Times New Roman" w:eastAsiaTheme="minorEastAsia"/>
          <w:sz w:val="24"/>
          <w:szCs w:val="24"/>
        </w:rPr>
        <w:t>13.1本次比选不需要缴纳申请比选保证金。</w:t>
      </w:r>
    </w:p>
    <w:p w14:paraId="2ECE5124">
      <w:pPr>
        <w:ind w:right="753" w:firstLine="422" w:firstLineChars="200"/>
        <w:jc w:val="left"/>
        <w:outlineLvl w:val="9"/>
        <w:rPr>
          <w:rFonts w:ascii="宋体" w:hAnsi="宋体" w:cs="宋体"/>
          <w:b/>
          <w:szCs w:val="21"/>
        </w:rPr>
      </w:pPr>
      <w:r>
        <w:rPr>
          <w:rFonts w:ascii="宋体" w:hAnsi="宋体" w:cs="宋体"/>
          <w:b/>
          <w:szCs w:val="21"/>
        </w:rPr>
        <w:t>14.</w:t>
      </w:r>
      <w:bookmarkStart w:id="191" w:name="_Toc310318587"/>
      <w:bookmarkStart w:id="192" w:name="_Toc286386849"/>
      <w:bookmarkStart w:id="193" w:name="_Toc114052429"/>
      <w:bookmarkStart w:id="194" w:name="_Toc114052365"/>
      <w:r>
        <w:rPr>
          <w:rFonts w:hint="eastAsia" w:ascii="宋体" w:hAnsi="宋体" w:cs="宋体"/>
          <w:b/>
          <w:szCs w:val="21"/>
        </w:rPr>
        <w:t>比选答疑</w:t>
      </w:r>
      <w:bookmarkEnd w:id="191"/>
      <w:bookmarkEnd w:id="192"/>
      <w:bookmarkEnd w:id="193"/>
      <w:bookmarkEnd w:id="194"/>
    </w:p>
    <w:p w14:paraId="6F51058E">
      <w:pPr>
        <w:spacing w:line="360" w:lineRule="auto"/>
        <w:ind w:right="147" w:firstLine="420" w:firstLineChars="200"/>
        <w:jc w:val="left"/>
        <w:rPr>
          <w:rFonts w:ascii="Times New Roman" w:hAnsi="Times New Roman" w:cs="Times New Roman" w:eastAsiaTheme="minorEastAsia"/>
          <w:sz w:val="24"/>
          <w:szCs w:val="24"/>
        </w:rPr>
      </w:pPr>
      <w:r>
        <w:rPr>
          <w:rFonts w:ascii="宋体" w:hAnsi="宋体" w:cs="宋体"/>
          <w:szCs w:val="21"/>
        </w:rPr>
        <w:t xml:space="preserve"> </w:t>
      </w:r>
      <w:r>
        <w:rPr>
          <w:rFonts w:hint="eastAsia" w:ascii="宋体" w:hAnsi="宋体" w:cs="宋体"/>
          <w:szCs w:val="21"/>
          <w:lang w:val="en-US" w:eastAsia="zh-CN"/>
        </w:rPr>
        <w:t xml:space="preserve"> </w:t>
      </w:r>
      <w:r>
        <w:rPr>
          <w:rFonts w:ascii="Times New Roman" w:hAnsi="Times New Roman" w:cs="Times New Roman" w:eastAsiaTheme="minorEastAsia"/>
          <w:sz w:val="24"/>
          <w:szCs w:val="24"/>
        </w:rPr>
        <w:t>14.1比选申请人提出的与比选有关的任何问题均应在递交文件截止时间</w:t>
      </w:r>
      <w:r>
        <w:rPr>
          <w:rFonts w:hint="eastAsia" w:cs="Times New Roman" w:eastAsiaTheme="minorEastAsia"/>
          <w:sz w:val="24"/>
          <w:szCs w:val="24"/>
          <w:u w:val="none"/>
          <w:lang w:val="en-US" w:eastAsia="zh-CN"/>
        </w:rPr>
        <w:t>3</w:t>
      </w:r>
      <w:r>
        <w:rPr>
          <w:rFonts w:ascii="Times New Roman" w:hAnsi="Times New Roman" w:cs="Times New Roman" w:eastAsiaTheme="minorEastAsia"/>
          <w:sz w:val="24"/>
          <w:szCs w:val="24"/>
        </w:rPr>
        <w:t>个工作日前的正常工作时间内，用当面递交或传真书面通知比选人，其他方式为无效。比选人将以书面形式通过“比选补遗文件”的形式予以答复。</w:t>
      </w:r>
    </w:p>
    <w:p w14:paraId="6CC0C61C">
      <w:pPr>
        <w:spacing w:line="360" w:lineRule="auto"/>
        <w:ind w:right="147" w:firstLine="480" w:firstLineChars="200"/>
        <w:jc w:val="left"/>
        <w:rPr>
          <w:rFonts w:eastAsiaTheme="minorEastAsia"/>
          <w:sz w:val="24"/>
        </w:rPr>
      </w:pPr>
      <w:r>
        <w:rPr>
          <w:rFonts w:ascii="Times New Roman" w:hAnsi="Times New Roman" w:cs="Times New Roman" w:eastAsiaTheme="minorEastAsia"/>
          <w:sz w:val="24"/>
          <w:szCs w:val="24"/>
        </w:rPr>
        <w:t xml:space="preserve"> 14.2比选补遗文件包括所有问题和答复，比选人将于递交文件截止时间</w:t>
      </w:r>
      <w:r>
        <w:rPr>
          <w:rFonts w:hint="eastAsia" w:cs="Times New Roman" w:eastAsiaTheme="minorEastAsia"/>
          <w:sz w:val="24"/>
          <w:szCs w:val="24"/>
          <w:u w:val="none"/>
          <w:lang w:val="en-US" w:eastAsia="zh-CN"/>
        </w:rPr>
        <w:t>2</w:t>
      </w:r>
      <w:r>
        <w:rPr>
          <w:rFonts w:hint="default" w:ascii="Times New Roman" w:hAnsi="Times New Roman" w:cs="Times New Roman" w:eastAsiaTheme="minorEastAsia"/>
          <w:sz w:val="24"/>
          <w:szCs w:val="24"/>
        </w:rPr>
        <w:t>天</w:t>
      </w:r>
      <w:r>
        <w:rPr>
          <w:rFonts w:ascii="Times New Roman" w:hAnsi="Times New Roman" w:cs="Times New Roman" w:eastAsiaTheme="minorEastAsia"/>
          <w:sz w:val="24"/>
          <w:szCs w:val="24"/>
        </w:rPr>
        <w:t>前以书面形式在</w:t>
      </w:r>
      <w:r>
        <w:rPr>
          <w:rFonts w:hint="default" w:ascii="Times New Roman" w:hAnsi="Times New Roman" w:cs="Times New Roman" w:eastAsiaTheme="minorEastAsia"/>
          <w:sz w:val="24"/>
          <w:szCs w:val="24"/>
        </w:rPr>
        <w:t>南宁轨道交通集团有限责任公司官网发布，予以答复。</w:t>
      </w:r>
    </w:p>
    <w:p w14:paraId="3C3694CC">
      <w:pPr>
        <w:spacing w:line="360" w:lineRule="auto"/>
        <w:ind w:right="753" w:firstLine="482" w:firstLineChars="200"/>
        <w:jc w:val="left"/>
        <w:outlineLvl w:val="9"/>
        <w:rPr>
          <w:rFonts w:eastAsiaTheme="minorEastAsia"/>
          <w:b/>
          <w:bCs/>
          <w:sz w:val="24"/>
        </w:rPr>
      </w:pPr>
      <w:r>
        <w:rPr>
          <w:rFonts w:eastAsiaTheme="minorEastAsia"/>
          <w:b/>
          <w:bCs/>
          <w:sz w:val="24"/>
        </w:rPr>
        <w:t>1</w:t>
      </w:r>
      <w:r>
        <w:rPr>
          <w:rFonts w:hint="eastAsia" w:eastAsiaTheme="minorEastAsia"/>
          <w:b/>
          <w:bCs/>
          <w:sz w:val="24"/>
          <w:lang w:eastAsia="zh-CN"/>
        </w:rPr>
        <w:t>5</w:t>
      </w:r>
      <w:r>
        <w:rPr>
          <w:rFonts w:eastAsiaTheme="minorEastAsia"/>
          <w:b/>
          <w:bCs/>
          <w:sz w:val="24"/>
        </w:rPr>
        <w:t>.</w:t>
      </w:r>
      <w:bookmarkStart w:id="195" w:name="_Toc114052366"/>
      <w:bookmarkStart w:id="196" w:name="_Toc286386850"/>
      <w:bookmarkStart w:id="197" w:name="_Toc114052430"/>
      <w:bookmarkStart w:id="198" w:name="_Toc310318588"/>
      <w:r>
        <w:rPr>
          <w:rFonts w:eastAsiaTheme="minorEastAsia"/>
          <w:b/>
          <w:bCs/>
          <w:sz w:val="24"/>
        </w:rPr>
        <w:t>比选申请文件的份数</w:t>
      </w:r>
      <w:bookmarkEnd w:id="195"/>
      <w:bookmarkEnd w:id="196"/>
      <w:bookmarkEnd w:id="197"/>
      <w:bookmarkEnd w:id="198"/>
      <w:r>
        <w:rPr>
          <w:rFonts w:eastAsiaTheme="minorEastAsia"/>
          <w:b/>
          <w:bCs/>
          <w:sz w:val="24"/>
        </w:rPr>
        <w:t>和签署</w:t>
      </w:r>
    </w:p>
    <w:p w14:paraId="22DB6F89">
      <w:pPr>
        <w:spacing w:line="360" w:lineRule="auto"/>
        <w:ind w:right="5" w:firstLine="720" w:firstLineChars="300"/>
        <w:jc w:val="left"/>
        <w:rPr>
          <w:rFonts w:eastAsiaTheme="minorEastAsia"/>
          <w:sz w:val="24"/>
        </w:rPr>
      </w:pPr>
      <w:r>
        <w:rPr>
          <w:rFonts w:eastAsiaTheme="minorEastAsia"/>
          <w:sz w:val="24"/>
        </w:rPr>
        <w:t>1</w:t>
      </w:r>
      <w:r>
        <w:rPr>
          <w:rFonts w:hint="eastAsia" w:eastAsiaTheme="minorEastAsia"/>
          <w:sz w:val="24"/>
          <w:lang w:val="en-US" w:eastAsia="zh-CN"/>
        </w:rPr>
        <w:t>5</w:t>
      </w:r>
      <w:r>
        <w:rPr>
          <w:rFonts w:eastAsiaTheme="minorEastAsia"/>
          <w:sz w:val="24"/>
        </w:rPr>
        <w:t>.1比选申请人按比选文件规定，编制一份比选申请文件“正本”和</w:t>
      </w:r>
      <w:r>
        <w:rPr>
          <w:rFonts w:hint="eastAsia" w:eastAsiaTheme="minorEastAsia"/>
          <w:sz w:val="24"/>
          <w:lang w:val="en-US" w:eastAsia="zh-CN"/>
        </w:rPr>
        <w:t>二</w:t>
      </w:r>
      <w:r>
        <w:rPr>
          <w:rFonts w:hint="eastAsia" w:eastAsiaTheme="minorEastAsia"/>
          <w:sz w:val="24"/>
        </w:rPr>
        <w:t>份</w:t>
      </w:r>
      <w:r>
        <w:rPr>
          <w:rFonts w:eastAsiaTheme="minorEastAsia"/>
          <w:sz w:val="24"/>
        </w:rPr>
        <w:t>比选申请文件“副本”，并标明“正本”和“副本”。比选申请文件正本和副本如有不一致之处，以正本为准。</w:t>
      </w:r>
    </w:p>
    <w:p w14:paraId="5EEB3588">
      <w:pPr>
        <w:spacing w:line="360" w:lineRule="auto"/>
        <w:ind w:right="5" w:firstLine="720" w:firstLineChars="300"/>
        <w:jc w:val="left"/>
        <w:rPr>
          <w:rFonts w:hint="eastAsia" w:eastAsiaTheme="minorEastAsia"/>
          <w:sz w:val="24"/>
          <w:szCs w:val="24"/>
          <w:lang w:eastAsia="zh-CN"/>
        </w:rPr>
      </w:pPr>
      <w:r>
        <w:rPr>
          <w:rFonts w:eastAsiaTheme="minorEastAsia"/>
          <w:sz w:val="24"/>
        </w:rPr>
        <w:t>1</w:t>
      </w:r>
      <w:r>
        <w:rPr>
          <w:rFonts w:hint="eastAsia" w:eastAsiaTheme="minorEastAsia"/>
          <w:sz w:val="24"/>
          <w:lang w:val="en-US" w:eastAsia="zh-CN"/>
        </w:rPr>
        <w:t>5</w:t>
      </w:r>
      <w:r>
        <w:rPr>
          <w:rFonts w:eastAsiaTheme="minorEastAsia"/>
          <w:sz w:val="24"/>
        </w:rPr>
        <w:t>.2比选申请文件正本与副本均应使用不能擦去的黑色墨水打印或书写，装订成册，由比选申请人法定代表人或其授权委托代理人亲自签署或加盖印鉴，并加盖比选申请人单位公章。</w:t>
      </w:r>
      <w:r>
        <w:rPr>
          <w:rFonts w:hint="eastAsia" w:eastAsiaTheme="minorEastAsia"/>
          <w:b/>
          <w:bCs/>
          <w:sz w:val="24"/>
        </w:rPr>
        <w:t>如是授权委托代理人签字，请注意需附上相应授权委托书，</w:t>
      </w:r>
      <w:r>
        <w:rPr>
          <w:rFonts w:hint="eastAsia" w:eastAsiaTheme="minorEastAsia"/>
          <w:b/>
          <w:bCs/>
          <w:sz w:val="24"/>
          <w:lang w:val="en-US" w:eastAsia="zh-CN"/>
        </w:rPr>
        <w:t>格式（详见</w:t>
      </w:r>
      <w:r>
        <w:rPr>
          <w:rFonts w:hint="default" w:eastAsiaTheme="minorEastAsia"/>
          <w:sz w:val="24"/>
          <w:szCs w:val="24"/>
        </w:rPr>
        <w:t>第</w:t>
      </w:r>
      <w:r>
        <w:rPr>
          <w:rFonts w:hint="eastAsia" w:eastAsiaTheme="minorEastAsia"/>
          <w:color w:val="auto"/>
          <w:sz w:val="24"/>
          <w:szCs w:val="24"/>
          <w:lang w:val="en-US" w:eastAsia="zh-CN"/>
        </w:rPr>
        <w:t>三</w:t>
      </w:r>
      <w:r>
        <w:rPr>
          <w:rFonts w:eastAsiaTheme="minorEastAsia"/>
          <w:color w:val="auto"/>
          <w:sz w:val="24"/>
          <w:szCs w:val="24"/>
        </w:rPr>
        <w:t>章</w:t>
      </w:r>
      <w:r>
        <w:rPr>
          <w:rFonts w:hint="default" w:eastAsiaTheme="minorEastAsia"/>
          <w:sz w:val="24"/>
          <w:szCs w:val="24"/>
          <w:lang w:val="en-US" w:eastAsia="zh-CN"/>
        </w:rPr>
        <w:t xml:space="preserve"> </w:t>
      </w:r>
      <w:r>
        <w:rPr>
          <w:rFonts w:eastAsiaTheme="minorEastAsia"/>
          <w:sz w:val="24"/>
          <w:szCs w:val="24"/>
        </w:rPr>
        <w:t>比选申请文件</w:t>
      </w:r>
      <w:r>
        <w:rPr>
          <w:rFonts w:hint="eastAsia" w:eastAsiaTheme="minorEastAsia"/>
          <w:sz w:val="24"/>
          <w:szCs w:val="24"/>
          <w:lang w:val="en-US" w:eastAsia="zh-CN"/>
        </w:rPr>
        <w:t>格式</w:t>
      </w:r>
      <w:r>
        <w:rPr>
          <w:rFonts w:hint="eastAsia" w:eastAsiaTheme="minorEastAsia"/>
          <w:sz w:val="24"/>
          <w:szCs w:val="24"/>
          <w:lang w:eastAsia="zh-CN"/>
        </w:rPr>
        <w:t>）</w:t>
      </w:r>
    </w:p>
    <w:p w14:paraId="10597DC1">
      <w:pPr>
        <w:spacing w:line="360" w:lineRule="auto"/>
        <w:ind w:right="5" w:firstLine="720" w:firstLineChars="300"/>
        <w:jc w:val="left"/>
        <w:rPr>
          <w:rFonts w:eastAsiaTheme="minorEastAsia"/>
          <w:sz w:val="24"/>
        </w:rPr>
      </w:pPr>
      <w:r>
        <w:rPr>
          <w:rFonts w:eastAsiaTheme="minorEastAsia"/>
          <w:sz w:val="24"/>
        </w:rPr>
        <w:t>1</w:t>
      </w:r>
      <w:r>
        <w:rPr>
          <w:rFonts w:hint="eastAsia" w:eastAsiaTheme="minorEastAsia"/>
          <w:sz w:val="24"/>
          <w:lang w:val="en-US" w:eastAsia="zh-CN"/>
        </w:rPr>
        <w:t>5</w:t>
      </w:r>
      <w:r>
        <w:rPr>
          <w:rFonts w:eastAsiaTheme="minorEastAsia"/>
          <w:sz w:val="24"/>
        </w:rPr>
        <w:t>.3全套比选申请文件应无涂改和行间插字，除非这些删改是根据比选人指示进行的；或者是比选申请人造成的必须修改的错误，但修改处应由比选申请</w:t>
      </w:r>
      <w:r>
        <w:rPr>
          <w:rFonts w:eastAsiaTheme="minorEastAsia"/>
          <w:color w:val="auto"/>
          <w:sz w:val="24"/>
          <w:highlight w:val="none"/>
        </w:rPr>
        <w:t>文件签字人签字</w:t>
      </w:r>
      <w:r>
        <w:rPr>
          <w:rFonts w:eastAsiaTheme="minorEastAsia"/>
          <w:sz w:val="24"/>
        </w:rPr>
        <w:t>证明，否则修改无效。</w:t>
      </w:r>
    </w:p>
    <w:p w14:paraId="3034846B">
      <w:pPr>
        <w:pStyle w:val="7"/>
        <w:spacing w:before="0" w:after="0" w:line="360" w:lineRule="auto"/>
        <w:jc w:val="center"/>
        <w:rPr>
          <w:rFonts w:ascii="Times New Roman" w:hAnsi="Times New Roman" w:eastAsiaTheme="minorEastAsia"/>
          <w:b/>
          <w:bCs/>
          <w:sz w:val="32"/>
          <w:szCs w:val="32"/>
        </w:rPr>
      </w:pPr>
      <w:bookmarkStart w:id="199" w:name="_Toc461525301"/>
      <w:bookmarkStart w:id="200" w:name="_Toc18606"/>
      <w:bookmarkStart w:id="201" w:name="_Toc28506"/>
      <w:bookmarkStart w:id="202" w:name="_Toc23101"/>
      <w:bookmarkStart w:id="203" w:name="_Toc9848"/>
      <w:bookmarkStart w:id="204" w:name="_Toc930"/>
      <w:bookmarkStart w:id="205" w:name="_Toc1038"/>
      <w:bookmarkStart w:id="206" w:name="_Toc16937"/>
      <w:bookmarkStart w:id="207" w:name="_Toc15955"/>
      <w:bookmarkStart w:id="208" w:name="_Toc31804"/>
      <w:bookmarkStart w:id="209" w:name="_Toc14726"/>
      <w:bookmarkStart w:id="210" w:name="_Toc2153"/>
      <w:bookmarkStart w:id="211" w:name="_Toc32074"/>
      <w:bookmarkStart w:id="212" w:name="_Toc26086"/>
      <w:bookmarkStart w:id="213" w:name="_Toc19276"/>
      <w:bookmarkStart w:id="214" w:name="_Toc28307"/>
      <w:bookmarkStart w:id="215" w:name="_Toc23604"/>
      <w:bookmarkStart w:id="216" w:name="_Toc25460"/>
      <w:bookmarkStart w:id="217" w:name="_Toc7375"/>
      <w:bookmarkStart w:id="218" w:name="_Toc28652"/>
      <w:bookmarkStart w:id="219" w:name="_Toc28477"/>
      <w:bookmarkStart w:id="220" w:name="_Toc11391"/>
      <w:r>
        <w:rPr>
          <w:rFonts w:ascii="Times New Roman" w:hAnsi="Times New Roman" w:eastAsiaTheme="minorEastAsia"/>
          <w:b/>
          <w:bCs/>
          <w:sz w:val="32"/>
          <w:szCs w:val="32"/>
        </w:rPr>
        <w:t>五、比选申请文件的递交</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33097686">
      <w:pPr>
        <w:spacing w:line="360" w:lineRule="auto"/>
        <w:ind w:firstLine="482" w:firstLineChars="200"/>
        <w:jc w:val="left"/>
        <w:outlineLvl w:val="9"/>
        <w:rPr>
          <w:rFonts w:eastAsiaTheme="minorEastAsia"/>
          <w:b/>
          <w:bCs/>
          <w:sz w:val="24"/>
        </w:rPr>
      </w:pPr>
      <w:r>
        <w:rPr>
          <w:rFonts w:eastAsiaTheme="minorEastAsia"/>
          <w:b/>
          <w:bCs/>
          <w:sz w:val="24"/>
        </w:rPr>
        <w:t>1</w:t>
      </w:r>
      <w:r>
        <w:rPr>
          <w:rFonts w:hint="eastAsia" w:eastAsiaTheme="minorEastAsia"/>
          <w:b/>
          <w:bCs/>
          <w:sz w:val="24"/>
          <w:lang w:val="en-US" w:eastAsia="zh-CN"/>
        </w:rPr>
        <w:t>6</w:t>
      </w:r>
      <w:r>
        <w:rPr>
          <w:rFonts w:eastAsiaTheme="minorEastAsia"/>
          <w:b/>
          <w:bCs/>
          <w:sz w:val="24"/>
        </w:rPr>
        <w:t>.比选申请文件的密封与标志</w:t>
      </w:r>
    </w:p>
    <w:p w14:paraId="3EEC0E30">
      <w:pPr>
        <w:spacing w:line="360" w:lineRule="auto"/>
        <w:ind w:right="-21" w:firstLine="720" w:firstLineChars="300"/>
        <w:jc w:val="left"/>
        <w:rPr>
          <w:rFonts w:eastAsiaTheme="minorEastAsia"/>
          <w:sz w:val="24"/>
        </w:rPr>
      </w:pPr>
      <w:r>
        <w:rPr>
          <w:rFonts w:eastAsiaTheme="minorEastAsia"/>
          <w:sz w:val="24"/>
        </w:rPr>
        <w:t>1</w:t>
      </w:r>
      <w:r>
        <w:rPr>
          <w:rFonts w:hint="eastAsia" w:eastAsiaTheme="minorEastAsia"/>
          <w:sz w:val="24"/>
          <w:lang w:eastAsia="zh-CN"/>
        </w:rPr>
        <w:t>.</w:t>
      </w:r>
      <w:r>
        <w:rPr>
          <w:rFonts w:hint="eastAsia" w:eastAsiaTheme="minorEastAsia"/>
          <w:sz w:val="24"/>
          <w:lang w:val="en-US" w:eastAsia="zh-CN"/>
        </w:rPr>
        <w:t>6</w:t>
      </w:r>
      <w:r>
        <w:rPr>
          <w:rFonts w:eastAsiaTheme="minorEastAsia"/>
          <w:sz w:val="24"/>
        </w:rPr>
        <w:t>.1比选申请文件装订要求：比选申请文件</w:t>
      </w:r>
      <w:r>
        <w:rPr>
          <w:rFonts w:eastAsiaTheme="minorEastAsia"/>
          <w:strike w:val="0"/>
          <w:dstrike w:val="0"/>
          <w:sz w:val="24"/>
        </w:rPr>
        <w:t>中</w:t>
      </w:r>
      <w:r>
        <w:rPr>
          <w:rFonts w:hint="eastAsia" w:eastAsiaTheme="minorEastAsia"/>
          <w:strike w:val="0"/>
          <w:dstrike w:val="0"/>
          <w:sz w:val="24"/>
          <w:lang w:val="en-US" w:eastAsia="zh-CN"/>
        </w:rPr>
        <w:t>资格审查</w:t>
      </w:r>
      <w:r>
        <w:rPr>
          <w:rFonts w:eastAsiaTheme="minorEastAsia"/>
          <w:sz w:val="24"/>
        </w:rPr>
        <w:t>部分</w:t>
      </w:r>
      <w:r>
        <w:rPr>
          <w:rFonts w:hint="eastAsia" w:eastAsiaTheme="minorEastAsia"/>
          <w:sz w:val="24"/>
          <w:lang w:eastAsia="zh-CN"/>
        </w:rPr>
        <w:t>、</w:t>
      </w:r>
      <w:r>
        <w:rPr>
          <w:rFonts w:eastAsiaTheme="minorEastAsia"/>
          <w:sz w:val="24"/>
        </w:rPr>
        <w:t>技术部分</w:t>
      </w:r>
      <w:r>
        <w:rPr>
          <w:rFonts w:hint="eastAsia" w:eastAsiaTheme="minorEastAsia"/>
          <w:sz w:val="24"/>
          <w:lang w:eastAsia="zh-CN"/>
        </w:rPr>
        <w:t>、</w:t>
      </w:r>
      <w:r>
        <w:rPr>
          <w:rFonts w:hint="eastAsia" w:eastAsiaTheme="minorEastAsia"/>
          <w:sz w:val="24"/>
          <w:lang w:val="en-US" w:eastAsia="zh-CN"/>
        </w:rPr>
        <w:t>商务部分</w:t>
      </w:r>
      <w:r>
        <w:rPr>
          <w:rFonts w:eastAsiaTheme="minorEastAsia"/>
          <w:sz w:val="24"/>
        </w:rPr>
        <w:t>装订到一本中。</w:t>
      </w:r>
    </w:p>
    <w:p w14:paraId="2CAE4E03">
      <w:pPr>
        <w:ind w:right="-21" w:firstLine="720" w:firstLineChars="300"/>
        <w:jc w:val="left"/>
        <w:rPr>
          <w:rFonts w:ascii="宋体" w:hAnsi="宋体" w:cs="宋体"/>
          <w:color w:val="auto"/>
          <w:szCs w:val="21"/>
        </w:rPr>
      </w:pPr>
      <w:r>
        <w:rPr>
          <w:rFonts w:hint="eastAsia" w:eastAsiaTheme="minorEastAsia"/>
          <w:sz w:val="24"/>
          <w:lang w:val="en-US" w:eastAsia="zh-CN"/>
        </w:rPr>
        <w:t>1.6.2</w:t>
      </w:r>
      <w:r>
        <w:rPr>
          <w:rFonts w:hint="eastAsia" w:ascii="宋体" w:hAnsi="宋体" w:cs="宋体"/>
          <w:color w:val="auto"/>
          <w:szCs w:val="21"/>
        </w:rPr>
        <w:t>比选申请文件密封在</w:t>
      </w:r>
      <w:r>
        <w:rPr>
          <w:rFonts w:hint="eastAsia" w:ascii="宋体" w:hAnsi="宋体" w:cs="宋体"/>
          <w:color w:val="auto"/>
          <w:szCs w:val="21"/>
          <w:lang w:val="en-US" w:eastAsia="zh-CN"/>
        </w:rPr>
        <w:t>一</w:t>
      </w:r>
      <w:r>
        <w:rPr>
          <w:rFonts w:hint="eastAsia" w:ascii="宋体" w:hAnsi="宋体" w:cs="宋体"/>
          <w:color w:val="auto"/>
          <w:szCs w:val="21"/>
        </w:rPr>
        <w:t>个比选文件密封袋中。</w:t>
      </w:r>
    </w:p>
    <w:p w14:paraId="0A57799A">
      <w:pPr>
        <w:spacing w:line="360" w:lineRule="auto"/>
        <w:ind w:right="-21" w:firstLine="720" w:firstLineChars="300"/>
        <w:jc w:val="left"/>
        <w:rPr>
          <w:rFonts w:eastAsiaTheme="minorEastAsia"/>
          <w:sz w:val="24"/>
        </w:rPr>
      </w:pPr>
      <w:r>
        <w:rPr>
          <w:rFonts w:eastAsiaTheme="minorEastAsia"/>
          <w:sz w:val="24"/>
        </w:rPr>
        <w:t>1</w:t>
      </w:r>
      <w:r>
        <w:rPr>
          <w:rFonts w:hint="eastAsia" w:eastAsiaTheme="minorEastAsia"/>
          <w:sz w:val="24"/>
          <w:lang w:eastAsia="zh-CN"/>
        </w:rPr>
        <w:t>.</w:t>
      </w:r>
      <w:r>
        <w:rPr>
          <w:rFonts w:hint="eastAsia" w:eastAsiaTheme="minorEastAsia"/>
          <w:sz w:val="24"/>
          <w:lang w:val="en-US" w:eastAsia="zh-CN"/>
        </w:rPr>
        <w:t>6</w:t>
      </w:r>
      <w:r>
        <w:rPr>
          <w:rFonts w:eastAsiaTheme="minorEastAsia"/>
          <w:sz w:val="24"/>
        </w:rPr>
        <w:t>.</w:t>
      </w:r>
      <w:r>
        <w:rPr>
          <w:rFonts w:hint="eastAsia" w:eastAsiaTheme="minorEastAsia"/>
          <w:sz w:val="24"/>
          <w:lang w:val="en-US" w:eastAsia="zh-CN"/>
        </w:rPr>
        <w:t>3</w:t>
      </w:r>
      <w:r>
        <w:rPr>
          <w:rFonts w:eastAsiaTheme="minorEastAsia"/>
          <w:sz w:val="24"/>
        </w:rPr>
        <w:t>密封袋封口处都应加盖比选申请人公章或粘贴加盖公章的密封条，若密封袋没有加盖公章或破损严重，有可能导致比选人的拒收。</w:t>
      </w:r>
    </w:p>
    <w:p w14:paraId="58884D75">
      <w:pPr>
        <w:spacing w:line="360" w:lineRule="auto"/>
        <w:ind w:right="753" w:firstLine="482" w:firstLineChars="200"/>
        <w:jc w:val="left"/>
        <w:outlineLvl w:val="9"/>
        <w:rPr>
          <w:rFonts w:eastAsiaTheme="minorEastAsia"/>
          <w:b/>
          <w:bCs/>
          <w:sz w:val="24"/>
        </w:rPr>
      </w:pPr>
      <w:r>
        <w:rPr>
          <w:rFonts w:eastAsiaTheme="minorEastAsia"/>
          <w:b/>
          <w:bCs/>
          <w:sz w:val="24"/>
        </w:rPr>
        <w:t>1</w:t>
      </w:r>
      <w:r>
        <w:rPr>
          <w:rFonts w:hint="eastAsia" w:eastAsiaTheme="minorEastAsia"/>
          <w:b/>
          <w:bCs/>
          <w:sz w:val="24"/>
          <w:lang w:val="en-US" w:eastAsia="zh-CN"/>
        </w:rPr>
        <w:t>7</w:t>
      </w:r>
      <w:r>
        <w:rPr>
          <w:rFonts w:eastAsiaTheme="minorEastAsia"/>
          <w:b/>
          <w:bCs/>
          <w:sz w:val="24"/>
        </w:rPr>
        <w:t>.递交比选文件截止期</w:t>
      </w:r>
    </w:p>
    <w:p w14:paraId="0B562978">
      <w:pPr>
        <w:spacing w:line="360" w:lineRule="auto"/>
        <w:ind w:right="-21" w:firstLine="720" w:firstLineChars="300"/>
        <w:jc w:val="left"/>
        <w:rPr>
          <w:rFonts w:eastAsiaTheme="minorEastAsia"/>
          <w:sz w:val="24"/>
        </w:rPr>
      </w:pPr>
      <w:r>
        <w:rPr>
          <w:rFonts w:eastAsiaTheme="minorEastAsia"/>
          <w:sz w:val="24"/>
        </w:rPr>
        <w:t>1</w:t>
      </w:r>
      <w:r>
        <w:rPr>
          <w:rFonts w:hint="eastAsia" w:eastAsiaTheme="minorEastAsia"/>
          <w:sz w:val="24"/>
          <w:lang w:val="en-US" w:eastAsia="zh-CN"/>
        </w:rPr>
        <w:t>7</w:t>
      </w:r>
      <w:r>
        <w:rPr>
          <w:rFonts w:eastAsiaTheme="minorEastAsia"/>
          <w:sz w:val="24"/>
        </w:rPr>
        <w:t>.1比选申请人应在前附表第14项所述规定的时间，</w:t>
      </w:r>
      <w:r>
        <w:rPr>
          <w:rFonts w:hint="eastAsia" w:ascii="Times New Roman" w:hAnsi="Times New Roman" w:cs="Times New Roman" w:eastAsiaTheme="minorEastAsia"/>
          <w:sz w:val="24"/>
        </w:rPr>
        <w:t>将比选申请文件递交至前附表第13项所述的单位和地址</w:t>
      </w:r>
      <w:r>
        <w:rPr>
          <w:rFonts w:hint="eastAsia" w:ascii="Times New Roman" w:hAnsi="Times New Roman" w:cs="Times New Roman" w:eastAsiaTheme="minorEastAsia"/>
          <w:sz w:val="24"/>
          <w:lang w:eastAsia="zh-CN"/>
        </w:rPr>
        <w:t>，</w:t>
      </w:r>
      <w:r>
        <w:rPr>
          <w:rFonts w:ascii="Times New Roman" w:hAnsi="Times New Roman" w:cs="Times New Roman" w:eastAsiaTheme="minorEastAsia"/>
          <w:sz w:val="24"/>
        </w:rPr>
        <w:t>逾期送达的</w:t>
      </w:r>
      <w:r>
        <w:rPr>
          <w:rFonts w:hint="default" w:ascii="Times New Roman" w:hAnsi="Times New Roman" w:cs="Times New Roman" w:eastAsiaTheme="minorEastAsia"/>
          <w:sz w:val="24"/>
        </w:rPr>
        <w:t>比选申请</w:t>
      </w:r>
      <w:r>
        <w:rPr>
          <w:rFonts w:ascii="Times New Roman" w:hAnsi="Times New Roman" w:cs="Times New Roman" w:eastAsiaTheme="minorEastAsia"/>
          <w:sz w:val="24"/>
        </w:rPr>
        <w:t>文件无效，后果由</w:t>
      </w:r>
      <w:r>
        <w:rPr>
          <w:rFonts w:hint="default" w:ascii="Times New Roman" w:hAnsi="Times New Roman" w:cs="Times New Roman" w:eastAsiaTheme="minorEastAsia"/>
          <w:sz w:val="24"/>
        </w:rPr>
        <w:t>比选申请人</w:t>
      </w:r>
      <w:r>
        <w:rPr>
          <w:rFonts w:ascii="Times New Roman" w:hAnsi="Times New Roman" w:cs="Times New Roman" w:eastAsiaTheme="minorEastAsia"/>
          <w:sz w:val="24"/>
        </w:rPr>
        <w:t>自行承担</w:t>
      </w:r>
      <w:r>
        <w:rPr>
          <w:rFonts w:hint="default" w:ascii="Times New Roman" w:hAnsi="Times New Roman" w:cs="Times New Roman" w:eastAsiaTheme="minorEastAsia"/>
          <w:sz w:val="24"/>
        </w:rPr>
        <w:t>。</w:t>
      </w:r>
    </w:p>
    <w:p w14:paraId="15EADA0B">
      <w:pPr>
        <w:spacing w:line="360" w:lineRule="auto"/>
        <w:ind w:right="-21" w:firstLine="480" w:firstLineChars="200"/>
        <w:jc w:val="left"/>
        <w:rPr>
          <w:rFonts w:hint="eastAsia" w:eastAsiaTheme="minorEastAsia"/>
          <w:sz w:val="24"/>
          <w:lang w:eastAsia="zh-CN"/>
        </w:rPr>
      </w:pPr>
    </w:p>
    <w:p w14:paraId="0F5FFAAD">
      <w:pPr>
        <w:pStyle w:val="7"/>
        <w:spacing w:before="0" w:after="0" w:line="360" w:lineRule="auto"/>
        <w:jc w:val="center"/>
        <w:rPr>
          <w:rFonts w:ascii="Times New Roman" w:hAnsi="Times New Roman" w:eastAsiaTheme="minorEastAsia"/>
          <w:b/>
          <w:bCs/>
          <w:sz w:val="32"/>
          <w:szCs w:val="32"/>
        </w:rPr>
      </w:pPr>
      <w:bookmarkStart w:id="221" w:name="_Toc20601"/>
      <w:bookmarkStart w:id="222" w:name="_Toc29047"/>
      <w:bookmarkStart w:id="223" w:name="_Toc32687"/>
      <w:bookmarkStart w:id="224" w:name="_Toc15399"/>
      <w:bookmarkStart w:id="225" w:name="_Toc30232"/>
      <w:bookmarkStart w:id="226" w:name="_Toc31034"/>
      <w:bookmarkStart w:id="227" w:name="_Toc920"/>
      <w:bookmarkStart w:id="228" w:name="_Toc102"/>
      <w:bookmarkStart w:id="229" w:name="_Toc6356"/>
      <w:bookmarkStart w:id="230" w:name="_Toc24246"/>
      <w:bookmarkStart w:id="231" w:name="_Toc2301"/>
      <w:bookmarkStart w:id="232" w:name="_Toc22118"/>
      <w:bookmarkStart w:id="233" w:name="_Toc7362"/>
      <w:bookmarkStart w:id="234" w:name="_Toc461525302"/>
      <w:bookmarkStart w:id="235" w:name="_Toc17217"/>
      <w:bookmarkStart w:id="236" w:name="_Toc27095"/>
      <w:bookmarkStart w:id="237" w:name="_Toc6376"/>
      <w:bookmarkStart w:id="238" w:name="_Toc20356"/>
      <w:bookmarkStart w:id="239" w:name="_Toc1057"/>
      <w:bookmarkStart w:id="240" w:name="_Toc9356"/>
      <w:bookmarkStart w:id="241" w:name="_Toc31139"/>
      <w:bookmarkStart w:id="242" w:name="_Toc6338"/>
      <w:r>
        <w:rPr>
          <w:rFonts w:ascii="Times New Roman" w:hAnsi="Times New Roman" w:eastAsiaTheme="minorEastAsia"/>
          <w:b/>
          <w:bCs/>
          <w:sz w:val="32"/>
          <w:szCs w:val="32"/>
        </w:rPr>
        <w:t>六、评</w:t>
      </w:r>
      <w:bookmarkEnd w:id="221"/>
      <w:bookmarkEnd w:id="222"/>
      <w:bookmarkEnd w:id="223"/>
      <w:r>
        <w:rPr>
          <w:rFonts w:ascii="Times New Roman" w:hAnsi="Times New Roman" w:eastAsiaTheme="minorEastAsia"/>
          <w:b/>
          <w:bCs/>
          <w:sz w:val="32"/>
          <w:szCs w:val="32"/>
        </w:rPr>
        <w:t>比</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1EB98EF4">
      <w:pPr>
        <w:spacing w:line="360" w:lineRule="auto"/>
        <w:ind w:right="-21" w:firstLine="482" w:firstLineChars="200"/>
        <w:jc w:val="left"/>
        <w:outlineLvl w:val="9"/>
        <w:rPr>
          <w:rFonts w:eastAsiaTheme="minorEastAsia"/>
          <w:b/>
          <w:bCs/>
          <w:sz w:val="24"/>
        </w:rPr>
      </w:pPr>
      <w:r>
        <w:rPr>
          <w:rFonts w:eastAsiaTheme="minorEastAsia"/>
          <w:b/>
          <w:bCs/>
          <w:sz w:val="24"/>
        </w:rPr>
        <w:t>1</w:t>
      </w:r>
      <w:r>
        <w:rPr>
          <w:rFonts w:hint="eastAsia" w:eastAsiaTheme="minorEastAsia"/>
          <w:b/>
          <w:bCs/>
          <w:sz w:val="24"/>
          <w:lang w:eastAsia="zh-CN"/>
        </w:rPr>
        <w:t>8</w:t>
      </w:r>
      <w:r>
        <w:rPr>
          <w:rFonts w:eastAsiaTheme="minorEastAsia"/>
          <w:b/>
          <w:bCs/>
          <w:sz w:val="24"/>
        </w:rPr>
        <w:t>.评比办法</w:t>
      </w:r>
    </w:p>
    <w:p w14:paraId="3913170C">
      <w:pPr>
        <w:spacing w:line="360" w:lineRule="auto"/>
        <w:ind w:right="-21" w:firstLine="720" w:firstLineChars="300"/>
        <w:jc w:val="left"/>
        <w:outlineLvl w:val="9"/>
        <w:rPr>
          <w:rFonts w:eastAsiaTheme="minorEastAsia"/>
          <w:color w:val="0000FF"/>
          <w:sz w:val="24"/>
        </w:rPr>
      </w:pPr>
      <w:r>
        <w:rPr>
          <w:rFonts w:eastAsiaTheme="minorEastAsia"/>
          <w:sz w:val="24"/>
        </w:rPr>
        <w:t>1</w:t>
      </w:r>
      <w:r>
        <w:rPr>
          <w:rFonts w:hint="eastAsia" w:eastAsiaTheme="minorEastAsia"/>
          <w:sz w:val="24"/>
          <w:lang w:val="en-US" w:eastAsia="zh-CN"/>
        </w:rPr>
        <w:t>8</w:t>
      </w:r>
      <w:r>
        <w:rPr>
          <w:rFonts w:eastAsiaTheme="minorEastAsia"/>
          <w:sz w:val="24"/>
        </w:rPr>
        <w:t>.1详见第</w:t>
      </w:r>
      <w:r>
        <w:rPr>
          <w:rFonts w:hint="eastAsia" w:eastAsiaTheme="minorEastAsia"/>
          <w:sz w:val="24"/>
          <w:lang w:val="en-US" w:eastAsia="zh-CN"/>
        </w:rPr>
        <w:t>四</w:t>
      </w:r>
      <w:r>
        <w:rPr>
          <w:rFonts w:eastAsiaTheme="minorEastAsia"/>
          <w:sz w:val="24"/>
        </w:rPr>
        <w:t>章</w:t>
      </w:r>
    </w:p>
    <w:p w14:paraId="6B4FA8F1">
      <w:pPr>
        <w:pStyle w:val="7"/>
        <w:spacing w:before="0" w:after="0" w:line="360" w:lineRule="auto"/>
        <w:jc w:val="center"/>
        <w:rPr>
          <w:rFonts w:ascii="Times New Roman" w:hAnsi="Times New Roman" w:eastAsiaTheme="minorEastAsia"/>
          <w:b/>
          <w:bCs/>
          <w:sz w:val="32"/>
          <w:szCs w:val="32"/>
        </w:rPr>
      </w:pPr>
      <w:bookmarkStart w:id="243" w:name="_Toc6141"/>
      <w:bookmarkStart w:id="244" w:name="_Toc22007"/>
      <w:bookmarkStart w:id="245" w:name="_Toc10644"/>
      <w:bookmarkStart w:id="246" w:name="_Toc461525303"/>
      <w:bookmarkStart w:id="247" w:name="_Toc8363"/>
      <w:bookmarkStart w:id="248" w:name="_Toc2212"/>
      <w:bookmarkStart w:id="249" w:name="_Toc529"/>
      <w:bookmarkStart w:id="250" w:name="_Toc19549"/>
      <w:bookmarkStart w:id="251" w:name="_Toc12010"/>
      <w:bookmarkStart w:id="252" w:name="_Toc20403"/>
      <w:bookmarkStart w:id="253" w:name="_Toc17996"/>
      <w:bookmarkStart w:id="254" w:name="_Toc23072"/>
      <w:bookmarkStart w:id="255" w:name="_Toc24212"/>
      <w:bookmarkStart w:id="256" w:name="_Toc16746"/>
      <w:bookmarkStart w:id="257" w:name="_Toc5039"/>
      <w:bookmarkStart w:id="258" w:name="_Toc16935"/>
      <w:bookmarkStart w:id="259" w:name="_Toc340"/>
      <w:bookmarkStart w:id="260" w:name="_Toc30023"/>
      <w:bookmarkStart w:id="261" w:name="_Toc14798"/>
      <w:bookmarkStart w:id="262" w:name="_Toc9022"/>
      <w:bookmarkStart w:id="263" w:name="_Toc22546"/>
      <w:bookmarkStart w:id="264" w:name="_Toc24316"/>
      <w:r>
        <w:rPr>
          <w:rFonts w:ascii="Times New Roman" w:hAnsi="Times New Roman" w:eastAsiaTheme="minorEastAsia"/>
          <w:b/>
          <w:bCs/>
          <w:sz w:val="32"/>
          <w:szCs w:val="32"/>
        </w:rPr>
        <w:t>七、授予合同</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06A0B467">
      <w:pPr>
        <w:spacing w:line="360" w:lineRule="auto"/>
        <w:ind w:right="753" w:firstLine="482" w:firstLineChars="200"/>
        <w:jc w:val="left"/>
        <w:outlineLvl w:val="9"/>
        <w:rPr>
          <w:rFonts w:eastAsiaTheme="minorEastAsia"/>
          <w:b/>
          <w:bCs/>
          <w:sz w:val="24"/>
        </w:rPr>
      </w:pPr>
      <w:r>
        <w:rPr>
          <w:rFonts w:hint="eastAsia" w:eastAsiaTheme="minorEastAsia"/>
          <w:b/>
          <w:bCs/>
          <w:sz w:val="24"/>
          <w:lang w:val="en-US" w:eastAsia="zh-CN"/>
        </w:rPr>
        <w:t>19</w:t>
      </w:r>
      <w:r>
        <w:rPr>
          <w:rFonts w:eastAsiaTheme="minorEastAsia"/>
          <w:b/>
          <w:bCs/>
          <w:sz w:val="24"/>
        </w:rPr>
        <w:t>.中选通知书</w:t>
      </w:r>
    </w:p>
    <w:p w14:paraId="543528DE">
      <w:pPr>
        <w:spacing w:line="360" w:lineRule="auto"/>
        <w:ind w:right="753" w:firstLine="720" w:firstLineChars="300"/>
        <w:jc w:val="left"/>
        <w:outlineLvl w:val="9"/>
        <w:rPr>
          <w:rFonts w:eastAsiaTheme="minorEastAsia"/>
          <w:sz w:val="24"/>
        </w:rPr>
      </w:pPr>
      <w:r>
        <w:rPr>
          <w:rFonts w:hint="eastAsia" w:eastAsiaTheme="minorEastAsia"/>
          <w:sz w:val="24"/>
          <w:lang w:val="en-US" w:eastAsia="zh-CN"/>
        </w:rPr>
        <w:t>19</w:t>
      </w:r>
      <w:r>
        <w:rPr>
          <w:rFonts w:eastAsiaTheme="minorEastAsia"/>
          <w:sz w:val="24"/>
        </w:rPr>
        <w:t>.1比选人将向中选人发出中选通知书。</w:t>
      </w:r>
    </w:p>
    <w:p w14:paraId="007B3FFF">
      <w:pPr>
        <w:spacing w:line="360" w:lineRule="auto"/>
        <w:ind w:right="-21" w:firstLine="720" w:firstLineChars="300"/>
        <w:jc w:val="left"/>
        <w:rPr>
          <w:rFonts w:eastAsiaTheme="minorEastAsia"/>
          <w:sz w:val="24"/>
        </w:rPr>
      </w:pPr>
      <w:r>
        <w:rPr>
          <w:rFonts w:hint="eastAsia" w:eastAsiaTheme="minorEastAsia"/>
          <w:sz w:val="24"/>
          <w:lang w:val="en-US" w:eastAsia="zh-CN"/>
        </w:rPr>
        <w:t>19</w:t>
      </w:r>
      <w:r>
        <w:rPr>
          <w:rFonts w:eastAsiaTheme="minorEastAsia"/>
          <w:sz w:val="24"/>
        </w:rPr>
        <w:t>.2比选人无义务向落选的比选申请人解释落选原因和退还比选申请文件。</w:t>
      </w:r>
    </w:p>
    <w:p w14:paraId="4BA19ED2">
      <w:pPr>
        <w:spacing w:line="360" w:lineRule="auto"/>
        <w:ind w:right="753" w:firstLine="720" w:firstLineChars="300"/>
        <w:jc w:val="left"/>
        <w:outlineLvl w:val="9"/>
        <w:rPr>
          <w:rFonts w:eastAsiaTheme="minorEastAsia"/>
          <w:sz w:val="24"/>
        </w:rPr>
      </w:pPr>
      <w:r>
        <w:rPr>
          <w:rFonts w:hint="eastAsia" w:eastAsiaTheme="minorEastAsia"/>
          <w:sz w:val="24"/>
          <w:lang w:val="en-US" w:eastAsia="zh-CN"/>
        </w:rPr>
        <w:t>19</w:t>
      </w:r>
      <w:r>
        <w:rPr>
          <w:rFonts w:eastAsiaTheme="minorEastAsia"/>
          <w:sz w:val="24"/>
        </w:rPr>
        <w:t>.3中选通知书作为合同的组成部分。</w:t>
      </w:r>
    </w:p>
    <w:p w14:paraId="16001A8E">
      <w:pPr>
        <w:spacing w:line="360" w:lineRule="auto"/>
        <w:ind w:right="753" w:firstLine="482" w:firstLineChars="200"/>
        <w:jc w:val="left"/>
        <w:outlineLvl w:val="9"/>
        <w:rPr>
          <w:rFonts w:eastAsiaTheme="minorEastAsia"/>
          <w:b/>
          <w:bCs/>
          <w:sz w:val="24"/>
        </w:rPr>
      </w:pPr>
      <w:r>
        <w:rPr>
          <w:rFonts w:eastAsiaTheme="minorEastAsia"/>
          <w:b/>
          <w:bCs/>
          <w:sz w:val="24"/>
        </w:rPr>
        <w:t>2</w:t>
      </w:r>
      <w:r>
        <w:rPr>
          <w:rFonts w:hint="eastAsia" w:eastAsiaTheme="minorEastAsia"/>
          <w:b/>
          <w:bCs/>
          <w:sz w:val="24"/>
          <w:lang w:val="en-US" w:eastAsia="zh-CN"/>
        </w:rPr>
        <w:t>0</w:t>
      </w:r>
      <w:r>
        <w:rPr>
          <w:rFonts w:eastAsiaTheme="minorEastAsia"/>
          <w:b/>
          <w:bCs/>
          <w:sz w:val="24"/>
        </w:rPr>
        <w:t>.合同的签署</w:t>
      </w:r>
    </w:p>
    <w:p w14:paraId="35D62C92">
      <w:pPr>
        <w:spacing w:line="360" w:lineRule="auto"/>
        <w:ind w:right="753" w:firstLine="720" w:firstLineChars="300"/>
        <w:jc w:val="left"/>
        <w:rPr>
          <w:rFonts w:eastAsiaTheme="minorEastAsia"/>
          <w:sz w:val="24"/>
        </w:rPr>
      </w:pPr>
      <w:r>
        <w:rPr>
          <w:rFonts w:eastAsiaTheme="minorEastAsia"/>
          <w:sz w:val="24"/>
        </w:rPr>
        <w:t>2</w:t>
      </w:r>
      <w:r>
        <w:rPr>
          <w:rFonts w:hint="eastAsia" w:eastAsiaTheme="minorEastAsia"/>
          <w:sz w:val="24"/>
          <w:lang w:val="en-US" w:eastAsia="zh-CN"/>
        </w:rPr>
        <w:t>0</w:t>
      </w:r>
      <w:r>
        <w:rPr>
          <w:rFonts w:eastAsiaTheme="minorEastAsia"/>
          <w:sz w:val="24"/>
        </w:rPr>
        <w:t>.1中选人应按中选通知书中的相关要求，由中选人法定代表人或其授权代表前往比选人处与比选人进行签订合同。</w:t>
      </w:r>
    </w:p>
    <w:p w14:paraId="5F3B6F48">
      <w:pPr>
        <w:spacing w:line="360" w:lineRule="auto"/>
        <w:ind w:right="753" w:firstLine="720" w:firstLineChars="300"/>
        <w:jc w:val="left"/>
        <w:rPr>
          <w:rFonts w:eastAsiaTheme="minorEastAsia"/>
          <w:sz w:val="24"/>
        </w:rPr>
      </w:pPr>
      <w:r>
        <w:rPr>
          <w:rFonts w:eastAsiaTheme="minorEastAsia"/>
          <w:sz w:val="24"/>
        </w:rPr>
        <w:t>2</w:t>
      </w:r>
      <w:r>
        <w:rPr>
          <w:rFonts w:hint="eastAsia" w:eastAsiaTheme="minorEastAsia"/>
          <w:sz w:val="24"/>
          <w:lang w:val="en-US" w:eastAsia="zh-CN"/>
        </w:rPr>
        <w:t>0</w:t>
      </w:r>
      <w:r>
        <w:rPr>
          <w:rFonts w:eastAsiaTheme="minorEastAsia"/>
          <w:sz w:val="24"/>
        </w:rPr>
        <w:t>.2中选人如放弃中选资格，则比选人有权将其列入不良信用名单、</w:t>
      </w:r>
      <w:r>
        <w:rPr>
          <w:rFonts w:hint="eastAsia" w:eastAsiaTheme="minorEastAsia"/>
          <w:sz w:val="24"/>
          <w:u w:val="none"/>
          <w:lang w:val="en-US" w:eastAsia="zh-CN"/>
        </w:rPr>
        <w:t>三</w:t>
      </w:r>
      <w:r>
        <w:rPr>
          <w:rFonts w:eastAsiaTheme="minorEastAsia"/>
          <w:sz w:val="24"/>
        </w:rPr>
        <w:t>年内禁止其参加比选人发起的任何</w:t>
      </w:r>
      <w:r>
        <w:rPr>
          <w:rFonts w:hint="eastAsia" w:eastAsiaTheme="minorEastAsia"/>
          <w:sz w:val="24"/>
          <w:lang w:val="en-US" w:eastAsia="zh-CN"/>
        </w:rPr>
        <w:t>采购</w:t>
      </w:r>
      <w:r>
        <w:rPr>
          <w:rFonts w:eastAsiaTheme="minorEastAsia"/>
          <w:sz w:val="24"/>
        </w:rPr>
        <w:t>活动。</w:t>
      </w:r>
    </w:p>
    <w:p w14:paraId="76EA25CD">
      <w:pPr>
        <w:spacing w:line="360" w:lineRule="auto"/>
        <w:ind w:right="753" w:firstLine="720" w:firstLineChars="300"/>
        <w:jc w:val="left"/>
        <w:rPr>
          <w:rFonts w:eastAsiaTheme="minorEastAsia"/>
          <w:sz w:val="24"/>
        </w:rPr>
      </w:pPr>
      <w:r>
        <w:rPr>
          <w:rFonts w:eastAsiaTheme="minorEastAsia"/>
          <w:sz w:val="24"/>
        </w:rPr>
        <w:t>2</w:t>
      </w:r>
      <w:r>
        <w:rPr>
          <w:rFonts w:hint="eastAsia" w:eastAsiaTheme="minorEastAsia"/>
          <w:sz w:val="24"/>
          <w:lang w:val="en-US" w:eastAsia="zh-CN"/>
        </w:rPr>
        <w:t>0</w:t>
      </w:r>
      <w:r>
        <w:rPr>
          <w:rFonts w:eastAsiaTheme="minorEastAsia"/>
          <w:sz w:val="24"/>
        </w:rPr>
        <w:t>.3中选人被废除中选资格后，比选人有权将标的授予后续中选候选人。</w:t>
      </w:r>
    </w:p>
    <w:p w14:paraId="0B94D806">
      <w:pPr>
        <w:spacing w:line="360" w:lineRule="auto"/>
        <w:ind w:right="753" w:firstLine="480" w:firstLineChars="200"/>
        <w:jc w:val="left"/>
        <w:rPr>
          <w:rFonts w:eastAsiaTheme="minorEastAsia"/>
          <w:sz w:val="24"/>
        </w:rPr>
      </w:pPr>
    </w:p>
    <w:p w14:paraId="0E94CE3E">
      <w:pPr>
        <w:pStyle w:val="5"/>
        <w:spacing w:before="0" w:after="0" w:line="360" w:lineRule="auto"/>
        <w:rPr>
          <w:rFonts w:eastAsiaTheme="minorEastAsia"/>
          <w:color w:val="auto"/>
          <w:szCs w:val="28"/>
        </w:rPr>
      </w:pPr>
      <w:r>
        <w:rPr>
          <w:rFonts w:eastAsiaTheme="minorEastAsia"/>
          <w:sz w:val="21"/>
          <w:szCs w:val="21"/>
        </w:rPr>
        <w:br w:type="page"/>
      </w:r>
      <w:bookmarkStart w:id="265" w:name="_Toc29206"/>
      <w:bookmarkStart w:id="266" w:name="_Toc2960"/>
      <w:bookmarkStart w:id="267" w:name="_Toc11491"/>
      <w:bookmarkStart w:id="268" w:name="_Toc5964"/>
      <w:bookmarkStart w:id="269" w:name="_Toc27896"/>
      <w:bookmarkStart w:id="270" w:name="_Toc16062"/>
      <w:bookmarkStart w:id="271" w:name="_Toc27530"/>
      <w:bookmarkStart w:id="272" w:name="_Toc1354"/>
      <w:bookmarkStart w:id="273" w:name="_Toc4590"/>
      <w:bookmarkStart w:id="274" w:name="_Toc461525304"/>
      <w:bookmarkStart w:id="275" w:name="_Toc4769"/>
      <w:bookmarkStart w:id="276" w:name="_Toc10784"/>
      <w:bookmarkStart w:id="277" w:name="_Toc12854"/>
      <w:bookmarkStart w:id="278" w:name="_Toc19714"/>
      <w:bookmarkStart w:id="279" w:name="_Toc21670"/>
      <w:bookmarkStart w:id="280" w:name="_Toc286"/>
      <w:bookmarkStart w:id="281" w:name="_Toc29367"/>
      <w:bookmarkStart w:id="282" w:name="_Toc21358"/>
      <w:bookmarkStart w:id="283" w:name="_Toc31070"/>
      <w:bookmarkStart w:id="284" w:name="_Toc7234"/>
      <w:bookmarkStart w:id="285" w:name="_Toc333307121"/>
      <w:r>
        <w:rPr>
          <w:rFonts w:eastAsiaTheme="minorEastAsia"/>
          <w:color w:val="auto"/>
          <w:sz w:val="44"/>
          <w:szCs w:val="44"/>
        </w:rPr>
        <w:t>第</w:t>
      </w:r>
      <w:r>
        <w:rPr>
          <w:rFonts w:hint="eastAsia" w:eastAsiaTheme="minorEastAsia"/>
          <w:color w:val="auto"/>
          <w:sz w:val="44"/>
          <w:szCs w:val="44"/>
          <w:lang w:eastAsia="zh-CN"/>
        </w:rPr>
        <w:t>二</w:t>
      </w:r>
      <w:r>
        <w:rPr>
          <w:rFonts w:eastAsiaTheme="minorEastAsia"/>
          <w:color w:val="auto"/>
          <w:sz w:val="44"/>
          <w:szCs w:val="44"/>
        </w:rPr>
        <w:t>章</w:t>
      </w:r>
      <w:r>
        <w:rPr>
          <w:rFonts w:hint="default" w:eastAsiaTheme="minorEastAsia"/>
          <w:color w:val="auto"/>
          <w:sz w:val="44"/>
          <w:szCs w:val="44"/>
          <w:lang w:val="en-US" w:eastAsia="zh-CN"/>
        </w:rPr>
        <w:t xml:space="preserve"> </w:t>
      </w:r>
      <w:r>
        <w:rPr>
          <w:rFonts w:eastAsiaTheme="minorEastAsia"/>
          <w:color w:val="auto"/>
          <w:sz w:val="44"/>
          <w:szCs w:val="44"/>
        </w:rPr>
        <w:t>合同条款</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73CB03B0">
      <w:pPr>
        <w:rPr>
          <w:rFonts w:eastAsiaTheme="minorEastAsia"/>
          <w:color w:val="auto"/>
          <w:szCs w:val="28"/>
        </w:rPr>
      </w:pPr>
    </w:p>
    <w:p w14:paraId="322C4A84">
      <w:pPr>
        <w:jc w:val="center"/>
        <w:rPr>
          <w:rFonts w:hint="default" w:ascii="Times New Roman" w:hAnsi="Times New Roman" w:eastAsia="宋体" w:cs="Times New Roman"/>
          <w:sz w:val="28"/>
          <w:szCs w:val="40"/>
          <w:highlight w:val="none"/>
          <w:lang w:val="en-US" w:eastAsia="zh-CN"/>
        </w:rPr>
      </w:pPr>
      <w:bookmarkStart w:id="286" w:name="_Toc18010"/>
      <w:r>
        <w:rPr>
          <w:rFonts w:hint="default" w:ascii="Times New Roman" w:hAnsi="Times New Roman" w:eastAsia="宋体" w:cs="Times New Roman"/>
          <w:sz w:val="28"/>
          <w:szCs w:val="28"/>
          <w:highlight w:val="none"/>
          <w:lang w:val="en-US" w:eastAsia="zh-CN"/>
        </w:rPr>
        <w:t>合同编号：</w:t>
      </w:r>
    </w:p>
    <w:p w14:paraId="06BB414B">
      <w:pPr>
        <w:spacing w:line="320" w:lineRule="exact"/>
        <w:jc w:val="center"/>
        <w:outlineLvl w:val="9"/>
        <w:rPr>
          <w:rFonts w:hint="eastAsia" w:ascii="宋体" w:hAnsi="宋体" w:eastAsia="宋体" w:cs="宋体"/>
          <w:b/>
          <w:bCs/>
          <w:color w:val="auto"/>
          <w:sz w:val="30"/>
          <w:szCs w:val="30"/>
        </w:rPr>
      </w:pPr>
      <w:r>
        <w:rPr>
          <w:rFonts w:hint="eastAsia" w:ascii="宋体" w:hAnsi="宋体" w:eastAsia="宋体" w:cs="宋体"/>
          <w:b/>
          <w:bCs/>
          <w:color w:val="auto"/>
          <w:sz w:val="30"/>
          <w:szCs w:val="30"/>
        </w:rPr>
        <w:t>南宁</w:t>
      </w:r>
      <w:r>
        <w:rPr>
          <w:rFonts w:hint="eastAsia" w:ascii="宋体" w:hAnsi="宋体" w:eastAsia="宋体" w:cs="宋体"/>
          <w:b/>
          <w:bCs/>
          <w:color w:val="auto"/>
          <w:sz w:val="30"/>
          <w:szCs w:val="30"/>
          <w:lang w:eastAsia="zh-CN"/>
        </w:rPr>
        <w:t>铁路枢纽投资</w:t>
      </w:r>
      <w:r>
        <w:rPr>
          <w:rFonts w:hint="eastAsia" w:ascii="宋体" w:hAnsi="宋体" w:eastAsia="宋体" w:cs="宋体"/>
          <w:b/>
          <w:bCs/>
          <w:color w:val="auto"/>
          <w:sz w:val="30"/>
          <w:szCs w:val="30"/>
        </w:rPr>
        <w:t>有限公司</w:t>
      </w:r>
    </w:p>
    <w:p w14:paraId="393E2F81">
      <w:pPr>
        <w:jc w:val="center"/>
        <w:rPr>
          <w:rFonts w:hint="default" w:ascii="Times New Roman" w:hAnsi="Times New Roman" w:eastAsia="宋体" w:cs="Times New Roman"/>
          <w:sz w:val="72"/>
          <w:szCs w:val="72"/>
          <w:highlight w:val="none"/>
          <w:lang w:val="en-US" w:eastAsia="zh-CN"/>
        </w:rPr>
      </w:pPr>
      <w:r>
        <w:rPr>
          <w:rFonts w:hint="eastAsia" w:ascii="宋体" w:hAnsi="宋体" w:cs="宋体"/>
          <w:b/>
          <w:bCs/>
          <w:color w:val="auto"/>
          <w:sz w:val="30"/>
          <w:szCs w:val="30"/>
          <w:u w:val="single"/>
          <w:lang w:val="en-US" w:eastAsia="zh-CN"/>
        </w:rPr>
        <w:t>2025</w:t>
      </w:r>
      <w:r>
        <w:rPr>
          <w:rFonts w:hint="eastAsia" w:ascii="宋体" w:hAnsi="宋体" w:eastAsia="宋体" w:cs="宋体"/>
          <w:b/>
          <w:bCs/>
          <w:color w:val="auto"/>
          <w:sz w:val="30"/>
          <w:szCs w:val="30"/>
        </w:rPr>
        <w:t>年度法律顾问服务</w:t>
      </w:r>
      <w:r>
        <w:rPr>
          <w:rFonts w:hint="eastAsia" w:ascii="宋体" w:hAnsi="宋体" w:eastAsia="宋体" w:cs="宋体"/>
          <w:b/>
          <w:bCs/>
          <w:color w:val="auto"/>
          <w:sz w:val="30"/>
          <w:szCs w:val="30"/>
          <w:lang w:val="en-US" w:eastAsia="zh-CN"/>
        </w:rPr>
        <w:t>合同</w:t>
      </w:r>
    </w:p>
    <w:p w14:paraId="04F37F69">
      <w:pPr>
        <w:jc w:val="both"/>
        <w:rPr>
          <w:rFonts w:hint="default" w:ascii="Times New Roman" w:hAnsi="Times New Roman" w:eastAsia="宋体" w:cs="Times New Roman"/>
          <w:sz w:val="72"/>
          <w:szCs w:val="72"/>
          <w:highlight w:val="none"/>
          <w:lang w:val="en-US" w:eastAsia="zh-CN"/>
        </w:rPr>
      </w:pPr>
    </w:p>
    <w:p w14:paraId="1D245546">
      <w:pPr>
        <w:jc w:val="both"/>
        <w:rPr>
          <w:rFonts w:hint="default" w:ascii="Times New Roman" w:hAnsi="Times New Roman" w:eastAsia="宋体" w:cs="Times New Roman"/>
          <w:sz w:val="72"/>
          <w:szCs w:val="72"/>
          <w:highlight w:val="none"/>
          <w:lang w:val="en-US" w:eastAsia="zh-CN"/>
        </w:rPr>
      </w:pPr>
    </w:p>
    <w:p w14:paraId="27A35C86">
      <w:pPr>
        <w:jc w:val="both"/>
        <w:rPr>
          <w:rFonts w:hint="default" w:ascii="Times New Roman" w:hAnsi="Times New Roman" w:eastAsia="宋体" w:cs="Times New Roman"/>
          <w:sz w:val="72"/>
          <w:szCs w:val="72"/>
          <w:highlight w:val="none"/>
          <w:lang w:val="en-US" w:eastAsia="zh-CN"/>
        </w:rPr>
      </w:pPr>
    </w:p>
    <w:p w14:paraId="66E48D69">
      <w:pPr>
        <w:jc w:val="both"/>
        <w:rPr>
          <w:rFonts w:hint="default" w:ascii="Times New Roman" w:hAnsi="Times New Roman" w:eastAsia="宋体" w:cs="Times New Roman"/>
          <w:sz w:val="72"/>
          <w:szCs w:val="72"/>
          <w:highlight w:val="none"/>
          <w:lang w:val="en-US" w:eastAsia="zh-CN"/>
        </w:rPr>
      </w:pPr>
    </w:p>
    <w:p w14:paraId="1A25B026">
      <w:pPr>
        <w:jc w:val="both"/>
        <w:rPr>
          <w:rFonts w:hint="default" w:ascii="Times New Roman" w:hAnsi="Times New Roman" w:eastAsia="宋体" w:cs="Times New Roman"/>
          <w:sz w:val="72"/>
          <w:szCs w:val="72"/>
          <w:highlight w:val="none"/>
          <w:lang w:val="en-US" w:eastAsia="zh-CN"/>
        </w:rPr>
      </w:pPr>
    </w:p>
    <w:p w14:paraId="37DB6CC9">
      <w:pPr>
        <w:jc w:val="both"/>
        <w:rPr>
          <w:rFonts w:hint="default" w:ascii="Times New Roman" w:hAnsi="Times New Roman" w:eastAsia="宋体" w:cs="Times New Roman"/>
          <w:sz w:val="72"/>
          <w:szCs w:val="72"/>
          <w:highlight w:val="none"/>
          <w:lang w:val="en-US" w:eastAsia="zh-CN"/>
        </w:rPr>
      </w:pPr>
    </w:p>
    <w:p w14:paraId="06131BBC">
      <w:pPr>
        <w:jc w:val="center"/>
        <w:rPr>
          <w:rFonts w:hint="default" w:ascii="Times New Roman" w:hAnsi="Times New Roman" w:eastAsia="宋体" w:cs="Times New Roman"/>
          <w:sz w:val="72"/>
          <w:szCs w:val="72"/>
          <w:highlight w:val="none"/>
          <w:lang w:val="en-US" w:eastAsia="zh-CN"/>
        </w:rPr>
      </w:pPr>
    </w:p>
    <w:p w14:paraId="2B31592F">
      <w:pPr>
        <w:jc w:val="center"/>
        <w:rPr>
          <w:rFonts w:hint="default" w:ascii="Times New Roman" w:hAnsi="Times New Roman" w:eastAsia="宋体" w:cs="Times New Roman"/>
          <w:sz w:val="72"/>
          <w:szCs w:val="72"/>
          <w:highlight w:val="none"/>
          <w:lang w:val="en-US" w:eastAsia="zh-CN"/>
        </w:rPr>
      </w:pPr>
    </w:p>
    <w:p w14:paraId="5750722B">
      <w:pPr>
        <w:jc w:val="left"/>
        <w:rPr>
          <w:rFonts w:hint="default" w:ascii="Times New Roman" w:hAnsi="Times New Roman" w:eastAsia="宋体" w:cs="Times New Roman"/>
          <w:sz w:val="28"/>
          <w:szCs w:val="28"/>
          <w:highlight w:val="none"/>
          <w:lang w:val="en-US" w:eastAsia="zh-CN"/>
        </w:rPr>
      </w:pPr>
    </w:p>
    <w:p w14:paraId="13BD0E7D">
      <w:pPr>
        <w:spacing w:line="600" w:lineRule="auto"/>
        <w:ind w:left="0" w:leftChars="0" w:firstLine="840" w:firstLineChars="300"/>
        <w:jc w:val="both"/>
        <w:rPr>
          <w:rFonts w:hint="default" w:ascii="Times New Roman" w:hAnsi="Times New Roman" w:eastAsia="宋体" w:cs="Times New Roman"/>
          <w:sz w:val="28"/>
          <w:szCs w:val="28"/>
          <w:highlight w:val="none"/>
          <w:u w:val="single"/>
          <w:lang w:val="en-US"/>
        </w:rPr>
      </w:pPr>
      <w:r>
        <w:rPr>
          <w:rFonts w:hint="default" w:ascii="Times New Roman" w:hAnsi="Times New Roman" w:eastAsia="宋体" w:cs="Times New Roman"/>
          <w:color w:val="auto"/>
          <w:sz w:val="28"/>
          <w:szCs w:val="28"/>
          <w:highlight w:val="none"/>
          <w:lang w:val="en-US" w:eastAsia="zh-CN"/>
        </w:rPr>
        <w:t>聘请方</w:t>
      </w:r>
      <w:r>
        <w:rPr>
          <w:rFonts w:hint="default" w:ascii="Times New Roman" w:hAnsi="Times New Roman" w:cs="Times New Roman"/>
          <w:color w:val="auto"/>
          <w:sz w:val="28"/>
          <w:szCs w:val="28"/>
        </w:rPr>
        <w:t>（甲方）</w:t>
      </w:r>
      <w:r>
        <w:rPr>
          <w:rFonts w:hint="default" w:ascii="Times New Roman" w:hAnsi="Times New Roman" w:eastAsia="宋体" w:cs="Times New Roman"/>
          <w:sz w:val="28"/>
          <w:szCs w:val="28"/>
          <w:highlight w:val="none"/>
          <w:lang w:val="en-US" w:eastAsia="zh-CN"/>
        </w:rPr>
        <w:t>：</w:t>
      </w:r>
      <w:r>
        <w:rPr>
          <w:rFonts w:hint="default" w:ascii="Times New Roman" w:hAnsi="Times New Roman" w:cs="Times New Roman"/>
          <w:color w:val="auto"/>
          <w:sz w:val="24"/>
        </w:rPr>
        <w:t>南宁</w:t>
      </w:r>
      <w:r>
        <w:rPr>
          <w:rFonts w:hint="default" w:ascii="Times New Roman" w:hAnsi="Times New Roman" w:cs="Times New Roman"/>
          <w:color w:val="auto"/>
          <w:sz w:val="24"/>
          <w:lang w:eastAsia="zh-CN"/>
        </w:rPr>
        <w:t>铁路枢纽投资</w:t>
      </w:r>
      <w:r>
        <w:rPr>
          <w:rFonts w:hint="default" w:ascii="Times New Roman" w:hAnsi="Times New Roman" w:cs="Times New Roman"/>
          <w:color w:val="auto"/>
          <w:sz w:val="24"/>
        </w:rPr>
        <w:t>有限公司</w:t>
      </w:r>
    </w:p>
    <w:p w14:paraId="6AC2E369">
      <w:pPr>
        <w:spacing w:line="600" w:lineRule="auto"/>
        <w:ind w:left="0" w:leftChars="0" w:firstLine="840" w:firstLineChars="300"/>
        <w:jc w:val="both"/>
        <w:rPr>
          <w:rFonts w:hint="default" w:ascii="Times New Roman" w:hAnsi="Times New Roman" w:eastAsia="宋体" w:cs="Times New Roman"/>
          <w:b w:val="0"/>
          <w:bCs w:val="0"/>
          <w:sz w:val="28"/>
          <w:szCs w:val="28"/>
          <w:highlight w:val="none"/>
          <w:lang w:val="en-US" w:eastAsia="zh-CN"/>
        </w:rPr>
        <w:sectPr>
          <w:footerReference r:id="rId5" w:type="default"/>
          <w:pgSz w:w="11906" w:h="16838"/>
          <w:pgMar w:top="1417" w:right="1417" w:bottom="1417" w:left="1417" w:header="851" w:footer="992" w:gutter="0"/>
          <w:pgNumType w:fmt="decimal" w:start="1"/>
          <w:cols w:space="425" w:num="1"/>
          <w:docGrid w:type="lines" w:linePitch="312" w:charSpace="0"/>
        </w:sectPr>
      </w:pPr>
      <w:r>
        <w:rPr>
          <w:rFonts w:hint="default" w:ascii="Times New Roman" w:hAnsi="Times New Roman" w:eastAsia="宋体" w:cs="Times New Roman"/>
          <w:sz w:val="28"/>
          <w:szCs w:val="28"/>
          <w:highlight w:val="none"/>
          <w:lang w:val="en-US" w:eastAsia="zh-CN"/>
        </w:rPr>
        <w:t>受聘方（乙方）：</w:t>
      </w:r>
      <w:r>
        <w:rPr>
          <w:rFonts w:hint="eastAsia" w:cs="Times New Roman"/>
          <w:sz w:val="28"/>
          <w:szCs w:val="28"/>
          <w:highlight w:val="none"/>
          <w:u w:val="single"/>
          <w:lang w:val="en-US" w:eastAsia="zh-CN"/>
        </w:rPr>
        <w:t xml:space="preserve">                     </w:t>
      </w:r>
    </w:p>
    <w:bookmarkEnd w:id="286"/>
    <w:p w14:paraId="08DF8339">
      <w:pPr>
        <w:spacing w:line="320" w:lineRule="exact"/>
        <w:jc w:val="center"/>
        <w:rPr>
          <w:rFonts w:hint="eastAsia" w:ascii="宋体" w:hAnsi="宋体" w:eastAsia="宋体" w:cs="宋体"/>
          <w:b/>
          <w:bCs/>
          <w:color w:val="auto"/>
          <w:sz w:val="30"/>
          <w:szCs w:val="30"/>
        </w:rPr>
      </w:pPr>
      <w:bookmarkStart w:id="287" w:name="_Toc25630"/>
      <w:bookmarkStart w:id="288" w:name="_Toc17638"/>
      <w:bookmarkStart w:id="289" w:name="_Toc5447"/>
      <w:bookmarkStart w:id="290" w:name="_Toc8506"/>
      <w:bookmarkStart w:id="291" w:name="_Toc14202"/>
      <w:bookmarkStart w:id="292" w:name="_Toc23241"/>
      <w:bookmarkStart w:id="293" w:name="_Toc15657"/>
      <w:bookmarkStart w:id="294" w:name="_Toc683"/>
      <w:bookmarkStart w:id="295" w:name="OLE_LINK1"/>
      <w:r>
        <w:rPr>
          <w:rFonts w:hint="eastAsia" w:ascii="宋体" w:hAnsi="宋体" w:eastAsia="宋体" w:cs="宋体"/>
          <w:b/>
          <w:bCs/>
          <w:color w:val="auto"/>
          <w:sz w:val="30"/>
          <w:szCs w:val="30"/>
        </w:rPr>
        <w:t>南宁</w:t>
      </w:r>
      <w:r>
        <w:rPr>
          <w:rFonts w:hint="eastAsia" w:ascii="宋体" w:hAnsi="宋体" w:eastAsia="宋体" w:cs="宋体"/>
          <w:b/>
          <w:bCs/>
          <w:color w:val="auto"/>
          <w:sz w:val="30"/>
          <w:szCs w:val="30"/>
          <w:lang w:eastAsia="zh-CN"/>
        </w:rPr>
        <w:t>铁路枢纽投资</w:t>
      </w:r>
      <w:r>
        <w:rPr>
          <w:rFonts w:hint="eastAsia" w:ascii="宋体" w:hAnsi="宋体" w:eastAsia="宋体" w:cs="宋体"/>
          <w:b/>
          <w:bCs/>
          <w:color w:val="auto"/>
          <w:sz w:val="30"/>
          <w:szCs w:val="30"/>
        </w:rPr>
        <w:t>有限公司</w:t>
      </w:r>
    </w:p>
    <w:p w14:paraId="61D0E57E">
      <w:pPr>
        <w:spacing w:line="320" w:lineRule="exact"/>
        <w:ind w:firstLine="2409" w:firstLineChars="800"/>
        <w:jc w:val="both"/>
        <w:rPr>
          <w:rFonts w:hint="eastAsia" w:ascii="宋体" w:hAnsi="宋体" w:eastAsia="宋体" w:cs="宋体"/>
          <w:b/>
          <w:bCs/>
          <w:color w:val="auto"/>
          <w:sz w:val="30"/>
          <w:szCs w:val="30"/>
        </w:rPr>
      </w:pPr>
      <w:r>
        <w:rPr>
          <w:rFonts w:hint="eastAsia" w:ascii="宋体" w:hAnsi="宋体" w:eastAsia="宋体" w:cs="宋体"/>
          <w:b/>
          <w:bCs/>
          <w:color w:val="auto"/>
          <w:sz w:val="30"/>
          <w:szCs w:val="30"/>
          <w:lang w:val="en-US" w:eastAsia="zh-CN"/>
        </w:rPr>
        <w:t>202</w:t>
      </w:r>
      <w:r>
        <w:rPr>
          <w:rFonts w:hint="eastAsia" w:ascii="宋体" w:hAnsi="宋体" w:cs="宋体"/>
          <w:b/>
          <w:bCs/>
          <w:color w:val="auto"/>
          <w:sz w:val="30"/>
          <w:szCs w:val="30"/>
          <w:lang w:val="en-US" w:eastAsia="zh-CN"/>
        </w:rPr>
        <w:t>5</w:t>
      </w:r>
      <w:r>
        <w:rPr>
          <w:rFonts w:hint="eastAsia" w:ascii="宋体" w:hAnsi="宋体" w:eastAsia="宋体" w:cs="宋体"/>
          <w:b/>
          <w:bCs/>
          <w:color w:val="auto"/>
          <w:sz w:val="30"/>
          <w:szCs w:val="30"/>
          <w:lang w:val="en-US" w:eastAsia="zh-CN"/>
        </w:rPr>
        <w:t>年度</w:t>
      </w:r>
      <w:r>
        <w:rPr>
          <w:rFonts w:hint="eastAsia" w:ascii="宋体" w:hAnsi="宋体" w:eastAsia="宋体" w:cs="宋体"/>
          <w:b/>
          <w:bCs/>
          <w:color w:val="auto"/>
          <w:sz w:val="30"/>
          <w:szCs w:val="30"/>
        </w:rPr>
        <w:t>法律顾问服务合同</w:t>
      </w:r>
    </w:p>
    <w:bookmarkEnd w:id="287"/>
    <w:bookmarkEnd w:id="288"/>
    <w:bookmarkEnd w:id="289"/>
    <w:bookmarkEnd w:id="290"/>
    <w:bookmarkEnd w:id="291"/>
    <w:bookmarkEnd w:id="292"/>
    <w:bookmarkEnd w:id="293"/>
    <w:bookmarkEnd w:id="294"/>
    <w:p w14:paraId="4C818634"/>
    <w:p w14:paraId="748B3947">
      <w:pPr>
        <w:spacing w:line="320" w:lineRule="exact"/>
        <w:jc w:val="both"/>
        <w:rPr>
          <w:rFonts w:hint="default" w:ascii="Times New Roman" w:hAnsi="Times New Roman" w:cs="Times New Roman"/>
          <w:color w:val="auto"/>
          <w:sz w:val="24"/>
        </w:rPr>
      </w:pPr>
      <w:r>
        <w:rPr>
          <w:rFonts w:hint="default" w:ascii="Times New Roman" w:hAnsi="Times New Roman" w:cs="Times New Roman"/>
          <w:color w:val="auto"/>
          <w:sz w:val="24"/>
        </w:rPr>
        <w:t>聘请方（甲方）：南宁</w:t>
      </w:r>
      <w:r>
        <w:rPr>
          <w:rFonts w:hint="default" w:ascii="Times New Roman" w:hAnsi="Times New Roman" w:cs="Times New Roman"/>
          <w:color w:val="auto"/>
          <w:sz w:val="24"/>
          <w:lang w:eastAsia="zh-CN"/>
        </w:rPr>
        <w:t>铁路枢纽投资</w:t>
      </w:r>
      <w:r>
        <w:rPr>
          <w:rFonts w:hint="default" w:ascii="Times New Roman" w:hAnsi="Times New Roman" w:cs="Times New Roman"/>
          <w:color w:val="auto"/>
          <w:sz w:val="24"/>
        </w:rPr>
        <w:t>有限公司</w:t>
      </w:r>
    </w:p>
    <w:p w14:paraId="619829D1">
      <w:pPr>
        <w:tabs>
          <w:tab w:val="left" w:pos="720"/>
        </w:tabs>
        <w:contextualSpacing/>
        <w:jc w:val="left"/>
        <w:rPr>
          <w:rFonts w:hint="default" w:ascii="Times New Roman" w:hAnsi="Times New Roman" w:cs="Times New Roman"/>
          <w:color w:val="0B5FD1"/>
          <w:sz w:val="24"/>
        </w:rPr>
      </w:pPr>
      <w:r>
        <w:rPr>
          <w:rFonts w:hint="default" w:ascii="Times New Roman" w:hAnsi="Times New Roman" w:cs="Times New Roman"/>
          <w:color w:val="auto"/>
          <w:sz w:val="24"/>
        </w:rPr>
        <w:t>地址：南宁市云景路69号</w:t>
      </w:r>
      <w:r>
        <w:rPr>
          <w:rFonts w:eastAsiaTheme="minorEastAsia"/>
          <w:sz w:val="24"/>
        </w:rPr>
        <w:t>轨道大厦</w:t>
      </w:r>
      <w:r>
        <w:rPr>
          <w:rFonts w:hint="eastAsia" w:eastAsiaTheme="minorEastAsia"/>
          <w:sz w:val="24"/>
          <w:lang w:val="en-US" w:eastAsia="zh-CN"/>
        </w:rPr>
        <w:t>B座5楼</w:t>
      </w:r>
      <w:r>
        <w:rPr>
          <w:rFonts w:hint="default" w:ascii="Times New Roman" w:hAnsi="Times New Roman" w:cs="Times New Roman"/>
          <w:color w:val="auto"/>
          <w:sz w:val="24"/>
        </w:rPr>
        <w:t xml:space="preserve">   </w:t>
      </w:r>
    </w:p>
    <w:p w14:paraId="523A6993">
      <w:pPr>
        <w:tabs>
          <w:tab w:val="left" w:pos="1080"/>
        </w:tabs>
        <w:contextualSpacing/>
        <w:jc w:val="left"/>
        <w:rPr>
          <w:rFonts w:hint="default" w:ascii="Times New Roman" w:hAnsi="Times New Roman" w:cs="Times New Roman"/>
          <w:color w:val="auto"/>
          <w:sz w:val="24"/>
        </w:rPr>
      </w:pPr>
      <w:r>
        <w:rPr>
          <w:rFonts w:hint="default" w:ascii="Times New Roman" w:hAnsi="Times New Roman" w:cs="Times New Roman"/>
          <w:color w:val="auto"/>
          <w:sz w:val="24"/>
        </w:rPr>
        <w:t xml:space="preserve">法定代表人：     </w:t>
      </w:r>
    </w:p>
    <w:p w14:paraId="0286ACA9">
      <w:pPr>
        <w:tabs>
          <w:tab w:val="left" w:pos="1080"/>
        </w:tabs>
        <w:contextualSpacing/>
        <w:jc w:val="left"/>
        <w:rPr>
          <w:rFonts w:hint="default" w:ascii="Times New Roman" w:hAnsi="Times New Roman" w:cs="Times New Roman"/>
          <w:color w:val="auto"/>
          <w:sz w:val="24"/>
        </w:rPr>
      </w:pPr>
      <w:r>
        <w:rPr>
          <w:rFonts w:hint="default" w:ascii="Times New Roman" w:hAnsi="Times New Roman" w:cs="Times New Roman"/>
          <w:color w:val="auto"/>
          <w:sz w:val="24"/>
        </w:rPr>
        <w:t xml:space="preserve">工作联系人：                  </w:t>
      </w:r>
    </w:p>
    <w:p w14:paraId="40AB36DE">
      <w:pPr>
        <w:tabs>
          <w:tab w:val="left" w:pos="1029"/>
        </w:tabs>
        <w:contextualSpacing/>
        <w:jc w:val="left"/>
        <w:rPr>
          <w:rFonts w:hint="default" w:ascii="Times New Roman" w:hAnsi="Times New Roman" w:cs="Times New Roman"/>
          <w:color w:val="auto"/>
          <w:sz w:val="24"/>
        </w:rPr>
      </w:pPr>
      <w:r>
        <w:rPr>
          <w:rFonts w:hint="default" w:ascii="Times New Roman" w:hAnsi="Times New Roman" w:cs="Times New Roman"/>
          <w:color w:val="auto"/>
          <w:sz w:val="24"/>
        </w:rPr>
        <w:t xml:space="preserve">电话： </w:t>
      </w:r>
    </w:p>
    <w:p w14:paraId="7D917154">
      <w:pPr>
        <w:tabs>
          <w:tab w:val="left" w:pos="1029"/>
        </w:tabs>
        <w:contextualSpacing/>
        <w:jc w:val="left"/>
        <w:rPr>
          <w:rFonts w:hint="default" w:ascii="Times New Roman" w:hAnsi="Times New Roman" w:cs="Times New Roman"/>
          <w:color w:val="auto"/>
          <w:sz w:val="24"/>
        </w:rPr>
      </w:pPr>
      <w:r>
        <w:rPr>
          <w:rFonts w:hint="default" w:ascii="Times New Roman" w:hAnsi="Times New Roman" w:cs="Times New Roman"/>
          <w:color w:val="auto"/>
          <w:sz w:val="24"/>
        </w:rPr>
        <w:t xml:space="preserve">传真： </w:t>
      </w:r>
    </w:p>
    <w:p w14:paraId="55253AC8">
      <w:pPr>
        <w:tabs>
          <w:tab w:val="left" w:pos="1029"/>
        </w:tabs>
        <w:contextualSpacing/>
        <w:jc w:val="left"/>
        <w:rPr>
          <w:rFonts w:hint="default" w:ascii="Times New Roman" w:hAnsi="Times New Roman" w:cs="Times New Roman"/>
          <w:color w:val="auto"/>
          <w:sz w:val="24"/>
        </w:rPr>
      </w:pPr>
      <w:r>
        <w:rPr>
          <w:rFonts w:hint="default" w:ascii="Times New Roman" w:hAnsi="Times New Roman" w:cs="Times New Roman"/>
          <w:color w:val="auto"/>
          <w:sz w:val="24"/>
        </w:rPr>
        <w:t xml:space="preserve">E-mail：                                                </w:t>
      </w:r>
    </w:p>
    <w:p w14:paraId="3A5DDA80">
      <w:pPr>
        <w:tabs>
          <w:tab w:val="left" w:pos="720"/>
        </w:tabs>
        <w:contextualSpacing/>
        <w:jc w:val="left"/>
        <w:rPr>
          <w:rFonts w:hint="default" w:ascii="Times New Roman" w:hAnsi="Times New Roman" w:cs="Times New Roman"/>
          <w:color w:val="auto"/>
          <w:sz w:val="24"/>
        </w:rPr>
      </w:pPr>
    </w:p>
    <w:p w14:paraId="7D9719AC">
      <w:pPr>
        <w:tabs>
          <w:tab w:val="left" w:pos="720"/>
        </w:tabs>
        <w:contextualSpacing/>
        <w:jc w:val="left"/>
        <w:rPr>
          <w:rFonts w:hint="default" w:ascii="Times New Roman" w:hAnsi="Times New Roman" w:cs="Times New Roman"/>
          <w:color w:val="auto"/>
          <w:sz w:val="24"/>
        </w:rPr>
      </w:pPr>
      <w:r>
        <w:rPr>
          <w:rFonts w:hint="default" w:ascii="Times New Roman" w:hAnsi="Times New Roman" w:cs="Times New Roman"/>
          <w:color w:val="auto"/>
          <w:sz w:val="24"/>
        </w:rPr>
        <w:t xml:space="preserve">受聘方（乙方）：       </w:t>
      </w:r>
    </w:p>
    <w:p w14:paraId="0865C458">
      <w:pPr>
        <w:tabs>
          <w:tab w:val="left" w:pos="1029"/>
        </w:tabs>
        <w:contextualSpacing/>
        <w:jc w:val="left"/>
        <w:rPr>
          <w:rFonts w:hint="default" w:ascii="Times New Roman" w:hAnsi="Times New Roman" w:cs="Times New Roman"/>
          <w:color w:val="auto"/>
          <w:sz w:val="24"/>
        </w:rPr>
      </w:pPr>
      <w:r>
        <w:rPr>
          <w:rFonts w:hint="default" w:ascii="Times New Roman" w:hAnsi="Times New Roman" w:cs="Times New Roman"/>
          <w:color w:val="auto"/>
          <w:sz w:val="24"/>
        </w:rPr>
        <w:t xml:space="preserve">地址：                                         </w:t>
      </w:r>
    </w:p>
    <w:p w14:paraId="2AB17252">
      <w:pPr>
        <w:tabs>
          <w:tab w:val="left" w:pos="1029"/>
        </w:tabs>
        <w:contextualSpacing/>
        <w:jc w:val="left"/>
        <w:rPr>
          <w:rFonts w:hint="default" w:ascii="Times New Roman" w:hAnsi="Times New Roman" w:cs="Times New Roman"/>
          <w:color w:val="auto"/>
          <w:sz w:val="24"/>
        </w:rPr>
      </w:pPr>
      <w:r>
        <w:rPr>
          <w:rFonts w:hint="default" w:ascii="Times New Roman" w:hAnsi="Times New Roman" w:cs="Times New Roman"/>
          <w:color w:val="auto"/>
          <w:sz w:val="24"/>
        </w:rPr>
        <w:t xml:space="preserve">工作联系人：                                        </w:t>
      </w:r>
    </w:p>
    <w:p w14:paraId="543A6C39">
      <w:pPr>
        <w:tabs>
          <w:tab w:val="left" w:pos="1029"/>
        </w:tabs>
        <w:contextualSpacing/>
        <w:jc w:val="left"/>
        <w:rPr>
          <w:rFonts w:hint="default" w:ascii="Times New Roman" w:hAnsi="Times New Roman" w:cs="Times New Roman"/>
          <w:color w:val="auto"/>
          <w:sz w:val="24"/>
        </w:rPr>
      </w:pPr>
      <w:r>
        <w:rPr>
          <w:rFonts w:hint="default" w:ascii="Times New Roman" w:hAnsi="Times New Roman" w:cs="Times New Roman"/>
          <w:color w:val="auto"/>
          <w:sz w:val="24"/>
        </w:rPr>
        <w:t xml:space="preserve">电话：                </w:t>
      </w:r>
    </w:p>
    <w:p w14:paraId="46B7B0ED">
      <w:pPr>
        <w:tabs>
          <w:tab w:val="left" w:pos="1029"/>
        </w:tabs>
        <w:contextualSpacing/>
        <w:jc w:val="left"/>
        <w:rPr>
          <w:rFonts w:hint="default" w:ascii="Times New Roman" w:hAnsi="Times New Roman" w:cs="Times New Roman"/>
          <w:color w:val="auto"/>
          <w:sz w:val="24"/>
        </w:rPr>
      </w:pPr>
      <w:r>
        <w:rPr>
          <w:rFonts w:hint="default" w:ascii="Times New Roman" w:hAnsi="Times New Roman" w:cs="Times New Roman"/>
          <w:color w:val="auto"/>
          <w:sz w:val="24"/>
        </w:rPr>
        <w:t xml:space="preserve">传真：                               </w:t>
      </w:r>
    </w:p>
    <w:p w14:paraId="1A395177">
      <w:pPr>
        <w:tabs>
          <w:tab w:val="left" w:pos="1029"/>
        </w:tabs>
        <w:contextualSpacing/>
        <w:jc w:val="left"/>
        <w:rPr>
          <w:rFonts w:hint="default" w:ascii="Times New Roman" w:hAnsi="Times New Roman" w:cs="Times New Roman"/>
          <w:color w:val="auto"/>
          <w:sz w:val="24"/>
        </w:rPr>
      </w:pPr>
      <w:r>
        <w:rPr>
          <w:rFonts w:hint="default" w:ascii="Times New Roman" w:hAnsi="Times New Roman" w:cs="Times New Roman"/>
          <w:color w:val="auto"/>
          <w:sz w:val="24"/>
        </w:rPr>
        <w:t xml:space="preserve">E-mail：                                              </w:t>
      </w:r>
    </w:p>
    <w:p w14:paraId="350519AF">
      <w:pPr>
        <w:spacing w:line="320" w:lineRule="exact"/>
        <w:rPr>
          <w:rFonts w:hint="default" w:ascii="Times New Roman" w:hAnsi="Times New Roman" w:cs="Times New Roman"/>
          <w:color w:val="auto"/>
          <w:sz w:val="24"/>
        </w:rPr>
      </w:pPr>
    </w:p>
    <w:p w14:paraId="29A71F93">
      <w:pPr>
        <w:spacing w:line="32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甲方因业务发展需要，通过公开比选确定乙方为</w:t>
      </w:r>
      <w:r>
        <w:rPr>
          <w:rFonts w:hint="eastAsia" w:cs="Times New Roman"/>
          <w:b w:val="0"/>
          <w:bCs w:val="0"/>
          <w:color w:val="auto"/>
          <w:sz w:val="24"/>
          <w:u w:val="none"/>
          <w:lang w:val="en-US" w:eastAsia="zh-CN"/>
        </w:rPr>
        <w:t>2025</w:t>
      </w:r>
      <w:r>
        <w:rPr>
          <w:rFonts w:hint="default" w:ascii="Times New Roman" w:hAnsi="Times New Roman" w:cs="Times New Roman"/>
          <w:color w:val="auto"/>
          <w:sz w:val="24"/>
        </w:rPr>
        <w:t>年度法律顾问，经双方平等友好协商，达成如下协议：</w:t>
      </w:r>
    </w:p>
    <w:p w14:paraId="5DB85161">
      <w:pPr>
        <w:spacing w:line="320" w:lineRule="exact"/>
        <w:ind w:firstLine="482" w:firstLineChars="200"/>
        <w:outlineLvl w:val="9"/>
        <w:rPr>
          <w:rFonts w:hint="default" w:ascii="Times New Roman" w:hAnsi="Times New Roman" w:cs="Times New Roman"/>
          <w:b/>
          <w:color w:val="auto"/>
          <w:sz w:val="24"/>
        </w:rPr>
      </w:pPr>
      <w:r>
        <w:rPr>
          <w:rFonts w:hint="default" w:ascii="Times New Roman" w:hAnsi="Times New Roman" w:cs="Times New Roman"/>
          <w:b/>
          <w:color w:val="auto"/>
          <w:sz w:val="24"/>
        </w:rPr>
        <w:t>1.合同文件的优先次序</w:t>
      </w:r>
    </w:p>
    <w:p w14:paraId="7B84675A">
      <w:pPr>
        <w:spacing w:line="320" w:lineRule="exact"/>
        <w:ind w:firstLine="480" w:firstLineChars="200"/>
        <w:outlineLvl w:val="9"/>
        <w:rPr>
          <w:rFonts w:hint="default" w:ascii="Times New Roman" w:hAnsi="Times New Roman" w:cs="Times New Roman"/>
          <w:color w:val="auto"/>
          <w:sz w:val="24"/>
        </w:rPr>
      </w:pPr>
      <w:r>
        <w:rPr>
          <w:rFonts w:hint="default" w:ascii="Times New Roman" w:hAnsi="Times New Roman" w:cs="Times New Roman"/>
          <w:color w:val="auto"/>
          <w:sz w:val="24"/>
        </w:rPr>
        <w:t>1.1下列文件一起构成合同文件</w:t>
      </w:r>
    </w:p>
    <w:p w14:paraId="5A452BEF">
      <w:pPr>
        <w:spacing w:line="32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（1）合同协议书及各种合同附件（含比选评审期间和合同</w:t>
      </w:r>
      <w:r>
        <w:rPr>
          <w:rFonts w:hint="eastAsia" w:cs="Times New Roman"/>
          <w:color w:val="auto"/>
          <w:sz w:val="24"/>
          <w:lang w:eastAsia="zh-CN"/>
        </w:rPr>
        <w:t>澄清</w:t>
      </w:r>
      <w:r>
        <w:rPr>
          <w:rFonts w:hint="default" w:ascii="Times New Roman" w:hAnsi="Times New Roman" w:cs="Times New Roman"/>
          <w:color w:val="auto"/>
          <w:sz w:val="24"/>
        </w:rPr>
        <w:t>过程中的澄清文件和补充资料）；</w:t>
      </w:r>
    </w:p>
    <w:p w14:paraId="3916E580">
      <w:pPr>
        <w:spacing w:line="32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（2）中选通知书；</w:t>
      </w:r>
    </w:p>
    <w:p w14:paraId="5763EF01">
      <w:pPr>
        <w:spacing w:line="32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（3）比选申请文件</w:t>
      </w:r>
      <w:r>
        <w:rPr>
          <w:rFonts w:hint="default" w:ascii="Times New Roman" w:hAnsi="Times New Roman" w:cs="Times New Roman"/>
          <w:strike w:val="0"/>
          <w:color w:val="auto"/>
          <w:sz w:val="24"/>
          <w:highlight w:val="none"/>
        </w:rPr>
        <w:t>及比选申请函；</w:t>
      </w:r>
    </w:p>
    <w:p w14:paraId="0450431B">
      <w:pPr>
        <w:spacing w:line="32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（4）比选文件；</w:t>
      </w:r>
    </w:p>
    <w:p w14:paraId="0597E6CD">
      <w:pPr>
        <w:spacing w:line="32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（5）其他合同文件。</w:t>
      </w:r>
    </w:p>
    <w:p w14:paraId="2D6655EF">
      <w:pPr>
        <w:pStyle w:val="51"/>
        <w:spacing w:line="320" w:lineRule="exact"/>
        <w:ind w:firstLine="460" w:firstLineChars="192"/>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1.2上述文件互相补充和解释，如有不明确或不一致之处，以上述次序在先者为准；同一次序的文件以时间在后的为准。</w:t>
      </w:r>
    </w:p>
    <w:p w14:paraId="4964D0EC">
      <w:pPr>
        <w:spacing w:line="320" w:lineRule="exact"/>
        <w:ind w:firstLine="482" w:firstLineChars="200"/>
        <w:rPr>
          <w:rFonts w:hint="default" w:ascii="Times New Roman" w:hAnsi="Times New Roman" w:cs="Times New Roman"/>
          <w:color w:val="auto"/>
          <w:sz w:val="24"/>
        </w:rPr>
      </w:pPr>
      <w:r>
        <w:rPr>
          <w:rFonts w:hint="default" w:ascii="Times New Roman" w:hAnsi="Times New Roman" w:cs="Times New Roman"/>
          <w:b/>
          <w:color w:val="auto"/>
          <w:sz w:val="24"/>
        </w:rPr>
        <w:t>2.</w:t>
      </w:r>
      <w:r>
        <w:rPr>
          <w:rFonts w:hint="default" w:ascii="Times New Roman" w:hAnsi="Times New Roman" w:cs="Times New Roman"/>
          <w:color w:val="auto"/>
          <w:sz w:val="24"/>
        </w:rPr>
        <w:t>甲方同意乙方组成的律师团队</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rPr>
        <w:t>为甲方提供</w:t>
      </w:r>
      <w:r>
        <w:rPr>
          <w:rFonts w:hint="eastAsia" w:cs="Times New Roman"/>
          <w:color w:val="auto"/>
          <w:sz w:val="24"/>
          <w:lang w:val="en-US" w:eastAsia="zh-CN"/>
        </w:rPr>
        <w:t>2025</w:t>
      </w:r>
      <w:r>
        <w:rPr>
          <w:rFonts w:hint="default" w:ascii="Times New Roman" w:hAnsi="Times New Roman" w:cs="Times New Roman"/>
          <w:color w:val="auto"/>
          <w:sz w:val="24"/>
        </w:rPr>
        <w:t>年度法律顾问服务。乙方指定</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rPr>
        <w:t>律师为日常联系人，负责服务工作的联系与对接。乙方应按照合法、公正、独立、优质、高效的原则为甲方提供服务，认真维护甲方的合法权益。</w:t>
      </w:r>
    </w:p>
    <w:p w14:paraId="3C6789D4">
      <w:pPr>
        <w:spacing w:line="320" w:lineRule="exact"/>
        <w:ind w:firstLine="482" w:firstLineChars="200"/>
        <w:rPr>
          <w:rFonts w:hint="default" w:ascii="Times New Roman" w:hAnsi="Times New Roman" w:cs="Times New Roman"/>
          <w:color w:val="auto"/>
          <w:sz w:val="24"/>
          <w:highlight w:val="none"/>
        </w:rPr>
      </w:pPr>
      <w:r>
        <w:rPr>
          <w:rFonts w:hint="default" w:ascii="Times New Roman" w:hAnsi="Times New Roman" w:cs="Times New Roman"/>
          <w:b/>
          <w:color w:val="auto"/>
          <w:sz w:val="24"/>
        </w:rPr>
        <w:t>3.合同期限</w:t>
      </w:r>
      <w:r>
        <w:rPr>
          <w:rFonts w:hint="default" w:ascii="Times New Roman" w:hAnsi="Times New Roman" w:cs="Times New Roman"/>
          <w:color w:val="auto"/>
          <w:sz w:val="24"/>
        </w:rPr>
        <w:t>：</w:t>
      </w:r>
      <w:r>
        <w:rPr>
          <w:rFonts w:hint="default" w:ascii="Times New Roman" w:hAnsi="Times New Roman" w:cs="Times New Roman"/>
          <w:b/>
          <w:color w:val="auto"/>
          <w:sz w:val="24"/>
        </w:rPr>
        <w:t>从</w:t>
      </w:r>
      <w:r>
        <w:rPr>
          <w:rFonts w:hint="eastAsia" w:cs="Times New Roman"/>
          <w:b/>
          <w:color w:val="auto"/>
          <w:sz w:val="24"/>
          <w:lang w:val="en-US" w:eastAsia="zh-CN"/>
        </w:rPr>
        <w:t>2025</w:t>
      </w:r>
      <w:r>
        <w:rPr>
          <w:rFonts w:hint="default" w:ascii="Times New Roman" w:hAnsi="Times New Roman" w:cs="Times New Roman"/>
          <w:b/>
          <w:color w:val="auto"/>
          <w:sz w:val="24"/>
        </w:rPr>
        <w:t>年</w:t>
      </w:r>
      <w:r>
        <w:rPr>
          <w:rFonts w:hint="eastAsia" w:cs="Times New Roman"/>
          <w:b/>
          <w:color w:val="auto"/>
          <w:sz w:val="24"/>
          <w:lang w:val="en-US" w:eastAsia="zh-CN"/>
        </w:rPr>
        <w:t xml:space="preserve">  </w:t>
      </w:r>
      <w:r>
        <w:rPr>
          <w:rFonts w:hint="default" w:ascii="Times New Roman" w:hAnsi="Times New Roman" w:cs="Times New Roman"/>
          <w:b/>
          <w:color w:val="auto"/>
          <w:sz w:val="24"/>
        </w:rPr>
        <w:t>月</w:t>
      </w:r>
      <w:r>
        <w:rPr>
          <w:rFonts w:hint="eastAsia" w:cs="Times New Roman"/>
          <w:b/>
          <w:color w:val="auto"/>
          <w:sz w:val="24"/>
          <w:lang w:val="en-US" w:eastAsia="zh-CN"/>
        </w:rPr>
        <w:t xml:space="preserve">  </w:t>
      </w:r>
      <w:r>
        <w:rPr>
          <w:rFonts w:hint="default" w:ascii="Times New Roman" w:hAnsi="Times New Roman" w:cs="Times New Roman"/>
          <w:b/>
          <w:color w:val="auto"/>
          <w:sz w:val="24"/>
        </w:rPr>
        <w:t>日起至</w:t>
      </w:r>
      <w:r>
        <w:rPr>
          <w:rFonts w:hint="eastAsia" w:cs="Times New Roman"/>
          <w:b/>
          <w:color w:val="auto"/>
          <w:sz w:val="24"/>
          <w:lang w:val="en-US" w:eastAsia="zh-CN"/>
        </w:rPr>
        <w:t>2026</w:t>
      </w:r>
      <w:r>
        <w:rPr>
          <w:rFonts w:hint="default" w:ascii="Times New Roman" w:hAnsi="Times New Roman" w:cs="Times New Roman"/>
          <w:b/>
          <w:color w:val="auto"/>
          <w:sz w:val="24"/>
        </w:rPr>
        <w:t>年</w:t>
      </w:r>
      <w:r>
        <w:rPr>
          <w:rFonts w:hint="eastAsia" w:cs="Times New Roman"/>
          <w:b/>
          <w:color w:val="auto"/>
          <w:sz w:val="24"/>
          <w:lang w:val="en-US" w:eastAsia="zh-CN"/>
        </w:rPr>
        <w:t xml:space="preserve">   </w:t>
      </w:r>
      <w:r>
        <w:rPr>
          <w:rFonts w:hint="default" w:ascii="Times New Roman" w:hAnsi="Times New Roman" w:cs="Times New Roman"/>
          <w:b/>
          <w:color w:val="auto"/>
          <w:sz w:val="24"/>
        </w:rPr>
        <w:t>月</w:t>
      </w:r>
      <w:r>
        <w:rPr>
          <w:rFonts w:hint="eastAsia" w:cs="Times New Roman"/>
          <w:b/>
          <w:color w:val="auto"/>
          <w:sz w:val="24"/>
          <w:lang w:val="en-US" w:eastAsia="zh-CN"/>
        </w:rPr>
        <w:t xml:space="preserve">   </w:t>
      </w:r>
      <w:r>
        <w:rPr>
          <w:rFonts w:hint="default" w:ascii="Times New Roman" w:hAnsi="Times New Roman" w:cs="Times New Roman"/>
          <w:b/>
          <w:color w:val="auto"/>
          <w:sz w:val="24"/>
        </w:rPr>
        <w:t>日止</w:t>
      </w:r>
      <w:r>
        <w:rPr>
          <w:rFonts w:hint="default" w:ascii="Times New Roman" w:hAnsi="Times New Roman" w:cs="Times New Roman"/>
          <w:color w:val="auto"/>
          <w:sz w:val="24"/>
        </w:rPr>
        <w:t>，</w:t>
      </w:r>
      <w:r>
        <w:rPr>
          <w:rFonts w:hint="default" w:ascii="Times New Roman" w:hAnsi="Times New Roman" w:cs="Times New Roman"/>
          <w:b/>
          <w:bCs/>
          <w:color w:val="auto"/>
          <w:sz w:val="24"/>
        </w:rPr>
        <w:t>期限为</w:t>
      </w:r>
      <w:r>
        <w:rPr>
          <w:rFonts w:hint="eastAsia" w:cs="Times New Roman"/>
          <w:b/>
          <w:bCs/>
          <w:color w:val="auto"/>
          <w:sz w:val="24"/>
          <w:lang w:val="en-US" w:eastAsia="zh-CN"/>
        </w:rPr>
        <w:t xml:space="preserve"> 年</w:t>
      </w:r>
      <w:r>
        <w:rPr>
          <w:rFonts w:hint="eastAsia" w:cs="Times New Roman"/>
          <w:b/>
          <w:bCs/>
          <w:color w:val="auto"/>
          <w:sz w:val="24"/>
          <w:u w:val="none"/>
          <w:lang w:val="en-US" w:eastAsia="zh-CN"/>
        </w:rPr>
        <w:t xml:space="preserve"> </w:t>
      </w:r>
      <w:r>
        <w:rPr>
          <w:rFonts w:hint="default" w:ascii="Times New Roman" w:hAnsi="Times New Roman" w:cs="Times New Roman"/>
          <w:color w:val="auto"/>
          <w:sz w:val="24"/>
        </w:rPr>
        <w:t>。合同期满，双方再议是否续约</w:t>
      </w:r>
      <w:r>
        <w:rPr>
          <w:rFonts w:hint="default" w:ascii="Times New Roman" w:hAnsi="Times New Roman" w:cs="Times New Roman"/>
          <w:color w:val="auto"/>
          <w:sz w:val="24"/>
          <w:highlight w:val="none"/>
        </w:rPr>
        <w:t>。同时，甲方有权根据工作的连续性、关联性或其他合理业务需要，要求乙方在本合同期满后适当延长半个月服务期限，乙方不得额外收取服务费用。</w:t>
      </w:r>
    </w:p>
    <w:p w14:paraId="1EE2588F">
      <w:pPr>
        <w:spacing w:line="320" w:lineRule="exact"/>
        <w:ind w:firstLine="482" w:firstLineChars="200"/>
        <w:outlineLvl w:val="9"/>
        <w:rPr>
          <w:rFonts w:hint="default" w:ascii="Times New Roman" w:hAnsi="Times New Roman" w:cs="Times New Roman"/>
          <w:b/>
          <w:color w:val="auto"/>
          <w:sz w:val="24"/>
        </w:rPr>
      </w:pPr>
      <w:r>
        <w:rPr>
          <w:rFonts w:hint="default" w:ascii="Times New Roman" w:hAnsi="Times New Roman" w:cs="Times New Roman"/>
          <w:b/>
          <w:color w:val="auto"/>
          <w:sz w:val="24"/>
        </w:rPr>
        <w:t>4.乙方的服务范围及工作内容</w:t>
      </w:r>
    </w:p>
    <w:p w14:paraId="4A83AD76">
      <w:pPr>
        <w:spacing w:line="320" w:lineRule="exact"/>
        <w:ind w:firstLine="480" w:firstLineChars="200"/>
        <w:jc w:val="both"/>
        <w:rPr>
          <w:rFonts w:hint="default" w:ascii="Times New Roman" w:hAnsi="Times New Roman" w:cs="Times New Roman"/>
          <w:bCs/>
          <w:color w:val="auto"/>
          <w:sz w:val="24"/>
        </w:rPr>
      </w:pPr>
      <w:r>
        <w:rPr>
          <w:rFonts w:hint="default" w:ascii="Times New Roman" w:hAnsi="Times New Roman" w:cs="Times New Roman"/>
          <w:bCs/>
          <w:color w:val="auto"/>
          <w:sz w:val="24"/>
        </w:rPr>
        <w:t>乙方负责甲方的法律顾问服务工作范围为：</w:t>
      </w:r>
    </w:p>
    <w:p w14:paraId="48F7C474">
      <w:pPr>
        <w:spacing w:line="320" w:lineRule="exact"/>
        <w:ind w:firstLine="480" w:firstLineChars="200"/>
        <w:jc w:val="both"/>
        <w:rPr>
          <w:rFonts w:hint="default" w:cs="Times New Roman"/>
          <w:color w:val="auto"/>
          <w:sz w:val="24"/>
          <w:lang w:val="en-US" w:eastAsia="zh-CN"/>
        </w:rPr>
      </w:pPr>
      <w:r>
        <w:rPr>
          <w:rFonts w:hint="default" w:cs="Times New Roman"/>
          <w:color w:val="auto"/>
          <w:sz w:val="24"/>
          <w:lang w:val="en-US" w:eastAsia="zh-CN"/>
        </w:rPr>
        <w:t>南宁铁路枢纽投资有限公司</w:t>
      </w:r>
      <w:r>
        <w:rPr>
          <w:rFonts w:hint="eastAsia" w:cs="Times New Roman"/>
          <w:color w:val="auto"/>
          <w:sz w:val="24"/>
          <w:lang w:val="en-US" w:eastAsia="zh-CN"/>
        </w:rPr>
        <w:t>法律</w:t>
      </w:r>
      <w:r>
        <w:rPr>
          <w:rFonts w:hint="default" w:cs="Times New Roman"/>
          <w:color w:val="auto"/>
          <w:sz w:val="24"/>
          <w:lang w:val="en-US" w:eastAsia="zh-CN"/>
        </w:rPr>
        <w:t>事务，全资、控股子公司与南宁铁路枢纽投资有限公司相关的</w:t>
      </w:r>
      <w:r>
        <w:rPr>
          <w:rFonts w:hint="eastAsia" w:cs="Times New Roman"/>
          <w:color w:val="auto"/>
          <w:sz w:val="24"/>
          <w:lang w:val="en-US" w:eastAsia="zh-CN"/>
        </w:rPr>
        <w:t>法律</w:t>
      </w:r>
      <w:r>
        <w:rPr>
          <w:rFonts w:hint="default" w:cs="Times New Roman"/>
          <w:color w:val="auto"/>
          <w:sz w:val="24"/>
          <w:lang w:val="en-US" w:eastAsia="zh-CN"/>
        </w:rPr>
        <w:t>事务，其他代管</w:t>
      </w:r>
      <w:r>
        <w:rPr>
          <w:rFonts w:hint="eastAsia" w:cs="Times New Roman"/>
          <w:color w:val="auto"/>
          <w:sz w:val="24"/>
          <w:lang w:val="en-US" w:eastAsia="zh-CN"/>
        </w:rPr>
        <w:t>公司</w:t>
      </w:r>
      <w:r>
        <w:rPr>
          <w:rFonts w:hint="default" w:cs="Times New Roman"/>
          <w:color w:val="auto"/>
          <w:sz w:val="24"/>
          <w:lang w:val="en-US" w:eastAsia="zh-CN"/>
        </w:rPr>
        <w:t>、参股公司中与南宁铁路枢纽投资有限公司相关的</w:t>
      </w:r>
      <w:r>
        <w:rPr>
          <w:rFonts w:hint="eastAsia" w:cs="Times New Roman"/>
          <w:color w:val="auto"/>
          <w:sz w:val="24"/>
          <w:lang w:val="en-US" w:eastAsia="zh-CN"/>
        </w:rPr>
        <w:t>法律</w:t>
      </w:r>
      <w:r>
        <w:rPr>
          <w:rFonts w:hint="default" w:cs="Times New Roman"/>
          <w:color w:val="auto"/>
          <w:sz w:val="24"/>
          <w:lang w:val="en-US" w:eastAsia="zh-CN"/>
        </w:rPr>
        <w:t>事务。</w:t>
      </w:r>
    </w:p>
    <w:p w14:paraId="63DCFA27">
      <w:pPr>
        <w:spacing w:line="320" w:lineRule="exact"/>
        <w:ind w:firstLine="480" w:firstLineChars="200"/>
        <w:jc w:val="both"/>
        <w:rPr>
          <w:rFonts w:hint="default" w:ascii="Times New Roman" w:hAnsi="Times New Roman" w:eastAsia="宋体" w:cs="Times New Roman"/>
          <w:color w:val="auto"/>
          <w:sz w:val="24"/>
          <w:lang w:val="en-US" w:eastAsia="zh-CN"/>
        </w:rPr>
      </w:pPr>
      <w:r>
        <w:rPr>
          <w:rFonts w:hint="eastAsia" w:cs="Times New Roman"/>
          <w:color w:val="auto"/>
          <w:sz w:val="24"/>
          <w:lang w:eastAsia="zh-CN"/>
        </w:rPr>
        <w:t>注：</w:t>
      </w:r>
      <w:r>
        <w:rPr>
          <w:rFonts w:hint="default" w:ascii="Times New Roman" w:hAnsi="Times New Roman" w:cs="Times New Roman"/>
          <w:color w:val="auto"/>
          <w:sz w:val="24"/>
        </w:rPr>
        <w:t>南宁</w:t>
      </w:r>
      <w:r>
        <w:rPr>
          <w:rFonts w:hint="default" w:ascii="Times New Roman" w:hAnsi="Times New Roman" w:cs="Times New Roman"/>
          <w:color w:val="auto"/>
          <w:sz w:val="24"/>
          <w:lang w:eastAsia="zh-CN"/>
        </w:rPr>
        <w:t>铁路枢纽投资</w:t>
      </w:r>
      <w:r>
        <w:rPr>
          <w:rFonts w:hint="default" w:ascii="Times New Roman" w:hAnsi="Times New Roman" w:cs="Times New Roman"/>
          <w:color w:val="auto"/>
          <w:sz w:val="24"/>
        </w:rPr>
        <w:t>有限公司</w:t>
      </w:r>
      <w:r>
        <w:rPr>
          <w:rFonts w:hint="eastAsia" w:cs="Times New Roman"/>
          <w:color w:val="auto"/>
          <w:sz w:val="24"/>
          <w:lang w:eastAsia="zh-CN"/>
        </w:rPr>
        <w:t>于</w:t>
      </w:r>
      <w:r>
        <w:rPr>
          <w:rFonts w:hint="eastAsia" w:cs="Times New Roman"/>
          <w:color w:val="auto"/>
          <w:sz w:val="24"/>
          <w:lang w:val="en-US" w:eastAsia="zh-CN"/>
        </w:rPr>
        <w:t>2021年6月30日注册成立，未来根据业务发展需求，可能会成立全资、控股子公司，参股公司，以及存在代管的公司。</w:t>
      </w:r>
    </w:p>
    <w:p w14:paraId="1A62B254">
      <w:pPr>
        <w:spacing w:line="32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主要包括但不限于以下内容：</w:t>
      </w:r>
    </w:p>
    <w:p w14:paraId="10C03690">
      <w:pPr>
        <w:spacing w:line="320" w:lineRule="exact"/>
        <w:ind w:firstLine="482" w:firstLineChars="200"/>
        <w:outlineLvl w:val="9"/>
        <w:rPr>
          <w:rFonts w:hint="default" w:ascii="Times New Roman" w:hAnsi="Times New Roman" w:cs="Times New Roman"/>
          <w:b/>
          <w:color w:val="auto"/>
          <w:sz w:val="24"/>
        </w:rPr>
      </w:pPr>
      <w:r>
        <w:rPr>
          <w:rFonts w:hint="default" w:ascii="Times New Roman" w:hAnsi="Times New Roman" w:cs="Times New Roman"/>
          <w:b/>
          <w:color w:val="auto"/>
          <w:sz w:val="24"/>
        </w:rPr>
        <w:t>4.1日常法律咨询服务工作</w:t>
      </w:r>
    </w:p>
    <w:p w14:paraId="6ACB7CB9">
      <w:pPr>
        <w:spacing w:line="320" w:lineRule="exact"/>
        <w:ind w:firstLine="480" w:firstLineChars="200"/>
        <w:rPr>
          <w:rFonts w:hint="eastAsia" w:ascii="Times New Roman" w:hAnsi="Times New Roman" w:eastAsia="宋体" w:cs="Times New Roman"/>
          <w:color w:val="auto"/>
          <w:sz w:val="24"/>
          <w:lang w:eastAsia="zh-CN"/>
        </w:rPr>
      </w:pPr>
      <w:r>
        <w:rPr>
          <w:rFonts w:hint="default" w:ascii="Times New Roman" w:hAnsi="Times New Roman" w:cs="Times New Roman"/>
          <w:color w:val="auto"/>
          <w:sz w:val="24"/>
        </w:rPr>
        <w:t>4.1.1甲方需要了解或解答的法律问题，乙方应予以及时、准确、完整地答复。律师在工作过程中发现的重大问题，应主动向甲方提出意见和建议，并及时通报有关的法律、政策动态和信息</w:t>
      </w:r>
      <w:r>
        <w:rPr>
          <w:rFonts w:hint="eastAsia" w:cs="Times New Roman"/>
          <w:color w:val="auto"/>
          <w:sz w:val="24"/>
          <w:lang w:eastAsia="zh-CN"/>
        </w:rPr>
        <w:t>；</w:t>
      </w:r>
    </w:p>
    <w:p w14:paraId="367C0450">
      <w:pPr>
        <w:spacing w:line="320" w:lineRule="exact"/>
        <w:ind w:firstLine="480" w:firstLineChars="200"/>
        <w:outlineLvl w:val="9"/>
        <w:rPr>
          <w:rFonts w:hint="eastAsia" w:ascii="Times New Roman" w:hAnsi="Times New Roman" w:eastAsia="宋体" w:cs="Times New Roman"/>
          <w:color w:val="auto"/>
          <w:sz w:val="24"/>
          <w:lang w:eastAsia="zh-CN"/>
        </w:rPr>
      </w:pPr>
      <w:r>
        <w:rPr>
          <w:rFonts w:hint="default" w:ascii="Times New Roman" w:hAnsi="Times New Roman" w:cs="Times New Roman"/>
          <w:color w:val="auto"/>
          <w:sz w:val="24"/>
        </w:rPr>
        <w:t>4.1.2及时向甲方通报国家最新的法律、政策动态信息</w:t>
      </w:r>
      <w:r>
        <w:rPr>
          <w:rFonts w:hint="eastAsia" w:cs="Times New Roman"/>
          <w:color w:val="auto"/>
          <w:sz w:val="24"/>
          <w:lang w:eastAsia="zh-CN"/>
        </w:rPr>
        <w:t>；</w:t>
      </w:r>
    </w:p>
    <w:p w14:paraId="1672F19C">
      <w:pPr>
        <w:spacing w:line="32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4.1.3协助甲方抓好普法教育工作，特别是结合甲方业务的实际情况，开展各种形式的专业法律知识教育，每年至少举办</w:t>
      </w:r>
      <w:r>
        <w:rPr>
          <w:rFonts w:hint="eastAsia" w:cs="Times New Roman"/>
          <w:color w:val="auto"/>
          <w:sz w:val="24"/>
          <w:lang w:val="en-US" w:eastAsia="zh-CN"/>
        </w:rPr>
        <w:t>五</w:t>
      </w:r>
      <w:r>
        <w:rPr>
          <w:rFonts w:hint="default" w:ascii="Times New Roman" w:hAnsi="Times New Roman" w:cs="Times New Roman"/>
          <w:color w:val="auto"/>
          <w:sz w:val="24"/>
        </w:rPr>
        <w:t>次培训，帮助甲方提高其管理人员依法经营、防范经营法律风险的水平，尽可能避免或减少工作中的法律失误，甲方在举办培训班之前提前通知乙方并给予至少一周的准备时间，</w:t>
      </w:r>
      <w:r>
        <w:rPr>
          <w:sz w:val="24"/>
        </w:rPr>
        <w:t>乙方培训律师</w:t>
      </w:r>
      <w:r>
        <w:rPr>
          <w:rFonts w:hint="eastAsia"/>
          <w:sz w:val="24"/>
        </w:rPr>
        <w:t>应为律所合伙人</w:t>
      </w:r>
      <w:r>
        <w:rPr>
          <w:sz w:val="24"/>
        </w:rPr>
        <w:t>。</w:t>
      </w:r>
    </w:p>
    <w:p w14:paraId="45439430">
      <w:pPr>
        <w:spacing w:line="320" w:lineRule="exact"/>
        <w:ind w:firstLine="482" w:firstLineChars="200"/>
        <w:outlineLvl w:val="9"/>
        <w:rPr>
          <w:rFonts w:hint="default" w:ascii="Times New Roman" w:hAnsi="Times New Roman" w:cs="Times New Roman"/>
          <w:b/>
          <w:color w:val="auto"/>
          <w:sz w:val="24"/>
        </w:rPr>
      </w:pPr>
      <w:r>
        <w:rPr>
          <w:rFonts w:hint="default" w:ascii="Times New Roman" w:hAnsi="Times New Roman" w:cs="Times New Roman"/>
          <w:b/>
          <w:color w:val="auto"/>
          <w:sz w:val="24"/>
        </w:rPr>
        <w:t>4.2公司经营活动方面的法律服务工作</w:t>
      </w:r>
    </w:p>
    <w:p w14:paraId="6CFD50A4">
      <w:pPr>
        <w:spacing w:line="320" w:lineRule="exact"/>
        <w:ind w:firstLine="480" w:firstLineChars="200"/>
        <w:rPr>
          <w:rFonts w:hint="eastAsia" w:ascii="Times New Roman" w:hAnsi="Times New Roman" w:eastAsia="宋体" w:cs="Times New Roman"/>
          <w:color w:val="auto"/>
          <w:sz w:val="24"/>
          <w:lang w:eastAsia="zh-CN"/>
        </w:rPr>
      </w:pPr>
      <w:r>
        <w:rPr>
          <w:rFonts w:hint="default" w:ascii="Times New Roman" w:hAnsi="Times New Roman" w:cs="Times New Roman"/>
          <w:color w:val="auto"/>
          <w:sz w:val="24"/>
        </w:rPr>
        <w:t>4.2.1根据甲方的要求，审核、修订甲方在生产、经营、管理方面的规章制度、重要决策和授权委托文件等，提供合法性审查意见，并根据需要出具法律意见书</w:t>
      </w:r>
      <w:r>
        <w:rPr>
          <w:rFonts w:hint="eastAsia" w:cs="Times New Roman"/>
          <w:color w:val="auto"/>
          <w:sz w:val="24"/>
          <w:lang w:eastAsia="zh-CN"/>
        </w:rPr>
        <w:t>；</w:t>
      </w:r>
    </w:p>
    <w:p w14:paraId="5A7597A1">
      <w:pPr>
        <w:spacing w:line="320" w:lineRule="exact"/>
        <w:ind w:firstLine="480" w:firstLineChars="200"/>
        <w:rPr>
          <w:rFonts w:hint="eastAsia" w:cs="Times New Roman"/>
          <w:color w:val="auto"/>
          <w:sz w:val="24"/>
          <w:lang w:eastAsia="zh-CN"/>
        </w:rPr>
      </w:pPr>
      <w:r>
        <w:rPr>
          <w:rFonts w:hint="default" w:ascii="Times New Roman" w:hAnsi="Times New Roman" w:cs="Times New Roman"/>
          <w:color w:val="auto"/>
          <w:sz w:val="24"/>
        </w:rPr>
        <w:t>4.2.2 按甲方要求审查、修改招投标文件、合同、协议、对外发布函件、文稿、声明、指示、决定等文书，出具</w:t>
      </w:r>
      <w:r>
        <w:rPr>
          <w:rFonts w:hint="eastAsia" w:ascii="Times New Roman" w:hAnsi="Times New Roman" w:cs="Times New Roman"/>
          <w:color w:val="auto"/>
          <w:sz w:val="24"/>
          <w:lang w:val="en-US" w:eastAsia="zh-CN"/>
        </w:rPr>
        <w:t>合法性</w:t>
      </w:r>
      <w:r>
        <w:rPr>
          <w:rFonts w:hint="default" w:ascii="Times New Roman" w:hAnsi="Times New Roman" w:cs="Times New Roman"/>
          <w:color w:val="auto"/>
          <w:sz w:val="24"/>
        </w:rPr>
        <w:t>审查意见，并根据需要出具法律意见书</w:t>
      </w:r>
      <w:r>
        <w:rPr>
          <w:rFonts w:hint="eastAsia" w:cs="Times New Roman"/>
          <w:color w:val="auto"/>
          <w:sz w:val="24"/>
          <w:lang w:eastAsia="zh-CN"/>
        </w:rPr>
        <w:t>；</w:t>
      </w:r>
    </w:p>
    <w:p w14:paraId="2B9E34BB">
      <w:pPr>
        <w:spacing w:line="32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4.2.3 </w:t>
      </w:r>
      <w:r>
        <w:rPr>
          <w:sz w:val="24"/>
          <w:highlight w:val="none"/>
        </w:rPr>
        <w:t>为甲方办理商标注册</w:t>
      </w:r>
      <w:r>
        <w:rPr>
          <w:rStyle w:val="37"/>
          <w:sz w:val="24"/>
          <w:highlight w:val="none"/>
        </w:rPr>
        <w:t>、专利申请</w:t>
      </w:r>
      <w:r>
        <w:rPr>
          <w:rStyle w:val="37"/>
          <w:rFonts w:hint="eastAsia"/>
          <w:sz w:val="24"/>
          <w:highlight w:val="none"/>
        </w:rPr>
        <w:t>、软件著作权登记以及建立知识产权保护体系</w:t>
      </w:r>
      <w:r>
        <w:rPr>
          <w:sz w:val="24"/>
          <w:highlight w:val="none"/>
        </w:rPr>
        <w:t>等事务时遇到的问题提供法律意见</w:t>
      </w:r>
      <w:r>
        <w:rPr>
          <w:rFonts w:hint="eastAsia"/>
          <w:sz w:val="24"/>
          <w:highlight w:val="none"/>
        </w:rPr>
        <w:t>，协助甲方打击侵犯甲方知识产权的行为，维护甲方知识产权利益</w:t>
      </w:r>
      <w:r>
        <w:rPr>
          <w:sz w:val="24"/>
          <w:highlight w:val="none"/>
        </w:rPr>
        <w:t>；</w:t>
      </w:r>
    </w:p>
    <w:p w14:paraId="43C2E0A8">
      <w:pPr>
        <w:spacing w:line="32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4.2.4 为甲方和合作方的合作意向书等出具法律意见或法律意见书；</w:t>
      </w:r>
    </w:p>
    <w:p w14:paraId="65B6ECAE">
      <w:pPr>
        <w:spacing w:line="32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4.2.5 对甲方及其下属公司上报的纠纷提出法律解决意见，或对相关处理方案进行合法性审核；</w:t>
      </w:r>
    </w:p>
    <w:p w14:paraId="30BEF0E8">
      <w:pPr>
        <w:spacing w:line="32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4.2.6 按照甲方要求，列席重大会议或专题会议，或应邀出席甲方及其与其他单位的涉及法律事务的会议，并为往来文件中涉及资产、合同、纠纷及交易等问题提供咨询意见；</w:t>
      </w:r>
    </w:p>
    <w:p w14:paraId="6209F9CC">
      <w:pPr>
        <w:spacing w:line="32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4.2.7 必要时对公司重大诉讼、仲裁、知识产权纠纷、应急事件处理等提供法律意见；</w:t>
      </w:r>
    </w:p>
    <w:p w14:paraId="7E3F5432">
      <w:pPr>
        <w:spacing w:line="32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highlight w:val="none"/>
        </w:rPr>
        <w:t>4.2.8</w:t>
      </w:r>
      <w:r>
        <w:rPr>
          <w:rFonts w:hint="default" w:ascii="Times New Roman" w:hAnsi="Times New Roman" w:cs="Times New Roman"/>
          <w:color w:val="auto"/>
          <w:sz w:val="24"/>
        </w:rPr>
        <w:t>根据公司要求处理经营活动方面的非诉讼法律事务，包括进行侵权调查、发表律师声明、签发律师函、出具法律意见书，但侵权调查属于诉讼前置程序的除外。</w:t>
      </w:r>
    </w:p>
    <w:p w14:paraId="499A85F8">
      <w:pPr>
        <w:spacing w:line="320" w:lineRule="exact"/>
        <w:ind w:firstLine="482" w:firstLineChars="200"/>
        <w:outlineLvl w:val="9"/>
        <w:rPr>
          <w:rFonts w:hint="default" w:ascii="Times New Roman" w:hAnsi="Times New Roman" w:cs="Times New Roman"/>
          <w:b/>
          <w:color w:val="auto"/>
          <w:sz w:val="24"/>
        </w:rPr>
      </w:pPr>
      <w:r>
        <w:rPr>
          <w:rFonts w:hint="default" w:ascii="Times New Roman" w:hAnsi="Times New Roman" w:cs="Times New Roman"/>
          <w:b/>
          <w:color w:val="auto"/>
          <w:sz w:val="24"/>
        </w:rPr>
        <w:t>4.</w:t>
      </w:r>
      <w:r>
        <w:rPr>
          <w:rFonts w:hint="default" w:ascii="Times New Roman" w:hAnsi="Times New Roman" w:cs="Times New Roman"/>
          <w:b/>
          <w:color w:val="auto"/>
          <w:sz w:val="24"/>
          <w:lang w:val="en-US" w:eastAsia="zh-CN"/>
        </w:rPr>
        <w:t>3</w:t>
      </w:r>
      <w:r>
        <w:rPr>
          <w:rFonts w:hint="default" w:ascii="Times New Roman" w:hAnsi="Times New Roman" w:cs="Times New Roman"/>
          <w:b/>
          <w:color w:val="auto"/>
          <w:sz w:val="24"/>
        </w:rPr>
        <w:t>建设生产、运营过程中的法律服务工作</w:t>
      </w:r>
    </w:p>
    <w:p w14:paraId="2821C386">
      <w:pPr>
        <w:pStyle w:val="57"/>
        <w:spacing w:line="320" w:lineRule="exact"/>
        <w:ind w:firstLine="48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w:t>
      </w:r>
      <w:r>
        <w:rPr>
          <w:rFonts w:hint="default"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rPr>
        <w:t>.1对制定建设工程及运营过程中各项管理办法的进行合法性审核，提供合法性审查意见，并根据需要出具法律意见书；</w:t>
      </w:r>
    </w:p>
    <w:p w14:paraId="2A84D420">
      <w:pPr>
        <w:pStyle w:val="57"/>
        <w:spacing w:line="320" w:lineRule="exact"/>
        <w:ind w:firstLine="48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w:t>
      </w:r>
      <w:r>
        <w:rPr>
          <w:rFonts w:hint="default"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rPr>
        <w:t>.2根据甲方要求，审核招标文件、合同文件及各类框架协议的条款及项目，出具合法性审查意见，并根据需要出具法律意见书；</w:t>
      </w:r>
    </w:p>
    <w:p w14:paraId="114BCA91">
      <w:pPr>
        <w:pStyle w:val="57"/>
        <w:spacing w:line="320" w:lineRule="exact"/>
        <w:ind w:firstLine="48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w:t>
      </w:r>
      <w:r>
        <w:rPr>
          <w:rFonts w:hint="default"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rPr>
        <w:t>.3对工程建设招投标过程中出现的法律风险、质疑、投诉等问题提出法律意见；</w:t>
      </w:r>
    </w:p>
    <w:p w14:paraId="79368163">
      <w:pPr>
        <w:pStyle w:val="57"/>
        <w:spacing w:line="320" w:lineRule="exact"/>
        <w:ind w:firstLine="480"/>
        <w:outlineLvl w:val="9"/>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w:t>
      </w:r>
      <w:r>
        <w:rPr>
          <w:rFonts w:hint="default"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rPr>
        <w:t>.4应邀参加重大项目招标文件的审核；</w:t>
      </w:r>
    </w:p>
    <w:p w14:paraId="6F97E152">
      <w:pPr>
        <w:pStyle w:val="57"/>
        <w:spacing w:line="320" w:lineRule="exact"/>
        <w:ind w:firstLine="48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w:t>
      </w:r>
      <w:r>
        <w:rPr>
          <w:rFonts w:hint="default"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rPr>
        <w:t>.5对合同签订及履约过程中出现的争议、签证、索赔等问题提出法律意见；</w:t>
      </w:r>
    </w:p>
    <w:p w14:paraId="3202EE7F">
      <w:pPr>
        <w:pStyle w:val="57"/>
        <w:spacing w:line="320" w:lineRule="exact"/>
        <w:ind w:firstLine="480"/>
        <w:outlineLvl w:val="9"/>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w:t>
      </w:r>
      <w:r>
        <w:rPr>
          <w:rFonts w:hint="default"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rPr>
        <w:t>.6应邀参加重大合同谈判；</w:t>
      </w:r>
    </w:p>
    <w:p w14:paraId="0AA22F09">
      <w:pPr>
        <w:pStyle w:val="57"/>
        <w:spacing w:line="320" w:lineRule="exact"/>
        <w:ind w:firstLine="48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w:t>
      </w:r>
      <w:r>
        <w:rPr>
          <w:rFonts w:hint="default"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rPr>
        <w:t>.7对已竣工单项工程的验收、交付、结算等方面存在的问题提供法律服务；</w:t>
      </w:r>
    </w:p>
    <w:p w14:paraId="46DDD4EC">
      <w:pPr>
        <w:spacing w:line="320" w:lineRule="exact"/>
        <w:ind w:firstLine="480" w:firstLineChars="200"/>
        <w:rPr>
          <w:rFonts w:hint="eastAsia" w:ascii="Times New Roman" w:hAnsi="Times New Roman" w:eastAsia="宋体" w:cs="Times New Roman"/>
          <w:color w:val="auto"/>
          <w:sz w:val="24"/>
          <w:lang w:eastAsia="zh-CN"/>
        </w:rPr>
      </w:pPr>
      <w:r>
        <w:rPr>
          <w:rFonts w:hint="default" w:ascii="Times New Roman" w:hAnsi="Times New Roman" w:cs="Times New Roman"/>
          <w:color w:val="auto"/>
          <w:sz w:val="24"/>
        </w:rPr>
        <w:t>4.</w:t>
      </w:r>
      <w:r>
        <w:rPr>
          <w:rFonts w:hint="default" w:ascii="Times New Roman" w:hAnsi="Times New Roman" w:cs="Times New Roman"/>
          <w:color w:val="auto"/>
          <w:sz w:val="24"/>
          <w:lang w:val="en-US" w:eastAsia="zh-CN"/>
        </w:rPr>
        <w:t>3</w:t>
      </w:r>
      <w:r>
        <w:rPr>
          <w:rFonts w:hint="default" w:ascii="Times New Roman" w:hAnsi="Times New Roman" w:cs="Times New Roman"/>
          <w:color w:val="auto"/>
          <w:sz w:val="24"/>
        </w:rPr>
        <w:t>.8修订、审查与运营有关的合同、文件，对运营过程中产生的法律问题提供咨询</w:t>
      </w:r>
      <w:r>
        <w:rPr>
          <w:rFonts w:hint="eastAsia" w:cs="Times New Roman"/>
          <w:color w:val="auto"/>
          <w:sz w:val="24"/>
          <w:lang w:eastAsia="zh-CN"/>
        </w:rPr>
        <w:t>；</w:t>
      </w:r>
    </w:p>
    <w:p w14:paraId="263A5A03">
      <w:pPr>
        <w:spacing w:line="32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w:t>
      </w:r>
      <w:r>
        <w:rPr>
          <w:rFonts w:hint="default" w:ascii="Times New Roman" w:hAnsi="Times New Roman" w:cs="Times New Roman"/>
          <w:color w:val="auto"/>
          <w:sz w:val="24"/>
          <w:lang w:val="en-US" w:eastAsia="zh-CN"/>
        </w:rPr>
        <w:t>3</w:t>
      </w:r>
      <w:r>
        <w:rPr>
          <w:rFonts w:hint="default" w:ascii="Times New Roman" w:hAnsi="Times New Roman" w:cs="Times New Roman"/>
          <w:color w:val="auto"/>
          <w:sz w:val="24"/>
        </w:rPr>
        <w:t>.9按照甲方要求，列席重大会议或专题会议，或应邀出席甲方及其与其他单位的涉及法律事务的会议，并为往来文件中涉及资产、合同、纠纷及交易等问题提供咨询意见；</w:t>
      </w:r>
    </w:p>
    <w:p w14:paraId="22EB6D1F">
      <w:pPr>
        <w:pStyle w:val="57"/>
        <w:spacing w:line="320" w:lineRule="exact"/>
        <w:ind w:firstLine="480"/>
        <w:outlineLvl w:val="9"/>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4.</w:t>
      </w:r>
      <w:r>
        <w:rPr>
          <w:rFonts w:hint="default" w:ascii="Times New Roman" w:hAnsi="Times New Roman" w:cs="Times New Roman"/>
          <w:b/>
          <w:bCs/>
          <w:color w:val="auto"/>
          <w:sz w:val="24"/>
          <w:szCs w:val="24"/>
          <w:lang w:val="en-US" w:eastAsia="zh-CN"/>
        </w:rPr>
        <w:t>4</w:t>
      </w:r>
      <w:r>
        <w:rPr>
          <w:rFonts w:hint="default" w:ascii="Times New Roman" w:hAnsi="Times New Roman" w:cs="Times New Roman"/>
          <w:b/>
          <w:bCs/>
          <w:color w:val="auto"/>
          <w:sz w:val="24"/>
          <w:szCs w:val="24"/>
        </w:rPr>
        <w:t>融资、资源开发方面的法律服务</w:t>
      </w:r>
    </w:p>
    <w:p w14:paraId="472CE920">
      <w:pPr>
        <w:pStyle w:val="57"/>
        <w:spacing w:line="320" w:lineRule="exact"/>
        <w:ind w:firstLine="48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w:t>
      </w:r>
      <w:r>
        <w:rPr>
          <w:rFonts w:hint="default"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rPr>
        <w:t>.1为甲方的融资工作提供前期的法律咨询，必要时为融资合同、涉及的抵押、质押或保险问题及融资方式等提供法律意见；</w:t>
      </w:r>
    </w:p>
    <w:p w14:paraId="603436E0">
      <w:pPr>
        <w:pStyle w:val="57"/>
        <w:spacing w:line="320" w:lineRule="exact"/>
        <w:ind w:firstLine="480"/>
        <w:outlineLvl w:val="9"/>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4.</w:t>
      </w:r>
      <w:r>
        <w:rPr>
          <w:rFonts w:hint="default"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rPr>
        <w:t>.2对项目开发提供前期法律咨询服务</w:t>
      </w:r>
      <w:r>
        <w:rPr>
          <w:rFonts w:hint="eastAsia" w:ascii="Times New Roman" w:hAnsi="Times New Roman" w:cs="Times New Roman"/>
          <w:color w:val="auto"/>
          <w:sz w:val="24"/>
          <w:szCs w:val="24"/>
          <w:lang w:eastAsia="zh-CN"/>
        </w:rPr>
        <w:t>；</w:t>
      </w:r>
    </w:p>
    <w:p w14:paraId="29063BB0">
      <w:pPr>
        <w:pStyle w:val="57"/>
        <w:spacing w:line="320" w:lineRule="exact"/>
        <w:ind w:firstLine="480"/>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4.</w:t>
      </w:r>
      <w:r>
        <w:rPr>
          <w:rFonts w:hint="default"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rPr>
        <w:t>为甲方物业管理、资源开发及相关衍生资源开发提供法律咨询服务</w:t>
      </w:r>
      <w:r>
        <w:rPr>
          <w:rFonts w:hint="eastAsia" w:ascii="Times New Roman" w:hAnsi="Times New Roman" w:cs="Times New Roman"/>
          <w:color w:val="auto"/>
          <w:sz w:val="24"/>
          <w:szCs w:val="24"/>
          <w:lang w:eastAsia="zh-CN"/>
        </w:rPr>
        <w:t>；</w:t>
      </w:r>
    </w:p>
    <w:p w14:paraId="3227E484">
      <w:pPr>
        <w:pStyle w:val="57"/>
        <w:spacing w:line="320" w:lineRule="exact"/>
        <w:ind w:firstLine="48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w:t>
      </w:r>
      <w:r>
        <w:rPr>
          <w:rFonts w:hint="default"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4</w:t>
      </w:r>
      <w:r>
        <w:rPr>
          <w:rFonts w:ascii="宋体" w:hAnsi="宋体" w:eastAsia="宋体" w:cs="宋体"/>
          <w:sz w:val="24"/>
          <w:szCs w:val="24"/>
          <w:highlight w:val="none"/>
        </w:rPr>
        <w:t>根据甲方要求，审核融资合同文件及相关框架协议的条款，出具合法性审查意见，并根据需要出具法律意见书。</w:t>
      </w:r>
    </w:p>
    <w:p w14:paraId="38DB5AB3">
      <w:pPr>
        <w:pStyle w:val="57"/>
        <w:spacing w:line="320" w:lineRule="exact"/>
        <w:ind w:firstLine="480"/>
        <w:outlineLvl w:val="9"/>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4.</w:t>
      </w:r>
      <w:r>
        <w:rPr>
          <w:rFonts w:hint="default" w:ascii="Times New Roman" w:hAnsi="Times New Roman" w:cs="Times New Roman"/>
          <w:b/>
          <w:bCs/>
          <w:color w:val="auto"/>
          <w:sz w:val="24"/>
          <w:szCs w:val="24"/>
          <w:lang w:val="en-US" w:eastAsia="zh-CN"/>
        </w:rPr>
        <w:t>5</w:t>
      </w:r>
      <w:r>
        <w:rPr>
          <w:rFonts w:hint="default" w:ascii="Times New Roman" w:hAnsi="Times New Roman" w:cs="Times New Roman"/>
          <w:b/>
          <w:bCs/>
          <w:color w:val="auto"/>
          <w:sz w:val="24"/>
          <w:szCs w:val="24"/>
        </w:rPr>
        <w:t>投资、资产处置活动的法律服务</w:t>
      </w:r>
    </w:p>
    <w:p w14:paraId="00ABA4CB">
      <w:pPr>
        <w:pStyle w:val="57"/>
        <w:spacing w:line="320" w:lineRule="exact"/>
        <w:ind w:firstLine="48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w:t>
      </w:r>
      <w:r>
        <w:rPr>
          <w:rFonts w:hint="default"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rPr>
        <w:t>.1对企业改制、设立、破产、解散、注销、合并、分立、增减注册资本、股权转让、股权投资、资产处置及项目投资后评价等事项提供法律意见，对国有资产管理相关规定要求出具法律意见书的事项，出具法律意见书；</w:t>
      </w:r>
    </w:p>
    <w:p w14:paraId="18F106AE">
      <w:pPr>
        <w:pStyle w:val="57"/>
        <w:spacing w:line="320" w:lineRule="exact"/>
        <w:ind w:firstLine="480"/>
        <w:rPr>
          <w:rFonts w:hint="eastAsia" w:ascii="Times New Roman" w:hAnsi="Times New Roman" w:cs="Times New Roman"/>
          <w:color w:val="auto"/>
          <w:sz w:val="24"/>
          <w:szCs w:val="24"/>
          <w:lang w:eastAsia="zh-CN"/>
        </w:rPr>
      </w:pPr>
      <w:r>
        <w:rPr>
          <w:rFonts w:hint="default" w:ascii="Times New Roman" w:hAnsi="Times New Roman" w:cs="Times New Roman"/>
          <w:color w:val="auto"/>
          <w:sz w:val="24"/>
          <w:szCs w:val="24"/>
        </w:rPr>
        <w:t>4.</w:t>
      </w:r>
      <w:r>
        <w:rPr>
          <w:rFonts w:hint="default"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rPr>
        <w:t>.2为甲方及其所投资项目的合作协议、章程等法律文件的订立、修改、补充及解除进行审核，提出修改意见，参与重大投资、合作项目的谈判和起草,按照甲方要求出具法律意见。对国有资产管理相关规定要求对协议、章程等文件审查修改需出具法律意见书的事项，出具法律意见书</w:t>
      </w:r>
      <w:r>
        <w:rPr>
          <w:rFonts w:hint="eastAsia" w:ascii="Times New Roman" w:hAnsi="Times New Roman" w:cs="Times New Roman"/>
          <w:color w:val="auto"/>
          <w:sz w:val="24"/>
          <w:szCs w:val="24"/>
          <w:lang w:eastAsia="zh-CN"/>
        </w:rPr>
        <w:t>；</w:t>
      </w:r>
    </w:p>
    <w:p w14:paraId="1716F110">
      <w:pPr>
        <w:pStyle w:val="57"/>
        <w:spacing w:line="320" w:lineRule="exact"/>
        <w:ind w:firstLine="480"/>
        <w:outlineLvl w:val="9"/>
        <w:rPr>
          <w:rFonts w:hint="eastAsia"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rPr>
        <w:t>4.</w:t>
      </w:r>
      <w:r>
        <w:rPr>
          <w:rFonts w:hint="default"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3</w:t>
      </w:r>
      <w:r>
        <w:rPr>
          <w:rFonts w:ascii="宋体" w:hAnsi="宋体" w:eastAsia="宋体" w:cs="宋体"/>
          <w:sz w:val="24"/>
          <w:szCs w:val="24"/>
          <w:highlight w:val="none"/>
        </w:rPr>
        <w:t>参与投资项目的选择、谈判。</w:t>
      </w:r>
    </w:p>
    <w:p w14:paraId="7B6982D1">
      <w:pPr>
        <w:pStyle w:val="57"/>
        <w:spacing w:line="320" w:lineRule="exact"/>
        <w:ind w:firstLine="480"/>
        <w:outlineLvl w:val="9"/>
        <w:rPr>
          <w:rFonts w:hint="eastAsia" w:ascii="Times New Roman" w:hAnsi="Times New Roman" w:cs="Times New Roman"/>
          <w:color w:val="auto"/>
          <w:sz w:val="24"/>
          <w:szCs w:val="24"/>
          <w:lang w:eastAsia="zh-CN"/>
        </w:rPr>
      </w:pPr>
      <w:bookmarkStart w:id="296" w:name="OLE_LINK2"/>
      <w:r>
        <w:rPr>
          <w:rFonts w:hint="default" w:ascii="Times New Roman" w:hAnsi="Times New Roman" w:cs="Times New Roman"/>
          <w:b/>
          <w:bCs/>
          <w:color w:val="auto"/>
          <w:sz w:val="24"/>
          <w:szCs w:val="24"/>
        </w:rPr>
        <w:t>4.</w:t>
      </w:r>
      <w:r>
        <w:rPr>
          <w:rFonts w:hint="default" w:ascii="Times New Roman" w:hAnsi="Times New Roman" w:cs="Times New Roman"/>
          <w:b/>
          <w:bCs/>
          <w:color w:val="auto"/>
          <w:sz w:val="24"/>
          <w:szCs w:val="24"/>
          <w:lang w:val="en-US" w:eastAsia="zh-CN"/>
        </w:rPr>
        <w:t>6</w:t>
      </w:r>
      <w:r>
        <w:rPr>
          <w:rFonts w:hint="default" w:ascii="Times New Roman" w:hAnsi="Times New Roman" w:cs="Times New Roman"/>
          <w:color w:val="auto"/>
          <w:sz w:val="24"/>
          <w:szCs w:val="24"/>
        </w:rPr>
        <w:t xml:space="preserve"> 针对甲方的企业法律风险管理体系，提供合法</w:t>
      </w:r>
      <w:r>
        <w:rPr>
          <w:rFonts w:hint="eastAsia" w:ascii="Times New Roman" w:hAnsi="Times New Roman" w:cs="Times New Roman"/>
          <w:color w:val="auto"/>
          <w:sz w:val="24"/>
          <w:szCs w:val="24"/>
          <w:lang w:val="en-US" w:eastAsia="zh-CN"/>
        </w:rPr>
        <w:t>合规</w:t>
      </w:r>
      <w:r>
        <w:rPr>
          <w:rFonts w:hint="default" w:ascii="Times New Roman" w:hAnsi="Times New Roman" w:cs="Times New Roman"/>
          <w:color w:val="auto"/>
          <w:sz w:val="24"/>
          <w:szCs w:val="24"/>
        </w:rPr>
        <w:t>性建议</w:t>
      </w:r>
      <w:r>
        <w:rPr>
          <w:rFonts w:hint="eastAsia" w:ascii="Times New Roman" w:hAnsi="Times New Roman" w:cs="Times New Roman"/>
          <w:color w:val="auto"/>
          <w:sz w:val="24"/>
          <w:szCs w:val="24"/>
          <w:lang w:eastAsia="zh-CN"/>
        </w:rPr>
        <w:t>；</w:t>
      </w:r>
    </w:p>
    <w:p w14:paraId="1269D109">
      <w:pPr>
        <w:pStyle w:val="57"/>
        <w:spacing w:line="320" w:lineRule="exact"/>
        <w:ind w:firstLine="480"/>
        <w:outlineLvl w:val="9"/>
        <w:rPr>
          <w:rStyle w:val="34"/>
          <w:rFonts w:hint="eastAsia" w:ascii="Segoe UI" w:hAnsi="Segoe UI" w:eastAsia="宋体" w:cs="Segoe UI"/>
          <w:b/>
          <w:bCs/>
          <w:i w:val="0"/>
          <w:iCs w:val="0"/>
          <w:caps w:val="0"/>
          <w:color w:val="404040"/>
          <w:spacing w:val="0"/>
          <w:sz w:val="24"/>
          <w:szCs w:val="24"/>
          <w:highlight w:val="none"/>
          <w:shd w:val="clear" w:fill="FFFFFF"/>
          <w:lang w:val="en-US" w:eastAsia="zh-CN"/>
        </w:rPr>
      </w:pPr>
      <w:r>
        <w:rPr>
          <w:rFonts w:hint="eastAsia" w:ascii="Times New Roman" w:hAnsi="Times New Roman" w:eastAsia="宋体" w:cs="Times New Roman"/>
          <w:b/>
          <w:bCs/>
          <w:color w:val="auto"/>
          <w:sz w:val="24"/>
          <w:szCs w:val="24"/>
          <w:highlight w:val="none"/>
          <w:lang w:val="en-US" w:eastAsia="zh-CN"/>
        </w:rPr>
        <w:t>4.7</w:t>
      </w:r>
      <w:r>
        <w:rPr>
          <w:rStyle w:val="34"/>
          <w:rFonts w:ascii="Segoe UI" w:hAnsi="Segoe UI" w:eastAsia="Segoe UI" w:cs="Segoe UI"/>
          <w:b/>
          <w:bCs/>
          <w:i w:val="0"/>
          <w:iCs w:val="0"/>
          <w:caps w:val="0"/>
          <w:color w:val="404040"/>
          <w:spacing w:val="0"/>
          <w:sz w:val="24"/>
          <w:szCs w:val="24"/>
          <w:highlight w:val="none"/>
          <w:shd w:val="clear" w:fill="FFFFFF"/>
        </w:rPr>
        <w:t>合规管理与内控体系建设</w:t>
      </w:r>
      <w:r>
        <w:rPr>
          <w:rStyle w:val="34"/>
          <w:rFonts w:hint="eastAsia" w:ascii="Segoe UI" w:hAnsi="Segoe UI" w:eastAsia="宋体" w:cs="Segoe UI"/>
          <w:b/>
          <w:bCs/>
          <w:i w:val="0"/>
          <w:iCs w:val="0"/>
          <w:caps w:val="0"/>
          <w:color w:val="404040"/>
          <w:spacing w:val="0"/>
          <w:sz w:val="24"/>
          <w:szCs w:val="24"/>
          <w:highlight w:val="none"/>
          <w:shd w:val="clear" w:fill="FFFFFF"/>
          <w:lang w:val="en-US" w:eastAsia="zh-CN"/>
        </w:rPr>
        <w:t>方面的法律服务</w:t>
      </w:r>
    </w:p>
    <w:p w14:paraId="200C86E8">
      <w:pPr>
        <w:pStyle w:val="57"/>
        <w:spacing w:line="320" w:lineRule="exact"/>
        <w:ind w:firstLine="480"/>
        <w:outlineLvl w:val="9"/>
        <w:rPr>
          <w:rFonts w:ascii="Segoe UI" w:hAnsi="Segoe UI" w:eastAsia="Segoe UI" w:cs="Segoe UI"/>
          <w:i w:val="0"/>
          <w:iCs w:val="0"/>
          <w:caps w:val="0"/>
          <w:color w:val="404040"/>
          <w:spacing w:val="0"/>
          <w:sz w:val="24"/>
          <w:szCs w:val="24"/>
          <w:shd w:val="clear" w:fill="FFFFFF"/>
        </w:rPr>
      </w:pPr>
      <w:r>
        <w:rPr>
          <w:rFonts w:ascii="Segoe UI" w:hAnsi="Segoe UI" w:eastAsia="Segoe UI" w:cs="Segoe UI"/>
          <w:i w:val="0"/>
          <w:iCs w:val="0"/>
          <w:caps w:val="0"/>
          <w:color w:val="404040"/>
          <w:spacing w:val="0"/>
          <w:sz w:val="24"/>
          <w:szCs w:val="24"/>
          <w:shd w:val="clear" w:fill="FFFFFF"/>
        </w:rPr>
        <w:t>针对</w:t>
      </w:r>
      <w:r>
        <w:rPr>
          <w:rFonts w:hint="eastAsia" w:ascii="Segoe UI" w:hAnsi="Segoe UI" w:eastAsia="宋体" w:cs="Segoe UI"/>
          <w:i w:val="0"/>
          <w:iCs w:val="0"/>
          <w:caps w:val="0"/>
          <w:color w:val="404040"/>
          <w:spacing w:val="0"/>
          <w:sz w:val="24"/>
          <w:szCs w:val="24"/>
          <w:shd w:val="clear" w:fill="FFFFFF"/>
          <w:lang w:val="en-US" w:eastAsia="zh-CN"/>
        </w:rPr>
        <w:t>甲方</w:t>
      </w:r>
      <w:r>
        <w:rPr>
          <w:rFonts w:ascii="Segoe UI" w:hAnsi="Segoe UI" w:eastAsia="Segoe UI" w:cs="Segoe UI"/>
          <w:i w:val="0"/>
          <w:iCs w:val="0"/>
          <w:caps w:val="0"/>
          <w:color w:val="404040"/>
          <w:spacing w:val="0"/>
          <w:sz w:val="24"/>
          <w:szCs w:val="24"/>
          <w:shd w:val="clear" w:fill="FFFFFF"/>
        </w:rPr>
        <w:t>企业性质及主业所处的行业特质，梳理经营管理合规体系，协助公司根据法律、法规、规章、地方性法规、行业自律规则及其他规范性文件，完善内部制度建设和重点业务合规管理，并在此基础上协助优化内控体系，包括组织架构、职责权限、财务监控、信息传递与内控文化等。</w:t>
      </w:r>
    </w:p>
    <w:p w14:paraId="572365D7">
      <w:pPr>
        <w:pStyle w:val="57"/>
        <w:spacing w:line="320" w:lineRule="exact"/>
        <w:ind w:firstLine="480"/>
        <w:rPr>
          <w:rStyle w:val="33"/>
          <w:rFonts w:ascii="Times New Roman" w:hAnsi="Times New Roman" w:eastAsia="宋体" w:cs="Times New Roman"/>
          <w:b/>
          <w:bCs/>
          <w:i w:val="0"/>
          <w:iCs w:val="0"/>
          <w:caps w:val="0"/>
          <w:color w:val="auto"/>
          <w:spacing w:val="0"/>
          <w:sz w:val="24"/>
          <w:szCs w:val="24"/>
          <w:highlight w:val="none"/>
          <w:shd w:val="clear" w:fill="FFFFFF"/>
        </w:rPr>
      </w:pPr>
      <w:bookmarkStart w:id="297" w:name="OLE_LINK6"/>
      <w:bookmarkStart w:id="298" w:name="OLE_LINK3"/>
      <w:bookmarkStart w:id="299" w:name="OLE_LINK4"/>
      <w:r>
        <w:rPr>
          <w:rFonts w:hint="default" w:ascii="Times New Roman" w:hAnsi="Times New Roman" w:eastAsia="宋体" w:cs="Times New Roman"/>
          <w:b/>
          <w:bCs/>
          <w:i w:val="0"/>
          <w:iCs w:val="0"/>
          <w:caps w:val="0"/>
          <w:color w:val="auto"/>
          <w:spacing w:val="0"/>
          <w:sz w:val="24"/>
          <w:szCs w:val="24"/>
          <w:highlight w:val="none"/>
          <w:shd w:val="clear" w:fill="auto"/>
          <w:lang w:val="en-US" w:eastAsia="zh-CN"/>
        </w:rPr>
        <w:t>4.8</w:t>
      </w:r>
      <w:r>
        <w:rPr>
          <w:rStyle w:val="33"/>
          <w:rFonts w:ascii="Times New Roman" w:hAnsi="Times New Roman" w:eastAsia="宋体" w:cs="Times New Roman"/>
          <w:b/>
          <w:bCs/>
          <w:i w:val="0"/>
          <w:iCs w:val="0"/>
          <w:caps w:val="0"/>
          <w:color w:val="auto"/>
          <w:spacing w:val="0"/>
          <w:sz w:val="24"/>
          <w:szCs w:val="24"/>
          <w:highlight w:val="none"/>
          <w:shd w:val="clear" w:fill="FFFFFF"/>
        </w:rPr>
        <w:t xml:space="preserve"> 非诉讼争议协调与法律文书处理</w:t>
      </w:r>
    </w:p>
    <w:bookmarkEnd w:id="297"/>
    <w:bookmarkEnd w:id="298"/>
    <w:bookmarkEnd w:id="299"/>
    <w:p w14:paraId="616487A0">
      <w:pPr>
        <w:pStyle w:val="57"/>
        <w:spacing w:line="320" w:lineRule="exact"/>
        <w:ind w:firstLine="480"/>
        <w:rPr>
          <w:rFonts w:hint="default" w:ascii="Times New Roman" w:hAnsi="Times New Roman" w:eastAsia="宋体" w:cs="Times New Roman"/>
          <w:b w:val="0"/>
          <w:bCs w:val="0"/>
          <w:i w:val="0"/>
          <w:iCs w:val="0"/>
          <w:caps w:val="0"/>
          <w:color w:val="auto"/>
          <w:spacing w:val="0"/>
          <w:sz w:val="24"/>
          <w:szCs w:val="24"/>
          <w:highlight w:val="none"/>
          <w:shd w:val="clear"/>
        </w:rPr>
      </w:pPr>
      <w:r>
        <w:rPr>
          <w:rStyle w:val="33"/>
          <w:rFonts w:ascii="Times New Roman" w:hAnsi="Times New Roman" w:eastAsia="宋体" w:cs="Times New Roman"/>
          <w:b w:val="0"/>
          <w:bCs w:val="0"/>
          <w:i w:val="0"/>
          <w:iCs w:val="0"/>
          <w:caps w:val="0"/>
          <w:color w:val="auto"/>
          <w:spacing w:val="0"/>
          <w:sz w:val="24"/>
          <w:szCs w:val="24"/>
          <w:highlight w:val="none"/>
          <w:shd w:val="clear" w:fill="FFFFFF"/>
        </w:rPr>
        <w:t>4.8.1</w:t>
      </w:r>
      <w:r>
        <w:rPr>
          <w:rFonts w:hint="default" w:ascii="Times New Roman" w:hAnsi="Times New Roman" w:eastAsia="宋体" w:cs="Times New Roman"/>
          <w:i w:val="0"/>
          <w:iCs w:val="0"/>
          <w:caps w:val="0"/>
          <w:color w:val="auto"/>
          <w:spacing w:val="0"/>
          <w:sz w:val="24"/>
          <w:szCs w:val="24"/>
          <w:highlight w:val="none"/>
          <w:shd w:val="clear" w:fill="auto"/>
        </w:rPr>
        <w:t> 负责处理日常非诉法律文书的起草、审核与修订工作。</w:t>
      </w:r>
    </w:p>
    <w:p w14:paraId="2311993C">
      <w:pPr>
        <w:pStyle w:val="57"/>
        <w:spacing w:line="320" w:lineRule="exact"/>
        <w:ind w:firstLine="480"/>
        <w:rPr>
          <w:rFonts w:hint="default" w:ascii="Segoe UI" w:hAnsi="Segoe UI" w:eastAsia="Segoe UI" w:cs="Segoe UI"/>
          <w:b w:val="0"/>
          <w:bCs w:val="0"/>
          <w:i w:val="0"/>
          <w:iCs w:val="0"/>
          <w:caps w:val="0"/>
          <w:color w:val="404040"/>
          <w:spacing w:val="0"/>
          <w:sz w:val="24"/>
          <w:szCs w:val="24"/>
          <w:highlight w:val="none"/>
          <w:shd w:val="clear" w:fill="FFFFFF"/>
        </w:rPr>
      </w:pPr>
      <w:r>
        <w:rPr>
          <w:rStyle w:val="33"/>
          <w:rFonts w:hint="default" w:ascii="Times New Roman" w:hAnsi="Times New Roman" w:eastAsia="宋体" w:cs="Times New Roman"/>
          <w:b w:val="0"/>
          <w:bCs w:val="0"/>
          <w:i w:val="0"/>
          <w:iCs w:val="0"/>
          <w:caps w:val="0"/>
          <w:color w:val="auto"/>
          <w:spacing w:val="0"/>
          <w:sz w:val="24"/>
          <w:szCs w:val="24"/>
          <w:highlight w:val="none"/>
          <w:shd w:val="clear" w:fill="FFFFFF"/>
        </w:rPr>
        <w:t>4.8.2</w:t>
      </w:r>
      <w:r>
        <w:rPr>
          <w:rFonts w:hint="default" w:ascii="Times New Roman" w:hAnsi="Times New Roman" w:eastAsia="宋体" w:cs="Times New Roman"/>
          <w:i w:val="0"/>
          <w:iCs w:val="0"/>
          <w:caps w:val="0"/>
          <w:color w:val="auto"/>
          <w:spacing w:val="0"/>
          <w:sz w:val="24"/>
          <w:szCs w:val="24"/>
          <w:highlight w:val="none"/>
          <w:shd w:val="clear" w:fill="auto"/>
        </w:rPr>
        <w:t> 协助协调解决未进入诉讼、仲裁程序的争议纠纷，积极参与处理尚未形成诉讼或仲裁的各类民事、经济、行政争议及其他重大纠纷，包括但不限于参与协商、调解，以及与法院执行局等司法机关的沟通协调事务。</w:t>
      </w:r>
    </w:p>
    <w:p w14:paraId="2FD8557F">
      <w:pPr>
        <w:pStyle w:val="57"/>
        <w:spacing w:line="320" w:lineRule="exact"/>
        <w:ind w:left="479" w:leftChars="228" w:firstLine="0" w:firstLineChars="0"/>
        <w:rPr>
          <w:rFonts w:hint="eastAsia" w:ascii="Segoe UI" w:hAnsi="Segoe UI" w:eastAsia="宋体" w:cs="Segoe UI"/>
          <w:i w:val="0"/>
          <w:iCs w:val="0"/>
          <w:caps w:val="0"/>
          <w:color w:val="404040"/>
          <w:spacing w:val="0"/>
          <w:sz w:val="24"/>
          <w:szCs w:val="24"/>
          <w:highlight w:val="none"/>
          <w:shd w:val="clear" w:fill="FFFFFF"/>
          <w:lang w:val="en-US" w:eastAsia="zh-CN"/>
        </w:rPr>
      </w:pPr>
      <w:r>
        <w:rPr>
          <w:rFonts w:hint="eastAsia" w:ascii="Segoe UI" w:hAnsi="Segoe UI" w:eastAsia="宋体" w:cs="Segoe UI"/>
          <w:i w:val="0"/>
          <w:iCs w:val="0"/>
          <w:caps w:val="0"/>
          <w:color w:val="404040"/>
          <w:spacing w:val="0"/>
          <w:sz w:val="24"/>
          <w:szCs w:val="24"/>
          <w:highlight w:val="none"/>
          <w:shd w:val="clear" w:fill="FFFFFF"/>
          <w:lang w:val="en-US" w:eastAsia="zh-CN"/>
        </w:rPr>
        <w:t>4.9</w:t>
      </w:r>
      <w:r>
        <w:rPr>
          <w:rStyle w:val="34"/>
          <w:rFonts w:ascii="Segoe UI" w:hAnsi="Segoe UI" w:eastAsia="Segoe UI" w:cs="Segoe UI"/>
          <w:b/>
          <w:bCs/>
          <w:i w:val="0"/>
          <w:iCs w:val="0"/>
          <w:caps w:val="0"/>
          <w:color w:val="404040"/>
          <w:spacing w:val="0"/>
          <w:sz w:val="24"/>
          <w:szCs w:val="24"/>
          <w:highlight w:val="none"/>
          <w:shd w:val="clear" w:fill="FFFFFF"/>
        </w:rPr>
        <w:t>审计相关法律配合工作</w:t>
      </w:r>
    </w:p>
    <w:p w14:paraId="3295F3D5">
      <w:pPr>
        <w:pStyle w:val="57"/>
        <w:spacing w:line="320" w:lineRule="exact"/>
        <w:ind w:firstLine="480"/>
        <w:rPr>
          <w:rFonts w:hint="eastAsia" w:ascii="Segoe UI" w:hAnsi="Segoe UI" w:eastAsia="宋体" w:cs="Segoe UI"/>
          <w:i w:val="0"/>
          <w:iCs w:val="0"/>
          <w:caps w:val="0"/>
          <w:color w:val="404040"/>
          <w:spacing w:val="0"/>
          <w:sz w:val="24"/>
          <w:szCs w:val="24"/>
          <w:highlight w:val="none"/>
          <w:shd w:val="clear" w:fill="FFFFFF"/>
          <w:lang w:eastAsia="zh-CN"/>
        </w:rPr>
      </w:pPr>
      <w:r>
        <w:rPr>
          <w:rFonts w:hint="default" w:ascii="Segoe UI" w:hAnsi="Segoe UI" w:eastAsia="Segoe UI" w:cs="Segoe UI"/>
          <w:i w:val="0"/>
          <w:iCs w:val="0"/>
          <w:caps w:val="0"/>
          <w:color w:val="404040"/>
          <w:spacing w:val="0"/>
          <w:sz w:val="24"/>
          <w:szCs w:val="24"/>
          <w:highlight w:val="none"/>
          <w:shd w:val="clear" w:fill="FFFFFF"/>
          <w:lang w:val="en-US" w:eastAsia="zh-CN"/>
        </w:rPr>
        <w:t>应甲方要求，</w:t>
      </w:r>
      <w:r>
        <w:rPr>
          <w:rFonts w:ascii="Segoe UI" w:hAnsi="Segoe UI" w:eastAsia="Segoe UI" w:cs="Segoe UI"/>
          <w:i w:val="0"/>
          <w:iCs w:val="0"/>
          <w:caps w:val="0"/>
          <w:color w:val="404040"/>
          <w:spacing w:val="0"/>
          <w:sz w:val="24"/>
          <w:szCs w:val="24"/>
          <w:highlight w:val="none"/>
          <w:shd w:val="clear" w:fill="FFFFFF"/>
        </w:rPr>
        <w:t>协助</w:t>
      </w:r>
      <w:r>
        <w:rPr>
          <w:rFonts w:hint="eastAsia" w:ascii="Segoe UI" w:hAnsi="Segoe UI" w:eastAsia="宋体" w:cs="Segoe UI"/>
          <w:i w:val="0"/>
          <w:iCs w:val="0"/>
          <w:caps w:val="0"/>
          <w:color w:val="404040"/>
          <w:spacing w:val="0"/>
          <w:sz w:val="24"/>
          <w:szCs w:val="24"/>
          <w:highlight w:val="none"/>
          <w:shd w:val="clear" w:fill="FFFFFF"/>
          <w:lang w:val="en-US" w:eastAsia="zh-CN"/>
        </w:rPr>
        <w:t>甲方</w:t>
      </w:r>
      <w:r>
        <w:rPr>
          <w:rFonts w:ascii="Segoe UI" w:hAnsi="Segoe UI" w:eastAsia="Segoe UI" w:cs="Segoe UI"/>
          <w:i w:val="0"/>
          <w:iCs w:val="0"/>
          <w:caps w:val="0"/>
          <w:color w:val="404040"/>
          <w:spacing w:val="0"/>
          <w:sz w:val="24"/>
          <w:szCs w:val="24"/>
          <w:highlight w:val="none"/>
          <w:shd w:val="clear" w:fill="FFFFFF"/>
        </w:rPr>
        <w:t>对接上级监管部门有关审计事项的工作，就审计过程中涉及的法律问题提供专业意见，配合准备相关法律文件及说明材料，并协助</w:t>
      </w:r>
      <w:r>
        <w:rPr>
          <w:rFonts w:hint="eastAsia" w:ascii="Segoe UI" w:hAnsi="Segoe UI" w:eastAsia="宋体" w:cs="Segoe UI"/>
          <w:i w:val="0"/>
          <w:iCs w:val="0"/>
          <w:caps w:val="0"/>
          <w:color w:val="404040"/>
          <w:spacing w:val="0"/>
          <w:sz w:val="24"/>
          <w:szCs w:val="24"/>
          <w:highlight w:val="none"/>
          <w:shd w:val="clear" w:fill="FFFFFF"/>
          <w:lang w:val="en-US" w:eastAsia="zh-CN"/>
        </w:rPr>
        <w:t>甲方</w:t>
      </w:r>
      <w:r>
        <w:rPr>
          <w:rFonts w:ascii="Segoe UI" w:hAnsi="Segoe UI" w:eastAsia="Segoe UI" w:cs="Segoe UI"/>
          <w:i w:val="0"/>
          <w:iCs w:val="0"/>
          <w:caps w:val="0"/>
          <w:color w:val="404040"/>
          <w:spacing w:val="0"/>
          <w:sz w:val="24"/>
          <w:szCs w:val="24"/>
          <w:highlight w:val="none"/>
          <w:shd w:val="clear" w:fill="FFFFFF"/>
        </w:rPr>
        <w:t>应对审计中的法律风险及后续整改事宜</w:t>
      </w:r>
      <w:r>
        <w:rPr>
          <w:rFonts w:hint="eastAsia" w:ascii="Segoe UI" w:hAnsi="Segoe UI" w:eastAsia="宋体" w:cs="Segoe UI"/>
          <w:i w:val="0"/>
          <w:iCs w:val="0"/>
          <w:caps w:val="0"/>
          <w:color w:val="404040"/>
          <w:spacing w:val="0"/>
          <w:sz w:val="24"/>
          <w:szCs w:val="24"/>
          <w:highlight w:val="none"/>
          <w:shd w:val="clear" w:fill="FFFFFF"/>
          <w:lang w:eastAsia="zh-CN"/>
        </w:rPr>
        <w:t>；</w:t>
      </w:r>
    </w:p>
    <w:bookmarkEnd w:id="296"/>
    <w:p w14:paraId="4CFAE58A">
      <w:pPr>
        <w:pStyle w:val="57"/>
        <w:spacing w:line="320" w:lineRule="exact"/>
        <w:ind w:firstLine="480"/>
        <w:rPr>
          <w:rFonts w:hint="eastAsia" w:ascii="Times New Roman" w:hAnsi="Times New Roman" w:eastAsia="宋体" w:cs="Times New Roman"/>
          <w:color w:val="auto"/>
          <w:sz w:val="24"/>
          <w:szCs w:val="24"/>
          <w:lang w:eastAsia="zh-CN"/>
        </w:rPr>
      </w:pPr>
      <w:r>
        <w:rPr>
          <w:rFonts w:hint="eastAsia" w:cs="Times New Roman"/>
          <w:b/>
          <w:bCs/>
          <w:color w:val="auto"/>
          <w:sz w:val="24"/>
          <w:highlight w:val="none"/>
          <w:lang w:val="en-US" w:eastAsia="zh-CN"/>
        </w:rPr>
        <w:t xml:space="preserve">5.0 </w:t>
      </w:r>
      <w:r>
        <w:rPr>
          <w:rFonts w:hint="default" w:ascii="Times New Roman" w:hAnsi="Times New Roman" w:cs="Times New Roman"/>
          <w:color w:val="auto"/>
          <w:sz w:val="24"/>
          <w:szCs w:val="24"/>
        </w:rPr>
        <w:t>按照相关法律法规和上级单位的规定，为公司内部治理规范运作提供法律咨询和建议</w:t>
      </w:r>
      <w:r>
        <w:rPr>
          <w:rFonts w:hint="eastAsia" w:ascii="Times New Roman" w:hAnsi="Times New Roman" w:cs="Times New Roman"/>
          <w:color w:val="auto"/>
          <w:sz w:val="24"/>
          <w:szCs w:val="24"/>
          <w:lang w:eastAsia="zh-CN"/>
        </w:rPr>
        <w:t>；</w:t>
      </w:r>
    </w:p>
    <w:p w14:paraId="2157A0E8">
      <w:pPr>
        <w:spacing w:line="320" w:lineRule="exact"/>
        <w:ind w:firstLine="482" w:firstLineChars="200"/>
        <w:rPr>
          <w:rFonts w:hint="eastAsia" w:cs="Times New Roman"/>
          <w:color w:val="auto"/>
          <w:sz w:val="24"/>
          <w:lang w:eastAsia="zh-CN"/>
        </w:rPr>
      </w:pPr>
      <w:r>
        <w:rPr>
          <w:rFonts w:hint="eastAsia" w:cs="Times New Roman"/>
          <w:b/>
          <w:bCs/>
          <w:color w:val="auto"/>
          <w:sz w:val="24"/>
          <w:highlight w:val="none"/>
          <w:lang w:val="en-US" w:eastAsia="zh-CN"/>
        </w:rPr>
        <w:t>5.1</w:t>
      </w:r>
      <w:r>
        <w:rPr>
          <w:rFonts w:hint="default" w:ascii="Times New Roman" w:hAnsi="Times New Roman" w:cs="Times New Roman"/>
          <w:color w:val="auto"/>
          <w:sz w:val="24"/>
        </w:rPr>
        <w:t>乙方所出具的法律意见书，应符合甲方及甲方上级单位的要求，格式及内容根据实际需要出具但应符合</w:t>
      </w:r>
      <w:r>
        <w:rPr>
          <w:rFonts w:hint="eastAsia" w:ascii="Times New Roman" w:hAnsi="Times New Roman" w:cs="Times New Roman"/>
          <w:color w:val="auto"/>
          <w:sz w:val="24"/>
          <w:lang w:val="en-US" w:eastAsia="zh-CN"/>
        </w:rPr>
        <w:t>上级部门</w:t>
      </w:r>
      <w:r>
        <w:rPr>
          <w:rFonts w:hint="default" w:ascii="Times New Roman" w:hAnsi="Times New Roman" w:cs="Times New Roman"/>
          <w:color w:val="auto"/>
          <w:sz w:val="24"/>
        </w:rPr>
        <w:t>《关于规范使用法律意见书的若干规范》等相关文件的要求</w:t>
      </w:r>
      <w:r>
        <w:rPr>
          <w:rFonts w:hint="eastAsia" w:cs="Times New Roman"/>
          <w:color w:val="auto"/>
          <w:sz w:val="24"/>
          <w:lang w:eastAsia="zh-CN"/>
        </w:rPr>
        <w:t>；</w:t>
      </w:r>
    </w:p>
    <w:p w14:paraId="55FDB11B">
      <w:pPr>
        <w:spacing w:line="320" w:lineRule="exact"/>
        <w:ind w:firstLine="482" w:firstLineChars="200"/>
        <w:rPr>
          <w:rStyle w:val="34"/>
          <w:rFonts w:hint="default" w:ascii="Segoe UI" w:hAnsi="Segoe UI" w:eastAsia="Segoe UI" w:cs="Segoe UI"/>
          <w:b/>
          <w:bCs/>
          <w:i w:val="0"/>
          <w:iCs w:val="0"/>
          <w:caps w:val="0"/>
          <w:color w:val="404040"/>
          <w:spacing w:val="0"/>
          <w:sz w:val="24"/>
          <w:szCs w:val="24"/>
          <w:shd w:val="clear" w:fill="FFFFFF"/>
          <w:lang w:val="en-US" w:eastAsia="zh-CN"/>
        </w:rPr>
      </w:pPr>
      <w:r>
        <w:rPr>
          <w:rFonts w:hint="eastAsia" w:cs="Times New Roman"/>
          <w:b/>
          <w:bCs/>
          <w:color w:val="auto"/>
          <w:sz w:val="24"/>
          <w:highlight w:val="none"/>
          <w:lang w:val="en-US" w:eastAsia="zh-CN"/>
        </w:rPr>
        <w:t>5.2</w:t>
      </w:r>
      <w:r>
        <w:rPr>
          <w:rFonts w:hint="default" w:ascii="Times New Roman" w:hAnsi="Times New Roman" w:cs="Times New Roman"/>
          <w:color w:val="auto"/>
          <w:sz w:val="24"/>
        </w:rPr>
        <w:t>上述事项中，对于涉及甲方或甲方关联方重大投融资、并购、企业改制、重组、破产、股票发行、债券发行、上市等需要另行专项委托的法律服务，另行签订专项服务合同。</w:t>
      </w:r>
    </w:p>
    <w:p w14:paraId="7EE48458">
      <w:pPr>
        <w:spacing w:line="320" w:lineRule="exact"/>
        <w:ind w:firstLine="482" w:firstLineChars="200"/>
        <w:outlineLvl w:val="9"/>
        <w:rPr>
          <w:rFonts w:hint="default" w:ascii="Times New Roman" w:hAnsi="Times New Roman" w:cs="Times New Roman"/>
          <w:b/>
          <w:color w:val="auto"/>
          <w:sz w:val="24"/>
          <w:highlight w:val="none"/>
        </w:rPr>
      </w:pPr>
      <w:r>
        <w:rPr>
          <w:rFonts w:hint="eastAsia" w:cs="Times New Roman"/>
          <w:b/>
          <w:color w:val="auto"/>
          <w:sz w:val="24"/>
          <w:highlight w:val="none"/>
          <w:lang w:val="en-US" w:eastAsia="zh-CN"/>
        </w:rPr>
        <w:t>6</w:t>
      </w:r>
      <w:r>
        <w:rPr>
          <w:rFonts w:hint="default" w:ascii="Times New Roman" w:hAnsi="Times New Roman" w:cs="Times New Roman"/>
          <w:b/>
          <w:color w:val="auto"/>
          <w:sz w:val="24"/>
          <w:highlight w:val="none"/>
        </w:rPr>
        <w:t>.甲方权</w:t>
      </w:r>
      <w:r>
        <w:rPr>
          <w:rFonts w:hint="eastAsia" w:cs="Times New Roman"/>
          <w:b/>
          <w:color w:val="auto"/>
          <w:sz w:val="24"/>
          <w:highlight w:val="none"/>
          <w:lang w:val="en-US" w:eastAsia="zh-CN"/>
        </w:rPr>
        <w:t>利</w:t>
      </w:r>
      <w:r>
        <w:rPr>
          <w:rFonts w:hint="default" w:ascii="Times New Roman" w:hAnsi="Times New Roman" w:cs="Times New Roman"/>
          <w:b/>
          <w:color w:val="auto"/>
          <w:sz w:val="24"/>
          <w:highlight w:val="none"/>
        </w:rPr>
        <w:t>义务</w:t>
      </w:r>
    </w:p>
    <w:p w14:paraId="1D5E7609">
      <w:pPr>
        <w:spacing w:line="320" w:lineRule="exact"/>
        <w:ind w:firstLine="480" w:firstLineChars="200"/>
        <w:rPr>
          <w:rFonts w:hint="eastAsia" w:ascii="Times New Roman" w:hAnsi="Times New Roman" w:eastAsia="宋体" w:cs="Times New Roman"/>
          <w:bCs/>
          <w:color w:val="auto"/>
          <w:sz w:val="24"/>
          <w:lang w:eastAsia="zh-CN"/>
        </w:rPr>
      </w:pPr>
      <w:r>
        <w:rPr>
          <w:rFonts w:hint="eastAsia" w:cs="Times New Roman"/>
          <w:bCs/>
          <w:color w:val="auto"/>
          <w:sz w:val="24"/>
          <w:highlight w:val="none"/>
          <w:lang w:val="en-US" w:eastAsia="zh-CN"/>
        </w:rPr>
        <w:t>6</w:t>
      </w:r>
      <w:r>
        <w:rPr>
          <w:rFonts w:hint="default" w:ascii="Times New Roman" w:hAnsi="Times New Roman" w:cs="Times New Roman"/>
          <w:bCs/>
          <w:color w:val="auto"/>
          <w:sz w:val="24"/>
          <w:highlight w:val="none"/>
        </w:rPr>
        <w:t>.1</w:t>
      </w:r>
      <w:r>
        <w:rPr>
          <w:rFonts w:hint="default" w:ascii="Times New Roman" w:hAnsi="Times New Roman" w:cs="Times New Roman"/>
          <w:bCs/>
          <w:color w:val="auto"/>
          <w:sz w:val="24"/>
        </w:rPr>
        <w:t>甲方应当向乙方充分披露与委托事项有关的背景信息，并提供有关资料、文件、证据、联系人及联系方式。除非另有书面指示，甲方提供给乙方的资料、文件、证据均应为复印件或复制品，原件应由甲方妥善保管</w:t>
      </w:r>
      <w:r>
        <w:rPr>
          <w:rFonts w:hint="eastAsia" w:cs="Times New Roman"/>
          <w:bCs/>
          <w:color w:val="auto"/>
          <w:sz w:val="24"/>
          <w:lang w:eastAsia="zh-CN"/>
        </w:rPr>
        <w:t>；</w:t>
      </w:r>
    </w:p>
    <w:p w14:paraId="2DC06003">
      <w:pPr>
        <w:spacing w:line="320" w:lineRule="exact"/>
        <w:ind w:firstLine="480" w:firstLineChars="200"/>
        <w:rPr>
          <w:rFonts w:hint="eastAsia" w:ascii="Times New Roman" w:hAnsi="Times New Roman" w:eastAsia="宋体" w:cs="Times New Roman"/>
          <w:bCs/>
          <w:color w:val="auto"/>
          <w:sz w:val="24"/>
          <w:lang w:eastAsia="zh-CN"/>
        </w:rPr>
      </w:pPr>
      <w:r>
        <w:rPr>
          <w:rFonts w:hint="eastAsia" w:cs="Times New Roman"/>
          <w:bCs/>
          <w:color w:val="auto"/>
          <w:sz w:val="24"/>
          <w:lang w:val="en-US" w:eastAsia="zh-CN"/>
        </w:rPr>
        <w:t>6</w:t>
      </w:r>
      <w:r>
        <w:rPr>
          <w:rFonts w:hint="default" w:ascii="Times New Roman" w:hAnsi="Times New Roman" w:cs="Times New Roman"/>
          <w:bCs/>
          <w:color w:val="auto"/>
          <w:sz w:val="24"/>
        </w:rPr>
        <w:t>.2甲方应保证向乙方所提供的信息均为真实、准确、完整的信息，所提供的资料、文件、证据均真实可靠，复印件及复制品与其原件完全一致</w:t>
      </w:r>
      <w:r>
        <w:rPr>
          <w:rFonts w:hint="eastAsia" w:cs="Times New Roman"/>
          <w:bCs/>
          <w:color w:val="auto"/>
          <w:sz w:val="24"/>
          <w:lang w:eastAsia="zh-CN"/>
        </w:rPr>
        <w:t>；</w:t>
      </w:r>
    </w:p>
    <w:p w14:paraId="7B321B27">
      <w:pPr>
        <w:spacing w:line="320" w:lineRule="exact"/>
        <w:ind w:firstLine="480" w:firstLineChars="200"/>
        <w:outlineLvl w:val="9"/>
        <w:rPr>
          <w:rFonts w:hint="eastAsia" w:ascii="Times New Roman" w:hAnsi="Times New Roman" w:eastAsia="宋体" w:cs="Times New Roman"/>
          <w:bCs/>
          <w:color w:val="auto"/>
          <w:sz w:val="24"/>
          <w:lang w:eastAsia="zh-CN"/>
        </w:rPr>
      </w:pPr>
      <w:r>
        <w:rPr>
          <w:rFonts w:hint="eastAsia" w:cs="Times New Roman"/>
          <w:bCs/>
          <w:color w:val="auto"/>
          <w:sz w:val="24"/>
          <w:lang w:val="en-US" w:eastAsia="zh-CN"/>
        </w:rPr>
        <w:t>6</w:t>
      </w:r>
      <w:r>
        <w:rPr>
          <w:rFonts w:hint="default" w:ascii="Times New Roman" w:hAnsi="Times New Roman" w:cs="Times New Roman"/>
          <w:bCs/>
          <w:color w:val="auto"/>
          <w:sz w:val="24"/>
        </w:rPr>
        <w:t>.3甲方应为乙方提供法律服务提供一切必要的配合和条件</w:t>
      </w:r>
      <w:r>
        <w:rPr>
          <w:rFonts w:hint="eastAsia" w:cs="Times New Roman"/>
          <w:bCs/>
          <w:color w:val="auto"/>
          <w:sz w:val="24"/>
          <w:lang w:eastAsia="zh-CN"/>
        </w:rPr>
        <w:t>；</w:t>
      </w:r>
    </w:p>
    <w:p w14:paraId="31A02255">
      <w:pPr>
        <w:spacing w:line="320" w:lineRule="exact"/>
        <w:ind w:firstLine="480" w:firstLineChars="200"/>
        <w:rPr>
          <w:rFonts w:hint="eastAsia" w:cs="Times New Roman"/>
          <w:bCs/>
          <w:color w:val="auto"/>
          <w:sz w:val="24"/>
          <w:lang w:eastAsia="zh-CN"/>
        </w:rPr>
      </w:pPr>
      <w:r>
        <w:rPr>
          <w:rFonts w:hint="eastAsia" w:cs="Times New Roman"/>
          <w:bCs/>
          <w:color w:val="auto"/>
          <w:sz w:val="24"/>
          <w:lang w:val="en-US" w:eastAsia="zh-CN"/>
        </w:rPr>
        <w:t>6</w:t>
      </w:r>
      <w:r>
        <w:rPr>
          <w:rFonts w:hint="default" w:ascii="Times New Roman" w:hAnsi="Times New Roman" w:cs="Times New Roman"/>
          <w:bCs/>
          <w:color w:val="auto"/>
          <w:sz w:val="24"/>
        </w:rPr>
        <w:t>.4需要乙方出席的会议、谈判、座谈等，甲方应尽早提前通知乙方并提交前述活动的必要书面文件，告知前述活动的内容、背景、联系人、时间、地点、出席人员名单等</w:t>
      </w:r>
      <w:r>
        <w:rPr>
          <w:rFonts w:hint="eastAsia" w:cs="Times New Roman"/>
          <w:bCs/>
          <w:color w:val="auto"/>
          <w:sz w:val="24"/>
          <w:lang w:eastAsia="zh-CN"/>
        </w:rPr>
        <w:t>；</w:t>
      </w:r>
    </w:p>
    <w:p w14:paraId="49C39EC4">
      <w:pPr>
        <w:spacing w:line="320" w:lineRule="exact"/>
        <w:ind w:firstLine="480" w:firstLineChars="200"/>
        <w:rPr>
          <w:rFonts w:hint="default" w:cs="Times New Roman"/>
          <w:bCs/>
          <w:color w:val="auto"/>
          <w:sz w:val="24"/>
          <w:highlight w:val="none"/>
          <w:lang w:val="en-US" w:eastAsia="zh-CN"/>
        </w:rPr>
      </w:pPr>
      <w:r>
        <w:rPr>
          <w:rFonts w:hint="default" w:cs="Times New Roman"/>
          <w:bCs/>
          <w:color w:val="auto"/>
          <w:sz w:val="24"/>
          <w:highlight w:val="none"/>
          <w:lang w:val="en-US" w:eastAsia="zh-CN"/>
        </w:rPr>
        <w:t>6.</w:t>
      </w:r>
      <w:bookmarkStart w:id="300" w:name="OLE_LINK14"/>
      <w:r>
        <w:rPr>
          <w:rFonts w:hint="eastAsia" w:ascii="Times New Roman" w:hAnsi="Times New Roman" w:eastAsia="宋体" w:cs="Times New Roman"/>
          <w:bCs/>
          <w:color w:val="auto"/>
          <w:sz w:val="24"/>
          <w:highlight w:val="none"/>
          <w:lang w:val="en-US" w:eastAsia="zh-CN"/>
        </w:rPr>
        <w:t>5</w:t>
      </w:r>
      <w:r>
        <w:rPr>
          <w:rFonts w:hint="default" w:ascii="Times New Roman" w:hAnsi="Times New Roman" w:eastAsia="宋体" w:cs="Times New Roman"/>
          <w:b w:val="0"/>
          <w:bCs/>
          <w:color w:val="auto"/>
          <w:kern w:val="2"/>
          <w:sz w:val="24"/>
          <w:szCs w:val="24"/>
          <w:highlight w:val="none"/>
          <w:lang w:val="en-US" w:eastAsia="zh-CN" w:bidi="ar-SA"/>
        </w:rPr>
        <w:t>甲方</w:t>
      </w:r>
      <w:r>
        <w:rPr>
          <w:rFonts w:hint="eastAsia" w:cs="Times New Roman"/>
          <w:b w:val="0"/>
          <w:bCs/>
          <w:color w:val="auto"/>
          <w:kern w:val="2"/>
          <w:sz w:val="24"/>
          <w:szCs w:val="24"/>
          <w:highlight w:val="none"/>
          <w:lang w:val="en-US" w:eastAsia="zh-CN" w:bidi="ar-SA"/>
        </w:rPr>
        <w:t>有权</w:t>
      </w:r>
      <w:r>
        <w:rPr>
          <w:rFonts w:hint="default" w:ascii="Times New Roman" w:hAnsi="Times New Roman" w:eastAsia="宋体" w:cs="Times New Roman"/>
          <w:b w:val="0"/>
          <w:bCs/>
          <w:color w:val="auto"/>
          <w:kern w:val="2"/>
          <w:sz w:val="24"/>
          <w:szCs w:val="24"/>
          <w:highlight w:val="none"/>
          <w:lang w:val="en-US" w:eastAsia="zh-CN" w:bidi="ar-SA"/>
        </w:rPr>
        <w:t>对乙方服务工作进行考评，考评的内容包括团队业务能力、团队服务质量、团队工作态度、廉洁自律情况等。</w:t>
      </w:r>
      <w:r>
        <w:rPr>
          <w:rFonts w:hint="default" w:ascii="Times New Roman" w:hAnsi="Times New Roman" w:eastAsia="宋体" w:cs="Times New Roman"/>
          <w:b/>
          <w:bCs w:val="0"/>
          <w:color w:val="auto"/>
          <w:kern w:val="2"/>
          <w:sz w:val="24"/>
          <w:szCs w:val="24"/>
          <w:highlight w:val="none"/>
          <w:lang w:val="en-US" w:eastAsia="zh-CN" w:bidi="ar-SA"/>
        </w:rPr>
        <w:t>具体考评标准详见附件三</w:t>
      </w:r>
      <w:r>
        <w:rPr>
          <w:rFonts w:hint="default" w:ascii="Times New Roman" w:hAnsi="Times New Roman" w:eastAsia="宋体" w:cs="Times New Roman"/>
          <w:b w:val="0"/>
          <w:bCs/>
          <w:color w:val="auto"/>
          <w:kern w:val="2"/>
          <w:sz w:val="24"/>
          <w:szCs w:val="24"/>
          <w:highlight w:val="none"/>
          <w:lang w:val="en-US" w:eastAsia="zh-CN" w:bidi="ar-SA"/>
        </w:rPr>
        <w:t>。</w:t>
      </w:r>
      <w:bookmarkEnd w:id="300"/>
    </w:p>
    <w:p w14:paraId="3C413187">
      <w:pPr>
        <w:spacing w:line="320" w:lineRule="exact"/>
        <w:ind w:firstLine="480" w:firstLineChars="200"/>
        <w:outlineLvl w:val="9"/>
        <w:rPr>
          <w:rFonts w:hint="default" w:ascii="Times New Roman" w:hAnsi="Times New Roman" w:cs="Times New Roman"/>
          <w:bCs/>
          <w:color w:val="auto"/>
          <w:sz w:val="24"/>
        </w:rPr>
      </w:pPr>
      <w:r>
        <w:rPr>
          <w:rFonts w:hint="eastAsia" w:cs="Times New Roman"/>
          <w:bCs/>
          <w:color w:val="auto"/>
          <w:sz w:val="24"/>
          <w:lang w:val="en-US" w:eastAsia="zh-CN"/>
        </w:rPr>
        <w:t>6</w:t>
      </w:r>
      <w:r>
        <w:rPr>
          <w:rFonts w:hint="default" w:ascii="Times New Roman" w:hAnsi="Times New Roman" w:cs="Times New Roman"/>
          <w:bCs/>
          <w:color w:val="auto"/>
          <w:sz w:val="24"/>
        </w:rPr>
        <w:t>.</w:t>
      </w:r>
      <w:r>
        <w:rPr>
          <w:rFonts w:hint="eastAsia" w:cs="Times New Roman"/>
          <w:bCs/>
          <w:color w:val="auto"/>
          <w:sz w:val="24"/>
          <w:lang w:val="en-US" w:eastAsia="zh-CN"/>
        </w:rPr>
        <w:t>6</w:t>
      </w:r>
      <w:r>
        <w:rPr>
          <w:rFonts w:hint="default" w:ascii="Times New Roman" w:hAnsi="Times New Roman" w:cs="Times New Roman"/>
          <w:bCs/>
          <w:color w:val="auto"/>
          <w:sz w:val="24"/>
        </w:rPr>
        <w:t>甲方应根据本合同及时支付法律服务费用。</w:t>
      </w:r>
    </w:p>
    <w:p w14:paraId="1B27E045">
      <w:pPr>
        <w:spacing w:line="320" w:lineRule="exact"/>
        <w:ind w:firstLine="482" w:firstLineChars="200"/>
        <w:outlineLvl w:val="9"/>
        <w:rPr>
          <w:rFonts w:hint="default" w:ascii="Times New Roman" w:hAnsi="Times New Roman" w:cs="Times New Roman"/>
          <w:b/>
          <w:color w:val="auto"/>
          <w:sz w:val="24"/>
        </w:rPr>
      </w:pPr>
      <w:r>
        <w:rPr>
          <w:rFonts w:hint="eastAsia" w:cs="Times New Roman"/>
          <w:b/>
          <w:color w:val="auto"/>
          <w:sz w:val="24"/>
          <w:lang w:val="en-US" w:eastAsia="zh-CN"/>
        </w:rPr>
        <w:t>7</w:t>
      </w:r>
      <w:r>
        <w:rPr>
          <w:rFonts w:hint="default" w:ascii="Times New Roman" w:hAnsi="Times New Roman" w:cs="Times New Roman"/>
          <w:b/>
          <w:color w:val="auto"/>
          <w:sz w:val="24"/>
        </w:rPr>
        <w:t>.乙方权利义务</w:t>
      </w:r>
    </w:p>
    <w:p w14:paraId="09D924B6">
      <w:pPr>
        <w:spacing w:line="320" w:lineRule="exact"/>
        <w:ind w:firstLine="480" w:firstLineChars="200"/>
        <w:rPr>
          <w:rFonts w:hint="default" w:ascii="Times New Roman" w:hAnsi="Times New Roman" w:cs="Times New Roman"/>
          <w:color w:val="auto"/>
          <w:sz w:val="24"/>
        </w:rPr>
      </w:pPr>
      <w:r>
        <w:rPr>
          <w:rFonts w:hint="eastAsia" w:cs="Times New Roman"/>
          <w:bCs/>
          <w:color w:val="auto"/>
          <w:kern w:val="36"/>
          <w:sz w:val="24"/>
          <w:lang w:val="en-US" w:eastAsia="zh-CN"/>
        </w:rPr>
        <w:t>7</w:t>
      </w:r>
      <w:r>
        <w:rPr>
          <w:rFonts w:hint="default" w:ascii="Times New Roman" w:hAnsi="Times New Roman" w:cs="Times New Roman"/>
          <w:bCs/>
          <w:color w:val="auto"/>
          <w:kern w:val="36"/>
          <w:sz w:val="24"/>
        </w:rPr>
        <w:t>.1乙方律师按照律师行业公认的业务标准和道德规范，勤勉尽责地为甲方提供高效、优质的法律服务。</w:t>
      </w:r>
    </w:p>
    <w:p w14:paraId="6BCF2D87">
      <w:pPr>
        <w:spacing w:line="320" w:lineRule="exact"/>
        <w:ind w:firstLine="480" w:firstLineChars="200"/>
        <w:rPr>
          <w:rFonts w:hint="default" w:ascii="Times New Roman" w:hAnsi="Times New Roman" w:cs="Times New Roman"/>
          <w:color w:val="auto"/>
          <w:sz w:val="24"/>
        </w:rPr>
      </w:pPr>
      <w:r>
        <w:rPr>
          <w:rFonts w:hint="eastAsia" w:cs="Times New Roman"/>
          <w:color w:val="auto"/>
          <w:sz w:val="24"/>
          <w:lang w:val="en-US" w:eastAsia="zh-CN"/>
        </w:rPr>
        <w:t>7</w:t>
      </w:r>
      <w:r>
        <w:rPr>
          <w:rFonts w:hint="default" w:ascii="Times New Roman" w:hAnsi="Times New Roman" w:cs="Times New Roman"/>
          <w:color w:val="auto"/>
          <w:sz w:val="24"/>
        </w:rPr>
        <w:t>.2</w:t>
      </w:r>
      <w:r>
        <w:rPr>
          <w:rFonts w:hint="default" w:ascii="Times New Roman" w:hAnsi="Times New Roman" w:cs="Times New Roman"/>
          <w:bCs/>
          <w:color w:val="auto"/>
          <w:sz w:val="24"/>
        </w:rPr>
        <w:t>乙方应设置应急电话，保证在</w:t>
      </w:r>
      <w:r>
        <w:rPr>
          <w:rFonts w:hint="eastAsia" w:cs="Times New Roman"/>
          <w:b/>
          <w:bCs w:val="0"/>
          <w:color w:val="auto"/>
          <w:sz w:val="24"/>
          <w:lang w:val="en-US" w:eastAsia="zh-CN"/>
        </w:rPr>
        <w:t>24</w:t>
      </w:r>
      <w:r>
        <w:rPr>
          <w:rFonts w:hint="default" w:ascii="Times New Roman" w:hAnsi="Times New Roman" w:cs="Times New Roman"/>
          <w:bCs/>
          <w:color w:val="auto"/>
          <w:sz w:val="24"/>
        </w:rPr>
        <w:t>小时内及时高效地提供法律顾问服务。如遇紧急事件，乙方应尽快处理甲方委托之事项。</w:t>
      </w:r>
    </w:p>
    <w:p w14:paraId="334F6FB2">
      <w:pPr>
        <w:spacing w:line="320" w:lineRule="exact"/>
        <w:ind w:firstLine="480" w:firstLineChars="200"/>
        <w:rPr>
          <w:rFonts w:hint="default" w:ascii="Times New Roman" w:hAnsi="Times New Roman" w:cs="Times New Roman"/>
          <w:bCs/>
          <w:color w:val="FF0000"/>
          <w:sz w:val="24"/>
        </w:rPr>
      </w:pPr>
      <w:r>
        <w:rPr>
          <w:rFonts w:hint="eastAsia" w:cs="Times New Roman"/>
          <w:color w:val="auto"/>
          <w:sz w:val="24"/>
          <w:lang w:val="en-US" w:eastAsia="zh-CN"/>
        </w:rPr>
        <w:t>7</w:t>
      </w:r>
      <w:r>
        <w:rPr>
          <w:rFonts w:hint="default" w:ascii="Times New Roman" w:hAnsi="Times New Roman" w:cs="Times New Roman"/>
          <w:color w:val="auto"/>
          <w:sz w:val="24"/>
        </w:rPr>
        <w:t>.3本着互相支持、共同发展的精神，与甲方保持经常性的业务接触。在接到甲方要求提供法律服务的通知后，</w:t>
      </w:r>
      <w:r>
        <w:rPr>
          <w:rFonts w:hint="default" w:ascii="Times New Roman" w:hAnsi="Times New Roman" w:cs="Times New Roman"/>
          <w:bCs/>
          <w:color w:val="auto"/>
          <w:sz w:val="24"/>
        </w:rPr>
        <w:t>如有必要，</w:t>
      </w:r>
      <w:r>
        <w:rPr>
          <w:rFonts w:hint="default" w:ascii="Times New Roman" w:hAnsi="Times New Roman" w:cs="Times New Roman"/>
          <w:color w:val="auto"/>
          <w:sz w:val="24"/>
        </w:rPr>
        <w:t>乙方应安排律师到现场提供服务。</w:t>
      </w:r>
    </w:p>
    <w:p w14:paraId="46F47336">
      <w:pPr>
        <w:spacing w:line="320" w:lineRule="exact"/>
        <w:ind w:firstLine="480" w:firstLineChars="200"/>
        <w:rPr>
          <w:rFonts w:hint="default" w:ascii="Times New Roman" w:hAnsi="Times New Roman" w:cs="Times New Roman"/>
          <w:bCs/>
          <w:color w:val="auto"/>
          <w:sz w:val="24"/>
        </w:rPr>
      </w:pPr>
      <w:r>
        <w:rPr>
          <w:rFonts w:hint="eastAsia" w:cs="Times New Roman"/>
          <w:color w:val="auto"/>
          <w:sz w:val="24"/>
          <w:lang w:val="en-US" w:eastAsia="zh-CN"/>
        </w:rPr>
        <w:t>7</w:t>
      </w:r>
      <w:r>
        <w:rPr>
          <w:rFonts w:hint="default" w:ascii="Times New Roman" w:hAnsi="Times New Roman" w:cs="Times New Roman"/>
          <w:color w:val="auto"/>
          <w:sz w:val="24"/>
        </w:rPr>
        <w:t>.4</w:t>
      </w:r>
      <w:r>
        <w:rPr>
          <w:rFonts w:hint="default" w:ascii="Times New Roman" w:hAnsi="Times New Roman" w:cs="Times New Roman"/>
          <w:bCs/>
          <w:color w:val="auto"/>
          <w:sz w:val="24"/>
        </w:rPr>
        <w:t>乙方应根据具体项目情况指派专人与甲方法律事务部门进行联系，需要审查的合同或者咨询的问题及发生的具体问题或者纠纷，由律师会同甲方专门人员进行详细调查了解</w:t>
      </w:r>
      <w:r>
        <w:rPr>
          <w:rFonts w:hint="default" w:ascii="Times New Roman" w:hAnsi="Times New Roman" w:cs="Times New Roman"/>
          <w:bCs/>
          <w:color w:val="auto"/>
          <w:sz w:val="24"/>
          <w:highlight w:val="none"/>
        </w:rPr>
        <w:t>后作出法律建议或者出具法律意见书</w:t>
      </w:r>
      <w:r>
        <w:rPr>
          <w:rFonts w:hint="default" w:ascii="Times New Roman" w:hAnsi="Times New Roman" w:cs="Times New Roman"/>
          <w:bCs/>
          <w:color w:val="auto"/>
          <w:sz w:val="24"/>
        </w:rPr>
        <w:t>；涉及较为重大的事项，由律师会同项目工程的高级管理人员、相关部门、具体经办人员及有关方面共同召开会议，进行研究分析。</w:t>
      </w:r>
    </w:p>
    <w:p w14:paraId="5B995018">
      <w:pPr>
        <w:spacing w:line="320" w:lineRule="exact"/>
        <w:ind w:firstLine="480" w:firstLineChars="200"/>
        <w:rPr>
          <w:rFonts w:hint="default" w:ascii="Times New Roman" w:hAnsi="Times New Roman" w:cs="Times New Roman"/>
          <w:b/>
          <w:bCs/>
          <w:color w:val="auto"/>
          <w:sz w:val="24"/>
        </w:rPr>
      </w:pPr>
      <w:r>
        <w:rPr>
          <w:rFonts w:hint="eastAsia" w:cs="Times New Roman"/>
          <w:bCs/>
          <w:color w:val="auto"/>
          <w:sz w:val="24"/>
          <w:lang w:val="en-US" w:eastAsia="zh-CN"/>
        </w:rPr>
        <w:t>7</w:t>
      </w:r>
      <w:r>
        <w:rPr>
          <w:rFonts w:hint="default" w:ascii="Times New Roman" w:hAnsi="Times New Roman" w:cs="Times New Roman"/>
          <w:bCs/>
          <w:color w:val="auto"/>
          <w:sz w:val="24"/>
        </w:rPr>
        <w:t>.5每</w:t>
      </w:r>
      <w:r>
        <w:rPr>
          <w:rFonts w:hint="eastAsia" w:ascii="Times New Roman" w:hAnsi="Times New Roman" w:cs="Times New Roman"/>
          <w:bCs/>
          <w:color w:val="auto"/>
          <w:sz w:val="24"/>
          <w:lang w:val="en-US" w:eastAsia="zh-CN"/>
        </w:rPr>
        <w:t>半</w:t>
      </w:r>
      <w:r>
        <w:rPr>
          <w:rFonts w:hint="default" w:ascii="Times New Roman" w:hAnsi="Times New Roman" w:cs="Times New Roman"/>
          <w:bCs/>
          <w:color w:val="auto"/>
          <w:sz w:val="24"/>
        </w:rPr>
        <w:t>月乙方派出</w:t>
      </w:r>
      <w:r>
        <w:rPr>
          <w:rFonts w:hint="eastAsia" w:cs="Times New Roman"/>
          <w:bCs/>
          <w:color w:val="auto"/>
          <w:sz w:val="24"/>
          <w:lang w:val="en-US" w:eastAsia="zh-CN"/>
        </w:rPr>
        <w:t>一</w:t>
      </w:r>
      <w:r>
        <w:rPr>
          <w:rFonts w:hint="default" w:ascii="Times New Roman" w:hAnsi="Times New Roman" w:cs="Times New Roman"/>
          <w:bCs/>
          <w:color w:val="auto"/>
          <w:sz w:val="24"/>
        </w:rPr>
        <w:t>名律师到甲方办公处所坐班</w:t>
      </w:r>
      <w:r>
        <w:rPr>
          <w:rFonts w:hint="eastAsia" w:cs="Times New Roman"/>
          <w:bCs/>
          <w:color w:val="auto"/>
          <w:sz w:val="24"/>
          <w:lang w:val="en-US" w:eastAsia="zh-CN"/>
        </w:rPr>
        <w:t>至少</w:t>
      </w:r>
      <w:r>
        <w:rPr>
          <w:rFonts w:hint="eastAsia" w:ascii="Times New Roman" w:hAnsi="Times New Roman" w:cs="Times New Roman"/>
          <w:bCs/>
          <w:color w:val="auto"/>
          <w:sz w:val="24"/>
          <w:lang w:val="en-US" w:eastAsia="zh-CN"/>
        </w:rPr>
        <w:t>半</w:t>
      </w:r>
      <w:r>
        <w:rPr>
          <w:rFonts w:hint="default" w:ascii="Times New Roman" w:hAnsi="Times New Roman" w:cs="Times New Roman"/>
          <w:bCs/>
          <w:color w:val="auto"/>
          <w:sz w:val="24"/>
        </w:rPr>
        <w:t>个工作</w:t>
      </w:r>
      <w:r>
        <w:rPr>
          <w:rFonts w:hint="default" w:ascii="Times New Roman" w:hAnsi="Times New Roman" w:cs="Times New Roman"/>
          <w:strike w:val="0"/>
          <w:dstrike w:val="0"/>
          <w:color w:val="auto"/>
          <w:sz w:val="24"/>
          <w:highlight w:val="none"/>
        </w:rPr>
        <w:t>日。</w:t>
      </w:r>
    </w:p>
    <w:p w14:paraId="79EF8466">
      <w:pPr>
        <w:spacing w:line="320" w:lineRule="exact"/>
        <w:ind w:firstLine="480" w:firstLineChars="200"/>
        <w:rPr>
          <w:rFonts w:hint="default" w:ascii="Times New Roman" w:hAnsi="Times New Roman" w:cs="Times New Roman"/>
          <w:color w:val="auto"/>
          <w:sz w:val="24"/>
        </w:rPr>
      </w:pPr>
      <w:r>
        <w:rPr>
          <w:rFonts w:hint="eastAsia" w:cs="Times New Roman"/>
          <w:color w:val="auto"/>
          <w:sz w:val="24"/>
          <w:lang w:val="en-US" w:eastAsia="zh-CN"/>
        </w:rPr>
        <w:t>7</w:t>
      </w:r>
      <w:r>
        <w:rPr>
          <w:rFonts w:hint="default" w:ascii="Times New Roman" w:hAnsi="Times New Roman" w:cs="Times New Roman"/>
          <w:color w:val="auto"/>
          <w:sz w:val="24"/>
        </w:rPr>
        <w:t>.6需要派出律师到外地协助甲方处理法律事务的，乙方可利用自身拥有的便利交通条件，在最短的时间内到达目的地。</w:t>
      </w:r>
    </w:p>
    <w:p w14:paraId="2487C896">
      <w:pPr>
        <w:spacing w:line="320" w:lineRule="exact"/>
        <w:ind w:firstLine="480" w:firstLineChars="200"/>
        <w:rPr>
          <w:rFonts w:hint="default" w:ascii="Times New Roman" w:hAnsi="Times New Roman" w:cs="Times New Roman"/>
          <w:color w:val="auto"/>
          <w:sz w:val="24"/>
        </w:rPr>
      </w:pPr>
      <w:r>
        <w:rPr>
          <w:rFonts w:hint="eastAsia" w:cs="Times New Roman"/>
          <w:color w:val="auto"/>
          <w:sz w:val="24"/>
          <w:lang w:val="en-US" w:eastAsia="zh-CN"/>
        </w:rPr>
        <w:t>7</w:t>
      </w:r>
      <w:r>
        <w:rPr>
          <w:rFonts w:hint="default" w:ascii="Times New Roman" w:hAnsi="Times New Roman" w:cs="Times New Roman"/>
          <w:color w:val="auto"/>
          <w:sz w:val="24"/>
        </w:rPr>
        <w:t>.7乙方律师不得超越代理权限，如违反而给甲方造成损失应承担相应的赔偿责任。</w:t>
      </w:r>
    </w:p>
    <w:p w14:paraId="34D8ABCD">
      <w:pPr>
        <w:spacing w:line="320" w:lineRule="exact"/>
        <w:ind w:firstLine="480" w:firstLineChars="200"/>
        <w:rPr>
          <w:rFonts w:hint="default" w:ascii="Times New Roman" w:hAnsi="Times New Roman" w:cs="Times New Roman"/>
          <w:bCs/>
          <w:color w:val="auto"/>
          <w:sz w:val="24"/>
        </w:rPr>
      </w:pPr>
      <w:r>
        <w:rPr>
          <w:rFonts w:hint="eastAsia" w:cs="Times New Roman"/>
          <w:bCs/>
          <w:color w:val="auto"/>
          <w:sz w:val="24"/>
          <w:lang w:val="en-US" w:eastAsia="zh-CN"/>
        </w:rPr>
        <w:t>7</w:t>
      </w:r>
      <w:r>
        <w:rPr>
          <w:rFonts w:hint="default" w:ascii="Times New Roman" w:hAnsi="Times New Roman" w:cs="Times New Roman"/>
          <w:bCs/>
          <w:color w:val="auto"/>
          <w:sz w:val="24"/>
        </w:rPr>
        <w:t>.8乙方应根据甲方的工作需要指派不限于本合同签订时所确定的顾问团队人员进行法律咨询，并不因此增加报酬。</w:t>
      </w:r>
    </w:p>
    <w:p w14:paraId="68778037">
      <w:pPr>
        <w:spacing w:line="320" w:lineRule="exact"/>
        <w:ind w:firstLine="480" w:firstLineChars="200"/>
        <w:rPr>
          <w:rFonts w:hint="default" w:ascii="Times New Roman" w:hAnsi="Times New Roman" w:cs="Times New Roman"/>
          <w:bCs/>
          <w:color w:val="auto"/>
          <w:sz w:val="24"/>
        </w:rPr>
      </w:pPr>
      <w:r>
        <w:rPr>
          <w:rFonts w:hint="eastAsia" w:cs="Times New Roman"/>
          <w:bCs/>
          <w:color w:val="auto"/>
          <w:sz w:val="24"/>
          <w:lang w:val="en-US" w:eastAsia="zh-CN"/>
        </w:rPr>
        <w:t>7</w:t>
      </w:r>
      <w:r>
        <w:rPr>
          <w:rFonts w:hint="default" w:ascii="Times New Roman" w:hAnsi="Times New Roman" w:cs="Times New Roman"/>
          <w:bCs/>
          <w:color w:val="auto"/>
          <w:sz w:val="24"/>
        </w:rPr>
        <w:t>.9乙方应严格遵守律师职业道德及执业规范，保守对在承办委托事务过程中所接触或掌握的一切信息予以保密。</w:t>
      </w:r>
    </w:p>
    <w:p w14:paraId="3F8761C3">
      <w:pPr>
        <w:spacing w:line="320" w:lineRule="exact"/>
        <w:ind w:firstLine="480" w:firstLineChars="200"/>
        <w:rPr>
          <w:rFonts w:hint="default" w:ascii="Times New Roman" w:hAnsi="Times New Roman" w:cs="Times New Roman"/>
          <w:b/>
          <w:bCs/>
          <w:color w:val="auto"/>
          <w:sz w:val="24"/>
        </w:rPr>
      </w:pPr>
      <w:r>
        <w:rPr>
          <w:rFonts w:hint="eastAsia" w:cs="Times New Roman"/>
          <w:bCs/>
          <w:color w:val="auto"/>
          <w:sz w:val="24"/>
          <w:lang w:val="en-US" w:eastAsia="zh-CN"/>
        </w:rPr>
        <w:t>7</w:t>
      </w:r>
      <w:r>
        <w:rPr>
          <w:rFonts w:hint="default" w:ascii="Times New Roman" w:hAnsi="Times New Roman" w:cs="Times New Roman"/>
          <w:bCs/>
          <w:color w:val="auto"/>
          <w:sz w:val="24"/>
        </w:rPr>
        <w:t>.10对于甲方需要了解或解答的法律问题，由乙方两名或两名以上律师共同研究，并予以及时、准确、完整的答复，必要时，乙方召开业务会议扩大讨论。乙方在工作过程中发现的重大法律问题，应主动向甲方发出书面法律意见，提出意见和建议，并及时通报有关的法律、政策动态及信息。</w:t>
      </w:r>
      <w:r>
        <w:rPr>
          <w:rFonts w:hint="default" w:ascii="Times New Roman" w:hAnsi="Times New Roman" w:cs="Times New Roman"/>
          <w:b/>
          <w:bCs/>
          <w:color w:val="auto"/>
          <w:sz w:val="24"/>
        </w:rPr>
        <w:t>对于乙方接受的法律咨询的时限控制及要求为：（1）涉及一般法律咨询及时解答，最长不超出</w:t>
      </w:r>
      <w:r>
        <w:rPr>
          <w:rFonts w:hint="eastAsia" w:cs="Times New Roman"/>
          <w:b/>
          <w:bCs/>
          <w:color w:val="auto"/>
          <w:sz w:val="24"/>
          <w:u w:val="none"/>
          <w:lang w:val="en-US" w:eastAsia="zh-CN"/>
        </w:rPr>
        <w:t xml:space="preserve"> 2</w:t>
      </w:r>
      <w:r>
        <w:rPr>
          <w:rFonts w:hint="default" w:ascii="Times New Roman" w:hAnsi="Times New Roman" w:cs="Times New Roman"/>
          <w:b/>
          <w:bCs/>
          <w:color w:val="auto"/>
          <w:sz w:val="24"/>
        </w:rPr>
        <w:t>个日历天。（2）涉及需要审阅大量文件并出具法律意见书的事务，应尽快予以解答，最长不应超出</w:t>
      </w:r>
      <w:r>
        <w:rPr>
          <w:rFonts w:hint="eastAsia" w:cs="Times New Roman"/>
          <w:b/>
          <w:bCs/>
          <w:color w:val="auto"/>
          <w:sz w:val="24"/>
          <w:u w:val="none"/>
          <w:lang w:val="en-US" w:eastAsia="zh-CN"/>
        </w:rPr>
        <w:t xml:space="preserve"> 5 </w:t>
      </w:r>
      <w:r>
        <w:rPr>
          <w:rFonts w:hint="default" w:ascii="Times New Roman" w:hAnsi="Times New Roman" w:cs="Times New Roman"/>
          <w:b/>
          <w:bCs/>
          <w:color w:val="auto"/>
          <w:sz w:val="24"/>
        </w:rPr>
        <w:t>个日历天，特殊案件酌情延长,但最长不能超过</w:t>
      </w:r>
      <w:r>
        <w:rPr>
          <w:rFonts w:hint="eastAsia" w:cs="Times New Roman"/>
          <w:b/>
          <w:bCs/>
          <w:color w:val="auto"/>
          <w:sz w:val="24"/>
          <w:u w:val="none"/>
          <w:lang w:val="en-US" w:eastAsia="zh-CN"/>
        </w:rPr>
        <w:t>10</w:t>
      </w:r>
      <w:r>
        <w:rPr>
          <w:rFonts w:hint="default" w:ascii="Times New Roman" w:hAnsi="Times New Roman" w:cs="Times New Roman"/>
          <w:b/>
          <w:bCs/>
          <w:color w:val="auto"/>
          <w:sz w:val="24"/>
        </w:rPr>
        <w:t>个日历天。（3）法律咨询回复意见必须由乙方出具该意见的律师签章并加盖乙方公章。</w:t>
      </w:r>
    </w:p>
    <w:p w14:paraId="74E821FE">
      <w:pPr>
        <w:spacing w:line="320" w:lineRule="exact"/>
        <w:ind w:firstLine="480" w:firstLineChars="200"/>
        <w:rPr>
          <w:rFonts w:hint="default" w:ascii="Times New Roman" w:hAnsi="Times New Roman" w:cs="Times New Roman"/>
          <w:bCs/>
          <w:color w:val="auto"/>
          <w:sz w:val="24"/>
        </w:rPr>
      </w:pPr>
      <w:r>
        <w:rPr>
          <w:rFonts w:hint="eastAsia" w:cs="Times New Roman"/>
          <w:bCs/>
          <w:color w:val="auto"/>
          <w:sz w:val="24"/>
          <w:lang w:val="en-US" w:eastAsia="zh-CN"/>
        </w:rPr>
        <w:t>7</w:t>
      </w:r>
      <w:r>
        <w:rPr>
          <w:rFonts w:hint="default" w:ascii="Times New Roman" w:hAnsi="Times New Roman" w:cs="Times New Roman"/>
          <w:bCs/>
          <w:color w:val="auto"/>
          <w:sz w:val="24"/>
        </w:rPr>
        <w:t>.11乙方所作出的分析及意见应提前预见其所涉及的法律问题及法律风险，同时应充分考虑法律、法规的规定和司法实践的情况，提出符合甲方最大利益的方案。</w:t>
      </w:r>
    </w:p>
    <w:p w14:paraId="44D852B1">
      <w:pPr>
        <w:spacing w:line="320" w:lineRule="exact"/>
        <w:ind w:firstLine="480" w:firstLineChars="200"/>
        <w:rPr>
          <w:rFonts w:hint="default" w:ascii="Times New Roman" w:hAnsi="Times New Roman" w:cs="Times New Roman"/>
          <w:bCs/>
          <w:color w:val="auto"/>
          <w:sz w:val="24"/>
        </w:rPr>
      </w:pPr>
      <w:r>
        <w:rPr>
          <w:rFonts w:hint="eastAsia" w:cs="Times New Roman"/>
          <w:bCs/>
          <w:color w:val="auto"/>
          <w:sz w:val="24"/>
          <w:lang w:val="en-US" w:eastAsia="zh-CN"/>
        </w:rPr>
        <w:t>7</w:t>
      </w:r>
      <w:r>
        <w:rPr>
          <w:rFonts w:hint="default" w:ascii="Times New Roman" w:hAnsi="Times New Roman" w:cs="Times New Roman"/>
          <w:bCs/>
          <w:color w:val="auto"/>
          <w:sz w:val="24"/>
        </w:rPr>
        <w:t>.12接受甲方委托后，乙方不得为与甲方有利益冲突的利害关系人提供法律服务，如乙方发现已承揽业务中有与甲方有利益冲突的利害关系人，应主动向甲方提出，非经双方同意，乙方不得代理任何冲突一方与对方诉讼或仲裁。</w:t>
      </w:r>
    </w:p>
    <w:p w14:paraId="27C6E488">
      <w:pPr>
        <w:spacing w:line="320" w:lineRule="exact"/>
        <w:ind w:firstLine="480" w:firstLineChars="200"/>
        <w:rPr>
          <w:rFonts w:hint="default" w:ascii="Times New Roman" w:hAnsi="Times New Roman" w:cs="Times New Roman"/>
          <w:bCs/>
          <w:color w:val="auto"/>
          <w:sz w:val="24"/>
        </w:rPr>
      </w:pPr>
      <w:r>
        <w:rPr>
          <w:rFonts w:hint="eastAsia" w:cs="Times New Roman"/>
          <w:bCs/>
          <w:color w:val="auto"/>
          <w:sz w:val="24"/>
          <w:lang w:val="en-US" w:eastAsia="zh-CN"/>
        </w:rPr>
        <w:t>7</w:t>
      </w:r>
      <w:r>
        <w:rPr>
          <w:rFonts w:hint="default" w:ascii="Times New Roman" w:hAnsi="Times New Roman" w:cs="Times New Roman"/>
          <w:bCs/>
          <w:color w:val="auto"/>
          <w:sz w:val="24"/>
        </w:rPr>
        <w:t>.13如因乙方律师工作上的故意或过错造成甲方经济损失的，乙方应当向甲方承担全部赔偿责任。</w:t>
      </w:r>
    </w:p>
    <w:p w14:paraId="6C999005">
      <w:pPr>
        <w:spacing w:line="320" w:lineRule="exact"/>
        <w:ind w:firstLine="480" w:firstLineChars="200"/>
        <w:rPr>
          <w:rFonts w:hint="default"/>
        </w:rPr>
      </w:pPr>
      <w:r>
        <w:rPr>
          <w:rFonts w:hint="eastAsia" w:cs="Times New Roman"/>
          <w:bCs/>
          <w:color w:val="auto"/>
          <w:sz w:val="24"/>
          <w:lang w:val="en-US" w:eastAsia="zh-CN"/>
        </w:rPr>
        <w:t>7</w:t>
      </w:r>
      <w:r>
        <w:rPr>
          <w:rFonts w:hint="default" w:ascii="Times New Roman" w:hAnsi="Times New Roman" w:cs="Times New Roman"/>
          <w:bCs/>
          <w:color w:val="auto"/>
          <w:sz w:val="24"/>
        </w:rPr>
        <w:t>.14 甲方要求乙方出席的会议、谈判、座谈等，乙方应指派团队律师参加，所涉及事项重大的，应由团队主要负责人参加。</w:t>
      </w:r>
    </w:p>
    <w:p w14:paraId="2FC3F85F">
      <w:pPr>
        <w:spacing w:line="320" w:lineRule="exact"/>
        <w:ind w:firstLine="482" w:firstLineChars="200"/>
        <w:rPr>
          <w:rFonts w:hint="default" w:ascii="Times New Roman" w:hAnsi="Times New Roman" w:cs="Times New Roman"/>
          <w:b/>
          <w:bCs w:val="0"/>
          <w:color w:val="auto"/>
          <w:sz w:val="24"/>
        </w:rPr>
      </w:pPr>
      <w:r>
        <w:rPr>
          <w:rFonts w:hint="default" w:cs="Times New Roman"/>
          <w:b/>
          <w:bCs w:val="0"/>
          <w:color w:val="auto"/>
          <w:sz w:val="24"/>
          <w:lang w:val="en-US" w:eastAsia="zh-CN"/>
        </w:rPr>
        <w:t>7</w:t>
      </w:r>
      <w:r>
        <w:rPr>
          <w:rFonts w:hint="default" w:ascii="Times New Roman" w:hAnsi="Times New Roman" w:cs="Times New Roman"/>
          <w:b/>
          <w:bCs w:val="0"/>
          <w:color w:val="auto"/>
          <w:sz w:val="24"/>
        </w:rPr>
        <w:t>.15 乙方每年至少向甲方出具</w:t>
      </w:r>
      <w:r>
        <w:rPr>
          <w:rFonts w:hint="default" w:cs="Times New Roman"/>
          <w:b/>
          <w:bCs w:val="0"/>
          <w:color w:val="auto"/>
          <w:sz w:val="24"/>
          <w:u w:val="none"/>
          <w:lang w:val="en-US" w:eastAsia="zh-CN"/>
        </w:rPr>
        <w:t>两</w:t>
      </w:r>
      <w:r>
        <w:rPr>
          <w:rFonts w:hint="default" w:ascii="Times New Roman" w:hAnsi="Times New Roman" w:cs="Times New Roman"/>
          <w:b/>
          <w:bCs w:val="0"/>
          <w:color w:val="auto"/>
          <w:sz w:val="24"/>
        </w:rPr>
        <w:t>次法律服务工作报告，包含年底法律服务工作总结报告。</w:t>
      </w:r>
    </w:p>
    <w:p w14:paraId="537A4E5D">
      <w:pPr>
        <w:spacing w:line="320" w:lineRule="exact"/>
        <w:ind w:firstLine="482" w:firstLineChars="200"/>
        <w:rPr>
          <w:rFonts w:hint="default"/>
          <w:b/>
          <w:bCs w:val="0"/>
          <w:color w:val="auto"/>
          <w:sz w:val="24"/>
          <w:highlight w:val="none"/>
        </w:rPr>
      </w:pPr>
      <w:r>
        <w:rPr>
          <w:rFonts w:hint="default" w:cs="Times New Roman"/>
          <w:b/>
          <w:bCs w:val="0"/>
          <w:color w:val="auto"/>
          <w:sz w:val="24"/>
          <w:highlight w:val="none"/>
          <w:lang w:val="en-US" w:eastAsia="zh-CN"/>
        </w:rPr>
        <w:t>7.16</w:t>
      </w:r>
      <w:r>
        <w:rPr>
          <w:b/>
          <w:bCs w:val="0"/>
          <w:color w:val="auto"/>
          <w:sz w:val="24"/>
          <w:highlight w:val="none"/>
        </w:rPr>
        <w:t>乙方每月5号前向甲方提供上一个月的法律顾问咨询意见表盖章版</w:t>
      </w:r>
      <w:r>
        <w:rPr>
          <w:rFonts w:hint="default"/>
          <w:b/>
          <w:bCs w:val="0"/>
          <w:color w:val="auto"/>
          <w:sz w:val="24"/>
          <w:highlight w:val="none"/>
          <w:lang w:eastAsia="zh-CN"/>
        </w:rPr>
        <w:t>（</w:t>
      </w:r>
      <w:r>
        <w:rPr>
          <w:rFonts w:hint="default"/>
          <w:b/>
          <w:bCs w:val="0"/>
          <w:color w:val="auto"/>
          <w:sz w:val="24"/>
          <w:highlight w:val="none"/>
          <w:lang w:val="en-US" w:eastAsia="zh-CN"/>
        </w:rPr>
        <w:t>纸质版）</w:t>
      </w:r>
      <w:r>
        <w:rPr>
          <w:b/>
          <w:bCs w:val="0"/>
          <w:color w:val="auto"/>
          <w:sz w:val="24"/>
          <w:highlight w:val="none"/>
        </w:rPr>
        <w:t>和法律咨询台账。</w:t>
      </w:r>
    </w:p>
    <w:p w14:paraId="6D19638D">
      <w:pPr>
        <w:spacing w:line="320" w:lineRule="exact"/>
        <w:ind w:firstLine="482" w:firstLineChars="200"/>
        <w:outlineLvl w:val="9"/>
        <w:rPr>
          <w:rFonts w:hint="default" w:ascii="Times New Roman" w:hAnsi="Times New Roman" w:cs="Times New Roman"/>
          <w:b/>
          <w:color w:val="auto"/>
          <w:sz w:val="24"/>
        </w:rPr>
      </w:pPr>
      <w:r>
        <w:rPr>
          <w:rFonts w:hint="eastAsia" w:cs="Times New Roman"/>
          <w:b/>
          <w:color w:val="auto"/>
          <w:sz w:val="24"/>
          <w:lang w:val="en-US" w:eastAsia="zh-CN"/>
        </w:rPr>
        <w:t>8</w:t>
      </w:r>
      <w:r>
        <w:rPr>
          <w:rFonts w:hint="default" w:ascii="Times New Roman" w:hAnsi="Times New Roman" w:cs="Times New Roman"/>
          <w:b/>
          <w:color w:val="auto"/>
          <w:sz w:val="24"/>
        </w:rPr>
        <w:t>.法律服务费用及支付</w:t>
      </w:r>
    </w:p>
    <w:p w14:paraId="01310E3F">
      <w:pPr>
        <w:spacing w:line="32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乙方担任甲方年度法律顾问期间，甲方除向乙方固定支付一定数额的顾问</w:t>
      </w:r>
      <w:r>
        <w:rPr>
          <w:rFonts w:hint="eastAsia" w:cs="Times New Roman"/>
          <w:color w:val="auto"/>
          <w:sz w:val="24"/>
          <w:lang w:val="en-US" w:eastAsia="zh-CN"/>
        </w:rPr>
        <w:t>服务</w:t>
      </w:r>
      <w:r>
        <w:rPr>
          <w:rFonts w:hint="default" w:ascii="Times New Roman" w:hAnsi="Times New Roman" w:cs="Times New Roman"/>
          <w:color w:val="auto"/>
          <w:sz w:val="24"/>
        </w:rPr>
        <w:t>费外，在委托律师承办其他专项法律事务时应按专项合同的约定另外支付代理费。具体费用商定如下：</w:t>
      </w:r>
    </w:p>
    <w:p w14:paraId="2D97C022">
      <w:pPr>
        <w:spacing w:line="320" w:lineRule="exact"/>
        <w:ind w:firstLine="480" w:firstLineChars="200"/>
        <w:outlineLvl w:val="9"/>
        <w:rPr>
          <w:rFonts w:hint="default" w:ascii="Times New Roman" w:hAnsi="Times New Roman" w:cs="Times New Roman"/>
          <w:color w:val="auto"/>
          <w:sz w:val="24"/>
          <w:highlight w:val="none"/>
        </w:rPr>
      </w:pPr>
      <w:r>
        <w:rPr>
          <w:rFonts w:hint="eastAsia" w:cs="Times New Roman"/>
          <w:color w:val="auto"/>
          <w:sz w:val="24"/>
          <w:lang w:val="en-US" w:eastAsia="zh-CN"/>
        </w:rPr>
        <w:t>8</w:t>
      </w:r>
      <w:r>
        <w:rPr>
          <w:rFonts w:hint="default" w:ascii="Times New Roman" w:hAnsi="Times New Roman" w:cs="Times New Roman"/>
          <w:color w:val="auto"/>
          <w:sz w:val="24"/>
        </w:rPr>
        <w:t>.1本合同法律服务费用及支付方式</w:t>
      </w:r>
    </w:p>
    <w:p w14:paraId="74092034">
      <w:pPr>
        <w:spacing w:line="320" w:lineRule="exact"/>
        <w:ind w:firstLine="480" w:firstLineChars="200"/>
        <w:rPr>
          <w:rFonts w:hint="eastAsia" w:ascii="宋体" w:hAnsi="宋体"/>
          <w:color w:val="auto"/>
          <w:sz w:val="24"/>
          <w:highlight w:val="none"/>
        </w:rPr>
      </w:pPr>
      <w:r>
        <w:rPr>
          <w:rFonts w:hint="eastAsia" w:cs="Times New Roman"/>
          <w:color w:val="auto"/>
          <w:sz w:val="24"/>
          <w:highlight w:val="none"/>
          <w:lang w:val="en-US" w:eastAsia="zh-CN"/>
        </w:rPr>
        <w:t>8</w:t>
      </w:r>
      <w:r>
        <w:rPr>
          <w:rFonts w:hint="default" w:ascii="Times New Roman" w:hAnsi="Times New Roman" w:cs="Times New Roman"/>
          <w:color w:val="auto"/>
          <w:sz w:val="24"/>
          <w:highlight w:val="none"/>
        </w:rPr>
        <w:t>.1.1本合同中，甲方应支付乙方年度法律</w:t>
      </w:r>
      <w:r>
        <w:rPr>
          <w:rFonts w:hint="eastAsia" w:cs="Times New Roman"/>
          <w:color w:val="auto"/>
          <w:sz w:val="24"/>
          <w:highlight w:val="none"/>
          <w:lang w:val="en-US" w:eastAsia="zh-CN"/>
        </w:rPr>
        <w:t>顾问服务</w:t>
      </w:r>
      <w:r>
        <w:rPr>
          <w:rFonts w:hint="default" w:ascii="Times New Roman" w:hAnsi="Times New Roman" w:cs="Times New Roman"/>
          <w:color w:val="auto"/>
          <w:sz w:val="24"/>
          <w:highlight w:val="none"/>
        </w:rPr>
        <w:t>费</w:t>
      </w:r>
      <w:r>
        <w:rPr>
          <w:rFonts w:hint="eastAsia" w:ascii="宋体" w:hAnsi="宋体"/>
          <w:color w:val="auto"/>
          <w:sz w:val="24"/>
          <w:highlight w:val="none"/>
        </w:rPr>
        <w:t>含税</w:t>
      </w:r>
      <w:r>
        <w:rPr>
          <w:rFonts w:hint="eastAsia" w:ascii="宋体" w:hAnsi="宋体"/>
          <w:color w:val="auto"/>
          <w:sz w:val="24"/>
          <w:highlight w:val="none"/>
          <w:lang w:val="en-US" w:eastAsia="zh-CN"/>
        </w:rPr>
        <w:t>价</w:t>
      </w:r>
      <w:r>
        <w:rPr>
          <w:rFonts w:hint="eastAsia" w:ascii="宋体" w:hAnsi="宋体"/>
          <w:color w:val="auto"/>
          <w:sz w:val="24"/>
          <w:highlight w:val="none"/>
        </w:rPr>
        <w:t>共计人民币</w:t>
      </w:r>
      <w:r>
        <w:rPr>
          <w:rFonts w:hint="eastAsia" w:ascii="宋体" w:hAnsi="宋体"/>
          <w:color w:val="auto"/>
          <w:sz w:val="24"/>
          <w:highlight w:val="none"/>
          <w:u w:val="single"/>
        </w:rPr>
        <w:t xml:space="preserve">       </w:t>
      </w:r>
      <w:r>
        <w:rPr>
          <w:rFonts w:hint="eastAsia" w:ascii="宋体" w:hAnsi="宋体"/>
          <w:color w:val="auto"/>
          <w:sz w:val="24"/>
          <w:highlight w:val="none"/>
        </w:rPr>
        <w:t>元整（¥</w:t>
      </w:r>
      <w:r>
        <w:rPr>
          <w:rFonts w:hint="eastAsia" w:ascii="宋体" w:hAnsi="宋体"/>
          <w:color w:val="auto"/>
          <w:sz w:val="24"/>
          <w:highlight w:val="none"/>
          <w:u w:val="single"/>
        </w:rPr>
        <w:t xml:space="preserve">       </w:t>
      </w:r>
      <w:r>
        <w:rPr>
          <w:rFonts w:hint="eastAsia" w:ascii="宋体" w:hAnsi="宋体"/>
          <w:color w:val="auto"/>
          <w:sz w:val="24"/>
          <w:highlight w:val="none"/>
          <w:u w:val="none"/>
        </w:rPr>
        <w:t>），</w:t>
      </w:r>
      <w:r>
        <w:rPr>
          <w:rFonts w:hint="eastAsia" w:ascii="宋体" w:hAnsi="宋体"/>
          <w:color w:val="auto"/>
          <w:sz w:val="24"/>
          <w:highlight w:val="none"/>
          <w:lang w:val="en-US" w:eastAsia="zh-CN"/>
        </w:rPr>
        <w:t>其中：不含税价</w:t>
      </w:r>
      <w:r>
        <w:rPr>
          <w:rFonts w:hint="eastAsia" w:ascii="宋体" w:hAnsi="宋体"/>
          <w:color w:val="auto"/>
          <w:sz w:val="24"/>
          <w:highlight w:val="none"/>
        </w:rPr>
        <w:t>人民币</w:t>
      </w:r>
      <w:r>
        <w:rPr>
          <w:rFonts w:hint="eastAsia" w:ascii="宋体" w:hAnsi="宋体"/>
          <w:color w:val="auto"/>
          <w:sz w:val="24"/>
          <w:highlight w:val="none"/>
          <w:u w:val="single"/>
        </w:rPr>
        <w:t xml:space="preserve">       </w:t>
      </w:r>
      <w:r>
        <w:rPr>
          <w:rFonts w:hint="eastAsia" w:ascii="宋体" w:hAnsi="宋体"/>
          <w:color w:val="auto"/>
          <w:sz w:val="24"/>
          <w:highlight w:val="none"/>
        </w:rPr>
        <w:t>元整（¥</w:t>
      </w:r>
      <w:r>
        <w:rPr>
          <w:rFonts w:hint="eastAsia" w:ascii="宋体" w:hAnsi="宋体"/>
          <w:color w:val="auto"/>
          <w:sz w:val="24"/>
          <w:highlight w:val="none"/>
          <w:u w:val="single"/>
        </w:rPr>
        <w:t xml:space="preserve">       </w:t>
      </w:r>
      <w:r>
        <w:rPr>
          <w:rFonts w:hint="eastAsia" w:ascii="宋体" w:hAnsi="宋体"/>
          <w:color w:val="auto"/>
          <w:sz w:val="24"/>
          <w:highlight w:val="none"/>
          <w:u w:val="none"/>
        </w:rPr>
        <w:t>），</w:t>
      </w:r>
      <w:r>
        <w:rPr>
          <w:rFonts w:hint="eastAsia" w:ascii="宋体" w:hAnsi="宋体"/>
          <w:color w:val="auto"/>
          <w:sz w:val="24"/>
          <w:highlight w:val="none"/>
          <w:lang w:val="en-US" w:eastAsia="zh-CN"/>
        </w:rPr>
        <w:t>增值税税率为</w:t>
      </w:r>
      <w:r>
        <w:rPr>
          <w:rFonts w:hint="eastAsia" w:ascii="宋体" w:hAnsi="宋体"/>
          <w:color w:val="auto"/>
          <w:sz w:val="24"/>
          <w:highlight w:val="none"/>
          <w:u w:val="single"/>
        </w:rPr>
        <w:t xml:space="preserve">     </w:t>
      </w:r>
      <w:r>
        <w:rPr>
          <w:rFonts w:hint="eastAsia" w:ascii="宋体" w:hAnsi="宋体"/>
          <w:color w:val="auto"/>
          <w:sz w:val="24"/>
          <w:highlight w:val="none"/>
          <w:u w:val="none"/>
          <w:lang w:eastAsia="zh-CN"/>
        </w:rPr>
        <w:t>，</w:t>
      </w:r>
      <w:r>
        <w:rPr>
          <w:rFonts w:hint="eastAsia" w:ascii="宋体" w:hAnsi="宋体"/>
          <w:color w:val="auto"/>
          <w:sz w:val="24"/>
          <w:highlight w:val="none"/>
          <w:lang w:val="en-US" w:eastAsia="zh-CN"/>
        </w:rPr>
        <w:t>税金</w:t>
      </w:r>
      <w:r>
        <w:rPr>
          <w:rFonts w:hint="eastAsia" w:ascii="宋体" w:hAnsi="宋体"/>
          <w:color w:val="auto"/>
          <w:sz w:val="24"/>
          <w:highlight w:val="none"/>
        </w:rPr>
        <w:t>人民币</w:t>
      </w:r>
      <w:r>
        <w:rPr>
          <w:rFonts w:hint="eastAsia" w:ascii="宋体" w:hAnsi="宋体"/>
          <w:color w:val="auto"/>
          <w:sz w:val="24"/>
          <w:highlight w:val="none"/>
          <w:u w:val="single"/>
        </w:rPr>
        <w:t xml:space="preserve">       </w:t>
      </w:r>
      <w:r>
        <w:rPr>
          <w:rFonts w:hint="eastAsia" w:ascii="宋体" w:hAnsi="宋体"/>
          <w:color w:val="auto"/>
          <w:sz w:val="24"/>
          <w:highlight w:val="none"/>
        </w:rPr>
        <w:t>元整（¥</w:t>
      </w:r>
      <w:r>
        <w:rPr>
          <w:rFonts w:hint="eastAsia" w:ascii="宋体" w:hAnsi="宋体"/>
          <w:color w:val="auto"/>
          <w:sz w:val="24"/>
          <w:highlight w:val="none"/>
          <w:u w:val="single"/>
        </w:rPr>
        <w:t xml:space="preserve">       </w:t>
      </w:r>
      <w:r>
        <w:rPr>
          <w:rFonts w:hint="eastAsia" w:ascii="宋体" w:hAnsi="宋体"/>
          <w:color w:val="auto"/>
          <w:sz w:val="24"/>
          <w:highlight w:val="none"/>
          <w:u w:val="none"/>
        </w:rPr>
        <w:t>）</w:t>
      </w:r>
      <w:r>
        <w:rPr>
          <w:rFonts w:hint="eastAsia" w:ascii="宋体" w:hAnsi="宋体"/>
          <w:color w:val="auto"/>
          <w:sz w:val="24"/>
          <w:highlight w:val="none"/>
          <w:u w:val="none"/>
          <w:lang w:eastAsia="zh-CN"/>
        </w:rPr>
        <w:t>。</w:t>
      </w:r>
      <w:r>
        <w:rPr>
          <w:rFonts w:hint="eastAsia" w:ascii="宋体" w:hAnsi="宋体"/>
          <w:color w:val="auto"/>
          <w:sz w:val="24"/>
          <w:highlight w:val="none"/>
        </w:rPr>
        <w:t>本合同税率在合同履行过程中遵照国家现行税法执行。在结算阶段，按实际产生的税金进行核算</w:t>
      </w:r>
      <w:r>
        <w:rPr>
          <w:rFonts w:hint="eastAsia" w:ascii="宋体" w:hAnsi="宋体"/>
          <w:color w:val="auto"/>
          <w:sz w:val="24"/>
          <w:highlight w:val="none"/>
          <w:lang w:eastAsia="zh-CN"/>
        </w:rPr>
        <w:t>，</w:t>
      </w:r>
      <w:r>
        <w:rPr>
          <w:rFonts w:hint="eastAsia" w:ascii="宋体" w:hAnsi="宋体"/>
          <w:color w:val="auto"/>
          <w:sz w:val="24"/>
          <w:highlight w:val="none"/>
        </w:rPr>
        <w:t>但合同不含税价格不因国家税率调整而调整。</w:t>
      </w:r>
    </w:p>
    <w:p w14:paraId="4014ED33">
      <w:pPr>
        <w:spacing w:line="320" w:lineRule="exact"/>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8</w:t>
      </w:r>
      <w:r>
        <w:rPr>
          <w:rFonts w:hint="default" w:ascii="宋体" w:hAnsi="宋体"/>
          <w:color w:val="auto"/>
          <w:sz w:val="24"/>
          <w:highlight w:val="none"/>
        </w:rPr>
        <w:t>.1.2</w:t>
      </w:r>
      <w:r>
        <w:rPr>
          <w:rFonts w:hint="default" w:ascii="宋体" w:hAnsi="宋体"/>
          <w:color w:val="auto"/>
          <w:sz w:val="24"/>
          <w:highlight w:val="none"/>
          <w:lang w:val="en-US" w:eastAsia="zh-CN"/>
        </w:rPr>
        <w:t xml:space="preserve"> </w:t>
      </w:r>
      <w:r>
        <w:rPr>
          <w:rFonts w:hint="default" w:ascii="宋体" w:hAnsi="宋体"/>
          <w:color w:val="auto"/>
          <w:sz w:val="24"/>
          <w:highlight w:val="none"/>
        </w:rPr>
        <w:t>本合同法律</w:t>
      </w:r>
      <w:r>
        <w:rPr>
          <w:rFonts w:hint="default" w:ascii="宋体" w:hAnsi="宋体"/>
          <w:color w:val="auto"/>
          <w:sz w:val="24"/>
          <w:highlight w:val="none"/>
          <w:lang w:val="en-US" w:eastAsia="zh-CN"/>
        </w:rPr>
        <w:t>服务费用</w:t>
      </w:r>
      <w:r>
        <w:rPr>
          <w:rFonts w:hint="default" w:ascii="宋体" w:hAnsi="宋体"/>
          <w:color w:val="auto"/>
          <w:sz w:val="24"/>
          <w:highlight w:val="none"/>
        </w:rPr>
        <w:t>分</w:t>
      </w:r>
      <w:r>
        <w:rPr>
          <w:rFonts w:hint="default" w:ascii="宋体" w:hAnsi="宋体"/>
          <w:color w:val="auto"/>
          <w:sz w:val="24"/>
          <w:highlight w:val="none"/>
          <w:lang w:val="en-US" w:eastAsia="zh-CN"/>
        </w:rPr>
        <w:t>二</w:t>
      </w:r>
      <w:r>
        <w:rPr>
          <w:rFonts w:hint="default" w:ascii="宋体" w:hAnsi="宋体"/>
          <w:color w:val="auto"/>
          <w:sz w:val="24"/>
          <w:highlight w:val="none"/>
        </w:rPr>
        <w:t>期支付：①本合同服务期满半年，甲方将法律顾问服务费合同含税</w:t>
      </w:r>
      <w:r>
        <w:rPr>
          <w:rFonts w:hint="eastAsia" w:ascii="宋体" w:hAnsi="宋体"/>
          <w:color w:val="auto"/>
          <w:sz w:val="24"/>
          <w:highlight w:val="none"/>
          <w:lang w:val="en-US" w:eastAsia="zh-CN"/>
        </w:rPr>
        <w:t>价</w:t>
      </w:r>
      <w:r>
        <w:rPr>
          <w:rFonts w:hint="default" w:ascii="宋体" w:hAnsi="宋体"/>
          <w:color w:val="auto"/>
          <w:sz w:val="24"/>
          <w:highlight w:val="none"/>
        </w:rPr>
        <w:t>的</w:t>
      </w:r>
      <w:r>
        <w:rPr>
          <w:rFonts w:hint="eastAsia" w:ascii="宋体" w:hAnsi="宋体"/>
          <w:color w:val="auto"/>
          <w:sz w:val="24"/>
          <w:highlight w:val="none"/>
          <w:lang w:val="en-US" w:eastAsia="zh-CN"/>
        </w:rPr>
        <w:t>50%</w:t>
      </w:r>
      <w:r>
        <w:rPr>
          <w:rFonts w:hint="default" w:ascii="宋体" w:hAnsi="宋体"/>
          <w:color w:val="auto"/>
          <w:sz w:val="24"/>
          <w:highlight w:val="none"/>
        </w:rPr>
        <w:t>支付给乙方。②本合同期满，如无服务质量问题，在乙方提交结算材料并经甲方审核无误后，由甲方一次性支付剩余款项。</w:t>
      </w:r>
    </w:p>
    <w:p w14:paraId="36D8D379">
      <w:pPr>
        <w:keepNext w:val="0"/>
        <w:keepLines w:val="0"/>
        <w:pageBreakBefore w:val="0"/>
        <w:widowControl w:val="0"/>
        <w:kinsoku/>
        <w:wordWrap/>
        <w:overflowPunct/>
        <w:topLinePunct w:val="0"/>
        <w:autoSpaceDE/>
        <w:autoSpaceDN/>
        <w:bidi w:val="0"/>
        <w:adjustRightInd/>
        <w:snapToGrid/>
        <w:ind w:right="-23" w:firstLine="480" w:firstLineChars="200"/>
        <w:jc w:val="left"/>
        <w:textAlignment w:val="auto"/>
        <w:rPr>
          <w:rFonts w:hint="default" w:ascii="宋体" w:hAnsi="宋体" w:cs="宋体"/>
          <w:color w:val="auto"/>
          <w:sz w:val="24"/>
          <w:szCs w:val="24"/>
        </w:rPr>
      </w:pPr>
      <w:r>
        <w:rPr>
          <w:rFonts w:hint="default" w:ascii="宋体" w:hAnsi="宋体" w:cs="宋体"/>
          <w:color w:val="auto"/>
          <w:sz w:val="24"/>
          <w:szCs w:val="24"/>
        </w:rPr>
        <w:t>上述顾问</w:t>
      </w:r>
      <w:r>
        <w:rPr>
          <w:rFonts w:hint="eastAsia" w:ascii="宋体" w:hAnsi="宋体" w:cs="宋体"/>
          <w:color w:val="auto"/>
          <w:sz w:val="24"/>
          <w:szCs w:val="24"/>
          <w:lang w:val="en-US" w:eastAsia="zh-CN"/>
        </w:rPr>
        <w:t>服务</w:t>
      </w:r>
      <w:r>
        <w:rPr>
          <w:rFonts w:hint="default" w:ascii="宋体" w:hAnsi="宋体" w:cs="宋体"/>
          <w:color w:val="auto"/>
          <w:sz w:val="24"/>
          <w:szCs w:val="24"/>
        </w:rPr>
        <w:t>费乙方均需要向甲方提交合同计量申请相关材料和请款报告，经甲方审批同意后</w:t>
      </w:r>
      <w:r>
        <w:rPr>
          <w:rFonts w:hint="eastAsia" w:ascii="宋体" w:hAnsi="宋体" w:cs="宋体"/>
          <w:color w:val="auto"/>
          <w:sz w:val="24"/>
          <w:szCs w:val="24"/>
          <w:lang w:eastAsia="zh-CN"/>
        </w:rPr>
        <w:t>，</w:t>
      </w:r>
      <w:r>
        <w:rPr>
          <w:rFonts w:hint="default" w:ascii="宋体" w:hAnsi="宋体" w:cs="宋体"/>
          <w:color w:val="auto"/>
          <w:sz w:val="24"/>
          <w:szCs w:val="24"/>
        </w:rPr>
        <w:t>甲方通知乙方开具增值税</w:t>
      </w:r>
      <w:r>
        <w:rPr>
          <w:rFonts w:hint="eastAsia" w:ascii="宋体" w:hAnsi="宋体" w:cs="宋体"/>
          <w:color w:val="auto"/>
          <w:sz w:val="24"/>
          <w:szCs w:val="24"/>
          <w:lang w:val="en-US" w:eastAsia="zh-CN"/>
        </w:rPr>
        <w:t>专用</w:t>
      </w:r>
      <w:r>
        <w:rPr>
          <w:rFonts w:hint="default" w:ascii="宋体" w:hAnsi="宋体" w:cs="宋体"/>
          <w:color w:val="auto"/>
          <w:sz w:val="24"/>
          <w:szCs w:val="24"/>
        </w:rPr>
        <w:t>发票，甲方收到有效发票后</w:t>
      </w:r>
      <w:r>
        <w:rPr>
          <w:rFonts w:hint="eastAsia" w:ascii="宋体" w:hAnsi="宋体" w:cs="宋体"/>
          <w:color w:val="auto"/>
          <w:sz w:val="24"/>
          <w:szCs w:val="24"/>
          <w:u w:val="single"/>
          <w:lang w:val="en-US" w:eastAsia="zh-CN"/>
        </w:rPr>
        <w:t xml:space="preserve">  30  </w:t>
      </w:r>
      <w:r>
        <w:rPr>
          <w:rFonts w:hint="default" w:ascii="宋体" w:hAnsi="宋体" w:cs="宋体"/>
          <w:color w:val="auto"/>
          <w:sz w:val="24"/>
          <w:szCs w:val="24"/>
        </w:rPr>
        <w:t>个工作日内向乙方支付。</w:t>
      </w:r>
    </w:p>
    <w:p w14:paraId="4D503D8A">
      <w:pPr>
        <w:keepNext w:val="0"/>
        <w:keepLines w:val="0"/>
        <w:pageBreakBefore w:val="0"/>
        <w:widowControl w:val="0"/>
        <w:kinsoku/>
        <w:wordWrap/>
        <w:overflowPunct/>
        <w:topLinePunct w:val="0"/>
        <w:autoSpaceDE/>
        <w:autoSpaceDN/>
        <w:bidi w:val="0"/>
        <w:adjustRightInd/>
        <w:snapToGrid/>
        <w:ind w:right="-23" w:firstLine="480" w:firstLineChars="200"/>
        <w:jc w:val="left"/>
        <w:textAlignment w:val="auto"/>
        <w:rPr>
          <w:rFonts w:hint="default" w:ascii="Times New Roman" w:hAnsi="Times New Roman" w:cs="Times New Roman"/>
          <w:color w:val="auto"/>
          <w:sz w:val="24"/>
        </w:rPr>
      </w:pPr>
      <w:r>
        <w:rPr>
          <w:rFonts w:hint="eastAsia" w:cs="Times New Roman"/>
          <w:color w:val="auto"/>
          <w:sz w:val="24"/>
          <w:lang w:val="en-US" w:eastAsia="zh-CN"/>
        </w:rPr>
        <w:t>8</w:t>
      </w:r>
      <w:r>
        <w:rPr>
          <w:rFonts w:hint="default" w:ascii="Times New Roman" w:hAnsi="Times New Roman" w:cs="Times New Roman"/>
          <w:color w:val="auto"/>
          <w:sz w:val="24"/>
        </w:rPr>
        <w:t>.2甲方委托乙方承办诉讼、仲裁、行政复议、行政听证、尽职调查或者其他专项法律服务等法律事务的，双方另行签订委托代理合同并支付代理费，代理费的金额参照《广西壮族自治区律师服务收费管理实施办法》等规定的标准经双方协商确定。</w:t>
      </w:r>
    </w:p>
    <w:p w14:paraId="3BE234DD">
      <w:pPr>
        <w:spacing w:line="320" w:lineRule="exact"/>
        <w:ind w:firstLine="480" w:firstLineChars="200"/>
        <w:rPr>
          <w:rFonts w:hint="default" w:ascii="Times New Roman" w:hAnsi="Times New Roman" w:cs="Times New Roman"/>
          <w:bCs/>
          <w:color w:val="auto"/>
          <w:kern w:val="36"/>
          <w:sz w:val="24"/>
        </w:rPr>
      </w:pPr>
      <w:r>
        <w:rPr>
          <w:rFonts w:hint="eastAsia" w:cs="Times New Roman"/>
          <w:color w:val="auto"/>
          <w:sz w:val="24"/>
          <w:lang w:val="en-US" w:eastAsia="zh-CN"/>
        </w:rPr>
        <w:t>8</w:t>
      </w:r>
      <w:r>
        <w:rPr>
          <w:rFonts w:hint="default" w:ascii="Times New Roman" w:hAnsi="Times New Roman" w:cs="Times New Roman"/>
          <w:color w:val="auto"/>
          <w:sz w:val="24"/>
        </w:rPr>
        <w:t>.3</w:t>
      </w:r>
      <w:r>
        <w:rPr>
          <w:rFonts w:hint="default" w:ascii="Times New Roman" w:hAnsi="Times New Roman" w:cs="Times New Roman"/>
          <w:bCs/>
          <w:color w:val="auto"/>
          <w:kern w:val="36"/>
          <w:sz w:val="24"/>
        </w:rPr>
        <w:t>因处理甲方法律事务而需要向法院等国家机关、相关部门交纳的费用，如向法院交纳的诉讼费、向有关部门交纳的调查费查档费、复印费等费用，由甲方承担。</w:t>
      </w:r>
    </w:p>
    <w:p w14:paraId="35D1D204">
      <w:pPr>
        <w:spacing w:line="320" w:lineRule="exact"/>
        <w:ind w:firstLine="480" w:firstLineChars="200"/>
        <w:rPr>
          <w:rFonts w:hint="default" w:ascii="Times New Roman" w:hAnsi="Times New Roman" w:cs="Times New Roman"/>
          <w:bCs/>
          <w:color w:val="auto"/>
          <w:sz w:val="24"/>
        </w:rPr>
      </w:pPr>
      <w:r>
        <w:rPr>
          <w:rFonts w:hint="eastAsia" w:cs="Times New Roman"/>
          <w:bCs/>
          <w:color w:val="auto"/>
          <w:sz w:val="24"/>
          <w:lang w:val="en-US" w:eastAsia="zh-CN"/>
        </w:rPr>
        <w:t>8</w:t>
      </w:r>
      <w:r>
        <w:rPr>
          <w:rFonts w:hint="default" w:ascii="Times New Roman" w:hAnsi="Times New Roman" w:cs="Times New Roman"/>
          <w:bCs/>
          <w:color w:val="auto"/>
          <w:sz w:val="24"/>
        </w:rPr>
        <w:t>.4乙方为完成甲方指派的事务出差外地所发生的与办理事务相关的费用由甲方承担，</w:t>
      </w:r>
      <w:r>
        <w:rPr>
          <w:rFonts w:hint="default" w:ascii="Times New Roman" w:hAnsi="Times New Roman" w:cs="Times New Roman"/>
          <w:bCs/>
          <w:color w:val="auto"/>
          <w:kern w:val="36"/>
          <w:sz w:val="24"/>
        </w:rPr>
        <w:t>但事先费用预算必须征得甲方同意</w:t>
      </w:r>
      <w:r>
        <w:rPr>
          <w:rFonts w:hint="default" w:ascii="Times New Roman" w:hAnsi="Times New Roman" w:cs="Times New Roman"/>
          <w:bCs/>
          <w:color w:val="auto"/>
          <w:sz w:val="24"/>
        </w:rPr>
        <w:t>。</w:t>
      </w:r>
    </w:p>
    <w:p w14:paraId="2F06F7C3">
      <w:pPr>
        <w:spacing w:line="320" w:lineRule="exact"/>
        <w:ind w:firstLine="480" w:firstLineChars="200"/>
        <w:rPr>
          <w:rFonts w:hint="default" w:ascii="Times New Roman" w:hAnsi="Times New Roman" w:cs="Times New Roman"/>
          <w:bCs/>
          <w:color w:val="auto"/>
          <w:sz w:val="24"/>
        </w:rPr>
      </w:pPr>
      <w:r>
        <w:rPr>
          <w:rFonts w:hint="eastAsia" w:cs="Times New Roman"/>
          <w:bCs/>
          <w:color w:val="auto"/>
          <w:sz w:val="24"/>
          <w:lang w:val="en-US" w:eastAsia="zh-CN"/>
        </w:rPr>
        <w:t>8</w:t>
      </w:r>
      <w:r>
        <w:rPr>
          <w:rFonts w:hint="default" w:ascii="Times New Roman" w:hAnsi="Times New Roman" w:cs="Times New Roman"/>
          <w:bCs/>
          <w:color w:val="auto"/>
          <w:sz w:val="24"/>
        </w:rPr>
        <w:t>.5乙方受甲方委托出席的会议、谈判、座谈等未离开本市内的交通费、通信费、资料费等由乙方自行承担。</w:t>
      </w:r>
    </w:p>
    <w:p w14:paraId="5E76CCCE">
      <w:pPr>
        <w:spacing w:line="320" w:lineRule="exact"/>
        <w:ind w:firstLine="480" w:firstLineChars="200"/>
        <w:outlineLvl w:val="9"/>
        <w:rPr>
          <w:rFonts w:hint="default" w:ascii="Times New Roman" w:hAnsi="Times New Roman" w:cs="Times New Roman"/>
          <w:color w:val="auto"/>
          <w:sz w:val="24"/>
        </w:rPr>
      </w:pPr>
      <w:r>
        <w:rPr>
          <w:rFonts w:hint="eastAsia" w:cs="Times New Roman"/>
          <w:bCs/>
          <w:color w:val="auto"/>
          <w:sz w:val="24"/>
          <w:lang w:val="en-US" w:eastAsia="zh-CN"/>
        </w:rPr>
        <w:t>8</w:t>
      </w:r>
      <w:r>
        <w:rPr>
          <w:rFonts w:hint="default" w:ascii="Times New Roman" w:hAnsi="Times New Roman" w:cs="Times New Roman"/>
          <w:bCs/>
          <w:color w:val="auto"/>
          <w:sz w:val="24"/>
        </w:rPr>
        <w:t>.6双方均有义务对服务费金额保密。</w:t>
      </w:r>
    </w:p>
    <w:p w14:paraId="1E100682">
      <w:pPr>
        <w:spacing w:line="400" w:lineRule="exact"/>
        <w:ind w:firstLine="482" w:firstLineChars="200"/>
        <w:outlineLvl w:val="9"/>
        <w:rPr>
          <w:rFonts w:hint="default" w:ascii="Times New Roman" w:hAnsi="Times New Roman" w:cs="Times New Roman"/>
          <w:b/>
          <w:bCs/>
          <w:color w:val="auto"/>
          <w:sz w:val="24"/>
        </w:rPr>
      </w:pPr>
      <w:r>
        <w:rPr>
          <w:rFonts w:hint="eastAsia" w:cs="Times New Roman"/>
          <w:b/>
          <w:bCs/>
          <w:color w:val="auto"/>
          <w:sz w:val="24"/>
          <w:lang w:val="en-US" w:eastAsia="zh-CN"/>
        </w:rPr>
        <w:t>9</w:t>
      </w:r>
      <w:r>
        <w:rPr>
          <w:rFonts w:hint="default" w:ascii="Times New Roman" w:hAnsi="Times New Roman" w:cs="Times New Roman"/>
          <w:b/>
          <w:bCs/>
          <w:color w:val="auto"/>
          <w:sz w:val="24"/>
        </w:rPr>
        <w:t>.保密条款</w:t>
      </w:r>
    </w:p>
    <w:p w14:paraId="5C93001C">
      <w:pPr>
        <w:spacing w:line="40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针对乙方在咨询过程及完成咨询委托事项过程中所知悉或持有的甲方及与甲方相关的商业秘密、技术秘密、法律信息等应负保密义务，具体约定如下：</w:t>
      </w:r>
    </w:p>
    <w:p w14:paraId="69C006A1">
      <w:pPr>
        <w:spacing w:line="400" w:lineRule="exact"/>
        <w:ind w:firstLine="480" w:firstLineChars="200"/>
        <w:outlineLvl w:val="9"/>
        <w:rPr>
          <w:rFonts w:hint="default" w:ascii="Times New Roman" w:hAnsi="Times New Roman" w:cs="Times New Roman"/>
          <w:b/>
          <w:bCs/>
          <w:color w:val="auto"/>
          <w:sz w:val="24"/>
        </w:rPr>
      </w:pPr>
      <w:r>
        <w:rPr>
          <w:rFonts w:hint="eastAsia" w:cs="Times New Roman"/>
          <w:color w:val="auto"/>
          <w:sz w:val="24"/>
          <w:lang w:val="en-US" w:eastAsia="zh-CN"/>
        </w:rPr>
        <w:t>9</w:t>
      </w:r>
      <w:r>
        <w:rPr>
          <w:rFonts w:hint="default" w:ascii="Times New Roman" w:hAnsi="Times New Roman" w:cs="Times New Roman"/>
          <w:color w:val="auto"/>
          <w:sz w:val="24"/>
        </w:rPr>
        <w:t>.1</w:t>
      </w:r>
      <w:r>
        <w:rPr>
          <w:rFonts w:hint="default" w:ascii="Times New Roman" w:hAnsi="Times New Roman" w:cs="Times New Roman"/>
          <w:b/>
          <w:bCs/>
          <w:color w:val="auto"/>
          <w:sz w:val="24"/>
        </w:rPr>
        <w:t>保密事项范围</w:t>
      </w:r>
    </w:p>
    <w:p w14:paraId="2742562A">
      <w:pPr>
        <w:spacing w:line="40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保密事项范围包括：乙方在接受咨询委托过程中接触到的甲方提供或告知的尚未为公众所知悉的商业秘密、技术秘密、法律信息等，包括但不限于：文件和批复、合作意向书、各类合同合作协议、会议纪要、会议决议、内部汇报材料、谈判方案、财务资料、定价资料、客户名单、行销计划、采购资料、进货渠道、技术方案、工程设计、制造方法、配方、工艺流程、技术指标、计算机软件、数据库、技术文档、相关的函电等。</w:t>
      </w:r>
    </w:p>
    <w:p w14:paraId="050F8288">
      <w:pPr>
        <w:spacing w:line="400" w:lineRule="exact"/>
        <w:ind w:firstLine="480" w:firstLineChars="200"/>
        <w:outlineLvl w:val="9"/>
        <w:rPr>
          <w:rFonts w:hint="default" w:ascii="Times New Roman" w:hAnsi="Times New Roman" w:cs="Times New Roman"/>
          <w:color w:val="auto"/>
          <w:sz w:val="24"/>
        </w:rPr>
      </w:pPr>
      <w:r>
        <w:rPr>
          <w:rFonts w:hint="eastAsia" w:cs="Times New Roman"/>
          <w:color w:val="auto"/>
          <w:sz w:val="24"/>
          <w:lang w:val="en-US" w:eastAsia="zh-CN"/>
        </w:rPr>
        <w:t>9</w:t>
      </w:r>
      <w:r>
        <w:rPr>
          <w:rFonts w:hint="default" w:ascii="Times New Roman" w:hAnsi="Times New Roman" w:cs="Times New Roman"/>
          <w:color w:val="auto"/>
          <w:sz w:val="24"/>
        </w:rPr>
        <w:t>.2保密事项排除范围：需保密的信息范围不含以下内容：</w:t>
      </w:r>
    </w:p>
    <w:p w14:paraId="0DDD90A1">
      <w:pPr>
        <w:spacing w:line="400" w:lineRule="exact"/>
        <w:ind w:firstLine="480" w:firstLineChars="200"/>
        <w:outlineLvl w:val="9"/>
        <w:rPr>
          <w:rFonts w:hint="default" w:ascii="Times New Roman" w:hAnsi="Times New Roman" w:cs="Times New Roman"/>
          <w:color w:val="auto"/>
          <w:sz w:val="24"/>
        </w:rPr>
      </w:pPr>
      <w:r>
        <w:rPr>
          <w:rFonts w:hint="eastAsia" w:cs="Times New Roman"/>
          <w:color w:val="auto"/>
          <w:sz w:val="24"/>
          <w:lang w:val="en-US" w:eastAsia="zh-CN"/>
        </w:rPr>
        <w:t>9</w:t>
      </w:r>
      <w:r>
        <w:rPr>
          <w:rFonts w:hint="default" w:ascii="Times New Roman" w:hAnsi="Times New Roman" w:cs="Times New Roman"/>
          <w:color w:val="auto"/>
          <w:sz w:val="24"/>
        </w:rPr>
        <w:t>.2.1本合同签订时，已经为公众所知的信息；</w:t>
      </w:r>
    </w:p>
    <w:p w14:paraId="49CFB954">
      <w:pPr>
        <w:spacing w:line="400" w:lineRule="exact"/>
        <w:ind w:firstLine="480" w:firstLineChars="200"/>
        <w:rPr>
          <w:rFonts w:hint="default" w:ascii="Times New Roman" w:hAnsi="Times New Roman" w:cs="Times New Roman"/>
          <w:color w:val="auto"/>
          <w:sz w:val="24"/>
        </w:rPr>
      </w:pPr>
      <w:r>
        <w:rPr>
          <w:rFonts w:hint="eastAsia" w:cs="Times New Roman"/>
          <w:color w:val="auto"/>
          <w:sz w:val="24"/>
          <w:lang w:val="en-US" w:eastAsia="zh-CN"/>
        </w:rPr>
        <w:t>9</w:t>
      </w:r>
      <w:r>
        <w:rPr>
          <w:rFonts w:hint="default" w:ascii="Times New Roman" w:hAnsi="Times New Roman" w:cs="Times New Roman"/>
          <w:color w:val="auto"/>
          <w:sz w:val="24"/>
        </w:rPr>
        <w:t>.2.2本合同签订后，非因归责于乙方的责任事由而为公众所知的信息；</w:t>
      </w:r>
    </w:p>
    <w:p w14:paraId="5F508D40">
      <w:pPr>
        <w:spacing w:line="400" w:lineRule="exact"/>
        <w:ind w:firstLine="480" w:firstLineChars="200"/>
        <w:rPr>
          <w:rFonts w:hint="default" w:ascii="Times New Roman" w:hAnsi="Times New Roman" w:cs="Times New Roman"/>
          <w:color w:val="auto"/>
          <w:sz w:val="24"/>
        </w:rPr>
      </w:pPr>
      <w:r>
        <w:rPr>
          <w:rFonts w:hint="eastAsia" w:cs="Times New Roman"/>
          <w:color w:val="auto"/>
          <w:sz w:val="24"/>
          <w:lang w:val="en-US" w:eastAsia="zh-CN"/>
        </w:rPr>
        <w:t>9</w:t>
      </w:r>
      <w:r>
        <w:rPr>
          <w:rFonts w:hint="default" w:ascii="Times New Roman" w:hAnsi="Times New Roman" w:cs="Times New Roman"/>
          <w:color w:val="auto"/>
          <w:sz w:val="24"/>
        </w:rPr>
        <w:t>.2.3根据法律规定及政府有关部门要求需公开的信息和资料；</w:t>
      </w:r>
    </w:p>
    <w:p w14:paraId="7C3AA400">
      <w:pPr>
        <w:spacing w:line="400" w:lineRule="exact"/>
        <w:ind w:firstLine="480" w:firstLineChars="200"/>
        <w:rPr>
          <w:rFonts w:hint="default" w:ascii="Times New Roman" w:hAnsi="Times New Roman" w:cs="Times New Roman"/>
          <w:color w:val="auto"/>
          <w:sz w:val="24"/>
        </w:rPr>
      </w:pPr>
      <w:r>
        <w:rPr>
          <w:rFonts w:hint="eastAsia" w:cs="Times New Roman"/>
          <w:color w:val="auto"/>
          <w:sz w:val="24"/>
          <w:lang w:val="en-US" w:eastAsia="zh-CN"/>
        </w:rPr>
        <w:t>9</w:t>
      </w:r>
      <w:r>
        <w:rPr>
          <w:rFonts w:hint="default" w:ascii="Times New Roman" w:hAnsi="Times New Roman" w:cs="Times New Roman"/>
          <w:color w:val="auto"/>
          <w:sz w:val="24"/>
        </w:rPr>
        <w:t>.2.4经甲方事先书面同意予以公开的信息。</w:t>
      </w:r>
    </w:p>
    <w:p w14:paraId="029BE509">
      <w:pPr>
        <w:spacing w:line="400" w:lineRule="exact"/>
        <w:ind w:firstLine="480" w:firstLineChars="200"/>
        <w:outlineLvl w:val="9"/>
        <w:rPr>
          <w:rFonts w:hint="default" w:ascii="Times New Roman" w:hAnsi="Times New Roman" w:cs="Times New Roman"/>
          <w:bCs/>
          <w:color w:val="auto"/>
          <w:sz w:val="24"/>
        </w:rPr>
      </w:pPr>
      <w:r>
        <w:rPr>
          <w:rFonts w:hint="eastAsia" w:cs="Times New Roman"/>
          <w:color w:val="auto"/>
          <w:sz w:val="24"/>
          <w:lang w:val="en-US" w:eastAsia="zh-CN"/>
        </w:rPr>
        <w:t>9</w:t>
      </w:r>
      <w:r>
        <w:rPr>
          <w:rFonts w:hint="default" w:ascii="Times New Roman" w:hAnsi="Times New Roman" w:cs="Times New Roman"/>
          <w:color w:val="auto"/>
          <w:sz w:val="24"/>
        </w:rPr>
        <w:t>.3</w:t>
      </w:r>
      <w:r>
        <w:rPr>
          <w:rFonts w:hint="default" w:ascii="Times New Roman" w:hAnsi="Times New Roman" w:cs="Times New Roman"/>
          <w:bCs/>
          <w:color w:val="auto"/>
          <w:sz w:val="24"/>
        </w:rPr>
        <w:t>承担保密义务的人员范围</w:t>
      </w:r>
    </w:p>
    <w:p w14:paraId="7C7BF3AA">
      <w:pPr>
        <w:spacing w:line="40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承担保密义务的人员范围包括：乙方在接受咨询委托事项过程中，派出的经办人员以及其他因工作关系而可能获悉保密事项的人员。</w:t>
      </w:r>
    </w:p>
    <w:p w14:paraId="44E8C825">
      <w:pPr>
        <w:spacing w:line="400" w:lineRule="exact"/>
        <w:ind w:firstLine="480" w:firstLineChars="200"/>
        <w:outlineLvl w:val="9"/>
        <w:rPr>
          <w:rFonts w:hint="default" w:ascii="Times New Roman" w:hAnsi="Times New Roman" w:cs="Times New Roman"/>
          <w:b/>
          <w:bCs/>
          <w:color w:val="auto"/>
          <w:sz w:val="24"/>
        </w:rPr>
      </w:pPr>
      <w:r>
        <w:rPr>
          <w:rFonts w:hint="eastAsia" w:cs="Times New Roman"/>
          <w:color w:val="auto"/>
          <w:sz w:val="24"/>
          <w:lang w:val="en-US" w:eastAsia="zh-CN"/>
        </w:rPr>
        <w:t>9</w:t>
      </w:r>
      <w:r>
        <w:rPr>
          <w:rFonts w:hint="default" w:ascii="Times New Roman" w:hAnsi="Times New Roman" w:cs="Times New Roman"/>
          <w:color w:val="auto"/>
          <w:sz w:val="24"/>
        </w:rPr>
        <w:t>.4</w:t>
      </w:r>
      <w:r>
        <w:rPr>
          <w:rFonts w:hint="default" w:ascii="Times New Roman" w:hAnsi="Times New Roman" w:cs="Times New Roman"/>
          <w:bCs/>
          <w:color w:val="auto"/>
          <w:sz w:val="24"/>
        </w:rPr>
        <w:t>保密信息的使用</w:t>
      </w:r>
    </w:p>
    <w:p w14:paraId="4FFDFEA5">
      <w:pPr>
        <w:spacing w:line="40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乙方对保密事项的使用只限于与甲方委托业务有关的目的加以使用，而不得为任何其他目的加以利用。</w:t>
      </w:r>
    </w:p>
    <w:p w14:paraId="6F380B30">
      <w:pPr>
        <w:spacing w:line="400" w:lineRule="exact"/>
        <w:ind w:firstLine="480" w:firstLineChars="200"/>
        <w:outlineLvl w:val="9"/>
        <w:rPr>
          <w:rFonts w:hint="default" w:ascii="Times New Roman" w:hAnsi="Times New Roman" w:cs="Times New Roman"/>
          <w:b/>
          <w:bCs/>
          <w:color w:val="auto"/>
          <w:sz w:val="24"/>
        </w:rPr>
      </w:pPr>
      <w:r>
        <w:rPr>
          <w:rFonts w:hint="eastAsia" w:cs="Times New Roman"/>
          <w:b w:val="0"/>
          <w:bCs w:val="0"/>
          <w:color w:val="auto"/>
          <w:sz w:val="24"/>
          <w:lang w:val="en-US" w:eastAsia="zh-CN"/>
        </w:rPr>
        <w:t>9</w:t>
      </w:r>
      <w:r>
        <w:rPr>
          <w:rFonts w:hint="default" w:ascii="Times New Roman" w:hAnsi="Times New Roman" w:cs="Times New Roman"/>
          <w:b w:val="0"/>
          <w:bCs w:val="0"/>
          <w:color w:val="auto"/>
          <w:sz w:val="24"/>
        </w:rPr>
        <w:t>.5</w:t>
      </w:r>
      <w:r>
        <w:rPr>
          <w:rFonts w:hint="default" w:ascii="Times New Roman" w:hAnsi="Times New Roman" w:cs="Times New Roman"/>
          <w:bCs/>
          <w:color w:val="auto"/>
          <w:sz w:val="24"/>
        </w:rPr>
        <w:t>保密义务的具体内容</w:t>
      </w:r>
    </w:p>
    <w:p w14:paraId="7D0217E5">
      <w:pPr>
        <w:spacing w:line="400" w:lineRule="exact"/>
        <w:ind w:firstLine="480" w:firstLineChars="200"/>
        <w:rPr>
          <w:rFonts w:hint="default" w:ascii="Times New Roman" w:hAnsi="Times New Roman" w:cs="Times New Roman"/>
          <w:color w:val="auto"/>
          <w:sz w:val="24"/>
        </w:rPr>
      </w:pPr>
      <w:r>
        <w:rPr>
          <w:rFonts w:hint="eastAsia" w:cs="Times New Roman"/>
          <w:color w:val="auto"/>
          <w:sz w:val="24"/>
          <w:lang w:val="en-US" w:eastAsia="zh-CN"/>
        </w:rPr>
        <w:t>9</w:t>
      </w:r>
      <w:r>
        <w:rPr>
          <w:rFonts w:hint="default" w:ascii="Times New Roman" w:hAnsi="Times New Roman" w:cs="Times New Roman"/>
          <w:color w:val="auto"/>
          <w:sz w:val="24"/>
        </w:rPr>
        <w:t>.5.1乙方应本着谨慎、诚实的态度，采取任何必要、合理的措施，维护在咨询委托过程中知悉或者持有的任何属于甲方或与甲方相关的保密事项，以保持其机密性。</w:t>
      </w:r>
    </w:p>
    <w:p w14:paraId="6E7A12F8">
      <w:pPr>
        <w:spacing w:line="400" w:lineRule="exact"/>
        <w:ind w:firstLine="480" w:firstLineChars="200"/>
        <w:rPr>
          <w:rFonts w:hint="default" w:ascii="Times New Roman" w:hAnsi="Times New Roman" w:cs="Times New Roman"/>
          <w:color w:val="auto"/>
          <w:sz w:val="24"/>
        </w:rPr>
      </w:pPr>
      <w:r>
        <w:rPr>
          <w:rFonts w:hint="eastAsia" w:cs="Times New Roman"/>
          <w:color w:val="auto"/>
          <w:sz w:val="24"/>
          <w:lang w:val="en-US" w:eastAsia="zh-CN"/>
        </w:rPr>
        <w:t>9</w:t>
      </w:r>
      <w:r>
        <w:rPr>
          <w:rFonts w:hint="default" w:ascii="Times New Roman" w:hAnsi="Times New Roman" w:cs="Times New Roman"/>
          <w:color w:val="auto"/>
          <w:sz w:val="24"/>
        </w:rPr>
        <w:t>.5.2乙方必须遵守甲方规定的任何成文或不成文的保密规章、制度，履行与其工作岗位相应的保密职责。</w:t>
      </w:r>
    </w:p>
    <w:p w14:paraId="43D34746">
      <w:pPr>
        <w:spacing w:line="400" w:lineRule="exact"/>
        <w:ind w:firstLine="480" w:firstLineChars="200"/>
        <w:rPr>
          <w:rFonts w:hint="default" w:ascii="Times New Roman" w:hAnsi="Times New Roman" w:cs="Times New Roman"/>
          <w:color w:val="auto"/>
          <w:sz w:val="24"/>
        </w:rPr>
      </w:pPr>
      <w:r>
        <w:rPr>
          <w:rFonts w:hint="eastAsia" w:cs="Times New Roman"/>
          <w:color w:val="auto"/>
          <w:sz w:val="24"/>
          <w:lang w:val="en-US" w:eastAsia="zh-CN"/>
        </w:rPr>
        <w:t>9</w:t>
      </w:r>
      <w:r>
        <w:rPr>
          <w:rFonts w:hint="default" w:ascii="Times New Roman" w:hAnsi="Times New Roman" w:cs="Times New Roman"/>
          <w:color w:val="auto"/>
          <w:sz w:val="24"/>
        </w:rPr>
        <w:t>.5.3除了完成委托事项的需要之外，乙方承诺，未经甲方同意，不得以泄露、公布、发布、出版、传授、转让或者其他任何方式使任何第三方知悉属于甲方或者与甲方相关保密事项，也不得在履行职务之外使用这些秘密信息。</w:t>
      </w:r>
    </w:p>
    <w:p w14:paraId="6596B727">
      <w:pPr>
        <w:spacing w:line="400" w:lineRule="exact"/>
        <w:ind w:firstLine="480" w:firstLineChars="200"/>
        <w:outlineLvl w:val="9"/>
        <w:rPr>
          <w:rFonts w:hint="default" w:ascii="Times New Roman" w:hAnsi="Times New Roman" w:cs="Times New Roman"/>
          <w:bCs/>
          <w:color w:val="auto"/>
          <w:sz w:val="24"/>
        </w:rPr>
      </w:pPr>
      <w:r>
        <w:rPr>
          <w:rFonts w:hint="eastAsia" w:cs="Times New Roman"/>
          <w:bCs/>
          <w:color w:val="auto"/>
          <w:sz w:val="24"/>
          <w:lang w:val="en-US" w:eastAsia="zh-CN"/>
        </w:rPr>
        <w:t>9</w:t>
      </w:r>
      <w:r>
        <w:rPr>
          <w:rFonts w:hint="default" w:ascii="Times New Roman" w:hAnsi="Times New Roman" w:cs="Times New Roman"/>
          <w:bCs/>
          <w:color w:val="auto"/>
          <w:sz w:val="24"/>
        </w:rPr>
        <w:t>.6赔偿责任</w:t>
      </w:r>
    </w:p>
    <w:p w14:paraId="3EA1C5FD">
      <w:pPr>
        <w:spacing w:line="400" w:lineRule="exact"/>
        <w:ind w:firstLine="480" w:firstLineChars="200"/>
        <w:rPr>
          <w:rFonts w:hint="eastAsia" w:cs="Times New Roman"/>
          <w:color w:val="auto"/>
          <w:sz w:val="24"/>
          <w:lang w:val="en-US" w:eastAsia="zh-CN"/>
        </w:rPr>
      </w:pPr>
      <w:r>
        <w:rPr>
          <w:rFonts w:hint="default" w:ascii="Times New Roman" w:hAnsi="Times New Roman" w:cs="Times New Roman"/>
          <w:color w:val="auto"/>
          <w:sz w:val="24"/>
          <w:highlight w:val="none"/>
        </w:rPr>
        <w:t>乙方不履行</w:t>
      </w:r>
      <w:r>
        <w:rPr>
          <w:rFonts w:hint="default" w:ascii="Times New Roman" w:hAnsi="Times New Roman" w:cs="Times New Roman"/>
          <w:color w:val="auto"/>
          <w:sz w:val="24"/>
        </w:rPr>
        <w:t>本保密条款、过失或故意泄露其知悉的甲方保密事项或者在擅自协议约定的工作内容之外使用甲方保密事项从而甲方造成损失的，乙方应承担相应的赔偿责任</w:t>
      </w:r>
      <w:r>
        <w:rPr>
          <w:rFonts w:hint="eastAsia" w:cs="Times New Roman"/>
          <w:color w:val="auto"/>
          <w:sz w:val="24"/>
          <w:lang w:val="en-US" w:eastAsia="zh-CN"/>
        </w:rPr>
        <w:t>。</w:t>
      </w:r>
    </w:p>
    <w:p w14:paraId="318C7881">
      <w:pPr>
        <w:spacing w:line="400" w:lineRule="exact"/>
        <w:ind w:firstLine="480" w:firstLineChars="200"/>
        <w:outlineLvl w:val="9"/>
        <w:rPr>
          <w:rFonts w:hint="default" w:ascii="Times New Roman" w:hAnsi="Times New Roman" w:cs="Times New Roman"/>
          <w:bCs/>
          <w:color w:val="auto"/>
          <w:sz w:val="24"/>
        </w:rPr>
      </w:pPr>
      <w:r>
        <w:rPr>
          <w:rFonts w:hint="eastAsia" w:cs="Times New Roman"/>
          <w:bCs/>
          <w:color w:val="auto"/>
          <w:sz w:val="24"/>
          <w:lang w:val="en-US" w:eastAsia="zh-CN"/>
        </w:rPr>
        <w:t>9</w:t>
      </w:r>
      <w:r>
        <w:rPr>
          <w:rFonts w:hint="default" w:ascii="Times New Roman" w:hAnsi="Times New Roman" w:cs="Times New Roman"/>
          <w:bCs/>
          <w:color w:val="auto"/>
          <w:sz w:val="24"/>
        </w:rPr>
        <w:t>.7期限</w:t>
      </w:r>
    </w:p>
    <w:p w14:paraId="20EBD75A">
      <w:pPr>
        <w:spacing w:line="320" w:lineRule="exact"/>
        <w:ind w:firstLine="480" w:firstLineChars="200"/>
        <w:rPr>
          <w:rFonts w:hint="default" w:ascii="Times New Roman" w:hAnsi="Times New Roman" w:cs="Times New Roman"/>
          <w:b/>
          <w:color w:val="auto"/>
          <w:sz w:val="24"/>
        </w:rPr>
      </w:pPr>
      <w:r>
        <w:rPr>
          <w:rFonts w:hint="default" w:ascii="Times New Roman" w:hAnsi="Times New Roman" w:cs="Times New Roman"/>
          <w:color w:val="auto"/>
          <w:sz w:val="24"/>
        </w:rPr>
        <w:t>乙方承担保密义务自其知悉相应的保密事项之日起，且其保密义务不因本合同的终止而终止。</w:t>
      </w:r>
    </w:p>
    <w:p w14:paraId="48FCE7EF">
      <w:pPr>
        <w:spacing w:line="400" w:lineRule="exact"/>
        <w:ind w:firstLine="482" w:firstLineChars="200"/>
        <w:outlineLvl w:val="9"/>
        <w:rPr>
          <w:rFonts w:hint="default" w:ascii="Times New Roman" w:hAnsi="Times New Roman" w:eastAsia="宋体" w:cs="Times New Roman"/>
          <w:b/>
          <w:color w:val="auto"/>
          <w:sz w:val="24"/>
          <w:lang w:val="en-US" w:eastAsia="zh-CN"/>
        </w:rPr>
      </w:pPr>
      <w:r>
        <w:rPr>
          <w:rFonts w:hint="eastAsia" w:cs="Times New Roman"/>
          <w:b/>
          <w:color w:val="auto"/>
          <w:sz w:val="24"/>
          <w:lang w:val="en-US" w:eastAsia="zh-CN"/>
        </w:rPr>
        <w:t>10</w:t>
      </w:r>
      <w:r>
        <w:rPr>
          <w:rFonts w:hint="default" w:ascii="Times New Roman" w:hAnsi="Times New Roman" w:cs="Times New Roman"/>
          <w:b/>
          <w:color w:val="auto"/>
          <w:sz w:val="24"/>
        </w:rPr>
        <w:t>.违约责任</w:t>
      </w:r>
    </w:p>
    <w:p w14:paraId="4FFD8964">
      <w:pPr>
        <w:spacing w:line="400" w:lineRule="exact"/>
        <w:ind w:firstLine="480" w:firstLineChars="200"/>
        <w:rPr>
          <w:rFonts w:hint="default" w:ascii="Times New Roman" w:hAnsi="Times New Roman" w:cs="Times New Roman"/>
          <w:color w:val="auto"/>
          <w:sz w:val="24"/>
        </w:rPr>
      </w:pPr>
      <w:r>
        <w:rPr>
          <w:rFonts w:hint="eastAsia" w:cs="Times New Roman"/>
          <w:color w:val="auto"/>
          <w:sz w:val="24"/>
          <w:lang w:val="en-US" w:eastAsia="zh-CN"/>
        </w:rPr>
        <w:t>10</w:t>
      </w:r>
      <w:r>
        <w:rPr>
          <w:rFonts w:hint="default" w:ascii="Times New Roman" w:hAnsi="Times New Roman" w:cs="Times New Roman"/>
          <w:color w:val="auto"/>
          <w:sz w:val="24"/>
        </w:rPr>
        <w:t>.1甲方未按合同约定支付服务费的，乙方有权暂停工作，由于甲方原因造成超过</w:t>
      </w:r>
      <w:r>
        <w:rPr>
          <w:rFonts w:hint="eastAsia" w:ascii="Times New Roman" w:hAnsi="Times New Roman" w:cs="Times New Roman"/>
          <w:color w:val="auto"/>
          <w:sz w:val="24"/>
          <w:lang w:val="en-US" w:eastAsia="zh-CN"/>
        </w:rPr>
        <w:t xml:space="preserve"> 30 </w:t>
      </w:r>
      <w:r>
        <w:rPr>
          <w:rFonts w:hint="default" w:ascii="Times New Roman" w:hAnsi="Times New Roman" w:cs="Times New Roman"/>
          <w:color w:val="auto"/>
          <w:sz w:val="24"/>
        </w:rPr>
        <w:t>日不支付的，乙方有权单方解除合同，并有权要求甲方支付已经提供法律服务期间的费用。</w:t>
      </w:r>
    </w:p>
    <w:p w14:paraId="655A290E">
      <w:pPr>
        <w:spacing w:line="400" w:lineRule="exact"/>
        <w:ind w:firstLine="480" w:firstLineChars="200"/>
        <w:rPr>
          <w:rFonts w:hint="default" w:ascii="Times New Roman" w:hAnsi="Times New Roman" w:cs="Times New Roman"/>
          <w:bCs w:val="0"/>
          <w:color w:val="auto"/>
          <w:sz w:val="24"/>
        </w:rPr>
      </w:pPr>
      <w:r>
        <w:rPr>
          <w:rFonts w:hint="eastAsia" w:cs="Times New Roman"/>
          <w:bCs w:val="0"/>
          <w:color w:val="auto"/>
          <w:sz w:val="24"/>
          <w:lang w:val="en-US" w:eastAsia="zh-CN"/>
        </w:rPr>
        <w:t>10</w:t>
      </w:r>
      <w:r>
        <w:rPr>
          <w:rFonts w:hint="eastAsia" w:ascii="Times New Roman" w:hAnsi="Times New Roman" w:cs="Times New Roman"/>
          <w:color w:val="auto"/>
          <w:sz w:val="24"/>
          <w:lang w:val="en-US" w:eastAsia="zh-CN"/>
        </w:rPr>
        <w:t>.</w:t>
      </w:r>
      <w:r>
        <w:rPr>
          <w:rFonts w:hint="default" w:cs="Times New Roman"/>
          <w:bCs w:val="0"/>
          <w:color w:val="auto"/>
          <w:sz w:val="24"/>
          <w:highlight w:val="none"/>
          <w:lang w:eastAsia="zh-CN"/>
        </w:rPr>
        <w:t>2</w:t>
      </w:r>
      <w:r>
        <w:rPr>
          <w:rFonts w:hint="default" w:ascii="Times New Roman" w:hAnsi="Times New Roman" w:cs="Times New Roman"/>
          <w:bCs w:val="0"/>
          <w:color w:val="auto"/>
          <w:sz w:val="24"/>
        </w:rPr>
        <w:t xml:space="preserve"> 合同签订后，若甲方无正当理由提前解除合同的，已经支付的服务费不予退还，尚未支付的应继续支付。</w:t>
      </w:r>
    </w:p>
    <w:p w14:paraId="0FD9BFC8">
      <w:pPr>
        <w:spacing w:line="400" w:lineRule="exact"/>
        <w:ind w:firstLine="480" w:firstLineChars="200"/>
        <w:rPr>
          <w:rFonts w:hint="default" w:ascii="Times New Roman" w:hAnsi="Times New Roman" w:cs="Times New Roman"/>
          <w:bCs w:val="0"/>
          <w:color w:val="auto"/>
          <w:sz w:val="24"/>
        </w:rPr>
      </w:pPr>
      <w:r>
        <w:rPr>
          <w:rFonts w:hint="eastAsia" w:cs="Times New Roman"/>
          <w:bCs w:val="0"/>
          <w:color w:val="auto"/>
          <w:sz w:val="24"/>
          <w:lang w:val="en-US" w:eastAsia="zh-CN"/>
        </w:rPr>
        <w:t>10</w:t>
      </w:r>
      <w:r>
        <w:rPr>
          <w:rFonts w:hint="default" w:ascii="Times New Roman" w:hAnsi="Times New Roman" w:cs="Times New Roman"/>
          <w:bCs w:val="0"/>
          <w:color w:val="auto"/>
          <w:sz w:val="24"/>
        </w:rPr>
        <w:t>.</w:t>
      </w:r>
      <w:r>
        <w:rPr>
          <w:rFonts w:hint="default" w:cs="Times New Roman"/>
          <w:bCs w:val="0"/>
          <w:color w:val="auto"/>
          <w:sz w:val="24"/>
          <w:highlight w:val="none"/>
          <w:lang w:eastAsia="zh-CN"/>
        </w:rPr>
        <w:t>3</w:t>
      </w:r>
      <w:r>
        <w:rPr>
          <w:rFonts w:hint="default" w:ascii="Times New Roman" w:hAnsi="Times New Roman" w:cs="Times New Roman"/>
          <w:bCs w:val="0"/>
          <w:color w:val="auto"/>
          <w:sz w:val="24"/>
        </w:rPr>
        <w:t xml:space="preserve"> 乙方在合同履行过程中，若存在以下情形之一，甲方有权解除合同，并要求退还未服务期间的费用，</w:t>
      </w:r>
      <w:r>
        <w:rPr>
          <w:rFonts w:hint="default" w:ascii="Times New Roman" w:hAnsi="Times New Roman" w:cs="Times New Roman"/>
          <w:bCs w:val="0"/>
          <w:color w:val="auto"/>
          <w:sz w:val="24"/>
          <w:highlight w:val="none"/>
        </w:rPr>
        <w:t>并要求乙方承担由此造成的相关损失。</w:t>
      </w:r>
    </w:p>
    <w:p w14:paraId="130703F7">
      <w:pPr>
        <w:spacing w:line="400" w:lineRule="exact"/>
        <w:ind w:firstLine="480" w:firstLineChars="200"/>
        <w:rPr>
          <w:rFonts w:hint="default" w:ascii="Times New Roman" w:hAnsi="Times New Roman" w:cs="Times New Roman"/>
          <w:bCs w:val="0"/>
          <w:color w:val="auto"/>
          <w:sz w:val="24"/>
        </w:rPr>
      </w:pPr>
      <w:r>
        <w:rPr>
          <w:rFonts w:hint="eastAsia" w:cs="Times New Roman"/>
          <w:color w:val="auto"/>
          <w:sz w:val="24"/>
          <w:lang w:val="en-US" w:eastAsia="zh-CN"/>
        </w:rPr>
        <w:t>10</w:t>
      </w:r>
      <w:r>
        <w:rPr>
          <w:rFonts w:hint="eastAsia" w:ascii="Times New Roman" w:hAnsi="Times New Roman" w:cs="Times New Roman"/>
          <w:color w:val="auto"/>
          <w:sz w:val="24"/>
          <w:lang w:val="en-US" w:eastAsia="zh-CN"/>
        </w:rPr>
        <w:t>.3.1</w:t>
      </w:r>
      <w:r>
        <w:rPr>
          <w:rFonts w:hint="default" w:ascii="Times New Roman" w:hAnsi="Times New Roman" w:cs="Times New Roman"/>
          <w:bCs w:val="0"/>
          <w:color w:val="auto"/>
          <w:sz w:val="24"/>
        </w:rPr>
        <w:t>无正当理由拒绝为甲方提供服务的；</w:t>
      </w:r>
    </w:p>
    <w:p w14:paraId="3241A55B">
      <w:pPr>
        <w:spacing w:line="400" w:lineRule="exact"/>
        <w:ind w:firstLine="480" w:firstLineChars="200"/>
        <w:rPr>
          <w:rFonts w:hint="eastAsia" w:ascii="Times New Roman" w:hAnsi="Times New Roman" w:cs="Times New Roman"/>
          <w:bCs w:val="0"/>
          <w:color w:val="auto"/>
          <w:sz w:val="24"/>
        </w:rPr>
      </w:pPr>
      <w:r>
        <w:rPr>
          <w:rFonts w:hint="eastAsia" w:cs="Times New Roman"/>
          <w:color w:val="auto"/>
          <w:sz w:val="24"/>
          <w:lang w:val="en-US" w:eastAsia="zh-CN"/>
        </w:rPr>
        <w:t>10</w:t>
      </w:r>
      <w:r>
        <w:rPr>
          <w:rFonts w:hint="eastAsia" w:ascii="Times New Roman" w:hAnsi="Times New Roman" w:cs="Times New Roman"/>
          <w:color w:val="auto"/>
          <w:sz w:val="24"/>
          <w:lang w:val="en-US" w:eastAsia="zh-CN"/>
        </w:rPr>
        <w:t>.3.2</w:t>
      </w:r>
      <w:r>
        <w:rPr>
          <w:rFonts w:hint="default" w:ascii="Times New Roman" w:hAnsi="Times New Roman" w:cs="Times New Roman"/>
          <w:bCs w:val="0"/>
          <w:color w:val="auto"/>
          <w:sz w:val="24"/>
        </w:rPr>
        <w:t>对甲方委托的工作出现重大偏差或误判的</w:t>
      </w:r>
      <w:r>
        <w:rPr>
          <w:rFonts w:hint="eastAsia" w:ascii="Times New Roman" w:hAnsi="Times New Roman" w:cs="Times New Roman"/>
          <w:color w:val="auto"/>
          <w:sz w:val="24"/>
          <w:lang w:val="en-US" w:eastAsia="zh-CN"/>
        </w:rPr>
        <w:t>；</w:t>
      </w:r>
    </w:p>
    <w:p w14:paraId="7C0932C1">
      <w:pPr>
        <w:spacing w:line="400" w:lineRule="exact"/>
        <w:ind w:firstLine="480" w:firstLineChars="200"/>
        <w:rPr>
          <w:rFonts w:hint="default" w:ascii="Times New Roman" w:hAnsi="Times New Roman" w:cs="Times New Roman"/>
          <w:bCs w:val="0"/>
          <w:color w:val="auto"/>
          <w:sz w:val="24"/>
        </w:rPr>
      </w:pPr>
      <w:r>
        <w:rPr>
          <w:rFonts w:hint="eastAsia" w:cs="Times New Roman"/>
          <w:color w:val="auto"/>
          <w:sz w:val="24"/>
          <w:lang w:val="en-US" w:eastAsia="zh-CN"/>
        </w:rPr>
        <w:t>10</w:t>
      </w:r>
      <w:r>
        <w:rPr>
          <w:rFonts w:hint="eastAsia" w:ascii="Times New Roman" w:hAnsi="Times New Roman" w:cs="Times New Roman"/>
          <w:color w:val="auto"/>
          <w:sz w:val="24"/>
          <w:lang w:val="en-US" w:eastAsia="zh-CN"/>
        </w:rPr>
        <w:t>.3.3</w:t>
      </w:r>
      <w:r>
        <w:rPr>
          <w:rFonts w:hint="default" w:ascii="Times New Roman" w:hAnsi="Times New Roman" w:cs="Times New Roman"/>
          <w:bCs w:val="0"/>
          <w:color w:val="auto"/>
          <w:sz w:val="24"/>
        </w:rPr>
        <w:t>不服从甲方工作安排两次及以上的；</w:t>
      </w:r>
    </w:p>
    <w:p w14:paraId="278BFFB0">
      <w:pPr>
        <w:spacing w:line="400" w:lineRule="exact"/>
        <w:ind w:firstLine="480" w:firstLineChars="200"/>
        <w:rPr>
          <w:rFonts w:hint="default" w:ascii="Times New Roman" w:hAnsi="Times New Roman" w:cs="Times New Roman"/>
          <w:bCs w:val="0"/>
          <w:color w:val="auto"/>
          <w:sz w:val="24"/>
          <w:lang w:val="en-US" w:eastAsia="zh-CN"/>
        </w:rPr>
      </w:pPr>
      <w:r>
        <w:rPr>
          <w:rFonts w:hint="eastAsia" w:cs="Times New Roman"/>
          <w:bCs w:val="0"/>
          <w:color w:val="auto"/>
          <w:sz w:val="24"/>
          <w:lang w:val="en-US" w:eastAsia="zh-CN"/>
        </w:rPr>
        <w:t>10</w:t>
      </w:r>
      <w:r>
        <w:rPr>
          <w:rFonts w:hint="eastAsia" w:ascii="Times New Roman" w:hAnsi="Times New Roman" w:cs="Times New Roman"/>
          <w:bCs w:val="0"/>
          <w:color w:val="auto"/>
          <w:sz w:val="24"/>
          <w:lang w:val="en-US" w:eastAsia="zh-CN"/>
        </w:rPr>
        <w:t>.3.4</w:t>
      </w:r>
      <w:r>
        <w:rPr>
          <w:rFonts w:hint="default" w:ascii="Times New Roman" w:hAnsi="Times New Roman" w:cs="Times New Roman"/>
          <w:bCs w:val="0"/>
          <w:color w:val="auto"/>
          <w:sz w:val="24"/>
        </w:rPr>
        <w:t>不按约定时限完成相应工作两次及以上的</w:t>
      </w:r>
      <w:r>
        <w:rPr>
          <w:rFonts w:hint="default" w:ascii="Times New Roman" w:hAnsi="Times New Roman" w:cs="Times New Roman"/>
          <w:bCs w:val="0"/>
          <w:color w:val="auto"/>
          <w:sz w:val="24"/>
          <w:lang w:eastAsia="zh-CN"/>
        </w:rPr>
        <w:t>；</w:t>
      </w:r>
    </w:p>
    <w:p w14:paraId="23CE53EB">
      <w:pPr>
        <w:spacing w:line="400" w:lineRule="exact"/>
        <w:ind w:firstLine="480" w:firstLineChars="200"/>
        <w:rPr>
          <w:rFonts w:hint="default" w:ascii="Times New Roman" w:hAnsi="Times New Roman" w:eastAsia="宋体" w:cs="Times New Roman"/>
          <w:bCs w:val="0"/>
          <w:color w:val="auto"/>
          <w:sz w:val="24"/>
          <w:highlight w:val="yellow"/>
          <w:lang w:eastAsia="zh-CN"/>
        </w:rPr>
      </w:pPr>
      <w:r>
        <w:rPr>
          <w:rFonts w:hint="eastAsia" w:cs="Times New Roman"/>
          <w:bCs w:val="0"/>
          <w:color w:val="auto"/>
          <w:sz w:val="24"/>
          <w:szCs w:val="24"/>
          <w:highlight w:val="none"/>
          <w:lang w:val="en-US" w:eastAsia="zh-CN"/>
        </w:rPr>
        <w:t>10</w:t>
      </w:r>
      <w:r>
        <w:rPr>
          <w:rFonts w:hint="default" w:cs="Times New Roman"/>
          <w:bCs w:val="0"/>
          <w:color w:val="auto"/>
          <w:sz w:val="24"/>
          <w:szCs w:val="24"/>
          <w:highlight w:val="none"/>
          <w:lang w:val="en-US" w:eastAsia="zh-CN"/>
        </w:rPr>
        <w:t>.3.5 因乙方行为致使合同解除的其它情形</w:t>
      </w:r>
    </w:p>
    <w:p w14:paraId="6F29A533">
      <w:pPr>
        <w:spacing w:line="400" w:lineRule="exact"/>
        <w:ind w:firstLine="480" w:firstLineChars="200"/>
        <w:rPr>
          <w:rFonts w:hint="default" w:ascii="Times New Roman" w:hAnsi="Times New Roman" w:cs="Times New Roman"/>
          <w:bCs w:val="0"/>
          <w:color w:val="auto"/>
          <w:sz w:val="24"/>
        </w:rPr>
      </w:pPr>
      <w:r>
        <w:rPr>
          <w:rFonts w:hint="eastAsia" w:cs="Times New Roman"/>
          <w:bCs w:val="0"/>
          <w:color w:val="auto"/>
          <w:sz w:val="24"/>
          <w:lang w:val="en-US" w:eastAsia="zh-CN"/>
        </w:rPr>
        <w:t>10</w:t>
      </w:r>
      <w:r>
        <w:rPr>
          <w:rFonts w:hint="default" w:ascii="Times New Roman" w:hAnsi="Times New Roman" w:cs="Times New Roman"/>
          <w:bCs w:val="0"/>
          <w:color w:val="auto"/>
          <w:sz w:val="24"/>
        </w:rPr>
        <w:t>.</w:t>
      </w:r>
      <w:r>
        <w:rPr>
          <w:rFonts w:hint="default" w:ascii="Times New Roman" w:hAnsi="Times New Roman" w:cs="Times New Roman"/>
          <w:bCs w:val="0"/>
          <w:color w:val="auto"/>
          <w:sz w:val="24"/>
          <w:lang w:eastAsia="zh-CN"/>
        </w:rPr>
        <w:t>4</w:t>
      </w:r>
      <w:r>
        <w:rPr>
          <w:rFonts w:hint="default" w:ascii="Times New Roman" w:hAnsi="Times New Roman" w:cs="Times New Roman"/>
          <w:bCs w:val="0"/>
          <w:color w:val="auto"/>
          <w:sz w:val="24"/>
        </w:rPr>
        <w:t xml:space="preserve"> 若乙方不履行或不适当履行其服务职责，甲方有权扣除乙方的顾问费余款；造成甲方经济损失的，依法予以赔偿。</w:t>
      </w:r>
    </w:p>
    <w:p w14:paraId="3A1BF5CF">
      <w:pPr>
        <w:spacing w:line="400" w:lineRule="exact"/>
        <w:ind w:firstLine="480" w:firstLineChars="200"/>
        <w:rPr>
          <w:rFonts w:hint="default" w:ascii="Times New Roman" w:hAnsi="Times New Roman" w:cs="Times New Roman"/>
          <w:bCs w:val="0"/>
          <w:color w:val="auto"/>
          <w:sz w:val="24"/>
        </w:rPr>
      </w:pPr>
      <w:r>
        <w:rPr>
          <w:rFonts w:hint="eastAsia" w:cs="Times New Roman"/>
          <w:bCs w:val="0"/>
          <w:color w:val="auto"/>
          <w:sz w:val="24"/>
          <w:lang w:val="en-US" w:eastAsia="zh-CN"/>
        </w:rPr>
        <w:t>10</w:t>
      </w:r>
      <w:r>
        <w:rPr>
          <w:rFonts w:hint="default" w:ascii="Times New Roman" w:hAnsi="Times New Roman" w:cs="Times New Roman"/>
          <w:bCs w:val="0"/>
          <w:color w:val="auto"/>
          <w:sz w:val="24"/>
        </w:rPr>
        <w:t>.</w:t>
      </w:r>
      <w:r>
        <w:rPr>
          <w:rFonts w:hint="default" w:ascii="Times New Roman" w:hAnsi="Times New Roman" w:cs="Times New Roman"/>
          <w:bCs w:val="0"/>
          <w:color w:val="auto"/>
          <w:sz w:val="24"/>
          <w:lang w:eastAsia="zh-CN"/>
        </w:rPr>
        <w:t>5</w:t>
      </w:r>
      <w:r>
        <w:rPr>
          <w:rFonts w:hint="default" w:ascii="Times New Roman" w:hAnsi="Times New Roman" w:cs="Times New Roman"/>
          <w:bCs w:val="0"/>
          <w:color w:val="auto"/>
          <w:sz w:val="24"/>
        </w:rPr>
        <w:t xml:space="preserve"> 若本合同签订后因乙方违约导致合同解除的，甲方有权不支付应付未付款项，并有权要求乙方承担以下责任：</w:t>
      </w:r>
    </w:p>
    <w:p w14:paraId="6DA01DDE">
      <w:pPr>
        <w:spacing w:line="400" w:lineRule="exact"/>
        <w:ind w:firstLine="480" w:firstLineChars="200"/>
        <w:outlineLvl w:val="9"/>
        <w:rPr>
          <w:rFonts w:hint="default" w:ascii="Times New Roman" w:hAnsi="Times New Roman" w:cs="Times New Roman"/>
          <w:bCs w:val="0"/>
          <w:color w:val="auto"/>
          <w:sz w:val="24"/>
        </w:rPr>
      </w:pPr>
      <w:r>
        <w:rPr>
          <w:rFonts w:hint="eastAsia" w:cs="Times New Roman"/>
          <w:color w:val="auto"/>
          <w:sz w:val="24"/>
          <w:lang w:val="en-US" w:eastAsia="zh-CN"/>
        </w:rPr>
        <w:t>10</w:t>
      </w:r>
      <w:r>
        <w:rPr>
          <w:rFonts w:hint="default" w:ascii="Times New Roman" w:hAnsi="Times New Roman" w:cs="Times New Roman"/>
          <w:color w:val="auto"/>
          <w:sz w:val="24"/>
          <w:lang w:val="en-US" w:eastAsia="zh-CN"/>
        </w:rPr>
        <w:t>.5</w:t>
      </w:r>
      <w:r>
        <w:rPr>
          <w:rFonts w:hint="eastAsia" w:ascii="Times New Roman" w:hAnsi="Times New Roman" w:cs="Times New Roman"/>
          <w:color w:val="auto"/>
          <w:sz w:val="24"/>
          <w:lang w:val="en-US" w:eastAsia="zh-CN"/>
        </w:rPr>
        <w:t>.1</w:t>
      </w:r>
      <w:r>
        <w:rPr>
          <w:rFonts w:hint="default" w:ascii="Times New Roman" w:hAnsi="Times New Roman" w:cs="Times New Roman"/>
          <w:bCs w:val="0"/>
          <w:color w:val="auto"/>
          <w:sz w:val="24"/>
        </w:rPr>
        <w:t>乙方应按合同约定向甲方支付相应违约金；</w:t>
      </w:r>
    </w:p>
    <w:p w14:paraId="1E6B03E4">
      <w:pPr>
        <w:keepNext w:val="0"/>
        <w:keepLines w:val="0"/>
        <w:pageBreakBefore w:val="0"/>
        <w:widowControl/>
        <w:kinsoku/>
        <w:wordWrap/>
        <w:overflowPunct/>
        <w:topLinePunct w:val="0"/>
        <w:autoSpaceDE/>
        <w:autoSpaceDN/>
        <w:bidi w:val="0"/>
        <w:adjustRightInd/>
        <w:snapToGrid/>
        <w:spacing w:line="400" w:lineRule="exact"/>
        <w:ind w:left="0" w:leftChars="0" w:right="0" w:firstLine="480" w:firstLineChars="200"/>
        <w:textAlignment w:val="auto"/>
        <w:rPr>
          <w:rFonts w:hint="default" w:ascii="Times New Roman" w:hAnsi="Times New Roman" w:eastAsia="宋体"/>
          <w:bCs w:val="0"/>
          <w:color w:val="auto"/>
          <w:sz w:val="24"/>
          <w:szCs w:val="24"/>
          <w:lang w:eastAsia="zh-CN"/>
        </w:rPr>
      </w:pPr>
      <w:r>
        <w:rPr>
          <w:rFonts w:hint="eastAsia" w:cs="Times New Roman"/>
          <w:color w:val="auto"/>
          <w:sz w:val="24"/>
          <w:lang w:val="en-US" w:eastAsia="zh-CN"/>
        </w:rPr>
        <w:t>10</w:t>
      </w:r>
      <w:r>
        <w:rPr>
          <w:rFonts w:hint="default" w:ascii="Times New Roman" w:hAnsi="Times New Roman" w:cs="Times New Roman"/>
          <w:color w:val="auto"/>
          <w:sz w:val="24"/>
          <w:lang w:val="en-US" w:eastAsia="zh-CN"/>
        </w:rPr>
        <w:t>.</w:t>
      </w:r>
      <w:r>
        <w:rPr>
          <w:rFonts w:hint="default" w:cs="Times New Roman"/>
          <w:bCs w:val="0"/>
          <w:color w:val="auto"/>
          <w:sz w:val="24"/>
          <w:szCs w:val="24"/>
          <w:lang w:eastAsia="zh-CN"/>
        </w:rPr>
        <w:t>5</w:t>
      </w:r>
      <w:r>
        <w:rPr>
          <w:rFonts w:hint="default" w:cs="Times New Roman"/>
          <w:bCs w:val="0"/>
          <w:color w:val="auto"/>
          <w:sz w:val="24"/>
          <w:szCs w:val="24"/>
          <w:lang w:val="en-US" w:eastAsia="zh-CN"/>
        </w:rPr>
        <w:t>.2</w:t>
      </w:r>
      <w:r>
        <w:rPr>
          <w:rFonts w:hint="default" w:ascii="Times New Roman" w:hAnsi="Times New Roman" w:cs="Times New Roman"/>
          <w:bCs w:val="0"/>
          <w:color w:val="auto"/>
          <w:sz w:val="24"/>
        </w:rPr>
        <w:t>乙方应赔偿甲方因此遭受的</w:t>
      </w:r>
      <w:r>
        <w:rPr>
          <w:rFonts w:hint="default" w:ascii="Times New Roman" w:hAnsi="Times New Roman" w:cs="Times New Roman"/>
          <w:bCs w:val="0"/>
          <w:color w:val="auto"/>
          <w:sz w:val="24"/>
          <w:highlight w:val="none"/>
        </w:rPr>
        <w:t>所受损失</w:t>
      </w:r>
      <w:r>
        <w:rPr>
          <w:rFonts w:hint="default" w:ascii="Times New Roman" w:hAnsi="Times New Roman" w:cs="Times New Roman"/>
          <w:bCs w:val="0"/>
          <w:color w:val="auto"/>
          <w:sz w:val="24"/>
        </w:rPr>
        <w:t>，赔偿范围包括但不限于诉讼费、保全费、保全保险费、甲方聘请律师的费用、差旅费、鉴定费、公证费、甲方向第三方赔偿的款项、行政罚款以及解决纠纷所产生的其他费用。</w:t>
      </w:r>
    </w:p>
    <w:p w14:paraId="3849C905">
      <w:pPr>
        <w:keepNext w:val="0"/>
        <w:keepLines w:val="0"/>
        <w:pageBreakBefore w:val="0"/>
        <w:widowControl/>
        <w:kinsoku/>
        <w:wordWrap/>
        <w:overflowPunct/>
        <w:topLinePunct w:val="0"/>
        <w:autoSpaceDE/>
        <w:autoSpaceDN/>
        <w:bidi w:val="0"/>
        <w:adjustRightInd/>
        <w:snapToGrid/>
        <w:spacing w:line="400" w:lineRule="exact"/>
        <w:ind w:left="0" w:leftChars="0" w:right="0" w:firstLine="482" w:firstLineChars="200"/>
        <w:textAlignment w:val="auto"/>
        <w:rPr>
          <w:rFonts w:hint="default" w:ascii="Times New Roman" w:hAnsi="Times New Roman" w:cs="Times New Roman"/>
          <w:bCs w:val="0"/>
          <w:color w:val="auto"/>
          <w:sz w:val="24"/>
          <w:lang w:val="en-US" w:eastAsia="zh-CN"/>
        </w:rPr>
      </w:pPr>
      <w:r>
        <w:rPr>
          <w:rStyle w:val="34"/>
          <w:rFonts w:hint="eastAsia" w:cs="Times New Roman"/>
          <w:i w:val="0"/>
          <w:iCs w:val="0"/>
          <w:caps w:val="0"/>
          <w:color w:val="auto"/>
          <w:spacing w:val="0"/>
          <w:sz w:val="24"/>
          <w:szCs w:val="24"/>
          <w:lang w:val="en-US" w:eastAsia="zh-CN" w:bidi="ar-SA"/>
        </w:rPr>
        <w:t>10</w:t>
      </w:r>
      <w:r>
        <w:rPr>
          <w:rStyle w:val="34"/>
          <w:rFonts w:hint="default" w:ascii="Times New Roman" w:hAnsi="Times New Roman" w:eastAsia="宋体" w:cs="Times New Roman"/>
          <w:i w:val="0"/>
          <w:iCs w:val="0"/>
          <w:caps w:val="0"/>
          <w:color w:val="auto"/>
          <w:spacing w:val="0"/>
          <w:sz w:val="24"/>
          <w:szCs w:val="24"/>
          <w:lang w:val="en-US" w:eastAsia="zh-CN" w:bidi="ar-SA"/>
        </w:rPr>
        <w:t>.</w:t>
      </w:r>
      <w:r>
        <w:rPr>
          <w:rFonts w:hint="default" w:cs="Times New Roman"/>
          <w:bCs w:val="0"/>
          <w:i w:val="0"/>
          <w:iCs w:val="0"/>
          <w:caps w:val="0"/>
          <w:color w:val="auto"/>
          <w:spacing w:val="0"/>
          <w:sz w:val="24"/>
          <w:szCs w:val="24"/>
          <w:highlight w:val="none"/>
          <w:lang w:val="en-US" w:eastAsia="zh-CN" w:bidi="ar-SA"/>
        </w:rPr>
        <w:t>6</w:t>
      </w:r>
      <w:r>
        <w:rPr>
          <w:rFonts w:hint="default" w:ascii="Times New Roman" w:hAnsi="Times New Roman" w:eastAsia="宋体" w:cs="Times New Roman"/>
          <w:i w:val="0"/>
          <w:iCs w:val="0"/>
          <w:caps w:val="0"/>
          <w:color w:val="auto"/>
          <w:spacing w:val="0"/>
          <w:sz w:val="24"/>
          <w:szCs w:val="24"/>
          <w:highlight w:val="none"/>
        </w:rPr>
        <w:t>乙方律</w:t>
      </w:r>
      <w:r>
        <w:rPr>
          <w:rFonts w:hint="default" w:ascii="Times New Roman" w:hAnsi="Times New Roman" w:eastAsia="宋体" w:cs="Times New Roman"/>
          <w:i w:val="0"/>
          <w:iCs w:val="0"/>
          <w:caps w:val="0"/>
          <w:color w:val="auto"/>
          <w:spacing w:val="0"/>
          <w:sz w:val="24"/>
          <w:szCs w:val="24"/>
        </w:rPr>
        <w:t>师在合同期间及之后对其获知的甲方</w:t>
      </w:r>
      <w:r>
        <w:rPr>
          <w:rFonts w:hint="default" w:cs="Times New Roman"/>
          <w:bCs w:val="0"/>
          <w:i w:val="0"/>
          <w:iCs w:val="0"/>
          <w:caps w:val="0"/>
          <w:color w:val="auto"/>
          <w:spacing w:val="0"/>
          <w:sz w:val="24"/>
          <w:szCs w:val="24"/>
          <w:highlight w:val="none"/>
          <w:lang w:val="en-US" w:eastAsia="zh-CN"/>
        </w:rPr>
        <w:t>保密事项</w:t>
      </w:r>
      <w:r>
        <w:rPr>
          <w:rFonts w:hint="default" w:ascii="Times New Roman" w:hAnsi="Times New Roman" w:eastAsia="宋体" w:cs="Times New Roman"/>
          <w:i w:val="0"/>
          <w:iCs w:val="0"/>
          <w:caps w:val="0"/>
          <w:color w:val="auto"/>
          <w:spacing w:val="0"/>
          <w:sz w:val="24"/>
          <w:szCs w:val="24"/>
        </w:rPr>
        <w:t>负有严格的保密责</w:t>
      </w:r>
      <w:r>
        <w:rPr>
          <w:rFonts w:hint="default" w:ascii="Times New Roman" w:hAnsi="Times New Roman" w:cs="Times New Roman"/>
          <w:bCs w:val="0"/>
          <w:color w:val="auto"/>
          <w:sz w:val="24"/>
        </w:rPr>
        <w:t>任。</w:t>
      </w:r>
    </w:p>
    <w:p w14:paraId="4C37C9E2">
      <w:pPr>
        <w:keepNext w:val="0"/>
        <w:keepLines w:val="0"/>
        <w:pageBreakBefore w:val="0"/>
        <w:widowControl/>
        <w:kinsoku/>
        <w:wordWrap/>
        <w:overflowPunct/>
        <w:topLinePunct w:val="0"/>
        <w:autoSpaceDE/>
        <w:autoSpaceDN/>
        <w:bidi w:val="0"/>
        <w:adjustRightInd/>
        <w:snapToGrid/>
        <w:spacing w:line="400" w:lineRule="exact"/>
        <w:ind w:left="0" w:leftChars="0" w:right="0" w:firstLine="480" w:firstLineChars="200"/>
        <w:textAlignment w:val="auto"/>
        <w:rPr>
          <w:rFonts w:hint="default" w:ascii="Times New Roman" w:hAnsi="Times New Roman" w:cs="Times New Roman"/>
          <w:bCs w:val="0"/>
          <w:color w:val="auto"/>
          <w:sz w:val="24"/>
        </w:rPr>
      </w:pPr>
      <w:r>
        <w:rPr>
          <w:rFonts w:hint="default" w:ascii="Times New Roman" w:hAnsi="Times New Roman" w:cs="Times New Roman"/>
          <w:bCs w:val="0"/>
          <w:color w:val="auto"/>
          <w:sz w:val="24"/>
        </w:rPr>
        <w:t>除非依据法律规定或经甲方明确同意，乙方律师不得向任何第三方披露。此外，乙方律师提交给甲方的所有工作成果不得侵犯任何第三方的合法权益，包括但不限于知识产权。</w:t>
      </w:r>
    </w:p>
    <w:p w14:paraId="5A24DD5D">
      <w:pPr>
        <w:keepNext w:val="0"/>
        <w:keepLines w:val="0"/>
        <w:pageBreakBefore w:val="0"/>
        <w:widowControl/>
        <w:kinsoku/>
        <w:wordWrap/>
        <w:overflowPunct/>
        <w:topLinePunct w:val="0"/>
        <w:autoSpaceDE/>
        <w:autoSpaceDN/>
        <w:bidi w:val="0"/>
        <w:adjustRightInd/>
        <w:snapToGrid/>
        <w:spacing w:line="400" w:lineRule="exact"/>
        <w:ind w:left="0" w:leftChars="0" w:right="0" w:firstLine="480" w:firstLineChars="200"/>
        <w:textAlignment w:val="auto"/>
        <w:rPr>
          <w:rFonts w:hint="default" w:ascii="Times New Roman" w:hAnsi="Times New Roman" w:cs="Times New Roman"/>
          <w:bCs w:val="0"/>
          <w:color w:val="auto"/>
          <w:sz w:val="24"/>
        </w:rPr>
      </w:pPr>
      <w:r>
        <w:rPr>
          <w:rFonts w:hint="eastAsia" w:cs="Times New Roman"/>
          <w:bCs w:val="0"/>
          <w:color w:val="auto"/>
          <w:sz w:val="24"/>
          <w:lang w:val="en-US" w:eastAsia="zh-CN"/>
        </w:rPr>
        <w:t>10</w:t>
      </w:r>
      <w:r>
        <w:rPr>
          <w:rFonts w:hint="default" w:ascii="Times New Roman" w:hAnsi="Times New Roman" w:cs="Times New Roman"/>
          <w:bCs w:val="0"/>
          <w:color w:val="auto"/>
          <w:sz w:val="24"/>
          <w:lang w:val="en-US" w:eastAsia="zh-CN"/>
        </w:rPr>
        <w:t>.6.1</w:t>
      </w:r>
      <w:r>
        <w:rPr>
          <w:rFonts w:hint="default" w:ascii="Times New Roman" w:hAnsi="Times New Roman" w:cs="Times New Roman"/>
          <w:bCs w:val="0"/>
          <w:color w:val="auto"/>
          <w:sz w:val="24"/>
        </w:rPr>
        <w:t>如果乙方违反保密义务，导致甲方遭受损失，乙方除需赔偿甲方所有实际损失外，还应支付相当于本合同法律服务费用含税总额</w:t>
      </w:r>
      <w:r>
        <w:rPr>
          <w:rFonts w:hint="eastAsia" w:cs="Times New Roman"/>
          <w:bCs w:val="0"/>
          <w:color w:val="auto"/>
          <w:sz w:val="24"/>
          <w:lang w:val="en-US" w:eastAsia="zh-CN"/>
        </w:rPr>
        <w:t>20</w:t>
      </w:r>
      <w:r>
        <w:rPr>
          <w:rFonts w:hint="eastAsia" w:ascii="Times New Roman" w:hAnsi="Times New Roman" w:cs="Times New Roman"/>
          <w:bCs w:val="0"/>
          <w:color w:val="auto"/>
          <w:sz w:val="24"/>
          <w:lang w:val="en-US" w:eastAsia="zh-CN"/>
        </w:rPr>
        <w:t xml:space="preserve"> %</w:t>
      </w:r>
      <w:r>
        <w:rPr>
          <w:rFonts w:hint="default" w:ascii="Times New Roman" w:hAnsi="Times New Roman" w:cs="Times New Roman"/>
          <w:bCs w:val="0"/>
          <w:color w:val="auto"/>
          <w:sz w:val="24"/>
        </w:rPr>
        <w:t>的违约金。</w:t>
      </w:r>
    </w:p>
    <w:p w14:paraId="63BFE91F">
      <w:pPr>
        <w:keepNext w:val="0"/>
        <w:keepLines w:val="0"/>
        <w:pageBreakBefore w:val="0"/>
        <w:widowControl/>
        <w:kinsoku/>
        <w:wordWrap/>
        <w:overflowPunct/>
        <w:topLinePunct w:val="0"/>
        <w:autoSpaceDE/>
        <w:autoSpaceDN/>
        <w:bidi w:val="0"/>
        <w:adjustRightInd/>
        <w:snapToGrid/>
        <w:spacing w:line="400" w:lineRule="exact"/>
        <w:ind w:left="0" w:leftChars="0" w:right="0" w:firstLine="480" w:firstLineChars="200"/>
        <w:textAlignment w:val="auto"/>
        <w:rPr>
          <w:rFonts w:hint="default" w:ascii="Times New Roman" w:hAnsi="Times New Roman" w:cs="Times New Roman"/>
          <w:bCs w:val="0"/>
          <w:color w:val="auto"/>
          <w:sz w:val="24"/>
        </w:rPr>
      </w:pPr>
      <w:r>
        <w:rPr>
          <w:rFonts w:hint="eastAsia" w:cs="Times New Roman"/>
          <w:bCs w:val="0"/>
          <w:color w:val="auto"/>
          <w:sz w:val="24"/>
          <w:lang w:val="en-US" w:eastAsia="zh-CN"/>
        </w:rPr>
        <w:t>10</w:t>
      </w:r>
      <w:r>
        <w:rPr>
          <w:rFonts w:hint="default" w:ascii="Times New Roman" w:hAnsi="Times New Roman" w:cs="Times New Roman"/>
          <w:bCs w:val="0"/>
          <w:color w:val="auto"/>
          <w:sz w:val="24"/>
          <w:lang w:val="en-US" w:eastAsia="zh-CN"/>
        </w:rPr>
        <w:t>.6.2</w:t>
      </w:r>
      <w:r>
        <w:rPr>
          <w:rFonts w:hint="default" w:ascii="Times New Roman" w:hAnsi="Times New Roman" w:cs="Times New Roman"/>
          <w:bCs w:val="0"/>
          <w:color w:val="auto"/>
          <w:sz w:val="24"/>
        </w:rPr>
        <w:t>若乙方提交的工作成果侵犯了第三方的合法权益，并导致甲方需要向本合同以外的第三方承担法律责任，甲方有权向乙方追偿</w:t>
      </w:r>
      <w:r>
        <w:rPr>
          <w:rFonts w:hint="default" w:ascii="Times New Roman" w:hAnsi="Times New Roman" w:cs="Times New Roman"/>
          <w:bCs w:val="0"/>
          <w:color w:val="auto"/>
          <w:sz w:val="24"/>
          <w:lang w:val="en-US" w:eastAsia="zh-CN"/>
        </w:rPr>
        <w:t>外</w:t>
      </w:r>
      <w:r>
        <w:rPr>
          <w:rFonts w:hint="default" w:ascii="Times New Roman" w:hAnsi="Times New Roman" w:cs="Times New Roman"/>
          <w:bCs w:val="0"/>
          <w:color w:val="auto"/>
          <w:sz w:val="24"/>
        </w:rPr>
        <w:t>，乙方</w:t>
      </w:r>
      <w:r>
        <w:rPr>
          <w:rFonts w:hint="default" w:ascii="Times New Roman" w:hAnsi="Times New Roman" w:cs="Times New Roman"/>
          <w:bCs w:val="0"/>
          <w:color w:val="auto"/>
          <w:sz w:val="24"/>
          <w:lang w:val="en-US" w:eastAsia="zh-CN"/>
        </w:rPr>
        <w:t>还</w:t>
      </w:r>
      <w:r>
        <w:rPr>
          <w:rFonts w:hint="default" w:ascii="Times New Roman" w:hAnsi="Times New Roman" w:cs="Times New Roman"/>
          <w:bCs w:val="0"/>
          <w:color w:val="auto"/>
          <w:sz w:val="24"/>
        </w:rPr>
        <w:t>应按本合同法律服务费用含税总额的</w:t>
      </w:r>
      <w:r>
        <w:rPr>
          <w:rFonts w:hint="eastAsia" w:cs="Times New Roman"/>
          <w:bCs w:val="0"/>
          <w:color w:val="auto"/>
          <w:sz w:val="24"/>
          <w:lang w:val="en-US" w:eastAsia="zh-CN"/>
        </w:rPr>
        <w:t>20%</w:t>
      </w:r>
      <w:r>
        <w:rPr>
          <w:rFonts w:hint="default" w:ascii="Times New Roman" w:hAnsi="Times New Roman" w:cs="Times New Roman"/>
          <w:bCs w:val="0"/>
          <w:color w:val="auto"/>
          <w:sz w:val="24"/>
        </w:rPr>
        <w:t>向甲方支付违约金。</w:t>
      </w:r>
    </w:p>
    <w:p w14:paraId="285E4457">
      <w:pPr>
        <w:keepNext w:val="0"/>
        <w:keepLines w:val="0"/>
        <w:pageBreakBefore w:val="0"/>
        <w:widowControl/>
        <w:kinsoku/>
        <w:wordWrap/>
        <w:overflowPunct/>
        <w:topLinePunct w:val="0"/>
        <w:autoSpaceDE/>
        <w:autoSpaceDN/>
        <w:bidi w:val="0"/>
        <w:adjustRightInd/>
        <w:snapToGrid/>
        <w:spacing w:line="400" w:lineRule="exact"/>
        <w:ind w:left="0" w:leftChars="0" w:right="0" w:firstLine="480" w:firstLineChars="200"/>
        <w:textAlignment w:val="auto"/>
        <w:rPr>
          <w:rFonts w:hint="default" w:ascii="Times New Roman" w:hAnsi="Times New Roman" w:cs="Times New Roman"/>
          <w:bCs w:val="0"/>
          <w:color w:val="auto"/>
          <w:sz w:val="24"/>
        </w:rPr>
      </w:pPr>
      <w:r>
        <w:rPr>
          <w:rFonts w:hint="eastAsia" w:cs="Times New Roman"/>
          <w:bCs w:val="0"/>
          <w:color w:val="auto"/>
          <w:sz w:val="24"/>
          <w:lang w:val="en-US" w:eastAsia="zh-CN"/>
        </w:rPr>
        <w:t>10</w:t>
      </w:r>
      <w:r>
        <w:rPr>
          <w:rFonts w:hint="default" w:ascii="Times New Roman" w:hAnsi="Times New Roman" w:cs="Times New Roman"/>
          <w:bCs w:val="0"/>
          <w:color w:val="auto"/>
          <w:sz w:val="24"/>
          <w:lang w:val="en-US" w:eastAsia="zh-CN"/>
        </w:rPr>
        <w:t>.7乙方因违约而应向甲方支付的违约金、损失赔偿金等款项，甲方有权与应付未付款项进行抵销，不足部分甲方有权继续向乙方追索。</w:t>
      </w:r>
    </w:p>
    <w:p w14:paraId="042B46D2">
      <w:pPr>
        <w:keepNext w:val="0"/>
        <w:keepLines w:val="0"/>
        <w:pageBreakBefore w:val="0"/>
        <w:widowControl/>
        <w:kinsoku/>
        <w:wordWrap/>
        <w:overflowPunct/>
        <w:topLinePunct w:val="0"/>
        <w:autoSpaceDE/>
        <w:autoSpaceDN/>
        <w:bidi w:val="0"/>
        <w:adjustRightInd/>
        <w:snapToGrid/>
        <w:spacing w:line="400" w:lineRule="exact"/>
        <w:ind w:left="0" w:leftChars="0" w:right="0" w:firstLine="480" w:firstLineChars="200"/>
        <w:textAlignment w:val="auto"/>
        <w:rPr>
          <w:rFonts w:hint="default" w:ascii="Times New Roman" w:hAnsi="Times New Roman" w:cs="Times New Roman"/>
          <w:bCs w:val="0"/>
          <w:color w:val="auto"/>
          <w:sz w:val="24"/>
        </w:rPr>
      </w:pPr>
      <w:r>
        <w:rPr>
          <w:rFonts w:hint="eastAsia" w:cs="Times New Roman"/>
          <w:bCs w:val="0"/>
          <w:color w:val="auto"/>
          <w:sz w:val="24"/>
          <w:lang w:val="en-US" w:eastAsia="zh-CN"/>
        </w:rPr>
        <w:t>10</w:t>
      </w:r>
      <w:r>
        <w:rPr>
          <w:rFonts w:hint="default" w:ascii="Times New Roman" w:hAnsi="Times New Roman" w:cs="Times New Roman"/>
          <w:bCs w:val="0"/>
          <w:color w:val="auto"/>
          <w:sz w:val="24"/>
        </w:rPr>
        <w:t>.</w:t>
      </w:r>
      <w:r>
        <w:rPr>
          <w:rFonts w:hint="eastAsia" w:ascii="Times New Roman" w:hAnsi="Times New Roman" w:cs="Times New Roman"/>
          <w:bCs w:val="0"/>
          <w:color w:val="auto"/>
          <w:sz w:val="24"/>
          <w:lang w:val="en-US" w:eastAsia="zh-CN"/>
        </w:rPr>
        <w:t>8</w:t>
      </w:r>
      <w:r>
        <w:rPr>
          <w:rFonts w:hint="default" w:ascii="Times New Roman" w:hAnsi="Times New Roman" w:cs="Times New Roman"/>
          <w:bCs w:val="0"/>
          <w:color w:val="auto"/>
          <w:sz w:val="24"/>
        </w:rPr>
        <w:t>乙方未能按本合同第</w:t>
      </w:r>
      <w:r>
        <w:rPr>
          <w:rFonts w:hint="eastAsia" w:cs="Times New Roman"/>
          <w:bCs w:val="0"/>
          <w:color w:val="auto"/>
          <w:sz w:val="24"/>
          <w:lang w:val="en-US" w:eastAsia="zh-CN"/>
        </w:rPr>
        <w:t>七</w:t>
      </w:r>
      <w:r>
        <w:rPr>
          <w:rFonts w:hint="default" w:ascii="Times New Roman" w:hAnsi="Times New Roman" w:cs="Times New Roman"/>
          <w:bCs w:val="0"/>
          <w:color w:val="auto"/>
          <w:sz w:val="24"/>
        </w:rPr>
        <w:t>条约定时限完成相应工作业务的，每逾期一天应按本合同顾问费总额</w:t>
      </w:r>
      <w:r>
        <w:rPr>
          <w:rFonts w:hint="default" w:ascii="Times New Roman" w:hAnsi="Times New Roman" w:cs="Times New Roman"/>
          <w:color w:val="auto"/>
          <w:sz w:val="24"/>
        </w:rPr>
        <w:t>万分之一</w:t>
      </w:r>
      <w:r>
        <w:rPr>
          <w:rFonts w:hint="default" w:ascii="Times New Roman" w:hAnsi="Times New Roman" w:cs="Times New Roman"/>
          <w:bCs w:val="0"/>
          <w:color w:val="auto"/>
          <w:sz w:val="24"/>
        </w:rPr>
        <w:t>的标准向甲方支付违约金。</w:t>
      </w:r>
    </w:p>
    <w:p w14:paraId="61563657">
      <w:pPr>
        <w:spacing w:line="400" w:lineRule="exact"/>
        <w:ind w:firstLine="480" w:firstLineChars="200"/>
        <w:rPr>
          <w:rFonts w:hint="default" w:ascii="Times New Roman" w:hAnsi="Times New Roman" w:cs="Times New Roman"/>
          <w:color w:val="auto"/>
          <w:sz w:val="24"/>
        </w:rPr>
      </w:pPr>
      <w:r>
        <w:rPr>
          <w:rFonts w:hint="eastAsia" w:cs="Times New Roman"/>
          <w:color w:val="auto"/>
          <w:sz w:val="24"/>
          <w:lang w:val="en-US" w:eastAsia="zh-CN"/>
        </w:rPr>
        <w:t>10</w:t>
      </w:r>
      <w:r>
        <w:rPr>
          <w:rFonts w:hint="default" w:ascii="Times New Roman" w:hAnsi="Times New Roman" w:cs="Times New Roman"/>
          <w:color w:val="auto"/>
          <w:sz w:val="24"/>
        </w:rPr>
        <w:t>.</w:t>
      </w:r>
      <w:r>
        <w:rPr>
          <w:rFonts w:hint="eastAsia" w:ascii="Times New Roman" w:hAnsi="Times New Roman" w:cs="Times New Roman"/>
          <w:color w:val="auto"/>
          <w:sz w:val="24"/>
          <w:lang w:val="en-US" w:eastAsia="zh-CN"/>
        </w:rPr>
        <w:t>9</w:t>
      </w:r>
      <w:r>
        <w:rPr>
          <w:rFonts w:hint="default" w:ascii="Times New Roman" w:hAnsi="Times New Roman" w:cs="Times New Roman"/>
          <w:color w:val="auto"/>
          <w:sz w:val="24"/>
        </w:rPr>
        <w:t>甲方对乙方到甲方办公处所坐班情况进行考勤。乙方每缺勤一次，视同乙方违约，甲方有权对乙方处以违约扣款</w:t>
      </w:r>
      <w:r>
        <w:rPr>
          <w:rFonts w:hint="eastAsia" w:cs="Times New Roman"/>
          <w:color w:val="auto"/>
          <w:sz w:val="24"/>
          <w:u w:val="none"/>
          <w:lang w:val="en-US" w:eastAsia="zh-CN"/>
        </w:rPr>
        <w:t xml:space="preserve">500 </w:t>
      </w:r>
      <w:r>
        <w:rPr>
          <w:rFonts w:hint="default" w:ascii="Times New Roman" w:hAnsi="Times New Roman" w:cs="Times New Roman"/>
          <w:color w:val="auto"/>
          <w:sz w:val="24"/>
        </w:rPr>
        <w:t>元/次，所扣金额在本合同顾问费余款中扣除。</w:t>
      </w:r>
    </w:p>
    <w:p w14:paraId="3DC183FE">
      <w:pPr>
        <w:spacing w:line="400" w:lineRule="exact"/>
        <w:ind w:firstLine="480" w:firstLineChars="200"/>
        <w:rPr>
          <w:rFonts w:hint="default"/>
        </w:rPr>
      </w:pPr>
      <w:r>
        <w:rPr>
          <w:rFonts w:hint="eastAsia" w:cs="Times New Roman"/>
          <w:bCs w:val="0"/>
          <w:color w:val="auto"/>
          <w:sz w:val="24"/>
          <w:lang w:val="en-US" w:eastAsia="zh-CN"/>
        </w:rPr>
        <w:t>10</w:t>
      </w:r>
      <w:r>
        <w:rPr>
          <w:rFonts w:hint="default" w:ascii="Times New Roman" w:hAnsi="Times New Roman" w:cs="Times New Roman"/>
          <w:bCs w:val="0"/>
          <w:color w:val="auto"/>
          <w:sz w:val="24"/>
        </w:rPr>
        <w:t>.</w:t>
      </w:r>
      <w:r>
        <w:rPr>
          <w:rFonts w:hint="eastAsia" w:ascii="Times New Roman" w:hAnsi="Times New Roman" w:cs="Times New Roman"/>
          <w:color w:val="auto"/>
          <w:sz w:val="24"/>
          <w:lang w:eastAsia="zh-CN"/>
        </w:rPr>
        <w:t>1</w:t>
      </w:r>
      <w:r>
        <w:rPr>
          <w:rFonts w:hint="eastAsia" w:ascii="Times New Roman" w:hAnsi="Times New Roman" w:cs="Times New Roman"/>
          <w:color w:val="auto"/>
          <w:sz w:val="24"/>
          <w:lang w:val="en-US" w:eastAsia="zh-CN"/>
        </w:rPr>
        <w:t>0</w:t>
      </w:r>
      <w:r>
        <w:rPr>
          <w:rFonts w:hint="default" w:ascii="Times New Roman" w:hAnsi="Times New Roman" w:cs="Times New Roman"/>
          <w:color w:val="auto"/>
          <w:sz w:val="24"/>
        </w:rPr>
        <w:t>乙方在本合同内确定的项目团队律师不应更换，如未经甲方同意擅自更换项目团队人员的，甲方将视其违约，并处以</w:t>
      </w:r>
      <w:r>
        <w:rPr>
          <w:rFonts w:hint="eastAsia" w:cs="Times New Roman"/>
          <w:color w:val="auto"/>
          <w:sz w:val="24"/>
          <w:u w:val="none"/>
          <w:lang w:val="en-US" w:eastAsia="zh-CN"/>
        </w:rPr>
        <w:t>1</w:t>
      </w:r>
      <w:r>
        <w:rPr>
          <w:rFonts w:hint="default" w:ascii="Times New Roman" w:hAnsi="Times New Roman" w:cs="Times New Roman"/>
          <w:color w:val="auto"/>
          <w:sz w:val="24"/>
        </w:rPr>
        <w:t>万元/每人的违约金，如遇顾问律师开庭、出差在外或其他客观障碍确实不能提供服务时，经甲方同意，乙方可临时指派本所其他律师替代，但乙方增加团队服务律师的不受上述规定限制。</w:t>
      </w:r>
    </w:p>
    <w:p w14:paraId="06F7CCB3">
      <w:pPr>
        <w:spacing w:line="400" w:lineRule="exact"/>
        <w:ind w:firstLine="482" w:firstLineChars="200"/>
        <w:outlineLvl w:val="9"/>
        <w:rPr>
          <w:rFonts w:hint="default" w:ascii="Times New Roman" w:hAnsi="Times New Roman" w:cs="Times New Roman"/>
          <w:b/>
          <w:color w:val="auto"/>
          <w:sz w:val="24"/>
        </w:rPr>
      </w:pPr>
      <w:r>
        <w:rPr>
          <w:rFonts w:hint="default" w:ascii="Times New Roman" w:hAnsi="Times New Roman" w:cs="Times New Roman"/>
          <w:b/>
          <w:color w:val="auto"/>
          <w:sz w:val="24"/>
        </w:rPr>
        <w:t>1</w:t>
      </w:r>
      <w:r>
        <w:rPr>
          <w:rFonts w:hint="eastAsia" w:cs="Times New Roman"/>
          <w:b/>
          <w:color w:val="auto"/>
          <w:sz w:val="24"/>
          <w:lang w:val="en-US" w:eastAsia="zh-CN"/>
        </w:rPr>
        <w:t>1</w:t>
      </w:r>
      <w:r>
        <w:rPr>
          <w:rFonts w:hint="default" w:ascii="Times New Roman" w:hAnsi="Times New Roman" w:cs="Times New Roman"/>
          <w:b/>
          <w:color w:val="auto"/>
          <w:sz w:val="24"/>
        </w:rPr>
        <w:t>.其他约定</w:t>
      </w:r>
    </w:p>
    <w:p w14:paraId="4F6BB56B">
      <w:pPr>
        <w:spacing w:line="40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w:t>
      </w:r>
      <w:r>
        <w:rPr>
          <w:rFonts w:hint="eastAsia" w:cs="Times New Roman"/>
          <w:color w:val="auto"/>
          <w:sz w:val="24"/>
          <w:lang w:val="en-US" w:eastAsia="zh-CN"/>
        </w:rPr>
        <w:t>1</w:t>
      </w:r>
      <w:r>
        <w:rPr>
          <w:rFonts w:hint="default" w:ascii="Times New Roman" w:hAnsi="Times New Roman" w:cs="Times New Roman"/>
          <w:color w:val="auto"/>
          <w:sz w:val="24"/>
        </w:rPr>
        <w:t>.1本合同未尽事宜，双方另行以书面形式商定；如协商未能解决争议，任何一方均可提交甲方所在地人民法院处理，产生的律师费、诉讼费由责任方承担。</w:t>
      </w:r>
    </w:p>
    <w:p w14:paraId="1CC9A6C0">
      <w:pPr>
        <w:spacing w:line="40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w:t>
      </w:r>
      <w:r>
        <w:rPr>
          <w:rFonts w:hint="eastAsia" w:cs="Times New Roman"/>
          <w:color w:val="auto"/>
          <w:sz w:val="24"/>
          <w:lang w:val="en-US" w:eastAsia="zh-CN"/>
        </w:rPr>
        <w:t>1</w:t>
      </w:r>
      <w:r>
        <w:rPr>
          <w:rFonts w:hint="default" w:ascii="Times New Roman" w:hAnsi="Times New Roman" w:cs="Times New Roman"/>
          <w:color w:val="auto"/>
          <w:sz w:val="24"/>
        </w:rPr>
        <w:t>.2本合同正本一式</w:t>
      </w:r>
      <w:r>
        <w:rPr>
          <w:rFonts w:hint="eastAsia" w:cs="Times New Roman"/>
          <w:color w:val="auto"/>
          <w:sz w:val="24"/>
          <w:lang w:val="en-US" w:eastAsia="zh-CN"/>
        </w:rPr>
        <w:t>两</w:t>
      </w:r>
      <w:r>
        <w:rPr>
          <w:rFonts w:hint="default" w:ascii="Times New Roman" w:hAnsi="Times New Roman" w:cs="Times New Roman"/>
          <w:color w:val="auto"/>
          <w:sz w:val="24"/>
        </w:rPr>
        <w:t>份</w:t>
      </w:r>
      <w:r>
        <w:rPr>
          <w:rFonts w:hint="eastAsia" w:cs="Times New Roman"/>
          <w:color w:val="auto"/>
          <w:sz w:val="24"/>
          <w:lang w:eastAsia="zh-CN"/>
        </w:rPr>
        <w:t>，</w:t>
      </w:r>
      <w:r>
        <w:rPr>
          <w:rFonts w:hint="eastAsia" w:cs="Times New Roman"/>
          <w:color w:val="auto"/>
          <w:sz w:val="24"/>
          <w:lang w:val="en-US" w:eastAsia="zh-CN"/>
        </w:rPr>
        <w:t>双方各</w:t>
      </w:r>
      <w:r>
        <w:rPr>
          <w:rFonts w:hint="default" w:ascii="Times New Roman" w:hAnsi="Times New Roman" w:cs="Times New Roman"/>
          <w:color w:val="auto"/>
          <w:sz w:val="24"/>
        </w:rPr>
        <w:t>执</w:t>
      </w:r>
      <w:r>
        <w:rPr>
          <w:rFonts w:hint="eastAsia" w:cs="Times New Roman"/>
          <w:color w:val="auto"/>
          <w:sz w:val="24"/>
          <w:lang w:val="en-US" w:eastAsia="zh-CN"/>
        </w:rPr>
        <w:t>一</w:t>
      </w:r>
      <w:r>
        <w:rPr>
          <w:rFonts w:hint="default" w:ascii="Times New Roman" w:hAnsi="Times New Roman" w:cs="Times New Roman"/>
          <w:color w:val="auto"/>
          <w:sz w:val="24"/>
        </w:rPr>
        <w:t>份</w:t>
      </w:r>
      <w:r>
        <w:rPr>
          <w:rFonts w:hint="eastAsia" w:cs="Times New Roman"/>
          <w:color w:val="auto"/>
          <w:sz w:val="24"/>
          <w:lang w:eastAsia="zh-CN"/>
        </w:rPr>
        <w:t>；</w:t>
      </w:r>
      <w:r>
        <w:rPr>
          <w:rFonts w:hint="eastAsia" w:cs="Times New Roman"/>
          <w:color w:val="auto"/>
          <w:sz w:val="24"/>
          <w:lang w:val="en-US" w:eastAsia="zh-CN"/>
        </w:rPr>
        <w:t>副本</w:t>
      </w:r>
      <w:r>
        <w:rPr>
          <w:rFonts w:hint="eastAsia" w:cs="Times New Roman"/>
          <w:color w:val="auto"/>
          <w:sz w:val="24"/>
          <w:u w:val="none"/>
          <w:lang w:val="en-US" w:eastAsia="zh-CN"/>
        </w:rPr>
        <w:t xml:space="preserve">2 </w:t>
      </w:r>
      <w:r>
        <w:rPr>
          <w:rFonts w:hint="eastAsia" w:cs="Times New Roman"/>
          <w:color w:val="auto"/>
          <w:sz w:val="24"/>
          <w:lang w:val="en-US" w:eastAsia="zh-CN"/>
        </w:rPr>
        <w:t>份，</w:t>
      </w:r>
      <w:r>
        <w:rPr>
          <w:rFonts w:hint="default" w:ascii="Times New Roman" w:hAnsi="Times New Roman" w:cs="Times New Roman"/>
          <w:color w:val="auto"/>
          <w:sz w:val="24"/>
        </w:rPr>
        <w:t>甲方执</w:t>
      </w:r>
      <w:r>
        <w:rPr>
          <w:rFonts w:hint="eastAsia" w:cs="Times New Roman"/>
          <w:color w:val="auto"/>
          <w:sz w:val="24"/>
          <w:u w:val="none"/>
          <w:lang w:val="en-US" w:eastAsia="zh-CN"/>
        </w:rPr>
        <w:t xml:space="preserve"> 1</w:t>
      </w:r>
      <w:r>
        <w:rPr>
          <w:rFonts w:hint="default" w:ascii="Times New Roman" w:hAnsi="Times New Roman" w:cs="Times New Roman"/>
          <w:color w:val="auto"/>
          <w:sz w:val="24"/>
        </w:rPr>
        <w:t>份，乙方执</w:t>
      </w:r>
      <w:r>
        <w:rPr>
          <w:rFonts w:hint="eastAsia" w:cs="Times New Roman"/>
          <w:color w:val="auto"/>
          <w:sz w:val="24"/>
          <w:u w:val="single"/>
          <w:lang w:val="en-US" w:eastAsia="zh-CN"/>
        </w:rPr>
        <w:t xml:space="preserve"> </w:t>
      </w:r>
      <w:r>
        <w:rPr>
          <w:rFonts w:hint="eastAsia" w:cs="Times New Roman"/>
          <w:color w:val="auto"/>
          <w:sz w:val="24"/>
          <w:u w:val="none"/>
          <w:lang w:val="en-US" w:eastAsia="zh-CN"/>
        </w:rPr>
        <w:t xml:space="preserve">1 </w:t>
      </w:r>
      <w:r>
        <w:rPr>
          <w:rFonts w:hint="default" w:ascii="Times New Roman" w:hAnsi="Times New Roman" w:cs="Times New Roman"/>
          <w:color w:val="auto"/>
          <w:sz w:val="24"/>
        </w:rPr>
        <w:t>份，</w:t>
      </w:r>
      <w:r>
        <w:rPr>
          <w:rFonts w:hint="eastAsia" w:cs="Times New Roman"/>
          <w:color w:val="auto"/>
          <w:sz w:val="24"/>
          <w:lang w:val="en-US" w:eastAsia="zh-CN"/>
        </w:rPr>
        <w:t>均</w:t>
      </w:r>
      <w:r>
        <w:rPr>
          <w:rFonts w:hint="default" w:ascii="Times New Roman" w:hAnsi="Times New Roman" w:cs="Times New Roman"/>
          <w:color w:val="auto"/>
          <w:sz w:val="24"/>
        </w:rPr>
        <w:t>具有同等法律效力。本合同自双方代表签字、单位盖章之日起生效。</w:t>
      </w:r>
    </w:p>
    <w:p w14:paraId="3AFE7ECE">
      <w:pPr>
        <w:spacing w:line="400" w:lineRule="exact"/>
        <w:ind w:firstLine="480" w:firstLineChars="200"/>
        <w:rPr>
          <w:rFonts w:hint="default" w:ascii="Times New Roman" w:hAnsi="Times New Roman" w:cs="Times New Roman"/>
          <w:color w:val="auto"/>
          <w:sz w:val="24"/>
        </w:rPr>
      </w:pPr>
    </w:p>
    <w:p w14:paraId="75CD7BD4">
      <w:pPr>
        <w:adjustRightInd/>
        <w:snapToGrid/>
        <w:spacing w:line="400" w:lineRule="exact"/>
        <w:ind w:firstLine="480" w:firstLineChars="200"/>
        <w:outlineLvl w:val="9"/>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rPr>
        <w:t>附件：</w:t>
      </w:r>
      <w:r>
        <w:rPr>
          <w:rFonts w:hint="default" w:ascii="Times New Roman" w:hAnsi="Times New Roman" w:eastAsia="宋体" w:cs="Times New Roman"/>
          <w:b w:val="0"/>
          <w:bCs w:val="0"/>
          <w:color w:val="auto"/>
          <w:sz w:val="24"/>
          <w:szCs w:val="24"/>
          <w:lang w:val="en-US" w:eastAsia="zh-CN"/>
        </w:rPr>
        <w:t>法律顾问项目服务团队汇总表</w:t>
      </w:r>
      <w:r>
        <w:rPr>
          <w:rFonts w:hint="default" w:cs="Times New Roman"/>
          <w:color w:val="auto"/>
          <w:sz w:val="24"/>
          <w:lang w:eastAsia="zh-CN"/>
        </w:rPr>
        <w:t>。</w:t>
      </w:r>
    </w:p>
    <w:p w14:paraId="3FB3ABF9">
      <w:pPr>
        <w:adjustRightInd w:val="0"/>
        <w:snapToGrid w:val="0"/>
        <w:spacing w:line="320" w:lineRule="exact"/>
        <w:outlineLvl w:val="9"/>
        <w:rPr>
          <w:rFonts w:hint="default" w:ascii="Times New Roman" w:hAnsi="Times New Roman" w:cs="Times New Roman"/>
          <w:color w:val="auto"/>
          <w:sz w:val="24"/>
        </w:rPr>
      </w:pPr>
    </w:p>
    <w:bookmarkEnd w:id="295"/>
    <w:p w14:paraId="6813E0EE">
      <w:pPr>
        <w:spacing w:line="400" w:lineRule="exact"/>
        <w:ind w:hanging="2"/>
        <w:rPr>
          <w:rFonts w:hint="default" w:ascii="Times New Roman" w:hAnsi="Times New Roman" w:cs="Times New Roman"/>
          <w:color w:val="auto"/>
          <w:sz w:val="24"/>
        </w:rPr>
      </w:pPr>
      <w:r>
        <w:rPr>
          <w:rFonts w:hint="default" w:ascii="Times New Roman" w:hAnsi="Times New Roman" w:cs="Times New Roman"/>
          <w:color w:val="auto"/>
          <w:sz w:val="24"/>
        </w:rPr>
        <w:t>（以下无正文）</w:t>
      </w:r>
    </w:p>
    <w:p w14:paraId="30E76036">
      <w:pPr>
        <w:spacing w:line="400" w:lineRule="exact"/>
        <w:rPr>
          <w:rFonts w:hint="default" w:ascii="Times New Roman" w:hAnsi="Times New Roman" w:cs="Times New Roman"/>
          <w:color w:val="auto"/>
          <w:sz w:val="24"/>
        </w:rPr>
      </w:pPr>
      <w:r>
        <w:rPr>
          <w:rFonts w:hint="default" w:ascii="Times New Roman" w:hAnsi="Times New Roman" w:cs="Times New Roman"/>
          <w:color w:val="auto"/>
          <w:sz w:val="24"/>
        </w:rPr>
        <w:t>（本页签章页）</w:t>
      </w:r>
    </w:p>
    <w:p w14:paraId="6044A4D6">
      <w:pPr>
        <w:adjustRightInd w:val="0"/>
        <w:snapToGrid w:val="0"/>
        <w:spacing w:line="320" w:lineRule="exact"/>
        <w:outlineLvl w:val="9"/>
        <w:rPr>
          <w:rFonts w:hint="default" w:ascii="Times New Roman" w:hAnsi="Times New Roman" w:cs="Times New Roman"/>
          <w:color w:val="auto"/>
          <w:sz w:val="24"/>
        </w:rPr>
      </w:pPr>
    </w:p>
    <w:tbl>
      <w:tblPr>
        <w:tblStyle w:val="31"/>
        <w:tblW w:w="0" w:type="auto"/>
        <w:tblInd w:w="0" w:type="dxa"/>
        <w:tblLayout w:type="autofit"/>
        <w:tblCellMar>
          <w:top w:w="0" w:type="dxa"/>
          <w:left w:w="108" w:type="dxa"/>
          <w:bottom w:w="0" w:type="dxa"/>
          <w:right w:w="108" w:type="dxa"/>
        </w:tblCellMar>
      </w:tblPr>
      <w:tblGrid>
        <w:gridCol w:w="4308"/>
        <w:gridCol w:w="4308"/>
      </w:tblGrid>
      <w:tr w14:paraId="2AA89019">
        <w:tc>
          <w:tcPr>
            <w:tcW w:w="4717" w:type="dxa"/>
            <w:noWrap w:val="0"/>
            <w:vAlign w:val="top"/>
          </w:tcPr>
          <w:p w14:paraId="58B3BCA0">
            <w:pPr>
              <w:spacing w:line="400" w:lineRule="exact"/>
              <w:rPr>
                <w:rFonts w:hint="default" w:ascii="Times New Roman" w:hAnsi="Times New Roman" w:cs="Times New Roman"/>
                <w:color w:val="auto"/>
                <w:sz w:val="24"/>
              </w:rPr>
            </w:pPr>
            <w:r>
              <w:rPr>
                <w:rFonts w:hint="default" w:ascii="Times New Roman" w:hAnsi="Times New Roman" w:cs="Times New Roman"/>
                <w:color w:val="auto"/>
                <w:sz w:val="24"/>
              </w:rPr>
              <w:t>甲方：南宁</w:t>
            </w:r>
            <w:r>
              <w:rPr>
                <w:rFonts w:hint="eastAsia" w:cs="Times New Roman"/>
                <w:color w:val="auto"/>
                <w:sz w:val="24"/>
                <w:lang w:eastAsia="zh-CN"/>
              </w:rPr>
              <w:t>铁路枢纽投资有限</w:t>
            </w:r>
            <w:r>
              <w:rPr>
                <w:rFonts w:hint="default" w:ascii="Times New Roman" w:hAnsi="Times New Roman" w:cs="Times New Roman"/>
                <w:color w:val="auto"/>
                <w:sz w:val="24"/>
              </w:rPr>
              <w:t xml:space="preserve">公司 </w:t>
            </w:r>
          </w:p>
        </w:tc>
        <w:tc>
          <w:tcPr>
            <w:tcW w:w="4718" w:type="dxa"/>
            <w:noWrap w:val="0"/>
            <w:vAlign w:val="top"/>
          </w:tcPr>
          <w:p w14:paraId="5E8F3513">
            <w:pPr>
              <w:spacing w:line="400" w:lineRule="exact"/>
              <w:rPr>
                <w:rFonts w:hint="default" w:ascii="Times New Roman" w:hAnsi="Times New Roman" w:cs="Times New Roman"/>
                <w:color w:val="auto"/>
                <w:sz w:val="24"/>
              </w:rPr>
            </w:pPr>
            <w:r>
              <w:rPr>
                <w:rFonts w:hint="default" w:ascii="Times New Roman" w:hAnsi="Times New Roman" w:cs="Times New Roman"/>
                <w:color w:val="auto"/>
                <w:sz w:val="24"/>
              </w:rPr>
              <w:t xml:space="preserve"> 乙方：</w:t>
            </w:r>
          </w:p>
        </w:tc>
      </w:tr>
      <w:tr w14:paraId="5B9F8BA9">
        <w:tblPrEx>
          <w:tblCellMar>
            <w:top w:w="0" w:type="dxa"/>
            <w:left w:w="108" w:type="dxa"/>
            <w:bottom w:w="0" w:type="dxa"/>
            <w:right w:w="108" w:type="dxa"/>
          </w:tblCellMar>
        </w:tblPrEx>
        <w:tc>
          <w:tcPr>
            <w:tcW w:w="4717" w:type="dxa"/>
            <w:noWrap w:val="0"/>
            <w:vAlign w:val="top"/>
          </w:tcPr>
          <w:p w14:paraId="4B098598">
            <w:pPr>
              <w:spacing w:line="400" w:lineRule="exact"/>
              <w:rPr>
                <w:rFonts w:hint="default" w:ascii="Times New Roman" w:hAnsi="Times New Roman" w:cs="Times New Roman"/>
                <w:color w:val="auto"/>
                <w:sz w:val="24"/>
              </w:rPr>
            </w:pPr>
            <w:r>
              <w:rPr>
                <w:rFonts w:hint="default" w:ascii="Times New Roman" w:hAnsi="Times New Roman" w:cs="Times New Roman"/>
                <w:color w:val="auto"/>
                <w:sz w:val="24"/>
              </w:rPr>
              <w:t>法定代表人：</w:t>
            </w:r>
          </w:p>
        </w:tc>
        <w:tc>
          <w:tcPr>
            <w:tcW w:w="4718" w:type="dxa"/>
            <w:noWrap w:val="0"/>
            <w:vAlign w:val="top"/>
          </w:tcPr>
          <w:p w14:paraId="7C0A86AF">
            <w:pPr>
              <w:spacing w:line="400" w:lineRule="exact"/>
              <w:rPr>
                <w:rFonts w:hint="default" w:ascii="Times New Roman" w:hAnsi="Times New Roman" w:cs="Times New Roman"/>
                <w:color w:val="auto"/>
                <w:sz w:val="24"/>
              </w:rPr>
            </w:pPr>
            <w:r>
              <w:rPr>
                <w:rFonts w:hint="default" w:ascii="Times New Roman" w:hAnsi="Times New Roman" w:cs="Times New Roman"/>
                <w:color w:val="auto"/>
                <w:sz w:val="24"/>
              </w:rPr>
              <w:t>负责人：</w:t>
            </w:r>
          </w:p>
        </w:tc>
      </w:tr>
      <w:tr w14:paraId="18AA9EE5">
        <w:tblPrEx>
          <w:tblCellMar>
            <w:top w:w="0" w:type="dxa"/>
            <w:left w:w="108" w:type="dxa"/>
            <w:bottom w:w="0" w:type="dxa"/>
            <w:right w:w="108" w:type="dxa"/>
          </w:tblCellMar>
        </w:tblPrEx>
        <w:tc>
          <w:tcPr>
            <w:tcW w:w="4717" w:type="dxa"/>
            <w:noWrap w:val="0"/>
            <w:vAlign w:val="top"/>
          </w:tcPr>
          <w:p w14:paraId="747D8693">
            <w:pPr>
              <w:spacing w:line="400" w:lineRule="exact"/>
              <w:rPr>
                <w:rFonts w:hint="default" w:ascii="Times New Roman" w:hAnsi="Times New Roman" w:cs="Times New Roman"/>
                <w:color w:val="auto"/>
                <w:sz w:val="24"/>
              </w:rPr>
            </w:pPr>
            <w:r>
              <w:rPr>
                <w:rFonts w:hint="default" w:ascii="Times New Roman" w:hAnsi="Times New Roman" w:cs="Times New Roman"/>
                <w:color w:val="auto"/>
                <w:sz w:val="24"/>
              </w:rPr>
              <w:t>委托代理人：</w:t>
            </w:r>
          </w:p>
        </w:tc>
        <w:tc>
          <w:tcPr>
            <w:tcW w:w="4718" w:type="dxa"/>
            <w:noWrap w:val="0"/>
            <w:vAlign w:val="top"/>
          </w:tcPr>
          <w:p w14:paraId="3622E83B">
            <w:pPr>
              <w:spacing w:line="400" w:lineRule="exact"/>
              <w:rPr>
                <w:rFonts w:hint="default" w:ascii="Times New Roman" w:hAnsi="Times New Roman" w:cs="Times New Roman"/>
                <w:color w:val="auto"/>
                <w:sz w:val="24"/>
              </w:rPr>
            </w:pPr>
            <w:r>
              <w:rPr>
                <w:rFonts w:hint="default" w:ascii="Times New Roman" w:hAnsi="Times New Roman" w:cs="Times New Roman"/>
                <w:color w:val="auto"/>
                <w:sz w:val="24"/>
              </w:rPr>
              <w:t>委托代理人：</w:t>
            </w:r>
          </w:p>
        </w:tc>
      </w:tr>
      <w:tr w14:paraId="1DFCE955">
        <w:tblPrEx>
          <w:tblCellMar>
            <w:top w:w="0" w:type="dxa"/>
            <w:left w:w="108" w:type="dxa"/>
            <w:bottom w:w="0" w:type="dxa"/>
            <w:right w:w="108" w:type="dxa"/>
          </w:tblCellMar>
        </w:tblPrEx>
        <w:tc>
          <w:tcPr>
            <w:tcW w:w="4717" w:type="dxa"/>
            <w:noWrap w:val="0"/>
            <w:vAlign w:val="top"/>
          </w:tcPr>
          <w:p w14:paraId="203DA561">
            <w:pPr>
              <w:spacing w:line="400" w:lineRule="exact"/>
              <w:rPr>
                <w:rFonts w:hint="default" w:ascii="Times New Roman" w:hAnsi="Times New Roman" w:cs="Times New Roman"/>
                <w:color w:val="auto"/>
                <w:sz w:val="24"/>
              </w:rPr>
            </w:pPr>
            <w:r>
              <w:rPr>
                <w:rFonts w:hint="default" w:ascii="Times New Roman" w:hAnsi="Times New Roman" w:cs="Times New Roman"/>
                <w:color w:val="auto"/>
                <w:sz w:val="24"/>
              </w:rPr>
              <w:t>地址：南宁市云景路</w:t>
            </w:r>
            <w:r>
              <w:rPr>
                <w:rFonts w:eastAsiaTheme="minorEastAsia"/>
                <w:sz w:val="24"/>
              </w:rPr>
              <w:t>69号轨道大厦</w:t>
            </w:r>
            <w:r>
              <w:rPr>
                <w:rFonts w:hint="eastAsia" w:eastAsiaTheme="minorEastAsia"/>
                <w:sz w:val="24"/>
                <w:lang w:val="en-US" w:eastAsia="zh-CN"/>
              </w:rPr>
              <w:t>B座5楼</w:t>
            </w:r>
          </w:p>
        </w:tc>
        <w:tc>
          <w:tcPr>
            <w:tcW w:w="4718" w:type="dxa"/>
            <w:noWrap w:val="0"/>
            <w:vAlign w:val="top"/>
          </w:tcPr>
          <w:p w14:paraId="118DE757">
            <w:pPr>
              <w:spacing w:line="400" w:lineRule="exact"/>
              <w:rPr>
                <w:rFonts w:hint="default" w:ascii="Times New Roman" w:hAnsi="Times New Roman" w:cs="Times New Roman"/>
                <w:color w:val="auto"/>
                <w:sz w:val="24"/>
              </w:rPr>
            </w:pPr>
            <w:r>
              <w:rPr>
                <w:rFonts w:hint="default" w:ascii="Times New Roman" w:hAnsi="Times New Roman" w:cs="Times New Roman"/>
                <w:color w:val="auto"/>
                <w:sz w:val="24"/>
              </w:rPr>
              <w:t>地址：</w:t>
            </w:r>
          </w:p>
        </w:tc>
      </w:tr>
      <w:tr w14:paraId="281A3EE2">
        <w:tblPrEx>
          <w:tblCellMar>
            <w:top w:w="0" w:type="dxa"/>
            <w:left w:w="108" w:type="dxa"/>
            <w:bottom w:w="0" w:type="dxa"/>
            <w:right w:w="108" w:type="dxa"/>
          </w:tblCellMar>
        </w:tblPrEx>
        <w:tc>
          <w:tcPr>
            <w:tcW w:w="4717" w:type="dxa"/>
            <w:noWrap w:val="0"/>
            <w:vAlign w:val="top"/>
          </w:tcPr>
          <w:p w14:paraId="07D4F335">
            <w:pPr>
              <w:spacing w:line="400" w:lineRule="exact"/>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rPr>
              <w:t>联系电话：</w:t>
            </w:r>
          </w:p>
        </w:tc>
        <w:tc>
          <w:tcPr>
            <w:tcW w:w="4718" w:type="dxa"/>
            <w:noWrap w:val="0"/>
            <w:vAlign w:val="top"/>
          </w:tcPr>
          <w:p w14:paraId="3AE6E35B">
            <w:pPr>
              <w:spacing w:line="400" w:lineRule="exact"/>
              <w:rPr>
                <w:rFonts w:hint="default" w:ascii="Times New Roman" w:hAnsi="Times New Roman" w:cs="Times New Roman"/>
                <w:color w:val="auto"/>
                <w:sz w:val="24"/>
              </w:rPr>
            </w:pPr>
            <w:r>
              <w:rPr>
                <w:rFonts w:hint="default" w:ascii="Times New Roman" w:hAnsi="Times New Roman" w:cs="Times New Roman"/>
                <w:color w:val="auto"/>
                <w:sz w:val="24"/>
              </w:rPr>
              <w:t>联系电话：</w:t>
            </w:r>
          </w:p>
        </w:tc>
      </w:tr>
      <w:tr w14:paraId="47EBF881">
        <w:tblPrEx>
          <w:tblCellMar>
            <w:top w:w="0" w:type="dxa"/>
            <w:left w:w="108" w:type="dxa"/>
            <w:bottom w:w="0" w:type="dxa"/>
            <w:right w:w="108" w:type="dxa"/>
          </w:tblCellMar>
        </w:tblPrEx>
        <w:tc>
          <w:tcPr>
            <w:tcW w:w="4717" w:type="dxa"/>
            <w:noWrap w:val="0"/>
            <w:vAlign w:val="top"/>
          </w:tcPr>
          <w:p w14:paraId="549764F5">
            <w:pPr>
              <w:spacing w:line="400" w:lineRule="exact"/>
              <w:rPr>
                <w:rFonts w:hint="default" w:ascii="Times New Roman" w:hAnsi="Times New Roman" w:cs="Times New Roman"/>
                <w:color w:val="auto"/>
                <w:sz w:val="24"/>
              </w:rPr>
            </w:pPr>
            <w:r>
              <w:rPr>
                <w:rFonts w:hint="default" w:ascii="Times New Roman" w:hAnsi="Times New Roman" w:cs="Times New Roman"/>
                <w:color w:val="auto"/>
                <w:sz w:val="24"/>
              </w:rPr>
              <w:t>传真：</w:t>
            </w:r>
          </w:p>
        </w:tc>
        <w:tc>
          <w:tcPr>
            <w:tcW w:w="4718" w:type="dxa"/>
            <w:noWrap w:val="0"/>
            <w:vAlign w:val="top"/>
          </w:tcPr>
          <w:p w14:paraId="0ACD9788">
            <w:pPr>
              <w:spacing w:line="400" w:lineRule="exact"/>
              <w:rPr>
                <w:rFonts w:hint="default" w:ascii="Times New Roman" w:hAnsi="Times New Roman" w:cs="Times New Roman"/>
                <w:color w:val="auto"/>
                <w:sz w:val="24"/>
              </w:rPr>
            </w:pPr>
            <w:r>
              <w:rPr>
                <w:rFonts w:hint="default" w:ascii="Times New Roman" w:hAnsi="Times New Roman" w:cs="Times New Roman"/>
                <w:color w:val="auto"/>
                <w:sz w:val="24"/>
              </w:rPr>
              <w:t>传真：</w:t>
            </w:r>
          </w:p>
        </w:tc>
      </w:tr>
      <w:tr w14:paraId="5D68B6A6">
        <w:tblPrEx>
          <w:tblCellMar>
            <w:top w:w="0" w:type="dxa"/>
            <w:left w:w="108" w:type="dxa"/>
            <w:bottom w:w="0" w:type="dxa"/>
            <w:right w:w="108" w:type="dxa"/>
          </w:tblCellMar>
        </w:tblPrEx>
        <w:tc>
          <w:tcPr>
            <w:tcW w:w="4717" w:type="dxa"/>
            <w:noWrap w:val="0"/>
            <w:vAlign w:val="top"/>
          </w:tcPr>
          <w:p w14:paraId="1D4AFB9C">
            <w:pPr>
              <w:spacing w:line="400" w:lineRule="exact"/>
              <w:rPr>
                <w:rFonts w:hint="default" w:ascii="Times New Roman" w:hAnsi="Times New Roman" w:cs="Times New Roman"/>
                <w:color w:val="auto"/>
                <w:sz w:val="24"/>
              </w:rPr>
            </w:pPr>
            <w:r>
              <w:rPr>
                <w:rFonts w:hint="default" w:ascii="Times New Roman" w:hAnsi="Times New Roman" w:cs="Times New Roman"/>
                <w:color w:val="auto"/>
                <w:sz w:val="24"/>
              </w:rPr>
              <w:t>开户银行：</w:t>
            </w:r>
          </w:p>
        </w:tc>
        <w:tc>
          <w:tcPr>
            <w:tcW w:w="4718" w:type="dxa"/>
            <w:noWrap w:val="0"/>
            <w:vAlign w:val="top"/>
          </w:tcPr>
          <w:p w14:paraId="2986715B">
            <w:pPr>
              <w:spacing w:line="400" w:lineRule="exact"/>
              <w:rPr>
                <w:rFonts w:hint="default" w:ascii="Times New Roman" w:hAnsi="Times New Roman" w:cs="Times New Roman"/>
                <w:color w:val="auto"/>
                <w:sz w:val="24"/>
              </w:rPr>
            </w:pPr>
            <w:r>
              <w:rPr>
                <w:rFonts w:hint="default" w:ascii="Times New Roman" w:hAnsi="Times New Roman" w:cs="Times New Roman"/>
                <w:color w:val="auto"/>
                <w:sz w:val="24"/>
              </w:rPr>
              <w:t xml:space="preserve"> 开户银行：</w:t>
            </w:r>
          </w:p>
        </w:tc>
      </w:tr>
      <w:tr w14:paraId="1FCC8735">
        <w:tblPrEx>
          <w:tblCellMar>
            <w:top w:w="0" w:type="dxa"/>
            <w:left w:w="108" w:type="dxa"/>
            <w:bottom w:w="0" w:type="dxa"/>
            <w:right w:w="108" w:type="dxa"/>
          </w:tblCellMar>
        </w:tblPrEx>
        <w:tc>
          <w:tcPr>
            <w:tcW w:w="4717" w:type="dxa"/>
            <w:noWrap w:val="0"/>
            <w:vAlign w:val="top"/>
          </w:tcPr>
          <w:p w14:paraId="4802000D">
            <w:pPr>
              <w:spacing w:line="400" w:lineRule="exact"/>
              <w:rPr>
                <w:rFonts w:hint="default" w:ascii="Times New Roman" w:hAnsi="Times New Roman" w:cs="Times New Roman"/>
                <w:color w:val="auto"/>
                <w:sz w:val="24"/>
              </w:rPr>
            </w:pPr>
            <w:r>
              <w:rPr>
                <w:rFonts w:hint="default" w:ascii="Times New Roman" w:hAnsi="Times New Roman" w:cs="Times New Roman"/>
                <w:color w:val="auto"/>
                <w:sz w:val="24"/>
              </w:rPr>
              <w:t>银行账号：</w:t>
            </w:r>
          </w:p>
        </w:tc>
        <w:tc>
          <w:tcPr>
            <w:tcW w:w="4718" w:type="dxa"/>
            <w:noWrap w:val="0"/>
            <w:vAlign w:val="top"/>
          </w:tcPr>
          <w:p w14:paraId="23035D98">
            <w:pPr>
              <w:spacing w:line="400" w:lineRule="exact"/>
              <w:rPr>
                <w:rFonts w:hint="default" w:ascii="Times New Roman" w:hAnsi="Times New Roman" w:cs="Times New Roman"/>
                <w:color w:val="auto"/>
                <w:sz w:val="24"/>
              </w:rPr>
            </w:pPr>
            <w:r>
              <w:rPr>
                <w:rFonts w:hint="default" w:ascii="Times New Roman" w:hAnsi="Times New Roman" w:cs="Times New Roman"/>
                <w:color w:val="auto"/>
                <w:sz w:val="24"/>
              </w:rPr>
              <w:t>银行账号：</w:t>
            </w:r>
          </w:p>
        </w:tc>
      </w:tr>
      <w:tr w14:paraId="7476D275">
        <w:tblPrEx>
          <w:tblCellMar>
            <w:top w:w="0" w:type="dxa"/>
            <w:left w:w="108" w:type="dxa"/>
            <w:bottom w:w="0" w:type="dxa"/>
            <w:right w:w="108" w:type="dxa"/>
          </w:tblCellMar>
        </w:tblPrEx>
        <w:tc>
          <w:tcPr>
            <w:tcW w:w="4717" w:type="dxa"/>
            <w:noWrap w:val="0"/>
            <w:vAlign w:val="top"/>
          </w:tcPr>
          <w:p w14:paraId="37996167">
            <w:pPr>
              <w:spacing w:line="400" w:lineRule="exact"/>
              <w:rPr>
                <w:rFonts w:hint="default" w:ascii="Times New Roman" w:hAnsi="Times New Roman" w:cs="Times New Roman"/>
                <w:color w:val="auto"/>
                <w:sz w:val="24"/>
              </w:rPr>
            </w:pPr>
            <w:r>
              <w:rPr>
                <w:rFonts w:hint="default" w:ascii="Times New Roman" w:hAnsi="Times New Roman" w:cs="Times New Roman"/>
                <w:color w:val="auto"/>
                <w:sz w:val="24"/>
              </w:rPr>
              <w:t>签订日期： 年 月 日</w:t>
            </w:r>
          </w:p>
        </w:tc>
        <w:tc>
          <w:tcPr>
            <w:tcW w:w="4718" w:type="dxa"/>
            <w:noWrap w:val="0"/>
            <w:vAlign w:val="top"/>
          </w:tcPr>
          <w:p w14:paraId="76DBABD4">
            <w:pPr>
              <w:spacing w:line="320" w:lineRule="exact"/>
              <w:rPr>
                <w:rFonts w:hint="default" w:ascii="Times New Roman" w:hAnsi="Times New Roman" w:cs="Times New Roman"/>
                <w:color w:val="auto"/>
                <w:sz w:val="24"/>
              </w:rPr>
            </w:pPr>
            <w:r>
              <w:rPr>
                <w:rFonts w:hint="default" w:ascii="Times New Roman" w:hAnsi="Times New Roman" w:cs="Times New Roman"/>
                <w:color w:val="auto"/>
                <w:sz w:val="24"/>
              </w:rPr>
              <w:t>签订日期： 年 月 日</w:t>
            </w:r>
          </w:p>
        </w:tc>
      </w:tr>
      <w:tr w14:paraId="453D2622">
        <w:tblPrEx>
          <w:tblCellMar>
            <w:top w:w="0" w:type="dxa"/>
            <w:left w:w="108" w:type="dxa"/>
            <w:bottom w:w="0" w:type="dxa"/>
            <w:right w:w="108" w:type="dxa"/>
          </w:tblCellMar>
        </w:tblPrEx>
        <w:tc>
          <w:tcPr>
            <w:tcW w:w="4717" w:type="dxa"/>
            <w:noWrap w:val="0"/>
            <w:vAlign w:val="top"/>
          </w:tcPr>
          <w:p w14:paraId="0907EA64">
            <w:pPr>
              <w:spacing w:line="400" w:lineRule="exact"/>
              <w:rPr>
                <w:rFonts w:hint="default" w:ascii="Times New Roman" w:hAnsi="Times New Roman" w:cs="Times New Roman"/>
                <w:color w:val="auto"/>
                <w:sz w:val="24"/>
              </w:rPr>
            </w:pPr>
            <w:r>
              <w:rPr>
                <w:rFonts w:hint="default" w:ascii="Times New Roman" w:hAnsi="Times New Roman" w:cs="Times New Roman"/>
                <w:color w:val="auto"/>
                <w:sz w:val="24"/>
              </w:rPr>
              <w:t>合同签订地：南宁市青秀区云景路69号</w:t>
            </w:r>
          </w:p>
        </w:tc>
        <w:tc>
          <w:tcPr>
            <w:tcW w:w="4718" w:type="dxa"/>
            <w:noWrap w:val="0"/>
            <w:vAlign w:val="top"/>
          </w:tcPr>
          <w:p w14:paraId="1B15A1AC">
            <w:pPr>
              <w:spacing w:line="400" w:lineRule="exact"/>
              <w:rPr>
                <w:rFonts w:hint="default" w:ascii="Times New Roman" w:hAnsi="Times New Roman" w:cs="Times New Roman"/>
                <w:color w:val="auto"/>
                <w:sz w:val="24"/>
              </w:rPr>
            </w:pPr>
          </w:p>
        </w:tc>
      </w:tr>
    </w:tbl>
    <w:p w14:paraId="15D46D8A">
      <w:pPr>
        <w:pStyle w:val="3"/>
        <w:spacing w:line="360" w:lineRule="auto"/>
        <w:ind w:firstLine="480" w:firstLineChars="200"/>
        <w:rPr>
          <w:rFonts w:hint="eastAsia" w:ascii="宋体" w:hAnsi="宋体" w:eastAsia="宋体" w:cs="宋体"/>
          <w:sz w:val="24"/>
        </w:rPr>
      </w:pPr>
    </w:p>
    <w:p w14:paraId="7AC62FBC">
      <w:pPr>
        <w:pStyle w:val="4"/>
        <w:rPr>
          <w:rFonts w:hint="eastAsia" w:ascii="宋体" w:hAnsi="宋体" w:eastAsia="宋体" w:cs="宋体"/>
          <w:sz w:val="24"/>
        </w:rPr>
      </w:pPr>
    </w:p>
    <w:p w14:paraId="33E91FCA">
      <w:pPr>
        <w:rPr>
          <w:rFonts w:hint="eastAsia" w:ascii="宋体" w:hAnsi="宋体" w:eastAsia="宋体" w:cs="宋体"/>
          <w:sz w:val="24"/>
        </w:rPr>
      </w:pPr>
    </w:p>
    <w:p w14:paraId="64B57237">
      <w:pPr>
        <w:pStyle w:val="5"/>
        <w:numPr>
          <w:ilvl w:val="0"/>
          <w:numId w:val="0"/>
        </w:numPr>
        <w:jc w:val="both"/>
        <w:outlineLvl w:val="9"/>
        <w:rPr>
          <w:rFonts w:hint="default" w:ascii="宋体" w:hAnsi="宋体" w:eastAsia="宋体" w:cs="宋体"/>
          <w:color w:val="auto"/>
          <w:szCs w:val="28"/>
          <w:lang w:val="en-US" w:eastAsia="zh-CN"/>
        </w:rPr>
      </w:pPr>
    </w:p>
    <w:p w14:paraId="11311D8C">
      <w:pPr>
        <w:rPr>
          <w:rFonts w:hint="eastAsia" w:ascii="宋体" w:hAnsi="宋体" w:eastAsia="宋体" w:cs="宋体"/>
          <w:color w:val="auto"/>
          <w:szCs w:val="28"/>
        </w:rPr>
      </w:pPr>
    </w:p>
    <w:p w14:paraId="4AD68D8E">
      <w:pPr>
        <w:pStyle w:val="2"/>
        <w:rPr>
          <w:rFonts w:hint="eastAsia" w:ascii="宋体" w:hAnsi="宋体" w:eastAsia="宋体" w:cs="宋体"/>
          <w:color w:val="auto"/>
          <w:szCs w:val="28"/>
        </w:rPr>
      </w:pPr>
    </w:p>
    <w:p w14:paraId="7835F52F">
      <w:pPr>
        <w:pStyle w:val="2"/>
        <w:rPr>
          <w:rFonts w:hint="eastAsia" w:ascii="宋体" w:hAnsi="宋体" w:eastAsia="宋体" w:cs="宋体"/>
          <w:color w:val="auto"/>
          <w:szCs w:val="28"/>
        </w:rPr>
      </w:pPr>
    </w:p>
    <w:p w14:paraId="77A3D401">
      <w:pPr>
        <w:pStyle w:val="2"/>
        <w:rPr>
          <w:rFonts w:hint="eastAsia" w:ascii="宋体" w:hAnsi="宋体" w:eastAsia="宋体" w:cs="宋体"/>
          <w:color w:val="auto"/>
          <w:szCs w:val="28"/>
          <w:highlight w:val="none"/>
        </w:rPr>
      </w:pPr>
    </w:p>
    <w:p w14:paraId="0D0FA5B8">
      <w:pPr>
        <w:kinsoku w:val="0"/>
        <w:autoSpaceDE w:val="0"/>
        <w:autoSpaceDN w:val="0"/>
        <w:adjustRightInd w:val="0"/>
        <w:snapToGrid w:val="0"/>
        <w:jc w:val="left"/>
        <w:textAlignment w:val="baseline"/>
        <w:rPr>
          <w:rFonts w:hint="eastAsia" w:ascii="仿宋" w:hAnsi="仿宋" w:eastAsia="仿宋"/>
          <w:sz w:val="28"/>
          <w:szCs w:val="28"/>
          <w:highlight w:val="none"/>
        </w:rPr>
      </w:pPr>
      <w:r>
        <w:rPr>
          <w:rFonts w:hint="eastAsia" w:ascii="仿宋" w:hAnsi="仿宋" w:eastAsia="仿宋"/>
          <w:b/>
          <w:bCs/>
          <w:sz w:val="28"/>
          <w:szCs w:val="28"/>
          <w:highlight w:val="none"/>
        </w:rPr>
        <w:t>附件一</w:t>
      </w:r>
      <w:r>
        <w:rPr>
          <w:rFonts w:hint="eastAsia" w:ascii="仿宋" w:hAnsi="仿宋" w:eastAsia="仿宋"/>
          <w:sz w:val="28"/>
          <w:szCs w:val="28"/>
          <w:highlight w:val="none"/>
        </w:rPr>
        <w:t>：</w:t>
      </w:r>
      <w:r>
        <w:rPr>
          <w:rFonts w:hint="eastAsia" w:ascii="仿宋" w:hAnsi="仿宋" w:eastAsia="仿宋"/>
          <w:b/>
          <w:bCs/>
          <w:sz w:val="28"/>
          <w:szCs w:val="28"/>
          <w:highlight w:val="none"/>
          <w:lang w:val="en-US" w:eastAsia="zh-CN"/>
        </w:rPr>
        <w:t>法律顾问项目服务团队汇总表</w:t>
      </w:r>
    </w:p>
    <w:p w14:paraId="754DE07A">
      <w:pPr>
        <w:pStyle w:val="2"/>
        <w:ind w:firstLine="0"/>
        <w:rPr>
          <w:rFonts w:hint="eastAsia"/>
          <w:kern w:val="0"/>
          <w:szCs w:val="28"/>
          <w:highlight w:val="yellow"/>
        </w:rPr>
      </w:pPr>
    </w:p>
    <w:tbl>
      <w:tblPr>
        <w:tblStyle w:val="31"/>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1440"/>
        <w:gridCol w:w="1515"/>
        <w:gridCol w:w="1440"/>
        <w:gridCol w:w="1455"/>
        <w:gridCol w:w="1440"/>
      </w:tblGrid>
      <w:tr w14:paraId="6B11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6" w:type="dxa"/>
            <w:tcBorders>
              <w:top w:val="single" w:color="auto" w:sz="4" w:space="0"/>
              <w:left w:val="single" w:color="auto" w:sz="4" w:space="0"/>
              <w:bottom w:val="single" w:color="auto" w:sz="4" w:space="0"/>
              <w:right w:val="single" w:color="auto" w:sz="4" w:space="0"/>
            </w:tcBorders>
            <w:noWrap w:val="0"/>
            <w:vAlign w:val="center"/>
          </w:tcPr>
          <w:p w14:paraId="7BD42665">
            <w:pPr>
              <w:spacing w:after="120" w:line="360" w:lineRule="auto"/>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姓名</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0979DA7">
            <w:pPr>
              <w:spacing w:after="120" w:line="360" w:lineRule="auto"/>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职务</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5F9B8669">
            <w:pPr>
              <w:spacing w:after="120" w:line="360" w:lineRule="auto"/>
              <w:jc w:val="center"/>
              <w:rPr>
                <w:rFonts w:hint="default" w:ascii="仿宋" w:hAnsi="仿宋" w:eastAsia="仿宋"/>
                <w:sz w:val="28"/>
                <w:szCs w:val="28"/>
                <w:lang w:val="en-US" w:eastAsia="zh-CN"/>
              </w:rPr>
            </w:pPr>
            <w:r>
              <w:rPr>
                <w:rFonts w:hint="eastAsia" w:ascii="仿宋" w:hAnsi="仿宋" w:eastAsia="仿宋"/>
                <w:sz w:val="28"/>
                <w:szCs w:val="28"/>
                <w:lang w:val="en-US" w:eastAsia="zh-CN"/>
              </w:rPr>
              <w:t>联系方式</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F8FB8D5">
            <w:pPr>
              <w:spacing w:after="120" w:line="360" w:lineRule="auto"/>
              <w:jc w:val="center"/>
              <w:rPr>
                <w:rFonts w:hint="eastAsia" w:ascii="仿宋" w:hAnsi="仿宋" w:eastAsia="仿宋"/>
                <w:sz w:val="28"/>
                <w:szCs w:val="28"/>
              </w:rPr>
            </w:pPr>
            <w:r>
              <w:rPr>
                <w:rFonts w:hint="eastAsia" w:ascii="仿宋" w:hAnsi="仿宋" w:eastAsia="仿宋"/>
                <w:sz w:val="28"/>
                <w:szCs w:val="28"/>
                <w:lang w:val="en-US" w:eastAsia="zh-CN"/>
              </w:rPr>
              <w:t>联系邮件</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18F4713B">
            <w:pPr>
              <w:spacing w:after="120" w:line="360" w:lineRule="auto"/>
              <w:jc w:val="center"/>
              <w:rPr>
                <w:rFonts w:hint="eastAsia" w:ascii="仿宋" w:hAnsi="仿宋" w:eastAsia="仿宋"/>
                <w:sz w:val="28"/>
                <w:szCs w:val="28"/>
              </w:rPr>
            </w:pPr>
            <w:r>
              <w:rPr>
                <w:rFonts w:hint="eastAsia" w:ascii="仿宋" w:hAnsi="仿宋" w:eastAsia="仿宋"/>
                <w:sz w:val="28"/>
                <w:szCs w:val="28"/>
                <w:lang w:val="en-US" w:eastAsia="zh-CN"/>
              </w:rPr>
              <w:t>团队角色</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57212B1">
            <w:pPr>
              <w:spacing w:after="120" w:line="360" w:lineRule="auto"/>
              <w:jc w:val="center"/>
              <w:rPr>
                <w:rFonts w:hint="default" w:ascii="仿宋" w:hAnsi="仿宋" w:eastAsia="仿宋"/>
                <w:sz w:val="28"/>
                <w:szCs w:val="28"/>
                <w:lang w:val="en-US" w:eastAsia="zh-CN"/>
              </w:rPr>
            </w:pPr>
            <w:r>
              <w:rPr>
                <w:rFonts w:hint="eastAsia" w:ascii="仿宋" w:hAnsi="仿宋" w:eastAsia="仿宋"/>
                <w:sz w:val="28"/>
                <w:szCs w:val="28"/>
                <w:lang w:val="en-US" w:eastAsia="zh-CN"/>
              </w:rPr>
              <w:t>擅长领域</w:t>
            </w:r>
          </w:p>
        </w:tc>
      </w:tr>
      <w:tr w14:paraId="7DC83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Borders>
              <w:top w:val="single" w:color="auto" w:sz="4" w:space="0"/>
              <w:left w:val="single" w:color="auto" w:sz="4" w:space="0"/>
              <w:bottom w:val="single" w:color="auto" w:sz="4" w:space="0"/>
              <w:right w:val="single" w:color="auto" w:sz="4" w:space="0"/>
            </w:tcBorders>
            <w:noWrap w:val="0"/>
            <w:vAlign w:val="top"/>
          </w:tcPr>
          <w:p w14:paraId="1AA20977">
            <w:pPr>
              <w:spacing w:after="120" w:line="360" w:lineRule="auto"/>
              <w:rPr>
                <w:rFonts w:ascii="仿宋" w:hAnsi="仿宋" w:eastAsia="仿宋"/>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21090F9">
            <w:pPr>
              <w:spacing w:after="120" w:line="360" w:lineRule="auto"/>
              <w:rPr>
                <w:rFonts w:ascii="仿宋" w:hAnsi="仿宋" w:eastAsia="仿宋"/>
                <w:sz w:val="28"/>
                <w:szCs w:val="28"/>
              </w:rPr>
            </w:pPr>
          </w:p>
        </w:tc>
        <w:tc>
          <w:tcPr>
            <w:tcW w:w="1515" w:type="dxa"/>
            <w:tcBorders>
              <w:top w:val="single" w:color="auto" w:sz="4" w:space="0"/>
              <w:left w:val="single" w:color="auto" w:sz="4" w:space="0"/>
              <w:bottom w:val="single" w:color="auto" w:sz="4" w:space="0"/>
              <w:right w:val="single" w:color="auto" w:sz="4" w:space="0"/>
            </w:tcBorders>
            <w:noWrap w:val="0"/>
            <w:vAlign w:val="top"/>
          </w:tcPr>
          <w:p w14:paraId="649B0469">
            <w:pPr>
              <w:spacing w:after="120" w:line="360" w:lineRule="auto"/>
              <w:rPr>
                <w:rFonts w:ascii="仿宋" w:hAnsi="仿宋" w:eastAsia="仿宋"/>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27FC67B">
            <w:pPr>
              <w:spacing w:after="120" w:line="360" w:lineRule="auto"/>
              <w:rPr>
                <w:rFonts w:ascii="仿宋" w:hAnsi="仿宋" w:eastAsia="仿宋"/>
                <w:sz w:val="28"/>
                <w:szCs w:val="28"/>
              </w:rPr>
            </w:pPr>
          </w:p>
        </w:tc>
        <w:tc>
          <w:tcPr>
            <w:tcW w:w="1455" w:type="dxa"/>
            <w:tcBorders>
              <w:top w:val="single" w:color="auto" w:sz="4" w:space="0"/>
              <w:left w:val="single" w:color="auto" w:sz="4" w:space="0"/>
              <w:bottom w:val="single" w:color="auto" w:sz="4" w:space="0"/>
              <w:right w:val="single" w:color="auto" w:sz="4" w:space="0"/>
            </w:tcBorders>
            <w:noWrap w:val="0"/>
            <w:vAlign w:val="top"/>
          </w:tcPr>
          <w:p w14:paraId="1FA7319B">
            <w:pPr>
              <w:spacing w:after="120" w:line="360" w:lineRule="auto"/>
              <w:rPr>
                <w:rFonts w:ascii="仿宋" w:hAnsi="仿宋" w:eastAsia="仿宋"/>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BBE6345">
            <w:pPr>
              <w:spacing w:after="120" w:line="360" w:lineRule="auto"/>
              <w:rPr>
                <w:rFonts w:ascii="仿宋" w:hAnsi="仿宋" w:eastAsia="仿宋"/>
                <w:sz w:val="28"/>
                <w:szCs w:val="28"/>
              </w:rPr>
            </w:pPr>
          </w:p>
        </w:tc>
      </w:tr>
    </w:tbl>
    <w:p w14:paraId="035608F6">
      <w:pPr>
        <w:jc w:val="left"/>
        <w:rPr>
          <w:rFonts w:hint="eastAsia" w:ascii="仿宋" w:hAnsi="仿宋" w:eastAsia="仿宋"/>
          <w:sz w:val="28"/>
          <w:szCs w:val="28"/>
        </w:rPr>
      </w:pPr>
    </w:p>
    <w:p w14:paraId="4791ADBC">
      <w:pPr>
        <w:pStyle w:val="2"/>
        <w:rPr>
          <w:rFonts w:hint="eastAsia"/>
          <w:b w:val="0"/>
          <w:sz w:val="28"/>
          <w:szCs w:val="28"/>
        </w:rPr>
      </w:pPr>
    </w:p>
    <w:p w14:paraId="55314A5E">
      <w:pPr>
        <w:kinsoku w:val="0"/>
        <w:autoSpaceDE w:val="0"/>
        <w:autoSpaceDN w:val="0"/>
        <w:adjustRightInd w:val="0"/>
        <w:snapToGrid w:val="0"/>
        <w:jc w:val="left"/>
        <w:textAlignment w:val="baseline"/>
        <w:rPr>
          <w:rFonts w:ascii="仿宋" w:hAnsi="仿宋" w:eastAsia="仿宋"/>
          <w:b/>
          <w:bCs/>
          <w:color w:val="000000"/>
          <w:sz w:val="28"/>
          <w:szCs w:val="28"/>
          <w:highlight w:val="none"/>
        </w:rPr>
      </w:pPr>
      <w:r>
        <w:rPr>
          <w:rFonts w:hint="eastAsia" w:ascii="仿宋" w:hAnsi="仿宋" w:eastAsia="仿宋"/>
          <w:b/>
          <w:bCs/>
          <w:color w:val="000000"/>
          <w:sz w:val="28"/>
          <w:szCs w:val="28"/>
        </w:rPr>
        <w:br w:type="page"/>
      </w:r>
      <w:r>
        <w:rPr>
          <w:rFonts w:hint="eastAsia" w:ascii="仿宋" w:hAnsi="仿宋" w:eastAsia="仿宋"/>
          <w:b/>
          <w:bCs/>
          <w:color w:val="000000"/>
          <w:sz w:val="28"/>
          <w:szCs w:val="28"/>
          <w:highlight w:val="none"/>
        </w:rPr>
        <w:t>附件二：</w:t>
      </w:r>
    </w:p>
    <w:p w14:paraId="42E5281D">
      <w:pPr>
        <w:kinsoku w:val="0"/>
        <w:autoSpaceDE w:val="0"/>
        <w:autoSpaceDN w:val="0"/>
        <w:adjustRightInd w:val="0"/>
        <w:snapToGrid w:val="0"/>
        <w:jc w:val="center"/>
        <w:textAlignment w:val="baseline"/>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法律中介机构考核表</w:t>
      </w:r>
    </w:p>
    <w:p w14:paraId="2178B0E3">
      <w:pPr>
        <w:kinsoku w:val="0"/>
        <w:autoSpaceDE w:val="0"/>
        <w:autoSpaceDN w:val="0"/>
        <w:adjustRightInd w:val="0"/>
        <w:snapToGrid w:val="0"/>
        <w:jc w:val="left"/>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 xml:space="preserve"> </w:t>
      </w:r>
    </w:p>
    <w:p w14:paraId="479BD6DF">
      <w:pPr>
        <w:kinsoku w:val="0"/>
        <w:autoSpaceDE w:val="0"/>
        <w:autoSpaceDN w:val="0"/>
        <w:adjustRightInd w:val="0"/>
        <w:snapToGrid w:val="0"/>
        <w:jc w:val="left"/>
        <w:textAlignment w:val="baseline"/>
        <w:rPr>
          <w:rFonts w:hint="eastAsia" w:ascii="仿宋" w:hAnsi="仿宋" w:eastAsia="仿宋"/>
          <w:color w:val="000000"/>
          <w:sz w:val="28"/>
          <w:szCs w:val="28"/>
        </w:rPr>
      </w:pPr>
      <w:r>
        <w:rPr>
          <w:rFonts w:hint="eastAsia" w:ascii="仿宋" w:hAnsi="仿宋" w:eastAsia="仿宋"/>
          <w:color w:val="000000"/>
          <w:sz w:val="28"/>
          <w:szCs w:val="28"/>
        </w:rPr>
        <w:t>考评</w:t>
      </w:r>
      <w:r>
        <w:rPr>
          <w:rFonts w:hint="eastAsia" w:ascii="仿宋" w:hAnsi="仿宋" w:eastAsia="仿宋"/>
          <w:color w:val="000000"/>
          <w:sz w:val="28"/>
          <w:szCs w:val="28"/>
          <w:lang w:val="en-US" w:eastAsia="zh-CN"/>
        </w:rPr>
        <w:t>小组</w:t>
      </w:r>
      <w:r>
        <w:rPr>
          <w:rFonts w:hint="eastAsia" w:ascii="仿宋" w:hAnsi="仿宋" w:eastAsia="仿宋"/>
          <w:color w:val="000000"/>
          <w:sz w:val="28"/>
          <w:szCs w:val="28"/>
        </w:rPr>
        <w:t>：                                时间：</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5"/>
        <w:gridCol w:w="6181"/>
      </w:tblGrid>
      <w:tr w14:paraId="12D78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562" w:type="dxa"/>
            <w:tcBorders>
              <w:top w:val="single" w:color="auto" w:sz="4" w:space="0"/>
              <w:left w:val="single" w:color="auto" w:sz="4" w:space="0"/>
              <w:bottom w:val="single" w:color="auto" w:sz="4" w:space="0"/>
              <w:right w:val="single" w:color="auto" w:sz="4" w:space="0"/>
            </w:tcBorders>
            <w:noWrap w:val="0"/>
            <w:vAlign w:val="center"/>
          </w:tcPr>
          <w:p w14:paraId="69299D4D">
            <w:pPr>
              <w:kinsoku w:val="0"/>
              <w:autoSpaceDE w:val="0"/>
              <w:autoSpaceDN w:val="0"/>
              <w:adjustRightInd w:val="0"/>
              <w:snapToGrid w:val="0"/>
              <w:spacing w:line="360" w:lineRule="auto"/>
              <w:jc w:val="center"/>
              <w:textAlignment w:val="baseline"/>
              <w:rPr>
                <w:rFonts w:ascii="仿宋" w:hAnsi="仿宋" w:eastAsia="仿宋"/>
                <w:color w:val="000000"/>
                <w:sz w:val="28"/>
                <w:szCs w:val="28"/>
              </w:rPr>
            </w:pPr>
            <w:r>
              <w:rPr>
                <w:rFonts w:hint="eastAsia" w:ascii="仿宋" w:hAnsi="仿宋" w:eastAsia="仿宋"/>
                <w:color w:val="000000"/>
                <w:sz w:val="28"/>
                <w:szCs w:val="28"/>
              </w:rPr>
              <w:t>项目名称</w:t>
            </w:r>
          </w:p>
        </w:tc>
        <w:tc>
          <w:tcPr>
            <w:tcW w:w="6680" w:type="dxa"/>
            <w:tcBorders>
              <w:top w:val="single" w:color="auto" w:sz="4" w:space="0"/>
              <w:left w:val="single" w:color="auto" w:sz="4" w:space="0"/>
              <w:bottom w:val="single" w:color="auto" w:sz="4" w:space="0"/>
              <w:right w:val="single" w:color="auto" w:sz="4" w:space="0"/>
            </w:tcBorders>
            <w:noWrap w:val="0"/>
            <w:vAlign w:val="top"/>
          </w:tcPr>
          <w:p w14:paraId="49010108">
            <w:pPr>
              <w:kinsoku w:val="0"/>
              <w:autoSpaceDE w:val="0"/>
              <w:autoSpaceDN w:val="0"/>
              <w:adjustRightInd w:val="0"/>
              <w:snapToGrid w:val="0"/>
              <w:spacing w:line="360" w:lineRule="auto"/>
              <w:jc w:val="left"/>
              <w:textAlignment w:val="baseline"/>
              <w:rPr>
                <w:rFonts w:ascii="仿宋" w:hAnsi="仿宋" w:eastAsia="仿宋"/>
                <w:color w:val="000000"/>
                <w:sz w:val="28"/>
                <w:szCs w:val="28"/>
              </w:rPr>
            </w:pPr>
          </w:p>
        </w:tc>
      </w:tr>
      <w:tr w14:paraId="1279F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562" w:type="dxa"/>
            <w:tcBorders>
              <w:top w:val="single" w:color="auto" w:sz="4" w:space="0"/>
              <w:left w:val="single" w:color="auto" w:sz="4" w:space="0"/>
              <w:bottom w:val="single" w:color="auto" w:sz="4" w:space="0"/>
              <w:right w:val="single" w:color="auto" w:sz="4" w:space="0"/>
            </w:tcBorders>
            <w:noWrap w:val="0"/>
            <w:vAlign w:val="center"/>
          </w:tcPr>
          <w:p w14:paraId="0B37DAAD">
            <w:pPr>
              <w:spacing w:line="360" w:lineRule="auto"/>
              <w:jc w:val="center"/>
              <w:rPr>
                <w:rFonts w:ascii="仿宋" w:hAnsi="仿宋" w:eastAsia="仿宋"/>
                <w:sz w:val="28"/>
                <w:szCs w:val="28"/>
              </w:rPr>
            </w:pPr>
            <w:r>
              <w:rPr>
                <w:rFonts w:hint="eastAsia" w:ascii="仿宋" w:hAnsi="仿宋" w:eastAsia="仿宋"/>
                <w:sz w:val="28"/>
                <w:szCs w:val="28"/>
              </w:rPr>
              <w:t>被考评单位</w:t>
            </w:r>
          </w:p>
        </w:tc>
        <w:tc>
          <w:tcPr>
            <w:tcW w:w="6680" w:type="dxa"/>
            <w:tcBorders>
              <w:top w:val="single" w:color="auto" w:sz="4" w:space="0"/>
              <w:left w:val="single" w:color="auto" w:sz="4" w:space="0"/>
              <w:bottom w:val="single" w:color="auto" w:sz="4" w:space="0"/>
              <w:right w:val="single" w:color="auto" w:sz="4" w:space="0"/>
            </w:tcBorders>
            <w:noWrap w:val="0"/>
            <w:vAlign w:val="top"/>
          </w:tcPr>
          <w:p w14:paraId="67A76039">
            <w:pPr>
              <w:kinsoku w:val="0"/>
              <w:autoSpaceDE w:val="0"/>
              <w:autoSpaceDN w:val="0"/>
              <w:adjustRightInd w:val="0"/>
              <w:snapToGrid w:val="0"/>
              <w:spacing w:line="360" w:lineRule="auto"/>
              <w:jc w:val="left"/>
              <w:textAlignment w:val="baseline"/>
              <w:rPr>
                <w:rFonts w:ascii="仿宋" w:hAnsi="仿宋" w:eastAsia="仿宋"/>
                <w:color w:val="000000"/>
                <w:sz w:val="28"/>
                <w:szCs w:val="28"/>
              </w:rPr>
            </w:pPr>
          </w:p>
        </w:tc>
      </w:tr>
      <w:tr w14:paraId="3C24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9" w:hRule="atLeast"/>
        </w:trPr>
        <w:tc>
          <w:tcPr>
            <w:tcW w:w="2562" w:type="dxa"/>
            <w:tcBorders>
              <w:top w:val="single" w:color="auto" w:sz="4" w:space="0"/>
              <w:left w:val="single" w:color="auto" w:sz="4" w:space="0"/>
              <w:bottom w:val="single" w:color="auto" w:sz="4" w:space="0"/>
              <w:right w:val="single" w:color="auto" w:sz="4" w:space="0"/>
            </w:tcBorders>
            <w:noWrap w:val="0"/>
            <w:vAlign w:val="center"/>
          </w:tcPr>
          <w:p w14:paraId="0916DF3B">
            <w:pPr>
              <w:kinsoku w:val="0"/>
              <w:autoSpaceDE w:val="0"/>
              <w:autoSpaceDN w:val="0"/>
              <w:adjustRightInd w:val="0"/>
              <w:snapToGrid w:val="0"/>
              <w:spacing w:line="360" w:lineRule="auto"/>
              <w:jc w:val="center"/>
              <w:textAlignment w:val="baseline"/>
              <w:rPr>
                <w:rFonts w:ascii="仿宋" w:hAnsi="仿宋" w:eastAsia="仿宋"/>
                <w:color w:val="000000"/>
                <w:sz w:val="28"/>
                <w:szCs w:val="28"/>
              </w:rPr>
            </w:pPr>
            <w:r>
              <w:rPr>
                <w:rFonts w:hint="eastAsia" w:ascii="仿宋" w:hAnsi="仿宋" w:eastAsia="仿宋"/>
                <w:color w:val="000000"/>
                <w:sz w:val="28"/>
                <w:szCs w:val="28"/>
              </w:rPr>
              <w:t>考评情况</w:t>
            </w:r>
          </w:p>
        </w:tc>
        <w:tc>
          <w:tcPr>
            <w:tcW w:w="6680" w:type="dxa"/>
            <w:tcBorders>
              <w:top w:val="single" w:color="auto" w:sz="4" w:space="0"/>
              <w:left w:val="single" w:color="auto" w:sz="4" w:space="0"/>
              <w:bottom w:val="single" w:color="auto" w:sz="4" w:space="0"/>
              <w:right w:val="single" w:color="auto" w:sz="4" w:space="0"/>
            </w:tcBorders>
            <w:noWrap w:val="0"/>
            <w:vAlign w:val="top"/>
          </w:tcPr>
          <w:p w14:paraId="4646D0B2">
            <w:pPr>
              <w:kinsoku w:val="0"/>
              <w:autoSpaceDE w:val="0"/>
              <w:autoSpaceDN w:val="0"/>
              <w:adjustRightInd w:val="0"/>
              <w:snapToGrid w:val="0"/>
              <w:spacing w:line="360" w:lineRule="auto"/>
              <w:jc w:val="left"/>
              <w:textAlignment w:val="baseline"/>
              <w:rPr>
                <w:rFonts w:ascii="仿宋" w:hAnsi="仿宋" w:eastAsia="仿宋"/>
                <w:color w:val="000000"/>
                <w:sz w:val="28"/>
                <w:szCs w:val="28"/>
              </w:rPr>
            </w:pPr>
          </w:p>
        </w:tc>
      </w:tr>
      <w:tr w14:paraId="1C245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562" w:type="dxa"/>
            <w:tcBorders>
              <w:top w:val="single" w:color="auto" w:sz="4" w:space="0"/>
              <w:left w:val="single" w:color="auto" w:sz="4" w:space="0"/>
              <w:bottom w:val="single" w:color="auto" w:sz="4" w:space="0"/>
              <w:right w:val="single" w:color="auto" w:sz="4" w:space="0"/>
            </w:tcBorders>
            <w:noWrap w:val="0"/>
            <w:vAlign w:val="top"/>
          </w:tcPr>
          <w:p w14:paraId="3EA68454">
            <w:pPr>
              <w:kinsoku w:val="0"/>
              <w:autoSpaceDE w:val="0"/>
              <w:autoSpaceDN w:val="0"/>
              <w:adjustRightInd w:val="0"/>
              <w:snapToGrid w:val="0"/>
              <w:jc w:val="center"/>
              <w:textAlignment w:val="baseline"/>
              <w:rPr>
                <w:rFonts w:ascii="仿宋" w:hAnsi="仿宋" w:eastAsia="仿宋"/>
                <w:color w:val="000000"/>
                <w:sz w:val="28"/>
                <w:szCs w:val="28"/>
              </w:rPr>
            </w:pPr>
            <w:r>
              <w:rPr>
                <w:rFonts w:hint="eastAsia" w:ascii="仿宋" w:hAnsi="仿宋" w:eastAsia="仿宋"/>
                <w:color w:val="000000"/>
                <w:sz w:val="28"/>
                <w:szCs w:val="28"/>
              </w:rPr>
              <w:t>考评得分</w:t>
            </w:r>
          </w:p>
          <w:p w14:paraId="37E05962">
            <w:pPr>
              <w:kinsoku w:val="0"/>
              <w:autoSpaceDE w:val="0"/>
              <w:autoSpaceDN w:val="0"/>
              <w:adjustRightInd w:val="0"/>
              <w:snapToGrid w:val="0"/>
              <w:spacing w:line="360" w:lineRule="auto"/>
              <w:jc w:val="center"/>
              <w:textAlignment w:val="baseline"/>
              <w:rPr>
                <w:rFonts w:ascii="仿宋" w:hAnsi="仿宋" w:eastAsia="仿宋"/>
                <w:color w:val="000000"/>
                <w:sz w:val="28"/>
                <w:szCs w:val="28"/>
              </w:rPr>
            </w:pPr>
            <w:r>
              <w:rPr>
                <w:rFonts w:hint="eastAsia" w:ascii="仿宋" w:hAnsi="仿宋" w:eastAsia="仿宋"/>
                <w:color w:val="000000"/>
                <w:sz w:val="28"/>
                <w:szCs w:val="28"/>
              </w:rPr>
              <w:t>（100分制）</w:t>
            </w:r>
          </w:p>
        </w:tc>
        <w:tc>
          <w:tcPr>
            <w:tcW w:w="6680" w:type="dxa"/>
            <w:tcBorders>
              <w:top w:val="single" w:color="auto" w:sz="4" w:space="0"/>
              <w:left w:val="single" w:color="auto" w:sz="4" w:space="0"/>
              <w:bottom w:val="single" w:color="auto" w:sz="4" w:space="0"/>
              <w:right w:val="single" w:color="auto" w:sz="4" w:space="0"/>
            </w:tcBorders>
            <w:noWrap w:val="0"/>
            <w:vAlign w:val="top"/>
          </w:tcPr>
          <w:p w14:paraId="47219942">
            <w:pPr>
              <w:kinsoku w:val="0"/>
              <w:autoSpaceDE w:val="0"/>
              <w:autoSpaceDN w:val="0"/>
              <w:adjustRightInd w:val="0"/>
              <w:snapToGrid w:val="0"/>
              <w:spacing w:line="360" w:lineRule="auto"/>
              <w:jc w:val="left"/>
              <w:textAlignment w:val="baseline"/>
              <w:rPr>
                <w:rFonts w:ascii="仿宋" w:hAnsi="仿宋" w:eastAsia="仿宋"/>
                <w:color w:val="000000"/>
                <w:sz w:val="28"/>
                <w:szCs w:val="28"/>
              </w:rPr>
            </w:pPr>
          </w:p>
        </w:tc>
      </w:tr>
    </w:tbl>
    <w:p w14:paraId="163EC95C">
      <w:pPr>
        <w:kinsoku w:val="0"/>
        <w:autoSpaceDE w:val="0"/>
        <w:autoSpaceDN w:val="0"/>
        <w:adjustRightInd w:val="0"/>
        <w:snapToGrid w:val="0"/>
        <w:jc w:val="left"/>
        <w:textAlignment w:val="baseline"/>
        <w:rPr>
          <w:rFonts w:hint="eastAsia" w:ascii="仿宋" w:hAnsi="仿宋" w:eastAsia="仿宋"/>
          <w:color w:val="000000"/>
          <w:sz w:val="28"/>
          <w:szCs w:val="28"/>
        </w:rPr>
      </w:pPr>
    </w:p>
    <w:p w14:paraId="6910D3A0">
      <w:pPr>
        <w:kinsoku w:val="0"/>
        <w:autoSpaceDE w:val="0"/>
        <w:autoSpaceDN w:val="0"/>
        <w:adjustRightInd w:val="0"/>
        <w:snapToGrid w:val="0"/>
        <w:jc w:val="left"/>
        <w:textAlignment w:val="baseline"/>
        <w:rPr>
          <w:rFonts w:hint="eastAsia" w:ascii="仿宋" w:hAnsi="仿宋" w:eastAsia="仿宋" w:cs="Times New Roman"/>
          <w:color w:val="000000"/>
          <w:sz w:val="24"/>
          <w:szCs w:val="24"/>
          <w:lang w:val="en-US" w:eastAsia="zh-CN"/>
        </w:rPr>
      </w:pPr>
      <w:r>
        <w:rPr>
          <w:rFonts w:hint="eastAsia" w:ascii="仿宋" w:hAnsi="仿宋" w:eastAsia="仿宋"/>
          <w:b/>
          <w:bCs/>
          <w:color w:val="000000"/>
          <w:sz w:val="24"/>
        </w:rPr>
        <w:t>备注：</w:t>
      </w:r>
      <w:r>
        <w:rPr>
          <w:rFonts w:hint="eastAsia" w:ascii="仿宋" w:hAnsi="仿宋" w:eastAsia="仿宋"/>
          <w:color w:val="000000"/>
          <w:sz w:val="24"/>
        </w:rPr>
        <w:t>考评的内容包括服务期限内的服务团队业务能力、团队服务质量、团队工作态度、廉洁自律情况等情形。</w:t>
      </w:r>
      <w:r>
        <w:rPr>
          <w:rFonts w:hint="eastAsia" w:ascii="仿宋" w:hAnsi="仿宋" w:eastAsia="仿宋" w:cs="Times New Roman"/>
          <w:color w:val="000000"/>
          <w:sz w:val="24"/>
          <w:szCs w:val="24"/>
          <w:lang w:val="en-US" w:eastAsia="zh-CN"/>
        </w:rPr>
        <w:t>考评小组由合约法规部会同相关业务部门组成。</w:t>
      </w:r>
    </w:p>
    <w:p w14:paraId="4602BBDB">
      <w:pPr>
        <w:kinsoku w:val="0"/>
        <w:autoSpaceDE w:val="0"/>
        <w:autoSpaceDN w:val="0"/>
        <w:adjustRightInd w:val="0"/>
        <w:snapToGrid w:val="0"/>
        <w:ind w:firstLine="0" w:firstLineChars="0"/>
        <w:jc w:val="left"/>
        <w:textAlignment w:val="baseline"/>
        <w:rPr>
          <w:rFonts w:hint="eastAsia" w:ascii="仿宋" w:hAnsi="仿宋" w:eastAsia="仿宋"/>
          <w:color w:val="000000"/>
          <w:sz w:val="24"/>
        </w:rPr>
      </w:pPr>
      <w:r>
        <w:rPr>
          <w:rFonts w:hint="eastAsia" w:ascii="仿宋" w:hAnsi="仿宋" w:eastAsia="仿宋" w:cs="Times New Roman"/>
          <w:i w:val="0"/>
          <w:iCs w:val="0"/>
          <w:caps w:val="0"/>
          <w:color w:val="000000"/>
          <w:spacing w:val="0"/>
          <w:sz w:val="24"/>
          <w:szCs w:val="24"/>
          <w:shd w:val="clear"/>
          <w:lang w:val="en-US" w:eastAsia="zh-CN"/>
        </w:rPr>
        <w:t>（</w:t>
      </w:r>
      <w:r>
        <w:rPr>
          <w:rFonts w:hint="eastAsia" w:ascii="仿宋" w:hAnsi="仿宋" w:eastAsia="仿宋" w:cs="Times New Roman"/>
          <w:i w:val="0"/>
          <w:iCs w:val="0"/>
          <w:caps w:val="0"/>
          <w:color w:val="000000"/>
          <w:spacing w:val="0"/>
          <w:sz w:val="24"/>
          <w:szCs w:val="24"/>
          <w:shd w:val="clear" w:fill="auto"/>
          <w:lang w:val="en-US" w:eastAsia="zh-CN"/>
        </w:rPr>
        <w:t>注：</w:t>
      </w:r>
      <w:r>
        <w:rPr>
          <w:rFonts w:hint="eastAsia" w:ascii="仿宋" w:hAnsi="仿宋" w:eastAsia="仿宋" w:cs="Times New Roman"/>
          <w:i w:val="0"/>
          <w:iCs w:val="0"/>
          <w:caps w:val="0"/>
          <w:color w:val="000000"/>
          <w:spacing w:val="0"/>
          <w:sz w:val="24"/>
          <w:szCs w:val="24"/>
          <w:shd w:val="clear" w:fill="auto"/>
        </w:rPr>
        <w:t>在本次比选服务期内，南宁铁路枢纽投资有限公司可能新设全资子公司、控股子公司、参股公司，并可能存在新增代管南宁轨道交通投资集团有限公司下属参控股公司的情况，以上公司均属于乙方服务范围。如服务范围发生调整，考评小组的组成将相应进行调整。</w:t>
      </w:r>
      <w:r>
        <w:rPr>
          <w:rFonts w:hint="eastAsia" w:ascii="仿宋" w:hAnsi="仿宋" w:eastAsia="仿宋" w:cs="Times New Roman"/>
          <w:i w:val="0"/>
          <w:iCs w:val="0"/>
          <w:caps w:val="0"/>
          <w:color w:val="000000"/>
          <w:spacing w:val="0"/>
          <w:sz w:val="24"/>
          <w:szCs w:val="24"/>
          <w:shd w:val="clear"/>
          <w:lang w:eastAsia="zh-CN"/>
        </w:rPr>
        <w:t>）</w:t>
      </w:r>
    </w:p>
    <w:p w14:paraId="5539867D">
      <w:pPr>
        <w:kinsoku w:val="0"/>
        <w:autoSpaceDE w:val="0"/>
        <w:autoSpaceDN w:val="0"/>
        <w:adjustRightInd w:val="0"/>
        <w:snapToGrid w:val="0"/>
        <w:jc w:val="left"/>
        <w:textAlignment w:val="baseline"/>
        <w:rPr>
          <w:rFonts w:hint="default" w:ascii="仿宋" w:hAnsi="仿宋" w:eastAsia="宋体"/>
          <w:color w:val="000000"/>
          <w:sz w:val="24"/>
          <w:lang w:val="en-US" w:eastAsia="zh-CN"/>
        </w:rPr>
      </w:pPr>
    </w:p>
    <w:p w14:paraId="26CD1D1B">
      <w:pPr>
        <w:jc w:val="left"/>
        <w:rPr>
          <w:rFonts w:hint="eastAsia" w:ascii="仿宋" w:hAnsi="仿宋" w:eastAsia="仿宋"/>
          <w:color w:val="000000"/>
          <w:sz w:val="28"/>
          <w:szCs w:val="28"/>
        </w:rPr>
      </w:pPr>
      <w:r>
        <w:rPr>
          <w:rFonts w:hint="eastAsia" w:ascii="仿宋" w:hAnsi="仿宋" w:eastAsia="仿宋"/>
          <w:color w:val="000000"/>
          <w:sz w:val="28"/>
          <w:szCs w:val="28"/>
        </w:rPr>
        <w:br w:type="page"/>
      </w:r>
    </w:p>
    <w:p w14:paraId="4474E4CF">
      <w:pPr>
        <w:kinsoku w:val="0"/>
        <w:autoSpaceDE w:val="0"/>
        <w:autoSpaceDN w:val="0"/>
        <w:adjustRightInd w:val="0"/>
        <w:snapToGrid w:val="0"/>
        <w:jc w:val="left"/>
        <w:textAlignment w:val="baseline"/>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附件三：考评细则</w:t>
      </w:r>
    </w:p>
    <w:p w14:paraId="1A494B98">
      <w:pPr>
        <w:kinsoku w:val="0"/>
        <w:autoSpaceDE w:val="0"/>
        <w:autoSpaceDN w:val="0"/>
        <w:adjustRightInd w:val="0"/>
        <w:snapToGrid w:val="0"/>
        <w:jc w:val="center"/>
        <w:textAlignment w:val="baseline"/>
        <w:rPr>
          <w:rFonts w:hint="eastAsia" w:ascii="宋体" w:hAnsi="宋体"/>
          <w:b/>
          <w:bCs/>
          <w:color w:val="000000"/>
          <w:sz w:val="32"/>
          <w:szCs w:val="32"/>
          <w:highlight w:val="none"/>
        </w:rPr>
      </w:pPr>
      <w:r>
        <w:rPr>
          <w:rFonts w:hint="eastAsia" w:ascii="宋体" w:hAnsi="宋体"/>
          <w:b/>
          <w:bCs/>
          <w:color w:val="000000"/>
          <w:sz w:val="32"/>
          <w:szCs w:val="32"/>
          <w:highlight w:val="none"/>
        </w:rPr>
        <w:t>考评细则</w:t>
      </w:r>
    </w:p>
    <w:p w14:paraId="7EE818BB">
      <w:pPr>
        <w:adjustRightInd w:val="0"/>
        <w:snapToGrid w:val="0"/>
        <w:ind w:firstLine="560" w:firstLineChars="200"/>
        <w:jc w:val="left"/>
        <w:rPr>
          <w:rFonts w:hint="eastAsia" w:ascii="仿宋" w:hAnsi="仿宋" w:eastAsia="仿宋"/>
          <w:sz w:val="28"/>
          <w:szCs w:val="28"/>
        </w:rPr>
      </w:pPr>
      <w:r>
        <w:rPr>
          <w:rFonts w:hint="eastAsia" w:ascii="仿宋" w:hAnsi="仿宋" w:eastAsia="仿宋"/>
          <w:sz w:val="28"/>
          <w:szCs w:val="28"/>
        </w:rPr>
        <w:t>根据乙方服务工作质量、响应及时率、差错率、服务满意度等，甲方每半年对服务律所进行一次服务考评</w:t>
      </w:r>
      <w:r>
        <w:rPr>
          <w:rFonts w:hint="eastAsia" w:ascii="仿宋" w:hAnsi="仿宋" w:eastAsia="仿宋"/>
          <w:sz w:val="28"/>
          <w:szCs w:val="28"/>
          <w:lang w:eastAsia="zh-CN"/>
        </w:rPr>
        <w:t>，</w:t>
      </w:r>
      <w:r>
        <w:rPr>
          <w:rFonts w:hint="eastAsia" w:ascii="仿宋" w:hAnsi="仿宋" w:eastAsia="仿宋"/>
          <w:sz w:val="28"/>
          <w:szCs w:val="28"/>
        </w:rPr>
        <w:t>考评结果与费用结算挂钩，</w:t>
      </w:r>
      <w:r>
        <w:rPr>
          <w:rFonts w:hint="eastAsia" w:ascii="仿宋" w:hAnsi="仿宋" w:eastAsia="仿宋"/>
          <w:sz w:val="28"/>
          <w:szCs w:val="28"/>
          <w:lang w:val="en-US" w:eastAsia="zh-CN"/>
        </w:rPr>
        <w:t>考评结果应用于下</w:t>
      </w:r>
      <w:r>
        <w:rPr>
          <w:rFonts w:hint="eastAsia" w:ascii="仿宋" w:hAnsi="仿宋" w:eastAsia="仿宋"/>
          <w:sz w:val="28"/>
          <w:szCs w:val="28"/>
        </w:rPr>
        <w:t>一期费用</w:t>
      </w:r>
      <w:r>
        <w:rPr>
          <w:rFonts w:hint="eastAsia" w:ascii="仿宋" w:hAnsi="仿宋" w:eastAsia="仿宋"/>
          <w:sz w:val="28"/>
          <w:szCs w:val="28"/>
          <w:lang w:val="en-US" w:eastAsia="zh-CN"/>
        </w:rPr>
        <w:t>结算</w:t>
      </w:r>
      <w:r>
        <w:rPr>
          <w:rFonts w:hint="eastAsia" w:ascii="仿宋" w:hAnsi="仿宋" w:eastAsia="仿宋"/>
          <w:sz w:val="28"/>
          <w:szCs w:val="28"/>
          <w:lang w:eastAsia="zh-CN"/>
        </w:rPr>
        <w:t>，</w:t>
      </w:r>
      <w:r>
        <w:rPr>
          <w:rFonts w:hint="eastAsia" w:ascii="仿宋" w:hAnsi="仿宋" w:eastAsia="仿宋"/>
          <w:sz w:val="28"/>
          <w:szCs w:val="28"/>
        </w:rPr>
        <w:t>考评结果≥</w:t>
      </w:r>
      <w:r>
        <w:rPr>
          <w:rFonts w:hint="eastAsia" w:ascii="仿宋" w:hAnsi="仿宋" w:eastAsia="仿宋"/>
          <w:sz w:val="28"/>
          <w:szCs w:val="28"/>
          <w:lang w:val="en-US" w:eastAsia="zh-CN"/>
        </w:rPr>
        <w:t>9</w:t>
      </w:r>
      <w:r>
        <w:rPr>
          <w:rFonts w:hint="eastAsia" w:ascii="仿宋" w:hAnsi="仿宋" w:eastAsia="仿宋"/>
          <w:sz w:val="28"/>
          <w:szCs w:val="28"/>
        </w:rPr>
        <w:t>0分的为优秀，按该期费用的100%结算；考评结果为7</w:t>
      </w:r>
      <w:r>
        <w:rPr>
          <w:rFonts w:hint="eastAsia" w:ascii="仿宋" w:hAnsi="仿宋" w:eastAsia="仿宋"/>
          <w:sz w:val="28"/>
          <w:szCs w:val="28"/>
          <w:lang w:val="en-US" w:eastAsia="zh-CN"/>
        </w:rPr>
        <w:t>5</w:t>
      </w:r>
      <w:r>
        <w:rPr>
          <w:rFonts w:hint="eastAsia" w:ascii="仿宋" w:hAnsi="仿宋" w:eastAsia="仿宋"/>
          <w:sz w:val="28"/>
          <w:szCs w:val="28"/>
        </w:rPr>
        <w:t>-8</w:t>
      </w:r>
      <w:r>
        <w:rPr>
          <w:rFonts w:hint="eastAsia" w:ascii="仿宋" w:hAnsi="仿宋" w:eastAsia="仿宋"/>
          <w:sz w:val="28"/>
          <w:szCs w:val="28"/>
          <w:lang w:val="en-US" w:eastAsia="zh-CN"/>
        </w:rPr>
        <w:t>9</w:t>
      </w:r>
      <w:r>
        <w:rPr>
          <w:rFonts w:hint="eastAsia" w:ascii="仿宋" w:hAnsi="仿宋" w:eastAsia="仿宋"/>
          <w:sz w:val="28"/>
          <w:szCs w:val="28"/>
        </w:rPr>
        <w:t>分的为良好，按该期费用的90%结算；考评结果为60-7</w:t>
      </w:r>
      <w:r>
        <w:rPr>
          <w:rFonts w:hint="eastAsia" w:ascii="仿宋" w:hAnsi="仿宋" w:eastAsia="仿宋"/>
          <w:sz w:val="28"/>
          <w:szCs w:val="28"/>
          <w:lang w:val="en-US" w:eastAsia="zh-CN"/>
        </w:rPr>
        <w:t>4</w:t>
      </w:r>
      <w:r>
        <w:rPr>
          <w:rFonts w:hint="eastAsia" w:ascii="仿宋" w:hAnsi="仿宋" w:eastAsia="仿宋"/>
          <w:sz w:val="28"/>
          <w:szCs w:val="28"/>
        </w:rPr>
        <w:t>分的为合格，按该期费用的80%结算；考评结果为＜60分的为不合格，按该期费用的50%结算。考评项目具体如下：</w:t>
      </w:r>
    </w:p>
    <w:tbl>
      <w:tblPr>
        <w:tblStyle w:val="31"/>
        <w:tblW w:w="92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21"/>
        <w:gridCol w:w="2775"/>
        <w:gridCol w:w="705"/>
        <w:gridCol w:w="1320"/>
        <w:gridCol w:w="3801"/>
      </w:tblGrid>
      <w:tr w14:paraId="6D1CF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7C9DD669">
            <w:pPr>
              <w:spacing w:line="360" w:lineRule="auto"/>
              <w:jc w:val="center"/>
              <w:rPr>
                <w:rFonts w:ascii="仿宋" w:hAnsi="仿宋" w:eastAsia="仿宋"/>
                <w:b/>
                <w:szCs w:val="21"/>
              </w:rPr>
            </w:pPr>
            <w:r>
              <w:rPr>
                <w:rFonts w:hint="eastAsia" w:ascii="仿宋" w:hAnsi="仿宋" w:eastAsia="仿宋"/>
                <w:b/>
              </w:rPr>
              <w:t>序号</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14:paraId="35E84D6C">
            <w:pPr>
              <w:spacing w:line="360" w:lineRule="auto"/>
              <w:jc w:val="center"/>
              <w:rPr>
                <w:rFonts w:ascii="仿宋" w:hAnsi="仿宋" w:eastAsia="仿宋"/>
                <w:b/>
                <w:szCs w:val="21"/>
              </w:rPr>
            </w:pPr>
            <w:r>
              <w:rPr>
                <w:rFonts w:hint="eastAsia" w:ascii="仿宋" w:hAnsi="仿宋" w:eastAsia="仿宋"/>
                <w:b/>
              </w:rPr>
              <w:t>考评项目</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8959E93">
            <w:pPr>
              <w:spacing w:line="360" w:lineRule="auto"/>
              <w:jc w:val="center"/>
              <w:rPr>
                <w:rFonts w:ascii="仿宋" w:hAnsi="仿宋" w:eastAsia="仿宋"/>
                <w:b/>
                <w:szCs w:val="21"/>
              </w:rPr>
            </w:pPr>
            <w:r>
              <w:rPr>
                <w:rFonts w:hint="eastAsia" w:ascii="仿宋" w:hAnsi="仿宋" w:eastAsia="仿宋"/>
                <w:b/>
              </w:rPr>
              <w:t>分值</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4E7A752">
            <w:pPr>
              <w:spacing w:line="360" w:lineRule="auto"/>
              <w:jc w:val="center"/>
              <w:rPr>
                <w:rFonts w:ascii="仿宋" w:hAnsi="仿宋" w:eastAsia="仿宋"/>
                <w:b/>
                <w:szCs w:val="21"/>
              </w:rPr>
            </w:pPr>
            <w:r>
              <w:rPr>
                <w:rFonts w:hint="eastAsia" w:ascii="仿宋" w:hAnsi="仿宋" w:eastAsia="仿宋"/>
                <w:b/>
              </w:rPr>
              <w:t>目标</w:t>
            </w:r>
          </w:p>
        </w:tc>
        <w:tc>
          <w:tcPr>
            <w:tcW w:w="3801" w:type="dxa"/>
            <w:tcBorders>
              <w:top w:val="single" w:color="000000" w:sz="4" w:space="0"/>
              <w:left w:val="single" w:color="000000" w:sz="4" w:space="0"/>
              <w:bottom w:val="single" w:color="000000" w:sz="4" w:space="0"/>
              <w:right w:val="single" w:color="000000" w:sz="4" w:space="0"/>
            </w:tcBorders>
            <w:noWrap w:val="0"/>
            <w:vAlign w:val="center"/>
          </w:tcPr>
          <w:p w14:paraId="774710A0">
            <w:pPr>
              <w:spacing w:line="360" w:lineRule="auto"/>
              <w:jc w:val="center"/>
              <w:rPr>
                <w:rFonts w:ascii="仿宋" w:hAnsi="仿宋" w:eastAsia="仿宋"/>
                <w:b/>
                <w:szCs w:val="21"/>
              </w:rPr>
            </w:pPr>
            <w:r>
              <w:rPr>
                <w:rFonts w:hint="eastAsia" w:ascii="仿宋" w:hAnsi="仿宋" w:eastAsia="仿宋"/>
                <w:b/>
              </w:rPr>
              <w:t>评价方式</w:t>
            </w:r>
          </w:p>
        </w:tc>
      </w:tr>
      <w:tr w14:paraId="500A8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30B794BE">
            <w:pPr>
              <w:spacing w:line="360" w:lineRule="auto"/>
              <w:jc w:val="center"/>
              <w:rPr>
                <w:szCs w:val="21"/>
              </w:rPr>
            </w:pPr>
            <w:r>
              <w:rPr>
                <w:rFonts w:hint="eastAsia"/>
              </w:rPr>
              <w:t>1</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14:paraId="3EE38C29">
            <w:pPr>
              <w:spacing w:line="360" w:lineRule="auto"/>
              <w:jc w:val="center"/>
              <w:rPr>
                <w:rFonts w:ascii="仿宋" w:hAnsi="仿宋" w:eastAsia="仿宋"/>
                <w:szCs w:val="21"/>
              </w:rPr>
            </w:pPr>
            <w:r>
              <w:rPr>
                <w:rFonts w:hint="eastAsia" w:ascii="仿宋" w:hAnsi="仿宋" w:eastAsia="仿宋"/>
              </w:rPr>
              <w:t>约定服务</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EC7495C">
            <w:pPr>
              <w:spacing w:line="360" w:lineRule="auto"/>
              <w:jc w:val="center"/>
              <w:rPr>
                <w:rFonts w:ascii="仿宋" w:hAnsi="仿宋" w:eastAsia="仿宋"/>
                <w:szCs w:val="21"/>
              </w:rPr>
            </w:pPr>
            <w:r>
              <w:rPr>
                <w:rFonts w:hint="eastAsia" w:ascii="仿宋" w:hAnsi="仿宋" w:eastAsia="仿宋"/>
              </w:rPr>
              <w:t>20</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7E09CE5">
            <w:pPr>
              <w:spacing w:line="360" w:lineRule="auto"/>
              <w:jc w:val="center"/>
              <w:rPr>
                <w:rFonts w:ascii="仿宋" w:hAnsi="仿宋" w:eastAsia="仿宋"/>
                <w:szCs w:val="21"/>
              </w:rPr>
            </w:pPr>
            <w:r>
              <w:rPr>
                <w:rFonts w:hint="eastAsia" w:ascii="仿宋" w:hAnsi="仿宋" w:eastAsia="仿宋"/>
              </w:rPr>
              <w:t>完成约定的服务</w:t>
            </w:r>
          </w:p>
        </w:tc>
        <w:tc>
          <w:tcPr>
            <w:tcW w:w="3801" w:type="dxa"/>
            <w:tcBorders>
              <w:top w:val="single" w:color="000000" w:sz="4" w:space="0"/>
              <w:left w:val="single" w:color="000000" w:sz="4" w:space="0"/>
              <w:bottom w:val="single" w:color="000000" w:sz="4" w:space="0"/>
              <w:right w:val="single" w:color="000000" w:sz="4" w:space="0"/>
            </w:tcBorders>
            <w:noWrap w:val="0"/>
            <w:vAlign w:val="center"/>
          </w:tcPr>
          <w:p w14:paraId="31007C7A">
            <w:pPr>
              <w:spacing w:line="360" w:lineRule="auto"/>
              <w:rPr>
                <w:rFonts w:ascii="仿宋" w:hAnsi="仿宋" w:eastAsia="仿宋"/>
                <w:szCs w:val="21"/>
              </w:rPr>
            </w:pPr>
            <w:r>
              <w:rPr>
                <w:rFonts w:hint="eastAsia" w:ascii="仿宋" w:hAnsi="仿宋" w:eastAsia="仿宋"/>
              </w:rPr>
              <w:t>完成约定服务得满分，每少1次扣1分，扣完为止。</w:t>
            </w:r>
          </w:p>
        </w:tc>
      </w:tr>
      <w:tr w14:paraId="25862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7"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41F3EB3A">
            <w:pPr>
              <w:spacing w:line="360" w:lineRule="auto"/>
              <w:jc w:val="center"/>
              <w:rPr>
                <w:rFonts w:ascii="仿宋" w:hAnsi="仿宋" w:eastAsia="仿宋"/>
                <w:szCs w:val="21"/>
              </w:rPr>
            </w:pPr>
            <w:r>
              <w:rPr>
                <w:rFonts w:hint="eastAsia" w:ascii="仿宋" w:hAnsi="仿宋" w:eastAsia="仿宋"/>
              </w:rPr>
              <w:t>2</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14:paraId="626DFD6D">
            <w:pPr>
              <w:spacing w:line="360" w:lineRule="auto"/>
              <w:jc w:val="center"/>
              <w:rPr>
                <w:rFonts w:ascii="仿宋" w:hAnsi="仿宋" w:eastAsia="仿宋"/>
                <w:szCs w:val="21"/>
              </w:rPr>
            </w:pPr>
            <w:r>
              <w:rPr>
                <w:rFonts w:hint="eastAsia" w:ascii="仿宋" w:hAnsi="仿宋" w:eastAsia="仿宋"/>
              </w:rPr>
              <w:t>一般法律咨询答复及时率（2个日历天内反馈审核意见）</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DFBBFF0">
            <w:pPr>
              <w:spacing w:line="360" w:lineRule="auto"/>
              <w:jc w:val="center"/>
              <w:rPr>
                <w:rFonts w:ascii="仿宋" w:hAnsi="仿宋" w:eastAsia="仿宋"/>
                <w:szCs w:val="21"/>
              </w:rPr>
            </w:pPr>
            <w:r>
              <w:rPr>
                <w:rFonts w:hint="eastAsia" w:ascii="仿宋" w:hAnsi="仿宋" w:eastAsia="仿宋"/>
              </w:rPr>
              <w:t>30</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DB29EDA">
            <w:pPr>
              <w:spacing w:line="360" w:lineRule="auto"/>
              <w:jc w:val="center"/>
              <w:rPr>
                <w:rFonts w:ascii="仿宋" w:hAnsi="仿宋" w:eastAsia="仿宋"/>
                <w:szCs w:val="21"/>
              </w:rPr>
            </w:pPr>
            <w:r>
              <w:rPr>
                <w:rFonts w:hint="eastAsia" w:ascii="仿宋" w:hAnsi="仿宋" w:eastAsia="仿宋"/>
              </w:rPr>
              <w:t>100%</w:t>
            </w:r>
          </w:p>
        </w:tc>
        <w:tc>
          <w:tcPr>
            <w:tcW w:w="3801" w:type="dxa"/>
            <w:tcBorders>
              <w:top w:val="single" w:color="000000" w:sz="4" w:space="0"/>
              <w:left w:val="single" w:color="000000" w:sz="4" w:space="0"/>
              <w:bottom w:val="single" w:color="000000" w:sz="4" w:space="0"/>
              <w:right w:val="single" w:color="000000" w:sz="4" w:space="0"/>
            </w:tcBorders>
            <w:noWrap w:val="0"/>
            <w:vAlign w:val="center"/>
          </w:tcPr>
          <w:p w14:paraId="64FE7457">
            <w:pPr>
              <w:spacing w:line="360" w:lineRule="auto"/>
              <w:rPr>
                <w:rFonts w:ascii="仿宋" w:hAnsi="仿宋" w:eastAsia="仿宋"/>
                <w:szCs w:val="21"/>
              </w:rPr>
            </w:pPr>
            <w:r>
              <w:rPr>
                <w:rFonts w:hint="eastAsia" w:ascii="仿宋" w:hAnsi="仿宋" w:eastAsia="仿宋"/>
              </w:rPr>
              <w:t>100%得满分，每下降5%扣1分，扣完为止。</w:t>
            </w:r>
          </w:p>
        </w:tc>
      </w:tr>
      <w:tr w14:paraId="549F8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3"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14C7D787">
            <w:pPr>
              <w:spacing w:line="360" w:lineRule="auto"/>
              <w:jc w:val="center"/>
              <w:rPr>
                <w:rFonts w:ascii="仿宋" w:hAnsi="仿宋" w:eastAsia="仿宋"/>
                <w:szCs w:val="21"/>
              </w:rPr>
            </w:pPr>
            <w:r>
              <w:rPr>
                <w:rFonts w:hint="eastAsia" w:ascii="仿宋" w:hAnsi="仿宋" w:eastAsia="仿宋"/>
              </w:rPr>
              <w:t>3</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14:paraId="1D8C225C">
            <w:pPr>
              <w:spacing w:line="360" w:lineRule="auto"/>
              <w:jc w:val="center"/>
              <w:rPr>
                <w:rFonts w:ascii="仿宋" w:hAnsi="仿宋" w:eastAsia="仿宋"/>
                <w:szCs w:val="21"/>
              </w:rPr>
            </w:pPr>
            <w:r>
              <w:rPr>
                <w:rFonts w:hint="eastAsia" w:ascii="仿宋" w:hAnsi="仿宋" w:eastAsia="仿宋"/>
              </w:rPr>
              <w:t>需要审阅大量文件并出具法律意见书的及时率（10个日历天内响应）</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3353EDC">
            <w:pPr>
              <w:spacing w:line="360" w:lineRule="auto"/>
              <w:jc w:val="center"/>
              <w:rPr>
                <w:rFonts w:ascii="仿宋" w:hAnsi="仿宋" w:eastAsia="仿宋"/>
                <w:szCs w:val="21"/>
              </w:rPr>
            </w:pPr>
            <w:r>
              <w:rPr>
                <w:rFonts w:hint="eastAsia" w:ascii="仿宋" w:hAnsi="仿宋" w:eastAsia="仿宋"/>
              </w:rPr>
              <w:t>20</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8C8FC19">
            <w:pPr>
              <w:spacing w:line="360" w:lineRule="auto"/>
              <w:jc w:val="center"/>
              <w:rPr>
                <w:rFonts w:ascii="仿宋" w:hAnsi="仿宋" w:eastAsia="仿宋"/>
                <w:szCs w:val="21"/>
              </w:rPr>
            </w:pPr>
            <w:r>
              <w:rPr>
                <w:rFonts w:hint="eastAsia" w:ascii="仿宋" w:hAnsi="仿宋" w:eastAsia="仿宋"/>
              </w:rPr>
              <w:t>100%</w:t>
            </w:r>
          </w:p>
        </w:tc>
        <w:tc>
          <w:tcPr>
            <w:tcW w:w="3801" w:type="dxa"/>
            <w:tcBorders>
              <w:top w:val="single" w:color="000000" w:sz="4" w:space="0"/>
              <w:left w:val="single" w:color="000000" w:sz="4" w:space="0"/>
              <w:bottom w:val="single" w:color="000000" w:sz="4" w:space="0"/>
              <w:right w:val="single" w:color="000000" w:sz="4" w:space="0"/>
            </w:tcBorders>
            <w:noWrap w:val="0"/>
            <w:vAlign w:val="center"/>
          </w:tcPr>
          <w:p w14:paraId="335F716E">
            <w:pPr>
              <w:rPr>
                <w:szCs w:val="21"/>
              </w:rPr>
            </w:pPr>
            <w:r>
              <w:rPr>
                <w:rFonts w:hint="eastAsia" w:ascii="仿宋" w:hAnsi="仿宋" w:eastAsia="仿宋"/>
              </w:rPr>
              <w:t>100%得满分，每下降5%扣1分，扣完为止。</w:t>
            </w:r>
          </w:p>
          <w:p w14:paraId="2F85F1B7">
            <w:pPr>
              <w:spacing w:line="360" w:lineRule="auto"/>
              <w:rPr>
                <w:rFonts w:ascii="仿宋" w:hAnsi="仿宋" w:eastAsia="仿宋"/>
                <w:szCs w:val="21"/>
              </w:rPr>
            </w:pPr>
            <w:r>
              <w:rPr>
                <w:rFonts w:hint="eastAsia" w:ascii="仿宋" w:hAnsi="仿宋" w:eastAsia="仿宋"/>
              </w:rPr>
              <w:t>如遇特殊案件酌情延长,但最长不能超过10个日历天。</w:t>
            </w:r>
          </w:p>
        </w:tc>
      </w:tr>
      <w:tr w14:paraId="37D65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2" w:hRule="atLeast"/>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154C7092">
            <w:pPr>
              <w:spacing w:line="360" w:lineRule="auto"/>
              <w:jc w:val="center"/>
              <w:rPr>
                <w:rFonts w:ascii="仿宋" w:hAnsi="仿宋" w:eastAsia="仿宋"/>
                <w:szCs w:val="21"/>
              </w:rPr>
            </w:pPr>
            <w:r>
              <w:rPr>
                <w:rFonts w:hint="eastAsia" w:ascii="仿宋" w:hAnsi="仿宋" w:eastAsia="仿宋"/>
              </w:rPr>
              <w:t>4</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14:paraId="477AD7C9">
            <w:pPr>
              <w:spacing w:line="360" w:lineRule="auto"/>
              <w:jc w:val="center"/>
              <w:rPr>
                <w:rFonts w:ascii="仿宋" w:hAnsi="仿宋" w:eastAsia="仿宋"/>
                <w:szCs w:val="21"/>
              </w:rPr>
            </w:pPr>
            <w:r>
              <w:rPr>
                <w:rFonts w:hint="eastAsia" w:ascii="仿宋" w:hAnsi="仿宋" w:eastAsia="仿宋"/>
              </w:rPr>
              <w:t>差错率（服务质量）</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D349481">
            <w:pPr>
              <w:spacing w:line="360" w:lineRule="auto"/>
              <w:jc w:val="center"/>
              <w:rPr>
                <w:rFonts w:ascii="仿宋" w:hAnsi="仿宋" w:eastAsia="仿宋"/>
                <w:szCs w:val="21"/>
              </w:rPr>
            </w:pPr>
            <w:r>
              <w:rPr>
                <w:rFonts w:hint="eastAsia" w:ascii="仿宋" w:hAnsi="仿宋" w:eastAsia="仿宋"/>
              </w:rPr>
              <w:t>20</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3EF8CBE">
            <w:pPr>
              <w:spacing w:line="360" w:lineRule="auto"/>
              <w:jc w:val="center"/>
              <w:rPr>
                <w:rFonts w:ascii="仿宋" w:hAnsi="仿宋" w:eastAsia="仿宋"/>
                <w:szCs w:val="21"/>
              </w:rPr>
            </w:pPr>
            <w:r>
              <w:rPr>
                <w:rFonts w:hint="eastAsia" w:ascii="仿宋" w:hAnsi="仿宋" w:eastAsia="仿宋"/>
              </w:rPr>
              <w:t>0</w:t>
            </w:r>
          </w:p>
        </w:tc>
        <w:tc>
          <w:tcPr>
            <w:tcW w:w="3801" w:type="dxa"/>
            <w:tcBorders>
              <w:top w:val="single" w:color="000000" w:sz="4" w:space="0"/>
              <w:left w:val="single" w:color="000000" w:sz="4" w:space="0"/>
              <w:bottom w:val="single" w:color="000000" w:sz="4" w:space="0"/>
              <w:right w:val="single" w:color="000000" w:sz="4" w:space="0"/>
            </w:tcBorders>
            <w:noWrap w:val="0"/>
            <w:vAlign w:val="center"/>
          </w:tcPr>
          <w:p w14:paraId="1C379882">
            <w:pPr>
              <w:spacing w:line="360" w:lineRule="auto"/>
              <w:rPr>
                <w:rFonts w:ascii="仿宋" w:hAnsi="仿宋" w:eastAsia="仿宋"/>
                <w:szCs w:val="21"/>
              </w:rPr>
            </w:pPr>
            <w:r>
              <w:rPr>
                <w:rFonts w:hint="eastAsia" w:ascii="仿宋" w:hAnsi="仿宋" w:eastAsia="仿宋"/>
              </w:rPr>
              <w:t>无差错得满分，合同审核或其他法律事务出现明显错误，或未尽到风险提示义务的，每发现一次扣2分，扣完为止。</w:t>
            </w:r>
          </w:p>
        </w:tc>
      </w:tr>
      <w:tr w14:paraId="2344F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612C1001">
            <w:pPr>
              <w:spacing w:line="360" w:lineRule="auto"/>
              <w:jc w:val="center"/>
              <w:rPr>
                <w:rFonts w:ascii="仿宋" w:hAnsi="仿宋" w:eastAsia="仿宋"/>
                <w:szCs w:val="21"/>
              </w:rPr>
            </w:pPr>
            <w:r>
              <w:rPr>
                <w:rFonts w:hint="eastAsia" w:ascii="仿宋" w:hAnsi="仿宋" w:eastAsia="仿宋"/>
              </w:rPr>
              <w:t>5</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14:paraId="7844EF1F">
            <w:pPr>
              <w:spacing w:line="360" w:lineRule="auto"/>
              <w:jc w:val="center"/>
              <w:rPr>
                <w:rFonts w:ascii="仿宋" w:hAnsi="仿宋" w:eastAsia="仿宋"/>
                <w:szCs w:val="21"/>
              </w:rPr>
            </w:pPr>
            <w:r>
              <w:rPr>
                <w:rFonts w:hint="eastAsia" w:ascii="仿宋" w:hAnsi="仿宋" w:eastAsia="仿宋"/>
              </w:rPr>
              <w:t>服务满意度</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DB4EC6A">
            <w:pPr>
              <w:spacing w:line="360" w:lineRule="auto"/>
              <w:jc w:val="center"/>
              <w:rPr>
                <w:rFonts w:ascii="仿宋" w:hAnsi="仿宋" w:eastAsia="仿宋"/>
                <w:szCs w:val="21"/>
              </w:rPr>
            </w:pPr>
            <w:r>
              <w:rPr>
                <w:rFonts w:hint="eastAsia" w:ascii="仿宋" w:hAnsi="仿宋" w:eastAsia="仿宋"/>
              </w:rPr>
              <w:t>10</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5CBFF25">
            <w:pPr>
              <w:spacing w:line="360" w:lineRule="auto"/>
              <w:jc w:val="center"/>
              <w:rPr>
                <w:rFonts w:ascii="仿宋" w:hAnsi="仿宋" w:eastAsia="仿宋"/>
                <w:szCs w:val="21"/>
              </w:rPr>
            </w:pPr>
            <w:r>
              <w:rPr>
                <w:rFonts w:hint="eastAsia" w:ascii="仿宋" w:hAnsi="仿宋" w:eastAsia="仿宋"/>
              </w:rPr>
              <w:t>95%</w:t>
            </w:r>
          </w:p>
        </w:tc>
        <w:tc>
          <w:tcPr>
            <w:tcW w:w="3801" w:type="dxa"/>
            <w:tcBorders>
              <w:top w:val="single" w:color="000000" w:sz="4" w:space="0"/>
              <w:left w:val="single" w:color="000000" w:sz="4" w:space="0"/>
              <w:bottom w:val="single" w:color="000000" w:sz="4" w:space="0"/>
              <w:right w:val="single" w:color="000000" w:sz="4" w:space="0"/>
            </w:tcBorders>
            <w:noWrap w:val="0"/>
            <w:vAlign w:val="center"/>
          </w:tcPr>
          <w:p w14:paraId="5883BB3C">
            <w:pPr>
              <w:spacing w:line="360" w:lineRule="auto"/>
              <w:rPr>
                <w:rFonts w:ascii="仿宋" w:hAnsi="仿宋" w:eastAsia="仿宋"/>
                <w:szCs w:val="21"/>
              </w:rPr>
            </w:pPr>
            <w:r>
              <w:rPr>
                <w:rFonts w:hint="eastAsia" w:ascii="仿宋" w:hAnsi="仿宋" w:eastAsia="仿宋"/>
              </w:rPr>
              <w:t>甲方对乙方服务进行满意度评价，满意率为95%以上得满分，每下降5%扣2分，扣完为止。</w:t>
            </w:r>
          </w:p>
        </w:tc>
      </w:tr>
    </w:tbl>
    <w:p w14:paraId="18BB4F49">
      <w:pPr>
        <w:pStyle w:val="2"/>
        <w:rPr>
          <w:rFonts w:hint="eastAsia" w:ascii="宋体" w:hAnsi="宋体" w:eastAsia="宋体" w:cs="宋体"/>
          <w:color w:val="auto"/>
          <w:szCs w:val="28"/>
        </w:rPr>
      </w:pPr>
    </w:p>
    <w:p w14:paraId="36CC658B">
      <w:pPr>
        <w:pStyle w:val="2"/>
        <w:rPr>
          <w:rFonts w:hint="eastAsia" w:ascii="宋体" w:hAnsi="宋体" w:eastAsia="宋体" w:cs="宋体"/>
          <w:color w:val="auto"/>
          <w:szCs w:val="28"/>
        </w:rPr>
      </w:pPr>
    </w:p>
    <w:p w14:paraId="1D893794">
      <w:pPr>
        <w:rPr>
          <w:rFonts w:hint="eastAsia" w:ascii="宋体" w:hAnsi="宋体" w:eastAsia="宋体" w:cs="宋体"/>
          <w:color w:val="auto"/>
          <w:szCs w:val="28"/>
        </w:rPr>
      </w:pPr>
    </w:p>
    <w:p w14:paraId="6F1FF007">
      <w:pPr>
        <w:rPr>
          <w:rFonts w:hint="eastAsia" w:ascii="宋体" w:hAnsi="宋体" w:eastAsia="宋体" w:cs="宋体"/>
          <w:color w:val="auto"/>
          <w:szCs w:val="28"/>
        </w:rPr>
      </w:pPr>
    </w:p>
    <w:p w14:paraId="6771A98F">
      <w:pPr>
        <w:rPr>
          <w:rFonts w:hint="eastAsia" w:ascii="宋体" w:hAnsi="宋体" w:eastAsia="宋体" w:cs="宋体"/>
          <w:color w:val="auto"/>
          <w:szCs w:val="28"/>
        </w:rPr>
      </w:pPr>
    </w:p>
    <w:p w14:paraId="2E43DF3D">
      <w:pPr>
        <w:rPr>
          <w:rFonts w:hint="eastAsia" w:ascii="宋体" w:hAnsi="宋体" w:eastAsia="宋体" w:cs="宋体"/>
          <w:color w:val="auto"/>
          <w:szCs w:val="28"/>
        </w:rPr>
      </w:pPr>
    </w:p>
    <w:p w14:paraId="3B3928D6">
      <w:pPr>
        <w:rPr>
          <w:rFonts w:hint="eastAsia" w:ascii="宋体" w:hAnsi="宋体" w:eastAsia="宋体" w:cs="宋体"/>
          <w:color w:val="auto"/>
          <w:szCs w:val="28"/>
        </w:rPr>
      </w:pPr>
    </w:p>
    <w:p w14:paraId="1C6282DB">
      <w:pPr>
        <w:rPr>
          <w:rFonts w:hint="eastAsia" w:ascii="宋体" w:hAnsi="宋体" w:eastAsia="宋体" w:cs="宋体"/>
          <w:color w:val="auto"/>
          <w:szCs w:val="28"/>
        </w:rPr>
      </w:pPr>
    </w:p>
    <w:p w14:paraId="4230172D">
      <w:pPr>
        <w:rPr>
          <w:rFonts w:hint="eastAsia" w:ascii="宋体" w:hAnsi="宋体" w:eastAsia="宋体" w:cs="宋体"/>
          <w:color w:val="auto"/>
          <w:szCs w:val="28"/>
        </w:rPr>
      </w:pPr>
    </w:p>
    <w:p w14:paraId="33F15679">
      <w:pPr>
        <w:rPr>
          <w:rFonts w:hint="eastAsia" w:ascii="宋体" w:hAnsi="宋体" w:eastAsia="宋体" w:cs="宋体"/>
          <w:color w:val="auto"/>
          <w:szCs w:val="28"/>
        </w:rPr>
      </w:pPr>
    </w:p>
    <w:p w14:paraId="668A1501">
      <w:pPr>
        <w:rPr>
          <w:rFonts w:hint="eastAsia" w:ascii="宋体" w:hAnsi="宋体" w:eastAsia="宋体" w:cs="宋体"/>
          <w:color w:val="auto"/>
          <w:szCs w:val="28"/>
        </w:rPr>
      </w:pPr>
    </w:p>
    <w:p w14:paraId="2657D992">
      <w:pPr>
        <w:rPr>
          <w:rFonts w:hint="eastAsia" w:ascii="宋体" w:hAnsi="宋体" w:eastAsia="宋体" w:cs="宋体"/>
          <w:color w:val="auto"/>
          <w:szCs w:val="28"/>
        </w:rPr>
      </w:pPr>
    </w:p>
    <w:p w14:paraId="16384E27">
      <w:pPr>
        <w:rPr>
          <w:rFonts w:hint="eastAsia" w:ascii="宋体" w:hAnsi="宋体" w:eastAsia="宋体" w:cs="宋体"/>
          <w:color w:val="auto"/>
          <w:szCs w:val="28"/>
        </w:rPr>
      </w:pPr>
    </w:p>
    <w:p w14:paraId="3D5E589B">
      <w:pPr>
        <w:rPr>
          <w:rFonts w:hint="eastAsia" w:ascii="宋体" w:hAnsi="宋体" w:eastAsia="宋体" w:cs="宋体"/>
          <w:color w:val="auto"/>
          <w:szCs w:val="28"/>
        </w:rPr>
      </w:pPr>
    </w:p>
    <w:p w14:paraId="2131D441">
      <w:pPr>
        <w:rPr>
          <w:rFonts w:hint="eastAsia" w:ascii="宋体" w:hAnsi="宋体" w:eastAsia="宋体" w:cs="宋体"/>
          <w:color w:val="auto"/>
          <w:szCs w:val="28"/>
        </w:rPr>
      </w:pPr>
    </w:p>
    <w:p w14:paraId="7ECE4EDC">
      <w:pPr>
        <w:rPr>
          <w:rFonts w:hint="eastAsia" w:ascii="宋体" w:hAnsi="宋体" w:eastAsia="宋体" w:cs="宋体"/>
          <w:color w:val="auto"/>
          <w:szCs w:val="28"/>
        </w:rPr>
      </w:pPr>
    </w:p>
    <w:p w14:paraId="26A6A33B">
      <w:pPr>
        <w:rPr>
          <w:rFonts w:hint="eastAsia" w:ascii="宋体" w:hAnsi="宋体" w:eastAsia="宋体" w:cs="宋体"/>
          <w:color w:val="auto"/>
          <w:szCs w:val="28"/>
        </w:rPr>
      </w:pPr>
    </w:p>
    <w:p w14:paraId="50280375">
      <w:pPr>
        <w:rPr>
          <w:rFonts w:hint="eastAsia" w:ascii="宋体" w:hAnsi="宋体" w:eastAsia="宋体" w:cs="宋体"/>
          <w:color w:val="auto"/>
          <w:szCs w:val="28"/>
        </w:rPr>
      </w:pPr>
    </w:p>
    <w:p w14:paraId="4FC81E5B">
      <w:pPr>
        <w:rPr>
          <w:rFonts w:hint="eastAsia" w:ascii="宋体" w:hAnsi="宋体" w:eastAsia="宋体" w:cs="宋体"/>
          <w:color w:val="auto"/>
          <w:szCs w:val="28"/>
        </w:rPr>
      </w:pPr>
    </w:p>
    <w:p w14:paraId="3BB23389">
      <w:pPr>
        <w:rPr>
          <w:rFonts w:hint="eastAsia" w:ascii="宋体" w:hAnsi="宋体" w:eastAsia="宋体" w:cs="宋体"/>
          <w:color w:val="auto"/>
          <w:szCs w:val="28"/>
        </w:rPr>
      </w:pPr>
    </w:p>
    <w:p w14:paraId="3E8AF9DC">
      <w:pPr>
        <w:rPr>
          <w:rFonts w:hint="eastAsia" w:ascii="宋体" w:hAnsi="宋体" w:eastAsia="宋体" w:cs="宋体"/>
          <w:color w:val="auto"/>
          <w:szCs w:val="28"/>
        </w:rPr>
      </w:pPr>
    </w:p>
    <w:p w14:paraId="1E9DADD8">
      <w:pPr>
        <w:rPr>
          <w:rFonts w:hint="eastAsia" w:ascii="宋体" w:hAnsi="宋体" w:eastAsia="宋体" w:cs="宋体"/>
          <w:color w:val="auto"/>
          <w:szCs w:val="28"/>
        </w:rPr>
      </w:pPr>
    </w:p>
    <w:p w14:paraId="6A737544">
      <w:pPr>
        <w:rPr>
          <w:rFonts w:hint="eastAsia" w:ascii="宋体" w:hAnsi="宋体" w:eastAsia="宋体" w:cs="宋体"/>
          <w:color w:val="auto"/>
          <w:szCs w:val="28"/>
        </w:rPr>
      </w:pPr>
    </w:p>
    <w:p w14:paraId="2ED2FD3E">
      <w:pPr>
        <w:rPr>
          <w:rFonts w:hint="eastAsia" w:ascii="宋体" w:hAnsi="宋体" w:eastAsia="宋体" w:cs="宋体"/>
          <w:color w:val="auto"/>
          <w:szCs w:val="28"/>
        </w:rPr>
      </w:pPr>
    </w:p>
    <w:p w14:paraId="4CA60160">
      <w:pPr>
        <w:rPr>
          <w:rFonts w:hint="eastAsia" w:ascii="宋体" w:hAnsi="宋体" w:eastAsia="宋体" w:cs="宋体"/>
          <w:color w:val="auto"/>
          <w:szCs w:val="28"/>
        </w:rPr>
      </w:pPr>
    </w:p>
    <w:p w14:paraId="57693B38">
      <w:pPr>
        <w:pStyle w:val="5"/>
        <w:numPr>
          <w:ilvl w:val="0"/>
          <w:numId w:val="0"/>
        </w:numPr>
        <w:rPr>
          <w:rFonts w:hint="eastAsia" w:ascii="宋体" w:hAnsi="宋体" w:eastAsia="宋体" w:cs="宋体"/>
          <w:color w:val="auto"/>
          <w:szCs w:val="28"/>
        </w:rPr>
      </w:pPr>
      <w:bookmarkStart w:id="301" w:name="_Toc29471"/>
      <w:bookmarkStart w:id="302" w:name="_Toc32280"/>
      <w:bookmarkStart w:id="303" w:name="_Toc26692"/>
      <w:bookmarkStart w:id="304" w:name="_Toc29642"/>
      <w:bookmarkStart w:id="305" w:name="_Toc23661"/>
      <w:bookmarkStart w:id="306" w:name="_Toc5467"/>
      <w:bookmarkStart w:id="307" w:name="_Toc10250"/>
      <w:bookmarkStart w:id="308" w:name="_Toc19954"/>
      <w:bookmarkStart w:id="309" w:name="_Toc461525321"/>
      <w:bookmarkStart w:id="310" w:name="_Toc22493"/>
      <w:bookmarkStart w:id="311" w:name="_Toc23061"/>
      <w:bookmarkStart w:id="312" w:name="_Toc20710"/>
      <w:bookmarkStart w:id="313" w:name="_Toc27378"/>
      <w:bookmarkStart w:id="314" w:name="_Toc6779"/>
      <w:bookmarkStart w:id="315" w:name="_Toc24668"/>
      <w:bookmarkStart w:id="316" w:name="_Toc15172"/>
      <w:bookmarkStart w:id="317" w:name="_Toc1897"/>
      <w:bookmarkStart w:id="318" w:name="_Toc16386"/>
      <w:bookmarkStart w:id="319" w:name="_Toc2598"/>
      <w:bookmarkStart w:id="320" w:name="_Toc14986"/>
      <w:bookmarkStart w:id="321" w:name="_Toc3148"/>
      <w:r>
        <w:rPr>
          <w:rFonts w:hint="default" w:ascii="宋体" w:hAnsi="宋体" w:eastAsia="宋体" w:cs="宋体"/>
          <w:color w:val="auto"/>
          <w:szCs w:val="28"/>
        </w:rPr>
        <w:t>第</w:t>
      </w:r>
      <w:r>
        <w:rPr>
          <w:rFonts w:hint="eastAsia" w:ascii="宋体" w:hAnsi="宋体" w:cs="宋体"/>
          <w:color w:val="auto"/>
          <w:szCs w:val="28"/>
          <w:lang w:eastAsia="zh-CN"/>
        </w:rPr>
        <w:t>三</w:t>
      </w:r>
      <w:r>
        <w:rPr>
          <w:rFonts w:hint="eastAsia" w:ascii="宋体" w:hAnsi="宋体" w:eastAsia="宋体" w:cs="宋体"/>
          <w:color w:val="auto"/>
          <w:szCs w:val="28"/>
        </w:rPr>
        <w:t>章</w:t>
      </w:r>
      <w:r>
        <w:rPr>
          <w:rFonts w:hint="default" w:ascii="宋体" w:hAnsi="宋体" w:eastAsia="宋体" w:cs="宋体"/>
          <w:color w:val="auto"/>
          <w:szCs w:val="28"/>
          <w:lang w:val="en-US" w:eastAsia="zh-CN"/>
        </w:rPr>
        <w:t xml:space="preserve"> </w:t>
      </w:r>
      <w:r>
        <w:rPr>
          <w:rFonts w:hint="eastAsia" w:ascii="宋体" w:hAnsi="宋体" w:eastAsia="宋体" w:cs="宋体"/>
          <w:color w:val="auto"/>
          <w:szCs w:val="28"/>
        </w:rPr>
        <w:t>比选</w:t>
      </w:r>
      <w:bookmarkEnd w:id="284"/>
      <w:bookmarkEnd w:id="285"/>
      <w:r>
        <w:rPr>
          <w:rFonts w:hint="eastAsia" w:ascii="宋体" w:hAnsi="宋体" w:eastAsia="宋体" w:cs="宋体"/>
          <w:color w:val="auto"/>
          <w:szCs w:val="28"/>
        </w:rPr>
        <w:t>申请文件</w:t>
      </w:r>
      <w:r>
        <w:rPr>
          <w:rFonts w:hint="eastAsia" w:ascii="宋体" w:hAnsi="宋体" w:eastAsia="宋体" w:cs="宋体"/>
          <w:color w:val="auto"/>
          <w:szCs w:val="28"/>
          <w:lang w:eastAsia="zh-CN"/>
        </w:rPr>
        <w:t>（</w:t>
      </w:r>
      <w:r>
        <w:rPr>
          <w:rFonts w:hint="eastAsia" w:ascii="宋体" w:hAnsi="宋体" w:eastAsia="宋体" w:cs="宋体"/>
          <w:color w:val="auto"/>
          <w:szCs w:val="28"/>
        </w:rPr>
        <w:t>格式</w:t>
      </w:r>
      <w:r>
        <w:rPr>
          <w:rFonts w:hint="eastAsia" w:ascii="宋体" w:hAnsi="宋体" w:eastAsia="宋体" w:cs="宋体"/>
          <w:color w:val="auto"/>
          <w:szCs w:val="28"/>
          <w:lang w:eastAsia="zh-CN"/>
        </w:rPr>
        <w:t>）</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Start w:id="322" w:name="_Toc114052391"/>
    </w:p>
    <w:p w14:paraId="101B9EDD">
      <w:pPr>
        <w:jc w:val="center"/>
        <w:rPr>
          <w:rFonts w:eastAsiaTheme="minorEastAsia"/>
          <w:szCs w:val="28"/>
        </w:rPr>
      </w:pPr>
    </w:p>
    <w:p w14:paraId="3CDE7409">
      <w:pPr>
        <w:spacing w:line="360" w:lineRule="auto"/>
        <w:ind w:right="753"/>
        <w:jc w:val="center"/>
        <w:rPr>
          <w:rFonts w:eastAsiaTheme="minorEastAsia"/>
          <w:sz w:val="28"/>
          <w:szCs w:val="28"/>
        </w:rPr>
      </w:pPr>
      <w:r>
        <w:rPr>
          <w:rFonts w:eastAsiaTheme="minorEastAsia"/>
          <w:sz w:val="28"/>
          <w:szCs w:val="28"/>
        </w:rPr>
        <w:t>（封面格式）</w:t>
      </w:r>
    </w:p>
    <w:p w14:paraId="1FE9F1F5">
      <w:pPr>
        <w:spacing w:line="360" w:lineRule="auto"/>
        <w:ind w:right="753"/>
        <w:jc w:val="left"/>
        <w:rPr>
          <w:rFonts w:eastAsiaTheme="minorEastAsia"/>
          <w:sz w:val="28"/>
          <w:szCs w:val="28"/>
        </w:rPr>
      </w:pPr>
    </w:p>
    <w:p w14:paraId="0232E386">
      <w:pPr>
        <w:spacing w:line="360" w:lineRule="auto"/>
        <w:ind w:right="753"/>
        <w:jc w:val="left"/>
        <w:rPr>
          <w:rFonts w:eastAsiaTheme="minorEastAsia"/>
          <w:sz w:val="28"/>
          <w:szCs w:val="28"/>
        </w:rPr>
      </w:pPr>
    </w:p>
    <w:p w14:paraId="1C98DF44">
      <w:pPr>
        <w:ind w:right="753"/>
        <w:jc w:val="center"/>
        <w:rPr>
          <w:rFonts w:hint="eastAsia" w:ascii="宋体" w:hAnsi="宋体" w:cs="宋体"/>
          <w:color w:val="auto"/>
          <w:sz w:val="28"/>
          <w:szCs w:val="28"/>
          <w:u w:val="single"/>
        </w:rPr>
      </w:pPr>
      <w:r>
        <w:rPr>
          <w:rFonts w:hint="eastAsia" w:ascii="宋体" w:hAnsi="宋体" w:cs="宋体"/>
          <w:color w:val="auto"/>
          <w:sz w:val="28"/>
          <w:szCs w:val="28"/>
          <w:u w:val="single"/>
        </w:rPr>
        <w:t>南宁铁路枢纽投资有限公司</w:t>
      </w:r>
      <w:r>
        <w:rPr>
          <w:rFonts w:hint="eastAsia" w:ascii="宋体" w:hAnsi="宋体" w:cs="宋体"/>
          <w:color w:val="auto"/>
          <w:sz w:val="28"/>
          <w:szCs w:val="28"/>
          <w:u w:val="single"/>
          <w:lang w:val="en-US" w:eastAsia="zh-CN"/>
        </w:rPr>
        <w:t>2025年</w:t>
      </w:r>
      <w:r>
        <w:rPr>
          <w:rFonts w:hint="eastAsia" w:ascii="宋体" w:hAnsi="宋体" w:cs="宋体"/>
          <w:color w:val="auto"/>
          <w:sz w:val="28"/>
          <w:szCs w:val="28"/>
          <w:u w:val="single"/>
        </w:rPr>
        <w:t>度法律顾问</w:t>
      </w:r>
      <w:r>
        <w:rPr>
          <w:rFonts w:hint="eastAsia" w:ascii="宋体" w:hAnsi="宋体" w:cs="宋体"/>
          <w:color w:val="auto"/>
          <w:sz w:val="28"/>
          <w:szCs w:val="28"/>
          <w:u w:val="single"/>
          <w:lang w:val="en-US" w:eastAsia="zh-CN"/>
        </w:rPr>
        <w:t>服务</w:t>
      </w:r>
      <w:r>
        <w:rPr>
          <w:rFonts w:hint="eastAsia" w:ascii="宋体" w:hAnsi="宋体" w:cs="宋体"/>
          <w:color w:val="auto"/>
          <w:sz w:val="28"/>
          <w:szCs w:val="28"/>
          <w:u w:val="single"/>
        </w:rPr>
        <w:t>项目</w:t>
      </w:r>
    </w:p>
    <w:p w14:paraId="03B656AD">
      <w:pPr>
        <w:ind w:right="753"/>
        <w:jc w:val="center"/>
        <w:rPr>
          <w:rFonts w:ascii="宋体" w:hAnsi="宋体" w:cs="宋体"/>
          <w:color w:val="auto"/>
          <w:sz w:val="28"/>
          <w:szCs w:val="28"/>
        </w:rPr>
      </w:pPr>
      <w:r>
        <w:rPr>
          <w:rFonts w:hint="eastAsia" w:ascii="宋体" w:hAnsi="宋体" w:cs="宋体"/>
          <w:color w:val="auto"/>
          <w:sz w:val="28"/>
          <w:szCs w:val="28"/>
        </w:rPr>
        <w:t>比选申请文件</w:t>
      </w:r>
    </w:p>
    <w:p w14:paraId="5498A759">
      <w:pPr>
        <w:spacing w:line="360" w:lineRule="auto"/>
        <w:ind w:right="753"/>
        <w:jc w:val="center"/>
        <w:rPr>
          <w:rFonts w:eastAsiaTheme="minorEastAsia"/>
          <w:sz w:val="28"/>
          <w:szCs w:val="28"/>
        </w:rPr>
      </w:pPr>
    </w:p>
    <w:p w14:paraId="48D9B649">
      <w:pPr>
        <w:spacing w:line="360" w:lineRule="auto"/>
        <w:ind w:right="753"/>
        <w:jc w:val="left"/>
        <w:rPr>
          <w:rFonts w:eastAsiaTheme="minorEastAsia"/>
          <w:sz w:val="28"/>
          <w:szCs w:val="28"/>
        </w:rPr>
      </w:pPr>
    </w:p>
    <w:p w14:paraId="0ED3951D">
      <w:pPr>
        <w:spacing w:line="360" w:lineRule="auto"/>
        <w:ind w:right="753"/>
        <w:jc w:val="left"/>
        <w:rPr>
          <w:rFonts w:eastAsiaTheme="minorEastAsia"/>
          <w:sz w:val="28"/>
          <w:szCs w:val="28"/>
        </w:rPr>
      </w:pPr>
    </w:p>
    <w:p w14:paraId="138DB38B">
      <w:pPr>
        <w:spacing w:line="360" w:lineRule="auto"/>
        <w:ind w:right="753"/>
        <w:jc w:val="left"/>
        <w:rPr>
          <w:rFonts w:eastAsiaTheme="minorEastAsia"/>
          <w:sz w:val="28"/>
          <w:szCs w:val="28"/>
        </w:rPr>
      </w:pPr>
    </w:p>
    <w:p w14:paraId="65471A9F">
      <w:pPr>
        <w:spacing w:line="360" w:lineRule="auto"/>
        <w:ind w:right="753"/>
        <w:jc w:val="left"/>
        <w:rPr>
          <w:rFonts w:eastAsiaTheme="minorEastAsia"/>
          <w:sz w:val="28"/>
          <w:szCs w:val="28"/>
        </w:rPr>
      </w:pPr>
    </w:p>
    <w:p w14:paraId="21304FFB">
      <w:pPr>
        <w:spacing w:line="360" w:lineRule="auto"/>
        <w:ind w:right="753"/>
        <w:jc w:val="left"/>
        <w:rPr>
          <w:rFonts w:eastAsiaTheme="minorEastAsia"/>
          <w:sz w:val="28"/>
          <w:szCs w:val="28"/>
        </w:rPr>
      </w:pPr>
    </w:p>
    <w:p w14:paraId="5A88130E">
      <w:pPr>
        <w:spacing w:line="360" w:lineRule="auto"/>
        <w:ind w:right="753"/>
        <w:jc w:val="left"/>
        <w:rPr>
          <w:rFonts w:eastAsiaTheme="minorEastAsia"/>
          <w:sz w:val="28"/>
          <w:szCs w:val="28"/>
        </w:rPr>
      </w:pPr>
    </w:p>
    <w:p w14:paraId="3C9ACADD">
      <w:pPr>
        <w:spacing w:line="360" w:lineRule="auto"/>
        <w:ind w:right="753"/>
        <w:jc w:val="left"/>
        <w:rPr>
          <w:rFonts w:eastAsiaTheme="minorEastAsia"/>
          <w:sz w:val="28"/>
          <w:szCs w:val="28"/>
        </w:rPr>
      </w:pPr>
    </w:p>
    <w:p w14:paraId="4CABC5D3">
      <w:pPr>
        <w:ind w:right="753"/>
        <w:jc w:val="left"/>
        <w:rPr>
          <w:rFonts w:hint="eastAsia" w:ascii="宋体" w:hAnsi="宋体" w:eastAsia="宋体" w:cs="宋体"/>
          <w:color w:val="auto"/>
          <w:sz w:val="28"/>
          <w:szCs w:val="28"/>
        </w:rPr>
      </w:pPr>
      <w:r>
        <w:rPr>
          <w:rFonts w:hint="eastAsia" w:ascii="宋体" w:hAnsi="宋体" w:eastAsia="宋体" w:cs="宋体"/>
          <w:color w:val="auto"/>
          <w:sz w:val="28"/>
          <w:szCs w:val="28"/>
        </w:rPr>
        <w:t>比选申请人：（盖律所公章）</w:t>
      </w:r>
    </w:p>
    <w:p w14:paraId="74E9B27D">
      <w:pPr>
        <w:ind w:right="753"/>
        <w:jc w:val="left"/>
        <w:rPr>
          <w:rFonts w:hint="eastAsia" w:ascii="宋体" w:hAnsi="宋体" w:eastAsia="宋体" w:cs="宋体"/>
          <w:color w:val="auto"/>
          <w:sz w:val="28"/>
          <w:szCs w:val="28"/>
        </w:rPr>
      </w:pPr>
      <w:r>
        <w:rPr>
          <w:rFonts w:hint="eastAsia" w:ascii="宋体" w:hAnsi="宋体" w:eastAsia="宋体" w:cs="宋体"/>
          <w:color w:val="auto"/>
          <w:sz w:val="28"/>
          <w:szCs w:val="28"/>
        </w:rPr>
        <w:t>负责人或委托代理人：（签字或盖章）</w:t>
      </w:r>
    </w:p>
    <w:p w14:paraId="20F2C234">
      <w:pPr>
        <w:ind w:right="753"/>
        <w:jc w:val="left"/>
        <w:rPr>
          <w:rFonts w:hint="eastAsia" w:ascii="宋体" w:hAnsi="宋体" w:eastAsia="宋体" w:cs="宋体"/>
          <w:color w:val="auto"/>
          <w:sz w:val="28"/>
          <w:szCs w:val="28"/>
        </w:rPr>
      </w:pPr>
      <w:r>
        <w:rPr>
          <w:rFonts w:hint="eastAsia" w:ascii="宋体" w:hAnsi="宋体" w:eastAsia="宋体" w:cs="宋体"/>
          <w:color w:val="auto"/>
          <w:sz w:val="28"/>
          <w:szCs w:val="28"/>
        </w:rPr>
        <w:t>电话/传真：</w:t>
      </w:r>
    </w:p>
    <w:p w14:paraId="092DB305">
      <w:pPr>
        <w:ind w:right="753"/>
        <w:jc w:val="left"/>
        <w:rPr>
          <w:rFonts w:hint="eastAsia" w:ascii="宋体" w:hAnsi="宋体" w:eastAsia="宋体" w:cs="宋体"/>
          <w:color w:val="auto"/>
          <w:sz w:val="28"/>
          <w:szCs w:val="28"/>
        </w:rPr>
      </w:pPr>
      <w:r>
        <w:rPr>
          <w:rFonts w:hint="eastAsia" w:ascii="宋体" w:hAnsi="宋体" w:eastAsia="宋体" w:cs="宋体"/>
          <w:color w:val="auto"/>
          <w:sz w:val="28"/>
          <w:szCs w:val="28"/>
        </w:rPr>
        <w:t>地址：</w:t>
      </w:r>
    </w:p>
    <w:p w14:paraId="7D0F344F">
      <w:pPr>
        <w:ind w:right="753"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rPr>
        <w:t xml:space="preserve">年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 xml:space="preserve"> 日</w:t>
      </w:r>
    </w:p>
    <w:bookmarkEnd w:id="322"/>
    <w:p w14:paraId="3FFF992E">
      <w:pPr>
        <w:spacing w:line="360" w:lineRule="auto"/>
        <w:ind w:right="753" w:firstLine="1260" w:firstLineChars="450"/>
        <w:jc w:val="left"/>
        <w:rPr>
          <w:rFonts w:eastAsiaTheme="minorEastAsia"/>
          <w:sz w:val="28"/>
          <w:szCs w:val="28"/>
        </w:rPr>
      </w:pPr>
    </w:p>
    <w:p w14:paraId="06415173">
      <w:pPr>
        <w:ind w:right="753" w:firstLine="1260" w:firstLineChars="450"/>
        <w:jc w:val="left"/>
        <w:rPr>
          <w:rFonts w:eastAsiaTheme="minorEastAsia"/>
          <w:sz w:val="28"/>
          <w:szCs w:val="28"/>
        </w:rPr>
      </w:pPr>
    </w:p>
    <w:p w14:paraId="26ED3527">
      <w:pPr>
        <w:widowControl/>
        <w:ind w:firstLine="2530" w:firstLineChars="900"/>
        <w:jc w:val="left"/>
        <w:outlineLvl w:val="1"/>
        <w:rPr>
          <w:rFonts w:ascii="Arial" w:hAnsi="Arial"/>
          <w:b/>
          <w:bCs/>
          <w:color w:val="auto"/>
          <w:kern w:val="0"/>
          <w:sz w:val="28"/>
          <w:szCs w:val="20"/>
        </w:rPr>
      </w:pPr>
      <w:bookmarkStart w:id="323" w:name="_Toc6683"/>
      <w:bookmarkStart w:id="324" w:name="_Toc2052"/>
      <w:bookmarkStart w:id="325" w:name="_Toc21392"/>
      <w:bookmarkStart w:id="326" w:name="_Toc13042"/>
      <w:bookmarkStart w:id="327" w:name="_Toc22019"/>
      <w:bookmarkStart w:id="328" w:name="_Toc17090"/>
      <w:bookmarkStart w:id="329" w:name="_Toc7514"/>
      <w:bookmarkStart w:id="330" w:name="_Toc29495"/>
      <w:bookmarkStart w:id="331" w:name="_Toc21599"/>
      <w:bookmarkStart w:id="332" w:name="_Toc13191"/>
      <w:bookmarkStart w:id="333" w:name="_Toc7031"/>
      <w:bookmarkStart w:id="334" w:name="_Toc7849"/>
      <w:bookmarkStart w:id="335" w:name="_Toc32258"/>
      <w:bookmarkStart w:id="336" w:name="_Toc22428"/>
      <w:bookmarkStart w:id="337" w:name="_Toc26165"/>
      <w:bookmarkStart w:id="338" w:name="_Toc28967"/>
      <w:bookmarkStart w:id="339" w:name="_Toc16191"/>
      <w:bookmarkStart w:id="340" w:name="_Toc17243"/>
      <w:bookmarkStart w:id="341" w:name="_Toc24695"/>
      <w:bookmarkStart w:id="342" w:name="_Toc461525323"/>
      <w:r>
        <w:rPr>
          <w:rFonts w:hint="eastAsia" w:ascii="Arial" w:hAnsi="Arial"/>
          <w:b/>
          <w:bCs/>
          <w:color w:val="auto"/>
          <w:kern w:val="0"/>
          <w:sz w:val="28"/>
          <w:szCs w:val="20"/>
        </w:rPr>
        <w:t>一、资格审查章节目录</w:t>
      </w:r>
      <w:bookmarkEnd w:id="323"/>
      <w:bookmarkEnd w:id="324"/>
    </w:p>
    <w:p w14:paraId="5D2CE25F">
      <w:pPr>
        <w:ind w:right="753" w:firstLine="240" w:firstLineChars="100"/>
        <w:jc w:val="left"/>
        <w:rPr>
          <w:rFonts w:ascii="宋体" w:hAnsi="宋体" w:cs="宋体"/>
          <w:color w:val="auto"/>
          <w:sz w:val="24"/>
        </w:rPr>
      </w:pPr>
      <w:r>
        <w:rPr>
          <w:rFonts w:ascii="宋体" w:hAnsi="宋体" w:cs="宋体"/>
          <w:color w:val="auto"/>
          <w:sz w:val="24"/>
        </w:rPr>
        <w:t>1</w:t>
      </w:r>
      <w:r>
        <w:rPr>
          <w:rFonts w:hint="eastAsia" w:ascii="宋体" w:hAnsi="宋体" w:cs="宋体"/>
          <w:color w:val="auto"/>
          <w:sz w:val="24"/>
        </w:rPr>
        <w:t>.</w:t>
      </w:r>
      <w:r>
        <w:rPr>
          <w:rFonts w:ascii="宋体" w:hAnsi="宋体" w:cs="宋体"/>
          <w:color w:val="auto"/>
          <w:sz w:val="24"/>
        </w:rPr>
        <w:t>诚信声明（原件）；</w:t>
      </w:r>
    </w:p>
    <w:p w14:paraId="09AE575A">
      <w:pPr>
        <w:ind w:right="753" w:firstLine="240" w:firstLineChars="100"/>
        <w:jc w:val="left"/>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w:t>
      </w:r>
      <w:r>
        <w:rPr>
          <w:rFonts w:ascii="宋体" w:hAnsi="宋体" w:cs="宋体"/>
          <w:color w:val="auto"/>
          <w:sz w:val="24"/>
        </w:rPr>
        <w:t>比选函（原件）；</w:t>
      </w:r>
    </w:p>
    <w:p w14:paraId="62F2C1F7">
      <w:pPr>
        <w:ind w:right="753" w:firstLine="240" w:firstLineChars="100"/>
        <w:jc w:val="left"/>
        <w:rPr>
          <w:rFonts w:ascii="宋体" w:hAnsi="宋体" w:cs="宋体"/>
          <w:color w:val="auto"/>
          <w:sz w:val="24"/>
        </w:rPr>
      </w:pPr>
      <w:r>
        <w:rPr>
          <w:rFonts w:ascii="宋体" w:hAnsi="宋体" w:cs="宋体"/>
          <w:color w:val="auto"/>
          <w:sz w:val="24"/>
        </w:rPr>
        <w:t>3</w:t>
      </w:r>
      <w:r>
        <w:rPr>
          <w:rFonts w:hint="eastAsia" w:ascii="宋体" w:hAnsi="宋体" w:cs="宋体"/>
          <w:color w:val="auto"/>
          <w:sz w:val="24"/>
        </w:rPr>
        <w:t>.</w:t>
      </w:r>
      <w:r>
        <w:rPr>
          <w:rFonts w:ascii="宋体" w:hAnsi="宋体" w:cs="宋体"/>
          <w:color w:val="auto"/>
          <w:sz w:val="24"/>
        </w:rPr>
        <w:t>律师事务所执业许可证（复印件加盖律所公章）；</w:t>
      </w:r>
    </w:p>
    <w:p w14:paraId="04823251">
      <w:pPr>
        <w:ind w:right="753" w:firstLine="240" w:firstLineChars="100"/>
        <w:jc w:val="left"/>
        <w:rPr>
          <w:rFonts w:ascii="宋体" w:hAnsi="宋体" w:cs="宋体"/>
          <w:color w:val="auto"/>
          <w:sz w:val="24"/>
        </w:rPr>
      </w:pPr>
      <w:r>
        <w:rPr>
          <w:rFonts w:ascii="宋体" w:hAnsi="宋体" w:cs="宋体"/>
          <w:color w:val="auto"/>
          <w:sz w:val="24"/>
        </w:rPr>
        <w:t>4</w:t>
      </w:r>
      <w:r>
        <w:rPr>
          <w:rFonts w:hint="eastAsia" w:ascii="宋体" w:hAnsi="宋体" w:cs="宋体"/>
          <w:color w:val="auto"/>
          <w:sz w:val="24"/>
        </w:rPr>
        <w:t>.</w:t>
      </w:r>
      <w:r>
        <w:rPr>
          <w:rFonts w:ascii="宋体" w:hAnsi="宋体" w:cs="宋体"/>
          <w:color w:val="auto"/>
          <w:sz w:val="24"/>
        </w:rPr>
        <w:t>律师事务所负责人身份证</w:t>
      </w:r>
      <w:r>
        <w:rPr>
          <w:rFonts w:hint="eastAsia" w:ascii="宋体" w:hAnsi="宋体" w:cs="宋体"/>
          <w:color w:val="auto"/>
          <w:sz w:val="24"/>
        </w:rPr>
        <w:t>明</w:t>
      </w:r>
      <w:r>
        <w:rPr>
          <w:rFonts w:ascii="宋体" w:hAnsi="宋体" w:cs="宋体"/>
          <w:color w:val="auto"/>
          <w:sz w:val="24"/>
        </w:rPr>
        <w:t>（复印件加盖律所公章）；</w:t>
      </w:r>
    </w:p>
    <w:p w14:paraId="5F89DF12">
      <w:pPr>
        <w:ind w:right="753" w:firstLine="240" w:firstLineChars="100"/>
        <w:jc w:val="left"/>
        <w:rPr>
          <w:rFonts w:hint="eastAsia" w:ascii="宋体" w:hAnsi="宋体" w:eastAsia="宋体" w:cs="宋体"/>
          <w:color w:val="auto"/>
          <w:sz w:val="24"/>
          <w:lang w:eastAsia="zh-CN"/>
        </w:rPr>
      </w:pPr>
      <w:r>
        <w:rPr>
          <w:rFonts w:ascii="宋体" w:hAnsi="宋体" w:cs="宋体"/>
          <w:color w:val="auto"/>
          <w:sz w:val="24"/>
        </w:rPr>
        <w:t>5</w:t>
      </w:r>
      <w:r>
        <w:rPr>
          <w:rFonts w:hint="eastAsia" w:ascii="宋体" w:hAnsi="宋体" w:cs="宋体"/>
          <w:color w:val="auto"/>
          <w:sz w:val="24"/>
        </w:rPr>
        <w:t>.</w:t>
      </w:r>
      <w:r>
        <w:rPr>
          <w:rFonts w:ascii="宋体" w:hAnsi="宋体" w:cs="宋体"/>
          <w:color w:val="auto"/>
          <w:sz w:val="24"/>
        </w:rPr>
        <w:t>比选申请文件签署授权委托书（原件）</w:t>
      </w:r>
      <w:r>
        <w:rPr>
          <w:rFonts w:hint="eastAsia" w:ascii="宋体" w:hAnsi="宋体" w:cs="宋体"/>
          <w:color w:val="auto"/>
          <w:sz w:val="24"/>
          <w:lang w:eastAsia="zh-CN"/>
        </w:rPr>
        <w:t>；</w:t>
      </w:r>
    </w:p>
    <w:p w14:paraId="559CF4DA">
      <w:pPr>
        <w:ind w:right="753" w:firstLine="240" w:firstLineChars="100"/>
        <w:jc w:val="left"/>
        <w:rPr>
          <w:rFonts w:hint="eastAsia" w:ascii="宋体" w:hAnsi="宋体" w:eastAsia="宋体" w:cs="宋体"/>
          <w:color w:val="auto"/>
          <w:sz w:val="24"/>
          <w:lang w:eastAsia="zh-CN"/>
        </w:rPr>
      </w:pPr>
      <w:r>
        <w:rPr>
          <w:rFonts w:ascii="宋体" w:hAnsi="宋体" w:cs="宋体"/>
          <w:color w:val="auto"/>
          <w:sz w:val="24"/>
        </w:rPr>
        <w:t>6</w:t>
      </w:r>
      <w:r>
        <w:rPr>
          <w:rFonts w:hint="eastAsia" w:ascii="宋体" w:hAnsi="宋体" w:cs="宋体"/>
          <w:color w:val="auto"/>
          <w:sz w:val="24"/>
        </w:rPr>
        <w:t>.</w:t>
      </w:r>
      <w:r>
        <w:rPr>
          <w:rFonts w:ascii="宋体" w:hAnsi="宋体" w:cs="宋体"/>
          <w:color w:val="auto"/>
          <w:sz w:val="24"/>
        </w:rPr>
        <w:t>授权代表人身份证（复印件加盖单位公章）</w:t>
      </w:r>
      <w:r>
        <w:rPr>
          <w:rFonts w:hint="eastAsia" w:ascii="宋体" w:hAnsi="宋体" w:cs="宋体"/>
          <w:color w:val="auto"/>
          <w:sz w:val="24"/>
          <w:lang w:eastAsia="zh-CN"/>
        </w:rPr>
        <w:t>；</w:t>
      </w:r>
    </w:p>
    <w:p w14:paraId="14F533B7">
      <w:pPr>
        <w:ind w:right="753" w:firstLine="240" w:firstLineChars="100"/>
        <w:jc w:val="left"/>
        <w:rPr>
          <w:rFonts w:ascii="宋体" w:hAnsi="宋体" w:cs="宋体"/>
          <w:color w:val="auto"/>
          <w:sz w:val="24"/>
        </w:rPr>
      </w:pPr>
      <w:r>
        <w:rPr>
          <w:rFonts w:ascii="宋体" w:hAnsi="宋体" w:cs="宋体"/>
          <w:color w:val="auto"/>
          <w:sz w:val="24"/>
        </w:rPr>
        <w:t>7</w:t>
      </w:r>
      <w:r>
        <w:rPr>
          <w:rFonts w:hint="eastAsia" w:ascii="宋体" w:hAnsi="宋体" w:cs="宋体"/>
          <w:color w:val="auto"/>
          <w:sz w:val="24"/>
        </w:rPr>
        <w:t>.</w:t>
      </w:r>
      <w:r>
        <w:rPr>
          <w:rFonts w:ascii="宋体" w:hAnsi="宋体" w:cs="宋体"/>
          <w:color w:val="auto"/>
          <w:sz w:val="24"/>
        </w:rPr>
        <w:t>其他。</w:t>
      </w:r>
    </w:p>
    <w:p w14:paraId="7129DF12">
      <w:pPr>
        <w:ind w:right="-21" w:firstLine="240" w:firstLineChars="100"/>
        <w:jc w:val="left"/>
        <w:rPr>
          <w:rFonts w:ascii="宋体" w:hAnsi="宋体" w:cs="宋体"/>
          <w:color w:val="auto"/>
          <w:sz w:val="24"/>
        </w:rPr>
      </w:pPr>
      <w:r>
        <w:rPr>
          <w:rFonts w:hint="eastAsia" w:ascii="宋体" w:hAnsi="宋体" w:cs="宋体"/>
          <w:color w:val="auto"/>
          <w:sz w:val="24"/>
        </w:rPr>
        <w:t>备注：以上材料均需加盖单位公章，并按照目录顺序编排，标注页码</w:t>
      </w:r>
    </w:p>
    <w:p w14:paraId="04B6DE76">
      <w:pPr>
        <w:jc w:val="left"/>
        <w:rPr>
          <w:rFonts w:ascii="宋体" w:hAnsi="宋体" w:cs="宋体"/>
          <w:color w:val="auto"/>
          <w:szCs w:val="28"/>
        </w:rPr>
      </w:pPr>
    </w:p>
    <w:p w14:paraId="3A288B00">
      <w:pPr>
        <w:jc w:val="left"/>
        <w:rPr>
          <w:rFonts w:ascii="宋体" w:hAnsi="宋体" w:cs="宋体"/>
          <w:color w:val="auto"/>
          <w:szCs w:val="28"/>
        </w:rPr>
      </w:pPr>
    </w:p>
    <w:p w14:paraId="47C5385C">
      <w:pPr>
        <w:jc w:val="left"/>
        <w:rPr>
          <w:rFonts w:ascii="宋体" w:hAnsi="宋体" w:cs="宋体"/>
          <w:color w:val="auto"/>
          <w:szCs w:val="28"/>
        </w:rPr>
      </w:pPr>
    </w:p>
    <w:p w14:paraId="7C8F3D5F">
      <w:pPr>
        <w:jc w:val="left"/>
        <w:rPr>
          <w:rFonts w:ascii="宋体" w:hAnsi="宋体" w:cs="宋体"/>
          <w:color w:val="auto"/>
          <w:szCs w:val="28"/>
        </w:rPr>
      </w:pPr>
    </w:p>
    <w:p w14:paraId="221A91EB">
      <w:pPr>
        <w:jc w:val="left"/>
        <w:rPr>
          <w:rFonts w:ascii="宋体" w:hAnsi="宋体" w:cs="宋体"/>
          <w:color w:val="auto"/>
          <w:szCs w:val="28"/>
        </w:rPr>
      </w:pPr>
    </w:p>
    <w:p w14:paraId="384937B0">
      <w:pPr>
        <w:jc w:val="left"/>
        <w:rPr>
          <w:rFonts w:ascii="宋体" w:hAnsi="宋体" w:cs="宋体"/>
          <w:color w:val="auto"/>
          <w:szCs w:val="28"/>
        </w:rPr>
      </w:pPr>
    </w:p>
    <w:p w14:paraId="3C6DFB2E">
      <w:pPr>
        <w:jc w:val="left"/>
        <w:rPr>
          <w:rFonts w:ascii="宋体" w:hAnsi="宋体" w:cs="宋体"/>
          <w:color w:val="auto"/>
          <w:szCs w:val="28"/>
        </w:rPr>
      </w:pPr>
    </w:p>
    <w:p w14:paraId="111F2B52">
      <w:pPr>
        <w:jc w:val="left"/>
        <w:rPr>
          <w:rFonts w:ascii="宋体" w:hAnsi="宋体" w:cs="宋体"/>
          <w:color w:val="auto"/>
          <w:szCs w:val="28"/>
        </w:rPr>
      </w:pPr>
    </w:p>
    <w:p w14:paraId="2B28C9D9">
      <w:pPr>
        <w:jc w:val="left"/>
        <w:rPr>
          <w:rFonts w:ascii="宋体" w:hAnsi="宋体" w:cs="宋体"/>
          <w:color w:val="auto"/>
          <w:szCs w:val="28"/>
        </w:rPr>
      </w:pPr>
    </w:p>
    <w:p w14:paraId="20D3FA2A">
      <w:pPr>
        <w:jc w:val="left"/>
        <w:rPr>
          <w:rFonts w:ascii="宋体" w:hAnsi="宋体" w:cs="宋体"/>
          <w:color w:val="auto"/>
          <w:szCs w:val="28"/>
        </w:rPr>
      </w:pPr>
    </w:p>
    <w:p w14:paraId="4C2D42A0">
      <w:pPr>
        <w:jc w:val="left"/>
        <w:rPr>
          <w:rFonts w:ascii="宋体" w:hAnsi="宋体" w:cs="宋体"/>
          <w:color w:val="auto"/>
          <w:szCs w:val="28"/>
        </w:rPr>
      </w:pPr>
    </w:p>
    <w:p w14:paraId="67AADBBC">
      <w:pPr>
        <w:jc w:val="left"/>
        <w:rPr>
          <w:rFonts w:ascii="宋体" w:hAnsi="宋体" w:cs="宋体"/>
          <w:color w:val="auto"/>
          <w:szCs w:val="28"/>
        </w:rPr>
      </w:pPr>
    </w:p>
    <w:p w14:paraId="2EF69DCF">
      <w:pPr>
        <w:jc w:val="left"/>
        <w:rPr>
          <w:rFonts w:ascii="宋体" w:hAnsi="宋体" w:cs="宋体"/>
          <w:color w:val="auto"/>
          <w:szCs w:val="28"/>
        </w:rPr>
      </w:pPr>
    </w:p>
    <w:p w14:paraId="32C9B5D4">
      <w:pPr>
        <w:jc w:val="left"/>
        <w:rPr>
          <w:rFonts w:ascii="宋体" w:hAnsi="宋体" w:cs="宋体"/>
          <w:color w:val="auto"/>
          <w:szCs w:val="28"/>
        </w:rPr>
      </w:pPr>
    </w:p>
    <w:p w14:paraId="53B9EB24">
      <w:pPr>
        <w:jc w:val="left"/>
        <w:rPr>
          <w:rFonts w:ascii="宋体" w:hAnsi="宋体" w:cs="宋体"/>
          <w:color w:val="auto"/>
          <w:szCs w:val="28"/>
        </w:rPr>
      </w:pPr>
    </w:p>
    <w:p w14:paraId="263E6407">
      <w:pPr>
        <w:jc w:val="left"/>
        <w:rPr>
          <w:rFonts w:ascii="宋体" w:hAnsi="宋体" w:cs="宋体"/>
          <w:color w:val="auto"/>
          <w:szCs w:val="28"/>
        </w:rPr>
      </w:pPr>
    </w:p>
    <w:p w14:paraId="31231707">
      <w:pPr>
        <w:jc w:val="left"/>
        <w:rPr>
          <w:rFonts w:ascii="宋体" w:hAnsi="宋体" w:cs="宋体"/>
          <w:color w:val="auto"/>
          <w:szCs w:val="28"/>
        </w:rPr>
      </w:pPr>
    </w:p>
    <w:p w14:paraId="247B9DBD">
      <w:pPr>
        <w:jc w:val="left"/>
        <w:rPr>
          <w:rFonts w:ascii="宋体" w:hAnsi="宋体" w:cs="宋体"/>
          <w:color w:val="auto"/>
          <w:szCs w:val="28"/>
        </w:rPr>
      </w:pPr>
    </w:p>
    <w:p w14:paraId="26573737">
      <w:pPr>
        <w:jc w:val="left"/>
        <w:rPr>
          <w:rFonts w:ascii="宋体" w:hAnsi="宋体" w:cs="宋体"/>
          <w:color w:val="auto"/>
          <w:szCs w:val="28"/>
        </w:rPr>
      </w:pPr>
    </w:p>
    <w:p w14:paraId="2D3761F5">
      <w:pPr>
        <w:jc w:val="left"/>
        <w:rPr>
          <w:rFonts w:ascii="宋体" w:hAnsi="宋体" w:cs="宋体"/>
          <w:color w:val="auto"/>
          <w:szCs w:val="28"/>
        </w:rPr>
      </w:pPr>
    </w:p>
    <w:p w14:paraId="5AF2D4D0">
      <w:pPr>
        <w:jc w:val="left"/>
        <w:rPr>
          <w:rFonts w:ascii="宋体" w:hAnsi="宋体" w:cs="宋体"/>
          <w:color w:val="auto"/>
          <w:szCs w:val="28"/>
        </w:rPr>
      </w:pPr>
    </w:p>
    <w:p w14:paraId="0E63A6A3">
      <w:pPr>
        <w:jc w:val="left"/>
        <w:rPr>
          <w:rFonts w:ascii="宋体" w:hAnsi="宋体" w:cs="宋体"/>
          <w:color w:val="auto"/>
          <w:szCs w:val="28"/>
        </w:rPr>
      </w:pPr>
    </w:p>
    <w:p w14:paraId="53760195">
      <w:pPr>
        <w:jc w:val="left"/>
        <w:rPr>
          <w:rFonts w:ascii="宋体" w:hAnsi="宋体" w:cs="宋体"/>
          <w:color w:val="auto"/>
          <w:szCs w:val="28"/>
        </w:rPr>
      </w:pPr>
    </w:p>
    <w:p w14:paraId="4C57957D">
      <w:pPr>
        <w:jc w:val="left"/>
        <w:rPr>
          <w:rFonts w:ascii="宋体" w:hAnsi="宋体" w:cs="宋体"/>
          <w:color w:val="auto"/>
          <w:szCs w:val="28"/>
        </w:rPr>
      </w:pPr>
    </w:p>
    <w:p w14:paraId="21B1A9ED">
      <w:pPr>
        <w:jc w:val="left"/>
        <w:rPr>
          <w:rFonts w:ascii="宋体" w:hAnsi="宋体" w:cs="宋体"/>
          <w:color w:val="auto"/>
          <w:szCs w:val="28"/>
        </w:rPr>
      </w:pPr>
    </w:p>
    <w:p w14:paraId="434EB60D">
      <w:pPr>
        <w:jc w:val="left"/>
        <w:rPr>
          <w:rFonts w:ascii="宋体" w:hAnsi="宋体" w:cs="宋体"/>
          <w:color w:val="auto"/>
          <w:szCs w:val="28"/>
        </w:rPr>
      </w:pPr>
    </w:p>
    <w:p w14:paraId="30D85AF4">
      <w:pPr>
        <w:jc w:val="left"/>
        <w:rPr>
          <w:rFonts w:ascii="宋体" w:hAnsi="宋体" w:cs="宋体"/>
          <w:color w:val="auto"/>
          <w:szCs w:val="28"/>
        </w:rPr>
      </w:pPr>
    </w:p>
    <w:p w14:paraId="60A2F7F4">
      <w:pPr>
        <w:jc w:val="left"/>
        <w:rPr>
          <w:rFonts w:ascii="宋体" w:hAnsi="宋体" w:cs="宋体"/>
          <w:color w:val="auto"/>
          <w:szCs w:val="28"/>
        </w:rPr>
      </w:pPr>
    </w:p>
    <w:p w14:paraId="1A6B2C16">
      <w:pPr>
        <w:jc w:val="left"/>
        <w:rPr>
          <w:rFonts w:ascii="宋体" w:hAnsi="宋体" w:cs="宋体"/>
          <w:color w:val="auto"/>
          <w:szCs w:val="28"/>
        </w:rPr>
      </w:pPr>
    </w:p>
    <w:p w14:paraId="78008495">
      <w:pPr>
        <w:jc w:val="left"/>
        <w:rPr>
          <w:rFonts w:ascii="宋体" w:hAnsi="宋体" w:cs="宋体"/>
          <w:color w:val="auto"/>
          <w:szCs w:val="28"/>
        </w:rPr>
      </w:pPr>
    </w:p>
    <w:p w14:paraId="5F6B4584">
      <w:pPr>
        <w:jc w:val="left"/>
        <w:rPr>
          <w:rFonts w:ascii="宋体" w:hAnsi="宋体" w:cs="宋体"/>
          <w:color w:val="auto"/>
          <w:szCs w:val="28"/>
        </w:rPr>
      </w:pPr>
    </w:p>
    <w:p w14:paraId="537E6E8A">
      <w:pPr>
        <w:jc w:val="left"/>
        <w:rPr>
          <w:rFonts w:ascii="宋体" w:hAnsi="宋体" w:cs="宋体"/>
          <w:color w:val="auto"/>
          <w:szCs w:val="28"/>
        </w:rPr>
      </w:pPr>
    </w:p>
    <w:p w14:paraId="67501976">
      <w:pPr>
        <w:jc w:val="left"/>
        <w:rPr>
          <w:rFonts w:ascii="宋体" w:hAnsi="宋体" w:cs="宋体"/>
          <w:color w:val="auto"/>
          <w:szCs w:val="28"/>
        </w:rPr>
      </w:pPr>
    </w:p>
    <w:p w14:paraId="63812240">
      <w:pPr>
        <w:jc w:val="left"/>
        <w:rPr>
          <w:rFonts w:ascii="宋体" w:hAnsi="宋体" w:cs="宋体"/>
          <w:color w:val="auto"/>
          <w:szCs w:val="28"/>
        </w:rPr>
      </w:pPr>
    </w:p>
    <w:p w14:paraId="4B5D1F3F">
      <w:pPr>
        <w:jc w:val="left"/>
        <w:rPr>
          <w:rFonts w:ascii="宋体" w:hAnsi="宋体" w:cs="宋体"/>
          <w:color w:val="auto"/>
          <w:szCs w:val="28"/>
        </w:rPr>
      </w:pPr>
    </w:p>
    <w:p w14:paraId="513CAD9D">
      <w:pPr>
        <w:jc w:val="left"/>
        <w:rPr>
          <w:rFonts w:ascii="宋体" w:hAnsi="宋体" w:cs="宋体"/>
          <w:color w:val="auto"/>
          <w:szCs w:val="28"/>
        </w:rPr>
      </w:pPr>
    </w:p>
    <w:p w14:paraId="21B96CDC">
      <w:pPr>
        <w:jc w:val="left"/>
        <w:rPr>
          <w:rFonts w:ascii="宋体" w:hAnsi="宋体" w:cs="宋体"/>
          <w:color w:val="auto"/>
          <w:szCs w:val="28"/>
        </w:rPr>
      </w:pPr>
    </w:p>
    <w:p w14:paraId="268DA917">
      <w:pPr>
        <w:jc w:val="left"/>
        <w:rPr>
          <w:rFonts w:ascii="宋体" w:hAnsi="宋体" w:cs="宋体"/>
          <w:color w:val="auto"/>
          <w:szCs w:val="28"/>
        </w:rPr>
      </w:pPr>
    </w:p>
    <w:p w14:paraId="2689A199">
      <w:pPr>
        <w:jc w:val="left"/>
        <w:rPr>
          <w:rFonts w:ascii="宋体" w:hAnsi="宋体" w:cs="宋体"/>
          <w:color w:val="auto"/>
          <w:szCs w:val="28"/>
        </w:rPr>
      </w:pPr>
    </w:p>
    <w:p w14:paraId="638ABD23">
      <w:pPr>
        <w:pStyle w:val="2"/>
      </w:pPr>
    </w:p>
    <w:p w14:paraId="38022ED5">
      <w:pPr>
        <w:jc w:val="left"/>
        <w:rPr>
          <w:rFonts w:ascii="宋体" w:hAnsi="宋体" w:cs="宋体"/>
          <w:color w:val="auto"/>
          <w:szCs w:val="28"/>
        </w:rPr>
      </w:pPr>
    </w:p>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14:paraId="7A74020D">
      <w:pPr>
        <w:widowControl/>
        <w:jc w:val="left"/>
        <w:outlineLvl w:val="9"/>
        <w:rPr>
          <w:rFonts w:ascii="宋体" w:hAnsi="宋体"/>
          <w:b/>
          <w:bCs/>
          <w:color w:val="auto"/>
          <w:sz w:val="28"/>
          <w:szCs w:val="28"/>
        </w:rPr>
      </w:pPr>
      <w:bookmarkStart w:id="343" w:name="_Toc18804"/>
      <w:bookmarkStart w:id="344" w:name="_Toc15071"/>
      <w:bookmarkStart w:id="345" w:name="_Toc30157"/>
      <w:bookmarkStart w:id="346" w:name="_Toc24466"/>
      <w:bookmarkStart w:id="347" w:name="_Toc17531"/>
      <w:bookmarkStart w:id="348" w:name="_Toc32325"/>
      <w:bookmarkStart w:id="349" w:name="_Toc15465"/>
      <w:bookmarkStart w:id="350" w:name="_Toc26924"/>
      <w:bookmarkStart w:id="351" w:name="_Toc29655"/>
      <w:bookmarkStart w:id="352" w:name="_Toc14714"/>
      <w:bookmarkStart w:id="353" w:name="_Toc461525329"/>
      <w:bookmarkStart w:id="354" w:name="_Toc29347"/>
      <w:bookmarkStart w:id="355" w:name="_Toc8147"/>
      <w:bookmarkStart w:id="356" w:name="_Toc1986"/>
      <w:bookmarkStart w:id="357" w:name="_Toc9379"/>
      <w:bookmarkStart w:id="358" w:name="_Toc8018"/>
      <w:bookmarkStart w:id="359" w:name="_Toc19992"/>
      <w:bookmarkStart w:id="360" w:name="_Toc21144"/>
      <w:bookmarkStart w:id="361" w:name="_Toc14864"/>
      <w:bookmarkStart w:id="362" w:name="_Toc32510"/>
      <w:bookmarkStart w:id="363" w:name="_Toc18268"/>
      <w:bookmarkStart w:id="364" w:name="_Toc31370"/>
      <w:bookmarkStart w:id="365" w:name="_Toc32701"/>
      <w:bookmarkStart w:id="366" w:name="_Toc31582"/>
      <w:bookmarkStart w:id="367" w:name="_Toc29536"/>
      <w:bookmarkStart w:id="368" w:name="_Toc31511"/>
      <w:bookmarkStart w:id="369" w:name="_Toc26769"/>
      <w:bookmarkStart w:id="370" w:name="_Toc23508"/>
      <w:bookmarkStart w:id="371" w:name="_Toc31521"/>
      <w:r>
        <w:rPr>
          <w:rFonts w:hint="eastAsia" w:ascii="宋体" w:hAnsi="宋体"/>
          <w:b/>
          <w:bCs/>
          <w:color w:val="auto"/>
          <w:sz w:val="28"/>
          <w:szCs w:val="28"/>
        </w:rPr>
        <w:t>1.诚信声明</w:t>
      </w:r>
    </w:p>
    <w:p w14:paraId="6FD1D892">
      <w:pPr>
        <w:spacing w:line="560" w:lineRule="exact"/>
        <w:ind w:firstLine="420" w:firstLineChars="200"/>
        <w:rPr>
          <w:rFonts w:ascii="宋体" w:hAnsi="宋体"/>
          <w:color w:val="auto"/>
        </w:rPr>
      </w:pPr>
    </w:p>
    <w:p w14:paraId="33220259">
      <w:pPr>
        <w:spacing w:line="360" w:lineRule="auto"/>
        <w:ind w:firstLine="470" w:firstLineChars="196"/>
        <w:rPr>
          <w:rFonts w:ascii="宋体" w:hAnsi="宋体"/>
          <w:color w:val="auto"/>
          <w:sz w:val="24"/>
        </w:rPr>
      </w:pPr>
      <w:r>
        <w:rPr>
          <w:rFonts w:hint="eastAsia" w:ascii="宋体" w:hAnsi="宋体"/>
          <w:color w:val="auto"/>
          <w:sz w:val="24"/>
        </w:rPr>
        <w:t>本人（法定代表人、身份证号码）郑重声明：</w:t>
      </w:r>
    </w:p>
    <w:p w14:paraId="27800164">
      <w:pPr>
        <w:spacing w:line="360" w:lineRule="auto"/>
        <w:ind w:firstLine="470" w:firstLineChars="196"/>
        <w:rPr>
          <w:rFonts w:ascii="宋体" w:hAnsi="宋体"/>
          <w:color w:val="auto"/>
          <w:sz w:val="24"/>
        </w:rPr>
      </w:pPr>
      <w:r>
        <w:rPr>
          <w:rFonts w:hint="eastAsia" w:ascii="宋体" w:hAnsi="宋体"/>
          <w:color w:val="auto"/>
          <w:sz w:val="24"/>
        </w:rPr>
        <w:t>（1）本律所参加</w:t>
      </w:r>
      <w:r>
        <w:rPr>
          <w:rFonts w:hint="eastAsia" w:ascii="宋体" w:hAnsi="宋体"/>
          <w:color w:val="auto"/>
          <w:sz w:val="24"/>
          <w:u w:val="single"/>
        </w:rPr>
        <w:t xml:space="preserve">                      </w:t>
      </w:r>
      <w:r>
        <w:rPr>
          <w:rFonts w:hint="eastAsia" w:ascii="宋体" w:hAnsi="宋体"/>
          <w:color w:val="auto"/>
          <w:sz w:val="24"/>
        </w:rPr>
        <w:t>采购项目比选活动所提交的所有资料、填写数据及所包含的附件资料内容是真实的、合法的、有效的；</w:t>
      </w:r>
    </w:p>
    <w:p w14:paraId="25A42F5D">
      <w:pPr>
        <w:spacing w:line="360" w:lineRule="auto"/>
        <w:ind w:firstLine="470" w:firstLineChars="196"/>
        <w:rPr>
          <w:rFonts w:ascii="宋体" w:hAnsi="宋体"/>
          <w:color w:val="auto"/>
          <w:sz w:val="24"/>
        </w:rPr>
      </w:pPr>
      <w:r>
        <w:rPr>
          <w:rFonts w:hint="eastAsia" w:ascii="宋体" w:hAnsi="宋体"/>
          <w:color w:val="auto"/>
          <w:sz w:val="24"/>
        </w:rPr>
        <w:t>（2）本律所未被国家、广西壮族自治区、南宁市相关行政主管部门通报停止投标活动，无犯罪行贿记录；</w:t>
      </w:r>
    </w:p>
    <w:p w14:paraId="342FC56E">
      <w:pPr>
        <w:spacing w:line="360" w:lineRule="auto"/>
        <w:ind w:firstLine="470" w:firstLineChars="196"/>
        <w:rPr>
          <w:rFonts w:ascii="宋体" w:hAnsi="宋体"/>
          <w:color w:val="auto"/>
          <w:sz w:val="24"/>
        </w:rPr>
      </w:pPr>
      <w:r>
        <w:rPr>
          <w:rFonts w:hint="eastAsia" w:ascii="宋体" w:hAnsi="宋体"/>
          <w:color w:val="auto"/>
          <w:sz w:val="24"/>
        </w:rPr>
        <w:t>（3）同时，我在此所作的声明也是真实有效的，并愿意对在比选过程中有关部门的调查结果承担责任；</w:t>
      </w:r>
    </w:p>
    <w:p w14:paraId="69806129">
      <w:pPr>
        <w:spacing w:line="360" w:lineRule="auto"/>
        <w:ind w:firstLine="470" w:firstLineChars="196"/>
        <w:rPr>
          <w:rFonts w:ascii="宋体" w:hAnsi="宋体"/>
          <w:color w:val="auto"/>
          <w:sz w:val="24"/>
        </w:rPr>
      </w:pPr>
      <w:r>
        <w:rPr>
          <w:rFonts w:hint="eastAsia" w:ascii="宋体" w:hAnsi="宋体"/>
          <w:color w:val="auto"/>
          <w:sz w:val="24"/>
        </w:rPr>
        <w:t>（4）本律所提交的所有比选申请资料如有不实，愿接受相关部门依据有关法律法规给予的处罚。</w:t>
      </w:r>
    </w:p>
    <w:p w14:paraId="360FD46B">
      <w:pPr>
        <w:spacing w:line="360" w:lineRule="auto"/>
        <w:ind w:firstLine="470" w:firstLineChars="196"/>
        <w:rPr>
          <w:rFonts w:hint="default" w:ascii="宋体" w:hAnsi="宋体" w:eastAsia="宋体" w:cs="Times New Roman"/>
          <w:color w:val="auto"/>
          <w:sz w:val="24"/>
          <w:lang w:val="en-US" w:eastAsia="zh-CN"/>
        </w:rPr>
      </w:pPr>
    </w:p>
    <w:p w14:paraId="25B3F8FC">
      <w:pPr>
        <w:spacing w:line="360" w:lineRule="auto"/>
        <w:ind w:firstLine="470" w:firstLineChars="196"/>
        <w:rPr>
          <w:rFonts w:ascii="宋体" w:hAnsi="宋体"/>
          <w:color w:val="auto"/>
          <w:sz w:val="24"/>
        </w:rPr>
      </w:pPr>
    </w:p>
    <w:p w14:paraId="2965AF59">
      <w:pPr>
        <w:spacing w:line="360" w:lineRule="auto"/>
        <w:ind w:firstLine="470" w:firstLineChars="196"/>
        <w:rPr>
          <w:rFonts w:ascii="宋体" w:hAnsi="宋体"/>
          <w:color w:val="auto"/>
          <w:sz w:val="24"/>
        </w:rPr>
      </w:pPr>
      <w:r>
        <w:rPr>
          <w:rFonts w:hint="eastAsia" w:ascii="宋体" w:hAnsi="宋体"/>
          <w:color w:val="auto"/>
          <w:sz w:val="24"/>
        </w:rPr>
        <w:t>比选申请人（公章）</w:t>
      </w:r>
    </w:p>
    <w:p w14:paraId="0B0E6D46">
      <w:pPr>
        <w:spacing w:line="360" w:lineRule="auto"/>
        <w:ind w:firstLine="470" w:firstLineChars="196"/>
        <w:rPr>
          <w:rFonts w:ascii="宋体" w:hAnsi="宋体"/>
          <w:color w:val="auto"/>
          <w:sz w:val="24"/>
        </w:rPr>
      </w:pPr>
    </w:p>
    <w:p w14:paraId="52CECF5E">
      <w:pPr>
        <w:spacing w:line="360" w:lineRule="auto"/>
        <w:ind w:firstLine="470" w:firstLineChars="196"/>
        <w:rPr>
          <w:rFonts w:ascii="宋体" w:hAnsi="宋体"/>
          <w:color w:val="auto"/>
          <w:sz w:val="24"/>
        </w:rPr>
      </w:pPr>
      <w:r>
        <w:rPr>
          <w:rFonts w:hint="eastAsia" w:ascii="宋体" w:hAnsi="宋体"/>
          <w:color w:val="auto"/>
          <w:sz w:val="24"/>
        </w:rPr>
        <w:t>负责人（签字或盖章）：</w:t>
      </w:r>
    </w:p>
    <w:p w14:paraId="7B3BAAA9">
      <w:pPr>
        <w:spacing w:line="360" w:lineRule="auto"/>
        <w:ind w:firstLine="470" w:firstLineChars="196"/>
        <w:rPr>
          <w:rFonts w:ascii="宋体" w:hAnsi="宋体"/>
          <w:color w:val="auto"/>
          <w:sz w:val="24"/>
        </w:rPr>
      </w:pPr>
    </w:p>
    <w:p w14:paraId="5DDAB56F">
      <w:pPr>
        <w:spacing w:line="360" w:lineRule="auto"/>
        <w:ind w:firstLine="470" w:firstLineChars="196"/>
        <w:rPr>
          <w:color w:val="auto"/>
          <w:sz w:val="24"/>
        </w:rPr>
      </w:pPr>
      <w:r>
        <w:rPr>
          <w:rFonts w:hint="eastAsia" w:ascii="宋体" w:hAnsi="宋体"/>
          <w:color w:val="auto"/>
          <w:sz w:val="24"/>
        </w:rPr>
        <w:t xml:space="preserve">日期：　　年   月  </w:t>
      </w:r>
      <w:r>
        <w:rPr>
          <w:rFonts w:hint="eastAsia" w:ascii="宋体" w:hAnsi="宋体"/>
          <w:color w:val="auto"/>
          <w:sz w:val="24"/>
          <w:lang w:val="en-US" w:eastAsia="zh-CN"/>
        </w:rPr>
        <w:t xml:space="preserve"> </w:t>
      </w:r>
      <w:r>
        <w:rPr>
          <w:rFonts w:hint="eastAsia" w:ascii="宋体" w:hAnsi="宋体"/>
          <w:color w:val="auto"/>
          <w:sz w:val="24"/>
        </w:rPr>
        <w:t>日</w:t>
      </w:r>
    </w:p>
    <w:p w14:paraId="77223B8F">
      <w:pPr>
        <w:spacing w:line="360" w:lineRule="auto"/>
        <w:ind w:firstLine="470" w:firstLineChars="196"/>
        <w:rPr>
          <w:color w:val="auto"/>
          <w:sz w:val="24"/>
        </w:rPr>
      </w:pPr>
    </w:p>
    <w:p w14:paraId="628448C0">
      <w:pPr>
        <w:spacing w:line="360" w:lineRule="auto"/>
        <w:ind w:firstLine="470" w:firstLineChars="196"/>
        <w:rPr>
          <w:color w:val="auto"/>
          <w:sz w:val="24"/>
        </w:rPr>
      </w:pPr>
    </w:p>
    <w:p w14:paraId="58124373">
      <w:pPr>
        <w:spacing w:line="360" w:lineRule="auto"/>
        <w:ind w:firstLine="470" w:firstLineChars="196"/>
        <w:rPr>
          <w:color w:val="auto"/>
          <w:sz w:val="24"/>
        </w:rPr>
      </w:pPr>
    </w:p>
    <w:p w14:paraId="10CED6D2">
      <w:pPr>
        <w:spacing w:line="360" w:lineRule="auto"/>
        <w:ind w:firstLine="470" w:firstLineChars="196"/>
        <w:rPr>
          <w:color w:val="auto"/>
          <w:sz w:val="24"/>
        </w:rPr>
      </w:pPr>
    </w:p>
    <w:p w14:paraId="62D33028">
      <w:pPr>
        <w:spacing w:line="360" w:lineRule="auto"/>
        <w:ind w:firstLine="470" w:firstLineChars="196"/>
        <w:rPr>
          <w:color w:val="auto"/>
          <w:sz w:val="24"/>
        </w:rPr>
      </w:pPr>
    </w:p>
    <w:p w14:paraId="03991B0E">
      <w:pPr>
        <w:spacing w:line="360" w:lineRule="auto"/>
        <w:ind w:firstLine="470" w:firstLineChars="196"/>
        <w:rPr>
          <w:color w:val="auto"/>
          <w:sz w:val="24"/>
        </w:rPr>
      </w:pPr>
    </w:p>
    <w:p w14:paraId="249D3934">
      <w:pPr>
        <w:spacing w:line="360" w:lineRule="auto"/>
        <w:ind w:firstLine="470" w:firstLineChars="196"/>
        <w:rPr>
          <w:color w:val="auto"/>
          <w:sz w:val="24"/>
        </w:rPr>
      </w:pPr>
    </w:p>
    <w:p w14:paraId="70D04232">
      <w:pPr>
        <w:spacing w:line="360" w:lineRule="auto"/>
        <w:ind w:firstLine="470" w:firstLineChars="196"/>
        <w:rPr>
          <w:color w:val="auto"/>
          <w:sz w:val="24"/>
        </w:rPr>
      </w:pPr>
    </w:p>
    <w:p w14:paraId="5B6468EC">
      <w:pPr>
        <w:spacing w:line="360" w:lineRule="auto"/>
        <w:ind w:firstLine="470" w:firstLineChars="196"/>
        <w:rPr>
          <w:color w:val="auto"/>
          <w:sz w:val="24"/>
        </w:rPr>
      </w:pPr>
    </w:p>
    <w:p w14:paraId="00D3E364">
      <w:pPr>
        <w:spacing w:line="360" w:lineRule="auto"/>
        <w:ind w:firstLine="470" w:firstLineChars="196"/>
        <w:rPr>
          <w:color w:val="auto"/>
          <w:sz w:val="24"/>
        </w:rPr>
      </w:pPr>
    </w:p>
    <w:p w14:paraId="322BFE5C">
      <w:pPr>
        <w:spacing w:line="360" w:lineRule="auto"/>
        <w:ind w:firstLine="470" w:firstLineChars="196"/>
        <w:rPr>
          <w:color w:val="auto"/>
          <w:sz w:val="24"/>
        </w:rPr>
      </w:pPr>
    </w:p>
    <w:p w14:paraId="7EBB8872">
      <w:pPr>
        <w:spacing w:line="360" w:lineRule="auto"/>
        <w:ind w:firstLine="470" w:firstLineChars="196"/>
        <w:rPr>
          <w:color w:val="auto"/>
          <w:sz w:val="24"/>
        </w:rPr>
      </w:pPr>
    </w:p>
    <w:p w14:paraId="4905EDD9">
      <w:pPr>
        <w:spacing w:line="360" w:lineRule="auto"/>
        <w:ind w:firstLine="470" w:firstLineChars="196"/>
        <w:rPr>
          <w:color w:val="auto"/>
          <w:sz w:val="24"/>
        </w:rPr>
      </w:pPr>
    </w:p>
    <w:p w14:paraId="40EB7F75">
      <w:pPr>
        <w:spacing w:line="360" w:lineRule="auto"/>
        <w:ind w:firstLine="470" w:firstLineChars="196"/>
        <w:rPr>
          <w:color w:val="auto"/>
          <w:sz w:val="24"/>
        </w:rPr>
      </w:pPr>
    </w:p>
    <w:bookmarkEnd w:id="343"/>
    <w:bookmarkEnd w:id="344"/>
    <w:bookmarkEnd w:id="345"/>
    <w:bookmarkEnd w:id="346"/>
    <w:bookmarkEnd w:id="347"/>
    <w:bookmarkEnd w:id="348"/>
    <w:bookmarkEnd w:id="349"/>
    <w:bookmarkEnd w:id="350"/>
    <w:bookmarkEnd w:id="351"/>
    <w:bookmarkEnd w:id="352"/>
    <w:bookmarkEnd w:id="353"/>
    <w:bookmarkEnd w:id="354"/>
    <w:p w14:paraId="61979F84">
      <w:pPr>
        <w:numPr>
          <w:ilvl w:val="0"/>
          <w:numId w:val="2"/>
        </w:numPr>
        <w:jc w:val="left"/>
        <w:outlineLvl w:val="9"/>
        <w:rPr>
          <w:rFonts w:hint="eastAsia" w:ascii="宋体" w:hAnsi="宋体" w:eastAsia="宋体" w:cs="Times New Roman"/>
          <w:b/>
          <w:bCs/>
          <w:color w:val="auto"/>
          <w:kern w:val="2"/>
          <w:sz w:val="28"/>
          <w:szCs w:val="28"/>
          <w:lang w:val="en-US" w:eastAsia="zh-CN" w:bidi="ar-SA"/>
        </w:rPr>
      </w:pPr>
      <w:bookmarkStart w:id="372" w:name="_Toc28436"/>
      <w:bookmarkStart w:id="373" w:name="_Toc3498"/>
      <w:bookmarkStart w:id="374" w:name="_Toc750"/>
      <w:bookmarkStart w:id="375" w:name="_Toc32075"/>
      <w:bookmarkStart w:id="376" w:name="_Toc6606"/>
      <w:bookmarkStart w:id="377" w:name="_Toc19937"/>
      <w:bookmarkStart w:id="378" w:name="_Toc7760"/>
      <w:bookmarkStart w:id="379" w:name="_Toc16756"/>
      <w:bookmarkStart w:id="380" w:name="_Toc25670"/>
      <w:r>
        <w:rPr>
          <w:rFonts w:hint="eastAsia" w:ascii="宋体" w:hAnsi="宋体" w:eastAsia="宋体" w:cs="Times New Roman"/>
          <w:b/>
          <w:bCs/>
          <w:color w:val="auto"/>
          <w:kern w:val="2"/>
          <w:sz w:val="28"/>
          <w:szCs w:val="28"/>
          <w:lang w:val="en-US" w:eastAsia="zh-CN" w:bidi="ar-SA"/>
        </w:rPr>
        <w:t>比选函（格式）</w:t>
      </w:r>
    </w:p>
    <w:p w14:paraId="7FDD1926">
      <w:pPr>
        <w:numPr>
          <w:ilvl w:val="0"/>
          <w:numId w:val="0"/>
        </w:numPr>
        <w:jc w:val="left"/>
        <w:outlineLvl w:val="9"/>
        <w:rPr>
          <w:rFonts w:hint="eastAsia" w:ascii="宋体" w:hAnsi="宋体" w:eastAsia="宋体" w:cs="Times New Roman"/>
          <w:b/>
          <w:bCs/>
          <w:color w:val="auto"/>
          <w:kern w:val="2"/>
          <w:sz w:val="28"/>
          <w:szCs w:val="28"/>
          <w:lang w:val="en-US" w:eastAsia="zh-CN" w:bidi="ar-SA"/>
        </w:rPr>
      </w:pPr>
    </w:p>
    <w:p w14:paraId="010C6CC2">
      <w:pPr>
        <w:spacing w:line="360" w:lineRule="auto"/>
        <w:ind w:right="565" w:rightChars="269" w:firstLine="482"/>
        <w:jc w:val="left"/>
        <w:rPr>
          <w:rFonts w:hint="eastAsia" w:ascii="宋体" w:hAnsi="宋体" w:eastAsia="宋体" w:cs="宋体"/>
          <w:color w:val="auto"/>
          <w:sz w:val="24"/>
          <w:lang w:eastAsia="zh-CN"/>
        </w:rPr>
      </w:pPr>
      <w:r>
        <w:rPr>
          <w:rFonts w:hint="eastAsia" w:ascii="宋体" w:hAnsi="宋体" w:cs="宋体"/>
          <w:color w:val="auto"/>
          <w:sz w:val="24"/>
        </w:rPr>
        <w:t>致：</w:t>
      </w:r>
      <w:r>
        <w:rPr>
          <w:rFonts w:hint="eastAsia" w:ascii="宋体" w:hAnsi="宋体" w:cs="宋体"/>
          <w:color w:val="auto"/>
          <w:sz w:val="24"/>
          <w:lang w:eastAsia="zh-CN"/>
        </w:rPr>
        <w:t>南宁铁路枢纽投资有限公司</w:t>
      </w:r>
    </w:p>
    <w:p w14:paraId="469C256A">
      <w:pPr>
        <w:spacing w:line="360" w:lineRule="auto"/>
        <w:ind w:right="-21" w:rightChars="-10" w:firstLine="482"/>
        <w:jc w:val="left"/>
        <w:rPr>
          <w:rFonts w:ascii="宋体" w:hAnsi="宋体" w:cs="宋体"/>
          <w:color w:val="auto"/>
          <w:sz w:val="24"/>
        </w:rPr>
      </w:pPr>
      <w:r>
        <w:rPr>
          <w:rFonts w:ascii="宋体" w:hAnsi="宋体" w:cs="宋体"/>
          <w:color w:val="auto"/>
          <w:sz w:val="24"/>
        </w:rPr>
        <w:t>根据贵方提供的</w:t>
      </w:r>
      <w:r>
        <w:rPr>
          <w:rFonts w:hint="eastAsia" w:ascii="宋体" w:hAnsi="宋体" w:cs="宋体"/>
          <w:color w:val="auto"/>
          <w:sz w:val="24"/>
          <w:u w:val="single"/>
          <w:lang w:eastAsia="zh-CN"/>
        </w:rPr>
        <w:t>南宁铁路枢纽投资有限公司</w:t>
      </w:r>
      <w:r>
        <w:rPr>
          <w:rFonts w:hint="eastAsia" w:ascii="宋体" w:hAnsi="宋体" w:cs="宋体"/>
          <w:color w:val="auto"/>
          <w:sz w:val="24"/>
          <w:u w:val="single"/>
          <w:lang w:val="en-US" w:eastAsia="zh-CN"/>
        </w:rPr>
        <w:t>2025</w:t>
      </w:r>
      <w:r>
        <w:rPr>
          <w:rFonts w:ascii="宋体" w:hAnsi="宋体" w:cs="宋体"/>
          <w:color w:val="auto"/>
          <w:sz w:val="24"/>
          <w:u w:val="single"/>
        </w:rPr>
        <w:t>年度法律顾问</w:t>
      </w:r>
      <w:r>
        <w:rPr>
          <w:rFonts w:hint="eastAsia" w:ascii="宋体" w:hAnsi="宋体" w:cs="宋体"/>
          <w:sz w:val="24"/>
          <w:u w:val="single"/>
        </w:rPr>
        <w:t>服务项目</w:t>
      </w:r>
      <w:r>
        <w:rPr>
          <w:rFonts w:ascii="宋体" w:hAnsi="宋体" w:cs="宋体"/>
          <w:color w:val="auto"/>
          <w:sz w:val="24"/>
        </w:rPr>
        <w:t>比选文件，我方正式授权下述签字人（姓名和职务）全权代表我方（比选申请人全称）参加贵方组织的有关比选活动，并提交下述文件：</w:t>
      </w:r>
    </w:p>
    <w:p w14:paraId="20973981">
      <w:pPr>
        <w:spacing w:line="360" w:lineRule="auto"/>
        <w:ind w:right="565" w:rightChars="269"/>
        <w:jc w:val="left"/>
        <w:outlineLvl w:val="9"/>
        <w:rPr>
          <w:rFonts w:hint="eastAsia" w:ascii="宋体" w:hAnsi="宋体" w:eastAsia="宋体" w:cs="宋体"/>
          <w:color w:val="auto"/>
          <w:sz w:val="24"/>
          <w:lang w:eastAsia="zh-CN"/>
        </w:rPr>
      </w:pPr>
      <w:r>
        <w:rPr>
          <w:rFonts w:ascii="宋体" w:hAnsi="宋体" w:cs="宋体"/>
          <w:color w:val="auto"/>
          <w:sz w:val="24"/>
        </w:rPr>
        <w:t>一、</w:t>
      </w:r>
      <w:r>
        <w:rPr>
          <w:rFonts w:hint="eastAsia" w:ascii="宋体" w:hAnsi="宋体" w:cs="宋体"/>
          <w:color w:val="auto"/>
          <w:sz w:val="24"/>
          <w:lang w:val="en-US" w:eastAsia="zh-CN"/>
        </w:rPr>
        <w:t>比选申请</w:t>
      </w:r>
      <w:r>
        <w:rPr>
          <w:rFonts w:ascii="宋体" w:hAnsi="宋体" w:cs="宋体"/>
          <w:color w:val="auto"/>
          <w:sz w:val="24"/>
        </w:rPr>
        <w:t>文件正本一份，副本</w:t>
      </w:r>
      <w:r>
        <w:rPr>
          <w:rFonts w:hint="eastAsia" w:ascii="宋体" w:hAnsi="宋体" w:cs="宋体"/>
          <w:color w:val="auto"/>
          <w:sz w:val="24"/>
          <w:u w:val="none"/>
          <w:lang w:val="en-US" w:eastAsia="zh-CN"/>
        </w:rPr>
        <w:t>二</w:t>
      </w:r>
      <w:r>
        <w:rPr>
          <w:rFonts w:ascii="宋体" w:hAnsi="宋体" w:cs="宋体"/>
          <w:color w:val="auto"/>
          <w:sz w:val="24"/>
        </w:rPr>
        <w:t>份</w:t>
      </w:r>
      <w:r>
        <w:rPr>
          <w:rFonts w:hint="eastAsia" w:ascii="宋体" w:hAnsi="宋体" w:cs="宋体"/>
          <w:color w:val="auto"/>
          <w:sz w:val="24"/>
          <w:lang w:eastAsia="zh-CN"/>
        </w:rPr>
        <w:t>。</w:t>
      </w:r>
      <w:r>
        <w:rPr>
          <w:rFonts w:hint="eastAsia" w:ascii="宋体" w:hAnsi="宋体" w:cs="宋体"/>
          <w:color w:val="auto"/>
          <w:szCs w:val="21"/>
        </w:rPr>
        <w:t>（</w:t>
      </w:r>
      <w:r>
        <w:rPr>
          <w:rFonts w:hint="eastAsia" w:ascii="宋体" w:hAnsi="宋体" w:eastAsia="宋体" w:cs="宋体"/>
          <w:b/>
          <w:bCs/>
          <w:kern w:val="2"/>
          <w:sz w:val="24"/>
          <w:szCs w:val="24"/>
          <w:lang w:val="en-US" w:eastAsia="zh-CN" w:bidi="ar"/>
        </w:rPr>
        <w:t>同步提供全套盖章电子版U盘</w:t>
      </w:r>
      <w:r>
        <w:rPr>
          <w:rFonts w:hint="eastAsia" w:ascii="宋体" w:hAnsi="宋体" w:cs="宋体"/>
          <w:color w:val="auto"/>
          <w:szCs w:val="21"/>
        </w:rPr>
        <w:t>）</w:t>
      </w:r>
    </w:p>
    <w:p w14:paraId="70DE48B6">
      <w:pPr>
        <w:spacing w:line="360" w:lineRule="auto"/>
        <w:ind w:right="565" w:rightChars="269"/>
        <w:jc w:val="left"/>
        <w:rPr>
          <w:rFonts w:ascii="宋体" w:hAnsi="宋体" w:cs="宋体"/>
          <w:color w:val="auto"/>
          <w:sz w:val="24"/>
        </w:rPr>
      </w:pPr>
    </w:p>
    <w:p w14:paraId="726C71C2">
      <w:pPr>
        <w:spacing w:line="360" w:lineRule="auto"/>
        <w:ind w:right="565" w:rightChars="269" w:firstLine="420"/>
        <w:jc w:val="left"/>
        <w:rPr>
          <w:rFonts w:ascii="宋体" w:hAnsi="宋体" w:cs="宋体"/>
          <w:color w:val="auto"/>
          <w:sz w:val="24"/>
        </w:rPr>
      </w:pPr>
      <w:r>
        <w:rPr>
          <w:rFonts w:ascii="宋体" w:hAnsi="宋体" w:cs="宋体"/>
          <w:color w:val="auto"/>
          <w:sz w:val="24"/>
        </w:rPr>
        <w:t>据此函，签字</w:t>
      </w:r>
      <w:r>
        <w:rPr>
          <w:rFonts w:hint="eastAsia" w:ascii="宋体" w:hAnsi="宋体" w:cs="宋体"/>
          <w:color w:val="auto"/>
          <w:sz w:val="24"/>
        </w:rPr>
        <w:t>人兹宣布同意如下：</w:t>
      </w:r>
    </w:p>
    <w:p w14:paraId="0B778AFF">
      <w:pPr>
        <w:spacing w:line="360" w:lineRule="auto"/>
        <w:ind w:right="-21" w:rightChars="-10"/>
        <w:jc w:val="left"/>
        <w:rPr>
          <w:rFonts w:ascii="宋体" w:hAnsi="宋体" w:cs="宋体"/>
          <w:color w:val="auto"/>
          <w:sz w:val="24"/>
        </w:rPr>
      </w:pPr>
      <w:r>
        <w:rPr>
          <w:rFonts w:ascii="宋体" w:hAnsi="宋体" w:cs="宋体"/>
          <w:color w:val="auto"/>
          <w:sz w:val="24"/>
        </w:rPr>
        <w:t xml:space="preserve">    1</w:t>
      </w:r>
      <w:r>
        <w:rPr>
          <w:rFonts w:hint="eastAsia" w:ascii="宋体" w:hAnsi="宋体" w:cs="宋体"/>
          <w:color w:val="auto"/>
          <w:sz w:val="24"/>
        </w:rPr>
        <w:t>.</w:t>
      </w:r>
      <w:r>
        <w:rPr>
          <w:rFonts w:hint="eastAsia" w:hAnsi="宋体"/>
          <w:color w:val="auto"/>
          <w:sz w:val="24"/>
        </w:rPr>
        <w:t>我方同意在比选申请人须知规定的提交比选申请文件截止日期起遵循本比选文件，并在比选申请文件有效期满之前均具有约束力</w:t>
      </w:r>
      <w:r>
        <w:rPr>
          <w:rFonts w:hint="eastAsia" w:ascii="宋体" w:hAnsi="宋体" w:cs="宋体"/>
          <w:color w:val="auto"/>
          <w:sz w:val="24"/>
        </w:rPr>
        <w:t>。</w:t>
      </w:r>
    </w:p>
    <w:p w14:paraId="4FC05666">
      <w:pPr>
        <w:spacing w:line="360" w:lineRule="auto"/>
        <w:ind w:right="-21" w:rightChars="-10"/>
        <w:jc w:val="left"/>
        <w:outlineLvl w:val="9"/>
        <w:rPr>
          <w:rFonts w:ascii="宋体" w:hAnsi="宋体" w:cs="宋体"/>
          <w:color w:val="auto"/>
          <w:sz w:val="24"/>
        </w:rPr>
      </w:pPr>
      <w:r>
        <w:rPr>
          <w:rFonts w:ascii="宋体" w:hAnsi="宋体" w:cs="宋体"/>
          <w:color w:val="auto"/>
          <w:sz w:val="24"/>
        </w:rPr>
        <w:t xml:space="preserve">    2</w:t>
      </w:r>
      <w:r>
        <w:rPr>
          <w:rFonts w:hint="eastAsia" w:ascii="宋体" w:hAnsi="宋体" w:cs="宋体"/>
          <w:color w:val="auto"/>
          <w:sz w:val="24"/>
        </w:rPr>
        <w:t>.</w:t>
      </w:r>
      <w:r>
        <w:rPr>
          <w:rFonts w:ascii="宋体" w:hAnsi="宋体" w:cs="宋体"/>
          <w:color w:val="auto"/>
          <w:sz w:val="24"/>
        </w:rPr>
        <w:t>我方承诺已经具备比选申请人应当具备的条件：</w:t>
      </w:r>
    </w:p>
    <w:p w14:paraId="31B59A99">
      <w:pPr>
        <w:spacing w:line="360" w:lineRule="auto"/>
        <w:ind w:right="565" w:rightChars="269" w:firstLine="240" w:firstLineChars="100"/>
        <w:jc w:val="left"/>
        <w:rPr>
          <w:rFonts w:ascii="宋体" w:hAnsi="宋体" w:cs="宋体"/>
          <w:color w:val="auto"/>
          <w:sz w:val="24"/>
        </w:rPr>
      </w:pPr>
      <w:r>
        <w:rPr>
          <w:rFonts w:ascii="宋体" w:hAnsi="宋体" w:cs="宋体"/>
          <w:color w:val="auto"/>
          <w:sz w:val="24"/>
        </w:rPr>
        <w:t>（1）具有独立承担民事责任的能力；</w:t>
      </w:r>
    </w:p>
    <w:p w14:paraId="48E414DA">
      <w:pPr>
        <w:spacing w:line="360" w:lineRule="auto"/>
        <w:ind w:right="565" w:rightChars="269" w:firstLine="240" w:firstLineChars="100"/>
        <w:jc w:val="left"/>
        <w:rPr>
          <w:rFonts w:ascii="宋体" w:hAnsi="宋体" w:cs="宋体"/>
          <w:color w:val="auto"/>
          <w:sz w:val="24"/>
        </w:rPr>
      </w:pPr>
      <w:r>
        <w:rPr>
          <w:rFonts w:ascii="宋体" w:hAnsi="宋体" w:cs="宋体"/>
          <w:color w:val="auto"/>
          <w:sz w:val="24"/>
        </w:rPr>
        <w:t>（2）具有良好的商业信誉和健全的财务会计制度；</w:t>
      </w:r>
    </w:p>
    <w:p w14:paraId="64CF52A0">
      <w:pPr>
        <w:spacing w:line="360" w:lineRule="auto"/>
        <w:ind w:right="565" w:rightChars="269" w:firstLine="240" w:firstLineChars="100"/>
        <w:jc w:val="left"/>
        <w:rPr>
          <w:rFonts w:ascii="宋体" w:hAnsi="宋体" w:cs="宋体"/>
          <w:color w:val="auto"/>
          <w:sz w:val="24"/>
        </w:rPr>
      </w:pPr>
      <w:r>
        <w:rPr>
          <w:rFonts w:ascii="宋体" w:hAnsi="宋体" w:cs="宋体"/>
          <w:color w:val="auto"/>
          <w:sz w:val="24"/>
        </w:rPr>
        <w:t>（3）具有履行合同所必需的设备和专业技术能力；</w:t>
      </w:r>
    </w:p>
    <w:p w14:paraId="2A3A62FC">
      <w:pPr>
        <w:spacing w:line="360" w:lineRule="auto"/>
        <w:ind w:right="565" w:rightChars="269" w:firstLine="240" w:firstLineChars="100"/>
        <w:jc w:val="left"/>
        <w:rPr>
          <w:rFonts w:ascii="宋体" w:hAnsi="宋体" w:cs="宋体"/>
          <w:color w:val="auto"/>
          <w:sz w:val="24"/>
        </w:rPr>
      </w:pPr>
      <w:r>
        <w:rPr>
          <w:rFonts w:ascii="宋体" w:hAnsi="宋体" w:cs="宋体"/>
          <w:color w:val="auto"/>
          <w:sz w:val="24"/>
        </w:rPr>
        <w:t>（4）有依法缴纳税收和社会保障资金的良好记录；</w:t>
      </w:r>
    </w:p>
    <w:p w14:paraId="4542FC4F">
      <w:pPr>
        <w:spacing w:line="360" w:lineRule="auto"/>
        <w:ind w:right="-21" w:rightChars="-10" w:firstLine="240" w:firstLineChars="100"/>
        <w:jc w:val="left"/>
        <w:rPr>
          <w:rFonts w:ascii="宋体" w:hAnsi="宋体" w:cs="宋体"/>
          <w:color w:val="auto"/>
          <w:sz w:val="24"/>
        </w:rPr>
      </w:pPr>
      <w:r>
        <w:rPr>
          <w:rFonts w:ascii="宋体" w:hAnsi="宋体" w:cs="宋体"/>
          <w:color w:val="auto"/>
          <w:sz w:val="24"/>
        </w:rPr>
        <w:t>（5）参加此项比选活动前</w:t>
      </w:r>
      <w:r>
        <w:rPr>
          <w:rFonts w:ascii="宋体" w:hAnsi="宋体" w:cs="宋体"/>
          <w:color w:val="auto"/>
          <w:sz w:val="24"/>
          <w:u w:val="none"/>
        </w:rPr>
        <w:t>三</w:t>
      </w:r>
      <w:r>
        <w:rPr>
          <w:rFonts w:ascii="宋体" w:hAnsi="宋体" w:cs="宋体"/>
          <w:color w:val="auto"/>
          <w:sz w:val="24"/>
        </w:rPr>
        <w:t>年内，</w:t>
      </w:r>
      <w:r>
        <w:rPr>
          <w:rFonts w:hint="eastAsia" w:ascii="宋体" w:hAnsi="宋体" w:cs="宋体"/>
          <w:color w:val="auto"/>
          <w:sz w:val="24"/>
        </w:rPr>
        <w:t>没有受到行政处罚或行业处分</w:t>
      </w:r>
      <w:r>
        <w:rPr>
          <w:rFonts w:ascii="宋体" w:hAnsi="宋体" w:cs="宋体"/>
          <w:color w:val="auto"/>
          <w:sz w:val="24"/>
        </w:rPr>
        <w:t>。</w:t>
      </w:r>
    </w:p>
    <w:p w14:paraId="4DFADCE4">
      <w:pPr>
        <w:spacing w:line="360" w:lineRule="auto"/>
        <w:ind w:right="-21" w:rightChars="-10"/>
        <w:jc w:val="left"/>
        <w:rPr>
          <w:rFonts w:ascii="宋体" w:hAnsi="宋体" w:cs="宋体"/>
          <w:color w:val="auto"/>
          <w:sz w:val="24"/>
        </w:rPr>
      </w:pPr>
      <w:r>
        <w:rPr>
          <w:rFonts w:hint="eastAsia" w:ascii="宋体" w:hAnsi="宋体" w:cs="宋体"/>
          <w:color w:val="auto"/>
          <w:sz w:val="24"/>
        </w:rPr>
        <w:t xml:space="preserve">    </w:t>
      </w:r>
      <w:r>
        <w:rPr>
          <w:rFonts w:ascii="宋体" w:hAnsi="宋体" w:cs="宋体"/>
          <w:color w:val="auto"/>
          <w:sz w:val="24"/>
        </w:rPr>
        <w:t>3</w:t>
      </w:r>
      <w:r>
        <w:rPr>
          <w:rFonts w:hint="eastAsia" w:ascii="宋体" w:hAnsi="宋体" w:cs="宋体"/>
          <w:color w:val="auto"/>
          <w:sz w:val="24"/>
        </w:rPr>
        <w:t>.</w:t>
      </w:r>
      <w:r>
        <w:rPr>
          <w:rFonts w:ascii="宋体" w:hAnsi="宋体" w:cs="宋体"/>
          <w:color w:val="auto"/>
          <w:sz w:val="24"/>
        </w:rPr>
        <w:t>我方根据比选文件的规定，承担完成合同的责任和义务。</w:t>
      </w:r>
    </w:p>
    <w:p w14:paraId="04789345">
      <w:pPr>
        <w:spacing w:line="360" w:lineRule="auto"/>
        <w:ind w:left="239" w:leftChars="114" w:right="-21" w:rightChars="-10" w:firstLine="240" w:firstLineChars="100"/>
        <w:jc w:val="left"/>
        <w:rPr>
          <w:rFonts w:hint="eastAsia" w:ascii="宋体" w:hAnsi="宋体" w:eastAsia="宋体" w:cs="宋体"/>
          <w:color w:val="auto"/>
          <w:sz w:val="24"/>
          <w:lang w:eastAsia="zh-CN"/>
        </w:rPr>
      </w:pPr>
      <w:r>
        <w:rPr>
          <w:rFonts w:ascii="宋体" w:hAnsi="宋体" w:cs="宋体"/>
          <w:color w:val="auto"/>
          <w:sz w:val="24"/>
        </w:rPr>
        <w:t>4</w:t>
      </w:r>
      <w:r>
        <w:rPr>
          <w:rFonts w:hint="eastAsia" w:ascii="宋体" w:hAnsi="宋体" w:cs="宋体"/>
          <w:color w:val="auto"/>
          <w:sz w:val="24"/>
        </w:rPr>
        <w:t>.</w:t>
      </w:r>
      <w:r>
        <w:rPr>
          <w:rFonts w:ascii="宋体" w:hAnsi="宋体" w:cs="宋体"/>
          <w:color w:val="auto"/>
          <w:sz w:val="24"/>
        </w:rPr>
        <w:t>我方已详细对照比选文件，我方知道必须放弃提出含糊不清或误解问题的权利</w:t>
      </w:r>
      <w:r>
        <w:rPr>
          <w:rFonts w:hint="eastAsia" w:ascii="宋体" w:hAnsi="宋体" w:cs="宋体"/>
          <w:color w:val="auto"/>
          <w:sz w:val="24"/>
          <w:lang w:eastAsia="zh-CN"/>
        </w:rPr>
        <w:t>。</w:t>
      </w:r>
    </w:p>
    <w:p w14:paraId="2986288D">
      <w:pPr>
        <w:spacing w:line="360" w:lineRule="auto"/>
        <w:ind w:right="-21" w:rightChars="-10" w:firstLine="480" w:firstLineChars="200"/>
        <w:jc w:val="left"/>
        <w:rPr>
          <w:rFonts w:ascii="宋体" w:hAnsi="宋体" w:cs="宋体"/>
          <w:color w:val="auto"/>
          <w:sz w:val="24"/>
        </w:rPr>
      </w:pPr>
      <w:r>
        <w:rPr>
          <w:rFonts w:hint="eastAsia" w:ascii="宋体" w:hAnsi="宋体" w:cs="宋体"/>
          <w:color w:val="auto"/>
          <w:sz w:val="24"/>
        </w:rPr>
        <w:t>5.</w:t>
      </w:r>
      <w:r>
        <w:rPr>
          <w:rFonts w:ascii="宋体" w:hAnsi="宋体" w:cs="宋体"/>
          <w:color w:val="auto"/>
          <w:sz w:val="24"/>
        </w:rPr>
        <w:t>同意应贵方要求提供与本比选项目有关的任何数据或资料。</w:t>
      </w:r>
    </w:p>
    <w:p w14:paraId="7BE74A7C">
      <w:pPr>
        <w:spacing w:line="360" w:lineRule="auto"/>
        <w:ind w:right="-21" w:rightChars="-10" w:firstLine="480" w:firstLineChars="200"/>
        <w:jc w:val="left"/>
        <w:rPr>
          <w:rFonts w:ascii="宋体" w:hAnsi="宋体" w:cs="宋体"/>
          <w:color w:val="auto"/>
          <w:sz w:val="24"/>
        </w:rPr>
      </w:pPr>
      <w:r>
        <w:rPr>
          <w:rFonts w:ascii="宋体" w:hAnsi="宋体" w:cs="宋体"/>
          <w:color w:val="auto"/>
          <w:sz w:val="24"/>
        </w:rPr>
        <w:t>6</w:t>
      </w:r>
      <w:r>
        <w:rPr>
          <w:rFonts w:hint="eastAsia" w:ascii="宋体" w:hAnsi="宋体" w:cs="宋体"/>
          <w:color w:val="auto"/>
          <w:sz w:val="24"/>
        </w:rPr>
        <w:t>.</w:t>
      </w:r>
      <w:r>
        <w:rPr>
          <w:rFonts w:ascii="宋体" w:hAnsi="宋体" w:cs="宋体"/>
          <w:color w:val="auto"/>
          <w:sz w:val="24"/>
        </w:rPr>
        <w:t>若贵方需要，我方愿意提供我方</w:t>
      </w:r>
      <w:r>
        <w:rPr>
          <w:rFonts w:hint="eastAsia" w:ascii="宋体" w:hAnsi="宋体" w:cs="宋体"/>
          <w:color w:val="auto"/>
          <w:sz w:val="24"/>
        </w:rPr>
        <w:t>作出的一切承诺的证明材料。</w:t>
      </w:r>
    </w:p>
    <w:p w14:paraId="3CEB72AE">
      <w:pPr>
        <w:spacing w:line="360" w:lineRule="auto"/>
        <w:ind w:right="-21" w:rightChars="-10" w:firstLine="480" w:firstLineChars="200"/>
        <w:jc w:val="left"/>
        <w:rPr>
          <w:rFonts w:ascii="宋体" w:hAnsi="宋体" w:cs="宋体"/>
          <w:color w:val="auto"/>
          <w:sz w:val="24"/>
        </w:rPr>
      </w:pPr>
      <w:r>
        <w:rPr>
          <w:rFonts w:ascii="宋体" w:hAnsi="宋体" w:cs="宋体"/>
          <w:color w:val="auto"/>
          <w:sz w:val="24"/>
        </w:rPr>
        <w:t>7</w:t>
      </w:r>
      <w:r>
        <w:rPr>
          <w:rFonts w:hint="eastAsia" w:ascii="宋体" w:hAnsi="宋体" w:cs="宋体"/>
          <w:color w:val="auto"/>
          <w:sz w:val="24"/>
        </w:rPr>
        <w:t>.</w:t>
      </w:r>
      <w:r>
        <w:rPr>
          <w:rFonts w:ascii="宋体" w:hAnsi="宋体" w:cs="宋体"/>
          <w:color w:val="auto"/>
          <w:sz w:val="24"/>
        </w:rPr>
        <w:t>我方将严格遵守规定，我方有下列情形之一的，将接受贵方列入不良行为记录名单、追究法律责任等处罚：</w:t>
      </w:r>
    </w:p>
    <w:p w14:paraId="56A23B95">
      <w:pPr>
        <w:spacing w:line="360" w:lineRule="auto"/>
        <w:ind w:right="565" w:rightChars="269"/>
        <w:jc w:val="left"/>
        <w:rPr>
          <w:rFonts w:ascii="宋体" w:hAnsi="宋体" w:cs="宋体"/>
          <w:color w:val="auto"/>
          <w:sz w:val="24"/>
        </w:rPr>
      </w:pPr>
      <w:r>
        <w:rPr>
          <w:rFonts w:hint="eastAsia" w:ascii="宋体" w:hAnsi="宋体" w:cs="宋体"/>
          <w:color w:val="auto"/>
          <w:sz w:val="24"/>
        </w:rPr>
        <w:t>（</w:t>
      </w:r>
      <w:r>
        <w:rPr>
          <w:rFonts w:ascii="宋体" w:hAnsi="宋体" w:cs="宋体"/>
          <w:color w:val="auto"/>
          <w:sz w:val="24"/>
        </w:rPr>
        <w:t>1）提供虚假材料谋取中选、成交的；</w:t>
      </w:r>
    </w:p>
    <w:p w14:paraId="0467D0D2">
      <w:pPr>
        <w:spacing w:line="360" w:lineRule="auto"/>
        <w:ind w:right="565" w:rightChars="269"/>
        <w:jc w:val="left"/>
        <w:rPr>
          <w:rFonts w:ascii="宋体" w:hAnsi="宋体" w:cs="宋体"/>
          <w:color w:val="auto"/>
          <w:sz w:val="24"/>
        </w:rPr>
      </w:pPr>
      <w:r>
        <w:rPr>
          <w:rFonts w:ascii="宋体" w:hAnsi="宋体" w:cs="宋体"/>
          <w:color w:val="auto"/>
          <w:sz w:val="24"/>
        </w:rPr>
        <w:t>（2）采取不正当手段诋毁、排挤其他比选申请人的；</w:t>
      </w:r>
    </w:p>
    <w:p w14:paraId="61F0FB48">
      <w:pPr>
        <w:spacing w:line="360" w:lineRule="auto"/>
        <w:ind w:right="565" w:rightChars="269"/>
        <w:jc w:val="left"/>
        <w:rPr>
          <w:rFonts w:ascii="宋体" w:hAnsi="宋体" w:cs="宋体"/>
          <w:color w:val="auto"/>
          <w:sz w:val="24"/>
        </w:rPr>
      </w:pPr>
      <w:r>
        <w:rPr>
          <w:rFonts w:ascii="宋体" w:hAnsi="宋体" w:cs="宋体"/>
          <w:color w:val="auto"/>
          <w:sz w:val="24"/>
        </w:rPr>
        <w:t>（3）与其他比选申请人恶意串通的；</w:t>
      </w:r>
    </w:p>
    <w:p w14:paraId="71B3354C">
      <w:pPr>
        <w:spacing w:line="360" w:lineRule="auto"/>
        <w:ind w:right="565" w:rightChars="269"/>
        <w:jc w:val="left"/>
        <w:rPr>
          <w:rFonts w:ascii="宋体" w:hAnsi="宋体" w:cs="宋体"/>
          <w:color w:val="auto"/>
          <w:sz w:val="24"/>
        </w:rPr>
      </w:pPr>
      <w:r>
        <w:rPr>
          <w:rFonts w:ascii="宋体" w:hAnsi="宋体" w:cs="宋体"/>
          <w:color w:val="auto"/>
          <w:sz w:val="24"/>
        </w:rPr>
        <w:t>（4）向比选人行贿或者提供其他不正当利益的；</w:t>
      </w:r>
    </w:p>
    <w:p w14:paraId="6EA6C8A2">
      <w:pPr>
        <w:spacing w:line="360" w:lineRule="auto"/>
        <w:ind w:right="565" w:rightChars="269"/>
        <w:jc w:val="left"/>
        <w:rPr>
          <w:rFonts w:ascii="宋体" w:hAnsi="宋体" w:cs="宋体"/>
          <w:color w:val="auto"/>
          <w:sz w:val="24"/>
        </w:rPr>
      </w:pPr>
      <w:r>
        <w:rPr>
          <w:rFonts w:ascii="宋体" w:hAnsi="宋体" w:cs="宋体"/>
          <w:color w:val="auto"/>
          <w:sz w:val="24"/>
        </w:rPr>
        <w:t>（5）拒绝有关部门监督检查或提供虚假情况的。</w:t>
      </w:r>
    </w:p>
    <w:p w14:paraId="7727F507">
      <w:pPr>
        <w:spacing w:line="360" w:lineRule="auto"/>
        <w:ind w:right="565" w:rightChars="269" w:firstLine="420"/>
        <w:jc w:val="left"/>
        <w:rPr>
          <w:rFonts w:ascii="宋体" w:hAnsi="宋体" w:cs="宋体"/>
          <w:color w:val="auto"/>
          <w:sz w:val="24"/>
        </w:rPr>
      </w:pPr>
      <w:r>
        <w:rPr>
          <w:rFonts w:hint="eastAsia" w:ascii="宋体" w:hAnsi="宋体" w:cs="宋体"/>
          <w:color w:val="auto"/>
          <w:sz w:val="24"/>
        </w:rPr>
        <w:t>与本比选活动有关的正式通讯地址为：</w:t>
      </w:r>
    </w:p>
    <w:p w14:paraId="2FEEE992">
      <w:pPr>
        <w:spacing w:line="360" w:lineRule="auto"/>
        <w:ind w:right="565" w:rightChars="269" w:firstLine="420"/>
        <w:jc w:val="left"/>
        <w:rPr>
          <w:rFonts w:ascii="宋体" w:hAnsi="宋体" w:cs="宋体"/>
          <w:color w:val="auto"/>
          <w:sz w:val="24"/>
        </w:rPr>
      </w:pPr>
      <w:r>
        <w:rPr>
          <w:rFonts w:hint="eastAsia" w:ascii="宋体" w:hAnsi="宋体" w:cs="宋体"/>
          <w:color w:val="auto"/>
          <w:sz w:val="24"/>
        </w:rPr>
        <w:t>地址：</w:t>
      </w:r>
      <w:r>
        <w:rPr>
          <w:rFonts w:ascii="宋体" w:hAnsi="宋体" w:cs="宋体"/>
          <w:color w:val="auto"/>
          <w:sz w:val="24"/>
        </w:rPr>
        <w:t>邮政编码：</w:t>
      </w:r>
    </w:p>
    <w:p w14:paraId="38476AAB">
      <w:pPr>
        <w:spacing w:line="360" w:lineRule="auto"/>
        <w:ind w:right="565" w:rightChars="269" w:firstLine="420"/>
        <w:jc w:val="left"/>
        <w:rPr>
          <w:rFonts w:ascii="宋体" w:hAnsi="宋体" w:cs="宋体"/>
          <w:color w:val="auto"/>
          <w:sz w:val="24"/>
        </w:rPr>
      </w:pPr>
      <w:r>
        <w:rPr>
          <w:rFonts w:hint="eastAsia" w:ascii="宋体" w:hAnsi="宋体" w:cs="宋体"/>
          <w:color w:val="auto"/>
          <w:sz w:val="24"/>
        </w:rPr>
        <w:t>电话：</w:t>
      </w:r>
      <w:r>
        <w:rPr>
          <w:rFonts w:ascii="宋体" w:hAnsi="宋体" w:cs="宋体"/>
          <w:color w:val="auto"/>
          <w:sz w:val="24"/>
        </w:rPr>
        <w:t>　　　　　　　　　</w:t>
      </w:r>
    </w:p>
    <w:p w14:paraId="4729D0D2">
      <w:pPr>
        <w:spacing w:line="360" w:lineRule="auto"/>
        <w:ind w:right="565" w:rightChars="269" w:firstLine="420"/>
        <w:jc w:val="left"/>
        <w:rPr>
          <w:rFonts w:ascii="宋体" w:hAnsi="宋体" w:cs="宋体"/>
          <w:color w:val="auto"/>
          <w:sz w:val="24"/>
        </w:rPr>
      </w:pPr>
      <w:r>
        <w:rPr>
          <w:rFonts w:hint="eastAsia" w:ascii="宋体" w:hAnsi="宋体" w:cs="宋体"/>
          <w:color w:val="auto"/>
          <w:sz w:val="24"/>
        </w:rPr>
        <w:t>传真：　　　　　　　　　　　　　　　　　　　　　　　　　　　　</w:t>
      </w:r>
    </w:p>
    <w:p w14:paraId="4477F8BB">
      <w:pPr>
        <w:spacing w:line="360" w:lineRule="auto"/>
        <w:ind w:right="565" w:rightChars="269" w:firstLine="420"/>
        <w:jc w:val="left"/>
        <w:rPr>
          <w:rFonts w:ascii="宋体" w:hAnsi="宋体" w:cs="宋体"/>
          <w:color w:val="auto"/>
          <w:sz w:val="24"/>
        </w:rPr>
      </w:pPr>
      <w:r>
        <w:rPr>
          <w:rFonts w:hint="eastAsia" w:ascii="宋体" w:hAnsi="宋体" w:cs="宋体"/>
          <w:color w:val="auto"/>
          <w:sz w:val="24"/>
        </w:rPr>
        <w:t>开户名称：</w:t>
      </w:r>
    </w:p>
    <w:p w14:paraId="45A398AC">
      <w:pPr>
        <w:spacing w:line="360" w:lineRule="auto"/>
        <w:ind w:right="565" w:rightChars="269" w:firstLine="420"/>
        <w:jc w:val="left"/>
        <w:rPr>
          <w:rFonts w:ascii="宋体" w:hAnsi="宋体" w:cs="宋体"/>
          <w:color w:val="auto"/>
          <w:sz w:val="24"/>
        </w:rPr>
      </w:pPr>
      <w:r>
        <w:rPr>
          <w:rFonts w:hint="eastAsia" w:ascii="宋体" w:hAnsi="宋体" w:cs="宋体"/>
          <w:color w:val="auto"/>
          <w:sz w:val="24"/>
        </w:rPr>
        <w:t>开户银行：</w:t>
      </w:r>
    </w:p>
    <w:p w14:paraId="543D6166">
      <w:pPr>
        <w:spacing w:line="360" w:lineRule="auto"/>
        <w:ind w:right="565" w:rightChars="269" w:firstLine="420"/>
        <w:jc w:val="left"/>
        <w:rPr>
          <w:rFonts w:ascii="宋体" w:hAnsi="宋体" w:cs="宋体"/>
          <w:color w:val="auto"/>
          <w:sz w:val="24"/>
        </w:rPr>
      </w:pPr>
      <w:r>
        <w:rPr>
          <w:rFonts w:hint="eastAsia" w:ascii="宋体" w:hAnsi="宋体" w:cs="宋体"/>
          <w:color w:val="auto"/>
          <w:sz w:val="24"/>
          <w:lang w:val="en-US" w:eastAsia="zh-CN"/>
        </w:rPr>
        <w:t>账</w:t>
      </w:r>
      <w:r>
        <w:rPr>
          <w:rFonts w:ascii="宋体" w:hAnsi="宋体" w:cs="宋体"/>
          <w:color w:val="auto"/>
          <w:sz w:val="24"/>
        </w:rPr>
        <w:t>号：</w:t>
      </w:r>
    </w:p>
    <w:p w14:paraId="7E12E0D9">
      <w:pPr>
        <w:spacing w:line="360" w:lineRule="auto"/>
        <w:ind w:right="565" w:rightChars="269" w:firstLine="420"/>
        <w:jc w:val="left"/>
        <w:rPr>
          <w:rFonts w:ascii="宋体" w:hAnsi="宋体" w:cs="宋体"/>
          <w:color w:val="auto"/>
          <w:sz w:val="24"/>
        </w:rPr>
      </w:pPr>
      <w:r>
        <w:rPr>
          <w:rFonts w:hint="eastAsia" w:ascii="宋体" w:hAnsi="宋体" w:cs="宋体"/>
          <w:color w:val="auto"/>
          <w:sz w:val="24"/>
        </w:rPr>
        <w:t>负责人或其委托代理人（签名或盖章）：</w:t>
      </w:r>
    </w:p>
    <w:p w14:paraId="3CD4EF74">
      <w:pPr>
        <w:spacing w:line="360" w:lineRule="auto"/>
        <w:ind w:right="565" w:rightChars="269" w:firstLine="420"/>
        <w:jc w:val="left"/>
        <w:rPr>
          <w:rFonts w:ascii="宋体" w:hAnsi="宋体" w:cs="宋体"/>
          <w:color w:val="auto"/>
          <w:sz w:val="24"/>
        </w:rPr>
      </w:pPr>
      <w:r>
        <w:rPr>
          <w:rFonts w:hint="eastAsia" w:ascii="宋体" w:hAnsi="宋体" w:cs="宋体"/>
          <w:color w:val="auto"/>
          <w:sz w:val="24"/>
        </w:rPr>
        <w:t>比选申请人盖公章：</w:t>
      </w:r>
    </w:p>
    <w:p w14:paraId="26CB00CD">
      <w:pPr>
        <w:spacing w:line="360" w:lineRule="auto"/>
        <w:ind w:right="565" w:rightChars="269" w:firstLine="480" w:firstLineChars="200"/>
        <w:jc w:val="left"/>
        <w:rPr>
          <w:rFonts w:ascii="宋体" w:hAnsi="宋体" w:cs="宋体"/>
          <w:color w:val="auto"/>
          <w:sz w:val="24"/>
        </w:rPr>
      </w:pPr>
      <w:r>
        <w:rPr>
          <w:rFonts w:ascii="宋体" w:hAnsi="宋体" w:cs="宋体"/>
          <w:color w:val="auto"/>
          <w:sz w:val="24"/>
        </w:rPr>
        <w:t>年</w:t>
      </w:r>
      <w:r>
        <w:rPr>
          <w:rFonts w:hint="eastAsia" w:ascii="宋体" w:hAnsi="宋体" w:cs="宋体"/>
          <w:color w:val="auto"/>
          <w:sz w:val="24"/>
        </w:rPr>
        <w:t xml:space="preserve"> </w:t>
      </w:r>
      <w:r>
        <w:rPr>
          <w:rFonts w:ascii="宋体" w:hAnsi="宋体" w:cs="宋体"/>
          <w:color w:val="auto"/>
          <w:sz w:val="24"/>
        </w:rPr>
        <w:t>月</w:t>
      </w:r>
      <w:r>
        <w:rPr>
          <w:rFonts w:hint="eastAsia" w:ascii="宋体" w:hAnsi="宋体" w:cs="宋体"/>
          <w:color w:val="auto"/>
          <w:sz w:val="24"/>
        </w:rPr>
        <w:t xml:space="preserve"> </w:t>
      </w:r>
      <w:r>
        <w:rPr>
          <w:rFonts w:ascii="宋体" w:hAnsi="宋体" w:cs="宋体"/>
          <w:color w:val="auto"/>
          <w:sz w:val="24"/>
        </w:rPr>
        <w:t>日</w:t>
      </w:r>
    </w:p>
    <w:p w14:paraId="612C6CDB">
      <w:pPr>
        <w:spacing w:line="360" w:lineRule="auto"/>
        <w:ind w:right="-21" w:rightChars="-10"/>
        <w:jc w:val="left"/>
        <w:rPr>
          <w:rFonts w:ascii="宋体" w:hAnsi="宋体" w:cs="宋体"/>
          <w:color w:val="auto"/>
          <w:sz w:val="24"/>
        </w:rPr>
      </w:pPr>
      <w:r>
        <w:rPr>
          <w:rFonts w:hint="eastAsia" w:ascii="宋体" w:hAnsi="宋体" w:cs="宋体"/>
          <w:color w:val="auto"/>
          <w:sz w:val="24"/>
        </w:rPr>
        <w:t>注：未按照本比选函的格式要求填写比选函的，将视为不满</w:t>
      </w:r>
      <w:bookmarkStart w:id="381" w:name="_Toc1460"/>
      <w:r>
        <w:rPr>
          <w:rFonts w:hint="eastAsia" w:ascii="宋体" w:hAnsi="宋体" w:cs="宋体"/>
          <w:color w:val="auto"/>
          <w:sz w:val="24"/>
        </w:rPr>
        <w:t>足比选文</w:t>
      </w:r>
      <w:bookmarkEnd w:id="381"/>
      <w:r>
        <w:rPr>
          <w:rFonts w:hint="eastAsia" w:ascii="宋体" w:hAnsi="宋体" w:cs="宋体"/>
          <w:color w:val="auto"/>
          <w:sz w:val="24"/>
        </w:rPr>
        <w:t>件要求，从而导致该比选申请人竞选无效。</w:t>
      </w:r>
    </w:p>
    <w:p w14:paraId="4DF6119F">
      <w:pPr>
        <w:jc w:val="center"/>
        <w:rPr>
          <w:rFonts w:ascii="宋体" w:hAnsi="宋体"/>
          <w:b/>
          <w:color w:val="auto"/>
          <w:kern w:val="0"/>
          <w:sz w:val="30"/>
          <w:szCs w:val="30"/>
        </w:rPr>
      </w:pPr>
    </w:p>
    <w:p w14:paraId="3F91300E">
      <w:pPr>
        <w:jc w:val="center"/>
        <w:rPr>
          <w:rFonts w:ascii="宋体" w:hAnsi="宋体"/>
          <w:b/>
          <w:color w:val="auto"/>
          <w:kern w:val="0"/>
          <w:sz w:val="30"/>
          <w:szCs w:val="30"/>
        </w:rPr>
      </w:pPr>
    </w:p>
    <w:p w14:paraId="46EE9CF1">
      <w:pPr>
        <w:jc w:val="center"/>
        <w:rPr>
          <w:rFonts w:ascii="宋体" w:hAnsi="宋体"/>
          <w:b/>
          <w:color w:val="auto"/>
          <w:kern w:val="0"/>
          <w:sz w:val="30"/>
          <w:szCs w:val="30"/>
        </w:rPr>
      </w:pPr>
    </w:p>
    <w:p w14:paraId="3CC7DF05">
      <w:pPr>
        <w:jc w:val="center"/>
        <w:rPr>
          <w:rFonts w:ascii="宋体" w:hAnsi="宋体"/>
          <w:b/>
          <w:color w:val="auto"/>
          <w:kern w:val="0"/>
          <w:sz w:val="30"/>
          <w:szCs w:val="30"/>
        </w:rPr>
      </w:pPr>
    </w:p>
    <w:p w14:paraId="322627B3">
      <w:pPr>
        <w:jc w:val="center"/>
        <w:rPr>
          <w:rFonts w:ascii="宋体" w:hAnsi="宋体"/>
          <w:b/>
          <w:color w:val="auto"/>
          <w:kern w:val="0"/>
          <w:sz w:val="30"/>
          <w:szCs w:val="30"/>
        </w:rPr>
      </w:pPr>
    </w:p>
    <w:p w14:paraId="0B8CB950">
      <w:pPr>
        <w:jc w:val="center"/>
        <w:rPr>
          <w:rFonts w:ascii="宋体" w:hAnsi="宋体"/>
          <w:b/>
          <w:color w:val="auto"/>
          <w:kern w:val="0"/>
          <w:sz w:val="30"/>
          <w:szCs w:val="30"/>
        </w:rPr>
      </w:pPr>
    </w:p>
    <w:p w14:paraId="786CDD6B">
      <w:pPr>
        <w:jc w:val="center"/>
        <w:rPr>
          <w:rFonts w:ascii="宋体" w:hAnsi="宋体"/>
          <w:b/>
          <w:color w:val="auto"/>
          <w:kern w:val="0"/>
          <w:sz w:val="30"/>
          <w:szCs w:val="30"/>
        </w:rPr>
      </w:pPr>
    </w:p>
    <w:p w14:paraId="5764A8E3">
      <w:pPr>
        <w:jc w:val="center"/>
        <w:rPr>
          <w:rFonts w:ascii="宋体" w:hAnsi="宋体"/>
          <w:b/>
          <w:color w:val="auto"/>
          <w:kern w:val="0"/>
          <w:sz w:val="30"/>
          <w:szCs w:val="30"/>
        </w:rPr>
      </w:pPr>
    </w:p>
    <w:p w14:paraId="356BE8C5">
      <w:pPr>
        <w:jc w:val="center"/>
        <w:rPr>
          <w:rFonts w:ascii="宋体" w:hAnsi="宋体"/>
          <w:b/>
          <w:color w:val="auto"/>
          <w:kern w:val="0"/>
          <w:sz w:val="30"/>
          <w:szCs w:val="30"/>
        </w:rPr>
      </w:pPr>
    </w:p>
    <w:p w14:paraId="3C98957E">
      <w:pPr>
        <w:jc w:val="center"/>
        <w:rPr>
          <w:rFonts w:ascii="宋体" w:hAnsi="宋体"/>
          <w:b/>
          <w:color w:val="auto"/>
          <w:kern w:val="0"/>
          <w:sz w:val="30"/>
          <w:szCs w:val="30"/>
        </w:rPr>
      </w:pPr>
    </w:p>
    <w:p w14:paraId="495AB99D">
      <w:pPr>
        <w:jc w:val="center"/>
        <w:rPr>
          <w:rFonts w:ascii="宋体" w:hAnsi="宋体"/>
          <w:b/>
          <w:color w:val="auto"/>
          <w:kern w:val="0"/>
          <w:sz w:val="30"/>
          <w:szCs w:val="30"/>
        </w:rPr>
      </w:pPr>
    </w:p>
    <w:p w14:paraId="4621E61F">
      <w:pPr>
        <w:jc w:val="center"/>
        <w:rPr>
          <w:rFonts w:ascii="宋体" w:hAnsi="宋体"/>
          <w:b/>
          <w:color w:val="auto"/>
          <w:kern w:val="0"/>
          <w:sz w:val="30"/>
          <w:szCs w:val="30"/>
        </w:rPr>
      </w:pPr>
    </w:p>
    <w:bookmarkEnd w:id="372"/>
    <w:bookmarkEnd w:id="373"/>
    <w:bookmarkEnd w:id="374"/>
    <w:bookmarkEnd w:id="375"/>
    <w:bookmarkEnd w:id="376"/>
    <w:bookmarkEnd w:id="377"/>
    <w:bookmarkEnd w:id="378"/>
    <w:bookmarkEnd w:id="379"/>
    <w:bookmarkEnd w:id="380"/>
    <w:p w14:paraId="4EAB6667">
      <w:pPr>
        <w:pStyle w:val="8"/>
        <w:ind w:right="753" w:firstLine="281" w:firstLineChars="100"/>
        <w:jc w:val="left"/>
        <w:outlineLvl w:val="9"/>
        <w:rPr>
          <w:rFonts w:ascii="宋体" w:hAnsi="宋体" w:cs="宋体"/>
          <w:b/>
          <w:bCs/>
          <w:color w:val="auto"/>
          <w:kern w:val="2"/>
          <w:szCs w:val="28"/>
        </w:rPr>
      </w:pPr>
    </w:p>
    <w:p w14:paraId="3301A9D2"/>
    <w:p w14:paraId="3D36F6A6">
      <w:pPr>
        <w:pStyle w:val="8"/>
        <w:ind w:right="753" w:firstLine="281" w:firstLineChars="100"/>
        <w:jc w:val="left"/>
        <w:outlineLvl w:val="9"/>
        <w:rPr>
          <w:rFonts w:ascii="宋体" w:hAnsi="宋体" w:cs="宋体"/>
          <w:b/>
          <w:bCs/>
          <w:color w:val="auto"/>
          <w:kern w:val="2"/>
          <w:szCs w:val="28"/>
        </w:rPr>
      </w:pPr>
    </w:p>
    <w:p w14:paraId="46DAD15D">
      <w:pPr>
        <w:rPr>
          <w:rFonts w:ascii="宋体" w:hAnsi="宋体" w:cs="宋体"/>
          <w:b/>
          <w:bCs/>
          <w:color w:val="auto"/>
          <w:kern w:val="2"/>
          <w:szCs w:val="28"/>
        </w:rPr>
      </w:pPr>
    </w:p>
    <w:p w14:paraId="18AF77A1">
      <w:pPr>
        <w:rPr>
          <w:rFonts w:ascii="宋体" w:hAnsi="宋体" w:cs="宋体"/>
          <w:b/>
          <w:bCs/>
          <w:color w:val="auto"/>
          <w:kern w:val="2"/>
          <w:szCs w:val="28"/>
        </w:rPr>
      </w:pPr>
    </w:p>
    <w:p w14:paraId="53503367">
      <w:pPr>
        <w:rPr>
          <w:rFonts w:ascii="宋体" w:hAnsi="宋体" w:cs="宋体"/>
          <w:b/>
          <w:bCs/>
          <w:color w:val="auto"/>
          <w:kern w:val="2"/>
          <w:szCs w:val="28"/>
        </w:rPr>
      </w:pPr>
    </w:p>
    <w:p w14:paraId="3DC753CE">
      <w:pPr>
        <w:rPr>
          <w:rFonts w:ascii="宋体" w:hAnsi="宋体" w:cs="宋体"/>
          <w:b/>
          <w:bCs/>
          <w:color w:val="auto"/>
          <w:kern w:val="2"/>
          <w:szCs w:val="28"/>
        </w:rPr>
      </w:pPr>
    </w:p>
    <w:p w14:paraId="10ED0A35">
      <w:pPr>
        <w:rPr>
          <w:rFonts w:ascii="宋体" w:hAnsi="宋体" w:cs="宋体"/>
          <w:b/>
          <w:bCs/>
          <w:color w:val="auto"/>
          <w:kern w:val="2"/>
          <w:szCs w:val="28"/>
        </w:rPr>
      </w:pPr>
    </w:p>
    <w:p w14:paraId="73B02401">
      <w:pPr>
        <w:rPr>
          <w:rFonts w:ascii="宋体" w:hAnsi="宋体" w:cs="宋体"/>
          <w:b/>
          <w:bCs/>
          <w:color w:val="auto"/>
          <w:kern w:val="2"/>
          <w:szCs w:val="28"/>
        </w:rPr>
      </w:pPr>
    </w:p>
    <w:p w14:paraId="196C59D8">
      <w:pPr>
        <w:rPr>
          <w:rFonts w:ascii="宋体" w:hAnsi="宋体" w:cs="宋体"/>
          <w:b/>
          <w:bCs/>
          <w:color w:val="auto"/>
          <w:kern w:val="2"/>
          <w:szCs w:val="28"/>
        </w:rPr>
      </w:pPr>
    </w:p>
    <w:p w14:paraId="64DD9FF8">
      <w:pPr>
        <w:rPr>
          <w:rFonts w:ascii="宋体" w:hAnsi="宋体" w:cs="宋体"/>
          <w:b/>
          <w:bCs/>
          <w:color w:val="auto"/>
          <w:kern w:val="2"/>
          <w:szCs w:val="28"/>
        </w:rPr>
      </w:pPr>
    </w:p>
    <w:p w14:paraId="2A4ACF9B">
      <w:pPr>
        <w:rPr>
          <w:rFonts w:ascii="宋体" w:hAnsi="宋体" w:cs="宋体"/>
          <w:b/>
          <w:bCs/>
          <w:color w:val="auto"/>
          <w:kern w:val="2"/>
          <w:szCs w:val="28"/>
        </w:rPr>
      </w:pPr>
    </w:p>
    <w:p w14:paraId="21227883">
      <w:pPr>
        <w:rPr>
          <w:rFonts w:ascii="宋体" w:hAnsi="宋体" w:cs="宋体"/>
          <w:b/>
          <w:bCs/>
          <w:color w:val="auto"/>
          <w:kern w:val="2"/>
          <w:szCs w:val="28"/>
        </w:rPr>
      </w:pPr>
    </w:p>
    <w:p w14:paraId="7987DD64">
      <w:pPr>
        <w:numPr>
          <w:ilvl w:val="0"/>
          <w:numId w:val="0"/>
        </w:numPr>
        <w:jc w:val="left"/>
        <w:outlineLvl w:val="9"/>
        <w:rPr>
          <w:rFonts w:hint="eastAsia"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3.律师事务所执业许可证（复印件加盖律所公章）</w:t>
      </w:r>
    </w:p>
    <w:p w14:paraId="44D9A137">
      <w:pPr>
        <w:pStyle w:val="8"/>
        <w:outlineLvl w:val="9"/>
        <w:rPr>
          <w:color w:val="auto"/>
        </w:rPr>
      </w:pPr>
    </w:p>
    <w:p w14:paraId="1B7807C9">
      <w:pPr>
        <w:rPr>
          <w:color w:val="auto"/>
        </w:rPr>
      </w:pPr>
    </w:p>
    <w:p w14:paraId="2CF4BFD4">
      <w:pPr>
        <w:rPr>
          <w:color w:val="auto"/>
        </w:rPr>
      </w:pPr>
    </w:p>
    <w:p w14:paraId="656604DF">
      <w:pPr>
        <w:rPr>
          <w:color w:val="auto"/>
        </w:rPr>
      </w:pPr>
    </w:p>
    <w:p w14:paraId="77482049">
      <w:pPr>
        <w:rPr>
          <w:color w:val="auto"/>
        </w:rPr>
      </w:pPr>
    </w:p>
    <w:p w14:paraId="2DA73552">
      <w:pPr>
        <w:rPr>
          <w:color w:val="auto"/>
        </w:rPr>
      </w:pPr>
    </w:p>
    <w:p w14:paraId="772E4CB5">
      <w:pPr>
        <w:rPr>
          <w:color w:val="auto"/>
        </w:rPr>
      </w:pPr>
    </w:p>
    <w:p w14:paraId="638BCDF0">
      <w:pPr>
        <w:rPr>
          <w:color w:val="auto"/>
        </w:rPr>
      </w:pPr>
    </w:p>
    <w:p w14:paraId="06CF7482">
      <w:pPr>
        <w:rPr>
          <w:color w:val="auto"/>
        </w:rPr>
      </w:pPr>
    </w:p>
    <w:p w14:paraId="7E43E5D4">
      <w:pPr>
        <w:rPr>
          <w:color w:val="auto"/>
        </w:rPr>
      </w:pPr>
    </w:p>
    <w:p w14:paraId="5379DA00">
      <w:pPr>
        <w:rPr>
          <w:color w:val="auto"/>
        </w:rPr>
      </w:pPr>
    </w:p>
    <w:p w14:paraId="647FDDA5">
      <w:pPr>
        <w:rPr>
          <w:color w:val="auto"/>
        </w:rPr>
      </w:pPr>
    </w:p>
    <w:p w14:paraId="011AAE3A">
      <w:pPr>
        <w:rPr>
          <w:color w:val="auto"/>
        </w:rPr>
      </w:pPr>
    </w:p>
    <w:p w14:paraId="576376DD">
      <w:pPr>
        <w:rPr>
          <w:color w:val="auto"/>
        </w:rPr>
      </w:pPr>
    </w:p>
    <w:p w14:paraId="3EA77487">
      <w:pPr>
        <w:rPr>
          <w:color w:val="auto"/>
        </w:rPr>
      </w:pPr>
    </w:p>
    <w:p w14:paraId="7D42FBD4">
      <w:pPr>
        <w:rPr>
          <w:color w:val="auto"/>
        </w:rPr>
      </w:pPr>
    </w:p>
    <w:p w14:paraId="6B564239">
      <w:pPr>
        <w:rPr>
          <w:color w:val="auto"/>
        </w:rPr>
      </w:pPr>
    </w:p>
    <w:p w14:paraId="32BF7E73">
      <w:pPr>
        <w:rPr>
          <w:color w:val="auto"/>
        </w:rPr>
      </w:pPr>
    </w:p>
    <w:p w14:paraId="4CA28EDD">
      <w:pPr>
        <w:rPr>
          <w:color w:val="auto"/>
        </w:rPr>
      </w:pPr>
    </w:p>
    <w:p w14:paraId="54EB7CF8">
      <w:pPr>
        <w:rPr>
          <w:color w:val="auto"/>
        </w:rPr>
      </w:pPr>
    </w:p>
    <w:p w14:paraId="32D9F291">
      <w:pPr>
        <w:rPr>
          <w:color w:val="auto"/>
        </w:rPr>
      </w:pPr>
    </w:p>
    <w:p w14:paraId="4EF994A7">
      <w:pPr>
        <w:rPr>
          <w:color w:val="auto"/>
        </w:rPr>
      </w:pPr>
    </w:p>
    <w:p w14:paraId="1A596ABE">
      <w:pPr>
        <w:rPr>
          <w:color w:val="auto"/>
        </w:rPr>
      </w:pPr>
    </w:p>
    <w:p w14:paraId="0E599322">
      <w:pPr>
        <w:rPr>
          <w:color w:val="auto"/>
        </w:rPr>
      </w:pPr>
    </w:p>
    <w:p w14:paraId="30754D84">
      <w:pPr>
        <w:rPr>
          <w:color w:val="auto"/>
        </w:rPr>
      </w:pPr>
    </w:p>
    <w:p w14:paraId="7381A1DC">
      <w:pPr>
        <w:rPr>
          <w:color w:val="auto"/>
        </w:rPr>
      </w:pPr>
    </w:p>
    <w:p w14:paraId="14A04017">
      <w:pPr>
        <w:rPr>
          <w:color w:val="auto"/>
        </w:rPr>
      </w:pPr>
    </w:p>
    <w:p w14:paraId="2296B11C">
      <w:pPr>
        <w:rPr>
          <w:color w:val="auto"/>
        </w:rPr>
      </w:pPr>
    </w:p>
    <w:p w14:paraId="032C36AD">
      <w:pPr>
        <w:rPr>
          <w:color w:val="auto"/>
        </w:rPr>
      </w:pPr>
    </w:p>
    <w:p w14:paraId="3E3DF6FC">
      <w:pPr>
        <w:rPr>
          <w:color w:val="auto"/>
        </w:rPr>
      </w:pPr>
    </w:p>
    <w:p w14:paraId="47971D26">
      <w:pPr>
        <w:rPr>
          <w:color w:val="auto"/>
        </w:rPr>
      </w:pPr>
    </w:p>
    <w:p w14:paraId="5D9D38F0">
      <w:pPr>
        <w:rPr>
          <w:color w:val="auto"/>
        </w:rPr>
      </w:pPr>
    </w:p>
    <w:p w14:paraId="0F9F6A95">
      <w:pPr>
        <w:rPr>
          <w:color w:val="auto"/>
        </w:rPr>
      </w:pPr>
    </w:p>
    <w:p w14:paraId="34BEB020">
      <w:pPr>
        <w:rPr>
          <w:color w:val="auto"/>
        </w:rPr>
      </w:pPr>
    </w:p>
    <w:p w14:paraId="3E8769FF">
      <w:pPr>
        <w:rPr>
          <w:color w:val="auto"/>
        </w:rPr>
      </w:pPr>
    </w:p>
    <w:p w14:paraId="6C3A83C4">
      <w:pPr>
        <w:rPr>
          <w:color w:val="auto"/>
        </w:rPr>
      </w:pPr>
    </w:p>
    <w:p w14:paraId="04CECA8F">
      <w:pPr>
        <w:rPr>
          <w:color w:val="auto"/>
        </w:rPr>
      </w:pPr>
    </w:p>
    <w:p w14:paraId="2A535937">
      <w:pPr>
        <w:rPr>
          <w:color w:val="auto"/>
        </w:rPr>
      </w:pPr>
    </w:p>
    <w:p w14:paraId="663D2361">
      <w:pPr>
        <w:rPr>
          <w:color w:val="auto"/>
        </w:rPr>
      </w:pPr>
    </w:p>
    <w:p w14:paraId="7903751B">
      <w:pPr>
        <w:rPr>
          <w:color w:val="auto"/>
        </w:rPr>
      </w:pPr>
    </w:p>
    <w:p w14:paraId="4941E7EB">
      <w:pPr>
        <w:ind w:right="753" w:firstLine="420"/>
        <w:jc w:val="left"/>
        <w:rPr>
          <w:rFonts w:ascii="宋体" w:hAnsi="宋体"/>
          <w:b/>
          <w:bCs/>
          <w:color w:val="auto"/>
          <w:sz w:val="28"/>
          <w:szCs w:val="28"/>
        </w:rPr>
      </w:pPr>
    </w:p>
    <w:p w14:paraId="1214698E">
      <w:pPr>
        <w:ind w:right="753" w:firstLine="420"/>
        <w:jc w:val="left"/>
        <w:rPr>
          <w:rFonts w:ascii="宋体" w:hAnsi="宋体"/>
          <w:b/>
          <w:bCs/>
          <w:color w:val="auto"/>
          <w:sz w:val="28"/>
          <w:szCs w:val="28"/>
        </w:rPr>
      </w:pPr>
    </w:p>
    <w:p w14:paraId="06F50730">
      <w:pPr>
        <w:ind w:right="753" w:firstLine="420"/>
        <w:jc w:val="left"/>
        <w:rPr>
          <w:rFonts w:ascii="宋体" w:hAnsi="宋体"/>
          <w:b/>
          <w:bCs/>
          <w:color w:val="auto"/>
          <w:sz w:val="28"/>
          <w:szCs w:val="28"/>
        </w:rPr>
      </w:pPr>
    </w:p>
    <w:p w14:paraId="403555E8">
      <w:pPr>
        <w:ind w:right="753" w:firstLine="420"/>
        <w:jc w:val="left"/>
        <w:rPr>
          <w:rFonts w:ascii="宋体" w:hAnsi="宋体"/>
          <w:b/>
          <w:bCs/>
          <w:color w:val="auto"/>
          <w:sz w:val="28"/>
          <w:szCs w:val="28"/>
        </w:rPr>
      </w:pPr>
    </w:p>
    <w:p w14:paraId="7F7635D7">
      <w:pPr>
        <w:ind w:right="753" w:firstLine="420"/>
        <w:jc w:val="left"/>
        <w:rPr>
          <w:rFonts w:ascii="宋体" w:hAnsi="宋体"/>
          <w:b/>
          <w:bCs/>
          <w:color w:val="auto"/>
          <w:sz w:val="28"/>
          <w:szCs w:val="28"/>
        </w:rPr>
      </w:pPr>
    </w:p>
    <w:p w14:paraId="23CEEC87">
      <w:pPr>
        <w:ind w:right="753" w:firstLine="420"/>
        <w:jc w:val="left"/>
        <w:rPr>
          <w:rFonts w:ascii="宋体" w:hAnsi="宋体"/>
          <w:b/>
          <w:bCs/>
          <w:color w:val="auto"/>
          <w:sz w:val="28"/>
          <w:szCs w:val="28"/>
        </w:rPr>
      </w:pPr>
    </w:p>
    <w:p w14:paraId="6DD7FC9E">
      <w:pPr>
        <w:ind w:right="753" w:firstLine="420"/>
        <w:jc w:val="left"/>
        <w:rPr>
          <w:rFonts w:ascii="宋体" w:hAnsi="宋体"/>
          <w:b/>
          <w:bCs/>
          <w:color w:val="auto"/>
          <w:sz w:val="28"/>
          <w:szCs w:val="28"/>
        </w:rPr>
      </w:pPr>
    </w:p>
    <w:p w14:paraId="7F4F2A31">
      <w:pPr>
        <w:ind w:right="753" w:firstLine="420"/>
        <w:jc w:val="left"/>
        <w:rPr>
          <w:rFonts w:ascii="宋体" w:hAnsi="宋体"/>
          <w:b/>
          <w:bCs/>
          <w:color w:val="auto"/>
          <w:sz w:val="28"/>
          <w:szCs w:val="28"/>
        </w:rPr>
      </w:pPr>
    </w:p>
    <w:p w14:paraId="2F27CCF8">
      <w:pPr>
        <w:ind w:right="753" w:firstLine="420"/>
        <w:jc w:val="left"/>
        <w:rPr>
          <w:rFonts w:ascii="宋体" w:hAnsi="宋体"/>
          <w:b/>
          <w:bCs/>
          <w:color w:val="auto"/>
          <w:sz w:val="28"/>
          <w:szCs w:val="28"/>
        </w:rPr>
      </w:pPr>
    </w:p>
    <w:p w14:paraId="19297D44">
      <w:pPr>
        <w:ind w:right="753" w:firstLine="420"/>
        <w:jc w:val="left"/>
        <w:outlineLvl w:val="9"/>
        <w:rPr>
          <w:rFonts w:ascii="宋体" w:hAnsi="宋体"/>
          <w:b/>
          <w:bCs/>
          <w:color w:val="auto"/>
          <w:sz w:val="28"/>
          <w:szCs w:val="28"/>
        </w:rPr>
      </w:pPr>
      <w:r>
        <w:rPr>
          <w:rFonts w:ascii="宋体" w:hAnsi="宋体"/>
          <w:b/>
          <w:bCs/>
          <w:color w:val="auto"/>
          <w:sz w:val="28"/>
          <w:szCs w:val="28"/>
        </w:rPr>
        <w:t>4.</w:t>
      </w:r>
      <w:r>
        <w:rPr>
          <w:rFonts w:hint="eastAsia" w:ascii="宋体" w:hAnsi="宋体"/>
          <w:b/>
          <w:bCs/>
          <w:color w:val="auto"/>
          <w:sz w:val="28"/>
          <w:szCs w:val="28"/>
        </w:rPr>
        <w:t>律师事务所负责人身份证明（复印件加盖律所公章）</w:t>
      </w:r>
    </w:p>
    <w:p w14:paraId="37B1E79B">
      <w:pPr>
        <w:autoSpaceDE w:val="0"/>
        <w:autoSpaceDN w:val="0"/>
        <w:adjustRightInd w:val="0"/>
        <w:spacing w:line="480" w:lineRule="auto"/>
        <w:jc w:val="center"/>
        <w:rPr>
          <w:rFonts w:ascii="宋体" w:hAnsi="宋体"/>
          <w:b/>
          <w:bCs/>
          <w:color w:val="auto"/>
          <w:sz w:val="28"/>
          <w:szCs w:val="28"/>
        </w:rPr>
      </w:pPr>
    </w:p>
    <w:p w14:paraId="63693615">
      <w:pPr>
        <w:autoSpaceDE w:val="0"/>
        <w:autoSpaceDN w:val="0"/>
        <w:adjustRightInd w:val="0"/>
        <w:spacing w:line="480" w:lineRule="auto"/>
        <w:jc w:val="center"/>
        <w:rPr>
          <w:rFonts w:ascii="宋体" w:hAnsi="宋体"/>
          <w:b/>
          <w:color w:val="auto"/>
          <w:kern w:val="0"/>
          <w:sz w:val="30"/>
          <w:szCs w:val="30"/>
        </w:rPr>
      </w:pPr>
    </w:p>
    <w:p w14:paraId="4F6B0CAA">
      <w:pPr>
        <w:autoSpaceDE w:val="0"/>
        <w:autoSpaceDN w:val="0"/>
        <w:adjustRightInd w:val="0"/>
        <w:spacing w:line="480" w:lineRule="auto"/>
        <w:jc w:val="center"/>
        <w:rPr>
          <w:rFonts w:ascii="宋体" w:hAnsi="宋体"/>
          <w:b/>
          <w:color w:val="auto"/>
          <w:kern w:val="0"/>
          <w:sz w:val="30"/>
          <w:szCs w:val="30"/>
        </w:rPr>
      </w:pPr>
    </w:p>
    <w:p w14:paraId="3B5E5A86">
      <w:pPr>
        <w:autoSpaceDE w:val="0"/>
        <w:autoSpaceDN w:val="0"/>
        <w:adjustRightInd w:val="0"/>
        <w:spacing w:line="480" w:lineRule="auto"/>
        <w:jc w:val="center"/>
        <w:rPr>
          <w:rFonts w:ascii="宋体" w:hAnsi="宋体"/>
          <w:b/>
          <w:color w:val="auto"/>
          <w:kern w:val="0"/>
          <w:sz w:val="30"/>
          <w:szCs w:val="30"/>
        </w:rPr>
      </w:pPr>
    </w:p>
    <w:p w14:paraId="79AEC947">
      <w:pPr>
        <w:autoSpaceDE w:val="0"/>
        <w:autoSpaceDN w:val="0"/>
        <w:adjustRightInd w:val="0"/>
        <w:spacing w:line="480" w:lineRule="auto"/>
        <w:jc w:val="center"/>
        <w:rPr>
          <w:rFonts w:ascii="宋体" w:hAnsi="宋体"/>
          <w:b/>
          <w:color w:val="auto"/>
          <w:kern w:val="0"/>
          <w:sz w:val="30"/>
          <w:szCs w:val="30"/>
        </w:rPr>
      </w:pPr>
    </w:p>
    <w:p w14:paraId="45FAE334">
      <w:pPr>
        <w:autoSpaceDE w:val="0"/>
        <w:autoSpaceDN w:val="0"/>
        <w:adjustRightInd w:val="0"/>
        <w:spacing w:line="480" w:lineRule="auto"/>
        <w:jc w:val="center"/>
        <w:rPr>
          <w:rFonts w:ascii="宋体" w:hAnsi="宋体"/>
          <w:b/>
          <w:color w:val="auto"/>
          <w:kern w:val="0"/>
          <w:sz w:val="30"/>
          <w:szCs w:val="30"/>
        </w:rPr>
      </w:pPr>
    </w:p>
    <w:p w14:paraId="649D1B16">
      <w:pPr>
        <w:autoSpaceDE w:val="0"/>
        <w:autoSpaceDN w:val="0"/>
        <w:adjustRightInd w:val="0"/>
        <w:spacing w:line="480" w:lineRule="auto"/>
        <w:jc w:val="center"/>
        <w:rPr>
          <w:rFonts w:ascii="宋体" w:hAnsi="宋体"/>
          <w:b/>
          <w:color w:val="auto"/>
          <w:kern w:val="0"/>
          <w:sz w:val="30"/>
          <w:szCs w:val="30"/>
        </w:rPr>
      </w:pPr>
    </w:p>
    <w:p w14:paraId="5274E84E">
      <w:pPr>
        <w:autoSpaceDE w:val="0"/>
        <w:autoSpaceDN w:val="0"/>
        <w:adjustRightInd w:val="0"/>
        <w:spacing w:line="480" w:lineRule="auto"/>
        <w:jc w:val="center"/>
        <w:rPr>
          <w:rFonts w:ascii="宋体" w:hAnsi="宋体"/>
          <w:b/>
          <w:color w:val="auto"/>
          <w:kern w:val="0"/>
          <w:sz w:val="30"/>
          <w:szCs w:val="30"/>
        </w:rPr>
      </w:pPr>
    </w:p>
    <w:p w14:paraId="150291BE">
      <w:pPr>
        <w:autoSpaceDE w:val="0"/>
        <w:autoSpaceDN w:val="0"/>
        <w:adjustRightInd w:val="0"/>
        <w:spacing w:line="480" w:lineRule="auto"/>
        <w:jc w:val="center"/>
        <w:rPr>
          <w:rFonts w:ascii="宋体" w:hAnsi="宋体"/>
          <w:b/>
          <w:color w:val="auto"/>
          <w:kern w:val="0"/>
          <w:sz w:val="30"/>
          <w:szCs w:val="30"/>
        </w:rPr>
      </w:pPr>
    </w:p>
    <w:p w14:paraId="781C5A13">
      <w:pPr>
        <w:autoSpaceDE w:val="0"/>
        <w:autoSpaceDN w:val="0"/>
        <w:adjustRightInd w:val="0"/>
        <w:spacing w:line="480" w:lineRule="auto"/>
        <w:jc w:val="center"/>
        <w:rPr>
          <w:rFonts w:ascii="宋体" w:hAnsi="宋体"/>
          <w:b/>
          <w:color w:val="auto"/>
          <w:kern w:val="0"/>
          <w:sz w:val="30"/>
          <w:szCs w:val="30"/>
        </w:rPr>
      </w:pPr>
    </w:p>
    <w:p w14:paraId="1FAD9943">
      <w:pPr>
        <w:autoSpaceDE w:val="0"/>
        <w:autoSpaceDN w:val="0"/>
        <w:adjustRightInd w:val="0"/>
        <w:spacing w:line="480" w:lineRule="auto"/>
        <w:jc w:val="center"/>
        <w:rPr>
          <w:rFonts w:ascii="宋体" w:hAnsi="宋体"/>
          <w:b/>
          <w:color w:val="auto"/>
          <w:kern w:val="0"/>
          <w:sz w:val="30"/>
          <w:szCs w:val="30"/>
        </w:rPr>
      </w:pPr>
    </w:p>
    <w:p w14:paraId="49170052">
      <w:pPr>
        <w:autoSpaceDE w:val="0"/>
        <w:autoSpaceDN w:val="0"/>
        <w:adjustRightInd w:val="0"/>
        <w:spacing w:line="480" w:lineRule="auto"/>
        <w:jc w:val="center"/>
        <w:rPr>
          <w:rFonts w:ascii="宋体" w:hAnsi="宋体"/>
          <w:b/>
          <w:color w:val="auto"/>
          <w:kern w:val="0"/>
          <w:sz w:val="30"/>
          <w:szCs w:val="30"/>
        </w:rPr>
      </w:pPr>
    </w:p>
    <w:p w14:paraId="4E5F56E7">
      <w:pPr>
        <w:autoSpaceDE w:val="0"/>
        <w:autoSpaceDN w:val="0"/>
        <w:adjustRightInd w:val="0"/>
        <w:spacing w:line="480" w:lineRule="auto"/>
        <w:jc w:val="center"/>
        <w:rPr>
          <w:rFonts w:ascii="宋体" w:hAnsi="宋体"/>
          <w:b/>
          <w:color w:val="auto"/>
          <w:kern w:val="0"/>
          <w:sz w:val="30"/>
          <w:szCs w:val="30"/>
        </w:rPr>
      </w:pPr>
    </w:p>
    <w:p w14:paraId="5C57F772">
      <w:pPr>
        <w:autoSpaceDE w:val="0"/>
        <w:autoSpaceDN w:val="0"/>
        <w:adjustRightInd w:val="0"/>
        <w:spacing w:line="480" w:lineRule="auto"/>
        <w:jc w:val="center"/>
        <w:rPr>
          <w:rFonts w:ascii="宋体" w:hAnsi="宋体"/>
          <w:b/>
          <w:color w:val="auto"/>
          <w:kern w:val="0"/>
          <w:sz w:val="30"/>
          <w:szCs w:val="30"/>
        </w:rPr>
      </w:pPr>
    </w:p>
    <w:p w14:paraId="5429D624">
      <w:pPr>
        <w:autoSpaceDE w:val="0"/>
        <w:autoSpaceDN w:val="0"/>
        <w:adjustRightInd w:val="0"/>
        <w:spacing w:line="480" w:lineRule="auto"/>
        <w:jc w:val="center"/>
        <w:rPr>
          <w:rFonts w:ascii="宋体" w:hAnsi="宋体"/>
          <w:b/>
          <w:color w:val="auto"/>
          <w:kern w:val="0"/>
          <w:sz w:val="30"/>
          <w:szCs w:val="30"/>
        </w:rPr>
      </w:pPr>
    </w:p>
    <w:p w14:paraId="4E1108E8">
      <w:pPr>
        <w:autoSpaceDE w:val="0"/>
        <w:autoSpaceDN w:val="0"/>
        <w:adjustRightInd w:val="0"/>
        <w:spacing w:line="480" w:lineRule="auto"/>
        <w:jc w:val="center"/>
        <w:rPr>
          <w:rFonts w:ascii="宋体" w:hAnsi="宋体"/>
          <w:b/>
          <w:color w:val="auto"/>
          <w:kern w:val="0"/>
          <w:sz w:val="30"/>
          <w:szCs w:val="30"/>
        </w:rPr>
      </w:pPr>
    </w:p>
    <w:p w14:paraId="5446D6A0">
      <w:pPr>
        <w:autoSpaceDE w:val="0"/>
        <w:autoSpaceDN w:val="0"/>
        <w:adjustRightInd w:val="0"/>
        <w:spacing w:line="480" w:lineRule="auto"/>
        <w:jc w:val="center"/>
        <w:rPr>
          <w:rFonts w:ascii="宋体" w:hAnsi="宋体"/>
          <w:b/>
          <w:color w:val="auto"/>
          <w:kern w:val="0"/>
          <w:sz w:val="30"/>
          <w:szCs w:val="30"/>
        </w:rPr>
      </w:pPr>
    </w:p>
    <w:p w14:paraId="2B759418">
      <w:pPr>
        <w:autoSpaceDE w:val="0"/>
        <w:autoSpaceDN w:val="0"/>
        <w:adjustRightInd w:val="0"/>
        <w:spacing w:line="480" w:lineRule="auto"/>
        <w:jc w:val="both"/>
        <w:rPr>
          <w:rFonts w:ascii="宋体" w:hAnsi="宋体"/>
          <w:b/>
          <w:color w:val="auto"/>
          <w:kern w:val="0"/>
          <w:sz w:val="30"/>
          <w:szCs w:val="30"/>
        </w:rPr>
      </w:pPr>
    </w:p>
    <w:p w14:paraId="721BA136">
      <w:pPr>
        <w:numPr>
          <w:ilvl w:val="0"/>
          <w:numId w:val="3"/>
        </w:numPr>
        <w:jc w:val="left"/>
        <w:outlineLvl w:val="9"/>
        <w:rPr>
          <w:rFonts w:hint="eastAsia" w:ascii="宋体" w:hAnsi="宋体"/>
          <w:b/>
          <w:bCs/>
          <w:color w:val="auto"/>
          <w:sz w:val="28"/>
          <w:szCs w:val="28"/>
        </w:rPr>
      </w:pPr>
      <w:bookmarkStart w:id="382" w:name="_Toc21578"/>
      <w:bookmarkStart w:id="383" w:name="_Toc20164"/>
      <w:bookmarkStart w:id="384" w:name="_Toc14553"/>
      <w:bookmarkStart w:id="385" w:name="_Toc2861"/>
      <w:bookmarkStart w:id="386" w:name="_Toc461525326"/>
      <w:bookmarkStart w:id="387" w:name="_Toc16140"/>
      <w:bookmarkStart w:id="388" w:name="_Toc24923"/>
      <w:bookmarkStart w:id="389" w:name="_Toc12228"/>
      <w:bookmarkStart w:id="390" w:name="_Toc31680"/>
      <w:bookmarkStart w:id="391" w:name="_Toc15718"/>
      <w:bookmarkStart w:id="392" w:name="_Toc32606"/>
      <w:bookmarkStart w:id="393" w:name="_Toc27593"/>
      <w:r>
        <w:rPr>
          <w:rFonts w:hint="eastAsia" w:ascii="宋体" w:hAnsi="宋体"/>
          <w:b/>
          <w:bCs/>
          <w:color w:val="auto"/>
          <w:sz w:val="28"/>
          <w:szCs w:val="28"/>
        </w:rPr>
        <w:t>授权委托书</w:t>
      </w:r>
      <w:bookmarkEnd w:id="382"/>
      <w:bookmarkEnd w:id="383"/>
      <w:r>
        <w:rPr>
          <w:rFonts w:hint="eastAsia" w:ascii="宋体" w:hAnsi="宋体"/>
          <w:b/>
          <w:bCs/>
          <w:color w:val="auto"/>
          <w:sz w:val="28"/>
          <w:szCs w:val="28"/>
        </w:rPr>
        <w:t>（格式）</w:t>
      </w:r>
      <w:bookmarkEnd w:id="384"/>
      <w:bookmarkEnd w:id="385"/>
      <w:bookmarkEnd w:id="386"/>
      <w:bookmarkEnd w:id="387"/>
      <w:bookmarkEnd w:id="388"/>
      <w:bookmarkEnd w:id="389"/>
      <w:bookmarkEnd w:id="390"/>
      <w:bookmarkEnd w:id="391"/>
      <w:bookmarkEnd w:id="392"/>
      <w:bookmarkEnd w:id="393"/>
    </w:p>
    <w:p w14:paraId="76852CDB">
      <w:pPr>
        <w:numPr>
          <w:ilvl w:val="0"/>
          <w:numId w:val="0"/>
        </w:numPr>
        <w:jc w:val="left"/>
        <w:outlineLvl w:val="9"/>
        <w:rPr>
          <w:rFonts w:hint="eastAsia" w:ascii="宋体" w:hAnsi="宋体" w:eastAsia="宋体"/>
          <w:b/>
          <w:bCs/>
          <w:color w:val="auto"/>
          <w:sz w:val="28"/>
          <w:szCs w:val="28"/>
          <w:lang w:val="en-US" w:eastAsia="zh-CN"/>
        </w:rPr>
      </w:pPr>
      <w:r>
        <w:rPr>
          <w:rFonts w:hint="eastAsia" w:ascii="宋体" w:hAnsi="宋体"/>
          <w:b/>
          <w:bCs/>
          <w:color w:val="auto"/>
          <w:sz w:val="28"/>
          <w:szCs w:val="28"/>
          <w:lang w:val="en-US" w:eastAsia="zh-CN"/>
        </w:rPr>
        <w:t xml:space="preserve"> </w:t>
      </w:r>
    </w:p>
    <w:p w14:paraId="576F103D">
      <w:pPr>
        <w:spacing w:line="360" w:lineRule="auto"/>
        <w:ind w:right="-21" w:rightChars="-10" w:firstLine="560" w:firstLineChars="200"/>
        <w:jc w:val="left"/>
        <w:rPr>
          <w:rFonts w:hint="eastAsia" w:ascii="宋体" w:hAnsi="宋体" w:cs="宋体"/>
          <w:color w:val="auto"/>
          <w:sz w:val="24"/>
        </w:rPr>
      </w:pPr>
      <w:r>
        <w:rPr>
          <w:rFonts w:hint="eastAsia" w:ascii="宋体" w:hAnsi="宋体" w:cs="宋体"/>
          <w:color w:val="auto"/>
          <w:sz w:val="28"/>
          <w:szCs w:val="28"/>
        </w:rPr>
        <w:t>本授权委托书声明：我系____</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的负责人，现授权委托____为我所代理人，以本律所名义参加</w:t>
      </w:r>
      <w:r>
        <w:rPr>
          <w:rFonts w:hint="eastAsia" w:ascii="宋体" w:hAnsi="宋体" w:cs="宋体"/>
          <w:color w:val="auto"/>
          <w:sz w:val="28"/>
          <w:szCs w:val="28"/>
          <w:lang w:val="en-US" w:eastAsia="zh-CN"/>
        </w:rPr>
        <w:t xml:space="preserve"> </w:t>
      </w:r>
      <w:r>
        <w:rPr>
          <w:rFonts w:hint="eastAsia" w:ascii="宋体" w:hAnsi="宋体" w:cs="宋体"/>
          <w:color w:val="auto"/>
          <w:sz w:val="24"/>
          <w:u w:val="single"/>
          <w:lang w:eastAsia="zh-CN"/>
        </w:rPr>
        <w:t>南宁铁路枢纽投资有限公司</w:t>
      </w:r>
      <w:r>
        <w:rPr>
          <w:rFonts w:hint="eastAsia" w:ascii="宋体" w:hAnsi="宋体" w:cs="宋体"/>
          <w:color w:val="auto"/>
          <w:sz w:val="24"/>
          <w:u w:val="single"/>
          <w:lang w:val="en-US" w:eastAsia="zh-CN"/>
        </w:rPr>
        <w:t>2025</w:t>
      </w:r>
      <w:r>
        <w:rPr>
          <w:rFonts w:ascii="宋体" w:hAnsi="宋体" w:cs="宋体"/>
          <w:color w:val="auto"/>
          <w:sz w:val="24"/>
          <w:u w:val="single"/>
        </w:rPr>
        <w:t>年度法律顾问</w:t>
      </w:r>
      <w:r>
        <w:rPr>
          <w:rFonts w:hint="eastAsia" w:ascii="宋体" w:hAnsi="宋体" w:cs="宋体"/>
          <w:sz w:val="24"/>
          <w:u w:val="single"/>
        </w:rPr>
        <w:t>服务</w:t>
      </w:r>
      <w:r>
        <w:rPr>
          <w:rFonts w:hint="eastAsia" w:ascii="宋体" w:hAnsi="宋体" w:cs="宋体"/>
          <w:color w:val="auto"/>
          <w:sz w:val="28"/>
          <w:szCs w:val="28"/>
        </w:rPr>
        <w:t>项目的比选活动。代理人在</w:t>
      </w:r>
      <w:bookmarkStart w:id="394" w:name="_Toc114052397"/>
      <w:r>
        <w:rPr>
          <w:rFonts w:hint="eastAsia" w:ascii="宋体" w:hAnsi="宋体" w:cs="宋体"/>
          <w:color w:val="auto"/>
          <w:sz w:val="28"/>
          <w:szCs w:val="28"/>
          <w:lang w:val="en-US" w:eastAsia="zh-CN"/>
        </w:rPr>
        <w:t>比选申请</w:t>
      </w:r>
      <w:r>
        <w:rPr>
          <w:rFonts w:hint="eastAsia" w:ascii="宋体" w:hAnsi="宋体" w:cs="宋体"/>
          <w:color w:val="auto"/>
          <w:sz w:val="28"/>
          <w:szCs w:val="28"/>
        </w:rPr>
        <w:t>、评比、</w:t>
      </w:r>
      <w:r>
        <w:rPr>
          <w:rFonts w:hint="eastAsia" w:ascii="宋体" w:hAnsi="宋体" w:cs="宋体"/>
          <w:color w:val="auto"/>
          <w:sz w:val="28"/>
          <w:szCs w:val="28"/>
          <w:lang w:eastAsia="zh-CN"/>
        </w:rPr>
        <w:t>合同澄清</w:t>
      </w:r>
      <w:r>
        <w:rPr>
          <w:rFonts w:hint="eastAsia" w:ascii="宋体" w:hAnsi="宋体" w:cs="宋体"/>
          <w:color w:val="auto"/>
          <w:sz w:val="28"/>
          <w:szCs w:val="28"/>
        </w:rPr>
        <w:t>过程中所签署的一切文</w:t>
      </w:r>
      <w:bookmarkEnd w:id="394"/>
      <w:r>
        <w:rPr>
          <w:rFonts w:hint="eastAsia" w:ascii="宋体" w:hAnsi="宋体" w:cs="宋体"/>
          <w:color w:val="auto"/>
          <w:sz w:val="28"/>
          <w:szCs w:val="28"/>
        </w:rPr>
        <w:t>件和处理与之有关的一切事务，我均予以确认。</w:t>
      </w:r>
    </w:p>
    <w:p w14:paraId="17A33C5D">
      <w:pPr>
        <w:ind w:right="753"/>
        <w:jc w:val="left"/>
        <w:rPr>
          <w:rFonts w:ascii="宋体" w:hAnsi="宋体" w:cs="宋体"/>
          <w:color w:val="auto"/>
          <w:sz w:val="28"/>
          <w:szCs w:val="28"/>
        </w:rPr>
      </w:pPr>
    </w:p>
    <w:p w14:paraId="2DD2781C">
      <w:pPr>
        <w:ind w:right="753"/>
        <w:jc w:val="left"/>
        <w:rPr>
          <w:rFonts w:ascii="宋体" w:hAnsi="宋体" w:cs="宋体"/>
          <w:color w:val="auto"/>
          <w:sz w:val="28"/>
          <w:szCs w:val="28"/>
        </w:rPr>
      </w:pPr>
      <w:r>
        <w:rPr>
          <w:rFonts w:hint="eastAsia" w:ascii="宋体" w:hAnsi="宋体" w:cs="宋体"/>
          <w:color w:val="auto"/>
          <w:sz w:val="28"/>
          <w:szCs w:val="28"/>
        </w:rPr>
        <w:t>代理人无转委权。特此委托。</w:t>
      </w:r>
    </w:p>
    <w:p w14:paraId="1CFECC7E">
      <w:pPr>
        <w:ind w:right="753"/>
        <w:jc w:val="left"/>
        <w:rPr>
          <w:rFonts w:ascii="宋体" w:hAnsi="宋体" w:cs="宋体"/>
          <w:color w:val="auto"/>
          <w:sz w:val="28"/>
          <w:szCs w:val="28"/>
        </w:rPr>
      </w:pPr>
    </w:p>
    <w:p w14:paraId="34BF835E">
      <w:pPr>
        <w:ind w:right="753"/>
        <w:jc w:val="left"/>
        <w:rPr>
          <w:rFonts w:ascii="宋体" w:hAnsi="宋体" w:cs="宋体"/>
          <w:color w:val="auto"/>
          <w:sz w:val="28"/>
          <w:szCs w:val="28"/>
        </w:rPr>
      </w:pPr>
    </w:p>
    <w:p w14:paraId="61361E07">
      <w:pPr>
        <w:ind w:right="753"/>
        <w:jc w:val="left"/>
        <w:rPr>
          <w:rFonts w:hint="eastAsia" w:ascii="宋体" w:hAnsi="宋体" w:eastAsia="宋体" w:cs="宋体"/>
          <w:color w:val="auto"/>
          <w:sz w:val="28"/>
          <w:szCs w:val="28"/>
        </w:rPr>
      </w:pPr>
      <w:r>
        <w:rPr>
          <w:rFonts w:hint="eastAsia" w:ascii="宋体" w:hAnsi="宋体" w:eastAsia="宋体" w:cs="宋体"/>
          <w:color w:val="auto"/>
          <w:sz w:val="28"/>
          <w:szCs w:val="28"/>
        </w:rPr>
        <w:t>代理人：</w:t>
      </w:r>
    </w:p>
    <w:p w14:paraId="3FFACF13">
      <w:pPr>
        <w:ind w:right="753"/>
        <w:jc w:val="left"/>
        <w:rPr>
          <w:rFonts w:hint="eastAsia" w:ascii="宋体" w:hAnsi="宋体" w:eastAsia="宋体" w:cs="宋体"/>
          <w:color w:val="auto"/>
          <w:sz w:val="28"/>
          <w:szCs w:val="28"/>
        </w:rPr>
      </w:pPr>
    </w:p>
    <w:p w14:paraId="3CC2071A">
      <w:pPr>
        <w:ind w:right="753"/>
        <w:jc w:val="left"/>
        <w:rPr>
          <w:rFonts w:hint="eastAsia" w:ascii="宋体" w:hAnsi="宋体" w:eastAsia="宋体" w:cs="宋体"/>
          <w:color w:val="auto"/>
          <w:sz w:val="28"/>
          <w:szCs w:val="28"/>
        </w:rPr>
      </w:pPr>
      <w:r>
        <w:rPr>
          <w:rFonts w:hint="eastAsia" w:ascii="宋体" w:hAnsi="宋体" w:eastAsia="宋体" w:cs="宋体"/>
          <w:color w:val="auto"/>
          <w:sz w:val="28"/>
          <w:szCs w:val="28"/>
        </w:rPr>
        <w:t>性别：</w:t>
      </w:r>
    </w:p>
    <w:p w14:paraId="631038C1">
      <w:pPr>
        <w:ind w:right="753"/>
        <w:jc w:val="left"/>
        <w:rPr>
          <w:rFonts w:hint="eastAsia" w:ascii="宋体" w:hAnsi="宋体" w:eastAsia="宋体" w:cs="宋体"/>
          <w:color w:val="auto"/>
          <w:sz w:val="28"/>
          <w:szCs w:val="28"/>
        </w:rPr>
      </w:pPr>
    </w:p>
    <w:p w14:paraId="63BB0A69">
      <w:pPr>
        <w:ind w:right="753"/>
        <w:jc w:val="left"/>
        <w:rPr>
          <w:rFonts w:hint="eastAsia" w:ascii="宋体" w:hAnsi="宋体" w:eastAsia="宋体" w:cs="宋体"/>
          <w:color w:val="auto"/>
          <w:sz w:val="28"/>
          <w:szCs w:val="28"/>
        </w:rPr>
      </w:pPr>
      <w:r>
        <w:rPr>
          <w:rFonts w:hint="eastAsia" w:ascii="宋体" w:hAnsi="宋体" w:eastAsia="宋体" w:cs="宋体"/>
          <w:color w:val="auto"/>
          <w:sz w:val="28"/>
          <w:szCs w:val="28"/>
        </w:rPr>
        <w:t>年龄：</w:t>
      </w:r>
    </w:p>
    <w:p w14:paraId="0B62E636">
      <w:pPr>
        <w:ind w:right="753"/>
        <w:jc w:val="left"/>
        <w:rPr>
          <w:rFonts w:hint="eastAsia" w:ascii="宋体" w:hAnsi="宋体" w:eastAsia="宋体" w:cs="宋体"/>
          <w:color w:val="auto"/>
          <w:sz w:val="28"/>
          <w:szCs w:val="28"/>
        </w:rPr>
      </w:pPr>
    </w:p>
    <w:p w14:paraId="4CCEF133">
      <w:pPr>
        <w:ind w:right="753"/>
        <w:jc w:val="left"/>
        <w:rPr>
          <w:rFonts w:hint="eastAsia" w:ascii="宋体" w:hAnsi="宋体" w:eastAsia="宋体" w:cs="宋体"/>
          <w:color w:val="auto"/>
          <w:sz w:val="28"/>
          <w:szCs w:val="28"/>
        </w:rPr>
      </w:pPr>
      <w:r>
        <w:rPr>
          <w:rFonts w:hint="eastAsia" w:ascii="宋体" w:hAnsi="宋体" w:eastAsia="宋体" w:cs="宋体"/>
          <w:color w:val="auto"/>
          <w:sz w:val="28"/>
          <w:szCs w:val="28"/>
        </w:rPr>
        <w:t>单</w:t>
      </w:r>
      <w:bookmarkStart w:id="395" w:name="_Toc114052398"/>
      <w:r>
        <w:rPr>
          <w:rFonts w:hint="eastAsia" w:ascii="宋体" w:hAnsi="宋体" w:eastAsia="宋体" w:cs="宋体"/>
          <w:color w:val="auto"/>
          <w:sz w:val="28"/>
          <w:szCs w:val="28"/>
        </w:rPr>
        <w:t>位：</w:t>
      </w:r>
      <w:bookmarkEnd w:id="395"/>
      <w:bookmarkStart w:id="396" w:name="_Toc114052399"/>
    </w:p>
    <w:p w14:paraId="7108221F">
      <w:pPr>
        <w:ind w:right="753"/>
        <w:jc w:val="left"/>
        <w:rPr>
          <w:rFonts w:hint="eastAsia" w:ascii="宋体" w:hAnsi="宋体" w:eastAsia="宋体" w:cs="宋体"/>
          <w:color w:val="auto"/>
          <w:sz w:val="28"/>
          <w:szCs w:val="28"/>
        </w:rPr>
      </w:pPr>
    </w:p>
    <w:p w14:paraId="7991D723">
      <w:pPr>
        <w:ind w:right="753"/>
        <w:jc w:val="left"/>
        <w:rPr>
          <w:rFonts w:hint="eastAsia" w:ascii="宋体" w:hAnsi="宋体" w:eastAsia="宋体" w:cs="宋体"/>
          <w:color w:val="auto"/>
          <w:sz w:val="28"/>
          <w:szCs w:val="28"/>
        </w:rPr>
      </w:pPr>
      <w:r>
        <w:rPr>
          <w:rFonts w:hint="eastAsia" w:ascii="宋体" w:hAnsi="宋体" w:eastAsia="宋体" w:cs="宋体"/>
          <w:color w:val="auto"/>
          <w:sz w:val="28"/>
          <w:szCs w:val="28"/>
        </w:rPr>
        <w:t>部门：</w:t>
      </w:r>
      <w:bookmarkEnd w:id="396"/>
    </w:p>
    <w:p w14:paraId="17E342F3">
      <w:pPr>
        <w:ind w:right="753"/>
        <w:jc w:val="left"/>
        <w:rPr>
          <w:rFonts w:hint="eastAsia" w:ascii="宋体" w:hAnsi="宋体" w:eastAsia="宋体" w:cs="宋体"/>
          <w:color w:val="auto"/>
          <w:sz w:val="28"/>
          <w:szCs w:val="28"/>
        </w:rPr>
      </w:pPr>
    </w:p>
    <w:p w14:paraId="56BC8F62">
      <w:pPr>
        <w:ind w:right="753"/>
        <w:jc w:val="left"/>
        <w:rPr>
          <w:rFonts w:hint="eastAsia" w:ascii="宋体" w:hAnsi="宋体" w:eastAsia="宋体" w:cs="宋体"/>
          <w:color w:val="auto"/>
          <w:sz w:val="28"/>
          <w:szCs w:val="28"/>
        </w:rPr>
      </w:pPr>
      <w:r>
        <w:rPr>
          <w:rFonts w:hint="eastAsia" w:ascii="宋体" w:hAnsi="宋体" w:eastAsia="宋体" w:cs="宋体"/>
          <w:color w:val="auto"/>
          <w:sz w:val="28"/>
          <w:szCs w:val="28"/>
        </w:rPr>
        <w:t>职务：</w:t>
      </w:r>
    </w:p>
    <w:p w14:paraId="0115F69C">
      <w:pPr>
        <w:ind w:right="753"/>
        <w:jc w:val="left"/>
        <w:rPr>
          <w:rFonts w:hint="eastAsia" w:ascii="宋体" w:hAnsi="宋体" w:eastAsia="宋体" w:cs="宋体"/>
          <w:color w:val="auto"/>
          <w:sz w:val="28"/>
          <w:szCs w:val="28"/>
        </w:rPr>
      </w:pPr>
    </w:p>
    <w:p w14:paraId="525CCA02">
      <w:pPr>
        <w:ind w:right="753"/>
        <w:jc w:val="left"/>
        <w:rPr>
          <w:rFonts w:hint="eastAsia" w:ascii="宋体" w:hAnsi="宋体" w:eastAsia="宋体" w:cs="宋体"/>
          <w:color w:val="auto"/>
          <w:sz w:val="28"/>
          <w:szCs w:val="28"/>
        </w:rPr>
      </w:pPr>
      <w:r>
        <w:rPr>
          <w:rFonts w:hint="eastAsia" w:ascii="宋体" w:hAnsi="宋体" w:eastAsia="宋体" w:cs="宋体"/>
          <w:color w:val="auto"/>
          <w:sz w:val="28"/>
          <w:szCs w:val="28"/>
        </w:rPr>
        <w:t>比选申请人：（盖律所公章）</w:t>
      </w:r>
    </w:p>
    <w:p w14:paraId="18BD1030">
      <w:pPr>
        <w:ind w:right="753"/>
        <w:jc w:val="left"/>
        <w:rPr>
          <w:rFonts w:hint="eastAsia" w:ascii="宋体" w:hAnsi="宋体" w:eastAsia="宋体" w:cs="宋体"/>
          <w:color w:val="auto"/>
          <w:sz w:val="28"/>
          <w:szCs w:val="28"/>
        </w:rPr>
      </w:pPr>
    </w:p>
    <w:p w14:paraId="7A325F0C">
      <w:pPr>
        <w:ind w:right="753"/>
        <w:jc w:val="left"/>
        <w:rPr>
          <w:rFonts w:hint="eastAsia" w:ascii="宋体" w:hAnsi="宋体" w:eastAsia="宋体" w:cs="宋体"/>
          <w:color w:val="auto"/>
          <w:sz w:val="28"/>
          <w:szCs w:val="28"/>
        </w:rPr>
      </w:pPr>
    </w:p>
    <w:p w14:paraId="779625CD">
      <w:pPr>
        <w:ind w:right="753"/>
        <w:jc w:val="left"/>
        <w:rPr>
          <w:rFonts w:hint="eastAsia" w:ascii="宋体" w:hAnsi="宋体" w:eastAsia="宋体" w:cs="宋体"/>
          <w:color w:val="auto"/>
          <w:sz w:val="28"/>
          <w:szCs w:val="28"/>
        </w:rPr>
      </w:pPr>
    </w:p>
    <w:p w14:paraId="1556762E">
      <w:pPr>
        <w:ind w:right="753"/>
        <w:jc w:val="left"/>
        <w:rPr>
          <w:rFonts w:hint="eastAsia" w:ascii="宋体" w:hAnsi="宋体" w:eastAsia="宋体" w:cs="宋体"/>
          <w:color w:val="auto"/>
          <w:sz w:val="28"/>
          <w:szCs w:val="28"/>
        </w:rPr>
      </w:pPr>
      <w:r>
        <w:rPr>
          <w:rFonts w:hint="eastAsia" w:ascii="宋体" w:hAnsi="宋体" w:eastAsia="宋体" w:cs="宋体"/>
          <w:color w:val="auto"/>
          <w:sz w:val="28"/>
          <w:szCs w:val="28"/>
        </w:rPr>
        <w:t>负责人：（签字或盖章）</w:t>
      </w:r>
    </w:p>
    <w:p w14:paraId="7FA65103">
      <w:pPr>
        <w:ind w:right="753"/>
        <w:jc w:val="left"/>
        <w:rPr>
          <w:rFonts w:hint="eastAsia" w:ascii="宋体" w:hAnsi="宋体" w:eastAsia="宋体" w:cs="宋体"/>
          <w:color w:val="auto"/>
          <w:sz w:val="28"/>
          <w:szCs w:val="28"/>
        </w:rPr>
      </w:pPr>
    </w:p>
    <w:p w14:paraId="3830190E">
      <w:pPr>
        <w:ind w:right="753"/>
        <w:jc w:val="left"/>
        <w:rPr>
          <w:rFonts w:hint="eastAsia" w:ascii="宋体" w:hAnsi="宋体" w:eastAsia="宋体" w:cs="宋体"/>
          <w:color w:val="auto"/>
          <w:sz w:val="28"/>
          <w:szCs w:val="28"/>
        </w:rPr>
      </w:pPr>
      <w:r>
        <w:rPr>
          <w:rFonts w:hint="eastAsia" w:ascii="宋体" w:hAnsi="宋体" w:eastAsia="宋体" w:cs="宋体"/>
          <w:color w:val="auto"/>
          <w:sz w:val="28"/>
          <w:szCs w:val="28"/>
        </w:rPr>
        <w:t>日期：</w:t>
      </w:r>
      <w:bookmarkStart w:id="397" w:name="_Toc333307132"/>
      <w:bookmarkStart w:id="398" w:name="_Toc6110"/>
      <w:r>
        <w:rPr>
          <w:rFonts w:hint="eastAsia" w:ascii="宋体" w:hAnsi="宋体" w:eastAsia="宋体" w:cs="宋体"/>
          <w:color w:val="auto"/>
          <w:sz w:val="28"/>
          <w:szCs w:val="28"/>
        </w:rPr>
        <w:t>年</w:t>
      </w:r>
      <w:bookmarkEnd w:id="397"/>
      <w:bookmarkEnd w:id="398"/>
      <w:r>
        <w:rPr>
          <w:rFonts w:hint="eastAsia" w:ascii="宋体" w:hAnsi="宋体" w:eastAsia="宋体" w:cs="宋体"/>
          <w:color w:val="auto"/>
          <w:sz w:val="28"/>
          <w:szCs w:val="28"/>
        </w:rPr>
        <w:t xml:space="preserve"> 月 日</w:t>
      </w:r>
    </w:p>
    <w:p w14:paraId="26B9BDEF">
      <w:pPr>
        <w:autoSpaceDE w:val="0"/>
        <w:autoSpaceDN w:val="0"/>
        <w:adjustRightInd w:val="0"/>
        <w:spacing w:line="480" w:lineRule="auto"/>
        <w:jc w:val="center"/>
        <w:rPr>
          <w:rFonts w:ascii="宋体" w:hAnsi="宋体"/>
          <w:b/>
          <w:color w:val="auto"/>
          <w:kern w:val="0"/>
          <w:sz w:val="30"/>
          <w:szCs w:val="30"/>
        </w:rPr>
      </w:pPr>
    </w:p>
    <w:p w14:paraId="0E5E5F48">
      <w:pPr>
        <w:autoSpaceDE w:val="0"/>
        <w:autoSpaceDN w:val="0"/>
        <w:adjustRightInd w:val="0"/>
        <w:spacing w:line="480" w:lineRule="auto"/>
        <w:jc w:val="center"/>
        <w:rPr>
          <w:rFonts w:ascii="宋体" w:hAnsi="宋体"/>
          <w:b/>
          <w:color w:val="auto"/>
          <w:kern w:val="0"/>
          <w:sz w:val="30"/>
          <w:szCs w:val="30"/>
        </w:rPr>
      </w:pPr>
    </w:p>
    <w:p w14:paraId="0DB0B591">
      <w:pPr>
        <w:autoSpaceDE w:val="0"/>
        <w:autoSpaceDN w:val="0"/>
        <w:adjustRightInd w:val="0"/>
        <w:spacing w:line="480" w:lineRule="auto"/>
        <w:rPr>
          <w:rFonts w:ascii="宋体" w:hAnsi="宋体"/>
          <w:b/>
          <w:bCs/>
          <w:color w:val="auto"/>
          <w:kern w:val="0"/>
          <w:sz w:val="28"/>
          <w:szCs w:val="28"/>
        </w:rPr>
      </w:pPr>
      <w:bookmarkStart w:id="399" w:name="_Toc2475"/>
      <w:bookmarkStart w:id="400" w:name="_Toc880"/>
      <w:bookmarkStart w:id="401" w:name="_Toc11434"/>
      <w:bookmarkStart w:id="402" w:name="_Toc29504"/>
      <w:bookmarkStart w:id="403" w:name="_Toc26749"/>
      <w:bookmarkStart w:id="404" w:name="_Toc18479"/>
      <w:bookmarkStart w:id="405" w:name="_Toc30136"/>
      <w:bookmarkStart w:id="406" w:name="_Toc1509"/>
    </w:p>
    <w:p w14:paraId="076BA40F">
      <w:pPr>
        <w:autoSpaceDE w:val="0"/>
        <w:autoSpaceDN w:val="0"/>
        <w:adjustRightInd w:val="0"/>
        <w:spacing w:line="480" w:lineRule="auto"/>
        <w:rPr>
          <w:rFonts w:ascii="宋体" w:hAnsi="宋体"/>
          <w:b/>
          <w:bCs/>
          <w:color w:val="auto"/>
          <w:kern w:val="0"/>
          <w:sz w:val="28"/>
          <w:szCs w:val="28"/>
        </w:rPr>
      </w:pPr>
    </w:p>
    <w:p w14:paraId="6E5B3B8D">
      <w:pPr>
        <w:autoSpaceDE w:val="0"/>
        <w:autoSpaceDN w:val="0"/>
        <w:adjustRightInd w:val="0"/>
        <w:spacing w:line="480" w:lineRule="auto"/>
        <w:outlineLvl w:val="9"/>
        <w:rPr>
          <w:rStyle w:val="64"/>
          <w:b/>
          <w:bCs/>
          <w:color w:val="auto"/>
          <w:szCs w:val="28"/>
        </w:rPr>
      </w:pPr>
      <w:r>
        <w:rPr>
          <w:rFonts w:ascii="宋体" w:hAnsi="宋体"/>
          <w:b/>
          <w:bCs/>
          <w:color w:val="auto"/>
          <w:kern w:val="0"/>
          <w:sz w:val="28"/>
          <w:szCs w:val="28"/>
        </w:rPr>
        <w:t>6.</w:t>
      </w:r>
      <w:r>
        <w:rPr>
          <w:rFonts w:hint="eastAsia" w:ascii="宋体" w:hAnsi="宋体"/>
          <w:b/>
          <w:bCs/>
          <w:color w:val="auto"/>
          <w:kern w:val="0"/>
          <w:sz w:val="28"/>
          <w:szCs w:val="28"/>
        </w:rPr>
        <w:t>授权代理人身份证明文件（提供复印件加盖法人单位公章）</w:t>
      </w:r>
    </w:p>
    <w:bookmarkEnd w:id="399"/>
    <w:bookmarkEnd w:id="400"/>
    <w:bookmarkEnd w:id="401"/>
    <w:bookmarkEnd w:id="402"/>
    <w:bookmarkEnd w:id="403"/>
    <w:bookmarkEnd w:id="404"/>
    <w:bookmarkEnd w:id="405"/>
    <w:bookmarkEnd w:id="406"/>
    <w:p w14:paraId="3C115C5E">
      <w:pPr>
        <w:ind w:right="753"/>
        <w:jc w:val="left"/>
        <w:rPr>
          <w:rFonts w:ascii="宋体" w:hAnsi="宋体" w:cs="宋体"/>
          <w:color w:val="auto"/>
          <w:sz w:val="28"/>
          <w:szCs w:val="28"/>
        </w:rPr>
      </w:pPr>
    </w:p>
    <w:p w14:paraId="70239680">
      <w:pPr>
        <w:ind w:right="753"/>
        <w:jc w:val="left"/>
        <w:rPr>
          <w:rFonts w:ascii="宋体" w:hAnsi="宋体" w:cs="宋体"/>
          <w:color w:val="auto"/>
          <w:sz w:val="28"/>
          <w:szCs w:val="28"/>
        </w:rPr>
      </w:pPr>
    </w:p>
    <w:p w14:paraId="57ADFAF6">
      <w:pPr>
        <w:ind w:right="753"/>
        <w:jc w:val="left"/>
        <w:rPr>
          <w:rFonts w:ascii="宋体" w:hAnsi="宋体" w:cs="宋体"/>
          <w:color w:val="auto"/>
          <w:sz w:val="28"/>
          <w:szCs w:val="28"/>
        </w:rPr>
      </w:pPr>
    </w:p>
    <w:p w14:paraId="0B862F7C">
      <w:pPr>
        <w:ind w:right="753"/>
        <w:jc w:val="left"/>
        <w:rPr>
          <w:rFonts w:ascii="宋体" w:hAnsi="宋体" w:cs="宋体"/>
          <w:color w:val="auto"/>
          <w:sz w:val="28"/>
          <w:szCs w:val="28"/>
        </w:rPr>
      </w:pPr>
    </w:p>
    <w:p w14:paraId="7E7CF4F1">
      <w:pPr>
        <w:ind w:right="753"/>
        <w:jc w:val="left"/>
        <w:rPr>
          <w:rFonts w:ascii="宋体" w:hAnsi="宋体" w:cs="宋体"/>
          <w:color w:val="auto"/>
          <w:sz w:val="28"/>
          <w:szCs w:val="28"/>
        </w:rPr>
      </w:pPr>
    </w:p>
    <w:p w14:paraId="03FD6757">
      <w:pPr>
        <w:ind w:right="753"/>
        <w:jc w:val="left"/>
        <w:rPr>
          <w:rFonts w:ascii="宋体" w:hAnsi="宋体" w:cs="宋体"/>
          <w:color w:val="auto"/>
          <w:sz w:val="28"/>
          <w:szCs w:val="28"/>
        </w:rPr>
      </w:pPr>
    </w:p>
    <w:p w14:paraId="632FC2C9">
      <w:pPr>
        <w:ind w:right="753"/>
        <w:jc w:val="left"/>
        <w:rPr>
          <w:rFonts w:ascii="宋体" w:hAnsi="宋体" w:cs="宋体"/>
          <w:color w:val="auto"/>
          <w:sz w:val="28"/>
          <w:szCs w:val="28"/>
        </w:rPr>
      </w:pPr>
    </w:p>
    <w:p w14:paraId="35CCD897">
      <w:pPr>
        <w:ind w:right="753"/>
        <w:jc w:val="left"/>
        <w:rPr>
          <w:rFonts w:ascii="宋体" w:hAnsi="宋体" w:cs="宋体"/>
          <w:color w:val="auto"/>
          <w:sz w:val="28"/>
          <w:szCs w:val="28"/>
        </w:rPr>
      </w:pPr>
    </w:p>
    <w:p w14:paraId="45FE323F">
      <w:pPr>
        <w:ind w:right="753"/>
        <w:jc w:val="left"/>
        <w:rPr>
          <w:rFonts w:ascii="宋体" w:hAnsi="宋体" w:cs="宋体"/>
          <w:color w:val="auto"/>
          <w:sz w:val="28"/>
          <w:szCs w:val="28"/>
        </w:rPr>
      </w:pPr>
    </w:p>
    <w:p w14:paraId="35F6A1F1">
      <w:pPr>
        <w:ind w:right="753"/>
        <w:jc w:val="left"/>
        <w:rPr>
          <w:rFonts w:ascii="宋体" w:hAnsi="宋体" w:cs="宋体"/>
          <w:color w:val="auto"/>
          <w:sz w:val="28"/>
          <w:szCs w:val="28"/>
        </w:rPr>
      </w:pPr>
    </w:p>
    <w:p w14:paraId="5D6ECD8B">
      <w:pPr>
        <w:ind w:right="753"/>
        <w:jc w:val="left"/>
        <w:rPr>
          <w:rFonts w:ascii="宋体" w:hAnsi="宋体" w:cs="宋体"/>
          <w:color w:val="auto"/>
          <w:sz w:val="28"/>
          <w:szCs w:val="28"/>
        </w:rPr>
      </w:pPr>
    </w:p>
    <w:p w14:paraId="1E3E2B6B">
      <w:pPr>
        <w:ind w:right="753"/>
        <w:jc w:val="left"/>
        <w:rPr>
          <w:rFonts w:ascii="宋体" w:hAnsi="宋体" w:cs="宋体"/>
          <w:color w:val="auto"/>
          <w:sz w:val="28"/>
          <w:szCs w:val="28"/>
        </w:rPr>
      </w:pPr>
    </w:p>
    <w:p w14:paraId="53ADA28E">
      <w:pPr>
        <w:ind w:right="753"/>
        <w:jc w:val="left"/>
        <w:rPr>
          <w:rFonts w:ascii="宋体" w:hAnsi="宋体" w:cs="宋体"/>
          <w:color w:val="auto"/>
          <w:sz w:val="28"/>
          <w:szCs w:val="28"/>
        </w:rPr>
      </w:pPr>
    </w:p>
    <w:p w14:paraId="139615D8">
      <w:pPr>
        <w:ind w:right="753"/>
        <w:jc w:val="left"/>
        <w:rPr>
          <w:rFonts w:ascii="宋体" w:hAnsi="宋体" w:cs="宋体"/>
          <w:color w:val="auto"/>
          <w:sz w:val="28"/>
          <w:szCs w:val="28"/>
        </w:rPr>
      </w:pPr>
    </w:p>
    <w:p w14:paraId="7EBB40FF">
      <w:pPr>
        <w:ind w:right="753"/>
        <w:jc w:val="left"/>
        <w:rPr>
          <w:rFonts w:ascii="宋体" w:hAnsi="宋体" w:cs="宋体"/>
          <w:color w:val="auto"/>
          <w:sz w:val="28"/>
          <w:szCs w:val="28"/>
        </w:rPr>
      </w:pPr>
    </w:p>
    <w:p w14:paraId="031CAB59">
      <w:pPr>
        <w:ind w:right="753"/>
        <w:jc w:val="left"/>
        <w:rPr>
          <w:rFonts w:ascii="宋体" w:hAnsi="宋体" w:cs="宋体"/>
          <w:color w:val="auto"/>
          <w:sz w:val="28"/>
          <w:szCs w:val="28"/>
        </w:rPr>
      </w:pPr>
    </w:p>
    <w:p w14:paraId="4BB24BFC">
      <w:pPr>
        <w:ind w:right="753"/>
        <w:jc w:val="left"/>
        <w:rPr>
          <w:rFonts w:ascii="宋体" w:hAnsi="宋体" w:cs="宋体"/>
          <w:color w:val="auto"/>
          <w:sz w:val="28"/>
          <w:szCs w:val="28"/>
        </w:rPr>
      </w:pPr>
    </w:p>
    <w:p w14:paraId="11C4EB8B">
      <w:pPr>
        <w:ind w:right="753"/>
        <w:jc w:val="left"/>
        <w:rPr>
          <w:rFonts w:ascii="宋体" w:hAnsi="宋体" w:cs="宋体"/>
          <w:color w:val="auto"/>
          <w:sz w:val="28"/>
          <w:szCs w:val="28"/>
        </w:rPr>
      </w:pPr>
    </w:p>
    <w:p w14:paraId="51BB6022">
      <w:pPr>
        <w:ind w:right="753"/>
        <w:jc w:val="left"/>
        <w:rPr>
          <w:rFonts w:ascii="宋体" w:hAnsi="宋体" w:cs="宋体"/>
          <w:color w:val="auto"/>
          <w:sz w:val="28"/>
          <w:szCs w:val="28"/>
        </w:rPr>
      </w:pPr>
    </w:p>
    <w:p w14:paraId="69F80E5A">
      <w:pPr>
        <w:ind w:right="753"/>
        <w:jc w:val="left"/>
        <w:rPr>
          <w:rFonts w:ascii="宋体" w:hAnsi="宋体" w:cs="宋体"/>
          <w:color w:val="auto"/>
          <w:sz w:val="28"/>
          <w:szCs w:val="28"/>
        </w:rPr>
      </w:pPr>
    </w:p>
    <w:p w14:paraId="72A7D9EA">
      <w:pPr>
        <w:ind w:right="753"/>
        <w:jc w:val="left"/>
        <w:rPr>
          <w:rFonts w:ascii="宋体" w:hAnsi="宋体" w:cs="宋体"/>
          <w:color w:val="auto"/>
          <w:sz w:val="28"/>
          <w:szCs w:val="28"/>
        </w:rPr>
      </w:pPr>
    </w:p>
    <w:p w14:paraId="38646138">
      <w:pPr>
        <w:ind w:right="753"/>
        <w:jc w:val="left"/>
        <w:rPr>
          <w:rFonts w:ascii="宋体" w:hAnsi="宋体" w:cs="宋体"/>
          <w:color w:val="auto"/>
          <w:sz w:val="28"/>
          <w:szCs w:val="28"/>
        </w:rPr>
      </w:pPr>
    </w:p>
    <w:p w14:paraId="3DB43773">
      <w:pPr>
        <w:ind w:right="753"/>
        <w:jc w:val="left"/>
        <w:rPr>
          <w:rFonts w:ascii="宋体" w:hAnsi="宋体" w:cs="宋体"/>
          <w:color w:val="auto"/>
          <w:sz w:val="28"/>
          <w:szCs w:val="28"/>
        </w:rPr>
      </w:pPr>
    </w:p>
    <w:p w14:paraId="76490A80">
      <w:pPr>
        <w:ind w:right="753"/>
        <w:jc w:val="left"/>
        <w:rPr>
          <w:rFonts w:ascii="宋体" w:hAnsi="宋体" w:cs="宋体"/>
          <w:color w:val="auto"/>
          <w:sz w:val="28"/>
          <w:szCs w:val="28"/>
        </w:rPr>
      </w:pPr>
    </w:p>
    <w:p w14:paraId="5871D500">
      <w:pPr>
        <w:ind w:right="753"/>
        <w:jc w:val="left"/>
        <w:rPr>
          <w:rFonts w:ascii="宋体" w:hAnsi="宋体" w:cs="宋体"/>
          <w:color w:val="auto"/>
          <w:sz w:val="28"/>
          <w:szCs w:val="28"/>
        </w:rPr>
      </w:pPr>
    </w:p>
    <w:p w14:paraId="7CAC072B">
      <w:pPr>
        <w:ind w:right="753"/>
        <w:jc w:val="left"/>
        <w:rPr>
          <w:rFonts w:ascii="宋体" w:hAnsi="宋体" w:cs="宋体"/>
          <w:color w:val="auto"/>
          <w:sz w:val="28"/>
          <w:szCs w:val="28"/>
        </w:rPr>
      </w:pPr>
    </w:p>
    <w:p w14:paraId="562FBF31">
      <w:pPr>
        <w:ind w:right="753"/>
        <w:jc w:val="left"/>
        <w:rPr>
          <w:rFonts w:ascii="宋体" w:hAnsi="宋体" w:cs="宋体"/>
          <w:color w:val="auto"/>
          <w:sz w:val="28"/>
          <w:szCs w:val="28"/>
        </w:rPr>
      </w:pPr>
    </w:p>
    <w:p w14:paraId="51CCFE47">
      <w:pPr>
        <w:ind w:right="753"/>
        <w:jc w:val="left"/>
        <w:rPr>
          <w:rFonts w:ascii="宋体" w:hAnsi="宋体" w:cs="宋体"/>
          <w:color w:val="auto"/>
          <w:sz w:val="28"/>
          <w:szCs w:val="28"/>
        </w:rPr>
      </w:pPr>
    </w:p>
    <w:p w14:paraId="2BCBB4F4">
      <w:pPr>
        <w:ind w:right="753"/>
        <w:jc w:val="left"/>
        <w:rPr>
          <w:rFonts w:ascii="宋体" w:hAnsi="宋体" w:cs="宋体"/>
          <w:color w:val="auto"/>
          <w:sz w:val="28"/>
          <w:szCs w:val="28"/>
        </w:rPr>
      </w:pPr>
    </w:p>
    <w:p w14:paraId="4C9890ED">
      <w:pPr>
        <w:ind w:right="753"/>
        <w:jc w:val="left"/>
        <w:rPr>
          <w:rFonts w:ascii="宋体" w:hAnsi="宋体" w:cs="宋体"/>
          <w:color w:val="auto"/>
          <w:sz w:val="28"/>
          <w:szCs w:val="28"/>
        </w:rPr>
      </w:pPr>
    </w:p>
    <w:p w14:paraId="373843D3">
      <w:pPr>
        <w:ind w:right="753"/>
        <w:jc w:val="left"/>
        <w:rPr>
          <w:rFonts w:ascii="宋体" w:hAnsi="宋体" w:cs="宋体"/>
          <w:color w:val="auto"/>
          <w:sz w:val="28"/>
          <w:szCs w:val="28"/>
        </w:rPr>
      </w:pPr>
    </w:p>
    <w:p w14:paraId="3FDE88DE">
      <w:pPr>
        <w:ind w:right="753"/>
        <w:jc w:val="left"/>
        <w:rPr>
          <w:rFonts w:ascii="宋体" w:hAnsi="宋体" w:cs="宋体"/>
          <w:color w:val="auto"/>
          <w:sz w:val="28"/>
          <w:szCs w:val="28"/>
        </w:rPr>
      </w:pPr>
    </w:p>
    <w:p w14:paraId="0B7E80DC">
      <w:pPr>
        <w:ind w:right="753"/>
        <w:jc w:val="left"/>
        <w:rPr>
          <w:rFonts w:ascii="宋体" w:hAnsi="宋体" w:cs="宋体"/>
          <w:color w:val="auto"/>
          <w:sz w:val="28"/>
          <w:szCs w:val="28"/>
        </w:rPr>
      </w:pPr>
    </w:p>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14:paraId="7CBF1254">
      <w:pPr>
        <w:keepNext/>
        <w:keepLines/>
        <w:spacing w:before="260" w:after="260" w:line="413" w:lineRule="auto"/>
        <w:ind w:firstLine="1680" w:firstLineChars="600"/>
        <w:jc w:val="both"/>
        <w:outlineLvl w:val="1"/>
        <w:rPr>
          <w:rFonts w:hint="eastAsia" w:ascii="Arial" w:hAnsi="Arial" w:eastAsia="宋体" w:cs="Times New Roman"/>
          <w:b w:val="0"/>
          <w:bCs/>
          <w:color w:val="auto"/>
          <w:kern w:val="0"/>
          <w:sz w:val="28"/>
          <w:szCs w:val="20"/>
        </w:rPr>
      </w:pPr>
      <w:bookmarkStart w:id="407" w:name="_Toc26491"/>
      <w:bookmarkStart w:id="408" w:name="_Toc29305"/>
      <w:bookmarkStart w:id="409" w:name="_Toc461525332"/>
      <w:bookmarkStart w:id="410" w:name="_Toc19445"/>
      <w:bookmarkStart w:id="411" w:name="_Toc6862"/>
      <w:bookmarkStart w:id="412" w:name="_Toc31867"/>
      <w:bookmarkStart w:id="413" w:name="_Toc30501"/>
      <w:r>
        <w:rPr>
          <w:rFonts w:hint="eastAsia" w:ascii="Arial" w:hAnsi="Arial" w:eastAsia="宋体" w:cs="Times New Roman"/>
          <w:b w:val="0"/>
          <w:bCs/>
          <w:color w:val="auto"/>
          <w:kern w:val="0"/>
          <w:sz w:val="28"/>
          <w:szCs w:val="20"/>
        </w:rPr>
        <w:t>二、技术章节目录</w:t>
      </w:r>
      <w:bookmarkEnd w:id="407"/>
      <w:bookmarkEnd w:id="408"/>
    </w:p>
    <w:p w14:paraId="2C4E16FB">
      <w:pPr>
        <w:keepNext/>
        <w:keepLines/>
        <w:spacing w:before="260" w:after="260" w:line="413" w:lineRule="auto"/>
        <w:jc w:val="left"/>
        <w:outlineLvl w:val="9"/>
        <w:rPr>
          <w:rFonts w:hint="eastAsia" w:ascii="Arial" w:hAnsi="Arial" w:eastAsia="宋体" w:cs="Times New Roman"/>
          <w:b w:val="0"/>
          <w:bCs/>
          <w:color w:val="auto"/>
          <w:kern w:val="0"/>
          <w:sz w:val="28"/>
          <w:szCs w:val="20"/>
        </w:rPr>
      </w:pPr>
      <w:r>
        <w:rPr>
          <w:rFonts w:hint="eastAsia" w:ascii="Arial" w:hAnsi="Arial" w:eastAsia="宋体" w:cs="Times New Roman"/>
          <w:b w:val="0"/>
          <w:bCs/>
          <w:color w:val="auto"/>
          <w:kern w:val="0"/>
          <w:sz w:val="28"/>
          <w:szCs w:val="20"/>
        </w:rPr>
        <w:t>1.律师事务所业绩表；</w:t>
      </w:r>
    </w:p>
    <w:p w14:paraId="2E306E40">
      <w:pPr>
        <w:keepNext/>
        <w:keepLines/>
        <w:spacing w:before="260" w:after="260" w:line="413" w:lineRule="auto"/>
        <w:jc w:val="left"/>
        <w:outlineLvl w:val="9"/>
        <w:rPr>
          <w:rFonts w:hint="eastAsia" w:ascii="Arial" w:hAnsi="Arial" w:eastAsia="宋体" w:cs="Times New Roman"/>
          <w:b w:val="0"/>
          <w:bCs/>
          <w:color w:val="auto"/>
          <w:kern w:val="0"/>
          <w:sz w:val="28"/>
          <w:szCs w:val="20"/>
        </w:rPr>
      </w:pPr>
      <w:r>
        <w:rPr>
          <w:rFonts w:hint="eastAsia" w:ascii="Arial" w:hAnsi="Arial" w:eastAsia="宋体" w:cs="Times New Roman"/>
          <w:b w:val="0"/>
          <w:bCs/>
          <w:color w:val="auto"/>
          <w:kern w:val="0"/>
          <w:sz w:val="28"/>
          <w:szCs w:val="20"/>
        </w:rPr>
        <w:t>2.律师事务所成立时间及信誉材料；</w:t>
      </w:r>
    </w:p>
    <w:p w14:paraId="4EB04E52">
      <w:pPr>
        <w:keepNext/>
        <w:keepLines/>
        <w:spacing w:before="260" w:after="260" w:line="413" w:lineRule="auto"/>
        <w:jc w:val="left"/>
        <w:outlineLvl w:val="9"/>
        <w:rPr>
          <w:rFonts w:hint="eastAsia" w:ascii="Arial" w:hAnsi="Arial" w:eastAsia="宋体" w:cs="Times New Roman"/>
          <w:b w:val="0"/>
          <w:bCs/>
          <w:color w:val="auto"/>
          <w:kern w:val="0"/>
          <w:sz w:val="28"/>
          <w:szCs w:val="20"/>
        </w:rPr>
      </w:pPr>
      <w:r>
        <w:rPr>
          <w:rFonts w:hint="eastAsia" w:ascii="Arial" w:hAnsi="Arial" w:eastAsia="宋体" w:cs="Times New Roman"/>
          <w:b w:val="0"/>
          <w:bCs/>
          <w:color w:val="auto"/>
          <w:kern w:val="0"/>
          <w:sz w:val="28"/>
          <w:szCs w:val="20"/>
        </w:rPr>
        <w:t>3.拟投入人员配置明细；</w:t>
      </w:r>
    </w:p>
    <w:p w14:paraId="6F34D368">
      <w:pPr>
        <w:keepNext/>
        <w:keepLines/>
        <w:spacing w:before="260" w:after="260" w:line="413" w:lineRule="auto"/>
        <w:jc w:val="left"/>
        <w:outlineLvl w:val="9"/>
        <w:rPr>
          <w:rFonts w:hint="eastAsia" w:ascii="Arial" w:hAnsi="Arial" w:eastAsia="宋体" w:cs="Times New Roman"/>
          <w:b w:val="0"/>
          <w:bCs/>
          <w:color w:val="auto"/>
          <w:kern w:val="0"/>
          <w:sz w:val="28"/>
          <w:szCs w:val="20"/>
        </w:rPr>
      </w:pPr>
      <w:r>
        <w:rPr>
          <w:rFonts w:hint="eastAsia" w:ascii="Arial" w:hAnsi="Arial" w:eastAsia="宋体" w:cs="Times New Roman"/>
          <w:b w:val="0"/>
          <w:bCs/>
          <w:color w:val="auto"/>
          <w:kern w:val="0"/>
          <w:sz w:val="28"/>
          <w:szCs w:val="20"/>
        </w:rPr>
        <w:t>4.拟投入人员资质</w:t>
      </w:r>
      <w:r>
        <w:rPr>
          <w:rFonts w:hint="eastAsia" w:ascii="宋体" w:hAnsi="宋体" w:cs="宋体"/>
          <w:sz w:val="28"/>
          <w:szCs w:val="28"/>
          <w:lang w:val="en-US" w:eastAsia="zh-CN"/>
        </w:rPr>
        <w:t>证明材料</w:t>
      </w:r>
      <w:r>
        <w:rPr>
          <w:rFonts w:hint="eastAsia" w:ascii="Arial" w:hAnsi="Arial" w:eastAsia="宋体" w:cs="Times New Roman"/>
          <w:b w:val="0"/>
          <w:bCs/>
          <w:color w:val="auto"/>
          <w:kern w:val="0"/>
          <w:sz w:val="28"/>
          <w:szCs w:val="20"/>
        </w:rPr>
        <w:t>（拟投入人员律师执业资格证书复印件等材料）；</w:t>
      </w:r>
    </w:p>
    <w:p w14:paraId="0EAFD88D">
      <w:pPr>
        <w:keepNext/>
        <w:keepLines/>
        <w:spacing w:before="260" w:after="260" w:line="413" w:lineRule="auto"/>
        <w:jc w:val="left"/>
        <w:outlineLvl w:val="9"/>
        <w:rPr>
          <w:rFonts w:hint="eastAsia" w:ascii="Arial" w:hAnsi="Arial" w:eastAsia="宋体" w:cs="Times New Roman"/>
          <w:b w:val="0"/>
          <w:bCs/>
          <w:color w:val="auto"/>
          <w:kern w:val="0"/>
          <w:sz w:val="28"/>
          <w:szCs w:val="20"/>
        </w:rPr>
      </w:pPr>
      <w:r>
        <w:rPr>
          <w:rFonts w:hint="eastAsia" w:ascii="Arial" w:hAnsi="Arial" w:eastAsia="宋体" w:cs="Times New Roman"/>
          <w:b w:val="0"/>
          <w:bCs/>
          <w:color w:val="auto"/>
          <w:kern w:val="0"/>
          <w:sz w:val="28"/>
          <w:szCs w:val="20"/>
        </w:rPr>
        <w:t>5.法律顾问团队服务方案。</w:t>
      </w:r>
    </w:p>
    <w:p w14:paraId="46D54F3B">
      <w:pPr>
        <w:keepNext/>
        <w:keepLines/>
        <w:spacing w:before="260" w:after="260" w:line="413" w:lineRule="auto"/>
        <w:jc w:val="left"/>
        <w:outlineLvl w:val="9"/>
        <w:rPr>
          <w:rFonts w:hint="eastAsia" w:ascii="Arial" w:hAnsi="Arial" w:eastAsia="宋体" w:cs="Times New Roman"/>
          <w:b w:val="0"/>
          <w:bCs/>
          <w:color w:val="auto"/>
          <w:kern w:val="0"/>
          <w:sz w:val="28"/>
          <w:szCs w:val="20"/>
        </w:rPr>
      </w:pPr>
    </w:p>
    <w:p w14:paraId="5072F3EB">
      <w:pPr>
        <w:keepNext/>
        <w:keepLines/>
        <w:spacing w:before="260" w:after="260" w:line="413" w:lineRule="auto"/>
        <w:jc w:val="left"/>
        <w:outlineLvl w:val="9"/>
        <w:rPr>
          <w:rFonts w:hint="eastAsia" w:ascii="Arial" w:hAnsi="Arial" w:eastAsia="宋体" w:cs="Times New Roman"/>
          <w:b w:val="0"/>
          <w:bCs/>
          <w:color w:val="auto"/>
          <w:kern w:val="0"/>
          <w:sz w:val="28"/>
          <w:szCs w:val="20"/>
        </w:rPr>
      </w:pPr>
    </w:p>
    <w:p w14:paraId="42A64C45">
      <w:pPr>
        <w:keepNext/>
        <w:keepLines/>
        <w:spacing w:before="260" w:after="260" w:line="413" w:lineRule="auto"/>
        <w:jc w:val="left"/>
        <w:outlineLvl w:val="9"/>
        <w:rPr>
          <w:rFonts w:hint="eastAsia" w:ascii="Arial" w:hAnsi="Arial" w:eastAsia="宋体" w:cs="Times New Roman"/>
          <w:b w:val="0"/>
          <w:bCs/>
          <w:color w:val="auto"/>
          <w:kern w:val="0"/>
          <w:sz w:val="28"/>
          <w:szCs w:val="20"/>
        </w:rPr>
      </w:pPr>
    </w:p>
    <w:p w14:paraId="1B542BDD">
      <w:pPr>
        <w:keepNext/>
        <w:keepLines/>
        <w:spacing w:before="260" w:after="260" w:line="413" w:lineRule="auto"/>
        <w:jc w:val="left"/>
        <w:outlineLvl w:val="9"/>
        <w:rPr>
          <w:rFonts w:hint="eastAsia" w:ascii="Arial" w:hAnsi="Arial" w:eastAsia="宋体" w:cs="Times New Roman"/>
          <w:b w:val="0"/>
          <w:bCs/>
          <w:color w:val="auto"/>
          <w:kern w:val="0"/>
          <w:sz w:val="28"/>
          <w:szCs w:val="20"/>
        </w:rPr>
      </w:pPr>
    </w:p>
    <w:p w14:paraId="590DB65E">
      <w:pPr>
        <w:keepNext/>
        <w:keepLines/>
        <w:spacing w:before="260" w:after="260" w:line="413" w:lineRule="auto"/>
        <w:jc w:val="left"/>
        <w:outlineLvl w:val="9"/>
        <w:rPr>
          <w:rFonts w:hint="eastAsia" w:ascii="Arial" w:hAnsi="Arial" w:eastAsia="宋体" w:cs="Times New Roman"/>
          <w:b w:val="0"/>
          <w:bCs/>
          <w:color w:val="auto"/>
          <w:kern w:val="0"/>
          <w:sz w:val="28"/>
          <w:szCs w:val="20"/>
        </w:rPr>
      </w:pPr>
      <w:r>
        <w:rPr>
          <w:rFonts w:hint="eastAsia" w:ascii="Arial" w:hAnsi="Arial" w:eastAsia="宋体" w:cs="Times New Roman"/>
          <w:b w:val="0"/>
          <w:bCs/>
          <w:color w:val="auto"/>
          <w:kern w:val="0"/>
          <w:sz w:val="28"/>
          <w:szCs w:val="20"/>
        </w:rPr>
        <w:t>备注：以上材料均需加盖单位公章，并按照目录顺序编排，标注页码。</w:t>
      </w:r>
    </w:p>
    <w:p w14:paraId="3EBF2D91">
      <w:pPr>
        <w:keepNext/>
        <w:keepLines/>
        <w:spacing w:before="260" w:after="260" w:line="413" w:lineRule="auto"/>
        <w:jc w:val="left"/>
        <w:outlineLvl w:val="9"/>
        <w:rPr>
          <w:rFonts w:hint="eastAsia" w:ascii="Arial" w:hAnsi="Arial" w:eastAsia="宋体" w:cs="Times New Roman"/>
          <w:b w:val="0"/>
          <w:bCs/>
          <w:color w:val="auto"/>
          <w:kern w:val="0"/>
          <w:sz w:val="28"/>
          <w:szCs w:val="20"/>
        </w:rPr>
      </w:pPr>
    </w:p>
    <w:p w14:paraId="6097CF89">
      <w:pPr>
        <w:keepNext/>
        <w:keepLines/>
        <w:spacing w:before="260" w:after="260" w:line="413" w:lineRule="auto"/>
        <w:jc w:val="left"/>
        <w:outlineLvl w:val="9"/>
        <w:rPr>
          <w:rFonts w:hint="eastAsia" w:ascii="Arial" w:hAnsi="Arial" w:eastAsia="宋体" w:cs="Times New Roman"/>
          <w:b w:val="0"/>
          <w:bCs/>
          <w:color w:val="auto"/>
          <w:kern w:val="0"/>
          <w:sz w:val="28"/>
          <w:szCs w:val="20"/>
        </w:rPr>
      </w:pPr>
    </w:p>
    <w:p w14:paraId="3D1DA3E4">
      <w:pPr>
        <w:keepNext/>
        <w:keepLines/>
        <w:spacing w:before="260" w:after="260" w:line="413" w:lineRule="auto"/>
        <w:jc w:val="left"/>
        <w:outlineLvl w:val="9"/>
        <w:rPr>
          <w:rFonts w:hint="eastAsia" w:ascii="Arial" w:hAnsi="Arial" w:eastAsia="宋体" w:cs="Times New Roman"/>
          <w:b w:val="0"/>
          <w:bCs/>
          <w:color w:val="auto"/>
          <w:kern w:val="0"/>
          <w:sz w:val="28"/>
          <w:szCs w:val="20"/>
        </w:rPr>
      </w:pPr>
    </w:p>
    <w:p w14:paraId="13701D8F">
      <w:pPr>
        <w:keepNext/>
        <w:keepLines/>
        <w:spacing w:before="260" w:after="260" w:line="413" w:lineRule="auto"/>
        <w:jc w:val="left"/>
        <w:outlineLvl w:val="9"/>
        <w:rPr>
          <w:rFonts w:hint="eastAsia" w:ascii="Arial" w:hAnsi="Arial" w:eastAsia="宋体" w:cs="Times New Roman"/>
          <w:b w:val="0"/>
          <w:bCs/>
          <w:color w:val="auto"/>
          <w:kern w:val="0"/>
          <w:sz w:val="28"/>
          <w:szCs w:val="20"/>
        </w:rPr>
      </w:pPr>
    </w:p>
    <w:p w14:paraId="270BDFDA">
      <w:pPr>
        <w:keepNext/>
        <w:keepLines/>
        <w:spacing w:before="260" w:after="260" w:line="413" w:lineRule="auto"/>
        <w:jc w:val="left"/>
        <w:outlineLvl w:val="9"/>
        <w:rPr>
          <w:rFonts w:hint="eastAsia" w:ascii="Arial" w:hAnsi="Arial" w:eastAsia="宋体" w:cs="Times New Roman"/>
          <w:b w:val="0"/>
          <w:bCs/>
          <w:color w:val="auto"/>
          <w:kern w:val="0"/>
          <w:sz w:val="28"/>
          <w:szCs w:val="20"/>
        </w:rPr>
      </w:pPr>
    </w:p>
    <w:p w14:paraId="04B0B6A4">
      <w:pPr>
        <w:keepNext/>
        <w:keepLines/>
        <w:spacing w:before="260" w:after="260" w:line="413" w:lineRule="auto"/>
        <w:jc w:val="left"/>
        <w:outlineLvl w:val="9"/>
        <w:rPr>
          <w:rFonts w:hint="eastAsia" w:ascii="Arial" w:hAnsi="Arial" w:eastAsia="宋体" w:cs="Times New Roman"/>
          <w:b w:val="0"/>
          <w:bCs/>
          <w:color w:val="auto"/>
          <w:kern w:val="0"/>
          <w:sz w:val="28"/>
          <w:szCs w:val="20"/>
        </w:rPr>
      </w:pPr>
    </w:p>
    <w:p w14:paraId="471BD1DA">
      <w:pPr>
        <w:keepNext/>
        <w:keepLines/>
        <w:numPr>
          <w:ilvl w:val="0"/>
          <w:numId w:val="0"/>
        </w:numPr>
        <w:spacing w:before="260" w:after="260" w:line="413" w:lineRule="auto"/>
        <w:jc w:val="left"/>
        <w:outlineLvl w:val="9"/>
        <w:rPr>
          <w:rFonts w:hint="eastAsia" w:ascii="Arial" w:hAnsi="Arial" w:eastAsia="宋体" w:cs="Times New Roman"/>
          <w:b w:val="0"/>
          <w:bCs/>
          <w:color w:val="auto"/>
          <w:kern w:val="0"/>
          <w:sz w:val="28"/>
          <w:szCs w:val="20"/>
          <w:highlight w:val="none"/>
        </w:rPr>
      </w:pPr>
      <w:r>
        <w:rPr>
          <w:rFonts w:hint="eastAsia" w:ascii="Arial" w:hAnsi="Arial" w:cs="Times New Roman"/>
          <w:b w:val="0"/>
          <w:bCs/>
          <w:color w:val="auto"/>
          <w:kern w:val="0"/>
          <w:sz w:val="28"/>
          <w:szCs w:val="20"/>
          <w:highlight w:val="none"/>
          <w:lang w:val="en-US" w:eastAsia="zh-CN"/>
        </w:rPr>
        <w:t>1.</w:t>
      </w:r>
      <w:r>
        <w:rPr>
          <w:rFonts w:hint="eastAsia" w:ascii="Arial" w:hAnsi="Arial" w:eastAsia="宋体" w:cs="Times New Roman"/>
          <w:b w:val="0"/>
          <w:bCs/>
          <w:color w:val="auto"/>
          <w:kern w:val="0"/>
          <w:sz w:val="28"/>
          <w:szCs w:val="20"/>
          <w:highlight w:val="none"/>
        </w:rPr>
        <w:t>律师事务所业绩表</w:t>
      </w:r>
    </w:p>
    <w:tbl>
      <w:tblPr>
        <w:tblStyle w:val="32"/>
        <w:tblW w:w="0" w:type="auto"/>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5"/>
        <w:gridCol w:w="2140"/>
        <w:gridCol w:w="1723"/>
        <w:gridCol w:w="1723"/>
        <w:gridCol w:w="1724"/>
      </w:tblGrid>
      <w:tr w14:paraId="72D09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815" w:type="dxa"/>
          </w:tcPr>
          <w:p w14:paraId="215F3F7B">
            <w:pPr>
              <w:numPr>
                <w:ilvl w:val="0"/>
                <w:numId w:val="0"/>
              </w:numPr>
              <w:ind w:leftChars="0"/>
              <w:jc w:val="left"/>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序号</w:t>
            </w:r>
          </w:p>
        </w:tc>
        <w:tc>
          <w:tcPr>
            <w:tcW w:w="2140" w:type="dxa"/>
          </w:tcPr>
          <w:p w14:paraId="36986E28">
            <w:pPr>
              <w:numPr>
                <w:ilvl w:val="0"/>
                <w:numId w:val="0"/>
              </w:numPr>
              <w:ind w:left="0" w:leftChars="0" w:firstLine="0" w:firstLineChars="0"/>
              <w:jc w:val="left"/>
              <w:outlineLvl w:val="9"/>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合同名称</w:t>
            </w:r>
          </w:p>
        </w:tc>
        <w:tc>
          <w:tcPr>
            <w:tcW w:w="1723" w:type="dxa"/>
          </w:tcPr>
          <w:p w14:paraId="7956670D">
            <w:pPr>
              <w:numPr>
                <w:ilvl w:val="0"/>
                <w:numId w:val="0"/>
              </w:numPr>
              <w:ind w:left="0" w:leftChars="0" w:firstLine="0" w:firstLineChars="0"/>
              <w:jc w:val="left"/>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合同对方名称</w:t>
            </w:r>
          </w:p>
        </w:tc>
        <w:tc>
          <w:tcPr>
            <w:tcW w:w="1723" w:type="dxa"/>
          </w:tcPr>
          <w:p w14:paraId="48B551CA">
            <w:pPr>
              <w:numPr>
                <w:ilvl w:val="0"/>
                <w:numId w:val="0"/>
              </w:numPr>
              <w:ind w:left="0" w:leftChars="0" w:firstLine="0" w:firstLineChars="0"/>
              <w:jc w:val="left"/>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服务内容</w:t>
            </w:r>
          </w:p>
        </w:tc>
        <w:tc>
          <w:tcPr>
            <w:tcW w:w="1724" w:type="dxa"/>
          </w:tcPr>
          <w:p w14:paraId="0FEBB09A">
            <w:pPr>
              <w:numPr>
                <w:ilvl w:val="0"/>
                <w:numId w:val="0"/>
              </w:numPr>
              <w:ind w:left="0" w:leftChars="0" w:firstLine="0" w:firstLineChars="0"/>
              <w:jc w:val="left"/>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合同签订时间</w:t>
            </w:r>
          </w:p>
        </w:tc>
      </w:tr>
      <w:tr w14:paraId="408C8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5" w:type="dxa"/>
          </w:tcPr>
          <w:p w14:paraId="2E16730A">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2140" w:type="dxa"/>
          </w:tcPr>
          <w:p w14:paraId="093C63D0">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1723" w:type="dxa"/>
          </w:tcPr>
          <w:p w14:paraId="108DF727">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1723" w:type="dxa"/>
          </w:tcPr>
          <w:p w14:paraId="01B21767">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1724" w:type="dxa"/>
          </w:tcPr>
          <w:p w14:paraId="479FBD40">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r>
      <w:tr w14:paraId="252F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5" w:type="dxa"/>
          </w:tcPr>
          <w:p w14:paraId="3FBD4562">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2140" w:type="dxa"/>
          </w:tcPr>
          <w:p w14:paraId="22B3AA24">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1723" w:type="dxa"/>
          </w:tcPr>
          <w:p w14:paraId="656D6D5E">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1723" w:type="dxa"/>
          </w:tcPr>
          <w:p w14:paraId="405D607E">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1724" w:type="dxa"/>
          </w:tcPr>
          <w:p w14:paraId="52425166">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r>
      <w:tr w14:paraId="4EB0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5" w:type="dxa"/>
          </w:tcPr>
          <w:p w14:paraId="769FAFBB">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2140" w:type="dxa"/>
          </w:tcPr>
          <w:p w14:paraId="4A1A178A">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1723" w:type="dxa"/>
          </w:tcPr>
          <w:p w14:paraId="6336319A">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1723" w:type="dxa"/>
          </w:tcPr>
          <w:p w14:paraId="4715AD3F">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1724" w:type="dxa"/>
          </w:tcPr>
          <w:p w14:paraId="5E2B1B84">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r>
      <w:tr w14:paraId="367BC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5" w:type="dxa"/>
          </w:tcPr>
          <w:p w14:paraId="2CDAB95D">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2140" w:type="dxa"/>
          </w:tcPr>
          <w:p w14:paraId="6F46E96E">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1723" w:type="dxa"/>
          </w:tcPr>
          <w:p w14:paraId="79DD56B6">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1723" w:type="dxa"/>
          </w:tcPr>
          <w:p w14:paraId="204D4726">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1724" w:type="dxa"/>
          </w:tcPr>
          <w:p w14:paraId="4DE959E2">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r>
      <w:tr w14:paraId="6905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5" w:type="dxa"/>
          </w:tcPr>
          <w:p w14:paraId="15AF0F87">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2140" w:type="dxa"/>
          </w:tcPr>
          <w:p w14:paraId="113CA932">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1723" w:type="dxa"/>
          </w:tcPr>
          <w:p w14:paraId="15C5D03E">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1723" w:type="dxa"/>
          </w:tcPr>
          <w:p w14:paraId="3407F23B">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1724" w:type="dxa"/>
          </w:tcPr>
          <w:p w14:paraId="0CF60241">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r>
      <w:tr w14:paraId="7C80C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5" w:type="dxa"/>
          </w:tcPr>
          <w:p w14:paraId="777DB72A">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2140" w:type="dxa"/>
          </w:tcPr>
          <w:p w14:paraId="2C1A1BB2">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1723" w:type="dxa"/>
          </w:tcPr>
          <w:p w14:paraId="1D2E998F">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1723" w:type="dxa"/>
          </w:tcPr>
          <w:p w14:paraId="461BC754">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1724" w:type="dxa"/>
          </w:tcPr>
          <w:p w14:paraId="4817817D">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r>
      <w:tr w14:paraId="7A942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5" w:type="dxa"/>
          </w:tcPr>
          <w:p w14:paraId="79CD30EA">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2140" w:type="dxa"/>
          </w:tcPr>
          <w:p w14:paraId="1CECC9DD">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1723" w:type="dxa"/>
          </w:tcPr>
          <w:p w14:paraId="0936CF11">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1723" w:type="dxa"/>
          </w:tcPr>
          <w:p w14:paraId="1C109174">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1724" w:type="dxa"/>
          </w:tcPr>
          <w:p w14:paraId="1A9716EA">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r>
      <w:tr w14:paraId="78EA8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5" w:type="dxa"/>
          </w:tcPr>
          <w:p w14:paraId="48758AFC">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2140" w:type="dxa"/>
          </w:tcPr>
          <w:p w14:paraId="703F8F3C">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1723" w:type="dxa"/>
          </w:tcPr>
          <w:p w14:paraId="650B9E41">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1723" w:type="dxa"/>
          </w:tcPr>
          <w:p w14:paraId="015683DA">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1724" w:type="dxa"/>
          </w:tcPr>
          <w:p w14:paraId="4920572F">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r>
      <w:tr w14:paraId="3C035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5" w:type="dxa"/>
          </w:tcPr>
          <w:p w14:paraId="05DE4562">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2140" w:type="dxa"/>
          </w:tcPr>
          <w:p w14:paraId="76B5946A">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1723" w:type="dxa"/>
          </w:tcPr>
          <w:p w14:paraId="2FEE43FB">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1723" w:type="dxa"/>
          </w:tcPr>
          <w:p w14:paraId="1AE884E8">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1724" w:type="dxa"/>
          </w:tcPr>
          <w:p w14:paraId="0B39A672">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r>
    </w:tbl>
    <w:p w14:paraId="18A3F021">
      <w:pPr>
        <w:jc w:val="left"/>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注：1、</w:t>
      </w:r>
      <w:r>
        <w:rPr>
          <w:rFonts w:hint="default" w:ascii="宋体" w:hAnsi="宋体" w:eastAsia="宋体" w:cs="宋体"/>
          <w:color w:val="auto"/>
          <w:sz w:val="28"/>
          <w:szCs w:val="28"/>
          <w:lang w:val="en-US" w:eastAsia="zh-CN"/>
        </w:rPr>
        <w:t>业绩表是指202</w:t>
      </w:r>
      <w:r>
        <w:rPr>
          <w:rFonts w:hint="eastAsia" w:ascii="宋体" w:hAnsi="宋体" w:cs="宋体"/>
          <w:color w:val="auto"/>
          <w:sz w:val="28"/>
          <w:szCs w:val="28"/>
          <w:lang w:val="en-US" w:eastAsia="zh-CN"/>
        </w:rPr>
        <w:t>2</w:t>
      </w:r>
      <w:r>
        <w:rPr>
          <w:rFonts w:hint="default" w:ascii="宋体" w:hAnsi="宋体" w:eastAsia="宋体" w:cs="宋体"/>
          <w:color w:val="auto"/>
          <w:sz w:val="28"/>
          <w:szCs w:val="28"/>
          <w:lang w:val="en-US" w:eastAsia="zh-CN"/>
        </w:rPr>
        <w:t>年1月1日至今，对与本项目相关或相近的服务经验。</w:t>
      </w:r>
    </w:p>
    <w:p w14:paraId="13FE8183">
      <w:pPr>
        <w:numPr>
          <w:ilvl w:val="0"/>
          <w:numId w:val="0"/>
        </w:numPr>
        <w:ind w:left="0" w:leftChars="0" w:firstLine="0" w:firstLineChars="0"/>
        <w:jc w:val="left"/>
        <w:rPr>
          <w:rFonts w:hint="default" w:ascii="宋体" w:hAnsi="宋体" w:eastAsia="宋体" w:cs="宋体"/>
          <w:color w:val="auto"/>
          <w:sz w:val="28"/>
          <w:szCs w:val="28"/>
          <w:lang w:val="en-US" w:eastAsia="zh-CN"/>
        </w:rPr>
      </w:pPr>
      <w:r>
        <w:rPr>
          <w:rFonts w:hint="default" w:ascii="宋体" w:hAnsi="宋体" w:eastAsia="宋体" w:cs="宋体"/>
          <w:color w:val="auto"/>
          <w:kern w:val="2"/>
          <w:sz w:val="28"/>
          <w:szCs w:val="28"/>
          <w:lang w:val="en-US" w:eastAsia="zh-CN" w:bidi="ar-SA"/>
        </w:rPr>
        <w:t>6、</w:t>
      </w:r>
      <w:r>
        <w:rPr>
          <w:rFonts w:hint="default" w:ascii="宋体" w:hAnsi="宋体" w:eastAsia="宋体" w:cs="宋体"/>
          <w:color w:val="auto"/>
          <w:sz w:val="28"/>
          <w:szCs w:val="28"/>
          <w:lang w:val="en-US" w:eastAsia="zh-CN"/>
        </w:rPr>
        <w:t>此表须附相应合同复印件(必须体现合同对方名称及签订时间，涉及商业秘密的内容可以隐去)证明材料。未附证明材料的项目视为无效。</w:t>
      </w:r>
    </w:p>
    <w:p w14:paraId="7E9850FD">
      <w:pPr>
        <w:widowControl w:val="0"/>
        <w:numPr>
          <w:ilvl w:val="0"/>
          <w:numId w:val="0"/>
        </w:numPr>
        <w:jc w:val="left"/>
        <w:rPr>
          <w:rFonts w:hint="default" w:ascii="宋体" w:hAnsi="宋体" w:eastAsia="宋体" w:cs="宋体"/>
          <w:color w:val="auto"/>
          <w:sz w:val="28"/>
          <w:szCs w:val="28"/>
          <w:lang w:val="en-US" w:eastAsia="zh-CN"/>
        </w:rPr>
      </w:pPr>
    </w:p>
    <w:p w14:paraId="58681CB0">
      <w:pPr>
        <w:widowControl w:val="0"/>
        <w:numPr>
          <w:ilvl w:val="0"/>
          <w:numId w:val="0"/>
        </w:numPr>
        <w:jc w:val="left"/>
        <w:rPr>
          <w:rFonts w:hint="default" w:ascii="宋体" w:hAnsi="宋体" w:eastAsia="宋体" w:cs="宋体"/>
          <w:color w:val="auto"/>
          <w:sz w:val="28"/>
          <w:szCs w:val="28"/>
          <w:lang w:val="en-US" w:eastAsia="zh-CN"/>
        </w:rPr>
      </w:pPr>
    </w:p>
    <w:p w14:paraId="427DC640">
      <w:pPr>
        <w:widowControl w:val="0"/>
        <w:numPr>
          <w:ilvl w:val="0"/>
          <w:numId w:val="0"/>
        </w:numPr>
        <w:jc w:val="left"/>
        <w:rPr>
          <w:rFonts w:hint="default" w:ascii="宋体" w:hAnsi="宋体" w:eastAsia="宋体" w:cs="宋体"/>
          <w:color w:val="auto"/>
          <w:sz w:val="28"/>
          <w:szCs w:val="28"/>
          <w:lang w:val="en-US" w:eastAsia="zh-CN"/>
        </w:rPr>
      </w:pPr>
    </w:p>
    <w:p w14:paraId="714C4151">
      <w:pPr>
        <w:widowControl w:val="0"/>
        <w:numPr>
          <w:ilvl w:val="0"/>
          <w:numId w:val="0"/>
        </w:numPr>
        <w:jc w:val="left"/>
        <w:rPr>
          <w:rFonts w:hint="default" w:ascii="宋体" w:hAnsi="宋体" w:eastAsia="宋体" w:cs="宋体"/>
          <w:color w:val="auto"/>
          <w:sz w:val="28"/>
          <w:szCs w:val="28"/>
          <w:lang w:val="en-US" w:eastAsia="zh-CN"/>
        </w:rPr>
      </w:pPr>
    </w:p>
    <w:p w14:paraId="00C31A14">
      <w:pPr>
        <w:widowControl w:val="0"/>
        <w:numPr>
          <w:ilvl w:val="0"/>
          <w:numId w:val="0"/>
        </w:numPr>
        <w:jc w:val="left"/>
        <w:rPr>
          <w:rFonts w:hint="default" w:ascii="宋体" w:hAnsi="宋体" w:eastAsia="宋体" w:cs="宋体"/>
          <w:color w:val="auto"/>
          <w:sz w:val="28"/>
          <w:szCs w:val="28"/>
          <w:lang w:val="en-US" w:eastAsia="zh-CN"/>
        </w:rPr>
      </w:pPr>
    </w:p>
    <w:p w14:paraId="216877EA">
      <w:pPr>
        <w:widowControl w:val="0"/>
        <w:numPr>
          <w:ilvl w:val="0"/>
          <w:numId w:val="0"/>
        </w:numPr>
        <w:jc w:val="left"/>
        <w:rPr>
          <w:rFonts w:hint="default" w:ascii="宋体" w:hAnsi="宋体" w:eastAsia="宋体" w:cs="宋体"/>
          <w:color w:val="auto"/>
          <w:sz w:val="28"/>
          <w:szCs w:val="28"/>
          <w:lang w:val="en-US" w:eastAsia="zh-CN"/>
        </w:rPr>
      </w:pPr>
    </w:p>
    <w:p w14:paraId="6BE3089E">
      <w:pPr>
        <w:widowControl w:val="0"/>
        <w:numPr>
          <w:ilvl w:val="0"/>
          <w:numId w:val="0"/>
        </w:numPr>
        <w:jc w:val="left"/>
        <w:rPr>
          <w:rFonts w:hint="default" w:ascii="宋体" w:hAnsi="宋体" w:eastAsia="宋体" w:cs="宋体"/>
          <w:color w:val="auto"/>
          <w:sz w:val="28"/>
          <w:szCs w:val="28"/>
          <w:lang w:val="en-US" w:eastAsia="zh-CN"/>
        </w:rPr>
      </w:pPr>
    </w:p>
    <w:p w14:paraId="6437C22A">
      <w:pPr>
        <w:widowControl w:val="0"/>
        <w:numPr>
          <w:ilvl w:val="0"/>
          <w:numId w:val="0"/>
        </w:numPr>
        <w:jc w:val="left"/>
        <w:rPr>
          <w:rFonts w:hint="default" w:ascii="宋体" w:hAnsi="宋体" w:eastAsia="宋体" w:cs="宋体"/>
          <w:color w:val="auto"/>
          <w:sz w:val="28"/>
          <w:szCs w:val="28"/>
          <w:lang w:val="en-US" w:eastAsia="zh-CN"/>
        </w:rPr>
      </w:pPr>
    </w:p>
    <w:p w14:paraId="6FC1AE8B">
      <w:pPr>
        <w:widowControl w:val="0"/>
        <w:numPr>
          <w:ilvl w:val="0"/>
          <w:numId w:val="0"/>
        </w:numPr>
        <w:jc w:val="left"/>
        <w:rPr>
          <w:rFonts w:hint="default" w:ascii="宋体" w:hAnsi="宋体" w:eastAsia="宋体" w:cs="宋体"/>
          <w:color w:val="auto"/>
          <w:sz w:val="28"/>
          <w:szCs w:val="28"/>
          <w:lang w:val="en-US" w:eastAsia="zh-CN"/>
        </w:rPr>
      </w:pPr>
    </w:p>
    <w:p w14:paraId="04E2FA80">
      <w:pPr>
        <w:widowControl w:val="0"/>
        <w:numPr>
          <w:ilvl w:val="0"/>
          <w:numId w:val="0"/>
        </w:numPr>
        <w:jc w:val="left"/>
        <w:rPr>
          <w:rFonts w:hint="default" w:ascii="宋体" w:hAnsi="宋体" w:eastAsia="宋体" w:cs="宋体"/>
          <w:color w:val="auto"/>
          <w:sz w:val="28"/>
          <w:szCs w:val="28"/>
          <w:lang w:val="en-US" w:eastAsia="zh-CN"/>
        </w:rPr>
      </w:pPr>
    </w:p>
    <w:p w14:paraId="19AEBDDB">
      <w:pPr>
        <w:widowControl w:val="0"/>
        <w:numPr>
          <w:ilvl w:val="0"/>
          <w:numId w:val="0"/>
        </w:numPr>
        <w:jc w:val="left"/>
        <w:rPr>
          <w:rFonts w:hint="default" w:ascii="宋体" w:hAnsi="宋体" w:eastAsia="宋体" w:cs="宋体"/>
          <w:color w:val="auto"/>
          <w:sz w:val="28"/>
          <w:szCs w:val="28"/>
          <w:lang w:val="en-US" w:eastAsia="zh-CN"/>
        </w:rPr>
      </w:pPr>
    </w:p>
    <w:p w14:paraId="3A8ACA91">
      <w:pPr>
        <w:widowControl w:val="0"/>
        <w:numPr>
          <w:ilvl w:val="0"/>
          <w:numId w:val="0"/>
        </w:numPr>
        <w:jc w:val="left"/>
        <w:rPr>
          <w:rFonts w:hint="default" w:ascii="宋体" w:hAnsi="宋体" w:eastAsia="宋体" w:cs="宋体"/>
          <w:color w:val="auto"/>
          <w:sz w:val="28"/>
          <w:szCs w:val="28"/>
          <w:lang w:val="en-US" w:eastAsia="zh-CN"/>
        </w:rPr>
      </w:pPr>
    </w:p>
    <w:p w14:paraId="6844B752">
      <w:pPr>
        <w:widowControl w:val="0"/>
        <w:numPr>
          <w:ilvl w:val="0"/>
          <w:numId w:val="0"/>
        </w:numPr>
        <w:jc w:val="left"/>
        <w:rPr>
          <w:rFonts w:hint="default" w:ascii="宋体" w:hAnsi="宋体" w:eastAsia="宋体" w:cs="宋体"/>
          <w:color w:val="auto"/>
          <w:sz w:val="28"/>
          <w:szCs w:val="28"/>
          <w:lang w:val="en-US" w:eastAsia="zh-CN"/>
        </w:rPr>
      </w:pPr>
    </w:p>
    <w:p w14:paraId="53F9901C">
      <w:pPr>
        <w:widowControl w:val="0"/>
        <w:numPr>
          <w:ilvl w:val="0"/>
          <w:numId w:val="0"/>
        </w:numPr>
        <w:jc w:val="left"/>
        <w:rPr>
          <w:rFonts w:hint="default" w:ascii="宋体" w:hAnsi="宋体" w:eastAsia="宋体" w:cs="宋体"/>
          <w:color w:val="auto"/>
          <w:sz w:val="28"/>
          <w:szCs w:val="28"/>
          <w:lang w:val="en-US" w:eastAsia="zh-CN"/>
        </w:rPr>
      </w:pPr>
    </w:p>
    <w:p w14:paraId="132C976A">
      <w:pPr>
        <w:widowControl w:val="0"/>
        <w:numPr>
          <w:ilvl w:val="0"/>
          <w:numId w:val="0"/>
        </w:numPr>
        <w:jc w:val="left"/>
        <w:rPr>
          <w:rFonts w:hint="default" w:ascii="宋体" w:hAnsi="宋体" w:eastAsia="宋体" w:cs="宋体"/>
          <w:color w:val="auto"/>
          <w:sz w:val="28"/>
          <w:szCs w:val="28"/>
          <w:lang w:val="en-US" w:eastAsia="zh-CN"/>
        </w:rPr>
      </w:pPr>
    </w:p>
    <w:p w14:paraId="7EDFACF6">
      <w:pPr>
        <w:widowControl w:val="0"/>
        <w:numPr>
          <w:ilvl w:val="0"/>
          <w:numId w:val="0"/>
        </w:numPr>
        <w:jc w:val="left"/>
        <w:rPr>
          <w:rFonts w:hint="default" w:ascii="宋体" w:hAnsi="宋体" w:eastAsia="宋体" w:cs="宋体"/>
          <w:color w:val="auto"/>
          <w:sz w:val="28"/>
          <w:szCs w:val="28"/>
          <w:lang w:val="en-US" w:eastAsia="zh-CN"/>
        </w:rPr>
      </w:pPr>
    </w:p>
    <w:p w14:paraId="325BE063">
      <w:pPr>
        <w:widowControl w:val="0"/>
        <w:numPr>
          <w:ilvl w:val="0"/>
          <w:numId w:val="0"/>
        </w:numPr>
        <w:jc w:val="left"/>
        <w:rPr>
          <w:rFonts w:hint="default" w:ascii="宋体" w:hAnsi="宋体" w:eastAsia="宋体" w:cs="宋体"/>
          <w:color w:val="auto"/>
          <w:sz w:val="28"/>
          <w:szCs w:val="28"/>
          <w:lang w:val="en-US" w:eastAsia="zh-CN"/>
        </w:rPr>
      </w:pPr>
    </w:p>
    <w:p w14:paraId="1B75046B">
      <w:pPr>
        <w:widowControl w:val="0"/>
        <w:numPr>
          <w:ilvl w:val="0"/>
          <w:numId w:val="0"/>
        </w:numPr>
        <w:jc w:val="left"/>
        <w:rPr>
          <w:rFonts w:hint="default" w:ascii="宋体" w:hAnsi="宋体" w:eastAsia="宋体" w:cs="宋体"/>
          <w:color w:val="auto"/>
          <w:sz w:val="28"/>
          <w:szCs w:val="28"/>
          <w:lang w:val="en-US" w:eastAsia="zh-CN"/>
        </w:rPr>
      </w:pPr>
    </w:p>
    <w:p w14:paraId="65BD4E54">
      <w:pPr>
        <w:widowControl w:val="0"/>
        <w:numPr>
          <w:ilvl w:val="0"/>
          <w:numId w:val="0"/>
        </w:numPr>
        <w:jc w:val="left"/>
        <w:rPr>
          <w:rFonts w:hint="default" w:ascii="宋体" w:hAnsi="宋体" w:eastAsia="宋体" w:cs="宋体"/>
          <w:color w:val="auto"/>
          <w:sz w:val="28"/>
          <w:szCs w:val="28"/>
          <w:lang w:val="en-US" w:eastAsia="zh-CN"/>
        </w:rPr>
      </w:pPr>
    </w:p>
    <w:p w14:paraId="0163B01F">
      <w:pPr>
        <w:widowControl w:val="0"/>
        <w:numPr>
          <w:ilvl w:val="0"/>
          <w:numId w:val="0"/>
        </w:numPr>
        <w:jc w:val="left"/>
        <w:rPr>
          <w:rFonts w:hint="default" w:ascii="宋体" w:hAnsi="宋体" w:eastAsia="宋体" w:cs="宋体"/>
          <w:color w:val="auto"/>
          <w:sz w:val="28"/>
          <w:szCs w:val="28"/>
          <w:lang w:val="en-US" w:eastAsia="zh-CN"/>
        </w:rPr>
      </w:pPr>
    </w:p>
    <w:p w14:paraId="5A02C2D4">
      <w:pPr>
        <w:widowControl w:val="0"/>
        <w:numPr>
          <w:ilvl w:val="0"/>
          <w:numId w:val="0"/>
        </w:numPr>
        <w:jc w:val="left"/>
        <w:rPr>
          <w:rFonts w:hint="default" w:ascii="宋体" w:hAnsi="宋体" w:eastAsia="宋体" w:cs="宋体"/>
          <w:color w:val="auto"/>
          <w:sz w:val="28"/>
          <w:szCs w:val="28"/>
          <w:lang w:val="en-US" w:eastAsia="zh-CN"/>
        </w:rPr>
      </w:pPr>
    </w:p>
    <w:p w14:paraId="339AC6ED">
      <w:pPr>
        <w:numPr>
          <w:ilvl w:val="0"/>
          <w:numId w:val="0"/>
        </w:numPr>
        <w:spacing w:line="360" w:lineRule="auto"/>
        <w:jc w:val="left"/>
        <w:outlineLvl w:val="9"/>
        <w:rPr>
          <w:rFonts w:hint="eastAsia"/>
        </w:rPr>
      </w:pPr>
      <w:bookmarkStart w:id="414" w:name="_Toc2010"/>
      <w:bookmarkStart w:id="415" w:name="_Toc21835"/>
      <w:bookmarkStart w:id="416" w:name="_Toc17346"/>
      <w:bookmarkStart w:id="417" w:name="_Toc11015"/>
      <w:bookmarkStart w:id="418" w:name="_Toc30879"/>
      <w:bookmarkStart w:id="419" w:name="_Toc24524"/>
      <w:bookmarkStart w:id="420" w:name="_Toc24408"/>
      <w:bookmarkStart w:id="421" w:name="_Toc4901"/>
      <w:bookmarkStart w:id="422" w:name="_Toc24164"/>
      <w:bookmarkStart w:id="423" w:name="_Toc5616"/>
      <w:bookmarkStart w:id="424" w:name="_Toc16542"/>
      <w:bookmarkStart w:id="425" w:name="_Toc461525328"/>
      <w:bookmarkStart w:id="426" w:name="_Toc7127"/>
      <w:bookmarkStart w:id="427" w:name="_Toc333307135"/>
      <w:r>
        <w:rPr>
          <w:rFonts w:hint="eastAsia" w:ascii="Arial" w:hAnsi="Arial" w:cs="Times New Roman"/>
          <w:b w:val="0"/>
          <w:bCs/>
          <w:color w:val="auto"/>
          <w:kern w:val="0"/>
          <w:sz w:val="28"/>
          <w:szCs w:val="20"/>
          <w:lang w:val="en-US" w:eastAsia="zh-CN"/>
        </w:rPr>
        <w:t>2.</w:t>
      </w:r>
      <w:r>
        <w:rPr>
          <w:rFonts w:hint="eastAsia" w:ascii="Arial" w:hAnsi="Arial" w:eastAsia="宋体" w:cs="Times New Roman"/>
          <w:b w:val="0"/>
          <w:bCs/>
          <w:color w:val="auto"/>
          <w:kern w:val="0"/>
          <w:sz w:val="28"/>
          <w:szCs w:val="20"/>
        </w:rPr>
        <w:t>律师事务所成立时间及信誉材料</w:t>
      </w:r>
    </w:p>
    <w:p w14:paraId="535F1149">
      <w:pPr>
        <w:rPr>
          <w:rFonts w:hint="eastAsia" w:ascii="Arial" w:hAnsi="Arial" w:eastAsia="宋体" w:cs="Times New Roman"/>
          <w:b w:val="0"/>
          <w:bCs/>
          <w:color w:val="auto"/>
          <w:kern w:val="0"/>
          <w:sz w:val="28"/>
          <w:szCs w:val="20"/>
        </w:rPr>
      </w:pPr>
    </w:p>
    <w:p w14:paraId="66D08399">
      <w:pPr>
        <w:rPr>
          <w:rFonts w:hint="eastAsia" w:ascii="Arial" w:hAnsi="Arial" w:eastAsia="宋体" w:cs="Times New Roman"/>
          <w:b w:val="0"/>
          <w:bCs/>
          <w:color w:val="auto"/>
          <w:kern w:val="0"/>
          <w:sz w:val="28"/>
          <w:szCs w:val="20"/>
        </w:rPr>
      </w:pPr>
    </w:p>
    <w:p w14:paraId="69BD49FE">
      <w:pPr>
        <w:rPr>
          <w:rFonts w:hint="eastAsia" w:ascii="Arial" w:hAnsi="Arial" w:eastAsia="宋体" w:cs="Times New Roman"/>
          <w:b w:val="0"/>
          <w:bCs/>
          <w:color w:val="auto"/>
          <w:kern w:val="0"/>
          <w:sz w:val="28"/>
          <w:szCs w:val="20"/>
        </w:rPr>
      </w:pPr>
    </w:p>
    <w:p w14:paraId="3483F38A">
      <w:pPr>
        <w:rPr>
          <w:rFonts w:hint="eastAsia" w:ascii="Arial" w:hAnsi="Arial" w:eastAsia="宋体" w:cs="Times New Roman"/>
          <w:b w:val="0"/>
          <w:bCs/>
          <w:color w:val="auto"/>
          <w:kern w:val="0"/>
          <w:sz w:val="28"/>
          <w:szCs w:val="20"/>
        </w:rPr>
      </w:pPr>
    </w:p>
    <w:p w14:paraId="2DE183F6">
      <w:pPr>
        <w:rPr>
          <w:rFonts w:hint="eastAsia" w:ascii="Arial" w:hAnsi="Arial" w:eastAsia="宋体" w:cs="Times New Roman"/>
          <w:b w:val="0"/>
          <w:bCs/>
          <w:color w:val="auto"/>
          <w:kern w:val="0"/>
          <w:sz w:val="28"/>
          <w:szCs w:val="20"/>
        </w:rPr>
      </w:pPr>
    </w:p>
    <w:p w14:paraId="37F650D4">
      <w:pPr>
        <w:rPr>
          <w:rFonts w:hint="eastAsia" w:ascii="Arial" w:hAnsi="Arial" w:eastAsia="宋体" w:cs="Times New Roman"/>
          <w:b w:val="0"/>
          <w:bCs/>
          <w:color w:val="auto"/>
          <w:kern w:val="0"/>
          <w:sz w:val="28"/>
          <w:szCs w:val="20"/>
        </w:rPr>
      </w:pPr>
    </w:p>
    <w:p w14:paraId="051DBB38">
      <w:pPr>
        <w:rPr>
          <w:rFonts w:hint="eastAsia" w:ascii="Arial" w:hAnsi="Arial" w:eastAsia="宋体" w:cs="Times New Roman"/>
          <w:b w:val="0"/>
          <w:bCs/>
          <w:color w:val="auto"/>
          <w:kern w:val="0"/>
          <w:sz w:val="28"/>
          <w:szCs w:val="20"/>
        </w:rPr>
      </w:pPr>
    </w:p>
    <w:p w14:paraId="046742C5">
      <w:pPr>
        <w:rPr>
          <w:rFonts w:hint="eastAsia" w:ascii="Arial" w:hAnsi="Arial" w:eastAsia="宋体" w:cs="Times New Roman"/>
          <w:b w:val="0"/>
          <w:bCs/>
          <w:color w:val="auto"/>
          <w:kern w:val="0"/>
          <w:sz w:val="28"/>
          <w:szCs w:val="20"/>
        </w:rPr>
      </w:pPr>
    </w:p>
    <w:p w14:paraId="5FC3539E">
      <w:pPr>
        <w:rPr>
          <w:rFonts w:hint="eastAsia" w:ascii="Arial" w:hAnsi="Arial" w:eastAsia="宋体" w:cs="Times New Roman"/>
          <w:b w:val="0"/>
          <w:bCs/>
          <w:color w:val="auto"/>
          <w:kern w:val="0"/>
          <w:sz w:val="28"/>
          <w:szCs w:val="20"/>
        </w:rPr>
      </w:pPr>
    </w:p>
    <w:p w14:paraId="6096FA8E">
      <w:pPr>
        <w:rPr>
          <w:rFonts w:hint="eastAsia" w:ascii="Arial" w:hAnsi="Arial" w:eastAsia="宋体" w:cs="Times New Roman"/>
          <w:b w:val="0"/>
          <w:bCs/>
          <w:color w:val="auto"/>
          <w:kern w:val="0"/>
          <w:sz w:val="28"/>
          <w:szCs w:val="20"/>
        </w:rPr>
      </w:pPr>
    </w:p>
    <w:p w14:paraId="01829460">
      <w:pPr>
        <w:rPr>
          <w:rFonts w:hint="eastAsia" w:ascii="Arial" w:hAnsi="Arial" w:eastAsia="宋体" w:cs="Times New Roman"/>
          <w:b w:val="0"/>
          <w:bCs/>
          <w:color w:val="auto"/>
          <w:kern w:val="0"/>
          <w:sz w:val="28"/>
          <w:szCs w:val="20"/>
        </w:rPr>
      </w:pPr>
    </w:p>
    <w:p w14:paraId="778A3020">
      <w:pPr>
        <w:rPr>
          <w:rFonts w:hint="eastAsia" w:ascii="Arial" w:hAnsi="Arial" w:eastAsia="宋体" w:cs="Times New Roman"/>
          <w:b w:val="0"/>
          <w:bCs/>
          <w:color w:val="auto"/>
          <w:kern w:val="0"/>
          <w:sz w:val="28"/>
          <w:szCs w:val="20"/>
        </w:rPr>
      </w:pPr>
    </w:p>
    <w:p w14:paraId="514DFEB8">
      <w:pPr>
        <w:rPr>
          <w:rFonts w:hint="eastAsia" w:ascii="Arial" w:hAnsi="Arial" w:eastAsia="宋体" w:cs="Times New Roman"/>
          <w:b w:val="0"/>
          <w:bCs/>
          <w:color w:val="auto"/>
          <w:kern w:val="0"/>
          <w:sz w:val="28"/>
          <w:szCs w:val="20"/>
        </w:rPr>
      </w:pPr>
    </w:p>
    <w:p w14:paraId="637589AE">
      <w:pPr>
        <w:rPr>
          <w:rFonts w:hint="eastAsia" w:ascii="Arial" w:hAnsi="Arial" w:eastAsia="宋体" w:cs="Times New Roman"/>
          <w:b w:val="0"/>
          <w:bCs/>
          <w:color w:val="auto"/>
          <w:kern w:val="0"/>
          <w:sz w:val="28"/>
          <w:szCs w:val="20"/>
        </w:rPr>
      </w:pPr>
    </w:p>
    <w:p w14:paraId="23FFD45B">
      <w:pPr>
        <w:rPr>
          <w:rFonts w:hint="eastAsia" w:ascii="Arial" w:hAnsi="Arial" w:eastAsia="宋体" w:cs="Times New Roman"/>
          <w:b w:val="0"/>
          <w:bCs/>
          <w:color w:val="auto"/>
          <w:kern w:val="0"/>
          <w:sz w:val="28"/>
          <w:szCs w:val="20"/>
        </w:rPr>
      </w:pPr>
    </w:p>
    <w:p w14:paraId="66DC0858">
      <w:pPr>
        <w:rPr>
          <w:rFonts w:hint="eastAsia" w:ascii="Arial" w:hAnsi="Arial" w:eastAsia="宋体" w:cs="Times New Roman"/>
          <w:b w:val="0"/>
          <w:bCs/>
          <w:color w:val="auto"/>
          <w:kern w:val="0"/>
          <w:sz w:val="28"/>
          <w:szCs w:val="20"/>
        </w:rPr>
      </w:pPr>
    </w:p>
    <w:p w14:paraId="4E49101A">
      <w:pPr>
        <w:rPr>
          <w:rFonts w:hint="eastAsia" w:ascii="Arial" w:hAnsi="Arial" w:eastAsia="宋体" w:cs="Times New Roman"/>
          <w:b w:val="0"/>
          <w:bCs/>
          <w:color w:val="auto"/>
          <w:kern w:val="0"/>
          <w:sz w:val="28"/>
          <w:szCs w:val="20"/>
        </w:rPr>
      </w:pPr>
    </w:p>
    <w:p w14:paraId="72058E73">
      <w:pPr>
        <w:rPr>
          <w:rFonts w:hint="eastAsia" w:ascii="Arial" w:hAnsi="Arial" w:eastAsia="宋体" w:cs="Times New Roman"/>
          <w:b w:val="0"/>
          <w:bCs/>
          <w:color w:val="auto"/>
          <w:kern w:val="0"/>
          <w:sz w:val="28"/>
          <w:szCs w:val="20"/>
        </w:rPr>
      </w:pPr>
    </w:p>
    <w:p w14:paraId="55A17918">
      <w:pPr>
        <w:rPr>
          <w:rFonts w:hint="eastAsia" w:ascii="Arial" w:hAnsi="Arial" w:eastAsia="宋体" w:cs="Times New Roman"/>
          <w:b w:val="0"/>
          <w:bCs/>
          <w:color w:val="auto"/>
          <w:kern w:val="0"/>
          <w:sz w:val="28"/>
          <w:szCs w:val="20"/>
        </w:rPr>
      </w:pPr>
    </w:p>
    <w:p w14:paraId="0B210D31">
      <w:pPr>
        <w:rPr>
          <w:rFonts w:hint="eastAsia" w:ascii="Arial" w:hAnsi="Arial" w:eastAsia="宋体" w:cs="Times New Roman"/>
          <w:b w:val="0"/>
          <w:bCs/>
          <w:color w:val="auto"/>
          <w:kern w:val="0"/>
          <w:sz w:val="28"/>
          <w:szCs w:val="20"/>
        </w:rPr>
      </w:pPr>
    </w:p>
    <w:p w14:paraId="235D2377">
      <w:pPr>
        <w:rPr>
          <w:rFonts w:hint="eastAsia" w:ascii="Arial" w:hAnsi="Arial" w:eastAsia="宋体" w:cs="Times New Roman"/>
          <w:b w:val="0"/>
          <w:bCs/>
          <w:color w:val="auto"/>
          <w:kern w:val="0"/>
          <w:sz w:val="28"/>
          <w:szCs w:val="20"/>
        </w:rPr>
      </w:pPr>
    </w:p>
    <w:p w14:paraId="58C92DA4">
      <w:pPr>
        <w:rPr>
          <w:rFonts w:hint="eastAsia" w:ascii="Arial" w:hAnsi="Arial" w:eastAsia="宋体" w:cs="Times New Roman"/>
          <w:b w:val="0"/>
          <w:bCs/>
          <w:color w:val="auto"/>
          <w:kern w:val="0"/>
          <w:sz w:val="28"/>
          <w:szCs w:val="20"/>
        </w:rPr>
      </w:pPr>
    </w:p>
    <w:p w14:paraId="71AD4471">
      <w:pPr>
        <w:rPr>
          <w:rFonts w:hint="eastAsia" w:ascii="Arial" w:hAnsi="Arial" w:eastAsia="宋体" w:cs="Times New Roman"/>
          <w:b w:val="0"/>
          <w:bCs/>
          <w:color w:val="auto"/>
          <w:kern w:val="0"/>
          <w:sz w:val="28"/>
          <w:szCs w:val="20"/>
        </w:rPr>
      </w:pPr>
    </w:p>
    <w:p w14:paraId="169B5F2E">
      <w:pPr>
        <w:rPr>
          <w:rFonts w:hint="eastAsia" w:ascii="Arial" w:hAnsi="Arial" w:eastAsia="宋体" w:cs="Times New Roman"/>
          <w:b w:val="0"/>
          <w:bCs/>
          <w:color w:val="auto"/>
          <w:kern w:val="0"/>
          <w:sz w:val="28"/>
          <w:szCs w:val="20"/>
        </w:rPr>
      </w:pPr>
    </w:p>
    <w:p w14:paraId="208115B5">
      <w:pPr>
        <w:rPr>
          <w:rFonts w:hint="eastAsia" w:ascii="Arial" w:hAnsi="Arial" w:eastAsia="宋体" w:cs="Times New Roman"/>
          <w:b w:val="0"/>
          <w:bCs/>
          <w:color w:val="auto"/>
          <w:kern w:val="0"/>
          <w:sz w:val="28"/>
          <w:szCs w:val="20"/>
        </w:rPr>
      </w:pPr>
    </w:p>
    <w:p w14:paraId="2E191854">
      <w:pPr>
        <w:rPr>
          <w:rFonts w:hint="eastAsia" w:ascii="Arial" w:hAnsi="Arial" w:eastAsia="宋体" w:cs="Times New Roman"/>
          <w:b w:val="0"/>
          <w:bCs/>
          <w:color w:val="auto"/>
          <w:kern w:val="0"/>
          <w:sz w:val="28"/>
          <w:szCs w:val="20"/>
        </w:rPr>
      </w:pPr>
    </w:p>
    <w:p w14:paraId="450E3E11">
      <w:pPr>
        <w:rPr>
          <w:rFonts w:hint="eastAsia" w:ascii="Arial" w:hAnsi="Arial" w:eastAsia="宋体" w:cs="Times New Roman"/>
          <w:b w:val="0"/>
          <w:bCs/>
          <w:color w:val="auto"/>
          <w:kern w:val="0"/>
          <w:sz w:val="28"/>
          <w:szCs w:val="20"/>
        </w:rPr>
      </w:pPr>
    </w:p>
    <w:p w14:paraId="7FD3C3F9">
      <w:pPr>
        <w:rPr>
          <w:rFonts w:hint="eastAsia" w:ascii="Arial" w:hAnsi="Arial" w:eastAsia="宋体" w:cs="Times New Roman"/>
          <w:b w:val="0"/>
          <w:bCs/>
          <w:color w:val="auto"/>
          <w:kern w:val="0"/>
          <w:sz w:val="28"/>
          <w:szCs w:val="20"/>
        </w:rPr>
      </w:pPr>
    </w:p>
    <w:p w14:paraId="09DC8159">
      <w:pPr>
        <w:rPr>
          <w:rFonts w:hint="eastAsia" w:ascii="Arial" w:hAnsi="Arial" w:eastAsia="宋体" w:cs="Times New Roman"/>
          <w:b w:val="0"/>
          <w:bCs/>
          <w:color w:val="auto"/>
          <w:kern w:val="0"/>
          <w:sz w:val="28"/>
          <w:szCs w:val="20"/>
        </w:rPr>
      </w:pPr>
    </w:p>
    <w:p w14:paraId="1B0F9AF0">
      <w:pPr>
        <w:rPr>
          <w:rFonts w:hint="eastAsia" w:ascii="Arial" w:hAnsi="Arial" w:eastAsia="宋体" w:cs="Times New Roman"/>
          <w:b w:val="0"/>
          <w:bCs/>
          <w:color w:val="auto"/>
          <w:kern w:val="0"/>
          <w:sz w:val="28"/>
          <w:szCs w:val="20"/>
        </w:rPr>
      </w:pPr>
    </w:p>
    <w:p w14:paraId="1EC5006D">
      <w:pPr>
        <w:rPr>
          <w:rFonts w:hint="eastAsia" w:ascii="Arial" w:hAnsi="Arial" w:eastAsia="宋体" w:cs="Times New Roman"/>
          <w:b w:val="0"/>
          <w:bCs/>
          <w:color w:val="auto"/>
          <w:kern w:val="0"/>
          <w:sz w:val="28"/>
          <w:szCs w:val="20"/>
        </w:rPr>
      </w:pPr>
    </w:p>
    <w:p w14:paraId="56526BB0">
      <w:pPr>
        <w:rPr>
          <w:rFonts w:hint="eastAsia" w:ascii="Arial" w:hAnsi="Arial" w:eastAsia="宋体" w:cs="Times New Roman"/>
          <w:b w:val="0"/>
          <w:bCs/>
          <w:color w:val="auto"/>
          <w:kern w:val="0"/>
          <w:sz w:val="28"/>
          <w:szCs w:val="20"/>
        </w:rPr>
      </w:pPr>
    </w:p>
    <w:p w14:paraId="0152129E">
      <w:pPr>
        <w:rPr>
          <w:rFonts w:hint="eastAsia" w:ascii="Arial" w:hAnsi="Arial" w:eastAsia="宋体" w:cs="Times New Roman"/>
          <w:b w:val="0"/>
          <w:bCs/>
          <w:color w:val="auto"/>
          <w:kern w:val="0"/>
          <w:sz w:val="28"/>
          <w:szCs w:val="20"/>
        </w:rPr>
      </w:pPr>
    </w:p>
    <w:p w14:paraId="574F36DC">
      <w:pPr>
        <w:rPr>
          <w:rFonts w:hint="eastAsia" w:ascii="Arial" w:hAnsi="Arial" w:eastAsia="宋体" w:cs="Times New Roman"/>
          <w:b w:val="0"/>
          <w:bCs/>
          <w:color w:val="auto"/>
          <w:kern w:val="0"/>
          <w:sz w:val="28"/>
          <w:szCs w:val="20"/>
        </w:rPr>
      </w:pPr>
    </w:p>
    <w:p w14:paraId="0C13C4E1">
      <w:pPr>
        <w:rPr>
          <w:rFonts w:hint="eastAsia" w:ascii="Arial" w:hAnsi="Arial" w:eastAsia="宋体" w:cs="Times New Roman"/>
          <w:b w:val="0"/>
          <w:bCs/>
          <w:color w:val="auto"/>
          <w:kern w:val="0"/>
          <w:sz w:val="28"/>
          <w:szCs w:val="20"/>
        </w:rPr>
      </w:pPr>
    </w:p>
    <w:p w14:paraId="1F3D7133">
      <w:pPr>
        <w:rPr>
          <w:rFonts w:hint="eastAsia" w:ascii="Arial" w:hAnsi="Arial" w:eastAsia="宋体" w:cs="Times New Roman"/>
          <w:b w:val="0"/>
          <w:bCs/>
          <w:color w:val="auto"/>
          <w:kern w:val="0"/>
          <w:sz w:val="28"/>
          <w:szCs w:val="20"/>
        </w:rPr>
      </w:pPr>
    </w:p>
    <w:p w14:paraId="18FA0E74">
      <w:pPr>
        <w:rPr>
          <w:rFonts w:hint="eastAsia" w:ascii="Arial" w:hAnsi="Arial" w:eastAsia="宋体" w:cs="Times New Roman"/>
          <w:b w:val="0"/>
          <w:bCs/>
          <w:color w:val="auto"/>
          <w:kern w:val="0"/>
          <w:sz w:val="28"/>
          <w:szCs w:val="20"/>
        </w:rPr>
      </w:pPr>
    </w:p>
    <w:p w14:paraId="4A98E937">
      <w:pPr>
        <w:rPr>
          <w:rFonts w:hint="eastAsia" w:ascii="Arial" w:hAnsi="Arial" w:eastAsia="宋体" w:cs="Times New Roman"/>
          <w:b w:val="0"/>
          <w:bCs/>
          <w:color w:val="auto"/>
          <w:kern w:val="0"/>
          <w:sz w:val="28"/>
          <w:szCs w:val="20"/>
        </w:rPr>
      </w:pPr>
    </w:p>
    <w:p w14:paraId="3155CF0F">
      <w:pPr>
        <w:rPr>
          <w:rFonts w:hint="eastAsia" w:ascii="Arial" w:hAnsi="Arial" w:eastAsia="宋体" w:cs="Times New Roman"/>
          <w:b w:val="0"/>
          <w:bCs/>
          <w:color w:val="auto"/>
          <w:kern w:val="0"/>
          <w:sz w:val="28"/>
          <w:szCs w:val="20"/>
        </w:rPr>
      </w:pPr>
    </w:p>
    <w:p w14:paraId="20B57594">
      <w:pPr>
        <w:rPr>
          <w:rFonts w:hint="eastAsia" w:ascii="Arial" w:hAnsi="Arial" w:eastAsia="宋体" w:cs="Times New Roman"/>
          <w:b w:val="0"/>
          <w:bCs/>
          <w:color w:val="auto"/>
          <w:kern w:val="0"/>
          <w:sz w:val="28"/>
          <w:szCs w:val="20"/>
        </w:rPr>
      </w:pPr>
    </w:p>
    <w:p w14:paraId="41E23AA0">
      <w:pPr>
        <w:rPr>
          <w:rFonts w:hint="eastAsia" w:ascii="Arial" w:hAnsi="Arial" w:eastAsia="宋体" w:cs="Times New Roman"/>
          <w:b w:val="0"/>
          <w:bCs/>
          <w:color w:val="auto"/>
          <w:kern w:val="0"/>
          <w:sz w:val="28"/>
          <w:szCs w:val="20"/>
        </w:rPr>
      </w:pPr>
    </w:p>
    <w:p w14:paraId="52DC1D33">
      <w:pPr>
        <w:rPr>
          <w:rFonts w:hint="eastAsia" w:ascii="Arial" w:hAnsi="Arial" w:eastAsia="宋体" w:cs="Times New Roman"/>
          <w:b w:val="0"/>
          <w:bCs/>
          <w:color w:val="auto"/>
          <w:kern w:val="0"/>
          <w:sz w:val="28"/>
          <w:szCs w:val="20"/>
        </w:rPr>
      </w:pPr>
    </w:p>
    <w:p w14:paraId="737B529A">
      <w:pPr>
        <w:numPr>
          <w:ilvl w:val="0"/>
          <w:numId w:val="0"/>
        </w:numPr>
        <w:spacing w:line="360" w:lineRule="auto"/>
        <w:jc w:val="left"/>
        <w:outlineLvl w:val="9"/>
        <w:rPr>
          <w:rFonts w:hint="eastAsia" w:ascii="Arial" w:hAnsi="Arial" w:eastAsia="宋体" w:cs="Times New Roman"/>
          <w:b w:val="0"/>
          <w:bCs/>
          <w:color w:val="auto"/>
          <w:kern w:val="0"/>
          <w:sz w:val="28"/>
          <w:szCs w:val="20"/>
          <w:highlight w:val="none"/>
          <w:lang w:val="en-US" w:eastAsia="zh-CN" w:bidi="ar-SA"/>
        </w:rPr>
      </w:pPr>
      <w:r>
        <w:rPr>
          <w:rFonts w:hint="eastAsia" w:ascii="Arial" w:hAnsi="Arial" w:cs="Times New Roman"/>
          <w:b w:val="0"/>
          <w:bCs/>
          <w:color w:val="auto"/>
          <w:kern w:val="0"/>
          <w:sz w:val="28"/>
          <w:szCs w:val="20"/>
          <w:highlight w:val="none"/>
          <w:lang w:val="en-US" w:eastAsia="zh-CN" w:bidi="ar-SA"/>
        </w:rPr>
        <w:t>3.</w:t>
      </w:r>
      <w:r>
        <w:rPr>
          <w:rFonts w:hint="eastAsia" w:ascii="Arial" w:hAnsi="Arial" w:eastAsia="宋体" w:cs="Times New Roman"/>
          <w:b w:val="0"/>
          <w:bCs/>
          <w:color w:val="auto"/>
          <w:kern w:val="0"/>
          <w:sz w:val="28"/>
          <w:szCs w:val="20"/>
          <w:highlight w:val="none"/>
          <w:lang w:val="en-US" w:eastAsia="zh-CN" w:bidi="ar-SA"/>
        </w:rPr>
        <w:t>拟投入人员配置明细</w:t>
      </w:r>
    </w:p>
    <w:tbl>
      <w:tblPr>
        <w:tblStyle w:val="32"/>
        <w:tblW w:w="0" w:type="auto"/>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710"/>
        <w:gridCol w:w="749"/>
        <w:gridCol w:w="767"/>
        <w:gridCol w:w="776"/>
        <w:gridCol w:w="776"/>
        <w:gridCol w:w="776"/>
        <w:gridCol w:w="1135"/>
        <w:gridCol w:w="945"/>
        <w:gridCol w:w="720"/>
        <w:gridCol w:w="1020"/>
      </w:tblGrid>
      <w:tr w14:paraId="517C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86" w:type="dxa"/>
          </w:tcPr>
          <w:p w14:paraId="59500F10">
            <w:pPr>
              <w:jc w:val="both"/>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序号</w:t>
            </w:r>
          </w:p>
        </w:tc>
        <w:tc>
          <w:tcPr>
            <w:tcW w:w="710" w:type="dxa"/>
            <w:vAlign w:val="center"/>
          </w:tcPr>
          <w:p w14:paraId="62A7D867">
            <w:pP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姓名</w:t>
            </w:r>
          </w:p>
        </w:tc>
        <w:tc>
          <w:tcPr>
            <w:tcW w:w="749" w:type="dxa"/>
            <w:vAlign w:val="center"/>
          </w:tcPr>
          <w:p w14:paraId="24DDA4F1">
            <w:pP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年龄</w:t>
            </w:r>
          </w:p>
        </w:tc>
        <w:tc>
          <w:tcPr>
            <w:tcW w:w="767" w:type="dxa"/>
            <w:vAlign w:val="center"/>
          </w:tcPr>
          <w:p w14:paraId="433D8AC1">
            <w:pP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性别</w:t>
            </w:r>
          </w:p>
        </w:tc>
        <w:tc>
          <w:tcPr>
            <w:tcW w:w="776" w:type="dxa"/>
            <w:vAlign w:val="center"/>
          </w:tcPr>
          <w:p w14:paraId="545E52C0">
            <w:pP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职务</w:t>
            </w:r>
          </w:p>
        </w:tc>
        <w:tc>
          <w:tcPr>
            <w:tcW w:w="776" w:type="dxa"/>
            <w:vAlign w:val="center"/>
          </w:tcPr>
          <w:p w14:paraId="34664DFF">
            <w:pP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学历</w:t>
            </w:r>
          </w:p>
        </w:tc>
        <w:tc>
          <w:tcPr>
            <w:tcW w:w="776" w:type="dxa"/>
            <w:vAlign w:val="center"/>
          </w:tcPr>
          <w:p w14:paraId="3EB83453">
            <w:pP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毕业院校</w:t>
            </w:r>
          </w:p>
        </w:tc>
        <w:tc>
          <w:tcPr>
            <w:tcW w:w="1135" w:type="dxa"/>
            <w:vAlign w:val="center"/>
          </w:tcPr>
          <w:p w14:paraId="2B5A91C5">
            <w:pP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执业证号</w:t>
            </w:r>
          </w:p>
        </w:tc>
        <w:tc>
          <w:tcPr>
            <w:tcW w:w="945" w:type="dxa"/>
            <w:vAlign w:val="center"/>
          </w:tcPr>
          <w:p w14:paraId="103B72F0">
            <w:pP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执业年限</w:t>
            </w:r>
          </w:p>
        </w:tc>
        <w:tc>
          <w:tcPr>
            <w:tcW w:w="720" w:type="dxa"/>
            <w:vAlign w:val="center"/>
          </w:tcPr>
          <w:p w14:paraId="5A22F84B">
            <w:pP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团队角色</w:t>
            </w:r>
          </w:p>
        </w:tc>
        <w:tc>
          <w:tcPr>
            <w:tcW w:w="1020" w:type="dxa"/>
            <w:vAlign w:val="center"/>
          </w:tcPr>
          <w:p w14:paraId="7A7ABDCB">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擅长领域</w:t>
            </w:r>
          </w:p>
        </w:tc>
      </w:tr>
      <w:tr w14:paraId="6E278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686" w:type="dxa"/>
          </w:tcPr>
          <w:p w14:paraId="68C804BA">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10" w:type="dxa"/>
          </w:tcPr>
          <w:p w14:paraId="5D943A69">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49" w:type="dxa"/>
          </w:tcPr>
          <w:p w14:paraId="2C0D864C">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67" w:type="dxa"/>
          </w:tcPr>
          <w:p w14:paraId="1F87E38B">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76" w:type="dxa"/>
          </w:tcPr>
          <w:p w14:paraId="4CE9BCD6">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76" w:type="dxa"/>
          </w:tcPr>
          <w:p w14:paraId="748CB908">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76" w:type="dxa"/>
          </w:tcPr>
          <w:p w14:paraId="47D61FB0">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1135" w:type="dxa"/>
          </w:tcPr>
          <w:p w14:paraId="7F4C2B76">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945" w:type="dxa"/>
          </w:tcPr>
          <w:p w14:paraId="65A1E9E8">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20" w:type="dxa"/>
          </w:tcPr>
          <w:p w14:paraId="195627A0">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1020" w:type="dxa"/>
          </w:tcPr>
          <w:p w14:paraId="78F26EE6">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r>
      <w:tr w14:paraId="2C059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0E3354C5">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10" w:type="dxa"/>
          </w:tcPr>
          <w:p w14:paraId="48F9F098">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49" w:type="dxa"/>
          </w:tcPr>
          <w:p w14:paraId="0C22A0F1">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67" w:type="dxa"/>
          </w:tcPr>
          <w:p w14:paraId="52DA61E1">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76" w:type="dxa"/>
          </w:tcPr>
          <w:p w14:paraId="0DB23FDB">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76" w:type="dxa"/>
          </w:tcPr>
          <w:p w14:paraId="41D8EF74">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76" w:type="dxa"/>
          </w:tcPr>
          <w:p w14:paraId="48999894">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1135" w:type="dxa"/>
          </w:tcPr>
          <w:p w14:paraId="49391685">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945" w:type="dxa"/>
          </w:tcPr>
          <w:p w14:paraId="517578EC">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20" w:type="dxa"/>
          </w:tcPr>
          <w:p w14:paraId="5AD1ABED">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1020" w:type="dxa"/>
          </w:tcPr>
          <w:p w14:paraId="74B33FA4">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r>
      <w:tr w14:paraId="74583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31D5F928">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10" w:type="dxa"/>
          </w:tcPr>
          <w:p w14:paraId="64D32FD4">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49" w:type="dxa"/>
          </w:tcPr>
          <w:p w14:paraId="2FB51CE7">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67" w:type="dxa"/>
          </w:tcPr>
          <w:p w14:paraId="181AB5FE">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76" w:type="dxa"/>
          </w:tcPr>
          <w:p w14:paraId="431864BA">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76" w:type="dxa"/>
          </w:tcPr>
          <w:p w14:paraId="36AA391B">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76" w:type="dxa"/>
          </w:tcPr>
          <w:p w14:paraId="60A2B427">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1135" w:type="dxa"/>
          </w:tcPr>
          <w:p w14:paraId="6CCA1477">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945" w:type="dxa"/>
          </w:tcPr>
          <w:p w14:paraId="41A5B0AB">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20" w:type="dxa"/>
          </w:tcPr>
          <w:p w14:paraId="1FDD9184">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1020" w:type="dxa"/>
          </w:tcPr>
          <w:p w14:paraId="27A6D151">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r>
      <w:tr w14:paraId="15AD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20BA80F2">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10" w:type="dxa"/>
          </w:tcPr>
          <w:p w14:paraId="0B2B94FB">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49" w:type="dxa"/>
          </w:tcPr>
          <w:p w14:paraId="65BA4725">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67" w:type="dxa"/>
          </w:tcPr>
          <w:p w14:paraId="09D66E7F">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76" w:type="dxa"/>
          </w:tcPr>
          <w:p w14:paraId="6D482A9F">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76" w:type="dxa"/>
          </w:tcPr>
          <w:p w14:paraId="25C0A8D5">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76" w:type="dxa"/>
          </w:tcPr>
          <w:p w14:paraId="741B45EB">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1135" w:type="dxa"/>
          </w:tcPr>
          <w:p w14:paraId="72259F85">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945" w:type="dxa"/>
          </w:tcPr>
          <w:p w14:paraId="2048718C">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20" w:type="dxa"/>
          </w:tcPr>
          <w:p w14:paraId="7A561AB2">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1020" w:type="dxa"/>
          </w:tcPr>
          <w:p w14:paraId="5075E9AF">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r>
      <w:tr w14:paraId="48F9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778EA83C">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10" w:type="dxa"/>
          </w:tcPr>
          <w:p w14:paraId="7CE9797F">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49" w:type="dxa"/>
          </w:tcPr>
          <w:p w14:paraId="62EDB23B">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67" w:type="dxa"/>
          </w:tcPr>
          <w:p w14:paraId="263A34E8">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76" w:type="dxa"/>
          </w:tcPr>
          <w:p w14:paraId="3A9AF654">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76" w:type="dxa"/>
          </w:tcPr>
          <w:p w14:paraId="5A3B58F7">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76" w:type="dxa"/>
          </w:tcPr>
          <w:p w14:paraId="7FC81FB1">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1135" w:type="dxa"/>
          </w:tcPr>
          <w:p w14:paraId="50453B39">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945" w:type="dxa"/>
          </w:tcPr>
          <w:p w14:paraId="435E7787">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20" w:type="dxa"/>
          </w:tcPr>
          <w:p w14:paraId="215462D1">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1020" w:type="dxa"/>
          </w:tcPr>
          <w:p w14:paraId="1B0AD411">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r>
      <w:tr w14:paraId="3A80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42CBF55F">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10" w:type="dxa"/>
          </w:tcPr>
          <w:p w14:paraId="7B45EA4D">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49" w:type="dxa"/>
          </w:tcPr>
          <w:p w14:paraId="50249093">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67" w:type="dxa"/>
          </w:tcPr>
          <w:p w14:paraId="2299A620">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76" w:type="dxa"/>
          </w:tcPr>
          <w:p w14:paraId="656FD206">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76" w:type="dxa"/>
          </w:tcPr>
          <w:p w14:paraId="2A1C6F93">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76" w:type="dxa"/>
          </w:tcPr>
          <w:p w14:paraId="1CA24E4D">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1135" w:type="dxa"/>
          </w:tcPr>
          <w:p w14:paraId="032E6125">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945" w:type="dxa"/>
          </w:tcPr>
          <w:p w14:paraId="7829E6A9">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20" w:type="dxa"/>
          </w:tcPr>
          <w:p w14:paraId="757008F1">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1020" w:type="dxa"/>
          </w:tcPr>
          <w:p w14:paraId="2A4DE4AB">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r>
      <w:tr w14:paraId="380F9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429CBCD7">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10" w:type="dxa"/>
          </w:tcPr>
          <w:p w14:paraId="67BF9DF1">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49" w:type="dxa"/>
          </w:tcPr>
          <w:p w14:paraId="3D59491F">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67" w:type="dxa"/>
          </w:tcPr>
          <w:p w14:paraId="1E81CED1">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76" w:type="dxa"/>
          </w:tcPr>
          <w:p w14:paraId="09057D66">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76" w:type="dxa"/>
          </w:tcPr>
          <w:p w14:paraId="784A211E">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76" w:type="dxa"/>
          </w:tcPr>
          <w:p w14:paraId="5B358BB3">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1135" w:type="dxa"/>
          </w:tcPr>
          <w:p w14:paraId="4F334279">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945" w:type="dxa"/>
          </w:tcPr>
          <w:p w14:paraId="23B4641C">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20" w:type="dxa"/>
          </w:tcPr>
          <w:p w14:paraId="7CACB202">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1020" w:type="dxa"/>
          </w:tcPr>
          <w:p w14:paraId="430CBD0E">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r>
      <w:tr w14:paraId="5D962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21863F3C">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10" w:type="dxa"/>
          </w:tcPr>
          <w:p w14:paraId="5CD619EC">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49" w:type="dxa"/>
          </w:tcPr>
          <w:p w14:paraId="02A2FC42">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67" w:type="dxa"/>
          </w:tcPr>
          <w:p w14:paraId="1656394F">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76" w:type="dxa"/>
          </w:tcPr>
          <w:p w14:paraId="0BD41300">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76" w:type="dxa"/>
          </w:tcPr>
          <w:p w14:paraId="2F483CE9">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76" w:type="dxa"/>
          </w:tcPr>
          <w:p w14:paraId="1A1B488D">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1135" w:type="dxa"/>
          </w:tcPr>
          <w:p w14:paraId="74AE4FA3">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945" w:type="dxa"/>
          </w:tcPr>
          <w:p w14:paraId="2BD71ACA">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20" w:type="dxa"/>
          </w:tcPr>
          <w:p w14:paraId="4ECFD102">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1020" w:type="dxa"/>
          </w:tcPr>
          <w:p w14:paraId="40176A30">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r>
      <w:tr w14:paraId="5D8C3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7D6E95C2">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10" w:type="dxa"/>
          </w:tcPr>
          <w:p w14:paraId="097AE7A3">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49" w:type="dxa"/>
          </w:tcPr>
          <w:p w14:paraId="0C161B5D">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67" w:type="dxa"/>
          </w:tcPr>
          <w:p w14:paraId="129B78E9">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76" w:type="dxa"/>
          </w:tcPr>
          <w:p w14:paraId="36E2ED2B">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76" w:type="dxa"/>
          </w:tcPr>
          <w:p w14:paraId="46FA9A1E">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76" w:type="dxa"/>
          </w:tcPr>
          <w:p w14:paraId="3BD84A46">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1135" w:type="dxa"/>
          </w:tcPr>
          <w:p w14:paraId="40891B69">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945" w:type="dxa"/>
          </w:tcPr>
          <w:p w14:paraId="1B6703F0">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20" w:type="dxa"/>
          </w:tcPr>
          <w:p w14:paraId="05D0270A">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1020" w:type="dxa"/>
          </w:tcPr>
          <w:p w14:paraId="0D6C1464">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r>
      <w:tr w14:paraId="354F8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3345D626">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10" w:type="dxa"/>
          </w:tcPr>
          <w:p w14:paraId="73E920C2">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49" w:type="dxa"/>
          </w:tcPr>
          <w:p w14:paraId="11F0CB2B">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67" w:type="dxa"/>
          </w:tcPr>
          <w:p w14:paraId="6BCDEA5E">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76" w:type="dxa"/>
          </w:tcPr>
          <w:p w14:paraId="1339131D">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76" w:type="dxa"/>
          </w:tcPr>
          <w:p w14:paraId="589F3314">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76" w:type="dxa"/>
          </w:tcPr>
          <w:p w14:paraId="23EA4B89">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1135" w:type="dxa"/>
          </w:tcPr>
          <w:p w14:paraId="7B8C053B">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945" w:type="dxa"/>
          </w:tcPr>
          <w:p w14:paraId="115DA4E4">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20" w:type="dxa"/>
          </w:tcPr>
          <w:p w14:paraId="57A4BA3C">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1020" w:type="dxa"/>
          </w:tcPr>
          <w:p w14:paraId="370CD62B">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r>
      <w:tr w14:paraId="56FEB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37334066">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10" w:type="dxa"/>
          </w:tcPr>
          <w:p w14:paraId="0C55E7FE">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49" w:type="dxa"/>
          </w:tcPr>
          <w:p w14:paraId="08AB6407">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67" w:type="dxa"/>
          </w:tcPr>
          <w:p w14:paraId="11E73834">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76" w:type="dxa"/>
          </w:tcPr>
          <w:p w14:paraId="658585C8">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76" w:type="dxa"/>
          </w:tcPr>
          <w:p w14:paraId="18A070BF">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76" w:type="dxa"/>
          </w:tcPr>
          <w:p w14:paraId="04944C69">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1135" w:type="dxa"/>
          </w:tcPr>
          <w:p w14:paraId="480F710A">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945" w:type="dxa"/>
          </w:tcPr>
          <w:p w14:paraId="664EA787">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720" w:type="dxa"/>
          </w:tcPr>
          <w:p w14:paraId="602DE64C">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c>
          <w:tcPr>
            <w:tcW w:w="1020" w:type="dxa"/>
          </w:tcPr>
          <w:p w14:paraId="63F8AD6E">
            <w:pPr>
              <w:keepNext/>
              <w:keepLines/>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b w:val="0"/>
                <w:bCs/>
                <w:color w:val="auto"/>
                <w:kern w:val="0"/>
                <w:sz w:val="28"/>
                <w:szCs w:val="20"/>
                <w:vertAlign w:val="baseline"/>
                <w:lang w:val="en-US" w:eastAsia="zh-CN"/>
              </w:rPr>
            </w:pPr>
          </w:p>
        </w:tc>
      </w:tr>
    </w:tbl>
    <w:p w14:paraId="7BD1E891">
      <w:pPr>
        <w:rPr>
          <w:rFonts w:hint="eastAsia"/>
          <w:lang w:val="en-US" w:eastAsia="zh-CN"/>
        </w:rPr>
      </w:pPr>
    </w:p>
    <w:p w14:paraId="5C9E9EED">
      <w:pPr>
        <w:rPr>
          <w:rFonts w:hint="eastAsia" w:ascii="Arial" w:hAnsi="Arial" w:cs="Times New Roman"/>
          <w:b w:val="0"/>
          <w:bCs/>
          <w:color w:val="auto"/>
          <w:kern w:val="0"/>
          <w:sz w:val="28"/>
          <w:szCs w:val="20"/>
          <w:lang w:val="en-US" w:eastAsia="zh-CN" w:bidi="ar-SA"/>
        </w:rPr>
      </w:pPr>
      <w:r>
        <w:rPr>
          <w:rFonts w:hint="eastAsia" w:ascii="Arial" w:hAnsi="Arial" w:cs="Times New Roman"/>
          <w:b w:val="0"/>
          <w:bCs/>
          <w:color w:val="auto"/>
          <w:kern w:val="0"/>
          <w:sz w:val="28"/>
          <w:szCs w:val="20"/>
          <w:lang w:val="en-US" w:eastAsia="zh-CN" w:bidi="ar-SA"/>
        </w:rPr>
        <w:t>此表须附学历复印件、资格证复印件等证明材料。</w:t>
      </w:r>
    </w:p>
    <w:p w14:paraId="78616F3B">
      <w:pPr>
        <w:rPr>
          <w:rFonts w:hint="eastAsia" w:ascii="Arial" w:hAnsi="Arial" w:cs="Times New Roman"/>
          <w:b w:val="0"/>
          <w:bCs/>
          <w:color w:val="auto"/>
          <w:kern w:val="0"/>
          <w:sz w:val="28"/>
          <w:szCs w:val="20"/>
          <w:lang w:val="en-US" w:eastAsia="zh-CN" w:bidi="ar-SA"/>
        </w:rPr>
      </w:pPr>
    </w:p>
    <w:p w14:paraId="46D4CB67">
      <w:pPr>
        <w:rPr>
          <w:rFonts w:hint="eastAsia" w:ascii="Arial" w:hAnsi="Arial" w:cs="Times New Roman"/>
          <w:b w:val="0"/>
          <w:bCs/>
          <w:color w:val="auto"/>
          <w:kern w:val="0"/>
          <w:sz w:val="28"/>
          <w:szCs w:val="20"/>
          <w:lang w:val="en-US" w:eastAsia="zh-CN" w:bidi="ar-SA"/>
        </w:rPr>
      </w:pPr>
    </w:p>
    <w:p w14:paraId="19DD0D86">
      <w:pPr>
        <w:rPr>
          <w:rFonts w:hint="eastAsia" w:ascii="Arial" w:hAnsi="Arial" w:cs="Times New Roman"/>
          <w:b w:val="0"/>
          <w:bCs/>
          <w:color w:val="auto"/>
          <w:kern w:val="0"/>
          <w:sz w:val="28"/>
          <w:szCs w:val="20"/>
          <w:lang w:val="en-US" w:eastAsia="zh-CN" w:bidi="ar-SA"/>
        </w:rPr>
      </w:pPr>
    </w:p>
    <w:p w14:paraId="563474FA">
      <w:pPr>
        <w:rPr>
          <w:rFonts w:hint="eastAsia" w:ascii="Arial" w:hAnsi="Arial" w:cs="Times New Roman"/>
          <w:b w:val="0"/>
          <w:bCs/>
          <w:color w:val="auto"/>
          <w:kern w:val="0"/>
          <w:sz w:val="28"/>
          <w:szCs w:val="20"/>
          <w:lang w:val="en-US" w:eastAsia="zh-CN" w:bidi="ar-SA"/>
        </w:rPr>
      </w:pPr>
    </w:p>
    <w:p w14:paraId="38F602F1">
      <w:pPr>
        <w:rPr>
          <w:rFonts w:hint="eastAsia" w:ascii="Arial" w:hAnsi="Arial" w:cs="Times New Roman"/>
          <w:b w:val="0"/>
          <w:bCs/>
          <w:color w:val="auto"/>
          <w:kern w:val="0"/>
          <w:sz w:val="28"/>
          <w:szCs w:val="20"/>
          <w:lang w:val="en-US" w:eastAsia="zh-CN" w:bidi="ar-SA"/>
        </w:rPr>
      </w:pPr>
    </w:p>
    <w:p w14:paraId="5D3765C6">
      <w:pPr>
        <w:rPr>
          <w:rFonts w:hint="eastAsia" w:ascii="Arial" w:hAnsi="Arial" w:cs="Times New Roman"/>
          <w:b w:val="0"/>
          <w:bCs/>
          <w:color w:val="auto"/>
          <w:kern w:val="0"/>
          <w:sz w:val="28"/>
          <w:szCs w:val="20"/>
          <w:lang w:val="en-US" w:eastAsia="zh-CN" w:bidi="ar-SA"/>
        </w:rPr>
      </w:pPr>
    </w:p>
    <w:p w14:paraId="58960AD0">
      <w:pPr>
        <w:rPr>
          <w:rFonts w:hint="eastAsia" w:ascii="Arial" w:hAnsi="Arial" w:cs="Times New Roman"/>
          <w:b w:val="0"/>
          <w:bCs/>
          <w:color w:val="auto"/>
          <w:kern w:val="0"/>
          <w:sz w:val="28"/>
          <w:szCs w:val="20"/>
          <w:lang w:val="en-US" w:eastAsia="zh-CN" w:bidi="ar-SA"/>
        </w:rPr>
      </w:pPr>
    </w:p>
    <w:p w14:paraId="4A1DD364">
      <w:pPr>
        <w:rPr>
          <w:rFonts w:hint="eastAsia" w:ascii="Arial" w:hAnsi="Arial" w:cs="Times New Roman"/>
          <w:b w:val="0"/>
          <w:bCs/>
          <w:color w:val="auto"/>
          <w:kern w:val="0"/>
          <w:sz w:val="28"/>
          <w:szCs w:val="20"/>
          <w:lang w:val="en-US" w:eastAsia="zh-CN" w:bidi="ar-SA"/>
        </w:rPr>
      </w:pPr>
    </w:p>
    <w:p w14:paraId="3FB982EB">
      <w:pPr>
        <w:rPr>
          <w:rFonts w:hint="eastAsia" w:ascii="Arial" w:hAnsi="Arial" w:cs="Times New Roman"/>
          <w:b w:val="0"/>
          <w:bCs/>
          <w:color w:val="auto"/>
          <w:kern w:val="0"/>
          <w:sz w:val="28"/>
          <w:szCs w:val="20"/>
          <w:lang w:val="en-US" w:eastAsia="zh-CN" w:bidi="ar-SA"/>
        </w:rPr>
      </w:pPr>
    </w:p>
    <w:p w14:paraId="149A6859">
      <w:pPr>
        <w:rPr>
          <w:rFonts w:hint="eastAsia" w:ascii="Arial" w:hAnsi="Arial" w:cs="Times New Roman"/>
          <w:b w:val="0"/>
          <w:bCs/>
          <w:color w:val="auto"/>
          <w:kern w:val="0"/>
          <w:sz w:val="28"/>
          <w:szCs w:val="20"/>
          <w:lang w:val="en-US" w:eastAsia="zh-CN" w:bidi="ar-SA"/>
        </w:rPr>
      </w:pPr>
    </w:p>
    <w:p w14:paraId="26A7E7A5">
      <w:pPr>
        <w:rPr>
          <w:rFonts w:hint="eastAsia" w:ascii="Arial" w:hAnsi="Arial" w:cs="Times New Roman"/>
          <w:b w:val="0"/>
          <w:bCs/>
          <w:color w:val="auto"/>
          <w:kern w:val="0"/>
          <w:sz w:val="28"/>
          <w:szCs w:val="20"/>
          <w:lang w:val="en-US" w:eastAsia="zh-CN" w:bidi="ar-SA"/>
        </w:rPr>
      </w:pPr>
    </w:p>
    <w:p w14:paraId="5CB03775">
      <w:pPr>
        <w:rPr>
          <w:rFonts w:hint="eastAsia" w:ascii="Arial" w:hAnsi="Arial" w:cs="Times New Roman"/>
          <w:b w:val="0"/>
          <w:bCs/>
          <w:color w:val="auto"/>
          <w:kern w:val="0"/>
          <w:sz w:val="28"/>
          <w:szCs w:val="20"/>
          <w:lang w:val="en-US" w:eastAsia="zh-CN" w:bidi="ar-SA"/>
        </w:rPr>
      </w:pPr>
    </w:p>
    <w:p w14:paraId="4C83284B">
      <w:pPr>
        <w:rPr>
          <w:rFonts w:hint="eastAsia" w:ascii="Arial" w:hAnsi="Arial" w:cs="Times New Roman"/>
          <w:b w:val="0"/>
          <w:bCs/>
          <w:color w:val="auto"/>
          <w:kern w:val="0"/>
          <w:sz w:val="28"/>
          <w:szCs w:val="20"/>
          <w:lang w:val="en-US" w:eastAsia="zh-CN" w:bidi="ar-SA"/>
        </w:rPr>
      </w:pPr>
    </w:p>
    <w:p w14:paraId="360343E7">
      <w:pPr>
        <w:rPr>
          <w:rFonts w:hint="eastAsia" w:ascii="Arial" w:hAnsi="Arial" w:cs="Times New Roman"/>
          <w:b w:val="0"/>
          <w:bCs/>
          <w:color w:val="auto"/>
          <w:kern w:val="0"/>
          <w:sz w:val="28"/>
          <w:szCs w:val="20"/>
          <w:lang w:val="en-US" w:eastAsia="zh-CN" w:bidi="ar-SA"/>
        </w:rPr>
      </w:pPr>
    </w:p>
    <w:p w14:paraId="667E8045">
      <w:pPr>
        <w:rPr>
          <w:rFonts w:hint="eastAsia" w:ascii="Arial" w:hAnsi="Arial" w:cs="Times New Roman"/>
          <w:b w:val="0"/>
          <w:bCs/>
          <w:color w:val="auto"/>
          <w:kern w:val="0"/>
          <w:sz w:val="28"/>
          <w:szCs w:val="20"/>
          <w:lang w:val="en-US" w:eastAsia="zh-CN" w:bidi="ar-SA"/>
        </w:rPr>
      </w:pPr>
    </w:p>
    <w:p w14:paraId="52770BB0">
      <w:pPr>
        <w:rPr>
          <w:rFonts w:hint="eastAsia" w:ascii="Arial" w:hAnsi="Arial" w:cs="Times New Roman"/>
          <w:b w:val="0"/>
          <w:bCs/>
          <w:color w:val="auto"/>
          <w:kern w:val="0"/>
          <w:sz w:val="28"/>
          <w:szCs w:val="20"/>
          <w:lang w:val="en-US" w:eastAsia="zh-CN" w:bidi="ar-SA"/>
        </w:rPr>
      </w:pPr>
    </w:p>
    <w:p w14:paraId="1A994348">
      <w:pPr>
        <w:rPr>
          <w:rFonts w:hint="eastAsia" w:ascii="Arial" w:hAnsi="Arial" w:cs="Times New Roman"/>
          <w:b w:val="0"/>
          <w:bCs/>
          <w:color w:val="auto"/>
          <w:kern w:val="0"/>
          <w:sz w:val="28"/>
          <w:szCs w:val="20"/>
          <w:lang w:val="en-US" w:eastAsia="zh-CN" w:bidi="ar-SA"/>
        </w:rPr>
      </w:pPr>
    </w:p>
    <w:p w14:paraId="6CC8187A">
      <w:pPr>
        <w:rPr>
          <w:rFonts w:hint="eastAsia" w:ascii="Arial" w:hAnsi="Arial" w:cs="Times New Roman"/>
          <w:b w:val="0"/>
          <w:bCs/>
          <w:color w:val="auto"/>
          <w:kern w:val="0"/>
          <w:sz w:val="28"/>
          <w:szCs w:val="20"/>
          <w:lang w:val="en-US" w:eastAsia="zh-CN" w:bidi="ar-SA"/>
        </w:rPr>
      </w:pPr>
    </w:p>
    <w:p w14:paraId="7604F0AB">
      <w:pPr>
        <w:rPr>
          <w:rFonts w:hint="eastAsia" w:ascii="Arial" w:hAnsi="Arial" w:cs="Times New Roman"/>
          <w:b w:val="0"/>
          <w:bCs/>
          <w:color w:val="auto"/>
          <w:kern w:val="0"/>
          <w:sz w:val="28"/>
          <w:szCs w:val="20"/>
          <w:lang w:val="en-US" w:eastAsia="zh-CN" w:bidi="ar-SA"/>
        </w:rPr>
      </w:pPr>
    </w:p>
    <w:p w14:paraId="0D8A3C6E">
      <w:pPr>
        <w:rPr>
          <w:rFonts w:hint="eastAsia" w:ascii="Arial" w:hAnsi="Arial" w:cs="Times New Roman"/>
          <w:b w:val="0"/>
          <w:bCs/>
          <w:color w:val="auto"/>
          <w:kern w:val="0"/>
          <w:sz w:val="28"/>
          <w:szCs w:val="20"/>
          <w:lang w:val="en-US" w:eastAsia="zh-CN" w:bidi="ar-SA"/>
        </w:rPr>
      </w:pPr>
    </w:p>
    <w:p w14:paraId="2348A454">
      <w:pPr>
        <w:rPr>
          <w:rFonts w:hint="eastAsia" w:ascii="Arial" w:hAnsi="Arial" w:cs="Times New Roman"/>
          <w:b w:val="0"/>
          <w:bCs/>
          <w:color w:val="auto"/>
          <w:kern w:val="0"/>
          <w:sz w:val="28"/>
          <w:szCs w:val="20"/>
          <w:lang w:val="en-US" w:eastAsia="zh-CN" w:bidi="ar-SA"/>
        </w:rPr>
      </w:pPr>
    </w:p>
    <w:p w14:paraId="5640C4E6">
      <w:pPr>
        <w:rPr>
          <w:rFonts w:hint="eastAsia" w:ascii="Arial" w:hAnsi="Arial" w:cs="Times New Roman"/>
          <w:b w:val="0"/>
          <w:bCs/>
          <w:color w:val="auto"/>
          <w:kern w:val="0"/>
          <w:sz w:val="28"/>
          <w:szCs w:val="20"/>
          <w:lang w:val="en-US" w:eastAsia="zh-CN" w:bidi="ar-SA"/>
        </w:rPr>
      </w:pPr>
    </w:p>
    <w:p w14:paraId="2C5FAFC6">
      <w:pPr>
        <w:rPr>
          <w:rFonts w:hint="eastAsia" w:ascii="Arial" w:hAnsi="Arial" w:cs="Times New Roman"/>
          <w:b w:val="0"/>
          <w:bCs/>
          <w:color w:val="auto"/>
          <w:kern w:val="0"/>
          <w:sz w:val="28"/>
          <w:szCs w:val="20"/>
          <w:lang w:val="en-US" w:eastAsia="zh-CN" w:bidi="ar-SA"/>
        </w:rPr>
      </w:pPr>
    </w:p>
    <w:p w14:paraId="3DA6E666">
      <w:pPr>
        <w:rPr>
          <w:rFonts w:hint="eastAsia" w:ascii="Arial" w:hAnsi="Arial" w:cs="Times New Roman"/>
          <w:b w:val="0"/>
          <w:bCs/>
          <w:color w:val="auto"/>
          <w:kern w:val="0"/>
          <w:sz w:val="28"/>
          <w:szCs w:val="20"/>
          <w:lang w:val="en-US" w:eastAsia="zh-CN" w:bidi="ar-SA"/>
        </w:rPr>
      </w:pPr>
    </w:p>
    <w:p w14:paraId="103CDBEC">
      <w:pPr>
        <w:rPr>
          <w:rFonts w:hint="eastAsia" w:ascii="Arial" w:hAnsi="Arial" w:cs="Times New Roman"/>
          <w:b w:val="0"/>
          <w:bCs/>
          <w:color w:val="auto"/>
          <w:kern w:val="0"/>
          <w:sz w:val="28"/>
          <w:szCs w:val="20"/>
          <w:lang w:val="en-US" w:eastAsia="zh-CN" w:bidi="ar-SA"/>
        </w:rPr>
      </w:pPr>
    </w:p>
    <w:p w14:paraId="659925D1">
      <w:pPr>
        <w:rPr>
          <w:rFonts w:hint="eastAsia" w:ascii="Arial" w:hAnsi="Arial" w:cs="Times New Roman"/>
          <w:b w:val="0"/>
          <w:bCs/>
          <w:color w:val="auto"/>
          <w:kern w:val="0"/>
          <w:sz w:val="28"/>
          <w:szCs w:val="20"/>
          <w:lang w:val="en-US" w:eastAsia="zh-CN" w:bidi="ar-SA"/>
        </w:rPr>
      </w:pPr>
    </w:p>
    <w:p w14:paraId="358B8758">
      <w:pPr>
        <w:rPr>
          <w:rFonts w:hint="eastAsia" w:ascii="Arial" w:hAnsi="Arial" w:cs="Times New Roman"/>
          <w:b w:val="0"/>
          <w:bCs/>
          <w:color w:val="auto"/>
          <w:kern w:val="0"/>
          <w:sz w:val="28"/>
          <w:szCs w:val="20"/>
          <w:lang w:val="en-US" w:eastAsia="zh-CN" w:bidi="ar-SA"/>
        </w:rPr>
      </w:pPr>
    </w:p>
    <w:p w14:paraId="5B8C43B6">
      <w:pPr>
        <w:numPr>
          <w:ilvl w:val="0"/>
          <w:numId w:val="0"/>
        </w:numPr>
        <w:ind w:leftChars="0"/>
        <w:rPr>
          <w:rFonts w:hint="eastAsia" w:ascii="Arial" w:hAnsi="Arial" w:eastAsia="宋体" w:cs="Times New Roman"/>
          <w:b w:val="0"/>
          <w:bCs/>
          <w:color w:val="auto"/>
          <w:kern w:val="0"/>
          <w:sz w:val="28"/>
          <w:szCs w:val="20"/>
        </w:rPr>
      </w:pPr>
      <w:r>
        <w:rPr>
          <w:rFonts w:hint="eastAsia" w:ascii="Arial" w:hAnsi="Arial" w:eastAsia="宋体" w:cs="Times New Roman"/>
          <w:b w:val="0"/>
          <w:bCs/>
          <w:color w:val="auto"/>
          <w:kern w:val="0"/>
          <w:sz w:val="28"/>
          <w:szCs w:val="20"/>
          <w:lang w:val="en-US" w:eastAsia="zh-CN"/>
        </w:rPr>
        <w:t>4.</w:t>
      </w:r>
      <w:r>
        <w:rPr>
          <w:rFonts w:hint="eastAsia" w:ascii="Arial" w:hAnsi="Arial" w:eastAsia="宋体" w:cs="Times New Roman"/>
          <w:b w:val="0"/>
          <w:bCs/>
          <w:color w:val="auto"/>
          <w:kern w:val="0"/>
          <w:sz w:val="28"/>
          <w:szCs w:val="20"/>
        </w:rPr>
        <w:t>拟投入人员资质</w:t>
      </w:r>
      <w:r>
        <w:rPr>
          <w:rFonts w:hint="eastAsia" w:ascii="宋体" w:hAnsi="宋体" w:cs="宋体"/>
          <w:sz w:val="28"/>
          <w:szCs w:val="28"/>
          <w:lang w:val="en-US" w:eastAsia="zh-CN"/>
        </w:rPr>
        <w:t>明材料</w:t>
      </w:r>
      <w:r>
        <w:rPr>
          <w:rFonts w:hint="eastAsia" w:ascii="Arial" w:hAnsi="Arial" w:eastAsia="宋体" w:cs="Times New Roman"/>
          <w:b w:val="0"/>
          <w:bCs/>
          <w:color w:val="auto"/>
          <w:kern w:val="0"/>
          <w:sz w:val="28"/>
          <w:szCs w:val="20"/>
        </w:rPr>
        <w:t>（拟投入人员律师执业资格证书复印件等材料）</w:t>
      </w:r>
    </w:p>
    <w:p w14:paraId="0A960701">
      <w:pPr>
        <w:widowControl w:val="0"/>
        <w:numPr>
          <w:ilvl w:val="0"/>
          <w:numId w:val="0"/>
        </w:numPr>
        <w:jc w:val="both"/>
        <w:rPr>
          <w:rFonts w:hint="eastAsia" w:ascii="Arial" w:hAnsi="Arial" w:eastAsia="宋体" w:cs="Times New Roman"/>
          <w:b w:val="0"/>
          <w:bCs/>
          <w:color w:val="auto"/>
          <w:kern w:val="0"/>
          <w:sz w:val="28"/>
          <w:szCs w:val="20"/>
        </w:rPr>
      </w:pPr>
    </w:p>
    <w:p w14:paraId="1B43C6BA">
      <w:pPr>
        <w:widowControl w:val="0"/>
        <w:numPr>
          <w:ilvl w:val="0"/>
          <w:numId w:val="0"/>
        </w:numPr>
        <w:jc w:val="both"/>
        <w:rPr>
          <w:rFonts w:hint="eastAsia" w:ascii="Arial" w:hAnsi="Arial" w:eastAsia="宋体" w:cs="Times New Roman"/>
          <w:b w:val="0"/>
          <w:bCs/>
          <w:color w:val="auto"/>
          <w:kern w:val="0"/>
          <w:sz w:val="28"/>
          <w:szCs w:val="20"/>
        </w:rPr>
      </w:pPr>
    </w:p>
    <w:p w14:paraId="0AF8B50B">
      <w:pPr>
        <w:widowControl w:val="0"/>
        <w:numPr>
          <w:ilvl w:val="0"/>
          <w:numId w:val="0"/>
        </w:numPr>
        <w:jc w:val="both"/>
        <w:rPr>
          <w:rFonts w:hint="eastAsia" w:ascii="Arial" w:hAnsi="Arial" w:eastAsia="宋体" w:cs="Times New Roman"/>
          <w:b w:val="0"/>
          <w:bCs/>
          <w:color w:val="auto"/>
          <w:kern w:val="0"/>
          <w:sz w:val="28"/>
          <w:szCs w:val="20"/>
        </w:rPr>
      </w:pPr>
    </w:p>
    <w:p w14:paraId="685812D3">
      <w:pPr>
        <w:widowControl w:val="0"/>
        <w:numPr>
          <w:ilvl w:val="0"/>
          <w:numId w:val="0"/>
        </w:numPr>
        <w:jc w:val="both"/>
        <w:rPr>
          <w:rFonts w:hint="eastAsia" w:ascii="Arial" w:hAnsi="Arial" w:eastAsia="宋体" w:cs="Times New Roman"/>
          <w:b w:val="0"/>
          <w:bCs/>
          <w:color w:val="auto"/>
          <w:kern w:val="0"/>
          <w:sz w:val="28"/>
          <w:szCs w:val="20"/>
        </w:rPr>
      </w:pPr>
    </w:p>
    <w:p w14:paraId="70C1574E">
      <w:pPr>
        <w:widowControl w:val="0"/>
        <w:numPr>
          <w:ilvl w:val="0"/>
          <w:numId w:val="0"/>
        </w:numPr>
        <w:jc w:val="both"/>
        <w:rPr>
          <w:rFonts w:hint="eastAsia" w:ascii="Arial" w:hAnsi="Arial" w:eastAsia="宋体" w:cs="Times New Roman"/>
          <w:b w:val="0"/>
          <w:bCs/>
          <w:color w:val="auto"/>
          <w:kern w:val="0"/>
          <w:sz w:val="28"/>
          <w:szCs w:val="20"/>
        </w:rPr>
      </w:pPr>
    </w:p>
    <w:p w14:paraId="5F3F3982">
      <w:pPr>
        <w:widowControl w:val="0"/>
        <w:numPr>
          <w:ilvl w:val="0"/>
          <w:numId w:val="0"/>
        </w:numPr>
        <w:jc w:val="both"/>
        <w:rPr>
          <w:rFonts w:hint="eastAsia" w:ascii="Arial" w:hAnsi="Arial" w:eastAsia="宋体" w:cs="Times New Roman"/>
          <w:b w:val="0"/>
          <w:bCs/>
          <w:color w:val="auto"/>
          <w:kern w:val="0"/>
          <w:sz w:val="28"/>
          <w:szCs w:val="20"/>
        </w:rPr>
      </w:pPr>
    </w:p>
    <w:p w14:paraId="2DC9A9AB">
      <w:pPr>
        <w:widowControl w:val="0"/>
        <w:numPr>
          <w:ilvl w:val="0"/>
          <w:numId w:val="0"/>
        </w:numPr>
        <w:jc w:val="both"/>
        <w:rPr>
          <w:rFonts w:hint="eastAsia" w:ascii="Arial" w:hAnsi="Arial" w:eastAsia="宋体" w:cs="Times New Roman"/>
          <w:b w:val="0"/>
          <w:bCs/>
          <w:color w:val="auto"/>
          <w:kern w:val="0"/>
          <w:sz w:val="28"/>
          <w:szCs w:val="20"/>
        </w:rPr>
      </w:pPr>
    </w:p>
    <w:p w14:paraId="569975EA">
      <w:pPr>
        <w:widowControl w:val="0"/>
        <w:numPr>
          <w:ilvl w:val="0"/>
          <w:numId w:val="0"/>
        </w:numPr>
        <w:jc w:val="both"/>
        <w:rPr>
          <w:rFonts w:hint="eastAsia" w:ascii="Arial" w:hAnsi="Arial" w:eastAsia="宋体" w:cs="Times New Roman"/>
          <w:b w:val="0"/>
          <w:bCs/>
          <w:color w:val="auto"/>
          <w:kern w:val="0"/>
          <w:sz w:val="28"/>
          <w:szCs w:val="20"/>
        </w:rPr>
      </w:pPr>
    </w:p>
    <w:p w14:paraId="3D1B3AD9">
      <w:pPr>
        <w:widowControl w:val="0"/>
        <w:numPr>
          <w:ilvl w:val="0"/>
          <w:numId w:val="0"/>
        </w:numPr>
        <w:jc w:val="both"/>
        <w:rPr>
          <w:rFonts w:hint="eastAsia" w:ascii="Arial" w:hAnsi="Arial" w:eastAsia="宋体" w:cs="Times New Roman"/>
          <w:b w:val="0"/>
          <w:bCs/>
          <w:color w:val="auto"/>
          <w:kern w:val="0"/>
          <w:sz w:val="28"/>
          <w:szCs w:val="20"/>
        </w:rPr>
      </w:pPr>
    </w:p>
    <w:p w14:paraId="3565C197">
      <w:pPr>
        <w:widowControl w:val="0"/>
        <w:numPr>
          <w:ilvl w:val="0"/>
          <w:numId w:val="0"/>
        </w:numPr>
        <w:jc w:val="both"/>
        <w:rPr>
          <w:rFonts w:hint="eastAsia" w:ascii="Arial" w:hAnsi="Arial" w:eastAsia="宋体" w:cs="Times New Roman"/>
          <w:b w:val="0"/>
          <w:bCs/>
          <w:color w:val="auto"/>
          <w:kern w:val="0"/>
          <w:sz w:val="28"/>
          <w:szCs w:val="20"/>
        </w:rPr>
      </w:pPr>
    </w:p>
    <w:p w14:paraId="12A2A6D3">
      <w:pPr>
        <w:widowControl w:val="0"/>
        <w:numPr>
          <w:ilvl w:val="0"/>
          <w:numId w:val="0"/>
        </w:numPr>
        <w:jc w:val="both"/>
        <w:rPr>
          <w:rFonts w:hint="eastAsia" w:ascii="Arial" w:hAnsi="Arial" w:eastAsia="宋体" w:cs="Times New Roman"/>
          <w:b w:val="0"/>
          <w:bCs/>
          <w:color w:val="auto"/>
          <w:kern w:val="0"/>
          <w:sz w:val="28"/>
          <w:szCs w:val="20"/>
        </w:rPr>
      </w:pPr>
    </w:p>
    <w:p w14:paraId="215A8C66">
      <w:pPr>
        <w:widowControl w:val="0"/>
        <w:numPr>
          <w:ilvl w:val="0"/>
          <w:numId w:val="0"/>
        </w:numPr>
        <w:jc w:val="both"/>
        <w:rPr>
          <w:rFonts w:hint="eastAsia" w:ascii="Arial" w:hAnsi="Arial" w:eastAsia="宋体" w:cs="Times New Roman"/>
          <w:b w:val="0"/>
          <w:bCs/>
          <w:color w:val="auto"/>
          <w:kern w:val="0"/>
          <w:sz w:val="28"/>
          <w:szCs w:val="20"/>
        </w:rPr>
      </w:pPr>
    </w:p>
    <w:p w14:paraId="13FF933A">
      <w:pPr>
        <w:widowControl w:val="0"/>
        <w:numPr>
          <w:ilvl w:val="0"/>
          <w:numId w:val="0"/>
        </w:numPr>
        <w:jc w:val="both"/>
        <w:rPr>
          <w:rFonts w:hint="eastAsia" w:ascii="Arial" w:hAnsi="Arial" w:eastAsia="宋体" w:cs="Times New Roman"/>
          <w:b w:val="0"/>
          <w:bCs/>
          <w:color w:val="auto"/>
          <w:kern w:val="0"/>
          <w:sz w:val="28"/>
          <w:szCs w:val="20"/>
        </w:rPr>
      </w:pPr>
    </w:p>
    <w:p w14:paraId="0E5C858A">
      <w:pPr>
        <w:widowControl w:val="0"/>
        <w:numPr>
          <w:ilvl w:val="0"/>
          <w:numId w:val="0"/>
        </w:numPr>
        <w:jc w:val="both"/>
        <w:rPr>
          <w:rFonts w:hint="eastAsia" w:ascii="Arial" w:hAnsi="Arial" w:eastAsia="宋体" w:cs="Times New Roman"/>
          <w:b w:val="0"/>
          <w:bCs/>
          <w:color w:val="auto"/>
          <w:kern w:val="0"/>
          <w:sz w:val="28"/>
          <w:szCs w:val="20"/>
        </w:rPr>
      </w:pPr>
    </w:p>
    <w:p w14:paraId="5E0CED9A">
      <w:pPr>
        <w:widowControl w:val="0"/>
        <w:numPr>
          <w:ilvl w:val="0"/>
          <w:numId w:val="0"/>
        </w:numPr>
        <w:jc w:val="both"/>
        <w:rPr>
          <w:rFonts w:hint="eastAsia" w:ascii="Arial" w:hAnsi="Arial" w:eastAsia="宋体" w:cs="Times New Roman"/>
          <w:b w:val="0"/>
          <w:bCs/>
          <w:color w:val="auto"/>
          <w:kern w:val="0"/>
          <w:sz w:val="28"/>
          <w:szCs w:val="20"/>
        </w:rPr>
      </w:pPr>
    </w:p>
    <w:p w14:paraId="764EDB1F">
      <w:pPr>
        <w:widowControl w:val="0"/>
        <w:numPr>
          <w:ilvl w:val="0"/>
          <w:numId w:val="0"/>
        </w:numPr>
        <w:jc w:val="both"/>
        <w:rPr>
          <w:rFonts w:hint="eastAsia" w:ascii="Arial" w:hAnsi="Arial" w:eastAsia="宋体" w:cs="Times New Roman"/>
          <w:b w:val="0"/>
          <w:bCs/>
          <w:color w:val="auto"/>
          <w:kern w:val="0"/>
          <w:sz w:val="28"/>
          <w:szCs w:val="20"/>
        </w:rPr>
      </w:pPr>
    </w:p>
    <w:p w14:paraId="47B1C179">
      <w:pPr>
        <w:widowControl w:val="0"/>
        <w:numPr>
          <w:ilvl w:val="0"/>
          <w:numId w:val="0"/>
        </w:numPr>
        <w:jc w:val="both"/>
        <w:rPr>
          <w:rFonts w:hint="eastAsia" w:ascii="Arial" w:hAnsi="Arial" w:eastAsia="宋体" w:cs="Times New Roman"/>
          <w:b w:val="0"/>
          <w:bCs/>
          <w:color w:val="auto"/>
          <w:kern w:val="0"/>
          <w:sz w:val="28"/>
          <w:szCs w:val="20"/>
        </w:rPr>
      </w:pPr>
    </w:p>
    <w:p w14:paraId="43444F21">
      <w:pPr>
        <w:widowControl w:val="0"/>
        <w:numPr>
          <w:ilvl w:val="0"/>
          <w:numId w:val="0"/>
        </w:numPr>
        <w:jc w:val="both"/>
        <w:rPr>
          <w:rFonts w:hint="eastAsia" w:ascii="Arial" w:hAnsi="Arial" w:eastAsia="宋体" w:cs="Times New Roman"/>
          <w:b w:val="0"/>
          <w:bCs/>
          <w:color w:val="auto"/>
          <w:kern w:val="0"/>
          <w:sz w:val="28"/>
          <w:szCs w:val="20"/>
        </w:rPr>
      </w:pPr>
    </w:p>
    <w:p w14:paraId="54744F45">
      <w:pPr>
        <w:widowControl w:val="0"/>
        <w:numPr>
          <w:ilvl w:val="0"/>
          <w:numId w:val="0"/>
        </w:numPr>
        <w:jc w:val="both"/>
        <w:rPr>
          <w:rFonts w:hint="eastAsia" w:ascii="Arial" w:hAnsi="Arial" w:eastAsia="宋体" w:cs="Times New Roman"/>
          <w:b w:val="0"/>
          <w:bCs/>
          <w:color w:val="auto"/>
          <w:kern w:val="0"/>
          <w:sz w:val="28"/>
          <w:szCs w:val="20"/>
        </w:rPr>
      </w:pPr>
    </w:p>
    <w:p w14:paraId="55E9030D">
      <w:pPr>
        <w:widowControl w:val="0"/>
        <w:numPr>
          <w:ilvl w:val="0"/>
          <w:numId w:val="0"/>
        </w:numPr>
        <w:jc w:val="both"/>
        <w:rPr>
          <w:rFonts w:hint="eastAsia" w:ascii="Arial" w:hAnsi="Arial" w:eastAsia="宋体" w:cs="Times New Roman"/>
          <w:b w:val="0"/>
          <w:bCs/>
          <w:color w:val="auto"/>
          <w:kern w:val="0"/>
          <w:sz w:val="28"/>
          <w:szCs w:val="20"/>
        </w:rPr>
      </w:pPr>
    </w:p>
    <w:p w14:paraId="7EEB30A9">
      <w:pPr>
        <w:widowControl w:val="0"/>
        <w:numPr>
          <w:ilvl w:val="0"/>
          <w:numId w:val="0"/>
        </w:numPr>
        <w:jc w:val="both"/>
        <w:rPr>
          <w:rFonts w:hint="eastAsia" w:ascii="Arial" w:hAnsi="Arial" w:eastAsia="宋体" w:cs="Times New Roman"/>
          <w:b w:val="0"/>
          <w:bCs/>
          <w:color w:val="auto"/>
          <w:kern w:val="0"/>
          <w:sz w:val="28"/>
          <w:szCs w:val="20"/>
        </w:rPr>
      </w:pPr>
    </w:p>
    <w:p w14:paraId="345DAD7C">
      <w:pPr>
        <w:widowControl w:val="0"/>
        <w:numPr>
          <w:ilvl w:val="0"/>
          <w:numId w:val="0"/>
        </w:numPr>
        <w:jc w:val="both"/>
        <w:rPr>
          <w:rFonts w:hint="eastAsia" w:ascii="Arial" w:hAnsi="Arial" w:eastAsia="宋体" w:cs="Times New Roman"/>
          <w:b w:val="0"/>
          <w:bCs/>
          <w:color w:val="auto"/>
          <w:kern w:val="0"/>
          <w:sz w:val="28"/>
          <w:szCs w:val="20"/>
        </w:rPr>
      </w:pPr>
    </w:p>
    <w:p w14:paraId="4FEC1F75">
      <w:pPr>
        <w:widowControl w:val="0"/>
        <w:numPr>
          <w:ilvl w:val="0"/>
          <w:numId w:val="0"/>
        </w:numPr>
        <w:jc w:val="both"/>
        <w:rPr>
          <w:rFonts w:hint="eastAsia" w:ascii="Arial" w:hAnsi="Arial" w:eastAsia="宋体" w:cs="Times New Roman"/>
          <w:b w:val="0"/>
          <w:bCs/>
          <w:color w:val="auto"/>
          <w:kern w:val="0"/>
          <w:sz w:val="28"/>
          <w:szCs w:val="20"/>
        </w:rPr>
      </w:pPr>
    </w:p>
    <w:p w14:paraId="16B610D6">
      <w:pPr>
        <w:widowControl w:val="0"/>
        <w:numPr>
          <w:ilvl w:val="0"/>
          <w:numId w:val="0"/>
        </w:numPr>
        <w:jc w:val="both"/>
        <w:rPr>
          <w:rFonts w:hint="eastAsia" w:ascii="Arial" w:hAnsi="Arial" w:eastAsia="宋体" w:cs="Times New Roman"/>
          <w:b w:val="0"/>
          <w:bCs/>
          <w:color w:val="auto"/>
          <w:kern w:val="0"/>
          <w:sz w:val="28"/>
          <w:szCs w:val="20"/>
        </w:rPr>
      </w:pPr>
    </w:p>
    <w:p w14:paraId="04F6C08A">
      <w:pPr>
        <w:widowControl w:val="0"/>
        <w:numPr>
          <w:ilvl w:val="0"/>
          <w:numId w:val="0"/>
        </w:numPr>
        <w:jc w:val="both"/>
        <w:rPr>
          <w:rFonts w:hint="eastAsia" w:ascii="Arial" w:hAnsi="Arial" w:eastAsia="宋体" w:cs="Times New Roman"/>
          <w:b w:val="0"/>
          <w:bCs/>
          <w:color w:val="auto"/>
          <w:kern w:val="0"/>
          <w:sz w:val="28"/>
          <w:szCs w:val="20"/>
        </w:rPr>
      </w:pPr>
    </w:p>
    <w:p w14:paraId="62BEDD71">
      <w:pPr>
        <w:widowControl w:val="0"/>
        <w:numPr>
          <w:ilvl w:val="0"/>
          <w:numId w:val="0"/>
        </w:numPr>
        <w:jc w:val="both"/>
        <w:rPr>
          <w:rFonts w:hint="eastAsia" w:ascii="Arial" w:hAnsi="Arial" w:eastAsia="宋体" w:cs="Times New Roman"/>
          <w:b w:val="0"/>
          <w:bCs/>
          <w:color w:val="auto"/>
          <w:kern w:val="0"/>
          <w:sz w:val="28"/>
          <w:szCs w:val="20"/>
        </w:rPr>
      </w:pPr>
    </w:p>
    <w:p w14:paraId="15B0FA21">
      <w:pPr>
        <w:widowControl w:val="0"/>
        <w:numPr>
          <w:ilvl w:val="0"/>
          <w:numId w:val="0"/>
        </w:numPr>
        <w:jc w:val="both"/>
        <w:rPr>
          <w:rFonts w:hint="eastAsia" w:ascii="Arial" w:hAnsi="Arial" w:eastAsia="宋体" w:cs="Times New Roman"/>
          <w:b w:val="0"/>
          <w:bCs/>
          <w:color w:val="auto"/>
          <w:kern w:val="0"/>
          <w:sz w:val="28"/>
          <w:szCs w:val="20"/>
        </w:rPr>
      </w:pPr>
    </w:p>
    <w:p w14:paraId="4110C493">
      <w:pPr>
        <w:widowControl w:val="0"/>
        <w:numPr>
          <w:ilvl w:val="0"/>
          <w:numId w:val="0"/>
        </w:numPr>
        <w:jc w:val="both"/>
        <w:rPr>
          <w:rFonts w:hint="eastAsia" w:ascii="Arial" w:hAnsi="Arial" w:eastAsia="宋体" w:cs="Times New Roman"/>
          <w:b w:val="0"/>
          <w:bCs/>
          <w:color w:val="auto"/>
          <w:kern w:val="0"/>
          <w:sz w:val="28"/>
          <w:szCs w:val="20"/>
        </w:rPr>
      </w:pPr>
    </w:p>
    <w:p w14:paraId="11CF36F5">
      <w:pPr>
        <w:widowControl w:val="0"/>
        <w:numPr>
          <w:ilvl w:val="0"/>
          <w:numId w:val="0"/>
        </w:numPr>
        <w:jc w:val="both"/>
        <w:rPr>
          <w:rFonts w:hint="eastAsia" w:ascii="Arial" w:hAnsi="Arial" w:eastAsia="宋体" w:cs="Times New Roman"/>
          <w:b w:val="0"/>
          <w:bCs/>
          <w:color w:val="auto"/>
          <w:kern w:val="0"/>
          <w:sz w:val="28"/>
          <w:szCs w:val="20"/>
        </w:rPr>
      </w:pPr>
    </w:p>
    <w:p w14:paraId="201E7FEC">
      <w:pPr>
        <w:widowControl w:val="0"/>
        <w:numPr>
          <w:ilvl w:val="0"/>
          <w:numId w:val="0"/>
        </w:numPr>
        <w:jc w:val="both"/>
        <w:rPr>
          <w:rFonts w:hint="eastAsia" w:ascii="Arial" w:hAnsi="Arial" w:eastAsia="宋体" w:cs="Times New Roman"/>
          <w:b w:val="0"/>
          <w:bCs/>
          <w:color w:val="auto"/>
          <w:kern w:val="0"/>
          <w:sz w:val="28"/>
          <w:szCs w:val="20"/>
        </w:rPr>
      </w:pPr>
    </w:p>
    <w:p w14:paraId="218A6868">
      <w:pPr>
        <w:widowControl w:val="0"/>
        <w:numPr>
          <w:ilvl w:val="0"/>
          <w:numId w:val="0"/>
        </w:numPr>
        <w:jc w:val="both"/>
        <w:rPr>
          <w:rFonts w:hint="eastAsia" w:ascii="Arial" w:hAnsi="Arial" w:eastAsia="宋体" w:cs="Times New Roman"/>
          <w:b w:val="0"/>
          <w:bCs/>
          <w:color w:val="auto"/>
          <w:kern w:val="0"/>
          <w:sz w:val="28"/>
          <w:szCs w:val="20"/>
        </w:rPr>
      </w:pPr>
    </w:p>
    <w:p w14:paraId="518FAE0B">
      <w:pPr>
        <w:widowControl w:val="0"/>
        <w:numPr>
          <w:ilvl w:val="0"/>
          <w:numId w:val="0"/>
        </w:numPr>
        <w:jc w:val="both"/>
        <w:rPr>
          <w:rFonts w:hint="eastAsia" w:ascii="Arial" w:hAnsi="Arial" w:eastAsia="宋体" w:cs="Times New Roman"/>
          <w:b w:val="0"/>
          <w:bCs/>
          <w:color w:val="auto"/>
          <w:kern w:val="0"/>
          <w:sz w:val="28"/>
          <w:szCs w:val="20"/>
        </w:rPr>
      </w:pPr>
    </w:p>
    <w:p w14:paraId="33141302">
      <w:pPr>
        <w:widowControl w:val="0"/>
        <w:numPr>
          <w:ilvl w:val="0"/>
          <w:numId w:val="0"/>
        </w:numPr>
        <w:jc w:val="both"/>
        <w:rPr>
          <w:rFonts w:hint="eastAsia" w:ascii="Arial" w:hAnsi="Arial" w:eastAsia="宋体" w:cs="Times New Roman"/>
          <w:b w:val="0"/>
          <w:bCs/>
          <w:color w:val="auto"/>
          <w:kern w:val="0"/>
          <w:sz w:val="28"/>
          <w:szCs w:val="20"/>
        </w:rPr>
      </w:pPr>
    </w:p>
    <w:p w14:paraId="1D51810C">
      <w:pPr>
        <w:widowControl w:val="0"/>
        <w:numPr>
          <w:ilvl w:val="0"/>
          <w:numId w:val="0"/>
        </w:numPr>
        <w:jc w:val="both"/>
        <w:rPr>
          <w:rFonts w:hint="eastAsia" w:ascii="Arial" w:hAnsi="Arial" w:eastAsia="宋体" w:cs="Times New Roman"/>
          <w:b w:val="0"/>
          <w:bCs/>
          <w:color w:val="auto"/>
          <w:kern w:val="0"/>
          <w:sz w:val="28"/>
          <w:szCs w:val="20"/>
        </w:rPr>
      </w:pPr>
    </w:p>
    <w:p w14:paraId="22830202">
      <w:pPr>
        <w:widowControl w:val="0"/>
        <w:numPr>
          <w:ilvl w:val="0"/>
          <w:numId w:val="0"/>
        </w:numPr>
        <w:jc w:val="both"/>
        <w:rPr>
          <w:rFonts w:hint="eastAsia" w:ascii="Arial" w:hAnsi="Arial" w:eastAsia="宋体" w:cs="Times New Roman"/>
          <w:b w:val="0"/>
          <w:bCs/>
          <w:color w:val="auto"/>
          <w:kern w:val="0"/>
          <w:sz w:val="28"/>
          <w:szCs w:val="20"/>
        </w:rPr>
      </w:pPr>
    </w:p>
    <w:p w14:paraId="2CA658B5">
      <w:pPr>
        <w:widowControl w:val="0"/>
        <w:numPr>
          <w:ilvl w:val="0"/>
          <w:numId w:val="0"/>
        </w:numPr>
        <w:jc w:val="both"/>
        <w:rPr>
          <w:rFonts w:hint="eastAsia" w:ascii="Arial" w:hAnsi="Arial" w:eastAsia="宋体" w:cs="Times New Roman"/>
          <w:b w:val="0"/>
          <w:bCs/>
          <w:color w:val="auto"/>
          <w:kern w:val="0"/>
          <w:sz w:val="28"/>
          <w:szCs w:val="20"/>
        </w:rPr>
      </w:pPr>
    </w:p>
    <w:p w14:paraId="1E85ED69">
      <w:pPr>
        <w:widowControl w:val="0"/>
        <w:numPr>
          <w:ilvl w:val="0"/>
          <w:numId w:val="0"/>
        </w:numPr>
        <w:jc w:val="both"/>
        <w:rPr>
          <w:rFonts w:hint="eastAsia" w:ascii="Arial" w:hAnsi="Arial" w:eastAsia="宋体" w:cs="Times New Roman"/>
          <w:b w:val="0"/>
          <w:bCs/>
          <w:color w:val="auto"/>
          <w:kern w:val="0"/>
          <w:sz w:val="28"/>
          <w:szCs w:val="20"/>
        </w:rPr>
      </w:pPr>
    </w:p>
    <w:p w14:paraId="7920FBB8">
      <w:pPr>
        <w:widowControl w:val="0"/>
        <w:numPr>
          <w:ilvl w:val="0"/>
          <w:numId w:val="0"/>
        </w:numPr>
        <w:jc w:val="both"/>
        <w:rPr>
          <w:rFonts w:hint="eastAsia" w:ascii="Arial" w:hAnsi="Arial" w:eastAsia="宋体" w:cs="Times New Roman"/>
          <w:b w:val="0"/>
          <w:bCs/>
          <w:color w:val="auto"/>
          <w:kern w:val="0"/>
          <w:sz w:val="28"/>
          <w:szCs w:val="20"/>
        </w:rPr>
      </w:pPr>
    </w:p>
    <w:p w14:paraId="2FDE96B7">
      <w:pPr>
        <w:widowControl w:val="0"/>
        <w:numPr>
          <w:ilvl w:val="0"/>
          <w:numId w:val="0"/>
        </w:numPr>
        <w:jc w:val="both"/>
        <w:rPr>
          <w:rFonts w:hint="eastAsia" w:ascii="Arial" w:hAnsi="Arial" w:eastAsia="宋体" w:cs="Times New Roman"/>
          <w:b w:val="0"/>
          <w:bCs/>
          <w:color w:val="auto"/>
          <w:kern w:val="0"/>
          <w:sz w:val="28"/>
          <w:szCs w:val="20"/>
        </w:rPr>
      </w:pPr>
    </w:p>
    <w:p w14:paraId="443432C7">
      <w:pPr>
        <w:widowControl w:val="0"/>
        <w:numPr>
          <w:ilvl w:val="0"/>
          <w:numId w:val="0"/>
        </w:numPr>
        <w:jc w:val="both"/>
        <w:rPr>
          <w:rFonts w:hint="eastAsia" w:ascii="Arial" w:hAnsi="Arial" w:eastAsia="宋体" w:cs="Times New Roman"/>
          <w:b w:val="0"/>
          <w:bCs/>
          <w:color w:val="auto"/>
          <w:kern w:val="0"/>
          <w:sz w:val="28"/>
          <w:szCs w:val="20"/>
        </w:rPr>
      </w:pPr>
    </w:p>
    <w:p w14:paraId="1A0CFDA1">
      <w:pPr>
        <w:widowControl w:val="0"/>
        <w:numPr>
          <w:ilvl w:val="0"/>
          <w:numId w:val="0"/>
        </w:numPr>
        <w:jc w:val="both"/>
        <w:rPr>
          <w:rFonts w:hint="eastAsia" w:ascii="Arial" w:hAnsi="Arial" w:eastAsia="宋体" w:cs="Times New Roman"/>
          <w:b w:val="0"/>
          <w:bCs/>
          <w:color w:val="auto"/>
          <w:kern w:val="0"/>
          <w:sz w:val="28"/>
          <w:szCs w:val="20"/>
        </w:rPr>
      </w:pPr>
    </w:p>
    <w:p w14:paraId="300CDE16">
      <w:pPr>
        <w:widowControl w:val="0"/>
        <w:numPr>
          <w:ilvl w:val="0"/>
          <w:numId w:val="0"/>
        </w:numPr>
        <w:jc w:val="both"/>
        <w:rPr>
          <w:rFonts w:hint="eastAsia" w:ascii="Arial" w:hAnsi="Arial" w:eastAsia="宋体" w:cs="Times New Roman"/>
          <w:b w:val="0"/>
          <w:bCs/>
          <w:color w:val="auto"/>
          <w:kern w:val="0"/>
          <w:sz w:val="28"/>
          <w:szCs w:val="20"/>
        </w:rPr>
      </w:pPr>
    </w:p>
    <w:p w14:paraId="7683AEDB">
      <w:pPr>
        <w:widowControl w:val="0"/>
        <w:numPr>
          <w:ilvl w:val="0"/>
          <w:numId w:val="0"/>
        </w:numPr>
        <w:jc w:val="both"/>
        <w:rPr>
          <w:rFonts w:hint="eastAsia" w:ascii="Arial" w:hAnsi="Arial" w:eastAsia="宋体" w:cs="Times New Roman"/>
          <w:b w:val="0"/>
          <w:bCs/>
          <w:color w:val="auto"/>
          <w:kern w:val="0"/>
          <w:sz w:val="28"/>
          <w:szCs w:val="20"/>
        </w:rPr>
      </w:pPr>
    </w:p>
    <w:p w14:paraId="360B8DDB">
      <w:pPr>
        <w:widowControl w:val="0"/>
        <w:numPr>
          <w:ilvl w:val="0"/>
          <w:numId w:val="0"/>
        </w:numPr>
        <w:jc w:val="both"/>
        <w:rPr>
          <w:rFonts w:hint="eastAsia" w:ascii="Arial" w:hAnsi="Arial" w:eastAsia="宋体" w:cs="Times New Roman"/>
          <w:b w:val="0"/>
          <w:bCs/>
          <w:color w:val="auto"/>
          <w:kern w:val="0"/>
          <w:sz w:val="28"/>
          <w:szCs w:val="20"/>
        </w:rPr>
      </w:pPr>
    </w:p>
    <w:p w14:paraId="2291E837">
      <w:pPr>
        <w:rPr>
          <w:rFonts w:hint="eastAsia" w:ascii="Arial" w:hAnsi="Arial" w:eastAsia="宋体" w:cs="Times New Roman"/>
          <w:b w:val="0"/>
          <w:bCs/>
          <w:color w:val="auto"/>
          <w:kern w:val="0"/>
          <w:sz w:val="28"/>
          <w:szCs w:val="20"/>
        </w:rPr>
      </w:pPr>
      <w:r>
        <w:rPr>
          <w:rFonts w:hint="eastAsia" w:ascii="Arial" w:hAnsi="Arial" w:eastAsia="宋体" w:cs="Times New Roman"/>
          <w:b w:val="0"/>
          <w:bCs/>
          <w:color w:val="auto"/>
          <w:kern w:val="0"/>
          <w:sz w:val="28"/>
          <w:szCs w:val="20"/>
          <w:lang w:val="en-US" w:eastAsia="zh-CN"/>
        </w:rPr>
        <w:t>5.</w:t>
      </w:r>
      <w:r>
        <w:rPr>
          <w:rFonts w:hint="eastAsia" w:ascii="Arial" w:hAnsi="Arial" w:eastAsia="宋体" w:cs="Times New Roman"/>
          <w:b w:val="0"/>
          <w:bCs/>
          <w:color w:val="auto"/>
          <w:kern w:val="0"/>
          <w:sz w:val="28"/>
          <w:szCs w:val="20"/>
        </w:rPr>
        <w:t>法律顾问团队服务方案</w:t>
      </w:r>
    </w:p>
    <w:p w14:paraId="35F6A175">
      <w:pPr>
        <w:rPr>
          <w:rFonts w:hint="eastAsia"/>
          <w:b/>
          <w:color w:val="auto"/>
          <w:lang w:val="en-US" w:eastAsia="zh-CN"/>
        </w:rPr>
      </w:pPr>
      <w:r>
        <w:rPr>
          <w:rFonts w:hint="eastAsia"/>
          <w:b/>
          <w:color w:val="auto"/>
          <w:lang w:val="en-US" w:eastAsia="zh-CN"/>
        </w:rPr>
        <w:t xml:space="preserve"> </w:t>
      </w:r>
    </w:p>
    <w:p w14:paraId="5A20C680">
      <w:pPr>
        <w:rPr>
          <w:rFonts w:hint="eastAsia"/>
          <w:b/>
          <w:color w:val="auto"/>
          <w:lang w:val="en-US" w:eastAsia="zh-CN"/>
        </w:rPr>
      </w:pPr>
    </w:p>
    <w:p w14:paraId="05714276">
      <w:pPr>
        <w:rPr>
          <w:rFonts w:hint="eastAsia"/>
          <w:b/>
          <w:color w:val="auto"/>
          <w:lang w:val="en-US" w:eastAsia="zh-CN"/>
        </w:rPr>
      </w:pPr>
    </w:p>
    <w:p w14:paraId="615955A1">
      <w:pPr>
        <w:rPr>
          <w:rFonts w:hint="eastAsia"/>
          <w:b/>
          <w:color w:val="auto"/>
          <w:lang w:val="en-US" w:eastAsia="zh-CN"/>
        </w:rPr>
      </w:pPr>
    </w:p>
    <w:p w14:paraId="5092BC72">
      <w:pPr>
        <w:rPr>
          <w:rFonts w:hint="eastAsia"/>
          <w:b/>
          <w:color w:val="auto"/>
          <w:lang w:val="en-US" w:eastAsia="zh-CN"/>
        </w:rPr>
      </w:pPr>
    </w:p>
    <w:p w14:paraId="5D1FCD00">
      <w:pPr>
        <w:rPr>
          <w:rFonts w:hint="eastAsia"/>
          <w:b/>
          <w:color w:val="auto"/>
          <w:lang w:val="en-US" w:eastAsia="zh-CN"/>
        </w:rPr>
      </w:pPr>
    </w:p>
    <w:p w14:paraId="76B8DF87">
      <w:pPr>
        <w:rPr>
          <w:rFonts w:hint="eastAsia"/>
          <w:b/>
          <w:color w:val="auto"/>
          <w:lang w:val="en-US" w:eastAsia="zh-CN"/>
        </w:rPr>
      </w:pPr>
    </w:p>
    <w:p w14:paraId="2051A0BA">
      <w:pPr>
        <w:rPr>
          <w:rFonts w:hint="eastAsia"/>
          <w:b/>
          <w:color w:val="auto"/>
          <w:lang w:val="en-US" w:eastAsia="zh-CN"/>
        </w:rPr>
      </w:pPr>
    </w:p>
    <w:p w14:paraId="7A80DF91">
      <w:pPr>
        <w:rPr>
          <w:rFonts w:hint="eastAsia"/>
          <w:b/>
          <w:color w:val="auto"/>
          <w:lang w:val="en-US" w:eastAsia="zh-CN"/>
        </w:rPr>
      </w:pPr>
    </w:p>
    <w:p w14:paraId="4B300656">
      <w:pPr>
        <w:rPr>
          <w:rFonts w:hint="eastAsia"/>
          <w:b/>
          <w:color w:val="auto"/>
          <w:lang w:val="en-US" w:eastAsia="zh-CN"/>
        </w:rPr>
      </w:pPr>
    </w:p>
    <w:p w14:paraId="5E60D302">
      <w:pPr>
        <w:rPr>
          <w:rFonts w:hint="eastAsia"/>
          <w:b/>
          <w:color w:val="auto"/>
          <w:lang w:val="en-US" w:eastAsia="zh-CN"/>
        </w:rPr>
      </w:pPr>
    </w:p>
    <w:p w14:paraId="3DDC3B02">
      <w:pPr>
        <w:rPr>
          <w:rFonts w:hint="eastAsia"/>
          <w:b/>
          <w:color w:val="auto"/>
          <w:lang w:val="en-US" w:eastAsia="zh-CN"/>
        </w:rPr>
      </w:pPr>
    </w:p>
    <w:p w14:paraId="16E28BD7">
      <w:pPr>
        <w:rPr>
          <w:rFonts w:hint="eastAsia"/>
          <w:b/>
          <w:color w:val="auto"/>
          <w:lang w:val="en-US" w:eastAsia="zh-CN"/>
        </w:rPr>
      </w:pPr>
    </w:p>
    <w:p w14:paraId="0151C4A6">
      <w:pPr>
        <w:rPr>
          <w:rFonts w:hint="eastAsia"/>
          <w:b/>
          <w:color w:val="auto"/>
          <w:lang w:val="en-US" w:eastAsia="zh-CN"/>
        </w:rPr>
      </w:pPr>
    </w:p>
    <w:p w14:paraId="7A29C5CA">
      <w:pPr>
        <w:rPr>
          <w:rFonts w:hint="eastAsia"/>
          <w:b/>
          <w:color w:val="auto"/>
          <w:lang w:val="en-US" w:eastAsia="zh-CN"/>
        </w:rPr>
      </w:pPr>
    </w:p>
    <w:p w14:paraId="4CF60FC5">
      <w:pPr>
        <w:rPr>
          <w:rFonts w:hint="eastAsia"/>
          <w:b/>
          <w:color w:val="auto"/>
          <w:lang w:val="en-US" w:eastAsia="zh-CN"/>
        </w:rPr>
      </w:pPr>
    </w:p>
    <w:p w14:paraId="07F1C947">
      <w:pPr>
        <w:rPr>
          <w:rFonts w:hint="eastAsia"/>
          <w:b/>
          <w:color w:val="auto"/>
          <w:lang w:val="en-US" w:eastAsia="zh-CN"/>
        </w:rPr>
      </w:pPr>
    </w:p>
    <w:p w14:paraId="19D0101D">
      <w:pPr>
        <w:rPr>
          <w:rFonts w:hint="eastAsia"/>
          <w:b/>
          <w:color w:val="auto"/>
          <w:lang w:val="en-US" w:eastAsia="zh-CN"/>
        </w:rPr>
      </w:pPr>
    </w:p>
    <w:p w14:paraId="663EAC74">
      <w:pPr>
        <w:rPr>
          <w:rFonts w:hint="eastAsia"/>
          <w:b/>
          <w:color w:val="auto"/>
          <w:lang w:val="en-US" w:eastAsia="zh-CN"/>
        </w:rPr>
      </w:pPr>
    </w:p>
    <w:p w14:paraId="5DA59AE3">
      <w:pPr>
        <w:rPr>
          <w:rFonts w:hint="eastAsia"/>
          <w:b/>
          <w:color w:val="auto"/>
          <w:lang w:val="en-US" w:eastAsia="zh-CN"/>
        </w:rPr>
      </w:pPr>
    </w:p>
    <w:p w14:paraId="11B63A89">
      <w:pPr>
        <w:rPr>
          <w:rFonts w:hint="eastAsia"/>
          <w:b/>
          <w:color w:val="auto"/>
          <w:lang w:val="en-US" w:eastAsia="zh-CN"/>
        </w:rPr>
      </w:pPr>
    </w:p>
    <w:p w14:paraId="529E59AC">
      <w:pPr>
        <w:rPr>
          <w:rFonts w:hint="eastAsia"/>
          <w:b/>
          <w:color w:val="auto"/>
          <w:lang w:val="en-US" w:eastAsia="zh-CN"/>
        </w:rPr>
      </w:pPr>
    </w:p>
    <w:p w14:paraId="0FCAF04A">
      <w:pPr>
        <w:rPr>
          <w:rFonts w:hint="eastAsia"/>
          <w:b/>
          <w:color w:val="auto"/>
          <w:lang w:val="en-US" w:eastAsia="zh-CN"/>
        </w:rPr>
      </w:pPr>
    </w:p>
    <w:p w14:paraId="3B57D25D">
      <w:pPr>
        <w:rPr>
          <w:rFonts w:hint="eastAsia"/>
          <w:b/>
          <w:color w:val="auto"/>
          <w:lang w:val="en-US" w:eastAsia="zh-CN"/>
        </w:rPr>
      </w:pPr>
    </w:p>
    <w:p w14:paraId="6DFA5781">
      <w:pPr>
        <w:rPr>
          <w:rFonts w:hint="eastAsia"/>
          <w:b/>
          <w:color w:val="auto"/>
          <w:lang w:val="en-US" w:eastAsia="zh-CN"/>
        </w:rPr>
      </w:pPr>
    </w:p>
    <w:p w14:paraId="02762084">
      <w:pPr>
        <w:rPr>
          <w:rFonts w:hint="eastAsia"/>
          <w:b/>
          <w:color w:val="auto"/>
          <w:lang w:val="en-US" w:eastAsia="zh-CN"/>
        </w:rPr>
      </w:pPr>
    </w:p>
    <w:p w14:paraId="56114B59">
      <w:pPr>
        <w:rPr>
          <w:rFonts w:hint="eastAsia"/>
          <w:b/>
          <w:color w:val="auto"/>
          <w:lang w:val="en-US" w:eastAsia="zh-CN"/>
        </w:rPr>
      </w:pPr>
    </w:p>
    <w:p w14:paraId="1AA9044D">
      <w:pPr>
        <w:rPr>
          <w:rFonts w:hint="eastAsia"/>
          <w:b/>
          <w:color w:val="auto"/>
          <w:lang w:val="en-US" w:eastAsia="zh-CN"/>
        </w:rPr>
      </w:pPr>
    </w:p>
    <w:p w14:paraId="03CC4C06">
      <w:pPr>
        <w:rPr>
          <w:rFonts w:hint="eastAsia"/>
          <w:b/>
          <w:color w:val="auto"/>
          <w:lang w:val="en-US" w:eastAsia="zh-CN"/>
        </w:rPr>
      </w:pPr>
    </w:p>
    <w:p w14:paraId="7CD19CA3">
      <w:pPr>
        <w:rPr>
          <w:rFonts w:hint="eastAsia"/>
          <w:b/>
          <w:color w:val="auto"/>
          <w:lang w:val="en-US" w:eastAsia="zh-CN"/>
        </w:rPr>
      </w:pPr>
    </w:p>
    <w:p w14:paraId="0B601AB8">
      <w:pPr>
        <w:rPr>
          <w:rFonts w:hint="eastAsia"/>
          <w:b/>
          <w:color w:val="auto"/>
          <w:lang w:val="en-US" w:eastAsia="zh-CN"/>
        </w:rPr>
      </w:pPr>
    </w:p>
    <w:p w14:paraId="6F11CD9B">
      <w:pPr>
        <w:rPr>
          <w:rFonts w:hint="eastAsia"/>
          <w:b/>
          <w:color w:val="auto"/>
          <w:lang w:val="en-US" w:eastAsia="zh-CN"/>
        </w:rPr>
      </w:pPr>
    </w:p>
    <w:p w14:paraId="351F23FE">
      <w:pPr>
        <w:rPr>
          <w:rFonts w:hint="eastAsia"/>
          <w:b/>
          <w:color w:val="auto"/>
          <w:lang w:val="en-US" w:eastAsia="zh-CN"/>
        </w:rPr>
      </w:pPr>
    </w:p>
    <w:p w14:paraId="1CD04FBC">
      <w:pPr>
        <w:rPr>
          <w:rFonts w:hint="eastAsia"/>
          <w:b/>
          <w:color w:val="auto"/>
          <w:lang w:val="en-US" w:eastAsia="zh-CN"/>
        </w:rPr>
      </w:pPr>
    </w:p>
    <w:p w14:paraId="26EB178A">
      <w:pPr>
        <w:rPr>
          <w:rFonts w:hint="eastAsia"/>
          <w:b/>
          <w:color w:val="auto"/>
          <w:lang w:val="en-US" w:eastAsia="zh-CN"/>
        </w:rPr>
      </w:pPr>
    </w:p>
    <w:p w14:paraId="589E27FB">
      <w:pPr>
        <w:rPr>
          <w:rFonts w:hint="eastAsia"/>
          <w:b/>
          <w:color w:val="auto"/>
          <w:lang w:val="en-US" w:eastAsia="zh-CN"/>
        </w:rPr>
      </w:pPr>
    </w:p>
    <w:p w14:paraId="078E85E3">
      <w:pPr>
        <w:pStyle w:val="7"/>
        <w:spacing w:line="360" w:lineRule="auto"/>
        <w:jc w:val="left"/>
        <w:outlineLvl w:val="9"/>
        <w:rPr>
          <w:rFonts w:hint="eastAsia"/>
          <w:b/>
          <w:color w:val="auto"/>
          <w:lang w:val="en-US" w:eastAsia="zh-CN"/>
        </w:rPr>
      </w:pPr>
    </w:p>
    <w:p w14:paraId="4F598218">
      <w:pPr>
        <w:rPr>
          <w:rFonts w:hint="eastAsia"/>
          <w:b/>
          <w:color w:val="auto"/>
          <w:lang w:val="en-US" w:eastAsia="zh-CN"/>
        </w:rPr>
      </w:pPr>
    </w:p>
    <w:p w14:paraId="7BD6C42A">
      <w:pPr>
        <w:rPr>
          <w:rFonts w:hint="eastAsia"/>
          <w:b/>
          <w:color w:val="auto"/>
          <w:lang w:val="en-US" w:eastAsia="zh-CN"/>
        </w:rPr>
      </w:pPr>
    </w:p>
    <w:p w14:paraId="32409C41">
      <w:pPr>
        <w:rPr>
          <w:rFonts w:hint="eastAsia"/>
          <w:b/>
          <w:color w:val="auto"/>
          <w:lang w:val="en-US" w:eastAsia="zh-CN"/>
        </w:rPr>
      </w:pPr>
    </w:p>
    <w:p w14:paraId="5C1577B9">
      <w:pPr>
        <w:rPr>
          <w:rFonts w:hint="eastAsia"/>
          <w:b/>
          <w:color w:val="auto"/>
          <w:lang w:val="en-US" w:eastAsia="zh-CN"/>
        </w:rPr>
      </w:pPr>
    </w:p>
    <w:p w14:paraId="6A2D7436">
      <w:pPr>
        <w:rPr>
          <w:rFonts w:hint="eastAsia"/>
          <w:b/>
          <w:color w:val="auto"/>
          <w:lang w:val="en-US" w:eastAsia="zh-CN"/>
        </w:rPr>
      </w:pPr>
    </w:p>
    <w:p w14:paraId="2CFE5E3B">
      <w:pPr>
        <w:rPr>
          <w:rFonts w:hint="eastAsia"/>
          <w:b/>
          <w:color w:val="auto"/>
          <w:lang w:val="en-US" w:eastAsia="zh-CN"/>
        </w:rPr>
      </w:pPr>
    </w:p>
    <w:p w14:paraId="5EB747B8">
      <w:pPr>
        <w:rPr>
          <w:rFonts w:hint="eastAsia"/>
          <w:b/>
          <w:color w:val="auto"/>
          <w:lang w:val="en-US" w:eastAsia="zh-CN"/>
        </w:rPr>
      </w:pPr>
    </w:p>
    <w:p w14:paraId="381AC768">
      <w:pPr>
        <w:rPr>
          <w:rFonts w:hint="eastAsia"/>
          <w:b/>
          <w:color w:val="auto"/>
          <w:lang w:val="en-US" w:eastAsia="zh-CN"/>
        </w:rPr>
      </w:pPr>
    </w:p>
    <w:p w14:paraId="3B7D54D2">
      <w:pPr>
        <w:rPr>
          <w:rFonts w:hint="eastAsia"/>
          <w:b/>
          <w:color w:val="auto"/>
          <w:lang w:val="en-US" w:eastAsia="zh-CN"/>
        </w:rPr>
      </w:pPr>
    </w:p>
    <w:p w14:paraId="58F46CEB">
      <w:pPr>
        <w:pStyle w:val="7"/>
        <w:spacing w:line="360" w:lineRule="auto"/>
        <w:jc w:val="left"/>
        <w:outlineLvl w:val="9"/>
        <w:rPr>
          <w:rFonts w:hint="eastAsia"/>
          <w:b/>
          <w:color w:val="auto"/>
          <w:lang w:val="en-US" w:eastAsia="zh-CN"/>
        </w:rPr>
      </w:pPr>
      <w:r>
        <w:rPr>
          <w:rFonts w:hint="eastAsia"/>
          <w:b/>
          <w:color w:val="auto"/>
          <w:lang w:val="en-US" w:eastAsia="zh-CN"/>
        </w:rPr>
        <w:t xml:space="preserve">   </w:t>
      </w:r>
    </w:p>
    <w:p w14:paraId="724557B8">
      <w:pPr>
        <w:spacing w:line="360" w:lineRule="auto"/>
        <w:jc w:val="center"/>
        <w:outlineLvl w:val="1"/>
        <w:rPr>
          <w:rFonts w:hint="eastAsia" w:ascii="Arial" w:hAnsi="Arial" w:eastAsia="宋体" w:cs="Times New Roman"/>
          <w:b w:val="0"/>
          <w:bCs/>
          <w:color w:val="auto"/>
          <w:kern w:val="0"/>
          <w:sz w:val="28"/>
          <w:szCs w:val="20"/>
        </w:rPr>
      </w:pPr>
      <w:bookmarkStart w:id="428" w:name="_Toc29187"/>
      <w:r>
        <w:rPr>
          <w:rFonts w:hint="eastAsia" w:ascii="Arial" w:hAnsi="Arial" w:eastAsia="宋体" w:cs="Times New Roman"/>
          <w:b w:val="0"/>
          <w:bCs/>
          <w:color w:val="auto"/>
          <w:kern w:val="0"/>
          <w:sz w:val="28"/>
          <w:szCs w:val="20"/>
        </w:rPr>
        <w:t>三、商务</w:t>
      </w:r>
      <w:r>
        <w:rPr>
          <w:rFonts w:hint="eastAsia" w:ascii="Arial" w:hAnsi="Arial" w:eastAsia="宋体" w:cs="Times New Roman"/>
          <w:b w:val="0"/>
          <w:bCs/>
          <w:color w:val="auto"/>
          <w:kern w:val="0"/>
          <w:sz w:val="28"/>
          <w:szCs w:val="20"/>
          <w:lang w:val="en-US" w:eastAsia="zh-CN"/>
        </w:rPr>
        <w:t>章节</w:t>
      </w:r>
      <w:r>
        <w:rPr>
          <w:rFonts w:hint="eastAsia" w:ascii="Arial" w:hAnsi="Arial" w:eastAsia="宋体" w:cs="Times New Roman"/>
          <w:b w:val="0"/>
          <w:bCs/>
          <w:color w:val="auto"/>
          <w:kern w:val="0"/>
          <w:sz w:val="28"/>
          <w:szCs w:val="20"/>
        </w:rPr>
        <w:t>目录</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8"/>
    </w:p>
    <w:bookmarkEnd w:id="427"/>
    <w:p w14:paraId="506F804F">
      <w:pPr>
        <w:spacing w:line="360" w:lineRule="auto"/>
        <w:ind w:left="210" w:leftChars="100" w:right="753"/>
        <w:jc w:val="left"/>
        <w:outlineLvl w:val="9"/>
        <w:rPr>
          <w:rFonts w:ascii="宋体" w:hAnsi="宋体" w:cs="宋体"/>
          <w:color w:val="auto"/>
          <w:sz w:val="28"/>
          <w:szCs w:val="28"/>
        </w:rPr>
      </w:pPr>
      <w:r>
        <w:rPr>
          <w:rFonts w:hint="eastAsia" w:ascii="宋体" w:hAnsi="宋体" w:cs="宋体"/>
          <w:color w:val="auto"/>
          <w:sz w:val="28"/>
          <w:szCs w:val="28"/>
        </w:rPr>
        <w:t>1.报价表；</w:t>
      </w:r>
    </w:p>
    <w:p w14:paraId="7CEEB18D">
      <w:pPr>
        <w:spacing w:line="360" w:lineRule="auto"/>
        <w:ind w:left="210" w:leftChars="100" w:right="753"/>
        <w:jc w:val="left"/>
        <w:rPr>
          <w:rFonts w:hint="eastAsia" w:ascii="宋体" w:hAnsi="宋体" w:cs="宋体"/>
          <w:color w:val="auto"/>
          <w:sz w:val="28"/>
          <w:szCs w:val="28"/>
        </w:rPr>
      </w:pPr>
      <w:r>
        <w:rPr>
          <w:rFonts w:hint="eastAsia" w:ascii="宋体" w:hAnsi="宋体" w:cs="宋体"/>
          <w:color w:val="auto"/>
          <w:sz w:val="28"/>
          <w:szCs w:val="28"/>
        </w:rPr>
        <w:t>备注：以上材料均需加盖单位公章，并按照目录顺序编排，标注页码。</w:t>
      </w:r>
    </w:p>
    <w:p w14:paraId="0B7C834D">
      <w:pPr>
        <w:spacing w:line="360" w:lineRule="auto"/>
        <w:ind w:left="210" w:leftChars="100" w:right="753"/>
        <w:jc w:val="left"/>
        <w:rPr>
          <w:rFonts w:hint="eastAsia" w:ascii="宋体" w:hAnsi="宋体" w:cs="宋体"/>
          <w:color w:val="auto"/>
          <w:sz w:val="28"/>
          <w:szCs w:val="28"/>
        </w:rPr>
      </w:pPr>
    </w:p>
    <w:p w14:paraId="6AC8DFDE">
      <w:pPr>
        <w:spacing w:line="360" w:lineRule="auto"/>
        <w:ind w:right="753"/>
        <w:jc w:val="left"/>
        <w:rPr>
          <w:rFonts w:hint="eastAsia" w:ascii="宋体" w:hAnsi="宋体" w:cs="宋体"/>
          <w:color w:val="auto"/>
          <w:sz w:val="28"/>
          <w:szCs w:val="28"/>
        </w:rPr>
      </w:pPr>
    </w:p>
    <w:p w14:paraId="02F52F8E">
      <w:pPr>
        <w:spacing w:line="360" w:lineRule="auto"/>
        <w:ind w:right="753"/>
        <w:jc w:val="left"/>
        <w:rPr>
          <w:rFonts w:hint="eastAsia" w:ascii="宋体" w:hAnsi="宋体" w:cs="宋体"/>
          <w:color w:val="auto"/>
          <w:sz w:val="28"/>
          <w:szCs w:val="28"/>
        </w:rPr>
      </w:pPr>
    </w:p>
    <w:p w14:paraId="5B73269E">
      <w:pPr>
        <w:spacing w:line="360" w:lineRule="auto"/>
        <w:ind w:right="753"/>
        <w:jc w:val="left"/>
        <w:rPr>
          <w:rFonts w:hint="eastAsia" w:ascii="宋体" w:hAnsi="宋体" w:cs="宋体"/>
          <w:color w:val="auto"/>
          <w:sz w:val="28"/>
          <w:szCs w:val="28"/>
        </w:rPr>
      </w:pPr>
    </w:p>
    <w:p w14:paraId="439A9F00">
      <w:pPr>
        <w:spacing w:line="360" w:lineRule="auto"/>
        <w:ind w:right="753"/>
        <w:jc w:val="left"/>
        <w:rPr>
          <w:rFonts w:hint="eastAsia" w:ascii="宋体" w:hAnsi="宋体" w:cs="宋体"/>
          <w:color w:val="auto"/>
          <w:sz w:val="28"/>
          <w:szCs w:val="28"/>
        </w:rPr>
      </w:pPr>
    </w:p>
    <w:p w14:paraId="5FE4F012">
      <w:pPr>
        <w:spacing w:line="360" w:lineRule="auto"/>
        <w:ind w:right="753"/>
        <w:jc w:val="left"/>
        <w:rPr>
          <w:rFonts w:hint="eastAsia" w:ascii="宋体" w:hAnsi="宋体" w:cs="宋体"/>
          <w:color w:val="auto"/>
          <w:sz w:val="28"/>
          <w:szCs w:val="28"/>
        </w:rPr>
      </w:pPr>
    </w:p>
    <w:p w14:paraId="680D7173">
      <w:pPr>
        <w:spacing w:line="360" w:lineRule="auto"/>
        <w:ind w:right="753"/>
        <w:jc w:val="left"/>
        <w:rPr>
          <w:rFonts w:hint="eastAsia" w:ascii="宋体" w:hAnsi="宋体" w:cs="宋体"/>
          <w:color w:val="auto"/>
          <w:sz w:val="28"/>
          <w:szCs w:val="28"/>
        </w:rPr>
      </w:pPr>
    </w:p>
    <w:p w14:paraId="5E33163A">
      <w:pPr>
        <w:spacing w:line="360" w:lineRule="auto"/>
        <w:ind w:right="753"/>
        <w:jc w:val="left"/>
        <w:rPr>
          <w:rFonts w:hint="eastAsia" w:ascii="宋体" w:hAnsi="宋体" w:cs="宋体"/>
          <w:color w:val="auto"/>
          <w:sz w:val="28"/>
          <w:szCs w:val="28"/>
        </w:rPr>
      </w:pPr>
    </w:p>
    <w:p w14:paraId="7E1BC923">
      <w:pPr>
        <w:spacing w:line="360" w:lineRule="auto"/>
        <w:ind w:right="753"/>
        <w:jc w:val="left"/>
        <w:rPr>
          <w:rFonts w:hint="eastAsia" w:ascii="宋体" w:hAnsi="宋体" w:cs="宋体"/>
          <w:color w:val="auto"/>
          <w:sz w:val="28"/>
          <w:szCs w:val="28"/>
        </w:rPr>
      </w:pPr>
    </w:p>
    <w:p w14:paraId="5DD56539">
      <w:pPr>
        <w:spacing w:line="360" w:lineRule="auto"/>
        <w:ind w:right="753"/>
        <w:jc w:val="left"/>
        <w:rPr>
          <w:rFonts w:hint="eastAsia" w:ascii="宋体" w:hAnsi="宋体" w:cs="宋体"/>
          <w:color w:val="auto"/>
          <w:sz w:val="28"/>
          <w:szCs w:val="28"/>
        </w:rPr>
      </w:pPr>
    </w:p>
    <w:p w14:paraId="275BD4FC">
      <w:pPr>
        <w:spacing w:line="360" w:lineRule="auto"/>
        <w:ind w:right="753"/>
        <w:jc w:val="left"/>
        <w:rPr>
          <w:rFonts w:hint="eastAsia" w:ascii="宋体" w:hAnsi="宋体" w:cs="宋体"/>
          <w:color w:val="auto"/>
          <w:sz w:val="28"/>
          <w:szCs w:val="28"/>
        </w:rPr>
      </w:pPr>
    </w:p>
    <w:p w14:paraId="7411B2C4">
      <w:pPr>
        <w:spacing w:line="360" w:lineRule="auto"/>
        <w:ind w:right="753"/>
        <w:jc w:val="left"/>
        <w:rPr>
          <w:rFonts w:hint="eastAsia" w:ascii="宋体" w:hAnsi="宋体" w:cs="宋体"/>
          <w:color w:val="auto"/>
          <w:sz w:val="28"/>
          <w:szCs w:val="28"/>
        </w:rPr>
      </w:pPr>
    </w:p>
    <w:p w14:paraId="126FA32E">
      <w:pPr>
        <w:spacing w:line="360" w:lineRule="auto"/>
        <w:ind w:right="753"/>
        <w:jc w:val="left"/>
        <w:rPr>
          <w:rFonts w:hint="eastAsia" w:ascii="宋体" w:hAnsi="宋体" w:cs="宋体"/>
          <w:color w:val="auto"/>
          <w:sz w:val="28"/>
          <w:szCs w:val="28"/>
        </w:rPr>
      </w:pPr>
    </w:p>
    <w:p w14:paraId="147E5F46">
      <w:pPr>
        <w:spacing w:line="360" w:lineRule="auto"/>
        <w:ind w:right="753"/>
        <w:jc w:val="left"/>
        <w:rPr>
          <w:rFonts w:hint="eastAsia" w:ascii="宋体" w:hAnsi="宋体" w:cs="宋体"/>
          <w:color w:val="auto"/>
          <w:sz w:val="28"/>
          <w:szCs w:val="28"/>
        </w:rPr>
      </w:pPr>
    </w:p>
    <w:p w14:paraId="28F79372">
      <w:pPr>
        <w:spacing w:line="360" w:lineRule="auto"/>
        <w:ind w:right="753"/>
        <w:jc w:val="left"/>
        <w:rPr>
          <w:rFonts w:hint="eastAsia" w:ascii="宋体" w:hAnsi="宋体" w:cs="宋体"/>
          <w:color w:val="auto"/>
          <w:sz w:val="28"/>
          <w:szCs w:val="28"/>
        </w:rPr>
      </w:pPr>
    </w:p>
    <w:p w14:paraId="3EA3C7AB">
      <w:pPr>
        <w:spacing w:line="360" w:lineRule="auto"/>
        <w:ind w:right="753"/>
        <w:jc w:val="left"/>
        <w:rPr>
          <w:rFonts w:hint="eastAsia" w:ascii="宋体" w:hAnsi="宋体" w:cs="宋体"/>
          <w:color w:val="auto"/>
          <w:sz w:val="28"/>
          <w:szCs w:val="28"/>
        </w:rPr>
      </w:pPr>
    </w:p>
    <w:p w14:paraId="16670E47">
      <w:pPr>
        <w:spacing w:line="360" w:lineRule="auto"/>
        <w:ind w:right="753"/>
        <w:jc w:val="left"/>
        <w:rPr>
          <w:rFonts w:hint="eastAsia" w:ascii="宋体" w:hAnsi="宋体" w:cs="宋体"/>
          <w:color w:val="auto"/>
          <w:sz w:val="28"/>
          <w:szCs w:val="28"/>
        </w:rPr>
      </w:pPr>
    </w:p>
    <w:p w14:paraId="06AFE06A">
      <w:pPr>
        <w:spacing w:line="360" w:lineRule="auto"/>
        <w:ind w:right="753"/>
        <w:jc w:val="left"/>
        <w:rPr>
          <w:rFonts w:hint="eastAsia" w:ascii="宋体" w:hAnsi="宋体" w:cs="宋体"/>
          <w:color w:val="auto"/>
          <w:sz w:val="28"/>
          <w:szCs w:val="28"/>
        </w:rPr>
      </w:pPr>
    </w:p>
    <w:p w14:paraId="731DDE71">
      <w:pPr>
        <w:spacing w:line="360" w:lineRule="auto"/>
        <w:ind w:right="753"/>
        <w:jc w:val="left"/>
        <w:rPr>
          <w:rFonts w:hint="eastAsia" w:ascii="宋体" w:hAnsi="宋体" w:cs="宋体"/>
          <w:color w:val="auto"/>
          <w:sz w:val="28"/>
          <w:szCs w:val="28"/>
        </w:rPr>
      </w:pPr>
    </w:p>
    <w:p w14:paraId="3CC3A968">
      <w:pPr>
        <w:spacing w:line="360" w:lineRule="auto"/>
        <w:ind w:left="210" w:leftChars="100" w:right="753"/>
        <w:jc w:val="left"/>
        <w:rPr>
          <w:rFonts w:hint="eastAsia" w:ascii="宋体" w:hAnsi="宋体" w:cs="宋体"/>
          <w:color w:val="auto"/>
          <w:sz w:val="28"/>
          <w:szCs w:val="28"/>
        </w:rPr>
      </w:pPr>
    </w:p>
    <w:p w14:paraId="008E9011">
      <w:pPr>
        <w:rPr>
          <w:rFonts w:hint="eastAsia"/>
          <w:color w:val="auto"/>
        </w:rPr>
      </w:pPr>
      <w:bookmarkStart w:id="429" w:name="_Toc1148"/>
      <w:bookmarkStart w:id="430" w:name="_Toc26609"/>
      <w:bookmarkStart w:id="431" w:name="_Toc25214"/>
      <w:bookmarkStart w:id="432" w:name="_Toc25896"/>
      <w:bookmarkStart w:id="433" w:name="_Toc9748"/>
      <w:bookmarkStart w:id="434" w:name="_Toc29844"/>
      <w:bookmarkStart w:id="435" w:name="_Toc6408"/>
      <w:bookmarkStart w:id="436" w:name="_Toc3569"/>
      <w:bookmarkStart w:id="437" w:name="_Toc20415"/>
      <w:bookmarkStart w:id="438" w:name="_Toc29457"/>
      <w:bookmarkStart w:id="439" w:name="_Toc17958"/>
      <w:bookmarkStart w:id="440" w:name="_Toc461525330"/>
    </w:p>
    <w:p w14:paraId="309F1DA2">
      <w:pPr>
        <w:numPr>
          <w:ilvl w:val="0"/>
          <w:numId w:val="4"/>
        </w:numPr>
        <w:outlineLvl w:val="9"/>
        <w:rPr>
          <w:rFonts w:hint="eastAsia" w:ascii="Arial" w:hAnsi="Arial" w:eastAsia="宋体" w:cs="Times New Roman"/>
          <w:color w:val="auto"/>
          <w:kern w:val="0"/>
          <w:sz w:val="28"/>
          <w:szCs w:val="20"/>
          <w:lang w:val="en-US" w:eastAsia="zh-CN" w:bidi="ar-SA"/>
        </w:rPr>
      </w:pPr>
      <w:r>
        <w:rPr>
          <w:rFonts w:hint="eastAsia" w:ascii="Arial" w:hAnsi="Arial" w:eastAsia="宋体" w:cs="Times New Roman"/>
          <w:color w:val="auto"/>
          <w:kern w:val="0"/>
          <w:sz w:val="28"/>
          <w:szCs w:val="20"/>
          <w:lang w:val="en-US" w:eastAsia="zh-CN" w:bidi="ar-SA"/>
        </w:rPr>
        <w:t>报价表</w:t>
      </w:r>
      <w:bookmarkEnd w:id="429"/>
      <w:bookmarkEnd w:id="430"/>
      <w:r>
        <w:rPr>
          <w:rFonts w:hint="eastAsia" w:ascii="Arial" w:hAnsi="Arial" w:eastAsia="宋体" w:cs="Times New Roman"/>
          <w:color w:val="auto"/>
          <w:kern w:val="0"/>
          <w:sz w:val="28"/>
          <w:szCs w:val="20"/>
          <w:lang w:val="en-US" w:eastAsia="zh-CN" w:bidi="ar-SA"/>
        </w:rPr>
        <w:t>（格式）</w:t>
      </w:r>
      <w:bookmarkEnd w:id="431"/>
      <w:bookmarkEnd w:id="432"/>
      <w:bookmarkEnd w:id="433"/>
      <w:bookmarkEnd w:id="434"/>
      <w:bookmarkEnd w:id="435"/>
      <w:bookmarkEnd w:id="436"/>
      <w:bookmarkEnd w:id="437"/>
      <w:bookmarkEnd w:id="438"/>
      <w:bookmarkEnd w:id="439"/>
      <w:bookmarkEnd w:id="440"/>
    </w:p>
    <w:p w14:paraId="19ABB73A">
      <w:pPr>
        <w:pStyle w:val="2"/>
        <w:rPr>
          <w:rFonts w:hint="eastAsia"/>
          <w:lang w:val="en-US" w:eastAsia="zh-CN"/>
        </w:rPr>
      </w:pPr>
    </w:p>
    <w:p w14:paraId="64B163AF">
      <w:pPr>
        <w:ind w:right="753"/>
        <w:jc w:val="center"/>
        <w:rPr>
          <w:rFonts w:hint="eastAsia" w:ascii="宋体" w:hAnsi="宋体" w:cs="宋体"/>
          <w:color w:val="auto"/>
          <w:sz w:val="28"/>
          <w:szCs w:val="28"/>
          <w:u w:val="single"/>
        </w:rPr>
      </w:pPr>
      <w:r>
        <w:rPr>
          <w:rFonts w:hint="eastAsia" w:ascii="宋体" w:hAnsi="宋体" w:cs="宋体"/>
          <w:color w:val="auto"/>
          <w:sz w:val="28"/>
          <w:szCs w:val="28"/>
          <w:u w:val="single"/>
        </w:rPr>
        <w:t>南宁铁路枢纽投资有限公司</w:t>
      </w:r>
      <w:r>
        <w:rPr>
          <w:rFonts w:hint="eastAsia" w:ascii="宋体" w:hAnsi="宋体" w:cs="宋体"/>
          <w:color w:val="auto"/>
          <w:sz w:val="28"/>
          <w:szCs w:val="28"/>
          <w:u w:val="single"/>
          <w:lang w:val="en-US" w:eastAsia="zh-CN"/>
        </w:rPr>
        <w:t>2025年</w:t>
      </w:r>
      <w:r>
        <w:rPr>
          <w:rFonts w:hint="eastAsia" w:ascii="宋体" w:hAnsi="宋体" w:cs="宋体"/>
          <w:color w:val="auto"/>
          <w:sz w:val="28"/>
          <w:szCs w:val="28"/>
          <w:u w:val="single"/>
        </w:rPr>
        <w:t>度法律顾问</w:t>
      </w:r>
      <w:r>
        <w:rPr>
          <w:rFonts w:hint="eastAsia" w:ascii="宋体" w:hAnsi="宋体" w:cs="宋体"/>
          <w:color w:val="auto"/>
          <w:sz w:val="28"/>
          <w:szCs w:val="28"/>
          <w:u w:val="single"/>
          <w:lang w:val="en-US" w:eastAsia="zh-CN"/>
        </w:rPr>
        <w:t>服务</w:t>
      </w:r>
      <w:r>
        <w:rPr>
          <w:rFonts w:hint="eastAsia" w:ascii="宋体" w:hAnsi="宋体" w:cs="宋体"/>
          <w:color w:val="auto"/>
          <w:sz w:val="28"/>
          <w:szCs w:val="28"/>
          <w:u w:val="single"/>
        </w:rPr>
        <w:t>项目</w:t>
      </w:r>
    </w:p>
    <w:p w14:paraId="12C8996C">
      <w:pPr>
        <w:pStyle w:val="2"/>
        <w:rPr>
          <w:rFonts w:hint="eastAsia"/>
        </w:rPr>
      </w:pPr>
    </w:p>
    <w:p w14:paraId="37389AA0">
      <w:pPr>
        <w:numPr>
          <w:ilvl w:val="0"/>
          <w:numId w:val="0"/>
        </w:numPr>
        <w:outlineLvl w:val="9"/>
        <w:rPr>
          <w:rFonts w:hint="eastAsia" w:ascii="Arial" w:hAnsi="Arial" w:eastAsia="宋体" w:cs="Times New Roman"/>
          <w:color w:val="auto"/>
          <w:kern w:val="0"/>
          <w:sz w:val="28"/>
          <w:szCs w:val="20"/>
          <w:lang w:val="en-US" w:eastAsia="zh-CN" w:bidi="ar-SA"/>
        </w:rPr>
      </w:pPr>
    </w:p>
    <w:tbl>
      <w:tblPr>
        <w:tblStyle w:val="31"/>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606"/>
        <w:gridCol w:w="915"/>
        <w:gridCol w:w="1843"/>
        <w:gridCol w:w="3846"/>
      </w:tblGrid>
      <w:tr w14:paraId="23107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667" w:type="dxa"/>
            <w:noWrap w:val="0"/>
            <w:vAlign w:val="center"/>
          </w:tcPr>
          <w:p w14:paraId="6BF12F01">
            <w:pPr>
              <w:jc w:val="center"/>
              <w:rPr>
                <w:rFonts w:ascii="宋体" w:hAnsi="宋体" w:cs="宋体"/>
                <w:color w:val="auto"/>
                <w:sz w:val="28"/>
                <w:szCs w:val="28"/>
              </w:rPr>
            </w:pPr>
            <w:r>
              <w:rPr>
                <w:rFonts w:hint="eastAsia" w:ascii="宋体" w:hAnsi="宋体" w:cs="宋体"/>
                <w:color w:val="auto"/>
                <w:sz w:val="28"/>
                <w:szCs w:val="28"/>
              </w:rPr>
              <w:t>序号</w:t>
            </w:r>
          </w:p>
        </w:tc>
        <w:tc>
          <w:tcPr>
            <w:tcW w:w="1606" w:type="dxa"/>
            <w:noWrap w:val="0"/>
            <w:vAlign w:val="center"/>
          </w:tcPr>
          <w:p w14:paraId="4006090A">
            <w:pPr>
              <w:jc w:val="center"/>
              <w:rPr>
                <w:rFonts w:ascii="宋体" w:hAnsi="宋体" w:cs="宋体"/>
                <w:color w:val="auto"/>
                <w:sz w:val="28"/>
                <w:szCs w:val="28"/>
              </w:rPr>
            </w:pPr>
            <w:r>
              <w:rPr>
                <w:rFonts w:hint="eastAsia" w:ascii="宋体" w:hAnsi="宋体" w:cs="宋体"/>
                <w:color w:val="auto"/>
                <w:sz w:val="28"/>
                <w:szCs w:val="28"/>
              </w:rPr>
              <w:t>服务内容</w:t>
            </w:r>
          </w:p>
        </w:tc>
        <w:tc>
          <w:tcPr>
            <w:tcW w:w="915" w:type="dxa"/>
            <w:noWrap w:val="0"/>
            <w:vAlign w:val="center"/>
          </w:tcPr>
          <w:p w14:paraId="7BE5FFB9">
            <w:pPr>
              <w:jc w:val="center"/>
              <w:rPr>
                <w:rFonts w:ascii="宋体" w:hAnsi="宋体" w:cs="宋体"/>
                <w:color w:val="auto"/>
                <w:sz w:val="28"/>
                <w:szCs w:val="28"/>
              </w:rPr>
            </w:pPr>
            <w:r>
              <w:rPr>
                <w:rFonts w:hint="eastAsia" w:ascii="宋体" w:hAnsi="宋体" w:cs="宋体"/>
                <w:color w:val="auto"/>
                <w:sz w:val="28"/>
                <w:szCs w:val="28"/>
              </w:rPr>
              <w:t>年限</w:t>
            </w:r>
          </w:p>
        </w:tc>
        <w:tc>
          <w:tcPr>
            <w:tcW w:w="1843" w:type="dxa"/>
            <w:noWrap w:val="0"/>
            <w:vAlign w:val="center"/>
          </w:tcPr>
          <w:p w14:paraId="50B896E0">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rPr>
              <w:t>总报</w:t>
            </w:r>
            <w:r>
              <w:rPr>
                <w:rFonts w:hint="eastAsia" w:ascii="宋体" w:hAnsi="宋体" w:cs="宋体"/>
                <w:color w:val="auto"/>
                <w:sz w:val="28"/>
                <w:szCs w:val="28"/>
                <w:highlight w:val="none"/>
              </w:rPr>
              <w:t>价</w:t>
            </w:r>
            <w:r>
              <w:rPr>
                <w:rFonts w:hint="eastAsia" w:ascii="宋体" w:hAnsi="宋体" w:cs="宋体"/>
                <w:color w:val="auto"/>
                <w:sz w:val="28"/>
                <w:szCs w:val="28"/>
                <w:highlight w:val="none"/>
                <w:lang w:val="en-US" w:eastAsia="zh-CN"/>
              </w:rPr>
              <w:t>(不含增值税）</w:t>
            </w:r>
          </w:p>
        </w:tc>
        <w:tc>
          <w:tcPr>
            <w:tcW w:w="3846" w:type="dxa"/>
            <w:noWrap w:val="0"/>
            <w:vAlign w:val="center"/>
          </w:tcPr>
          <w:p w14:paraId="697EFC46">
            <w:pPr>
              <w:jc w:val="center"/>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总报价（含增值税）</w:t>
            </w:r>
          </w:p>
        </w:tc>
      </w:tr>
      <w:tr w14:paraId="7E18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667" w:type="dxa"/>
            <w:noWrap w:val="0"/>
            <w:vAlign w:val="center"/>
          </w:tcPr>
          <w:p w14:paraId="6703F00A">
            <w:pPr>
              <w:jc w:val="center"/>
              <w:rPr>
                <w:rFonts w:ascii="宋体" w:hAnsi="宋体" w:cs="宋体"/>
                <w:color w:val="auto"/>
                <w:sz w:val="28"/>
                <w:szCs w:val="28"/>
              </w:rPr>
            </w:pPr>
            <w:r>
              <w:rPr>
                <w:rFonts w:hint="eastAsia" w:ascii="宋体" w:hAnsi="宋体" w:cs="宋体"/>
                <w:color w:val="auto"/>
                <w:sz w:val="28"/>
                <w:szCs w:val="28"/>
              </w:rPr>
              <w:t>1</w:t>
            </w:r>
          </w:p>
        </w:tc>
        <w:tc>
          <w:tcPr>
            <w:tcW w:w="1606" w:type="dxa"/>
            <w:noWrap w:val="0"/>
            <w:vAlign w:val="center"/>
          </w:tcPr>
          <w:p w14:paraId="37F48B01">
            <w:pPr>
              <w:jc w:val="center"/>
              <w:rPr>
                <w:rFonts w:ascii="宋体" w:hAnsi="宋体" w:cs="宋体"/>
                <w:color w:val="auto"/>
                <w:sz w:val="28"/>
                <w:szCs w:val="28"/>
              </w:rPr>
            </w:pPr>
            <w:r>
              <w:rPr>
                <w:rFonts w:hint="eastAsia" w:ascii="宋体" w:hAnsi="宋体" w:cs="宋体"/>
                <w:color w:val="auto"/>
                <w:sz w:val="28"/>
                <w:szCs w:val="28"/>
                <w:lang w:eastAsia="zh-CN"/>
              </w:rPr>
              <w:t>南宁铁路枢纽投资有限公司</w:t>
            </w:r>
            <w:r>
              <w:rPr>
                <w:rFonts w:hint="eastAsia" w:ascii="宋体" w:hAnsi="宋体" w:cs="宋体"/>
                <w:color w:val="auto"/>
                <w:sz w:val="28"/>
                <w:szCs w:val="28"/>
                <w:u w:val="single"/>
                <w:lang w:val="en-US" w:eastAsia="zh-CN"/>
              </w:rPr>
              <w:t>2025</w:t>
            </w:r>
            <w:r>
              <w:rPr>
                <w:rFonts w:hint="eastAsia" w:ascii="宋体" w:hAnsi="宋体" w:cs="宋体"/>
                <w:color w:val="auto"/>
                <w:sz w:val="28"/>
                <w:szCs w:val="28"/>
              </w:rPr>
              <w:t>年度法律顾问</w:t>
            </w:r>
          </w:p>
        </w:tc>
        <w:tc>
          <w:tcPr>
            <w:tcW w:w="915" w:type="dxa"/>
            <w:noWrap w:val="0"/>
            <w:vAlign w:val="center"/>
          </w:tcPr>
          <w:p w14:paraId="5AD73923">
            <w:pPr>
              <w:jc w:val="center"/>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1</w:t>
            </w:r>
            <w:r>
              <w:rPr>
                <w:rFonts w:hint="eastAsia" w:ascii="宋体" w:hAnsi="宋体" w:cs="宋体"/>
                <w:color w:val="auto"/>
                <w:sz w:val="28"/>
                <w:szCs w:val="28"/>
                <w:highlight w:val="none"/>
              </w:rPr>
              <w:t>年</w:t>
            </w:r>
          </w:p>
        </w:tc>
        <w:tc>
          <w:tcPr>
            <w:tcW w:w="1843" w:type="dxa"/>
            <w:noWrap w:val="0"/>
            <w:vAlign w:val="center"/>
          </w:tcPr>
          <w:p w14:paraId="134C9962">
            <w:pPr>
              <w:rPr>
                <w:rFonts w:ascii="宋体" w:hAnsi="宋体" w:cs="宋体"/>
                <w:color w:val="auto"/>
                <w:sz w:val="24"/>
                <w:highlight w:val="none"/>
              </w:rPr>
            </w:pPr>
            <w:r>
              <w:rPr>
                <w:rFonts w:hint="eastAsia" w:ascii="宋体" w:hAnsi="宋体" w:cs="宋体"/>
                <w:color w:val="auto"/>
                <w:sz w:val="24"/>
                <w:highlight w:val="none"/>
              </w:rPr>
              <w:t>小写：</w:t>
            </w:r>
          </w:p>
          <w:p w14:paraId="08AB47A2">
            <w:pPr>
              <w:rPr>
                <w:rFonts w:ascii="宋体" w:hAnsi="宋体" w:cs="宋体"/>
                <w:color w:val="auto"/>
                <w:sz w:val="24"/>
                <w:highlight w:val="none"/>
              </w:rPr>
            </w:pPr>
          </w:p>
          <w:p w14:paraId="0D0B90B1">
            <w:pPr>
              <w:rPr>
                <w:rFonts w:ascii="宋体" w:hAnsi="宋体" w:cs="宋体"/>
                <w:color w:val="auto"/>
                <w:sz w:val="24"/>
                <w:highlight w:val="none"/>
              </w:rPr>
            </w:pPr>
            <w:r>
              <w:rPr>
                <w:rFonts w:hint="eastAsia" w:ascii="宋体" w:hAnsi="宋体" w:cs="宋体"/>
                <w:color w:val="auto"/>
                <w:sz w:val="24"/>
                <w:highlight w:val="none"/>
              </w:rPr>
              <w:t>大写：</w:t>
            </w:r>
          </w:p>
        </w:tc>
        <w:tc>
          <w:tcPr>
            <w:tcW w:w="3846" w:type="dxa"/>
            <w:noWrap w:val="0"/>
            <w:vAlign w:val="center"/>
          </w:tcPr>
          <w:p w14:paraId="23F2F34A">
            <w:pPr>
              <w:rPr>
                <w:rFonts w:ascii="宋体" w:hAnsi="宋体" w:cs="宋体"/>
                <w:color w:val="auto"/>
                <w:sz w:val="24"/>
                <w:highlight w:val="none"/>
              </w:rPr>
            </w:pPr>
            <w:r>
              <w:rPr>
                <w:rFonts w:hint="eastAsia" w:ascii="宋体" w:hAnsi="宋体" w:cs="宋体"/>
                <w:color w:val="auto"/>
                <w:sz w:val="24"/>
                <w:highlight w:val="none"/>
              </w:rPr>
              <w:t>小写：</w:t>
            </w:r>
          </w:p>
          <w:p w14:paraId="53D315C3">
            <w:pPr>
              <w:rPr>
                <w:rFonts w:ascii="宋体" w:hAnsi="宋体" w:cs="宋体"/>
                <w:color w:val="auto"/>
                <w:sz w:val="24"/>
                <w:highlight w:val="none"/>
              </w:rPr>
            </w:pPr>
          </w:p>
          <w:p w14:paraId="580153FD">
            <w:pPr>
              <w:rPr>
                <w:rFonts w:hint="eastAsia" w:ascii="宋体" w:hAnsi="宋体" w:cs="宋体"/>
                <w:color w:val="auto"/>
                <w:sz w:val="24"/>
                <w:highlight w:val="none"/>
              </w:rPr>
            </w:pPr>
            <w:r>
              <w:rPr>
                <w:rFonts w:hint="eastAsia" w:ascii="宋体" w:hAnsi="宋体" w:cs="宋体"/>
                <w:color w:val="auto"/>
                <w:sz w:val="24"/>
                <w:highlight w:val="none"/>
              </w:rPr>
              <w:t>大写：</w:t>
            </w:r>
          </w:p>
          <w:p w14:paraId="5E101712">
            <w:pPr>
              <w:rPr>
                <w:rFonts w:hint="eastAsia" w:ascii="宋体" w:hAnsi="宋体" w:cs="宋体"/>
                <w:color w:val="auto"/>
                <w:sz w:val="24"/>
                <w:highlight w:val="none"/>
              </w:rPr>
            </w:pPr>
          </w:p>
          <w:p w14:paraId="77E90979">
            <w:pP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税率：</w:t>
            </w:r>
          </w:p>
        </w:tc>
      </w:tr>
    </w:tbl>
    <w:p w14:paraId="226AE58B">
      <w:pPr>
        <w:jc w:val="left"/>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注：1.</w:t>
      </w:r>
      <w:r>
        <w:rPr>
          <w:rFonts w:hint="eastAsia" w:ascii="宋体" w:hAnsi="宋体" w:eastAsia="宋体" w:cs="宋体"/>
          <w:color w:val="auto"/>
          <w:sz w:val="28"/>
          <w:szCs w:val="28"/>
          <w:highlight w:val="none"/>
        </w:rPr>
        <w:t>上述报价以“元”为单位，保留到小数点后2位</w:t>
      </w:r>
      <w:r>
        <w:rPr>
          <w:rFonts w:hint="eastAsia" w:ascii="宋体" w:hAnsi="宋体" w:eastAsia="宋体" w:cs="宋体"/>
          <w:color w:val="auto"/>
          <w:sz w:val="28"/>
          <w:szCs w:val="28"/>
          <w:highlight w:val="none"/>
          <w:lang w:eastAsia="zh-CN"/>
        </w:rPr>
        <w:t>。</w:t>
      </w:r>
    </w:p>
    <w:p w14:paraId="3C610510">
      <w:pPr>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rPr>
        <w:t>注：</w:t>
      </w: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本表根据需要可扩展。未按照本比选报价表的格式及要求填写比选报价表的，将视为不满足比选文件要求，从而导致该比选</w:t>
      </w:r>
      <w:r>
        <w:rPr>
          <w:rFonts w:hint="eastAsia" w:ascii="宋体" w:hAnsi="宋体" w:eastAsia="宋体" w:cs="宋体"/>
          <w:color w:val="auto"/>
          <w:sz w:val="28"/>
          <w:szCs w:val="28"/>
          <w:highlight w:val="none"/>
        </w:rPr>
        <w:t>申请人竞选无效。</w:t>
      </w:r>
    </w:p>
    <w:p w14:paraId="747312AE">
      <w:pPr>
        <w:jc w:val="left"/>
        <w:rPr>
          <w:rFonts w:hint="eastAsia" w:ascii="宋体" w:hAnsi="宋体" w:eastAsia="宋体" w:cs="宋体"/>
          <w:color w:val="auto"/>
          <w:sz w:val="28"/>
          <w:szCs w:val="28"/>
        </w:rPr>
      </w:pPr>
    </w:p>
    <w:p w14:paraId="5009F341">
      <w:pPr>
        <w:spacing w:line="360" w:lineRule="auto"/>
        <w:ind w:right="565" w:rightChars="269"/>
        <w:jc w:val="left"/>
        <w:rPr>
          <w:rFonts w:ascii="宋体" w:hAnsi="宋体" w:cs="宋体"/>
          <w:color w:val="auto"/>
          <w:sz w:val="28"/>
          <w:szCs w:val="28"/>
        </w:rPr>
      </w:pPr>
    </w:p>
    <w:p w14:paraId="2015B578">
      <w:pPr>
        <w:pStyle w:val="2"/>
      </w:pPr>
    </w:p>
    <w:p w14:paraId="7ABC6C5A">
      <w:pPr>
        <w:spacing w:line="360" w:lineRule="auto"/>
        <w:ind w:right="565" w:rightChars="269"/>
        <w:jc w:val="left"/>
        <w:rPr>
          <w:rFonts w:ascii="宋体" w:hAnsi="宋体" w:cs="宋体"/>
          <w:color w:val="auto"/>
          <w:sz w:val="28"/>
          <w:szCs w:val="28"/>
        </w:rPr>
      </w:pPr>
    </w:p>
    <w:p w14:paraId="7BCFCF3D">
      <w:pPr>
        <w:spacing w:line="360" w:lineRule="auto"/>
        <w:ind w:right="565" w:rightChars="269"/>
        <w:jc w:val="right"/>
        <w:rPr>
          <w:rFonts w:ascii="宋体" w:hAnsi="宋体" w:cs="宋体"/>
          <w:color w:val="auto"/>
          <w:sz w:val="28"/>
          <w:szCs w:val="28"/>
        </w:rPr>
      </w:pPr>
      <w:r>
        <w:rPr>
          <w:rFonts w:hint="eastAsia" w:ascii="宋体" w:hAnsi="宋体" w:cs="宋体"/>
          <w:color w:val="auto"/>
          <w:sz w:val="28"/>
          <w:szCs w:val="28"/>
        </w:rPr>
        <w:t>比选申请人</w:t>
      </w:r>
      <w:r>
        <w:rPr>
          <w:rFonts w:hint="eastAsia" w:ascii="宋体" w:hAnsi="宋体" w:cs="宋体"/>
          <w:color w:val="auto"/>
          <w:sz w:val="28"/>
          <w:szCs w:val="28"/>
          <w:lang w:val="en-US" w:eastAsia="zh-CN"/>
        </w:rPr>
        <w:t>名称</w:t>
      </w:r>
      <w:r>
        <w:rPr>
          <w:rFonts w:hint="eastAsia" w:ascii="宋体" w:hAnsi="宋体" w:cs="宋体"/>
          <w:color w:val="auto"/>
          <w:sz w:val="28"/>
          <w:szCs w:val="28"/>
        </w:rPr>
        <w:t>（公章）</w:t>
      </w:r>
    </w:p>
    <w:p w14:paraId="4DF55EBC">
      <w:pPr>
        <w:jc w:val="right"/>
        <w:rPr>
          <w:rFonts w:ascii="宋体" w:hAnsi="宋体" w:cs="宋体"/>
          <w:color w:val="auto"/>
          <w:sz w:val="28"/>
          <w:szCs w:val="28"/>
        </w:rPr>
      </w:pPr>
      <w:r>
        <w:rPr>
          <w:rFonts w:hint="eastAsia" w:ascii="宋体" w:hAnsi="宋体" w:cs="宋体"/>
          <w:color w:val="auto"/>
          <w:sz w:val="28"/>
          <w:szCs w:val="28"/>
        </w:rPr>
        <w:t>负责人或其委托代理人（签字或盖章）：</w:t>
      </w:r>
    </w:p>
    <w:bookmarkEnd w:id="409"/>
    <w:bookmarkEnd w:id="410"/>
    <w:bookmarkEnd w:id="411"/>
    <w:bookmarkEnd w:id="412"/>
    <w:bookmarkEnd w:id="413"/>
    <w:p w14:paraId="4C7FC47A">
      <w:pPr>
        <w:widowControl/>
        <w:jc w:val="left"/>
        <w:rPr>
          <w:rFonts w:hint="eastAsia" w:eastAsiaTheme="minorEastAsia"/>
          <w:lang w:val="en-US" w:eastAsia="zh-CN"/>
        </w:rPr>
      </w:pPr>
      <w:r>
        <w:rPr>
          <w:rFonts w:hint="eastAsia" w:eastAsiaTheme="minorEastAsia"/>
          <w:lang w:val="en-US" w:eastAsia="zh-CN"/>
        </w:rPr>
        <w:t xml:space="preserve">                                                   日期：  年    月    日</w:t>
      </w:r>
      <w:r>
        <w:rPr>
          <w:rFonts w:eastAsiaTheme="minorEastAsia"/>
        </w:rPr>
        <w:br w:type="page"/>
      </w:r>
      <w:r>
        <w:rPr>
          <w:rFonts w:hint="eastAsia" w:eastAsiaTheme="minorEastAsia"/>
          <w:lang w:val="en-US" w:eastAsia="zh-CN"/>
        </w:rPr>
        <w:t xml:space="preserve"> </w:t>
      </w:r>
    </w:p>
    <w:p w14:paraId="42BBEF93">
      <w:pPr>
        <w:pStyle w:val="5"/>
        <w:spacing w:before="0" w:after="0" w:line="360" w:lineRule="auto"/>
        <w:ind w:firstLine="883" w:firstLineChars="200"/>
        <w:rPr>
          <w:rFonts w:hint="eastAsia" w:eastAsiaTheme="minorEastAsia"/>
          <w:sz w:val="44"/>
          <w:szCs w:val="44"/>
        </w:rPr>
      </w:pPr>
      <w:bookmarkStart w:id="441" w:name="_Toc19824"/>
      <w:bookmarkStart w:id="442" w:name="_Toc9536"/>
      <w:bookmarkStart w:id="443" w:name="_Toc23866"/>
      <w:bookmarkStart w:id="444" w:name="_Toc7434"/>
      <w:bookmarkStart w:id="445" w:name="_Toc32097"/>
      <w:bookmarkStart w:id="446" w:name="_Toc8660"/>
      <w:bookmarkStart w:id="447" w:name="_Toc16301"/>
      <w:bookmarkStart w:id="448" w:name="_Toc1385"/>
      <w:bookmarkStart w:id="449" w:name="_Toc7097"/>
      <w:r>
        <w:rPr>
          <w:rFonts w:hint="eastAsia" w:eastAsiaTheme="minorEastAsia"/>
          <w:sz w:val="44"/>
          <w:szCs w:val="44"/>
        </w:rPr>
        <w:t>第</w:t>
      </w:r>
      <w:r>
        <w:rPr>
          <w:rFonts w:hint="eastAsia" w:eastAsiaTheme="minorEastAsia"/>
          <w:sz w:val="44"/>
          <w:szCs w:val="44"/>
          <w:lang w:eastAsia="zh-CN"/>
        </w:rPr>
        <w:t>四</w:t>
      </w:r>
      <w:r>
        <w:rPr>
          <w:rFonts w:hint="eastAsia" w:eastAsiaTheme="minorEastAsia"/>
          <w:sz w:val="44"/>
          <w:szCs w:val="44"/>
        </w:rPr>
        <w:t>章</w:t>
      </w:r>
      <w:r>
        <w:rPr>
          <w:rFonts w:hint="default" w:eastAsiaTheme="minorEastAsia"/>
          <w:sz w:val="44"/>
          <w:szCs w:val="44"/>
        </w:rPr>
        <w:t xml:space="preserve"> </w:t>
      </w:r>
      <w:r>
        <w:rPr>
          <w:rFonts w:hint="eastAsia" w:eastAsiaTheme="minorEastAsia"/>
          <w:sz w:val="44"/>
          <w:szCs w:val="44"/>
        </w:rPr>
        <w:t>评比办法</w:t>
      </w:r>
      <w:bookmarkEnd w:id="441"/>
      <w:bookmarkEnd w:id="442"/>
      <w:bookmarkEnd w:id="443"/>
      <w:bookmarkEnd w:id="444"/>
      <w:bookmarkEnd w:id="445"/>
      <w:bookmarkEnd w:id="446"/>
      <w:bookmarkEnd w:id="447"/>
      <w:bookmarkEnd w:id="448"/>
      <w:bookmarkEnd w:id="449"/>
    </w:p>
    <w:p w14:paraId="77618FE0">
      <w:pPr>
        <w:pStyle w:val="7"/>
        <w:spacing w:before="0" w:after="0" w:line="360" w:lineRule="auto"/>
        <w:ind w:firstLine="643" w:firstLineChars="200"/>
        <w:rPr>
          <w:rFonts w:ascii="Times New Roman" w:hAnsi="Times New Roman" w:eastAsiaTheme="minorEastAsia"/>
          <w:b/>
          <w:sz w:val="32"/>
          <w:szCs w:val="32"/>
        </w:rPr>
      </w:pPr>
      <w:bookmarkStart w:id="450" w:name="_Toc31781"/>
      <w:bookmarkStart w:id="451" w:name="_Toc3280"/>
      <w:bookmarkStart w:id="452" w:name="_Toc16164"/>
      <w:bookmarkStart w:id="453" w:name="_Toc3628"/>
      <w:bookmarkStart w:id="454" w:name="_Toc20732"/>
      <w:bookmarkStart w:id="455" w:name="_Toc27505"/>
      <w:bookmarkStart w:id="456" w:name="_Toc2674"/>
      <w:bookmarkStart w:id="457" w:name="_Toc1428"/>
      <w:bookmarkStart w:id="458" w:name="_Toc31136"/>
      <w:r>
        <w:rPr>
          <w:rFonts w:ascii="Times New Roman" w:hAnsi="Times New Roman" w:eastAsiaTheme="minorEastAsia"/>
          <w:b/>
          <w:sz w:val="32"/>
          <w:szCs w:val="32"/>
        </w:rPr>
        <w:t>一、评比</w:t>
      </w:r>
      <w:bookmarkEnd w:id="450"/>
      <w:bookmarkEnd w:id="451"/>
      <w:bookmarkEnd w:id="452"/>
      <w:bookmarkEnd w:id="453"/>
      <w:bookmarkEnd w:id="454"/>
      <w:bookmarkEnd w:id="455"/>
      <w:bookmarkEnd w:id="456"/>
      <w:bookmarkEnd w:id="457"/>
      <w:bookmarkEnd w:id="458"/>
    </w:p>
    <w:p w14:paraId="65C1A597">
      <w:pPr>
        <w:spacing w:line="360" w:lineRule="auto"/>
        <w:ind w:right="-21" w:firstLine="482" w:firstLineChars="200"/>
        <w:jc w:val="left"/>
        <w:outlineLvl w:val="9"/>
        <w:rPr>
          <w:rFonts w:eastAsiaTheme="minorEastAsia"/>
          <w:b/>
          <w:bCs/>
          <w:sz w:val="24"/>
        </w:rPr>
      </w:pPr>
      <w:r>
        <w:rPr>
          <w:rFonts w:eastAsiaTheme="minorEastAsia"/>
          <w:b/>
          <w:bCs/>
          <w:sz w:val="24"/>
        </w:rPr>
        <w:t>1.评比委员会</w:t>
      </w:r>
    </w:p>
    <w:p w14:paraId="70CD4B03">
      <w:pPr>
        <w:spacing w:line="360" w:lineRule="auto"/>
        <w:ind w:right="-21" w:firstLine="720" w:firstLineChars="300"/>
        <w:jc w:val="left"/>
        <w:outlineLvl w:val="9"/>
        <w:rPr>
          <w:rFonts w:hint="eastAsia" w:eastAsiaTheme="minorEastAsia"/>
          <w:sz w:val="24"/>
          <w:lang w:eastAsia="zh-CN"/>
        </w:rPr>
      </w:pPr>
      <w:r>
        <w:rPr>
          <w:rFonts w:eastAsiaTheme="minorEastAsia"/>
          <w:sz w:val="24"/>
        </w:rPr>
        <w:t>1.1本项目的评比委员会由</w:t>
      </w:r>
      <w:r>
        <w:rPr>
          <w:rFonts w:hint="eastAsia" w:eastAsiaTheme="minorEastAsia"/>
          <w:sz w:val="24"/>
          <w:lang w:val="en-US" w:eastAsia="zh-CN"/>
        </w:rPr>
        <w:t>3</w:t>
      </w:r>
      <w:r>
        <w:rPr>
          <w:rFonts w:hint="eastAsia" w:eastAsiaTheme="minorEastAsia"/>
          <w:sz w:val="24"/>
        </w:rPr>
        <w:t>名经济、技术专家组成</w:t>
      </w:r>
      <w:r>
        <w:rPr>
          <w:rFonts w:eastAsiaTheme="minorEastAsia"/>
          <w:sz w:val="24"/>
        </w:rPr>
        <w:t>。</w:t>
      </w:r>
    </w:p>
    <w:p w14:paraId="4FF48129">
      <w:pPr>
        <w:spacing w:line="360" w:lineRule="auto"/>
        <w:ind w:right="-21" w:firstLine="720" w:firstLineChars="300"/>
        <w:jc w:val="left"/>
        <w:rPr>
          <w:rFonts w:eastAsiaTheme="minorEastAsia"/>
          <w:sz w:val="24"/>
        </w:rPr>
      </w:pPr>
      <w:r>
        <w:rPr>
          <w:rFonts w:eastAsiaTheme="minorEastAsia"/>
          <w:sz w:val="24"/>
        </w:rPr>
        <w:t>1.2评比委员会成员独立、客观、公正地履行职责，遵守职业道德，对所提出的评比意见承担个人责任；评比委员会成员应对整个评比活动保密。</w:t>
      </w:r>
    </w:p>
    <w:p w14:paraId="18EB9A63">
      <w:pPr>
        <w:spacing w:line="360" w:lineRule="auto"/>
        <w:ind w:right="-21" w:firstLine="720" w:firstLineChars="300"/>
        <w:jc w:val="left"/>
        <w:rPr>
          <w:rFonts w:eastAsiaTheme="minorEastAsia"/>
          <w:sz w:val="24"/>
        </w:rPr>
      </w:pPr>
      <w:r>
        <w:rPr>
          <w:rFonts w:eastAsiaTheme="minorEastAsia"/>
          <w:sz w:val="24"/>
        </w:rPr>
        <w:t>1.3评比委员会成员不得在比选期间私下接触参加比选的参选人员，不得接受参选人或相关人员的任何馈赠，不得参加参选人以任何形式组织的宴请、娱乐、旅游等活动，不得透露与评比工作有关的内容情况。比选人应当对参选人报送的文件内容保密，比选人及参与者不得泄露。如果参加竞争的参选人试图采用不正当手段对评委施加影响，取消其比选资格。</w:t>
      </w:r>
    </w:p>
    <w:p w14:paraId="0D8222A2">
      <w:pPr>
        <w:spacing w:line="360" w:lineRule="auto"/>
        <w:ind w:firstLine="720" w:firstLineChars="300"/>
        <w:rPr>
          <w:rFonts w:eastAsiaTheme="minorEastAsia"/>
          <w:sz w:val="24"/>
        </w:rPr>
      </w:pPr>
      <w:r>
        <w:rPr>
          <w:rFonts w:eastAsiaTheme="minorEastAsia"/>
          <w:sz w:val="24"/>
        </w:rPr>
        <w:t>1.4严禁任何单位或个人以任何形式操纵、干预评比过程和评比结果。</w:t>
      </w:r>
    </w:p>
    <w:p w14:paraId="245F8469">
      <w:pPr>
        <w:numPr>
          <w:ilvl w:val="-1"/>
          <w:numId w:val="0"/>
        </w:numPr>
        <w:ind w:left="479" w:leftChars="228" w:right="-21" w:firstLine="0" w:firstLineChars="0"/>
        <w:jc w:val="left"/>
        <w:outlineLvl w:val="9"/>
        <w:rPr>
          <w:rFonts w:hint="eastAsia" w:eastAsiaTheme="minorEastAsia"/>
          <w:b/>
          <w:bCs/>
          <w:sz w:val="24"/>
          <w:lang w:val="en-US" w:eastAsia="zh-CN"/>
        </w:rPr>
      </w:pPr>
      <w:bookmarkStart w:id="459" w:name="_Toc310318596"/>
      <w:r>
        <w:rPr>
          <w:rFonts w:hint="eastAsia" w:eastAsiaTheme="minorEastAsia"/>
          <w:b/>
          <w:bCs/>
          <w:sz w:val="24"/>
          <w:lang w:eastAsia="zh-CN"/>
        </w:rPr>
        <w:t>2</w:t>
      </w:r>
      <w:r>
        <w:rPr>
          <w:rFonts w:eastAsiaTheme="minorEastAsia"/>
          <w:b/>
          <w:bCs/>
          <w:sz w:val="24"/>
        </w:rPr>
        <w:t>评比</w:t>
      </w:r>
      <w:bookmarkEnd w:id="459"/>
      <w:r>
        <w:rPr>
          <w:rFonts w:hint="eastAsia" w:eastAsiaTheme="minorEastAsia"/>
          <w:b/>
          <w:bCs/>
          <w:sz w:val="24"/>
          <w:lang w:val="en-US" w:eastAsia="zh-CN"/>
        </w:rPr>
        <w:t>流程</w:t>
      </w:r>
    </w:p>
    <w:p w14:paraId="6C226407">
      <w:pPr>
        <w:spacing w:line="360" w:lineRule="auto"/>
        <w:ind w:right="-21" w:firstLine="720" w:firstLineChars="300"/>
        <w:jc w:val="left"/>
        <w:rPr>
          <w:rFonts w:eastAsiaTheme="minorEastAsia"/>
          <w:b/>
          <w:bCs/>
          <w:sz w:val="24"/>
        </w:rPr>
      </w:pPr>
      <w:r>
        <w:rPr>
          <w:rFonts w:hint="default" w:ascii="Times New Roman" w:hAnsi="Times New Roman" w:cs="Times New Roman" w:eastAsiaTheme="minorEastAsia"/>
          <w:sz w:val="24"/>
          <w:szCs w:val="24"/>
          <w:lang w:val="en-US" w:eastAsia="zh-CN"/>
        </w:rPr>
        <w:t>2</w:t>
      </w:r>
      <w:r>
        <w:rPr>
          <w:rFonts w:ascii="Times New Roman" w:hAnsi="Times New Roman" w:cs="Times New Roman" w:eastAsiaTheme="minorEastAsia"/>
          <w:sz w:val="24"/>
          <w:szCs w:val="24"/>
        </w:rPr>
        <w:t>.1</w:t>
      </w:r>
      <w:r>
        <w:rPr>
          <w:rFonts w:hint="default" w:ascii="Times New Roman" w:hAnsi="Times New Roman" w:eastAsiaTheme="minorEastAsia"/>
          <w:sz w:val="24"/>
          <w:szCs w:val="24"/>
        </w:rPr>
        <w:t>比选人将于</w:t>
      </w:r>
      <w:r>
        <w:rPr>
          <w:rFonts w:eastAsiaTheme="minorEastAsia"/>
          <w:sz w:val="24"/>
        </w:rPr>
        <w:t>比选须知</w:t>
      </w:r>
      <w:r>
        <w:rPr>
          <w:rFonts w:hint="default" w:ascii="Times New Roman" w:hAnsi="Times New Roman" w:eastAsiaTheme="minorEastAsia"/>
          <w:sz w:val="24"/>
          <w:szCs w:val="24"/>
        </w:rPr>
        <w:t>前附表第13、14</w:t>
      </w:r>
      <w:r>
        <w:rPr>
          <w:rFonts w:ascii="Times New Roman" w:hAnsi="Times New Roman" w:eastAsiaTheme="minorEastAsia"/>
          <w:sz w:val="24"/>
          <w:szCs w:val="24"/>
        </w:rPr>
        <w:t>项规定的时间</w:t>
      </w:r>
      <w:r>
        <w:rPr>
          <w:rFonts w:hint="default" w:ascii="Times New Roman" w:hAnsi="Times New Roman" w:eastAsiaTheme="minorEastAsia"/>
          <w:sz w:val="24"/>
          <w:szCs w:val="24"/>
        </w:rPr>
        <w:t>、</w:t>
      </w:r>
      <w:r>
        <w:rPr>
          <w:rFonts w:ascii="Times New Roman" w:hAnsi="Times New Roman" w:eastAsiaTheme="minorEastAsia"/>
          <w:sz w:val="24"/>
          <w:szCs w:val="24"/>
        </w:rPr>
        <w:t>地点</w:t>
      </w:r>
      <w:r>
        <w:rPr>
          <w:rFonts w:hint="default" w:ascii="Times New Roman" w:hAnsi="Times New Roman" w:eastAsiaTheme="minorEastAsia"/>
          <w:sz w:val="24"/>
          <w:szCs w:val="24"/>
        </w:rPr>
        <w:t>递交比选申请文件，</w:t>
      </w:r>
      <w:r>
        <w:rPr>
          <w:rFonts w:ascii="Times New Roman" w:hAnsi="Times New Roman" w:eastAsiaTheme="minorEastAsia"/>
          <w:sz w:val="24"/>
          <w:szCs w:val="24"/>
        </w:rPr>
        <w:t>参加评比的比选申请人负责人或授权委托代理人应签名报到，并携带有效证明材料前往，以证实其身份。如比选申请人负责人或授权代理人未能在前附表第</w:t>
      </w:r>
      <w:r>
        <w:rPr>
          <w:rFonts w:hint="default" w:ascii="Times New Roman" w:hAnsi="Times New Roman" w:eastAsiaTheme="minorEastAsia"/>
          <w:sz w:val="24"/>
          <w:szCs w:val="24"/>
        </w:rPr>
        <w:t>13、14</w:t>
      </w:r>
      <w:r>
        <w:rPr>
          <w:rFonts w:ascii="Times New Roman" w:hAnsi="Times New Roman" w:eastAsiaTheme="minorEastAsia"/>
          <w:sz w:val="24"/>
          <w:szCs w:val="24"/>
        </w:rPr>
        <w:t>项所述的时间</w:t>
      </w:r>
      <w:r>
        <w:rPr>
          <w:rFonts w:hint="default" w:ascii="Times New Roman" w:hAnsi="Times New Roman" w:eastAsiaTheme="minorEastAsia"/>
          <w:sz w:val="24"/>
          <w:szCs w:val="24"/>
        </w:rPr>
        <w:t>、地点递交材料</w:t>
      </w:r>
      <w:r>
        <w:rPr>
          <w:rFonts w:ascii="Times New Roman" w:hAnsi="Times New Roman" w:eastAsiaTheme="minorEastAsia"/>
          <w:sz w:val="24"/>
          <w:szCs w:val="24"/>
        </w:rPr>
        <w:t>并证明其身份，将视同其放弃本次评比机会。</w:t>
      </w:r>
    </w:p>
    <w:p w14:paraId="575BCE5D">
      <w:pPr>
        <w:spacing w:line="360" w:lineRule="auto"/>
        <w:ind w:right="-21" w:firstLine="720" w:firstLineChars="300"/>
        <w:jc w:val="left"/>
        <w:outlineLvl w:val="9"/>
        <w:rPr>
          <w:rFonts w:hint="eastAsia" w:eastAsiaTheme="minorEastAsia"/>
          <w:sz w:val="24"/>
          <w:lang w:eastAsia="zh-CN"/>
        </w:rPr>
      </w:pPr>
      <w:r>
        <w:rPr>
          <w:rFonts w:eastAsiaTheme="minorEastAsia"/>
          <w:sz w:val="24"/>
        </w:rPr>
        <w:t>2.2评比</w:t>
      </w:r>
      <w:r>
        <w:rPr>
          <w:rFonts w:hint="eastAsia" w:eastAsiaTheme="minorEastAsia"/>
          <w:sz w:val="24"/>
          <w:lang w:val="en-US" w:eastAsia="zh-CN"/>
        </w:rPr>
        <w:t>会议</w:t>
      </w:r>
      <w:r>
        <w:rPr>
          <w:rFonts w:eastAsiaTheme="minorEastAsia"/>
          <w:sz w:val="24"/>
        </w:rPr>
        <w:t>程序</w:t>
      </w:r>
      <w:r>
        <w:rPr>
          <w:rFonts w:hint="eastAsia" w:eastAsiaTheme="minorEastAsia"/>
          <w:sz w:val="24"/>
          <w:lang w:eastAsia="zh-CN"/>
        </w:rPr>
        <w:t>：</w:t>
      </w:r>
    </w:p>
    <w:p w14:paraId="6FBDB0D2">
      <w:pPr>
        <w:spacing w:line="360" w:lineRule="auto"/>
        <w:ind w:right="-21" w:firstLine="720" w:firstLineChars="300"/>
        <w:jc w:val="left"/>
        <w:rPr>
          <w:rFonts w:hint="eastAsia" w:eastAsiaTheme="minorEastAsia"/>
          <w:sz w:val="24"/>
        </w:rPr>
      </w:pPr>
      <w:r>
        <w:rPr>
          <w:rFonts w:eastAsiaTheme="minorEastAsia"/>
          <w:sz w:val="24"/>
        </w:rPr>
        <w:t>2.2.</w:t>
      </w:r>
      <w:r>
        <w:rPr>
          <w:rFonts w:hint="eastAsia" w:eastAsiaTheme="minorEastAsia"/>
          <w:sz w:val="24"/>
          <w:lang w:val="en-US" w:eastAsia="zh-CN"/>
        </w:rPr>
        <w:t>1</w:t>
      </w:r>
      <w:r>
        <w:rPr>
          <w:rFonts w:hint="eastAsia" w:eastAsiaTheme="minorEastAsia"/>
          <w:sz w:val="24"/>
        </w:rPr>
        <w:t>由主持人宣布评比会议开始，</w:t>
      </w:r>
      <w:r>
        <w:rPr>
          <w:rFonts w:eastAsiaTheme="minorEastAsia"/>
          <w:sz w:val="24"/>
        </w:rPr>
        <w:t>评比委员会确认文件是否</w:t>
      </w:r>
      <w:r>
        <w:rPr>
          <w:rFonts w:hint="eastAsia" w:eastAsiaTheme="minorEastAsia"/>
          <w:sz w:val="24"/>
        </w:rPr>
        <w:t>按规定</w:t>
      </w:r>
      <w:r>
        <w:rPr>
          <w:rFonts w:eastAsiaTheme="minorEastAsia"/>
          <w:sz w:val="24"/>
        </w:rPr>
        <w:t>密封</w:t>
      </w:r>
      <w:r>
        <w:rPr>
          <w:rFonts w:hint="eastAsia" w:eastAsiaTheme="minorEastAsia"/>
          <w:sz w:val="24"/>
        </w:rPr>
        <w:t>。</w:t>
      </w:r>
    </w:p>
    <w:p w14:paraId="361CAC31">
      <w:pPr>
        <w:spacing w:line="360" w:lineRule="auto"/>
        <w:ind w:right="-21" w:firstLine="720" w:firstLineChars="300"/>
        <w:jc w:val="left"/>
        <w:outlineLvl w:val="9"/>
        <w:rPr>
          <w:rFonts w:hint="eastAsia" w:eastAsiaTheme="minorEastAsia"/>
          <w:sz w:val="24"/>
          <w:lang w:val="en-US" w:eastAsia="zh-CN"/>
        </w:rPr>
      </w:pPr>
      <w:r>
        <w:rPr>
          <w:rFonts w:hint="eastAsia" w:eastAsiaTheme="minorEastAsia"/>
          <w:color w:val="auto"/>
          <w:sz w:val="24"/>
          <w:lang w:val="en-US" w:eastAsia="zh-CN"/>
        </w:rPr>
        <w:t>2.2.</w:t>
      </w:r>
      <w:r>
        <w:rPr>
          <w:rFonts w:hint="eastAsia" w:eastAsiaTheme="minorEastAsia"/>
          <w:sz w:val="24"/>
          <w:lang w:val="en-US" w:eastAsia="zh-CN"/>
        </w:rPr>
        <w:t>2评比委员会启封比选申请文件，并进行评审。</w:t>
      </w:r>
    </w:p>
    <w:p w14:paraId="63EB25D0">
      <w:pPr>
        <w:spacing w:line="360" w:lineRule="auto"/>
        <w:ind w:right="-21" w:firstLine="720" w:firstLineChars="300"/>
        <w:jc w:val="left"/>
        <w:rPr>
          <w:rFonts w:hint="eastAsia" w:eastAsiaTheme="minorEastAsia"/>
          <w:sz w:val="24"/>
          <w:lang w:eastAsia="zh-CN"/>
        </w:rPr>
      </w:pPr>
      <w:r>
        <w:rPr>
          <w:rFonts w:hint="eastAsia" w:eastAsiaTheme="minorEastAsia"/>
          <w:color w:val="auto"/>
          <w:sz w:val="24"/>
          <w:lang w:val="en-US" w:eastAsia="zh-CN"/>
        </w:rPr>
        <w:t>2.2.3</w:t>
      </w:r>
      <w:r>
        <w:rPr>
          <w:rFonts w:hint="eastAsia" w:eastAsiaTheme="minorEastAsia"/>
          <w:sz w:val="24"/>
          <w:lang w:eastAsia="zh-CN"/>
        </w:rPr>
        <w:t>评比委员会先对比选申请文件进行资格审查，审查合格后，再进行技术部分和商务部分评审。</w:t>
      </w:r>
      <w:r>
        <w:rPr>
          <w:rFonts w:asciiTheme="minorEastAsia" w:hAnsiTheme="minorEastAsia" w:eastAsiaTheme="minorEastAsia"/>
          <w:b/>
          <w:bCs/>
          <w:color w:val="auto"/>
          <w:szCs w:val="21"/>
          <w:highlight w:val="none"/>
        </w:rPr>
        <w:t>评审标准详见附表一《资格审查表》。</w:t>
      </w:r>
    </w:p>
    <w:p w14:paraId="1BE07405">
      <w:pPr>
        <w:spacing w:line="360" w:lineRule="auto"/>
        <w:ind w:right="-21" w:firstLine="720" w:firstLineChars="300"/>
        <w:jc w:val="left"/>
        <w:rPr>
          <w:rFonts w:hint="default" w:eastAsiaTheme="minorEastAsia"/>
          <w:sz w:val="24"/>
          <w:lang w:val="en-US" w:eastAsia="zh-CN"/>
        </w:rPr>
      </w:pPr>
      <w:r>
        <w:rPr>
          <w:rFonts w:hint="eastAsia" w:eastAsiaTheme="minorEastAsia"/>
          <w:color w:val="auto"/>
          <w:sz w:val="24"/>
          <w:highlight w:val="none"/>
          <w:lang w:val="en-US" w:eastAsia="zh-CN"/>
        </w:rPr>
        <w:t>2.2.4</w:t>
      </w:r>
      <w:r>
        <w:rPr>
          <w:rFonts w:hint="eastAsia" w:eastAsiaTheme="minorEastAsia"/>
          <w:color w:val="auto"/>
          <w:sz w:val="24"/>
          <w:lang w:val="en-US" w:eastAsia="zh-CN"/>
        </w:rPr>
        <w:t>评分汇总:技术和商务部分得分即为比选申请人评分综合得分。各项指标的分数计算四舍五入，取小数点后两位。</w:t>
      </w:r>
    </w:p>
    <w:p w14:paraId="4CAF1F81">
      <w:pPr>
        <w:spacing w:line="240" w:lineRule="auto"/>
        <w:ind w:right="-23" w:firstLine="720" w:firstLineChars="300"/>
        <w:jc w:val="left"/>
        <w:rPr>
          <w:rFonts w:eastAsiaTheme="minorEastAsia"/>
          <w:b w:val="0"/>
          <w:sz w:val="24"/>
        </w:rPr>
      </w:pPr>
      <w:r>
        <w:rPr>
          <w:rFonts w:eastAsiaTheme="minorEastAsia"/>
          <w:sz w:val="24"/>
        </w:rPr>
        <w:t>2.2.</w:t>
      </w:r>
      <w:r>
        <w:rPr>
          <w:rFonts w:hint="eastAsia" w:eastAsiaTheme="minorEastAsia"/>
          <w:sz w:val="24"/>
          <w:lang w:val="en-US" w:eastAsia="zh-CN"/>
        </w:rPr>
        <w:t>5</w:t>
      </w:r>
      <w:r>
        <w:rPr>
          <w:rFonts w:eastAsiaTheme="minorEastAsia"/>
          <w:sz w:val="24"/>
        </w:rPr>
        <w:t>在评比过程中，评比委员、记录人等有关人员在比选记录表上签字确认</w:t>
      </w:r>
      <w:r>
        <w:rPr>
          <w:rFonts w:hint="default" w:eastAsiaTheme="minorEastAsia"/>
          <w:sz w:val="24"/>
          <w:lang w:eastAsia="zh-CN"/>
        </w:rPr>
        <w:t>，</w:t>
      </w:r>
      <w:r>
        <w:rPr>
          <w:rFonts w:hint="default" w:ascii="Times New Roman" w:hAnsi="Times New Roman" w:cs="Times New Roman" w:eastAsiaTheme="minorEastAsia"/>
          <w:color w:val="auto"/>
          <w:sz w:val="24"/>
          <w:szCs w:val="24"/>
        </w:rPr>
        <w:t>主持人宣读比选结果。</w:t>
      </w:r>
    </w:p>
    <w:p w14:paraId="0198C0AF">
      <w:pPr>
        <w:spacing w:line="360" w:lineRule="auto"/>
        <w:ind w:right="-21" w:firstLine="720" w:firstLineChars="300"/>
        <w:jc w:val="left"/>
        <w:outlineLvl w:val="9"/>
        <w:rPr>
          <w:rFonts w:eastAsiaTheme="minorEastAsia"/>
          <w:sz w:val="24"/>
        </w:rPr>
      </w:pPr>
      <w:r>
        <w:rPr>
          <w:rFonts w:eastAsiaTheme="minorEastAsia"/>
          <w:sz w:val="24"/>
        </w:rPr>
        <w:t>2.2.</w:t>
      </w:r>
      <w:r>
        <w:rPr>
          <w:rFonts w:hint="eastAsia" w:eastAsiaTheme="minorEastAsia"/>
          <w:sz w:val="24"/>
          <w:lang w:val="en-US" w:eastAsia="zh-CN"/>
        </w:rPr>
        <w:t>6</w:t>
      </w:r>
      <w:r>
        <w:rPr>
          <w:rFonts w:eastAsiaTheme="minorEastAsia"/>
          <w:sz w:val="24"/>
        </w:rPr>
        <w:t>评比结束。</w:t>
      </w:r>
    </w:p>
    <w:p w14:paraId="0D1C9CCB">
      <w:pPr>
        <w:spacing w:line="360" w:lineRule="auto"/>
        <w:ind w:right="753" w:firstLine="482" w:firstLineChars="200"/>
        <w:jc w:val="left"/>
        <w:outlineLvl w:val="9"/>
        <w:rPr>
          <w:rFonts w:eastAsiaTheme="minorEastAsia"/>
          <w:b/>
          <w:bCs/>
          <w:sz w:val="24"/>
        </w:rPr>
      </w:pPr>
      <w:bookmarkStart w:id="460" w:name="_Toc114052439"/>
      <w:bookmarkStart w:id="461" w:name="_Toc286386859"/>
      <w:bookmarkStart w:id="462" w:name="_Toc310318597"/>
      <w:bookmarkStart w:id="463" w:name="_Toc114052375"/>
      <w:r>
        <w:rPr>
          <w:rFonts w:eastAsiaTheme="minorEastAsia"/>
          <w:b/>
          <w:bCs/>
          <w:sz w:val="24"/>
        </w:rPr>
        <w:t>3.评比</w:t>
      </w:r>
      <w:bookmarkEnd w:id="460"/>
      <w:bookmarkEnd w:id="461"/>
      <w:bookmarkEnd w:id="462"/>
      <w:bookmarkEnd w:id="463"/>
      <w:r>
        <w:rPr>
          <w:rFonts w:eastAsiaTheme="minorEastAsia"/>
          <w:b/>
          <w:bCs/>
          <w:sz w:val="24"/>
        </w:rPr>
        <w:t>工作相关要求</w:t>
      </w:r>
    </w:p>
    <w:p w14:paraId="311BFAD9">
      <w:pPr>
        <w:ind w:right="-21" w:firstLine="480" w:firstLineChars="200"/>
        <w:jc w:val="left"/>
        <w:outlineLvl w:val="9"/>
        <w:rPr>
          <w:rFonts w:eastAsiaTheme="minorEastAsia"/>
          <w:sz w:val="24"/>
        </w:rPr>
      </w:pPr>
      <w:r>
        <w:rPr>
          <w:rFonts w:eastAsiaTheme="minorEastAsia"/>
          <w:sz w:val="24"/>
        </w:rPr>
        <w:t>3.1本次比选的工作由评比委员会负责。</w:t>
      </w:r>
    </w:p>
    <w:p w14:paraId="430119F6">
      <w:pPr>
        <w:spacing w:line="240" w:lineRule="auto"/>
        <w:ind w:right="-21" w:firstLine="480" w:firstLineChars="200"/>
        <w:jc w:val="left"/>
        <w:rPr>
          <w:rFonts w:eastAsiaTheme="minorEastAsia"/>
          <w:sz w:val="24"/>
        </w:rPr>
      </w:pPr>
      <w:r>
        <w:rPr>
          <w:rFonts w:hint="eastAsia" w:eastAsiaTheme="minorEastAsia"/>
          <w:sz w:val="24"/>
          <w:szCs w:val="24"/>
          <w:lang w:val="en-US" w:eastAsia="zh-CN"/>
        </w:rPr>
        <w:t>3</w:t>
      </w:r>
      <w:r>
        <w:rPr>
          <w:rFonts w:hint="default" w:ascii="Times New Roman" w:hAnsi="Times New Roman" w:eastAsiaTheme="minorEastAsia"/>
          <w:sz w:val="24"/>
          <w:szCs w:val="24"/>
        </w:rPr>
        <w:t>.2出现下列特殊情况之一，本次比选无效，</w:t>
      </w:r>
      <w:r>
        <w:rPr>
          <w:rFonts w:hint="eastAsia" w:eastAsiaTheme="minorEastAsia"/>
          <w:sz w:val="24"/>
          <w:szCs w:val="24"/>
          <w:lang w:val="en-US" w:eastAsia="zh-CN"/>
        </w:rPr>
        <w:t>比选人</w:t>
      </w:r>
      <w:r>
        <w:rPr>
          <w:rFonts w:hint="default" w:ascii="Times New Roman" w:hAnsi="Times New Roman" w:eastAsiaTheme="minorEastAsia"/>
          <w:sz w:val="24"/>
          <w:szCs w:val="24"/>
        </w:rPr>
        <w:t>将重新组织比选：</w:t>
      </w:r>
    </w:p>
    <w:p w14:paraId="0184E6A5">
      <w:pPr>
        <w:ind w:right="-21" w:firstLine="480" w:firstLineChars="200"/>
        <w:jc w:val="left"/>
        <w:rPr>
          <w:rFonts w:hint="eastAsia" w:eastAsiaTheme="minorEastAsia"/>
          <w:sz w:val="24"/>
        </w:rPr>
      </w:pPr>
      <w:r>
        <w:rPr>
          <w:rFonts w:eastAsiaTheme="minorEastAsia"/>
          <w:sz w:val="24"/>
        </w:rPr>
        <w:t>3.</w:t>
      </w:r>
      <w:r>
        <w:rPr>
          <w:rFonts w:hint="default" w:eastAsiaTheme="minorEastAsia"/>
          <w:sz w:val="24"/>
          <w:lang w:val="en-US"/>
        </w:rPr>
        <w:t>2</w:t>
      </w:r>
      <w:r>
        <w:rPr>
          <w:rFonts w:hint="eastAsia" w:eastAsiaTheme="minorEastAsia"/>
          <w:sz w:val="24"/>
          <w:lang w:val="en-US" w:eastAsia="zh-CN"/>
        </w:rPr>
        <w:t>.1</w:t>
      </w:r>
      <w:r>
        <w:rPr>
          <w:rFonts w:eastAsiaTheme="minorEastAsia"/>
          <w:sz w:val="24"/>
        </w:rPr>
        <w:t>在比选申请文件递交截止时间到达时提交比选申请文件的比选申请人少于3家的</w:t>
      </w:r>
      <w:r>
        <w:rPr>
          <w:rFonts w:hint="eastAsia" w:eastAsiaTheme="minorEastAsia"/>
          <w:sz w:val="24"/>
          <w:lang w:eastAsia="zh-CN"/>
        </w:rPr>
        <w:t>；</w:t>
      </w:r>
    </w:p>
    <w:p w14:paraId="71AB1835">
      <w:pPr>
        <w:spacing w:line="360" w:lineRule="auto"/>
        <w:ind w:right="-21" w:firstLine="480" w:firstLineChars="200"/>
        <w:jc w:val="left"/>
        <w:rPr>
          <w:rFonts w:ascii="Times New Roman" w:hAnsi="Times New Roman" w:eastAsiaTheme="minorEastAsia"/>
          <w:sz w:val="24"/>
          <w:szCs w:val="24"/>
        </w:rPr>
      </w:pPr>
      <w:r>
        <w:rPr>
          <w:rFonts w:hint="default" w:ascii="Times New Roman" w:hAnsi="Times New Roman" w:eastAsiaTheme="minorEastAsia"/>
          <w:sz w:val="24"/>
          <w:szCs w:val="24"/>
          <w:lang w:val="en-US" w:eastAsia="zh-CN"/>
        </w:rPr>
        <w:t>3</w:t>
      </w:r>
      <w:r>
        <w:rPr>
          <w:rFonts w:hint="default" w:ascii="Times New Roman" w:hAnsi="Times New Roman" w:eastAsiaTheme="minorEastAsia"/>
          <w:sz w:val="24"/>
          <w:szCs w:val="24"/>
        </w:rPr>
        <w:t>.</w:t>
      </w:r>
      <w:r>
        <w:rPr>
          <w:rFonts w:hint="eastAsia" w:eastAsiaTheme="minorEastAsia"/>
          <w:sz w:val="24"/>
          <w:szCs w:val="24"/>
          <w:lang w:val="en-US" w:eastAsia="zh-CN"/>
        </w:rPr>
        <w:t>2.2</w:t>
      </w:r>
      <w:r>
        <w:rPr>
          <w:rFonts w:hint="default" w:ascii="Times New Roman" w:hAnsi="Times New Roman" w:eastAsiaTheme="minorEastAsia"/>
          <w:sz w:val="24"/>
          <w:szCs w:val="24"/>
        </w:rPr>
        <w:t>比选申请文件有效的比选申请人仅有2家，且评委认为没有竞争力的；</w:t>
      </w:r>
    </w:p>
    <w:p w14:paraId="048163BE">
      <w:pPr>
        <w:spacing w:line="360" w:lineRule="auto"/>
        <w:ind w:right="-21" w:firstLine="480" w:firstLineChars="200"/>
        <w:jc w:val="left"/>
        <w:outlineLvl w:val="9"/>
        <w:rPr>
          <w:rFonts w:hint="default" w:ascii="Times New Roman" w:hAnsi="Times New Roman" w:eastAsiaTheme="minorEastAsia"/>
          <w:sz w:val="24"/>
          <w:szCs w:val="24"/>
        </w:rPr>
      </w:pPr>
      <w:r>
        <w:rPr>
          <w:rFonts w:hint="default" w:ascii="Times New Roman" w:hAnsi="Times New Roman" w:eastAsiaTheme="minorEastAsia"/>
          <w:sz w:val="24"/>
          <w:szCs w:val="24"/>
          <w:lang w:val="en-US" w:eastAsia="zh-CN"/>
        </w:rPr>
        <w:t>3</w:t>
      </w:r>
      <w:r>
        <w:rPr>
          <w:rFonts w:hint="default" w:ascii="Times New Roman" w:hAnsi="Times New Roman" w:eastAsiaTheme="minorEastAsia"/>
          <w:sz w:val="24"/>
          <w:szCs w:val="24"/>
        </w:rPr>
        <w:t>.</w:t>
      </w:r>
      <w:r>
        <w:rPr>
          <w:rFonts w:hint="eastAsia" w:eastAsiaTheme="minorEastAsia"/>
          <w:sz w:val="24"/>
          <w:szCs w:val="24"/>
          <w:lang w:val="en-US" w:eastAsia="zh-CN"/>
        </w:rPr>
        <w:t>2.3</w:t>
      </w:r>
      <w:r>
        <w:rPr>
          <w:rFonts w:hint="default" w:ascii="Times New Roman" w:hAnsi="Times New Roman" w:eastAsiaTheme="minorEastAsia"/>
          <w:sz w:val="24"/>
          <w:szCs w:val="24"/>
        </w:rPr>
        <w:t>有效比选申请文件只有1家或0家的；</w:t>
      </w:r>
    </w:p>
    <w:p w14:paraId="646FAA3F">
      <w:pPr>
        <w:spacing w:line="360" w:lineRule="auto"/>
        <w:ind w:right="-21" w:firstLine="480" w:firstLineChars="200"/>
        <w:jc w:val="lef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3</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3</w:t>
      </w:r>
      <w:r>
        <w:rPr>
          <w:rFonts w:hint="default" w:ascii="Times New Roman" w:hAnsi="Times New Roman" w:cs="Times New Roman" w:eastAsiaTheme="minorEastAsia"/>
          <w:sz w:val="24"/>
          <w:szCs w:val="24"/>
        </w:rPr>
        <w:t>重新比选后，有效比选申请文件只有1家或0家的，比选人可将此项目更改其他采购方式进行采购。</w:t>
      </w:r>
    </w:p>
    <w:p w14:paraId="523FD77B">
      <w:pPr>
        <w:spacing w:line="360" w:lineRule="auto"/>
        <w:ind w:right="-21" w:firstLine="480" w:firstLineChars="200"/>
        <w:jc w:val="left"/>
        <w:rPr>
          <w:rFonts w:eastAsiaTheme="minorEastAsia"/>
          <w:sz w:val="24"/>
        </w:rPr>
      </w:pPr>
      <w:r>
        <w:rPr>
          <w:rFonts w:eastAsiaTheme="minorEastAsia"/>
          <w:sz w:val="24"/>
        </w:rPr>
        <w:t>3.</w:t>
      </w:r>
      <w:r>
        <w:rPr>
          <w:rFonts w:hint="default" w:eastAsiaTheme="minorEastAsia"/>
          <w:sz w:val="24"/>
          <w:lang w:val="en-US"/>
        </w:rPr>
        <w:t>4</w:t>
      </w:r>
      <w:r>
        <w:rPr>
          <w:rFonts w:eastAsiaTheme="minorEastAsia"/>
          <w:sz w:val="24"/>
        </w:rPr>
        <w:t>评比过程的保密性。评比委员会成员、有关工作人员及其他知情人不得透露对比选申请文件的评比和比较、中选候选人的推荐情况以及与比选有关的其他情况。</w:t>
      </w:r>
    </w:p>
    <w:p w14:paraId="79CFF377">
      <w:pPr>
        <w:spacing w:line="360" w:lineRule="auto"/>
        <w:ind w:right="-21" w:firstLine="480" w:firstLineChars="200"/>
        <w:jc w:val="left"/>
        <w:rPr>
          <w:rFonts w:eastAsiaTheme="minorEastAsia"/>
          <w:sz w:val="24"/>
        </w:rPr>
      </w:pPr>
      <w:r>
        <w:rPr>
          <w:rFonts w:eastAsiaTheme="minorEastAsia"/>
          <w:sz w:val="24"/>
        </w:rPr>
        <w:t>3.</w:t>
      </w:r>
      <w:r>
        <w:rPr>
          <w:rFonts w:hint="default" w:eastAsiaTheme="minorEastAsia"/>
          <w:sz w:val="24"/>
          <w:lang w:val="en-US"/>
        </w:rPr>
        <w:t>5</w:t>
      </w:r>
      <w:r>
        <w:rPr>
          <w:rFonts w:eastAsiaTheme="minorEastAsia"/>
          <w:sz w:val="24"/>
        </w:rPr>
        <w:t>比选申请人在评比过程中所进行的力图影响评比公正性的活动，可能导致其中选无效。</w:t>
      </w:r>
    </w:p>
    <w:p w14:paraId="21C06278">
      <w:pPr>
        <w:spacing w:line="360" w:lineRule="auto"/>
        <w:ind w:right="-21" w:firstLine="480" w:firstLineChars="200"/>
        <w:jc w:val="left"/>
        <w:outlineLvl w:val="9"/>
        <w:rPr>
          <w:rFonts w:eastAsiaTheme="minorEastAsia"/>
          <w:sz w:val="24"/>
        </w:rPr>
      </w:pPr>
      <w:r>
        <w:rPr>
          <w:rFonts w:eastAsiaTheme="minorEastAsia"/>
          <w:sz w:val="24"/>
        </w:rPr>
        <w:t>3.</w:t>
      </w:r>
      <w:r>
        <w:rPr>
          <w:rFonts w:hint="default" w:eastAsiaTheme="minorEastAsia"/>
          <w:sz w:val="24"/>
          <w:lang w:val="en-US"/>
        </w:rPr>
        <w:t>6</w:t>
      </w:r>
      <w:r>
        <w:rPr>
          <w:rFonts w:eastAsiaTheme="minorEastAsia"/>
          <w:sz w:val="24"/>
        </w:rPr>
        <w:t>比选申请文件的澄清或说明</w:t>
      </w:r>
    </w:p>
    <w:p w14:paraId="64F12B5F">
      <w:pPr>
        <w:spacing w:line="360" w:lineRule="auto"/>
        <w:ind w:right="-21" w:firstLine="480" w:firstLineChars="200"/>
        <w:jc w:val="left"/>
        <w:rPr>
          <w:rFonts w:eastAsiaTheme="minorEastAsia"/>
          <w:sz w:val="24"/>
        </w:rPr>
      </w:pPr>
      <w:r>
        <w:rPr>
          <w:rFonts w:eastAsiaTheme="minorEastAsia"/>
          <w:sz w:val="24"/>
        </w:rPr>
        <w:t>3.</w:t>
      </w:r>
      <w:r>
        <w:rPr>
          <w:rFonts w:hint="default" w:eastAsiaTheme="minorEastAsia"/>
          <w:sz w:val="24"/>
        </w:rPr>
        <w:t>6</w:t>
      </w:r>
      <w:r>
        <w:rPr>
          <w:rFonts w:eastAsiaTheme="minorEastAsia"/>
          <w:sz w:val="24"/>
        </w:rPr>
        <w:t>.1</w:t>
      </w:r>
      <w:r>
        <w:rPr>
          <w:rFonts w:hint="eastAsia" w:eastAsiaTheme="minorEastAsia"/>
          <w:sz w:val="24"/>
        </w:rPr>
        <w:t>评比时评比委员会将以书面形式要求比选申请人就其比选申请文件中含义不明确、同类问题表述不一致或有明显文字错误等的内容予以澄清或说明。</w:t>
      </w:r>
    </w:p>
    <w:p w14:paraId="1B527A7E">
      <w:pPr>
        <w:spacing w:line="360" w:lineRule="auto"/>
        <w:ind w:right="-21" w:firstLine="480" w:firstLineChars="200"/>
        <w:jc w:val="left"/>
        <w:rPr>
          <w:rFonts w:eastAsiaTheme="minorEastAsia"/>
          <w:sz w:val="24"/>
        </w:rPr>
      </w:pPr>
      <w:r>
        <w:rPr>
          <w:rFonts w:eastAsiaTheme="minorEastAsia"/>
          <w:sz w:val="24"/>
        </w:rPr>
        <w:t>3.</w:t>
      </w:r>
      <w:r>
        <w:rPr>
          <w:rFonts w:hint="default" w:eastAsiaTheme="minorEastAsia"/>
          <w:sz w:val="24"/>
        </w:rPr>
        <w:t>6</w:t>
      </w:r>
      <w:r>
        <w:rPr>
          <w:rFonts w:eastAsiaTheme="minorEastAsia"/>
          <w:sz w:val="24"/>
        </w:rPr>
        <w:t>.2</w:t>
      </w:r>
      <w:r>
        <w:rPr>
          <w:rFonts w:hint="eastAsia" w:eastAsiaTheme="minorEastAsia"/>
          <w:sz w:val="24"/>
        </w:rPr>
        <w:t>比选申请人对要求澄清或说明的内容应在评比委员会规定的时间内以书面形式予以澄清，该澄清或说明函应有比选申请人负责人或其委托代理人的签名。</w:t>
      </w:r>
    </w:p>
    <w:p w14:paraId="570EA1E7">
      <w:pPr>
        <w:spacing w:line="360" w:lineRule="auto"/>
        <w:ind w:right="-21" w:firstLine="480" w:firstLineChars="200"/>
        <w:jc w:val="left"/>
        <w:rPr>
          <w:rFonts w:eastAsiaTheme="minorEastAsia"/>
          <w:sz w:val="24"/>
        </w:rPr>
      </w:pPr>
      <w:r>
        <w:rPr>
          <w:rFonts w:eastAsiaTheme="minorEastAsia"/>
          <w:sz w:val="24"/>
        </w:rPr>
        <w:t>3.</w:t>
      </w:r>
      <w:r>
        <w:rPr>
          <w:rFonts w:hint="default" w:eastAsiaTheme="minorEastAsia"/>
          <w:sz w:val="24"/>
          <w:lang w:val="en-US"/>
        </w:rPr>
        <w:t>6</w:t>
      </w:r>
      <w:r>
        <w:rPr>
          <w:rFonts w:eastAsiaTheme="minorEastAsia"/>
          <w:sz w:val="24"/>
        </w:rPr>
        <w:t>.3比选申请人的澄清或说明函作为比选申请文件的组成部分。</w:t>
      </w:r>
    </w:p>
    <w:p w14:paraId="2A3833B5">
      <w:pPr>
        <w:spacing w:line="360" w:lineRule="auto"/>
        <w:ind w:right="-21" w:firstLine="480" w:firstLineChars="200"/>
        <w:jc w:val="left"/>
        <w:rPr>
          <w:rFonts w:eastAsiaTheme="minorEastAsia"/>
          <w:sz w:val="24"/>
        </w:rPr>
      </w:pPr>
      <w:r>
        <w:rPr>
          <w:rFonts w:eastAsiaTheme="minorEastAsia"/>
          <w:sz w:val="24"/>
        </w:rPr>
        <w:t>3.</w:t>
      </w:r>
      <w:r>
        <w:rPr>
          <w:rFonts w:hint="default" w:eastAsiaTheme="minorEastAsia"/>
          <w:sz w:val="24"/>
          <w:lang w:val="en-US"/>
        </w:rPr>
        <w:t>6</w:t>
      </w:r>
      <w:r>
        <w:rPr>
          <w:rFonts w:eastAsiaTheme="minorEastAsia"/>
          <w:sz w:val="24"/>
        </w:rPr>
        <w:t>.4比选申请人对比选申请文件的澄清或说明不得超出比选申请文件的范围或改变投标的实质内容。</w:t>
      </w:r>
    </w:p>
    <w:p w14:paraId="7115A12D">
      <w:pPr>
        <w:spacing w:line="360" w:lineRule="auto"/>
        <w:ind w:right="753" w:firstLine="482" w:firstLineChars="200"/>
        <w:jc w:val="left"/>
        <w:outlineLvl w:val="9"/>
        <w:rPr>
          <w:rFonts w:hint="default" w:eastAsiaTheme="minorEastAsia"/>
          <w:b/>
          <w:bCs/>
          <w:sz w:val="24"/>
          <w:lang w:val="en-US" w:eastAsia="zh-CN"/>
        </w:rPr>
      </w:pPr>
      <w:bookmarkStart w:id="464" w:name="_Toc310318598"/>
      <w:r>
        <w:rPr>
          <w:rFonts w:eastAsiaTheme="minorEastAsia"/>
          <w:b/>
          <w:bCs/>
          <w:sz w:val="24"/>
        </w:rPr>
        <w:t>4.比选申请文件评比</w:t>
      </w:r>
      <w:bookmarkEnd w:id="464"/>
      <w:r>
        <w:rPr>
          <w:rFonts w:hint="eastAsia" w:eastAsiaTheme="minorEastAsia"/>
          <w:b/>
          <w:bCs/>
          <w:sz w:val="24"/>
        </w:rPr>
        <w:t>的</w:t>
      </w:r>
      <w:r>
        <w:rPr>
          <w:rFonts w:hint="eastAsia" w:eastAsiaTheme="minorEastAsia"/>
          <w:b/>
          <w:bCs/>
          <w:sz w:val="24"/>
          <w:lang w:val="en-US" w:eastAsia="zh-CN"/>
        </w:rPr>
        <w:t>相关要求</w:t>
      </w:r>
    </w:p>
    <w:p w14:paraId="185BB014">
      <w:pPr>
        <w:spacing w:line="360" w:lineRule="auto"/>
        <w:ind w:right="-21" w:firstLine="482" w:firstLineChars="200"/>
        <w:jc w:val="left"/>
        <w:rPr>
          <w:rFonts w:eastAsiaTheme="minorEastAsia"/>
          <w:b/>
          <w:bCs/>
          <w:sz w:val="24"/>
        </w:rPr>
      </w:pPr>
      <w:r>
        <w:rPr>
          <w:rFonts w:eastAsiaTheme="minorEastAsia"/>
          <w:b/>
          <w:bCs/>
          <w:sz w:val="24"/>
        </w:rPr>
        <w:t>比选申请人或其比选</w:t>
      </w:r>
      <w:r>
        <w:rPr>
          <w:rFonts w:hint="eastAsia" w:eastAsiaTheme="minorEastAsia"/>
          <w:b/>
          <w:bCs/>
          <w:sz w:val="24"/>
        </w:rPr>
        <w:t>申请</w:t>
      </w:r>
      <w:r>
        <w:rPr>
          <w:rFonts w:eastAsiaTheme="minorEastAsia"/>
          <w:b/>
          <w:bCs/>
          <w:sz w:val="24"/>
        </w:rPr>
        <w:t>文件有下列情况之一者，其比选申请文件将视为无效或作</w:t>
      </w:r>
      <w:r>
        <w:rPr>
          <w:rFonts w:hint="eastAsia" w:eastAsiaTheme="minorEastAsia"/>
          <w:b/>
          <w:bCs/>
          <w:sz w:val="24"/>
        </w:rPr>
        <w:t>否决</w:t>
      </w:r>
      <w:r>
        <w:rPr>
          <w:rFonts w:eastAsiaTheme="minorEastAsia"/>
          <w:b/>
          <w:bCs/>
          <w:sz w:val="24"/>
        </w:rPr>
        <w:t>处理：</w:t>
      </w:r>
    </w:p>
    <w:p w14:paraId="3EB1872D">
      <w:pPr>
        <w:spacing w:line="360" w:lineRule="auto"/>
        <w:ind w:right="-21" w:firstLine="482" w:firstLineChars="200"/>
        <w:jc w:val="left"/>
        <w:rPr>
          <w:rFonts w:eastAsiaTheme="minorEastAsia"/>
          <w:b/>
          <w:bCs/>
          <w:sz w:val="24"/>
        </w:rPr>
      </w:pPr>
      <w:r>
        <w:rPr>
          <w:rFonts w:eastAsiaTheme="minorEastAsia"/>
          <w:b/>
          <w:bCs/>
          <w:sz w:val="24"/>
        </w:rPr>
        <w:t>（1）比选申请人的负责人或委托代理人未按时签名报到的；</w:t>
      </w:r>
    </w:p>
    <w:p w14:paraId="2BD11712">
      <w:pPr>
        <w:spacing w:line="360" w:lineRule="auto"/>
        <w:ind w:right="-21" w:firstLine="482" w:firstLineChars="200"/>
        <w:jc w:val="left"/>
        <w:rPr>
          <w:rFonts w:eastAsiaTheme="minorEastAsia"/>
          <w:b/>
          <w:bCs/>
          <w:sz w:val="24"/>
        </w:rPr>
      </w:pPr>
      <w:r>
        <w:rPr>
          <w:rFonts w:eastAsiaTheme="minorEastAsia"/>
          <w:b/>
          <w:bCs/>
          <w:sz w:val="24"/>
        </w:rPr>
        <w:t>（</w:t>
      </w:r>
      <w:r>
        <w:rPr>
          <w:rFonts w:hint="eastAsia" w:eastAsiaTheme="minorEastAsia"/>
          <w:b/>
          <w:bCs/>
          <w:sz w:val="24"/>
          <w:lang w:val="en-US" w:eastAsia="zh-CN"/>
        </w:rPr>
        <w:t>2</w:t>
      </w:r>
      <w:r>
        <w:rPr>
          <w:rFonts w:eastAsiaTheme="minorEastAsia"/>
          <w:b/>
          <w:bCs/>
          <w:sz w:val="24"/>
        </w:rPr>
        <w:t>）比选申请文件未按照规定的要求装订、密封和标记的；</w:t>
      </w:r>
    </w:p>
    <w:p w14:paraId="3E487DE1">
      <w:pPr>
        <w:spacing w:line="360" w:lineRule="auto"/>
        <w:ind w:right="-21" w:firstLine="482" w:firstLineChars="200"/>
        <w:jc w:val="left"/>
        <w:rPr>
          <w:rFonts w:eastAsiaTheme="minorEastAsia"/>
          <w:b/>
          <w:bCs/>
          <w:sz w:val="24"/>
        </w:rPr>
      </w:pPr>
      <w:r>
        <w:rPr>
          <w:rFonts w:eastAsiaTheme="minorEastAsia"/>
          <w:b/>
          <w:bCs/>
          <w:sz w:val="24"/>
        </w:rPr>
        <w:t>（</w:t>
      </w:r>
      <w:r>
        <w:rPr>
          <w:rFonts w:hint="eastAsia" w:eastAsiaTheme="minorEastAsia"/>
          <w:b/>
          <w:bCs/>
          <w:sz w:val="24"/>
          <w:lang w:val="en-US" w:eastAsia="zh-CN"/>
        </w:rPr>
        <w:t>3</w:t>
      </w:r>
      <w:r>
        <w:rPr>
          <w:rFonts w:eastAsiaTheme="minorEastAsia"/>
          <w:b/>
          <w:bCs/>
          <w:sz w:val="24"/>
        </w:rPr>
        <w:t>）</w:t>
      </w:r>
      <w:r>
        <w:rPr>
          <w:rFonts w:hint="eastAsia" w:eastAsiaTheme="minorEastAsia"/>
          <w:b/>
          <w:bCs/>
          <w:sz w:val="24"/>
        </w:rPr>
        <w:t>比选</w:t>
      </w:r>
      <w:r>
        <w:rPr>
          <w:rFonts w:eastAsiaTheme="minorEastAsia"/>
          <w:b/>
          <w:bCs/>
          <w:sz w:val="24"/>
        </w:rPr>
        <w:t>须知第11条规定</w:t>
      </w:r>
      <w:r>
        <w:rPr>
          <w:rFonts w:eastAsiaTheme="minorEastAsia"/>
          <w:b/>
          <w:bCs/>
          <w:sz w:val="24"/>
          <w:highlight w:val="none"/>
        </w:rPr>
        <w:t>的比选申请文件有关内容未按</w:t>
      </w:r>
      <w:r>
        <w:rPr>
          <w:rFonts w:hint="eastAsia" w:eastAsiaTheme="minorEastAsia"/>
          <w:b/>
          <w:bCs/>
          <w:sz w:val="24"/>
          <w:highlight w:val="none"/>
        </w:rPr>
        <w:t>比选</w:t>
      </w:r>
      <w:r>
        <w:rPr>
          <w:rFonts w:eastAsiaTheme="minorEastAsia"/>
          <w:b/>
          <w:bCs/>
          <w:sz w:val="24"/>
          <w:highlight w:val="none"/>
        </w:rPr>
        <w:t>须知第</w:t>
      </w:r>
      <w:r>
        <w:rPr>
          <w:rFonts w:hint="eastAsia" w:eastAsiaTheme="minorEastAsia"/>
          <w:b/>
          <w:bCs/>
          <w:sz w:val="24"/>
          <w:highlight w:val="none"/>
          <w:lang w:eastAsia="zh-CN"/>
        </w:rPr>
        <w:t>1</w:t>
      </w:r>
      <w:r>
        <w:rPr>
          <w:rFonts w:hint="eastAsia" w:eastAsiaTheme="minorEastAsia"/>
          <w:b/>
          <w:bCs/>
          <w:sz w:val="24"/>
          <w:highlight w:val="none"/>
          <w:lang w:val="en-US" w:eastAsia="zh-CN"/>
        </w:rPr>
        <w:t>5</w:t>
      </w:r>
      <w:r>
        <w:rPr>
          <w:rFonts w:eastAsiaTheme="minorEastAsia"/>
          <w:b/>
          <w:bCs/>
          <w:sz w:val="24"/>
          <w:highlight w:val="none"/>
        </w:rPr>
        <w:t>条规</w:t>
      </w:r>
      <w:r>
        <w:rPr>
          <w:rFonts w:eastAsiaTheme="minorEastAsia"/>
          <w:b/>
          <w:bCs/>
          <w:sz w:val="24"/>
        </w:rPr>
        <w:t>定加盖比选申请人公章、未经比选申请人法定代表人或其委托代理人签字或盖章的；</w:t>
      </w:r>
    </w:p>
    <w:p w14:paraId="7807588E">
      <w:pPr>
        <w:spacing w:line="360" w:lineRule="auto"/>
        <w:ind w:right="-21" w:firstLine="482" w:firstLineChars="200"/>
        <w:jc w:val="left"/>
        <w:rPr>
          <w:rFonts w:eastAsiaTheme="minorEastAsia"/>
          <w:b/>
          <w:bCs/>
          <w:sz w:val="24"/>
        </w:rPr>
      </w:pPr>
      <w:r>
        <w:rPr>
          <w:rFonts w:eastAsiaTheme="minorEastAsia"/>
          <w:b/>
          <w:bCs/>
          <w:sz w:val="24"/>
        </w:rPr>
        <w:t>（</w:t>
      </w:r>
      <w:r>
        <w:rPr>
          <w:rFonts w:hint="eastAsia" w:eastAsiaTheme="minorEastAsia"/>
          <w:b/>
          <w:bCs/>
          <w:sz w:val="24"/>
          <w:lang w:val="en-US" w:eastAsia="zh-CN"/>
        </w:rPr>
        <w:t>4</w:t>
      </w:r>
      <w:r>
        <w:rPr>
          <w:rFonts w:eastAsiaTheme="minorEastAsia"/>
          <w:b/>
          <w:bCs/>
          <w:sz w:val="24"/>
        </w:rPr>
        <w:t>）</w:t>
      </w:r>
      <w:r>
        <w:rPr>
          <w:rFonts w:hint="default" w:ascii="Times New Roman" w:hAnsi="Times New Roman" w:cs="Times New Roman" w:eastAsiaTheme="minorEastAsia"/>
          <w:b/>
          <w:bCs/>
          <w:color w:val="auto"/>
          <w:sz w:val="24"/>
          <w:szCs w:val="24"/>
        </w:rPr>
        <w:t>不按本须知第11条内容提供资料的</w:t>
      </w:r>
      <w:r>
        <w:rPr>
          <w:rFonts w:hint="default" w:ascii="Times New Roman" w:hAnsi="Times New Roman" w:cs="Times New Roman" w:eastAsiaTheme="minorEastAsia"/>
          <w:b/>
          <w:bCs/>
          <w:color w:val="auto"/>
          <w:sz w:val="24"/>
          <w:szCs w:val="24"/>
          <w:lang w:eastAsia="zh-CN"/>
        </w:rPr>
        <w:t>，</w:t>
      </w:r>
      <w:r>
        <w:rPr>
          <w:rFonts w:eastAsiaTheme="minorEastAsia"/>
          <w:b/>
          <w:bCs/>
          <w:sz w:val="24"/>
        </w:rPr>
        <w:t>逾期</w:t>
      </w:r>
      <w:r>
        <w:rPr>
          <w:rFonts w:hint="eastAsia" w:eastAsiaTheme="minorEastAsia"/>
          <w:b/>
          <w:bCs/>
          <w:sz w:val="24"/>
        </w:rPr>
        <w:t>送达</w:t>
      </w:r>
      <w:r>
        <w:rPr>
          <w:rFonts w:eastAsiaTheme="minorEastAsia"/>
          <w:b/>
          <w:bCs/>
          <w:sz w:val="24"/>
        </w:rPr>
        <w:t>比选申请文件的；</w:t>
      </w:r>
    </w:p>
    <w:p w14:paraId="480FADF2">
      <w:pPr>
        <w:spacing w:line="360" w:lineRule="auto"/>
        <w:ind w:right="-21" w:firstLine="482" w:firstLineChars="200"/>
        <w:jc w:val="left"/>
        <w:rPr>
          <w:rFonts w:eastAsiaTheme="minorEastAsia"/>
          <w:b/>
          <w:bCs/>
          <w:sz w:val="24"/>
        </w:rPr>
      </w:pPr>
      <w:r>
        <w:rPr>
          <w:rFonts w:eastAsiaTheme="minorEastAsia"/>
          <w:b/>
          <w:bCs/>
          <w:sz w:val="24"/>
        </w:rPr>
        <w:t>（</w:t>
      </w:r>
      <w:r>
        <w:rPr>
          <w:rFonts w:hint="eastAsia" w:eastAsiaTheme="minorEastAsia"/>
          <w:b/>
          <w:bCs/>
          <w:sz w:val="24"/>
          <w:lang w:val="en-US" w:eastAsia="zh-CN"/>
        </w:rPr>
        <w:t>5</w:t>
      </w:r>
      <w:r>
        <w:rPr>
          <w:rFonts w:eastAsiaTheme="minorEastAsia"/>
          <w:b/>
          <w:bCs/>
          <w:sz w:val="24"/>
        </w:rPr>
        <w:t>）比选申请文件内容不真实的；</w:t>
      </w:r>
    </w:p>
    <w:p w14:paraId="36F8746A">
      <w:pPr>
        <w:spacing w:line="360" w:lineRule="auto"/>
        <w:ind w:right="-21" w:firstLine="482" w:firstLineChars="200"/>
        <w:jc w:val="left"/>
        <w:rPr>
          <w:rFonts w:eastAsiaTheme="minorEastAsia"/>
          <w:b/>
          <w:bCs/>
          <w:sz w:val="24"/>
        </w:rPr>
      </w:pPr>
      <w:r>
        <w:rPr>
          <w:rFonts w:eastAsiaTheme="minorEastAsia"/>
          <w:b/>
          <w:bCs/>
          <w:sz w:val="24"/>
        </w:rPr>
        <w:t>（</w:t>
      </w:r>
      <w:r>
        <w:rPr>
          <w:rFonts w:hint="eastAsia" w:eastAsiaTheme="minorEastAsia"/>
          <w:b/>
          <w:bCs/>
          <w:sz w:val="24"/>
          <w:lang w:val="en-US" w:eastAsia="zh-CN"/>
        </w:rPr>
        <w:t>6</w:t>
      </w:r>
      <w:r>
        <w:rPr>
          <w:rFonts w:eastAsiaTheme="minorEastAsia"/>
          <w:b/>
          <w:bCs/>
          <w:sz w:val="24"/>
        </w:rPr>
        <w:t>）比选申请文件实质上没有响应比选文件的要求的；（</w:t>
      </w:r>
      <w:r>
        <w:rPr>
          <w:rFonts w:hint="eastAsia" w:eastAsiaTheme="minorEastAsia"/>
          <w:b/>
          <w:bCs/>
          <w:sz w:val="24"/>
        </w:rPr>
        <w:t>包括以下内容：比选项目所涉及的人员配置、业绩、价格、服务内容、合同条款等）；</w:t>
      </w:r>
    </w:p>
    <w:p w14:paraId="167A1890">
      <w:pPr>
        <w:spacing w:line="360" w:lineRule="auto"/>
        <w:ind w:right="-21" w:firstLine="482" w:firstLineChars="200"/>
        <w:jc w:val="left"/>
        <w:rPr>
          <w:rFonts w:eastAsiaTheme="minorEastAsia"/>
          <w:b/>
          <w:bCs/>
          <w:sz w:val="24"/>
        </w:rPr>
      </w:pPr>
      <w:r>
        <w:rPr>
          <w:rFonts w:hint="eastAsia" w:eastAsiaTheme="minorEastAsia"/>
          <w:b/>
          <w:bCs/>
          <w:sz w:val="24"/>
        </w:rPr>
        <w:t>（</w:t>
      </w:r>
      <w:r>
        <w:rPr>
          <w:rFonts w:hint="eastAsia" w:eastAsiaTheme="minorEastAsia"/>
          <w:b/>
          <w:bCs/>
          <w:sz w:val="24"/>
          <w:lang w:val="en-US" w:eastAsia="zh-CN"/>
        </w:rPr>
        <w:t>7</w:t>
      </w:r>
      <w:r>
        <w:rPr>
          <w:rFonts w:hint="eastAsia" w:eastAsiaTheme="minorEastAsia"/>
          <w:b/>
          <w:bCs/>
          <w:sz w:val="24"/>
        </w:rPr>
        <w:t>）比选申请人报价超过上控价的；</w:t>
      </w:r>
    </w:p>
    <w:p w14:paraId="1FC2E3A5">
      <w:pPr>
        <w:spacing w:line="360" w:lineRule="auto"/>
        <w:ind w:right="-21" w:firstLine="482" w:firstLineChars="200"/>
        <w:jc w:val="left"/>
        <w:rPr>
          <w:rFonts w:hint="eastAsia" w:eastAsiaTheme="minorEastAsia"/>
          <w:b/>
          <w:bCs/>
          <w:sz w:val="24"/>
          <w:lang w:val="en-US" w:eastAsia="zh-CN"/>
        </w:rPr>
      </w:pPr>
      <w:r>
        <w:rPr>
          <w:rFonts w:eastAsiaTheme="minorEastAsia"/>
          <w:b/>
          <w:bCs/>
          <w:sz w:val="24"/>
        </w:rPr>
        <w:t>（</w:t>
      </w:r>
      <w:r>
        <w:rPr>
          <w:rFonts w:hint="eastAsia" w:eastAsiaTheme="minorEastAsia"/>
          <w:b/>
          <w:bCs/>
          <w:sz w:val="24"/>
          <w:lang w:val="en-US" w:eastAsia="zh-CN"/>
        </w:rPr>
        <w:t>8</w:t>
      </w:r>
      <w:r>
        <w:rPr>
          <w:rFonts w:eastAsiaTheme="minorEastAsia"/>
          <w:b/>
          <w:bCs/>
          <w:sz w:val="24"/>
        </w:rPr>
        <w:t>）比选申请人不符合</w:t>
      </w:r>
      <w:r>
        <w:rPr>
          <w:rFonts w:hint="eastAsia" w:eastAsiaTheme="minorEastAsia"/>
          <w:b/>
          <w:bCs/>
          <w:sz w:val="24"/>
        </w:rPr>
        <w:t>比选须知</w:t>
      </w:r>
      <w:r>
        <w:rPr>
          <w:rFonts w:eastAsiaTheme="minorEastAsia"/>
          <w:b/>
          <w:bCs/>
          <w:sz w:val="24"/>
        </w:rPr>
        <w:t>前附表第9</w:t>
      </w:r>
      <w:r>
        <w:rPr>
          <w:rFonts w:hint="eastAsia" w:eastAsiaTheme="minorEastAsia"/>
          <w:b/>
          <w:bCs/>
          <w:sz w:val="24"/>
        </w:rPr>
        <w:t>项</w:t>
      </w:r>
      <w:r>
        <w:rPr>
          <w:rFonts w:eastAsiaTheme="minorEastAsia"/>
          <w:b/>
          <w:bCs/>
          <w:sz w:val="24"/>
        </w:rPr>
        <w:t>所述资格要求</w:t>
      </w:r>
      <w:r>
        <w:rPr>
          <w:rFonts w:hint="eastAsia" w:eastAsiaTheme="minorEastAsia"/>
          <w:b/>
          <w:bCs/>
          <w:sz w:val="24"/>
          <w:lang w:val="en-US" w:eastAsia="zh-CN"/>
        </w:rPr>
        <w:t>.</w:t>
      </w:r>
    </w:p>
    <w:p w14:paraId="5871AF1E">
      <w:pPr>
        <w:spacing w:line="360" w:lineRule="auto"/>
        <w:ind w:right="-21" w:firstLine="482" w:firstLineChars="200"/>
        <w:jc w:val="left"/>
        <w:outlineLvl w:val="9"/>
        <w:rPr>
          <w:rFonts w:eastAsiaTheme="minorEastAsia"/>
          <w:b/>
          <w:bCs/>
          <w:sz w:val="24"/>
        </w:rPr>
      </w:pPr>
      <w:r>
        <w:rPr>
          <w:rFonts w:hint="eastAsia" w:eastAsiaTheme="minorEastAsia"/>
          <w:b/>
          <w:bCs/>
          <w:sz w:val="24"/>
          <w:lang w:eastAsia="zh-CN"/>
        </w:rPr>
        <w:t>5</w:t>
      </w:r>
      <w:r>
        <w:rPr>
          <w:rFonts w:hint="eastAsia" w:eastAsiaTheme="minorEastAsia"/>
          <w:b/>
          <w:bCs/>
          <w:sz w:val="24"/>
          <w:lang w:val="en-US" w:eastAsia="zh-CN"/>
        </w:rPr>
        <w:t>.</w:t>
      </w:r>
      <w:r>
        <w:rPr>
          <w:rFonts w:eastAsiaTheme="minorEastAsia"/>
          <w:b/>
          <w:bCs/>
          <w:sz w:val="24"/>
        </w:rPr>
        <w:t>确定中选人</w:t>
      </w:r>
    </w:p>
    <w:p w14:paraId="6DDD7AD0">
      <w:pPr>
        <w:spacing w:line="360" w:lineRule="auto"/>
        <w:ind w:right="5" w:firstLine="480" w:firstLineChars="200"/>
        <w:jc w:val="left"/>
        <w:rPr>
          <w:rFonts w:eastAsiaTheme="minorEastAsia"/>
          <w:sz w:val="24"/>
        </w:rPr>
      </w:pPr>
      <w:r>
        <w:rPr>
          <w:rFonts w:hint="eastAsia" w:eastAsiaTheme="minorEastAsia"/>
          <w:sz w:val="24"/>
          <w:lang w:val="en-US" w:eastAsia="zh-CN"/>
        </w:rPr>
        <w:t>5</w:t>
      </w:r>
      <w:r>
        <w:rPr>
          <w:rFonts w:eastAsiaTheme="minorEastAsia"/>
          <w:sz w:val="24"/>
        </w:rPr>
        <w:t>.1</w:t>
      </w:r>
      <w:r>
        <w:rPr>
          <w:rFonts w:hint="eastAsia" w:eastAsiaTheme="minorEastAsia"/>
          <w:sz w:val="24"/>
        </w:rPr>
        <w:t>评比委员会将按照综合得分由高到低进行排序，得分最高的排名第一（当综合得分相同时，按报价由低到高顺序排列；综合得分且报价相同的，按照技术部分得分由高到低顺序排列，当综合得分、报价以及技术部分得分相同时，以记名方式投票并按照多数评审意见确定）。</w:t>
      </w:r>
      <w:r>
        <w:rPr>
          <w:rFonts w:hint="eastAsia" w:eastAsiaTheme="minorEastAsia"/>
          <w:sz w:val="24"/>
          <w:lang w:val="en-US" w:eastAsia="zh-CN"/>
        </w:rPr>
        <w:t xml:space="preserve"> </w:t>
      </w:r>
      <w:r>
        <w:rPr>
          <w:rFonts w:eastAsiaTheme="minorEastAsia"/>
          <w:sz w:val="24"/>
        </w:rPr>
        <w:t>如排名</w:t>
      </w:r>
      <w:r>
        <w:rPr>
          <w:rFonts w:hint="eastAsia" w:eastAsiaTheme="minorEastAsia"/>
          <w:sz w:val="24"/>
        </w:rPr>
        <w:t>第一</w:t>
      </w:r>
      <w:r>
        <w:rPr>
          <w:rFonts w:eastAsiaTheme="minorEastAsia"/>
          <w:sz w:val="24"/>
        </w:rPr>
        <w:t>的中选候选人放弃中选或因不可抗力提出不能履行合同的，可以确定排名第二的中选候选人为中选人；如排名第二的中选候选人仍放弃中选或因不可抗力提出不能履行合同的，可以确定排名第三的中选候选人为中选人</w:t>
      </w:r>
      <w:r>
        <w:rPr>
          <w:rFonts w:hint="eastAsia" w:eastAsiaTheme="minorEastAsia"/>
          <w:sz w:val="24"/>
        </w:rPr>
        <w:t>，比选人也可以重新比选</w:t>
      </w:r>
      <w:r>
        <w:rPr>
          <w:rFonts w:eastAsiaTheme="minorEastAsia"/>
          <w:sz w:val="24"/>
        </w:rPr>
        <w:t>。</w:t>
      </w:r>
    </w:p>
    <w:p w14:paraId="7241F710">
      <w:pPr>
        <w:spacing w:line="360" w:lineRule="auto"/>
        <w:ind w:right="753" w:firstLine="482" w:firstLineChars="200"/>
        <w:jc w:val="left"/>
        <w:outlineLvl w:val="9"/>
        <w:rPr>
          <w:rFonts w:eastAsiaTheme="minorEastAsia"/>
          <w:b/>
          <w:bCs/>
          <w:sz w:val="24"/>
        </w:rPr>
      </w:pPr>
      <w:bookmarkStart w:id="465" w:name="_Toc286386861"/>
      <w:bookmarkStart w:id="466" w:name="_Toc114052377"/>
      <w:bookmarkStart w:id="467" w:name="_Toc310318599"/>
      <w:bookmarkStart w:id="468" w:name="_Toc114052441"/>
      <w:r>
        <w:rPr>
          <w:rFonts w:hint="eastAsia" w:eastAsiaTheme="minorEastAsia"/>
          <w:b/>
          <w:bCs/>
          <w:sz w:val="24"/>
          <w:lang w:val="en-US" w:eastAsia="zh-CN"/>
        </w:rPr>
        <w:t>6</w:t>
      </w:r>
      <w:r>
        <w:rPr>
          <w:rFonts w:eastAsiaTheme="minorEastAsia"/>
          <w:b/>
          <w:bCs/>
          <w:sz w:val="24"/>
        </w:rPr>
        <w:t>.评比结果公示</w:t>
      </w:r>
      <w:bookmarkEnd w:id="465"/>
      <w:bookmarkEnd w:id="466"/>
      <w:bookmarkEnd w:id="467"/>
      <w:bookmarkEnd w:id="468"/>
    </w:p>
    <w:p w14:paraId="1966C53D">
      <w:pPr>
        <w:pStyle w:val="29"/>
        <w:widowControl/>
        <w:spacing w:line="360" w:lineRule="auto"/>
        <w:ind w:right="0" w:firstLine="480" w:firstLineChars="200"/>
        <w:jc w:val="left"/>
        <w:rPr>
          <w:rFonts w:eastAsiaTheme="minorEastAsia"/>
          <w:sz w:val="24"/>
        </w:rPr>
      </w:pPr>
      <w:r>
        <w:rPr>
          <w:rFonts w:hint="eastAsia" w:eastAsiaTheme="minorEastAsia"/>
          <w:sz w:val="24"/>
          <w:lang w:val="en-US" w:eastAsia="zh-CN"/>
        </w:rPr>
        <w:t>6</w:t>
      </w:r>
      <w:r>
        <w:rPr>
          <w:rFonts w:eastAsiaTheme="minorEastAsia"/>
          <w:sz w:val="24"/>
        </w:rPr>
        <w:t>.1在评比结束后，比选人将在</w:t>
      </w:r>
      <w:r>
        <w:rPr>
          <w:rFonts w:hint="eastAsia" w:ascii="宋体" w:hAnsi="宋体" w:cs="宋体"/>
          <w:szCs w:val="21"/>
        </w:rPr>
        <w:t>南宁轨道交通集团有限责任公司官网</w:t>
      </w:r>
      <w:r>
        <w:rPr>
          <w:rFonts w:eastAsiaTheme="minorEastAsia"/>
          <w:sz w:val="24"/>
        </w:rPr>
        <w:t>(http://www.nngdjt.com/)</w:t>
      </w:r>
      <w:r>
        <w:rPr>
          <w:rFonts w:hint="eastAsia" w:ascii="宋体" w:hAnsi="宋体" w:cs="宋体"/>
          <w:color w:val="auto"/>
          <w:szCs w:val="21"/>
          <w:highlight w:val="none"/>
          <w:lang w:val="en-US" w:eastAsia="zh-CN"/>
        </w:rPr>
        <w:t>上“</w:t>
      </w:r>
      <w:r>
        <w:rPr>
          <w:rFonts w:hint="eastAsia" w:ascii="宋体" w:hAnsi="宋体" w:cs="宋体"/>
          <w:color w:val="auto"/>
          <w:szCs w:val="21"/>
          <w:highlight w:val="none"/>
        </w:rPr>
        <w:t>招标招商</w:t>
      </w:r>
      <w:r>
        <w:rPr>
          <w:rFonts w:hint="eastAsia" w:ascii="宋体" w:hAnsi="宋体" w:cs="宋体"/>
          <w:color w:val="auto"/>
          <w:szCs w:val="21"/>
          <w:highlight w:val="none"/>
          <w:lang w:val="en-US" w:eastAsia="zh-CN"/>
        </w:rPr>
        <w:t>”栏下的</w:t>
      </w:r>
      <w:r>
        <w:rPr>
          <w:rFonts w:hint="eastAsia" w:ascii="宋体" w:hAnsi="宋体" w:cs="宋体"/>
          <w:color w:val="auto"/>
          <w:szCs w:val="21"/>
          <w:highlight w:val="none"/>
        </w:rPr>
        <w:t>中标信息处公示评比结果</w:t>
      </w:r>
      <w:r>
        <w:rPr>
          <w:rFonts w:eastAsiaTheme="minorEastAsia"/>
          <w:sz w:val="24"/>
        </w:rPr>
        <w:t>。</w:t>
      </w:r>
    </w:p>
    <w:p w14:paraId="239C3B06">
      <w:pPr>
        <w:spacing w:line="360" w:lineRule="auto"/>
        <w:ind w:right="-21" w:firstLine="480" w:firstLineChars="200"/>
        <w:jc w:val="left"/>
        <w:rPr>
          <w:rFonts w:eastAsiaTheme="minorEastAsia"/>
          <w:b/>
          <w:bCs/>
          <w:sz w:val="24"/>
        </w:rPr>
      </w:pPr>
      <w:r>
        <w:rPr>
          <w:rFonts w:hint="eastAsia" w:eastAsiaTheme="minorEastAsia"/>
          <w:sz w:val="24"/>
          <w:lang w:val="en-US" w:eastAsia="zh-CN"/>
        </w:rPr>
        <w:t>6</w:t>
      </w:r>
      <w:r>
        <w:rPr>
          <w:rFonts w:eastAsiaTheme="minorEastAsia"/>
          <w:sz w:val="24"/>
        </w:rPr>
        <w:t>.2比选申请人如对评比结果有异议，在评比结果公示三天内，可以书面形式向比选人提出质疑。比选人应当在收到比选申请人的书面质疑后五个工作日内做出答复，但答复的内容不得涉及商业秘密。</w:t>
      </w:r>
    </w:p>
    <w:p w14:paraId="23787B2A">
      <w:pPr>
        <w:pStyle w:val="7"/>
        <w:rPr>
          <w:rFonts w:ascii="Times New Roman" w:hAnsi="Times New Roman" w:eastAsiaTheme="minorEastAsia"/>
          <w:b/>
          <w:sz w:val="32"/>
          <w:szCs w:val="32"/>
        </w:rPr>
      </w:pPr>
      <w:bookmarkStart w:id="469" w:name="_Toc2433"/>
      <w:bookmarkStart w:id="470" w:name="_Toc3898"/>
      <w:bookmarkStart w:id="471" w:name="_Toc7274"/>
      <w:bookmarkStart w:id="472" w:name="_Toc7201"/>
      <w:bookmarkStart w:id="473" w:name="_Toc2996"/>
      <w:bookmarkStart w:id="474" w:name="_Toc16236"/>
      <w:bookmarkStart w:id="475" w:name="_Toc31412"/>
      <w:bookmarkStart w:id="476" w:name="_Toc21433"/>
      <w:bookmarkStart w:id="477" w:name="_Toc28938"/>
      <w:bookmarkStart w:id="478" w:name="_Toc17031"/>
      <w:bookmarkStart w:id="479" w:name="_Toc10015"/>
      <w:bookmarkStart w:id="480" w:name="_Toc1358"/>
      <w:bookmarkStart w:id="481" w:name="_Toc15382"/>
      <w:bookmarkStart w:id="482" w:name="_Toc18752"/>
      <w:r>
        <w:rPr>
          <w:rFonts w:hint="default" w:ascii="Times New Roman" w:hAnsi="Times New Roman" w:eastAsiaTheme="minorEastAsia"/>
          <w:b/>
          <w:bCs w:val="0"/>
          <w:sz w:val="32"/>
          <w:szCs w:val="32"/>
          <w:lang w:val="en-US" w:eastAsia="zh-CN"/>
        </w:rPr>
        <w:t>二</w:t>
      </w:r>
      <w:r>
        <w:rPr>
          <w:rFonts w:hint="default" w:ascii="Times New Roman" w:hAnsi="Times New Roman" w:eastAsiaTheme="minorEastAsia"/>
          <w:b/>
          <w:sz w:val="32"/>
          <w:szCs w:val="32"/>
        </w:rPr>
        <w:t>、综合评分办法</w:t>
      </w:r>
      <w:bookmarkEnd w:id="469"/>
      <w:bookmarkEnd w:id="470"/>
      <w:bookmarkEnd w:id="471"/>
      <w:bookmarkEnd w:id="472"/>
      <w:bookmarkEnd w:id="473"/>
      <w:bookmarkEnd w:id="474"/>
      <w:bookmarkEnd w:id="475"/>
      <w:bookmarkEnd w:id="476"/>
      <w:bookmarkEnd w:id="477"/>
      <w:bookmarkEnd w:id="478"/>
      <w:bookmarkEnd w:id="479"/>
    </w:p>
    <w:p w14:paraId="356C390D">
      <w:pPr>
        <w:spacing w:line="360" w:lineRule="auto"/>
        <w:ind w:right="-21" w:firstLine="480" w:firstLineChars="200"/>
        <w:jc w:val="left"/>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u w:val="none"/>
        </w:rPr>
        <w:t>评比委员会首先</w:t>
      </w:r>
      <w:r>
        <w:rPr>
          <w:rFonts w:hint="default" w:ascii="Times New Roman" w:hAnsi="Times New Roman" w:cs="Times New Roman" w:eastAsiaTheme="minorEastAsia"/>
          <w:b w:val="0"/>
          <w:bCs w:val="0"/>
          <w:sz w:val="24"/>
          <w:szCs w:val="24"/>
        </w:rPr>
        <w:t>对比选申请人进行资格审查</w:t>
      </w:r>
      <w:r>
        <w:rPr>
          <w:rFonts w:hint="eastAsia" w:cs="Times New Roman" w:eastAsiaTheme="minorEastAsia"/>
          <w:b w:val="0"/>
          <w:bCs w:val="0"/>
          <w:sz w:val="24"/>
          <w:szCs w:val="24"/>
          <w:lang w:val="en-US" w:eastAsia="zh-CN"/>
        </w:rPr>
        <w:t>时，合格后，再</w:t>
      </w:r>
      <w:r>
        <w:rPr>
          <w:rFonts w:hint="default" w:ascii="Times New Roman" w:hAnsi="Times New Roman" w:cs="Times New Roman" w:eastAsiaTheme="minorEastAsia"/>
          <w:b w:val="0"/>
          <w:bCs w:val="0"/>
          <w:sz w:val="24"/>
          <w:szCs w:val="24"/>
        </w:rPr>
        <w:t>按相应的评分细则对技术部分、商务部分各自进行</w:t>
      </w:r>
      <w:r>
        <w:rPr>
          <w:rFonts w:hint="eastAsia" w:cs="Times New Roman" w:eastAsiaTheme="minorEastAsia"/>
          <w:b w:val="0"/>
          <w:bCs w:val="0"/>
          <w:sz w:val="24"/>
          <w:szCs w:val="24"/>
          <w:lang w:val="en-US" w:eastAsia="zh-CN"/>
        </w:rPr>
        <w:t>评审汇总</w:t>
      </w:r>
      <w:r>
        <w:rPr>
          <w:rFonts w:hint="default" w:ascii="Times New Roman" w:hAnsi="Times New Roman" w:cs="Times New Roman" w:eastAsiaTheme="minorEastAsia"/>
          <w:b w:val="0"/>
          <w:bCs w:val="0"/>
          <w:sz w:val="24"/>
          <w:szCs w:val="24"/>
          <w:u w:val="none"/>
        </w:rPr>
        <w:t>，</w:t>
      </w:r>
      <w:r>
        <w:rPr>
          <w:rFonts w:hint="default" w:ascii="Times New Roman" w:hAnsi="Times New Roman" w:cs="Times New Roman" w:eastAsiaTheme="minorEastAsia"/>
          <w:b w:val="0"/>
          <w:bCs w:val="0"/>
          <w:sz w:val="24"/>
          <w:szCs w:val="24"/>
        </w:rPr>
        <w:t>比选申请人的最终得分是评比委员会每一位成员综合得分计算出来的算术平均值。</w:t>
      </w:r>
    </w:p>
    <w:p w14:paraId="2F451581">
      <w:pPr>
        <w:spacing w:line="360" w:lineRule="auto"/>
        <w:ind w:right="-21" w:firstLine="480" w:firstLineChars="200"/>
        <w:jc w:val="left"/>
        <w:rPr>
          <w:rFonts w:hint="default" w:ascii="Times New Roman" w:hAnsi="Times New Roman" w:cs="Times New Roman" w:eastAsiaTheme="minorEastAsia"/>
          <w:b w:val="0"/>
          <w:bCs w:val="0"/>
          <w:sz w:val="24"/>
          <w:szCs w:val="24"/>
          <w:u w:val="none"/>
        </w:rPr>
      </w:pPr>
      <w:r>
        <w:rPr>
          <w:rFonts w:hint="eastAsia" w:cs="Times New Roman" w:eastAsiaTheme="minorEastAsia"/>
          <w:b w:val="0"/>
          <w:bCs w:val="0"/>
          <w:sz w:val="24"/>
          <w:szCs w:val="24"/>
          <w:u w:val="none"/>
          <w:lang w:val="en-US" w:eastAsia="zh-CN"/>
        </w:rPr>
        <w:t>1.</w:t>
      </w:r>
      <w:r>
        <w:rPr>
          <w:rFonts w:hint="default" w:ascii="Times New Roman" w:hAnsi="Times New Roman" w:cs="Times New Roman" w:eastAsiaTheme="minorEastAsia"/>
          <w:b w:val="0"/>
          <w:bCs w:val="0"/>
          <w:sz w:val="24"/>
          <w:szCs w:val="24"/>
          <w:u w:val="none"/>
        </w:rPr>
        <w:t>资格评审：对比选申请人的资格条件、比选申请文件的完整性和有效性、比选申请文件的有效期等方面进行审查。</w:t>
      </w:r>
    </w:p>
    <w:p w14:paraId="3CCEC782">
      <w:pPr>
        <w:spacing w:line="360" w:lineRule="auto"/>
        <w:ind w:right="-21" w:firstLine="480" w:firstLineChars="200"/>
        <w:jc w:val="left"/>
        <w:rPr>
          <w:rFonts w:hint="default" w:ascii="Times New Roman" w:hAnsi="Times New Roman" w:cs="Times New Roman" w:eastAsiaTheme="minorEastAsia"/>
          <w:b w:val="0"/>
          <w:bCs w:val="0"/>
          <w:sz w:val="24"/>
          <w:szCs w:val="24"/>
          <w:u w:val="none"/>
        </w:rPr>
      </w:pPr>
      <w:r>
        <w:rPr>
          <w:rFonts w:hint="eastAsia" w:cs="Times New Roman" w:eastAsiaTheme="minorEastAsia"/>
          <w:b w:val="0"/>
          <w:bCs w:val="0"/>
          <w:sz w:val="24"/>
          <w:szCs w:val="24"/>
          <w:u w:val="none"/>
          <w:lang w:val="en-US" w:eastAsia="zh-CN"/>
        </w:rPr>
        <w:t>2.</w:t>
      </w:r>
      <w:r>
        <w:rPr>
          <w:rFonts w:hint="default" w:ascii="Times New Roman" w:hAnsi="Times New Roman" w:cs="Times New Roman" w:eastAsiaTheme="minorEastAsia"/>
          <w:b w:val="0"/>
          <w:bCs w:val="0"/>
          <w:sz w:val="24"/>
          <w:szCs w:val="24"/>
          <w:u w:val="none"/>
        </w:rPr>
        <w:t>技术、商务评审：由比选评比委员会按照比选文件的要求，对照比选申请文件的应答进行比较，并对各比选申请文件的技术、商务内容进行评审</w:t>
      </w:r>
      <w:r>
        <w:rPr>
          <w:rFonts w:hint="default" w:ascii="Times New Roman" w:hAnsi="Times New Roman" w:cs="Times New Roman" w:eastAsiaTheme="minorEastAsia"/>
          <w:b w:val="0"/>
          <w:bCs w:val="0"/>
          <w:sz w:val="24"/>
          <w:szCs w:val="24"/>
          <w:u w:val="none"/>
          <w:lang w:eastAsia="zh-CN"/>
        </w:rPr>
        <w:t>、</w:t>
      </w:r>
      <w:r>
        <w:rPr>
          <w:rFonts w:hint="default" w:ascii="Times New Roman" w:hAnsi="Times New Roman" w:cs="Times New Roman" w:eastAsiaTheme="minorEastAsia"/>
          <w:b w:val="0"/>
          <w:bCs w:val="0"/>
          <w:sz w:val="24"/>
          <w:szCs w:val="24"/>
          <w:u w:val="none"/>
        </w:rPr>
        <w:t>打分。</w:t>
      </w:r>
    </w:p>
    <w:p w14:paraId="7C2FBC5C">
      <w:pPr>
        <w:spacing w:line="360" w:lineRule="auto"/>
        <w:ind w:right="-21" w:firstLine="480" w:firstLineChars="200"/>
        <w:jc w:val="left"/>
        <w:rPr>
          <w:rFonts w:hint="eastAsia" w:ascii="Times New Roman" w:hAnsi="Times New Roman" w:cs="Times New Roman" w:eastAsiaTheme="minorEastAsia"/>
          <w:b w:val="0"/>
          <w:bCs w:val="0"/>
          <w:sz w:val="24"/>
          <w:szCs w:val="24"/>
          <w:lang w:eastAsia="zh-CN"/>
        </w:rPr>
      </w:pPr>
      <w:r>
        <w:rPr>
          <w:rFonts w:hint="eastAsia" w:cs="Times New Roman" w:eastAsiaTheme="minorEastAsia"/>
          <w:b w:val="0"/>
          <w:bCs w:val="0"/>
          <w:sz w:val="24"/>
          <w:szCs w:val="24"/>
          <w:u w:val="none"/>
          <w:lang w:val="en-US" w:eastAsia="zh-CN"/>
        </w:rPr>
        <w:t>3.</w:t>
      </w:r>
      <w:r>
        <w:rPr>
          <w:rFonts w:hint="default" w:ascii="Times New Roman" w:hAnsi="Times New Roman" w:cs="Times New Roman" w:eastAsiaTheme="minorEastAsia"/>
          <w:b w:val="0"/>
          <w:bCs w:val="0"/>
          <w:sz w:val="24"/>
          <w:szCs w:val="24"/>
          <w:u w:val="none"/>
        </w:rPr>
        <w:t>如比选申请文件中有含义不明确，对同类问题表达不一致，或有明显的文字、数字计算错误的，评比委员会可要求比选申请人进行必要的澄清、说明</w:t>
      </w:r>
      <w:r>
        <w:rPr>
          <w:rFonts w:hint="default" w:ascii="Times New Roman" w:hAnsi="Times New Roman" w:cs="Times New Roman" w:eastAsiaTheme="minorEastAsia"/>
          <w:b w:val="0"/>
          <w:bCs w:val="0"/>
          <w:sz w:val="24"/>
          <w:szCs w:val="24"/>
        </w:rPr>
        <w:t>或补正，并详细记录，但不得改变比选申请文件的实质内容。评比委员会对比选申请人提交的澄清、说明或补正有疑问的，可以要求比选申请人进一步澄清、说明或补正，直至满足比选评比委员会的要求。如比选申请人拒绝接受澄清、说明或补正，后果由比选申请人自行承担</w:t>
      </w:r>
      <w:r>
        <w:rPr>
          <w:rFonts w:hint="eastAsia" w:ascii="Times New Roman" w:hAnsi="Times New Roman" w:cs="Times New Roman" w:eastAsiaTheme="minorEastAsia"/>
          <w:b w:val="0"/>
          <w:bCs w:val="0"/>
          <w:sz w:val="24"/>
          <w:szCs w:val="24"/>
          <w:lang w:eastAsia="zh-CN"/>
        </w:rPr>
        <w:t>。</w:t>
      </w:r>
    </w:p>
    <w:p w14:paraId="082F0C0D">
      <w:pPr>
        <w:spacing w:line="360" w:lineRule="auto"/>
        <w:ind w:right="-21" w:firstLine="480" w:firstLineChars="200"/>
        <w:jc w:val="left"/>
        <w:rPr>
          <w:rFonts w:hint="default" w:ascii="Times New Roman" w:hAnsi="Times New Roman" w:cs="Times New Roman" w:eastAsiaTheme="minorEastAsia"/>
          <w:b w:val="0"/>
          <w:bCs w:val="0"/>
          <w:sz w:val="24"/>
          <w:szCs w:val="24"/>
        </w:rPr>
      </w:pPr>
      <w:r>
        <w:rPr>
          <w:rFonts w:hint="eastAsia" w:cs="Times New Roman" w:eastAsiaTheme="minorEastAsia"/>
          <w:b w:val="0"/>
          <w:bCs w:val="0"/>
          <w:sz w:val="24"/>
          <w:szCs w:val="24"/>
          <w:lang w:val="en-US" w:eastAsia="zh-CN"/>
        </w:rPr>
        <w:t>4.</w:t>
      </w:r>
      <w:r>
        <w:rPr>
          <w:rFonts w:hint="default" w:ascii="Times New Roman" w:hAnsi="Times New Roman" w:cs="Times New Roman" w:eastAsiaTheme="minorEastAsia"/>
          <w:b w:val="0"/>
          <w:bCs w:val="0"/>
          <w:sz w:val="24"/>
          <w:szCs w:val="24"/>
        </w:rPr>
        <w:t>评审期间，比选评比委员会不接受任何比选申请人主动提出的对报价及单价、合价的调整；</w:t>
      </w:r>
    </w:p>
    <w:p w14:paraId="27ACDB7B">
      <w:pPr>
        <w:spacing w:line="360" w:lineRule="auto"/>
        <w:ind w:right="-21" w:firstLine="480" w:firstLineChars="200"/>
        <w:jc w:val="left"/>
        <w:rPr>
          <w:rFonts w:hint="default" w:ascii="Times New Roman" w:hAnsi="Times New Roman" w:cs="Times New Roman" w:eastAsiaTheme="minorEastAsia"/>
          <w:b w:val="0"/>
          <w:bCs w:val="0"/>
          <w:sz w:val="24"/>
          <w:szCs w:val="24"/>
        </w:rPr>
      </w:pPr>
      <w:r>
        <w:rPr>
          <w:rFonts w:hint="eastAsia" w:cs="Times New Roman" w:eastAsiaTheme="minorEastAsia"/>
          <w:b w:val="0"/>
          <w:bCs w:val="0"/>
          <w:sz w:val="24"/>
          <w:szCs w:val="24"/>
          <w:lang w:val="en-US" w:eastAsia="zh-CN"/>
        </w:rPr>
        <w:t>5.</w:t>
      </w:r>
      <w:r>
        <w:rPr>
          <w:rFonts w:hint="default" w:ascii="Times New Roman" w:hAnsi="Times New Roman" w:cs="Times New Roman" w:eastAsiaTheme="minorEastAsia"/>
          <w:b w:val="0"/>
          <w:bCs w:val="0"/>
          <w:sz w:val="24"/>
          <w:szCs w:val="24"/>
        </w:rPr>
        <w:t>商务报价评审应以报价口径范围一致的评审价为依据。评审价应在报价的基础上，按照下列约定的因素和方法进行计算（下述修正属于非实质性修改比选申请文件；比选申请人如拒绝下述修正的，则属重大偏差，按无效报价处理）：</w:t>
      </w:r>
    </w:p>
    <w:p w14:paraId="0D712174">
      <w:pPr>
        <w:spacing w:line="360" w:lineRule="auto"/>
        <w:ind w:right="-21" w:firstLine="480" w:firstLineChars="200"/>
        <w:jc w:val="left"/>
        <w:rPr>
          <w:rFonts w:hint="default" w:ascii="Times New Roman" w:hAnsi="Times New Roman" w:cs="Times New Roman" w:eastAsiaTheme="minorEastAsia"/>
          <w:b w:val="0"/>
          <w:bCs w:val="0"/>
          <w:sz w:val="24"/>
          <w:szCs w:val="24"/>
        </w:rPr>
      </w:pPr>
      <w:r>
        <w:rPr>
          <w:rFonts w:hint="eastAsia" w:cs="Times New Roman" w:eastAsiaTheme="minorEastAsia"/>
          <w:b w:val="0"/>
          <w:bCs w:val="0"/>
          <w:sz w:val="24"/>
          <w:szCs w:val="24"/>
          <w:lang w:val="en-US" w:eastAsia="zh-CN"/>
        </w:rPr>
        <w:t>（1）</w:t>
      </w:r>
      <w:r>
        <w:rPr>
          <w:rFonts w:hint="default" w:ascii="Times New Roman" w:hAnsi="Times New Roman" w:cs="Times New Roman" w:eastAsiaTheme="minorEastAsia"/>
          <w:b w:val="0"/>
          <w:bCs w:val="0"/>
          <w:sz w:val="24"/>
          <w:szCs w:val="24"/>
        </w:rPr>
        <w:t>如果数字表示的金额和用文字表示的金额不一致时，应以文字表示的金额为准；</w:t>
      </w:r>
    </w:p>
    <w:p w14:paraId="37742691">
      <w:pPr>
        <w:spacing w:line="360" w:lineRule="auto"/>
        <w:ind w:right="-21" w:firstLine="480" w:firstLineChars="200"/>
        <w:jc w:val="left"/>
        <w:rPr>
          <w:rFonts w:hint="default" w:ascii="Times New Roman" w:hAnsi="Times New Roman" w:cs="Times New Roman" w:eastAsiaTheme="minorEastAsia"/>
          <w:b w:val="0"/>
          <w:bCs w:val="0"/>
          <w:sz w:val="24"/>
          <w:szCs w:val="24"/>
        </w:rPr>
      </w:pPr>
      <w:r>
        <w:rPr>
          <w:rFonts w:hint="eastAsia" w:cs="Times New Roman" w:eastAsiaTheme="minorEastAsia"/>
          <w:b w:val="0"/>
          <w:bCs w:val="0"/>
          <w:sz w:val="24"/>
          <w:szCs w:val="24"/>
          <w:lang w:val="en-US" w:eastAsia="zh-CN"/>
        </w:rPr>
        <w:t>（2）</w:t>
      </w:r>
      <w:r>
        <w:rPr>
          <w:rFonts w:hint="default" w:ascii="Times New Roman" w:hAnsi="Times New Roman" w:cs="Times New Roman" w:eastAsiaTheme="minorEastAsia"/>
          <w:b w:val="0"/>
          <w:bCs w:val="0"/>
          <w:sz w:val="24"/>
          <w:szCs w:val="24"/>
        </w:rPr>
        <w:t>当单价与数量的乘积与合价不一致时，以合价为准，并调整单价；</w:t>
      </w:r>
    </w:p>
    <w:p w14:paraId="2F2A97F1">
      <w:pPr>
        <w:spacing w:line="360" w:lineRule="auto"/>
        <w:ind w:right="-21" w:firstLine="480" w:firstLineChars="200"/>
        <w:jc w:val="left"/>
        <w:rPr>
          <w:rFonts w:hint="default" w:ascii="Times New Roman" w:hAnsi="Times New Roman" w:cs="Times New Roman" w:eastAsiaTheme="minorEastAsia"/>
          <w:b w:val="0"/>
          <w:bCs w:val="0"/>
          <w:sz w:val="24"/>
          <w:szCs w:val="24"/>
        </w:rPr>
      </w:pPr>
      <w:r>
        <w:rPr>
          <w:rFonts w:hint="eastAsia" w:cs="Times New Roman" w:eastAsiaTheme="minorEastAsia"/>
          <w:b w:val="0"/>
          <w:bCs w:val="0"/>
          <w:sz w:val="24"/>
          <w:szCs w:val="24"/>
          <w:lang w:val="en-US" w:eastAsia="zh-CN"/>
        </w:rPr>
        <w:t>（3）</w:t>
      </w:r>
      <w:r>
        <w:rPr>
          <w:rFonts w:hint="default" w:ascii="Times New Roman" w:hAnsi="Times New Roman" w:cs="Times New Roman" w:eastAsiaTheme="minorEastAsia"/>
          <w:b w:val="0"/>
          <w:bCs w:val="0"/>
          <w:sz w:val="24"/>
          <w:szCs w:val="24"/>
        </w:rPr>
        <w:t>当合价与报价总价不一致时，以报价总价为准，调整相关合价；</w:t>
      </w:r>
    </w:p>
    <w:p w14:paraId="4A734CEF">
      <w:pPr>
        <w:spacing w:line="360" w:lineRule="auto"/>
        <w:ind w:right="-21" w:firstLine="480" w:firstLineChars="200"/>
        <w:jc w:val="left"/>
        <w:rPr>
          <w:rFonts w:hint="default" w:ascii="Times New Roman" w:hAnsi="Times New Roman" w:cs="Times New Roman" w:eastAsiaTheme="minorEastAsia"/>
          <w:b w:val="0"/>
          <w:bCs w:val="0"/>
          <w:sz w:val="24"/>
          <w:szCs w:val="24"/>
        </w:rPr>
      </w:pPr>
      <w:r>
        <w:rPr>
          <w:rFonts w:hint="eastAsia" w:cs="Times New Roman" w:eastAsiaTheme="minorEastAsia"/>
          <w:b w:val="0"/>
          <w:bCs w:val="0"/>
          <w:sz w:val="24"/>
          <w:szCs w:val="24"/>
          <w:lang w:val="en-US" w:eastAsia="zh-CN"/>
        </w:rPr>
        <w:t>（4）</w:t>
      </w:r>
      <w:r>
        <w:rPr>
          <w:rFonts w:hint="default" w:ascii="Times New Roman" w:hAnsi="Times New Roman" w:cs="Times New Roman" w:eastAsiaTheme="minorEastAsia"/>
          <w:b w:val="0"/>
          <w:bCs w:val="0"/>
          <w:sz w:val="24"/>
          <w:szCs w:val="24"/>
        </w:rPr>
        <w:t>其它未尽事宜，由评比委员会审议确定(如意见不一致时，以记名方式投票确定)。</w:t>
      </w:r>
    </w:p>
    <w:p w14:paraId="2AD583B2">
      <w:pPr>
        <w:spacing w:line="360" w:lineRule="auto"/>
        <w:ind w:right="-21" w:firstLine="480" w:firstLineChars="200"/>
        <w:jc w:val="left"/>
        <w:rPr>
          <w:rFonts w:hint="default" w:ascii="Times New Roman" w:hAnsi="Times New Roman" w:cs="Times New Roman" w:eastAsiaTheme="minorEastAsia"/>
          <w:b w:val="0"/>
          <w:bCs w:val="0"/>
          <w:sz w:val="24"/>
          <w:szCs w:val="24"/>
        </w:rPr>
      </w:pPr>
      <w:r>
        <w:rPr>
          <w:rFonts w:hint="eastAsia" w:cs="Times New Roman" w:eastAsiaTheme="minorEastAsia"/>
          <w:b w:val="0"/>
          <w:bCs w:val="0"/>
          <w:sz w:val="24"/>
          <w:szCs w:val="24"/>
          <w:lang w:val="en-US" w:eastAsia="zh-CN"/>
        </w:rPr>
        <w:t>6.</w:t>
      </w:r>
      <w:r>
        <w:rPr>
          <w:rFonts w:hint="default" w:ascii="Times New Roman" w:hAnsi="Times New Roman" w:cs="Times New Roman" w:eastAsiaTheme="minorEastAsia"/>
          <w:b w:val="0"/>
          <w:bCs w:val="0"/>
          <w:sz w:val="24"/>
          <w:szCs w:val="24"/>
        </w:rPr>
        <w:t>在评审过程中，评比委员会发现投标人的报价明显低于其他投标报价，使得其投标报价可能低于其成本的，应当要求该比选申请人做出书面说明并提供相关证明材料。比选申请人不能合理说明或者不能提供相关证明材料的，由评比委员会认定该比选申请人以低于成本报价，报价不合理，其比选申请文件作无效处理。</w:t>
      </w:r>
    </w:p>
    <w:p w14:paraId="28458C6C">
      <w:pPr>
        <w:pStyle w:val="7"/>
        <w:spacing w:line="360" w:lineRule="auto"/>
        <w:rPr>
          <w:rFonts w:hint="default" w:ascii="Times New Roman" w:hAnsi="Times New Roman" w:eastAsiaTheme="minorEastAsia"/>
          <w:b/>
          <w:bCs/>
          <w:sz w:val="32"/>
          <w:szCs w:val="32"/>
          <w:lang w:val="en-US" w:eastAsia="zh-CN"/>
        </w:rPr>
      </w:pPr>
      <w:bookmarkStart w:id="483" w:name="_Toc29182"/>
      <w:bookmarkStart w:id="484" w:name="_Toc14401"/>
      <w:bookmarkStart w:id="485" w:name="_Toc5576"/>
      <w:bookmarkStart w:id="486" w:name="_Toc15054"/>
      <w:bookmarkStart w:id="487" w:name="_Toc5579"/>
      <w:bookmarkStart w:id="488" w:name="_Toc32405"/>
      <w:bookmarkStart w:id="489" w:name="_Toc7755"/>
      <w:bookmarkStart w:id="490" w:name="_Toc30979"/>
      <w:bookmarkStart w:id="491" w:name="_Toc7245"/>
      <w:bookmarkStart w:id="492" w:name="_Toc20237"/>
      <w:bookmarkStart w:id="493" w:name="_Toc29031"/>
      <w:r>
        <w:rPr>
          <w:rFonts w:hint="eastAsia" w:ascii="Times New Roman" w:hAnsi="Times New Roman" w:eastAsiaTheme="minorEastAsia"/>
          <w:b/>
          <w:bCs/>
          <w:sz w:val="32"/>
          <w:szCs w:val="32"/>
          <w:lang w:val="en-US" w:eastAsia="zh-CN"/>
        </w:rPr>
        <w:t>三、总分计算公式</w:t>
      </w:r>
      <w:bookmarkEnd w:id="483"/>
      <w:bookmarkEnd w:id="484"/>
      <w:bookmarkEnd w:id="485"/>
      <w:bookmarkEnd w:id="486"/>
      <w:bookmarkEnd w:id="487"/>
      <w:bookmarkEnd w:id="488"/>
      <w:bookmarkEnd w:id="489"/>
      <w:bookmarkEnd w:id="490"/>
      <w:bookmarkEnd w:id="491"/>
      <w:bookmarkEnd w:id="492"/>
      <w:bookmarkEnd w:id="493"/>
    </w:p>
    <w:p w14:paraId="6F8F3E2B">
      <w:pPr>
        <w:spacing w:line="360" w:lineRule="auto"/>
        <w:ind w:right="-21" w:firstLine="960" w:firstLineChars="400"/>
        <w:jc w:val="left"/>
        <w:rPr>
          <w:rFonts w:hint="default" w:ascii="Times New Roman" w:hAnsi="Times New Roman" w:cs="Times New Roman" w:eastAsiaTheme="minorEastAsia"/>
          <w:b w:val="0"/>
          <w:bCs w:val="0"/>
          <w:kern w:val="2"/>
          <w:sz w:val="24"/>
          <w:szCs w:val="24"/>
          <w:lang w:val="en-US" w:eastAsia="zh-CN" w:bidi="ar-SA"/>
        </w:rPr>
      </w:pPr>
      <w:r>
        <w:rPr>
          <w:rFonts w:hint="eastAsia" w:ascii="Times New Roman" w:hAnsi="Times New Roman" w:cs="Times New Roman" w:eastAsiaTheme="minorEastAsia"/>
          <w:b w:val="0"/>
          <w:bCs w:val="0"/>
          <w:kern w:val="2"/>
          <w:sz w:val="24"/>
          <w:szCs w:val="24"/>
          <w:lang w:val="en-US" w:eastAsia="zh-CN" w:bidi="ar-SA"/>
        </w:rPr>
        <w:t>总分即比选申请人评分综合得分，其计算公式：</w:t>
      </w:r>
    </w:p>
    <w:p w14:paraId="5B5CB2F0">
      <w:pPr>
        <w:spacing w:line="360" w:lineRule="auto"/>
        <w:ind w:right="-21" w:firstLine="1200" w:firstLineChars="500"/>
        <w:jc w:val="left"/>
        <w:rPr>
          <w:rFonts w:hint="default" w:ascii="Times New Roman" w:hAnsi="Times New Roman" w:cs="Times New Roman" w:eastAsiaTheme="minorEastAsia"/>
          <w:b w:val="0"/>
          <w:bCs w:val="0"/>
          <w:kern w:val="2"/>
          <w:sz w:val="24"/>
          <w:szCs w:val="24"/>
          <w:lang w:val="en-US" w:eastAsia="zh-CN" w:bidi="ar-SA"/>
        </w:rPr>
      </w:pPr>
      <w:r>
        <w:rPr>
          <w:rFonts w:hint="eastAsia" w:ascii="Times New Roman" w:hAnsi="Times New Roman" w:cs="Times New Roman" w:eastAsiaTheme="minorEastAsia"/>
          <w:b w:val="0"/>
          <w:bCs w:val="0"/>
          <w:kern w:val="2"/>
          <w:sz w:val="24"/>
          <w:szCs w:val="24"/>
          <w:lang w:val="en-US" w:eastAsia="zh-CN" w:bidi="ar-SA"/>
        </w:rPr>
        <w:t>总分＝商务部分得分+技术部分得分</w:t>
      </w:r>
    </w:p>
    <w:p w14:paraId="56DD32E6">
      <w:pPr>
        <w:spacing w:line="360" w:lineRule="auto"/>
        <w:ind w:right="-21" w:firstLine="960" w:firstLineChars="400"/>
        <w:jc w:val="left"/>
        <w:rPr>
          <w:rFonts w:hint="default" w:ascii="Times New Roman" w:hAnsi="Times New Roman" w:cs="Times New Roman" w:eastAsiaTheme="minorEastAsia"/>
          <w:b w:val="0"/>
          <w:bCs w:val="0"/>
          <w:kern w:val="2"/>
          <w:sz w:val="24"/>
          <w:szCs w:val="24"/>
          <w:lang w:val="en-US" w:eastAsia="zh-CN" w:bidi="ar-SA"/>
        </w:rPr>
      </w:pPr>
      <w:r>
        <w:rPr>
          <w:rFonts w:hint="eastAsia" w:ascii="Times New Roman" w:hAnsi="Times New Roman" w:cs="Times New Roman" w:eastAsiaTheme="minorEastAsia"/>
          <w:b w:val="0"/>
          <w:bCs w:val="0"/>
          <w:kern w:val="2"/>
          <w:sz w:val="24"/>
          <w:szCs w:val="24"/>
          <w:lang w:val="en-US" w:eastAsia="zh-CN" w:bidi="ar-SA"/>
        </w:rPr>
        <w:t>注：各项指标的分数计算四舍五入，取小数点后两位。</w:t>
      </w:r>
    </w:p>
    <w:p w14:paraId="323DF141">
      <w:pPr>
        <w:pStyle w:val="7"/>
        <w:spacing w:line="360" w:lineRule="auto"/>
      </w:pPr>
      <w:bookmarkStart w:id="494" w:name="_Toc23870"/>
      <w:r>
        <w:rPr>
          <w:rFonts w:hint="eastAsia" w:ascii="Times New Roman" w:hAnsi="Times New Roman" w:eastAsiaTheme="minorEastAsia"/>
          <w:b/>
          <w:bCs/>
          <w:sz w:val="32"/>
          <w:szCs w:val="32"/>
          <w:lang w:val="en-US" w:eastAsia="zh-CN"/>
        </w:rPr>
        <w:t>四</w:t>
      </w:r>
      <w:r>
        <w:rPr>
          <w:rFonts w:ascii="Times New Roman" w:hAnsi="Times New Roman" w:eastAsiaTheme="minorEastAsia"/>
          <w:b/>
          <w:bCs/>
          <w:sz w:val="32"/>
          <w:szCs w:val="32"/>
        </w:rPr>
        <w:t>、评分细则</w:t>
      </w:r>
      <w:bookmarkEnd w:id="494"/>
    </w:p>
    <w:p w14:paraId="43A10328">
      <w:pPr>
        <w:pStyle w:val="18"/>
        <w:outlineLvl w:val="9"/>
        <w:rPr>
          <w:sz w:val="28"/>
          <w:szCs w:val="28"/>
        </w:rPr>
      </w:pPr>
      <w:r>
        <w:rPr>
          <w:rFonts w:hint="default" w:ascii="Times New Roman" w:hAnsi="Times New Roman" w:eastAsiaTheme="minorEastAsia"/>
          <w:b/>
          <w:bCs/>
          <w:sz w:val="24"/>
          <w:szCs w:val="24"/>
        </w:rPr>
        <w:t>1.商务部分评分细则（满分</w:t>
      </w:r>
      <w:r>
        <w:rPr>
          <w:rFonts w:ascii="Times New Roman" w:hAnsi="Times New Roman" w:eastAsiaTheme="minorEastAsia"/>
          <w:b/>
          <w:bCs/>
          <w:sz w:val="24"/>
          <w:szCs w:val="24"/>
        </w:rPr>
        <w:t>30</w:t>
      </w:r>
      <w:r>
        <w:rPr>
          <w:rFonts w:hint="default" w:ascii="Times New Roman" w:hAnsi="Times New Roman" w:eastAsiaTheme="minorEastAsia"/>
          <w:b/>
          <w:bCs/>
          <w:sz w:val="24"/>
          <w:szCs w:val="24"/>
        </w:rPr>
        <w:t>分）</w:t>
      </w:r>
    </w:p>
    <w:tbl>
      <w:tblPr>
        <w:tblStyle w:val="31"/>
        <w:tblW w:w="8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2352"/>
        <w:gridCol w:w="6050"/>
      </w:tblGrid>
      <w:tr w14:paraId="06DF1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noWrap w:val="0"/>
            <w:vAlign w:val="center"/>
          </w:tcPr>
          <w:p w14:paraId="1ABDEE97">
            <w:pPr>
              <w:jc w:val="center"/>
              <w:rPr>
                <w:rFonts w:ascii="宋体" w:hAnsi="宋体" w:cs="宋体"/>
                <w:kern w:val="0"/>
                <w:sz w:val="24"/>
              </w:rPr>
            </w:pPr>
            <w:r>
              <w:rPr>
                <w:rFonts w:hint="eastAsia" w:ascii="宋体" w:hAnsi="宋体" w:cs="宋体"/>
                <w:kern w:val="0"/>
                <w:sz w:val="24"/>
              </w:rPr>
              <w:t>序号</w:t>
            </w:r>
          </w:p>
        </w:tc>
        <w:tc>
          <w:tcPr>
            <w:tcW w:w="2352" w:type="dxa"/>
            <w:noWrap w:val="0"/>
            <w:vAlign w:val="center"/>
          </w:tcPr>
          <w:p w14:paraId="00813F84">
            <w:pPr>
              <w:jc w:val="center"/>
              <w:rPr>
                <w:rFonts w:ascii="宋体" w:hAnsi="宋体" w:cs="宋体"/>
                <w:sz w:val="24"/>
              </w:rPr>
            </w:pPr>
            <w:r>
              <w:rPr>
                <w:rFonts w:hint="eastAsia" w:ascii="宋体" w:hAnsi="宋体" w:cs="宋体"/>
                <w:kern w:val="0"/>
                <w:sz w:val="24"/>
              </w:rPr>
              <w:t>评分因素</w:t>
            </w:r>
          </w:p>
        </w:tc>
        <w:tc>
          <w:tcPr>
            <w:tcW w:w="6050" w:type="dxa"/>
            <w:noWrap w:val="0"/>
            <w:vAlign w:val="center"/>
          </w:tcPr>
          <w:p w14:paraId="23F59009">
            <w:pPr>
              <w:jc w:val="center"/>
              <w:rPr>
                <w:rFonts w:ascii="宋体" w:hAnsi="宋体" w:cs="宋体"/>
                <w:sz w:val="24"/>
              </w:rPr>
            </w:pPr>
            <w:r>
              <w:rPr>
                <w:rFonts w:hint="eastAsia" w:ascii="宋体" w:hAnsi="宋体" w:cs="宋体"/>
                <w:kern w:val="0"/>
                <w:sz w:val="24"/>
              </w:rPr>
              <w:t>评分标准</w:t>
            </w:r>
          </w:p>
        </w:tc>
      </w:tr>
      <w:tr w14:paraId="6BCE5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6" w:hRule="atLeast"/>
        </w:trPr>
        <w:tc>
          <w:tcPr>
            <w:tcW w:w="494" w:type="dxa"/>
            <w:noWrap w:val="0"/>
            <w:vAlign w:val="center"/>
          </w:tcPr>
          <w:p w14:paraId="0B0AEDDA">
            <w:pPr>
              <w:jc w:val="center"/>
              <w:rPr>
                <w:rFonts w:ascii="宋体" w:hAnsi="宋体" w:cs="宋体"/>
                <w:sz w:val="24"/>
              </w:rPr>
            </w:pPr>
            <w:r>
              <w:rPr>
                <w:rFonts w:hint="eastAsia" w:ascii="宋体" w:hAnsi="宋体" w:cs="宋体"/>
                <w:kern w:val="0"/>
                <w:sz w:val="24"/>
              </w:rPr>
              <w:t>1</w:t>
            </w:r>
          </w:p>
        </w:tc>
        <w:tc>
          <w:tcPr>
            <w:tcW w:w="2352" w:type="dxa"/>
            <w:noWrap w:val="0"/>
            <w:vAlign w:val="center"/>
          </w:tcPr>
          <w:p w14:paraId="11165AFE">
            <w:pPr>
              <w:jc w:val="center"/>
              <w:rPr>
                <w:rFonts w:ascii="宋体" w:hAnsi="宋体" w:cs="宋体"/>
                <w:kern w:val="0"/>
                <w:sz w:val="24"/>
              </w:rPr>
            </w:pPr>
            <w:r>
              <w:rPr>
                <w:rFonts w:hint="eastAsia" w:ascii="宋体" w:hAnsi="宋体" w:cs="宋体"/>
                <w:kern w:val="0"/>
                <w:sz w:val="24"/>
              </w:rPr>
              <w:t>本项目报价评分</w:t>
            </w:r>
          </w:p>
          <w:p w14:paraId="173D4BFF">
            <w:pPr>
              <w:jc w:val="center"/>
              <w:rPr>
                <w:rFonts w:ascii="宋体" w:hAnsi="宋体" w:cs="宋体"/>
                <w:kern w:val="0"/>
                <w:sz w:val="24"/>
              </w:rPr>
            </w:pPr>
            <w:r>
              <w:rPr>
                <w:rFonts w:hint="eastAsia" w:ascii="宋体" w:hAnsi="宋体" w:cs="宋体"/>
                <w:kern w:val="0"/>
                <w:sz w:val="24"/>
              </w:rPr>
              <w:t>（满分</w:t>
            </w:r>
            <w:r>
              <w:rPr>
                <w:rFonts w:hint="eastAsia" w:ascii="宋体" w:hAnsi="宋体" w:cs="宋体"/>
                <w:kern w:val="0"/>
                <w:sz w:val="24"/>
                <w:lang w:val="en-US" w:eastAsia="zh-CN"/>
              </w:rPr>
              <w:t>30</w:t>
            </w:r>
            <w:r>
              <w:rPr>
                <w:rFonts w:ascii="宋体" w:hAnsi="宋体" w:cs="宋体"/>
                <w:kern w:val="0"/>
                <w:sz w:val="24"/>
              </w:rPr>
              <w:t>分</w:t>
            </w:r>
            <w:r>
              <w:rPr>
                <w:rFonts w:hint="eastAsia" w:ascii="宋体" w:hAnsi="宋体" w:cs="宋体"/>
                <w:kern w:val="0"/>
                <w:sz w:val="24"/>
              </w:rPr>
              <w:t>）</w:t>
            </w:r>
          </w:p>
        </w:tc>
        <w:tc>
          <w:tcPr>
            <w:tcW w:w="6050" w:type="dxa"/>
            <w:noWrap w:val="0"/>
            <w:vAlign w:val="center"/>
          </w:tcPr>
          <w:p w14:paraId="76F31ECC">
            <w:pPr>
              <w:pStyle w:val="2"/>
              <w:rPr>
                <w:rFonts w:hint="default" w:ascii="宋体" w:hAnsi="宋体" w:cs="宋体"/>
                <w:b w:val="0"/>
                <w:bCs w:val="0"/>
                <w:color w:val="auto"/>
                <w:kern w:val="2"/>
                <w:sz w:val="24"/>
                <w:szCs w:val="24"/>
              </w:rPr>
            </w:pPr>
            <w:r>
              <w:rPr>
                <w:rFonts w:hint="default" w:ascii="宋体" w:hAnsi="宋体" w:eastAsia="宋体" w:cs="宋体"/>
                <w:b w:val="0"/>
                <w:bCs w:val="0"/>
                <w:color w:val="auto"/>
                <w:kern w:val="2"/>
                <w:sz w:val="24"/>
                <w:szCs w:val="24"/>
                <w:lang w:val="en-US" w:eastAsia="zh-CN" w:bidi="ar-SA"/>
              </w:rPr>
              <w:t>1.报价分计算方式：报价计算采用含税总报价。资格审查合格的有效报价多于5家时（不含5家），去掉一个最高报价和一个最低报价后的算术平均值作为评标基准价；资格审查合格的有效报价少于5家（含5家）时，则以所有有效的报价的算术平均值作为基准价。</w:t>
            </w:r>
          </w:p>
          <w:p w14:paraId="0661F778">
            <w:pPr>
              <w:pStyle w:val="2"/>
              <w:rPr>
                <w:rFonts w:hint="default" w:ascii="宋体" w:hAnsi="宋体" w:cs="宋体"/>
                <w:b w:val="0"/>
                <w:bCs w:val="0"/>
                <w:color w:val="auto"/>
                <w:kern w:val="2"/>
                <w:sz w:val="24"/>
                <w:szCs w:val="24"/>
              </w:rPr>
            </w:pPr>
            <w:r>
              <w:rPr>
                <w:rFonts w:hint="default" w:ascii="宋体" w:hAnsi="宋体" w:eastAsia="宋体" w:cs="宋体"/>
                <w:b w:val="0"/>
                <w:bCs w:val="0"/>
                <w:color w:val="auto"/>
                <w:kern w:val="2"/>
                <w:sz w:val="24"/>
                <w:szCs w:val="24"/>
                <w:lang w:val="en-US" w:eastAsia="zh-CN" w:bidi="ar-SA"/>
              </w:rPr>
              <w:t>2.评审时以经评审的基准价为最高分，采用内插法计算：当报价高于基准价时，每高于基准价的5%的扣0.2分；每低于基准价的5%的扣0.1分，扣完即止。</w:t>
            </w:r>
          </w:p>
          <w:p w14:paraId="1E743FC7">
            <w:pPr>
              <w:pStyle w:val="2"/>
              <w:rPr>
                <w:rFonts w:hint="default" w:ascii="宋体" w:hAnsi="宋体" w:cs="宋体"/>
                <w:b w:val="0"/>
                <w:bCs w:val="0"/>
                <w:color w:val="auto"/>
                <w:kern w:val="2"/>
                <w:sz w:val="24"/>
                <w:szCs w:val="24"/>
                <w:lang w:val="en-US" w:eastAsia="zh-CN"/>
              </w:rPr>
            </w:pPr>
            <w:r>
              <w:rPr>
                <w:rFonts w:hint="default" w:ascii="宋体" w:hAnsi="宋体" w:cs="宋体"/>
                <w:b w:val="0"/>
                <w:bCs w:val="0"/>
                <w:color w:val="auto"/>
                <w:kern w:val="2"/>
                <w:sz w:val="24"/>
                <w:szCs w:val="24"/>
                <w:lang w:val="en-US" w:eastAsia="zh-CN"/>
              </w:rPr>
              <w:t>3</w:t>
            </w:r>
            <w:r>
              <w:rPr>
                <w:rFonts w:hint="default" w:ascii="宋体" w:hAnsi="宋体" w:eastAsia="宋体" w:cs="宋体"/>
                <w:b w:val="0"/>
                <w:bCs w:val="0"/>
                <w:color w:val="auto"/>
                <w:kern w:val="2"/>
                <w:sz w:val="24"/>
                <w:szCs w:val="24"/>
                <w:lang w:val="en-US" w:eastAsia="zh-CN"/>
              </w:rPr>
              <w:t>.</w:t>
            </w:r>
            <w:r>
              <w:rPr>
                <w:rFonts w:ascii="宋体" w:hAnsi="宋体" w:eastAsia="宋体" w:cs="宋体"/>
                <w:b w:val="0"/>
                <w:bCs w:val="0"/>
                <w:color w:val="auto"/>
                <w:kern w:val="2"/>
                <w:sz w:val="24"/>
                <w:szCs w:val="24"/>
              </w:rPr>
              <w:t>不接受选择性报价或者具有附加条件的报价，报价超出上限控制价格视为无效报价；</w:t>
            </w:r>
          </w:p>
          <w:p w14:paraId="06AAB528">
            <w:pPr>
              <w:jc w:val="left"/>
              <w:rPr>
                <w:rFonts w:ascii="宋体" w:hAnsi="宋体" w:cs="宋体"/>
                <w:b w:val="0"/>
                <w:color w:val="auto"/>
                <w:kern w:val="2"/>
                <w:sz w:val="24"/>
              </w:rPr>
            </w:pPr>
            <w:r>
              <w:rPr>
                <w:rFonts w:hint="default" w:ascii="宋体" w:hAnsi="宋体" w:cs="宋体"/>
                <w:b w:val="0"/>
                <w:color w:val="auto"/>
                <w:kern w:val="2"/>
                <w:sz w:val="24"/>
                <w:lang w:val="en-US" w:eastAsia="zh-CN"/>
              </w:rPr>
              <w:t>4.</w:t>
            </w:r>
            <w:r>
              <w:rPr>
                <w:rFonts w:ascii="宋体" w:hAnsi="宋体" w:cs="宋体"/>
                <w:b w:val="0"/>
                <w:color w:val="auto"/>
                <w:kern w:val="2"/>
                <w:sz w:val="24"/>
              </w:rPr>
              <w:t>比选申请人价格大于上控价时比选申请文件作无效处理</w:t>
            </w:r>
            <w:r>
              <w:rPr>
                <w:rFonts w:hint="default" w:ascii="宋体" w:hAnsi="宋体" w:cs="宋体"/>
                <w:b w:val="0"/>
                <w:color w:val="auto"/>
                <w:kern w:val="2"/>
                <w:sz w:val="24"/>
              </w:rPr>
              <w:t>。</w:t>
            </w:r>
          </w:p>
          <w:p w14:paraId="1B45AB30">
            <w:pPr>
              <w:jc w:val="left"/>
              <w:rPr>
                <w:rFonts w:ascii="宋体" w:hAnsi="宋体"/>
                <w:sz w:val="24"/>
              </w:rPr>
            </w:pPr>
          </w:p>
        </w:tc>
      </w:tr>
    </w:tbl>
    <w:p w14:paraId="45131E99">
      <w:pPr>
        <w:jc w:val="left"/>
        <w:rPr>
          <w:rFonts w:hint="eastAsia" w:ascii="宋体" w:hAnsi="宋体" w:cs="宋体"/>
          <w:sz w:val="28"/>
          <w:szCs w:val="28"/>
        </w:rPr>
      </w:pPr>
      <w:r>
        <w:rPr>
          <w:rFonts w:hint="default" w:ascii="Times New Roman" w:hAnsi="Times New Roman" w:cs="Times New Roman" w:eastAsiaTheme="minorEastAsia"/>
          <w:b/>
          <w:bCs/>
          <w:sz w:val="24"/>
          <w:szCs w:val="24"/>
        </w:rPr>
        <w:t>备注：以比选申请人的不含税报价作为评审的依据，计算四舍五入，取小数点后两位。</w:t>
      </w:r>
    </w:p>
    <w:p w14:paraId="3B792ACC">
      <w:pPr>
        <w:spacing w:line="360" w:lineRule="auto"/>
        <w:ind w:right="-21" w:firstLine="482" w:firstLineChars="200"/>
        <w:jc w:val="left"/>
        <w:outlineLvl w:val="9"/>
        <w:rPr>
          <w:rFonts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2.技术部分评分细则（满分</w:t>
      </w:r>
      <w:r>
        <w:rPr>
          <w:rFonts w:ascii="Times New Roman" w:hAnsi="Times New Roman" w:cs="Times New Roman" w:eastAsiaTheme="minorEastAsia"/>
          <w:b/>
          <w:bCs/>
          <w:sz w:val="24"/>
          <w:szCs w:val="24"/>
        </w:rPr>
        <w:t>70</w:t>
      </w:r>
      <w:r>
        <w:rPr>
          <w:rFonts w:hint="default" w:ascii="Times New Roman" w:hAnsi="Times New Roman" w:cs="Times New Roman" w:eastAsiaTheme="minorEastAsia"/>
          <w:b/>
          <w:bCs/>
          <w:sz w:val="24"/>
          <w:szCs w:val="24"/>
        </w:rPr>
        <w:t>分）</w:t>
      </w:r>
    </w:p>
    <w:tbl>
      <w:tblPr>
        <w:tblStyle w:val="31"/>
        <w:tblW w:w="88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
        <w:gridCol w:w="1106"/>
        <w:gridCol w:w="6182"/>
        <w:gridCol w:w="1187"/>
      </w:tblGrid>
      <w:tr w14:paraId="3D22F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391" w:type="dxa"/>
            <w:noWrap w:val="0"/>
            <w:vAlign w:val="center"/>
          </w:tcPr>
          <w:p w14:paraId="0B5549FA">
            <w:pPr>
              <w:jc w:val="center"/>
              <w:rPr>
                <w:rFonts w:ascii="宋体" w:hAnsi="宋体" w:cs="宋体"/>
                <w:sz w:val="24"/>
              </w:rPr>
            </w:pPr>
            <w:r>
              <w:rPr>
                <w:rFonts w:hint="eastAsia" w:ascii="宋体" w:hAnsi="宋体" w:cs="宋体"/>
                <w:sz w:val="24"/>
              </w:rPr>
              <w:t>序号</w:t>
            </w:r>
          </w:p>
        </w:tc>
        <w:tc>
          <w:tcPr>
            <w:tcW w:w="1106" w:type="dxa"/>
            <w:noWrap w:val="0"/>
            <w:vAlign w:val="center"/>
          </w:tcPr>
          <w:p w14:paraId="37A32E53">
            <w:pPr>
              <w:jc w:val="center"/>
              <w:rPr>
                <w:rFonts w:ascii="宋体" w:hAnsi="宋体" w:cs="宋体"/>
                <w:sz w:val="24"/>
              </w:rPr>
            </w:pPr>
            <w:r>
              <w:rPr>
                <w:rFonts w:hint="eastAsia" w:ascii="宋体" w:hAnsi="宋体" w:cs="宋体"/>
                <w:sz w:val="24"/>
              </w:rPr>
              <w:t>评分因素</w:t>
            </w:r>
          </w:p>
        </w:tc>
        <w:tc>
          <w:tcPr>
            <w:tcW w:w="7369" w:type="dxa"/>
            <w:gridSpan w:val="2"/>
            <w:noWrap w:val="0"/>
            <w:vAlign w:val="center"/>
          </w:tcPr>
          <w:p w14:paraId="3486F05D">
            <w:pPr>
              <w:jc w:val="center"/>
              <w:rPr>
                <w:rFonts w:ascii="宋体" w:hAnsi="宋体" w:cs="宋体"/>
                <w:sz w:val="24"/>
              </w:rPr>
            </w:pPr>
            <w:r>
              <w:rPr>
                <w:rFonts w:hint="eastAsia" w:ascii="宋体" w:hAnsi="宋体" w:cs="宋体"/>
                <w:sz w:val="24"/>
              </w:rPr>
              <w:t>评分标准</w:t>
            </w:r>
          </w:p>
        </w:tc>
      </w:tr>
      <w:tr w14:paraId="4B5DF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391" w:type="dxa"/>
            <w:noWrap w:val="0"/>
            <w:vAlign w:val="center"/>
          </w:tcPr>
          <w:p w14:paraId="07DAAD49">
            <w:pPr>
              <w:jc w:val="center"/>
              <w:rPr>
                <w:rFonts w:ascii="宋体" w:hAnsi="宋体" w:cs="宋体"/>
                <w:kern w:val="0"/>
                <w:sz w:val="24"/>
              </w:rPr>
            </w:pPr>
            <w:r>
              <w:rPr>
                <w:rFonts w:hint="eastAsia" w:ascii="宋体" w:hAnsi="宋体" w:cs="宋体"/>
                <w:kern w:val="0"/>
                <w:sz w:val="24"/>
              </w:rPr>
              <w:t>1</w:t>
            </w:r>
          </w:p>
        </w:tc>
        <w:tc>
          <w:tcPr>
            <w:tcW w:w="1106" w:type="dxa"/>
            <w:noWrap w:val="0"/>
            <w:vAlign w:val="center"/>
          </w:tcPr>
          <w:p w14:paraId="295627D3">
            <w:pPr>
              <w:jc w:val="left"/>
              <w:rPr>
                <w:rFonts w:ascii="宋体" w:hAnsi="宋体" w:cs="宋体"/>
                <w:kern w:val="0"/>
                <w:sz w:val="24"/>
              </w:rPr>
            </w:pPr>
            <w:r>
              <w:rPr>
                <w:rFonts w:hint="eastAsia" w:ascii="宋体" w:hAnsi="宋体" w:cs="宋体"/>
                <w:kern w:val="0"/>
                <w:sz w:val="24"/>
              </w:rPr>
              <w:t>律师事务所业绩表（满分10分）</w:t>
            </w:r>
          </w:p>
        </w:tc>
        <w:tc>
          <w:tcPr>
            <w:tcW w:w="7369" w:type="dxa"/>
            <w:gridSpan w:val="2"/>
            <w:noWrap w:val="0"/>
            <w:vAlign w:val="center"/>
          </w:tcPr>
          <w:p w14:paraId="756E8165">
            <w:pPr>
              <w:ind w:firstLine="480" w:firstLineChars="200"/>
              <w:jc w:val="left"/>
              <w:rPr>
                <w:rFonts w:hint="eastAsia" w:ascii="宋体" w:hAnsi="宋体" w:cs="宋体"/>
                <w:sz w:val="24"/>
              </w:rPr>
            </w:pPr>
            <w:r>
              <w:rPr>
                <w:rFonts w:ascii="宋体" w:hAnsi="宋体" w:cs="宋体"/>
                <w:color w:val="auto"/>
                <w:sz w:val="24"/>
              </w:rPr>
              <w:t>20</w:t>
            </w:r>
            <w:r>
              <w:rPr>
                <w:rFonts w:hint="eastAsia" w:ascii="宋体" w:hAnsi="宋体" w:cs="宋体"/>
                <w:color w:val="auto"/>
                <w:sz w:val="24"/>
                <w:lang w:val="en-US" w:eastAsia="zh-CN"/>
              </w:rPr>
              <w:t>22</w:t>
            </w:r>
            <w:r>
              <w:rPr>
                <w:rFonts w:hint="eastAsia" w:ascii="宋体" w:hAnsi="宋体" w:cs="宋体"/>
                <w:color w:val="auto"/>
                <w:sz w:val="24"/>
              </w:rPr>
              <w:t>年</w:t>
            </w:r>
            <w:r>
              <w:rPr>
                <w:rFonts w:hint="eastAsia" w:ascii="宋体" w:hAnsi="宋体" w:cs="宋体"/>
                <w:color w:val="auto"/>
                <w:sz w:val="24"/>
                <w:lang w:val="en-US" w:eastAsia="zh-CN"/>
              </w:rPr>
              <w:t>1</w:t>
            </w:r>
            <w:r>
              <w:rPr>
                <w:rFonts w:ascii="宋体" w:hAnsi="宋体" w:cs="宋体"/>
                <w:color w:val="auto"/>
                <w:sz w:val="24"/>
              </w:rPr>
              <w:t>月1日</w:t>
            </w:r>
            <w:r>
              <w:rPr>
                <w:rFonts w:hint="eastAsia" w:ascii="宋体" w:hAnsi="宋体" w:cs="宋体"/>
                <w:color w:val="auto"/>
                <w:sz w:val="24"/>
              </w:rPr>
              <w:t>至今担任政府部门或金融机构或国有企业等法律顾问的业绩，提供10个以上（含10个）业绩得10分，9个业绩得8分，8个业绩得6分，7个业绩得4分，6个业绩得3分，5个业绩得1分。5个以下不得分。</w:t>
            </w:r>
            <w:r>
              <w:rPr>
                <w:rFonts w:hint="eastAsia" w:ascii="宋体" w:hAnsi="宋体" w:cs="宋体"/>
                <w:color w:val="auto"/>
                <w:kern w:val="0"/>
                <w:sz w:val="24"/>
              </w:rPr>
              <w:t>（</w:t>
            </w:r>
            <w:r>
              <w:rPr>
                <w:rFonts w:hint="eastAsia" w:ascii="宋体" w:hAnsi="宋体" w:cs="宋体"/>
                <w:color w:val="auto"/>
                <w:sz w:val="24"/>
              </w:rPr>
              <w:t>提供合同复印件体现合同对方名称</w:t>
            </w:r>
            <w:r>
              <w:rPr>
                <w:rFonts w:hint="eastAsia" w:ascii="宋体" w:hAnsi="宋体" w:cs="宋体"/>
                <w:color w:val="auto"/>
                <w:sz w:val="24"/>
                <w:lang w:val="en-US" w:eastAsia="zh-CN"/>
              </w:rPr>
              <w:t>、双方印章</w:t>
            </w:r>
            <w:r>
              <w:rPr>
                <w:rFonts w:hint="eastAsia" w:ascii="宋体" w:hAnsi="宋体" w:cs="宋体"/>
                <w:color w:val="auto"/>
                <w:sz w:val="24"/>
              </w:rPr>
              <w:t>及签订时间，涉及到商业秘密的内容可以隐去）</w:t>
            </w:r>
          </w:p>
        </w:tc>
      </w:tr>
      <w:tr w14:paraId="7A56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trPr>
        <w:tc>
          <w:tcPr>
            <w:tcW w:w="391" w:type="dxa"/>
            <w:vMerge w:val="restart"/>
            <w:noWrap w:val="0"/>
            <w:vAlign w:val="center"/>
          </w:tcPr>
          <w:p w14:paraId="1505473D">
            <w:pPr>
              <w:rPr>
                <w:rFonts w:hint="eastAsia" w:ascii="宋体" w:hAnsi="宋体" w:eastAsia="宋体" w:cs="宋体"/>
                <w:kern w:val="0"/>
                <w:sz w:val="24"/>
                <w:lang w:eastAsia="zh-CN"/>
              </w:rPr>
            </w:pPr>
            <w:r>
              <w:rPr>
                <w:rFonts w:hint="eastAsia" w:ascii="宋体" w:hAnsi="宋体" w:cs="宋体"/>
                <w:kern w:val="0"/>
                <w:sz w:val="24"/>
                <w:lang w:val="en-US" w:eastAsia="zh-CN"/>
              </w:rPr>
              <w:t>2</w:t>
            </w:r>
          </w:p>
        </w:tc>
        <w:tc>
          <w:tcPr>
            <w:tcW w:w="1106" w:type="dxa"/>
            <w:noWrap w:val="0"/>
            <w:vAlign w:val="center"/>
          </w:tcPr>
          <w:p w14:paraId="215BC672">
            <w:pPr>
              <w:jc w:val="left"/>
              <w:rPr>
                <w:rFonts w:hint="eastAsia" w:ascii="宋体" w:hAnsi="宋体" w:cs="宋体"/>
                <w:sz w:val="24"/>
              </w:rPr>
            </w:pPr>
            <w:r>
              <w:rPr>
                <w:rFonts w:hint="eastAsia" w:ascii="宋体" w:hAnsi="宋体" w:cs="宋体"/>
                <w:color w:val="auto"/>
                <w:sz w:val="24"/>
                <w:shd w:val="clear"/>
                <w:lang w:val="en-US" w:eastAsia="zh-CN"/>
              </w:rPr>
              <w:t>拟投入人员配置明细</w:t>
            </w:r>
            <w:r>
              <w:rPr>
                <w:rFonts w:hint="eastAsia" w:ascii="宋体" w:hAnsi="宋体" w:cs="宋体"/>
                <w:sz w:val="24"/>
                <w:lang w:val="en-US" w:eastAsia="zh-CN"/>
              </w:rPr>
              <w:t>（满分</w:t>
            </w:r>
            <w:r>
              <w:rPr>
                <w:rFonts w:hint="eastAsia" w:ascii="宋体" w:hAnsi="宋体" w:cs="宋体"/>
                <w:sz w:val="24"/>
              </w:rPr>
              <w:t>10分</w:t>
            </w:r>
          </w:p>
        </w:tc>
        <w:tc>
          <w:tcPr>
            <w:tcW w:w="7369" w:type="dxa"/>
            <w:gridSpan w:val="2"/>
            <w:noWrap w:val="0"/>
            <w:vAlign w:val="center"/>
          </w:tcPr>
          <w:p w14:paraId="1299D43D">
            <w:pPr>
              <w:ind w:firstLine="480" w:firstLineChars="200"/>
              <w:jc w:val="left"/>
              <w:rPr>
                <w:rFonts w:hint="eastAsia" w:ascii="宋体" w:hAnsi="宋体" w:cs="宋体"/>
                <w:sz w:val="24"/>
                <w:lang w:eastAsia="zh-CN"/>
              </w:rPr>
            </w:pPr>
            <w:r>
              <w:rPr>
                <w:rFonts w:hint="eastAsia" w:ascii="宋体" w:hAnsi="宋体" w:cs="宋体"/>
                <w:strike w:val="0"/>
                <w:dstrike w:val="0"/>
                <w:sz w:val="24"/>
                <w:lang w:val="en-US" w:eastAsia="zh-CN"/>
              </w:rPr>
              <w:t>拟指派律师团队中3名及以上均为律师事务所合伙人，且执业年限达5年以上的得10分，2名为律师事务所合伙人，且执业年限达5年以上的得6分，1名为律师事务所合伙人，且执业年限达5年以上的得3分，指派律师团队中无律师事务所合伙人的不得分。(需提供证明材料)</w:t>
            </w:r>
          </w:p>
        </w:tc>
      </w:tr>
      <w:tr w14:paraId="0BBA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trPr>
        <w:tc>
          <w:tcPr>
            <w:tcW w:w="391" w:type="dxa"/>
            <w:vMerge w:val="continue"/>
            <w:noWrap w:val="0"/>
            <w:vAlign w:val="center"/>
          </w:tcPr>
          <w:p w14:paraId="67C5B716">
            <w:pPr>
              <w:jc w:val="center"/>
              <w:rPr>
                <w:rFonts w:ascii="宋体" w:hAnsi="宋体" w:cs="宋体"/>
                <w:sz w:val="24"/>
              </w:rPr>
            </w:pPr>
          </w:p>
        </w:tc>
        <w:tc>
          <w:tcPr>
            <w:tcW w:w="1106" w:type="dxa"/>
            <w:noWrap w:val="0"/>
            <w:vAlign w:val="center"/>
          </w:tcPr>
          <w:p w14:paraId="189FEF96">
            <w:pPr>
              <w:jc w:val="center"/>
              <w:rPr>
                <w:rFonts w:ascii="宋体" w:hAnsi="宋体" w:cs="宋体"/>
                <w:kern w:val="0"/>
                <w:sz w:val="24"/>
              </w:rPr>
            </w:pPr>
            <w:r>
              <w:rPr>
                <w:rFonts w:hint="eastAsia" w:ascii="宋体" w:hAnsi="宋体" w:cs="宋体"/>
                <w:kern w:val="0"/>
                <w:sz w:val="24"/>
              </w:rPr>
              <w:t>拟投入人员资质（满分</w:t>
            </w:r>
            <w:r>
              <w:rPr>
                <w:rFonts w:hint="eastAsia" w:ascii="宋体" w:hAnsi="宋体" w:cs="宋体"/>
                <w:kern w:val="0"/>
                <w:sz w:val="24"/>
                <w:lang w:val="en-US" w:eastAsia="zh-CN"/>
              </w:rPr>
              <w:t>10</w:t>
            </w:r>
            <w:r>
              <w:rPr>
                <w:rFonts w:hint="eastAsia" w:ascii="宋体" w:hAnsi="宋体" w:cs="宋体"/>
                <w:kern w:val="0"/>
                <w:sz w:val="24"/>
              </w:rPr>
              <w:t>分）</w:t>
            </w:r>
          </w:p>
        </w:tc>
        <w:tc>
          <w:tcPr>
            <w:tcW w:w="7369" w:type="dxa"/>
            <w:gridSpan w:val="2"/>
            <w:noWrap w:val="0"/>
            <w:vAlign w:val="center"/>
          </w:tcPr>
          <w:p w14:paraId="2F47FFC1">
            <w:pPr>
              <w:jc w:val="left"/>
              <w:rPr>
                <w:rFonts w:ascii="宋体" w:hAnsi="宋体" w:cs="宋体"/>
                <w:kern w:val="0"/>
                <w:sz w:val="24"/>
              </w:rPr>
            </w:pPr>
            <w:r>
              <w:rPr>
                <w:rFonts w:hint="eastAsia" w:ascii="宋体" w:hAnsi="宋体" w:cs="宋体"/>
                <w:kern w:val="0"/>
                <w:sz w:val="24"/>
              </w:rPr>
              <w:t>拟指派每位团队律师（以</w:t>
            </w:r>
            <w:r>
              <w:rPr>
                <w:rFonts w:hint="eastAsia" w:ascii="宋体" w:hAnsi="宋体" w:cs="宋体"/>
                <w:kern w:val="0"/>
                <w:sz w:val="24"/>
                <w:lang w:eastAsia="zh-CN"/>
              </w:rPr>
              <w:t>二</w:t>
            </w:r>
            <w:r>
              <w:rPr>
                <w:rFonts w:hint="eastAsia" w:ascii="宋体" w:hAnsi="宋体" w:cs="宋体"/>
                <w:kern w:val="0"/>
                <w:sz w:val="24"/>
              </w:rPr>
              <w:t>位律师业绩为限）自</w:t>
            </w:r>
            <w:r>
              <w:rPr>
                <w:rFonts w:hint="eastAsia" w:ascii="宋体" w:hAnsi="宋体" w:cs="宋体"/>
                <w:sz w:val="24"/>
                <w:u w:val="none"/>
                <w:lang w:val="en-US" w:eastAsia="zh-CN"/>
              </w:rPr>
              <w:t xml:space="preserve"> 2022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u w:val="none"/>
                <w:lang w:val="en-US" w:eastAsia="zh-CN"/>
              </w:rPr>
              <w:t>1</w:t>
            </w:r>
            <w:r>
              <w:rPr>
                <w:rFonts w:ascii="宋体" w:hAnsi="宋体" w:cs="宋体"/>
                <w:sz w:val="24"/>
              </w:rPr>
              <w:t>月</w:t>
            </w: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1</w:t>
            </w:r>
            <w:r>
              <w:rPr>
                <w:rFonts w:ascii="宋体" w:hAnsi="宋体" w:cs="宋体"/>
                <w:sz w:val="24"/>
              </w:rPr>
              <w:t>日</w:t>
            </w:r>
            <w:r>
              <w:rPr>
                <w:rFonts w:hint="eastAsia" w:ascii="宋体" w:hAnsi="宋体" w:cs="宋体"/>
                <w:sz w:val="24"/>
              </w:rPr>
              <w:t>至今</w:t>
            </w:r>
            <w:r>
              <w:rPr>
                <w:rFonts w:hint="eastAsia" w:ascii="宋体" w:hAnsi="宋体" w:cs="宋体"/>
                <w:kern w:val="0"/>
                <w:sz w:val="24"/>
              </w:rPr>
              <w:t>担任</w:t>
            </w:r>
            <w:r>
              <w:rPr>
                <w:rFonts w:hint="eastAsia" w:ascii="宋体" w:hAnsi="宋体" w:cs="宋体"/>
                <w:sz w:val="24"/>
              </w:rPr>
              <w:t>政府部门或金融机构或国有企业</w:t>
            </w:r>
            <w:r>
              <w:rPr>
                <w:rFonts w:hint="eastAsia" w:ascii="宋体" w:hAnsi="宋体" w:cs="宋体"/>
                <w:kern w:val="0"/>
                <w:sz w:val="24"/>
              </w:rPr>
              <w:t>法律顾问</w:t>
            </w:r>
            <w:r>
              <w:rPr>
                <w:rFonts w:hint="eastAsia" w:ascii="宋体" w:hAnsi="宋体" w:cs="宋体"/>
                <w:kern w:val="0"/>
                <w:sz w:val="24"/>
                <w:lang w:val="en-US" w:eastAsia="zh-CN"/>
              </w:rPr>
              <w:t xml:space="preserve"> </w:t>
            </w:r>
            <w:r>
              <w:rPr>
                <w:rFonts w:hint="eastAsia" w:ascii="宋体" w:hAnsi="宋体" w:cs="宋体"/>
                <w:color w:val="auto"/>
                <w:kern w:val="0"/>
                <w:sz w:val="24"/>
                <w:highlight w:val="none"/>
                <w:u w:val="none"/>
              </w:rPr>
              <w:t>5</w:t>
            </w:r>
            <w:r>
              <w:rPr>
                <w:rFonts w:hint="eastAsia" w:ascii="宋体" w:hAnsi="宋体" w:cs="宋体"/>
                <w:color w:val="auto"/>
                <w:kern w:val="0"/>
                <w:sz w:val="24"/>
                <w:highlight w:val="none"/>
              </w:rPr>
              <w:t>家及以上的得</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分</w:t>
            </w:r>
            <w:r>
              <w:rPr>
                <w:rFonts w:hint="eastAsia" w:ascii="宋体" w:hAnsi="宋体" w:cs="宋体"/>
                <w:b/>
                <w:bCs/>
                <w:kern w:val="0"/>
                <w:sz w:val="24"/>
                <w:lang w:val="en-US" w:eastAsia="zh-CN"/>
              </w:rPr>
              <w:t>，</w:t>
            </w:r>
            <w:r>
              <w:rPr>
                <w:rFonts w:hint="eastAsia" w:ascii="宋体" w:hAnsi="宋体" w:cs="宋体"/>
                <w:color w:val="auto"/>
                <w:kern w:val="0"/>
                <w:sz w:val="24"/>
                <w:highlight w:val="none"/>
              </w:rPr>
              <w:t>4家得</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分</w:t>
            </w:r>
            <w:r>
              <w:rPr>
                <w:rFonts w:hint="eastAsia" w:ascii="宋体" w:hAnsi="宋体" w:cs="宋体"/>
                <w:kern w:val="0"/>
                <w:sz w:val="24"/>
              </w:rPr>
              <w:t>，</w:t>
            </w:r>
            <w:r>
              <w:rPr>
                <w:rFonts w:hint="eastAsia" w:ascii="宋体" w:hAnsi="宋体" w:cs="宋体"/>
                <w:sz w:val="24"/>
                <w:u w:val="none"/>
                <w:lang w:val="en-US" w:eastAsia="zh-CN"/>
              </w:rPr>
              <w:t xml:space="preserve"> 3 </w:t>
            </w:r>
            <w:r>
              <w:rPr>
                <w:rFonts w:hint="eastAsia" w:ascii="宋体" w:hAnsi="宋体" w:cs="宋体"/>
                <w:kern w:val="0"/>
                <w:sz w:val="24"/>
              </w:rPr>
              <w:t>家得</w:t>
            </w:r>
            <w:r>
              <w:rPr>
                <w:rFonts w:hint="eastAsia" w:ascii="宋体" w:hAnsi="宋体" w:cs="宋体"/>
                <w:kern w:val="0"/>
                <w:sz w:val="24"/>
                <w:lang w:val="en-US" w:eastAsia="zh-CN"/>
              </w:rPr>
              <w:t>3</w:t>
            </w:r>
            <w:r>
              <w:rPr>
                <w:rFonts w:hint="eastAsia" w:ascii="宋体" w:hAnsi="宋体" w:cs="宋体"/>
                <w:kern w:val="0"/>
                <w:sz w:val="24"/>
              </w:rPr>
              <w:t>分</w:t>
            </w:r>
            <w:r>
              <w:rPr>
                <w:rFonts w:hint="eastAsia" w:ascii="宋体" w:hAnsi="宋体" w:cs="宋体"/>
                <w:kern w:val="0"/>
                <w:sz w:val="24"/>
                <w:lang w:eastAsia="zh-CN"/>
              </w:rPr>
              <w:t>，</w:t>
            </w:r>
            <w:r>
              <w:rPr>
                <w:rFonts w:hint="eastAsia" w:ascii="宋体" w:hAnsi="宋体" w:cs="宋体"/>
                <w:kern w:val="0"/>
                <w:sz w:val="24"/>
                <w:lang w:val="en-US" w:eastAsia="zh-CN"/>
              </w:rPr>
              <w:t>2家得2分，1家得1分</w:t>
            </w:r>
            <w:r>
              <w:rPr>
                <w:rFonts w:hint="eastAsia" w:ascii="宋体" w:hAnsi="宋体" w:cs="宋体"/>
                <w:kern w:val="0"/>
                <w:sz w:val="24"/>
              </w:rPr>
              <w:t>。累计满分</w:t>
            </w:r>
            <w:r>
              <w:rPr>
                <w:rFonts w:hint="eastAsia" w:ascii="宋体" w:hAnsi="宋体" w:cs="宋体"/>
                <w:kern w:val="0"/>
                <w:sz w:val="24"/>
                <w:lang w:val="en-US" w:eastAsia="zh-CN"/>
              </w:rPr>
              <w:t>10</w:t>
            </w:r>
            <w:r>
              <w:rPr>
                <w:rFonts w:hint="eastAsia" w:ascii="宋体" w:hAnsi="宋体" w:cs="宋体"/>
                <w:kern w:val="0"/>
                <w:sz w:val="24"/>
              </w:rPr>
              <w:t>分。（</w:t>
            </w:r>
            <w:r>
              <w:rPr>
                <w:rFonts w:hint="eastAsia" w:ascii="宋体" w:hAnsi="宋体" w:cs="宋体"/>
                <w:sz w:val="24"/>
              </w:rPr>
              <w:t>提供合同复印件体现合同对方名称及签订时间，涉及到商业秘密的内容可以隐去）</w:t>
            </w:r>
          </w:p>
        </w:tc>
      </w:tr>
      <w:tr w14:paraId="50256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391" w:type="dxa"/>
            <w:vMerge w:val="restart"/>
            <w:noWrap w:val="0"/>
            <w:vAlign w:val="center"/>
          </w:tcPr>
          <w:p w14:paraId="4E2AD4FE">
            <w:pPr>
              <w:jc w:val="center"/>
              <w:rPr>
                <w:rFonts w:hint="eastAsia" w:ascii="宋体" w:hAnsi="宋体" w:eastAsia="宋体" w:cs="宋体"/>
                <w:kern w:val="0"/>
                <w:sz w:val="24"/>
                <w:lang w:eastAsia="zh-CN"/>
              </w:rPr>
            </w:pPr>
            <w:r>
              <w:rPr>
                <w:rFonts w:hint="eastAsia" w:ascii="宋体" w:hAnsi="宋体" w:cs="宋体"/>
                <w:kern w:val="0"/>
                <w:sz w:val="24"/>
                <w:lang w:val="en-US" w:eastAsia="zh-CN"/>
              </w:rPr>
              <w:t>3</w:t>
            </w:r>
          </w:p>
        </w:tc>
        <w:tc>
          <w:tcPr>
            <w:tcW w:w="1106" w:type="dxa"/>
            <w:vMerge w:val="restart"/>
            <w:noWrap w:val="0"/>
            <w:vAlign w:val="center"/>
          </w:tcPr>
          <w:p w14:paraId="3B89395F">
            <w:pPr>
              <w:jc w:val="center"/>
              <w:rPr>
                <w:rFonts w:ascii="宋体" w:hAnsi="宋体" w:cs="宋体"/>
                <w:kern w:val="0"/>
                <w:sz w:val="24"/>
              </w:rPr>
            </w:pPr>
            <w:r>
              <w:rPr>
                <w:rFonts w:hint="eastAsia" w:ascii="宋体" w:hAnsi="宋体" w:cs="宋体"/>
                <w:kern w:val="0"/>
                <w:sz w:val="24"/>
              </w:rPr>
              <w:t>服务方案</w:t>
            </w:r>
          </w:p>
          <w:p w14:paraId="39FD0033">
            <w:pPr>
              <w:rPr>
                <w:rFonts w:ascii="宋体" w:hAnsi="宋体" w:cs="宋体"/>
                <w:kern w:val="0"/>
                <w:sz w:val="24"/>
              </w:rPr>
            </w:pPr>
            <w:r>
              <w:rPr>
                <w:rFonts w:hint="eastAsia" w:ascii="宋体" w:hAnsi="宋体" w:cs="宋体"/>
                <w:kern w:val="0"/>
                <w:sz w:val="24"/>
              </w:rPr>
              <w:t>（满分</w:t>
            </w:r>
            <w:r>
              <w:rPr>
                <w:rFonts w:hint="eastAsia" w:ascii="宋体" w:hAnsi="宋体" w:cs="宋体"/>
                <w:kern w:val="0"/>
                <w:sz w:val="24"/>
                <w:lang w:val="en-US" w:eastAsia="zh-CN"/>
              </w:rPr>
              <w:t>40</w:t>
            </w:r>
            <w:r>
              <w:rPr>
                <w:rFonts w:hint="eastAsia" w:ascii="宋体" w:hAnsi="宋体" w:cs="宋体"/>
                <w:kern w:val="0"/>
                <w:sz w:val="24"/>
              </w:rPr>
              <w:t>分）（主要从服务态度、服务质量、服务响应时间、坐班服务、培训等方面进行阐述。）</w:t>
            </w:r>
          </w:p>
        </w:tc>
        <w:tc>
          <w:tcPr>
            <w:tcW w:w="6182" w:type="dxa"/>
            <w:noWrap w:val="0"/>
            <w:vAlign w:val="center"/>
          </w:tcPr>
          <w:p w14:paraId="563C510D">
            <w:pPr>
              <w:spacing w:line="276" w:lineRule="auto"/>
              <w:jc w:val="left"/>
              <w:rPr>
                <w:rFonts w:ascii="宋体" w:hAnsi="宋体" w:cs="宋体"/>
                <w:kern w:val="0"/>
                <w:sz w:val="24"/>
              </w:rPr>
            </w:pPr>
            <w:r>
              <w:rPr>
                <w:rFonts w:hint="eastAsia"/>
                <w:sz w:val="24"/>
              </w:rPr>
              <w:t>对法律顾问工作服务方案不够全面，对服务工作重点不够突出，针对性不强，工作内容不够全面，可实施性较差。</w:t>
            </w:r>
          </w:p>
        </w:tc>
        <w:tc>
          <w:tcPr>
            <w:tcW w:w="1187" w:type="dxa"/>
            <w:noWrap w:val="0"/>
            <w:vAlign w:val="center"/>
          </w:tcPr>
          <w:p w14:paraId="21E4E6D8">
            <w:pPr>
              <w:jc w:val="left"/>
              <w:rPr>
                <w:rFonts w:ascii="宋体" w:hAnsi="宋体" w:cs="宋体"/>
                <w:kern w:val="0"/>
                <w:sz w:val="24"/>
              </w:rPr>
            </w:pPr>
            <w:r>
              <w:rPr>
                <w:rFonts w:hint="eastAsia" w:ascii="宋体" w:hAnsi="宋体" w:cs="宋体"/>
                <w:kern w:val="0"/>
                <w:sz w:val="24"/>
              </w:rPr>
              <w:t>一档：[0～</w:t>
            </w:r>
            <w:r>
              <w:rPr>
                <w:rFonts w:hint="eastAsia" w:ascii="宋体" w:hAnsi="宋体" w:cs="宋体"/>
                <w:kern w:val="0"/>
                <w:sz w:val="24"/>
                <w:lang w:val="en-US" w:eastAsia="zh-CN"/>
              </w:rPr>
              <w:t>10</w:t>
            </w:r>
            <w:r>
              <w:rPr>
                <w:rFonts w:hint="eastAsia" w:ascii="宋体" w:hAnsi="宋体" w:cs="宋体"/>
                <w:kern w:val="0"/>
                <w:sz w:val="24"/>
              </w:rPr>
              <w:t>)分</w:t>
            </w:r>
          </w:p>
        </w:tc>
      </w:tr>
      <w:tr w14:paraId="3FBEF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391" w:type="dxa"/>
            <w:vMerge w:val="continue"/>
            <w:noWrap w:val="0"/>
            <w:vAlign w:val="center"/>
          </w:tcPr>
          <w:p w14:paraId="77A9526F">
            <w:pPr>
              <w:jc w:val="center"/>
              <w:rPr>
                <w:rFonts w:ascii="宋体" w:hAnsi="宋体" w:cs="宋体"/>
                <w:kern w:val="0"/>
                <w:sz w:val="24"/>
              </w:rPr>
            </w:pPr>
          </w:p>
        </w:tc>
        <w:tc>
          <w:tcPr>
            <w:tcW w:w="1106" w:type="dxa"/>
            <w:vMerge w:val="continue"/>
            <w:noWrap w:val="0"/>
            <w:vAlign w:val="center"/>
          </w:tcPr>
          <w:p w14:paraId="45AD0F3A">
            <w:pPr>
              <w:jc w:val="center"/>
              <w:rPr>
                <w:rFonts w:ascii="宋体" w:hAnsi="宋体" w:cs="宋体"/>
                <w:kern w:val="0"/>
                <w:sz w:val="24"/>
              </w:rPr>
            </w:pPr>
          </w:p>
        </w:tc>
        <w:tc>
          <w:tcPr>
            <w:tcW w:w="6182" w:type="dxa"/>
            <w:noWrap w:val="0"/>
            <w:vAlign w:val="center"/>
          </w:tcPr>
          <w:p w14:paraId="30C23FB9">
            <w:pPr>
              <w:spacing w:line="276" w:lineRule="auto"/>
              <w:jc w:val="left"/>
              <w:rPr>
                <w:sz w:val="24"/>
              </w:rPr>
            </w:pPr>
            <w:r>
              <w:rPr>
                <w:rFonts w:hint="eastAsia"/>
                <w:sz w:val="24"/>
              </w:rPr>
              <w:t>对法律顾问工作服务方案较全面，科学合理，对服务工作重点较突出，针对性较强，工作内容较全面，有较强的可实施性。</w:t>
            </w:r>
          </w:p>
        </w:tc>
        <w:tc>
          <w:tcPr>
            <w:tcW w:w="1187" w:type="dxa"/>
            <w:noWrap w:val="0"/>
            <w:vAlign w:val="center"/>
          </w:tcPr>
          <w:p w14:paraId="11E02F6C">
            <w:pPr>
              <w:jc w:val="left"/>
              <w:rPr>
                <w:rFonts w:ascii="宋体" w:hAnsi="宋体" w:cs="宋体"/>
                <w:kern w:val="0"/>
                <w:sz w:val="24"/>
              </w:rPr>
            </w:pPr>
            <w:r>
              <w:rPr>
                <w:rFonts w:hint="eastAsia" w:ascii="宋体" w:hAnsi="宋体" w:cs="宋体"/>
                <w:kern w:val="0"/>
                <w:sz w:val="24"/>
              </w:rPr>
              <w:t>二档：[</w:t>
            </w:r>
            <w:r>
              <w:rPr>
                <w:rFonts w:hint="eastAsia" w:ascii="宋体" w:hAnsi="宋体" w:cs="宋体"/>
                <w:kern w:val="0"/>
                <w:sz w:val="24"/>
                <w:lang w:val="en-US" w:eastAsia="zh-CN"/>
              </w:rPr>
              <w:t>10</w:t>
            </w:r>
            <w:r>
              <w:rPr>
                <w:rFonts w:hint="eastAsia" w:ascii="宋体" w:hAnsi="宋体" w:cs="宋体"/>
                <w:kern w:val="0"/>
                <w:sz w:val="24"/>
              </w:rPr>
              <w:t>～</w:t>
            </w:r>
            <w:r>
              <w:rPr>
                <w:rFonts w:hint="eastAsia" w:ascii="宋体" w:hAnsi="宋体" w:cs="宋体"/>
                <w:kern w:val="0"/>
                <w:sz w:val="24"/>
                <w:lang w:val="en-US" w:eastAsia="zh-CN"/>
              </w:rPr>
              <w:t>24</w:t>
            </w:r>
            <w:r>
              <w:rPr>
                <w:rFonts w:hint="eastAsia" w:ascii="宋体" w:hAnsi="宋体" w:cs="宋体"/>
                <w:kern w:val="0"/>
                <w:sz w:val="24"/>
              </w:rPr>
              <w:t>)分</w:t>
            </w:r>
          </w:p>
        </w:tc>
      </w:tr>
      <w:tr w14:paraId="22F3B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391" w:type="dxa"/>
            <w:vMerge w:val="continue"/>
            <w:noWrap w:val="0"/>
            <w:vAlign w:val="center"/>
          </w:tcPr>
          <w:p w14:paraId="440B30DC">
            <w:pPr>
              <w:jc w:val="center"/>
              <w:rPr>
                <w:rFonts w:ascii="宋体" w:hAnsi="宋体" w:cs="宋体"/>
                <w:kern w:val="0"/>
                <w:sz w:val="24"/>
              </w:rPr>
            </w:pPr>
          </w:p>
        </w:tc>
        <w:tc>
          <w:tcPr>
            <w:tcW w:w="1106" w:type="dxa"/>
            <w:vMerge w:val="continue"/>
            <w:noWrap w:val="0"/>
            <w:vAlign w:val="center"/>
          </w:tcPr>
          <w:p w14:paraId="6B25E78C">
            <w:pPr>
              <w:jc w:val="center"/>
              <w:rPr>
                <w:rFonts w:ascii="宋体" w:hAnsi="宋体" w:cs="宋体"/>
                <w:kern w:val="0"/>
                <w:sz w:val="24"/>
              </w:rPr>
            </w:pPr>
          </w:p>
        </w:tc>
        <w:tc>
          <w:tcPr>
            <w:tcW w:w="6182" w:type="dxa"/>
            <w:noWrap w:val="0"/>
            <w:vAlign w:val="center"/>
          </w:tcPr>
          <w:p w14:paraId="11CB1678">
            <w:pPr>
              <w:jc w:val="left"/>
              <w:rPr>
                <w:sz w:val="24"/>
              </w:rPr>
            </w:pPr>
            <w:r>
              <w:rPr>
                <w:rFonts w:hint="eastAsia"/>
                <w:sz w:val="24"/>
              </w:rPr>
              <w:t>对法律顾问工作服务方案详细全面，科学合理，对服务工作重点突出，针对性强，工作内容全面，可实施性强。</w:t>
            </w:r>
          </w:p>
        </w:tc>
        <w:tc>
          <w:tcPr>
            <w:tcW w:w="1187" w:type="dxa"/>
            <w:noWrap w:val="0"/>
            <w:vAlign w:val="center"/>
          </w:tcPr>
          <w:p w14:paraId="06E5842D">
            <w:pPr>
              <w:jc w:val="left"/>
              <w:rPr>
                <w:rFonts w:ascii="宋体" w:hAnsi="宋体" w:cs="宋体"/>
                <w:kern w:val="0"/>
                <w:sz w:val="24"/>
              </w:rPr>
            </w:pPr>
            <w:r>
              <w:rPr>
                <w:rFonts w:hint="eastAsia" w:ascii="宋体" w:hAnsi="宋体" w:cs="宋体"/>
                <w:kern w:val="0"/>
                <w:sz w:val="24"/>
              </w:rPr>
              <w:t>三档：[</w:t>
            </w:r>
            <w:r>
              <w:rPr>
                <w:rFonts w:hint="eastAsia" w:ascii="宋体" w:hAnsi="宋体" w:cs="宋体"/>
                <w:kern w:val="0"/>
                <w:sz w:val="24"/>
                <w:lang w:val="en-US" w:eastAsia="zh-CN"/>
              </w:rPr>
              <w:t>24</w:t>
            </w:r>
            <w:r>
              <w:rPr>
                <w:rFonts w:hint="eastAsia" w:ascii="宋体" w:hAnsi="宋体" w:cs="宋体"/>
                <w:kern w:val="0"/>
                <w:sz w:val="24"/>
              </w:rPr>
              <w:t>～</w:t>
            </w:r>
            <w:r>
              <w:rPr>
                <w:rFonts w:hint="eastAsia" w:ascii="宋体" w:hAnsi="宋体" w:cs="宋体"/>
                <w:kern w:val="0"/>
                <w:sz w:val="24"/>
                <w:lang w:val="en-US" w:eastAsia="zh-CN"/>
              </w:rPr>
              <w:t>40</w:t>
            </w:r>
            <w:r>
              <w:rPr>
                <w:rFonts w:hint="eastAsia" w:ascii="宋体" w:hAnsi="宋体" w:cs="宋体"/>
                <w:kern w:val="0"/>
                <w:sz w:val="24"/>
              </w:rPr>
              <w:t>]分</w:t>
            </w:r>
          </w:p>
        </w:tc>
      </w:tr>
    </w:tbl>
    <w:p w14:paraId="3B5F0C59">
      <w:pPr>
        <w:pStyle w:val="7"/>
        <w:spacing w:line="360" w:lineRule="auto"/>
        <w:rPr>
          <w:rFonts w:hint="eastAsia" w:ascii="Times New Roman" w:hAnsi="Times New Roman" w:eastAsiaTheme="minorEastAsia"/>
          <w:b/>
          <w:bCs/>
          <w:sz w:val="32"/>
          <w:szCs w:val="32"/>
        </w:rPr>
      </w:pPr>
      <w:bookmarkStart w:id="495" w:name="_Toc10183"/>
      <w:bookmarkStart w:id="496" w:name="_Toc24296"/>
      <w:bookmarkStart w:id="497" w:name="_Toc22367"/>
      <w:bookmarkStart w:id="498" w:name="_Toc19395"/>
      <w:bookmarkStart w:id="499" w:name="_Toc15663"/>
      <w:bookmarkStart w:id="500" w:name="_Toc19365"/>
      <w:bookmarkStart w:id="501" w:name="_Toc27525"/>
      <w:bookmarkStart w:id="502" w:name="_Toc21685"/>
      <w:bookmarkStart w:id="503" w:name="_Toc1966"/>
      <w:bookmarkStart w:id="504" w:name="_Toc1588"/>
      <w:bookmarkStart w:id="505" w:name="_Toc19593"/>
      <w:r>
        <w:rPr>
          <w:rFonts w:hint="eastAsia" w:ascii="Times New Roman" w:hAnsi="Times New Roman" w:eastAsiaTheme="minorEastAsia"/>
          <w:b/>
          <w:bCs/>
          <w:sz w:val="32"/>
          <w:szCs w:val="32"/>
          <w:lang w:val="en-US" w:eastAsia="zh-CN"/>
        </w:rPr>
        <w:t>五</w:t>
      </w:r>
      <w:r>
        <w:rPr>
          <w:rFonts w:hint="default" w:ascii="Times New Roman" w:hAnsi="Times New Roman" w:eastAsiaTheme="minorEastAsia"/>
          <w:b/>
          <w:bCs/>
          <w:sz w:val="32"/>
          <w:szCs w:val="32"/>
        </w:rPr>
        <w:t>、中选标准</w:t>
      </w:r>
      <w:bookmarkEnd w:id="495"/>
      <w:bookmarkEnd w:id="496"/>
      <w:bookmarkEnd w:id="497"/>
      <w:bookmarkEnd w:id="498"/>
      <w:bookmarkEnd w:id="499"/>
      <w:bookmarkEnd w:id="500"/>
      <w:bookmarkEnd w:id="501"/>
      <w:bookmarkEnd w:id="502"/>
      <w:bookmarkEnd w:id="503"/>
      <w:bookmarkEnd w:id="504"/>
      <w:bookmarkEnd w:id="505"/>
    </w:p>
    <w:p w14:paraId="555BA8A5">
      <w:pPr>
        <w:ind w:firstLine="480" w:firstLineChars="200"/>
        <w:jc w:val="left"/>
        <w:rPr>
          <w:rFonts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评比委员会将按照综合得分由高到低进行排序，得分最高的排名第一（当综合得分相同时，按报价由低到高顺序排列；综合得分且报价相同的，按照技术部分得分由高到低顺序排列，当综合得分、报价以及技术部分得分相同时，以记名方式投票并按照多数评审意见确定）。如排名第一的比选候选人放弃中选、因不可抗力不能履行合同或者被查实存在影响比选结果的</w:t>
      </w:r>
      <w:bookmarkStart w:id="514" w:name="_GoBack"/>
      <w:bookmarkEnd w:id="514"/>
      <w:r>
        <w:rPr>
          <w:rFonts w:hint="default" w:ascii="Times New Roman" w:hAnsi="Times New Roman" w:cs="Times New Roman" w:eastAsiaTheme="minorEastAsia"/>
          <w:b w:val="0"/>
          <w:bCs w:val="0"/>
          <w:sz w:val="24"/>
          <w:szCs w:val="24"/>
        </w:rPr>
        <w:t>违法行为等情形，不符合比选条件的，比选人可以按照评比委员会提出的中选候选人名单排序依次确定经公示的其他中选候选人为中选人，也可以重新比选。</w:t>
      </w:r>
    </w:p>
    <w:p w14:paraId="1DEF0EEA">
      <w:pPr>
        <w:ind w:right="753"/>
        <w:jc w:val="left"/>
        <w:rPr>
          <w:rFonts w:ascii="宋体" w:hAnsi="宋体" w:cs="宋体"/>
          <w:sz w:val="28"/>
          <w:szCs w:val="28"/>
        </w:rPr>
      </w:pPr>
    </w:p>
    <w:p w14:paraId="2E902DCA"/>
    <w:bookmarkEnd w:id="480"/>
    <w:bookmarkEnd w:id="481"/>
    <w:bookmarkEnd w:id="482"/>
    <w:p w14:paraId="23CEEE4C">
      <w:pPr>
        <w:widowControl/>
        <w:jc w:val="left"/>
        <w:rPr>
          <w:rFonts w:eastAsiaTheme="minorEastAsia"/>
          <w:sz w:val="28"/>
          <w:szCs w:val="28"/>
        </w:rPr>
      </w:pPr>
    </w:p>
    <w:p w14:paraId="29466ECF">
      <w:pPr>
        <w:pStyle w:val="59"/>
        <w:spacing w:before="156" w:beforeLines="50" w:line="360" w:lineRule="auto"/>
        <w:ind w:left="-420" w:leftChars="-200" w:firstLine="0" w:firstLineChars="0"/>
        <w:outlineLvl w:val="0"/>
        <w:rPr>
          <w:rFonts w:hint="eastAsia" w:ascii="宋体" w:hAnsi="宋体" w:eastAsia="宋体"/>
          <w:b/>
          <w:color w:val="auto"/>
          <w:sz w:val="24"/>
          <w:szCs w:val="24"/>
          <w:highlight w:val="none"/>
        </w:rPr>
      </w:pPr>
      <w:bookmarkStart w:id="506" w:name="_Toc18395"/>
      <w:bookmarkStart w:id="507" w:name="_Toc21548"/>
      <w:bookmarkStart w:id="508" w:name="_Toc29952"/>
      <w:bookmarkStart w:id="509" w:name="_Toc1608"/>
      <w:bookmarkStart w:id="510" w:name="_Toc3448"/>
      <w:bookmarkStart w:id="511" w:name="_Toc24090"/>
      <w:bookmarkStart w:id="512" w:name="_Toc29820"/>
    </w:p>
    <w:p w14:paraId="557BA6B6">
      <w:pPr>
        <w:pStyle w:val="59"/>
        <w:spacing w:before="156" w:beforeLines="50" w:line="360" w:lineRule="auto"/>
        <w:ind w:left="-420" w:leftChars="-200" w:firstLine="0" w:firstLineChars="0"/>
        <w:outlineLvl w:val="0"/>
        <w:rPr>
          <w:rFonts w:hint="eastAsia" w:ascii="宋体" w:hAnsi="宋体" w:eastAsia="宋体"/>
          <w:b/>
          <w:color w:val="auto"/>
          <w:sz w:val="24"/>
          <w:szCs w:val="24"/>
          <w:highlight w:val="none"/>
        </w:rPr>
      </w:pPr>
    </w:p>
    <w:p w14:paraId="04C17140">
      <w:pPr>
        <w:pStyle w:val="59"/>
        <w:spacing w:before="156" w:beforeLines="50" w:line="360" w:lineRule="auto"/>
        <w:ind w:left="-420" w:leftChars="-200" w:firstLine="0" w:firstLineChars="0"/>
        <w:outlineLvl w:val="0"/>
        <w:rPr>
          <w:rFonts w:hint="eastAsia" w:ascii="宋体" w:hAnsi="宋体" w:eastAsia="宋体"/>
          <w:b/>
          <w:color w:val="auto"/>
          <w:sz w:val="24"/>
          <w:szCs w:val="24"/>
          <w:highlight w:val="none"/>
        </w:rPr>
      </w:pPr>
    </w:p>
    <w:p w14:paraId="7DF9738B">
      <w:pPr>
        <w:pStyle w:val="59"/>
        <w:spacing w:before="156" w:beforeLines="50" w:line="360" w:lineRule="auto"/>
        <w:ind w:left="-420" w:leftChars="-200" w:firstLine="0" w:firstLineChars="0"/>
        <w:outlineLvl w:val="0"/>
        <w:rPr>
          <w:rFonts w:hint="eastAsia" w:ascii="宋体" w:hAnsi="宋体" w:eastAsia="宋体"/>
          <w:b/>
          <w:color w:val="auto"/>
          <w:sz w:val="24"/>
          <w:szCs w:val="24"/>
          <w:highlight w:val="none"/>
        </w:rPr>
      </w:pPr>
    </w:p>
    <w:p w14:paraId="399F2027">
      <w:pPr>
        <w:pStyle w:val="59"/>
        <w:spacing w:before="156" w:beforeLines="50" w:line="360" w:lineRule="auto"/>
        <w:ind w:left="-420" w:leftChars="-200" w:firstLine="0" w:firstLineChars="0"/>
        <w:outlineLvl w:val="0"/>
        <w:rPr>
          <w:rFonts w:hint="eastAsia" w:ascii="宋体" w:hAnsi="宋体" w:eastAsia="宋体"/>
          <w:b/>
          <w:color w:val="auto"/>
          <w:sz w:val="24"/>
          <w:szCs w:val="24"/>
          <w:highlight w:val="none"/>
        </w:rPr>
      </w:pPr>
    </w:p>
    <w:p w14:paraId="21B6836C">
      <w:pPr>
        <w:pStyle w:val="59"/>
        <w:spacing w:before="156" w:beforeLines="50" w:line="360" w:lineRule="auto"/>
        <w:ind w:left="-420" w:leftChars="-200" w:firstLine="0" w:firstLineChars="0"/>
        <w:outlineLvl w:val="0"/>
        <w:rPr>
          <w:rFonts w:hint="eastAsia" w:ascii="宋体" w:hAnsi="宋体" w:eastAsia="宋体"/>
          <w:b/>
          <w:color w:val="auto"/>
          <w:sz w:val="24"/>
          <w:szCs w:val="24"/>
          <w:highlight w:val="none"/>
        </w:rPr>
      </w:pPr>
    </w:p>
    <w:p w14:paraId="605E1663">
      <w:pPr>
        <w:pStyle w:val="59"/>
        <w:spacing w:before="156" w:beforeLines="50" w:line="360" w:lineRule="auto"/>
        <w:ind w:left="-420" w:leftChars="-200" w:firstLine="0" w:firstLineChars="0"/>
        <w:outlineLvl w:val="0"/>
        <w:rPr>
          <w:rFonts w:hint="eastAsia" w:ascii="宋体" w:hAnsi="宋体" w:eastAsia="宋体"/>
          <w:b/>
          <w:color w:val="auto"/>
          <w:sz w:val="24"/>
          <w:szCs w:val="24"/>
          <w:highlight w:val="none"/>
        </w:rPr>
      </w:pPr>
    </w:p>
    <w:p w14:paraId="7BA93C10">
      <w:pPr>
        <w:pStyle w:val="59"/>
        <w:spacing w:before="156" w:beforeLines="50" w:line="360" w:lineRule="auto"/>
        <w:ind w:left="-420" w:leftChars="-200" w:firstLine="0" w:firstLineChars="0"/>
        <w:outlineLvl w:val="0"/>
        <w:rPr>
          <w:rFonts w:hint="eastAsia" w:ascii="宋体" w:hAnsi="宋体" w:eastAsia="宋体"/>
          <w:b/>
          <w:color w:val="auto"/>
          <w:sz w:val="24"/>
          <w:szCs w:val="24"/>
          <w:highlight w:val="none"/>
        </w:rPr>
      </w:pPr>
    </w:p>
    <w:p w14:paraId="5216D705">
      <w:pPr>
        <w:pStyle w:val="59"/>
        <w:spacing w:before="156" w:beforeLines="50" w:line="360" w:lineRule="auto"/>
        <w:ind w:left="-420" w:leftChars="-200" w:firstLine="0" w:firstLineChars="0"/>
        <w:outlineLvl w:val="0"/>
        <w:rPr>
          <w:rFonts w:hint="eastAsia" w:ascii="宋体" w:hAnsi="宋体" w:eastAsia="宋体"/>
          <w:b/>
          <w:color w:val="auto"/>
          <w:sz w:val="24"/>
          <w:szCs w:val="24"/>
          <w:highlight w:val="none"/>
        </w:rPr>
      </w:pPr>
    </w:p>
    <w:p w14:paraId="157B694B">
      <w:pPr>
        <w:pStyle w:val="59"/>
        <w:spacing w:before="156" w:beforeLines="50" w:line="360" w:lineRule="auto"/>
        <w:ind w:left="0" w:leftChars="0" w:firstLine="0" w:firstLineChars="0"/>
        <w:outlineLvl w:val="0"/>
        <w:rPr>
          <w:rFonts w:hint="eastAsia" w:ascii="宋体" w:hAnsi="宋体" w:eastAsia="宋体"/>
          <w:b/>
          <w:color w:val="auto"/>
          <w:sz w:val="24"/>
          <w:szCs w:val="24"/>
          <w:highlight w:val="none"/>
        </w:rPr>
      </w:pPr>
    </w:p>
    <w:p w14:paraId="192AFE6A">
      <w:pPr>
        <w:pStyle w:val="59"/>
        <w:spacing w:before="156" w:beforeLines="50" w:line="360" w:lineRule="auto"/>
        <w:ind w:left="0" w:leftChars="0" w:firstLine="0" w:firstLineChars="0"/>
        <w:outlineLvl w:val="0"/>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附表一 资格审查表</w:t>
      </w:r>
      <w:bookmarkEnd w:id="506"/>
      <w:bookmarkEnd w:id="507"/>
      <w:bookmarkEnd w:id="508"/>
      <w:bookmarkEnd w:id="509"/>
      <w:bookmarkEnd w:id="510"/>
      <w:bookmarkEnd w:id="511"/>
      <w:bookmarkEnd w:id="512"/>
    </w:p>
    <w:p w14:paraId="5B524018">
      <w:pPr>
        <w:snapToGrid w:val="0"/>
        <w:spacing w:before="0" w:line="360" w:lineRule="exact"/>
        <w:ind w:left="420" w:right="240" w:firstLine="0"/>
        <w:jc w:val="center"/>
        <w:rPr>
          <w:rFonts w:hint="eastAsia" w:ascii="宋体" w:hAnsi="宋体"/>
          <w:b/>
          <w:color w:val="auto"/>
          <w:sz w:val="24"/>
          <w:szCs w:val="24"/>
          <w:highlight w:val="none"/>
        </w:rPr>
      </w:pPr>
      <w:r>
        <w:rPr>
          <w:rFonts w:hint="eastAsia" w:ascii="宋体" w:hAnsi="宋体"/>
          <w:b/>
          <w:color w:val="auto"/>
          <w:sz w:val="32"/>
          <w:szCs w:val="32"/>
          <w:highlight w:val="none"/>
        </w:rPr>
        <w:t>资格审查表</w:t>
      </w:r>
    </w:p>
    <w:p w14:paraId="36ACB944">
      <w:pPr>
        <w:pStyle w:val="59"/>
        <w:spacing w:before="156" w:beforeLines="50" w:line="360" w:lineRule="auto"/>
        <w:ind w:left="0" w:leftChars="0" w:firstLine="0" w:firstLineChars="0"/>
        <w:outlineLvl w:val="0"/>
        <w:rPr>
          <w:rFonts w:hint="eastAsia" w:ascii="宋体" w:hAnsi="宋体" w:eastAsia="宋体"/>
          <w:b/>
          <w:color w:val="auto"/>
          <w:sz w:val="24"/>
          <w:szCs w:val="24"/>
          <w:highlight w:val="none"/>
        </w:rPr>
      </w:pPr>
    </w:p>
    <w:tbl>
      <w:tblPr>
        <w:tblStyle w:val="31"/>
        <w:tblpPr w:leftFromText="180" w:rightFromText="180" w:vertAnchor="text" w:horzAnchor="page" w:tblpX="877" w:tblpY="356"/>
        <w:tblOverlap w:val="never"/>
        <w:tblW w:w="9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837"/>
        <w:gridCol w:w="2919"/>
        <w:gridCol w:w="2160"/>
        <w:gridCol w:w="1325"/>
        <w:gridCol w:w="799"/>
        <w:gridCol w:w="1286"/>
      </w:tblGrid>
      <w:tr w14:paraId="0EEE6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blHeader/>
        </w:trPr>
        <w:tc>
          <w:tcPr>
            <w:tcW w:w="570" w:type="dxa"/>
            <w:vAlign w:val="center"/>
          </w:tcPr>
          <w:p w14:paraId="21EE91FC">
            <w:pPr>
              <w:keepNext w:val="0"/>
              <w:keepLines w:val="0"/>
              <w:widowControl/>
              <w:suppressLineNumbers w:val="0"/>
              <w:spacing w:before="0" w:beforeAutospacing="0" w:after="0" w:afterAutospacing="0" w:line="240" w:lineRule="auto"/>
              <w:ind w:left="0" w:right="0" w:firstLine="0"/>
              <w:jc w:val="center"/>
              <w:rPr>
                <w:rFonts w:hint="default" w:ascii="宋体" w:hAnsi="宋体" w:eastAsia="宋体" w:cs="宋体"/>
                <w:b/>
                <w:bCs/>
                <w:color w:val="auto"/>
                <w:highlight w:val="none"/>
              </w:rPr>
            </w:pPr>
            <w:bookmarkStart w:id="513" w:name="_Toc8551"/>
            <w:r>
              <w:rPr>
                <w:rFonts w:hint="eastAsia" w:ascii="宋体" w:hAnsi="宋体" w:eastAsia="宋体" w:cs="宋体"/>
                <w:b/>
                <w:bCs/>
                <w:color w:val="auto"/>
                <w:highlight w:val="none"/>
              </w:rPr>
              <w:t>序号</w:t>
            </w:r>
          </w:p>
        </w:tc>
        <w:tc>
          <w:tcPr>
            <w:tcW w:w="837" w:type="dxa"/>
            <w:vAlign w:val="center"/>
          </w:tcPr>
          <w:p w14:paraId="2300B25C">
            <w:pPr>
              <w:keepNext w:val="0"/>
              <w:keepLines w:val="0"/>
              <w:widowControl/>
              <w:suppressLineNumbers w:val="0"/>
              <w:spacing w:before="0" w:beforeAutospacing="0" w:after="0" w:afterAutospacing="0" w:line="240" w:lineRule="auto"/>
              <w:ind w:left="0" w:right="0" w:firstLine="0"/>
              <w:jc w:val="center"/>
              <w:rPr>
                <w:rFonts w:hint="default" w:ascii="宋体" w:hAnsi="宋体" w:eastAsia="宋体" w:cs="宋体"/>
                <w:b/>
                <w:bCs/>
                <w:color w:val="auto"/>
                <w:highlight w:val="none"/>
              </w:rPr>
            </w:pPr>
            <w:r>
              <w:rPr>
                <w:rFonts w:hint="eastAsia" w:ascii="宋体" w:hAnsi="宋体" w:cs="宋体"/>
                <w:b/>
                <w:bCs/>
                <w:color w:val="auto"/>
                <w:highlight w:val="none"/>
                <w:lang w:val="en-US" w:eastAsia="zh-CN"/>
              </w:rPr>
              <w:t>评审项目</w:t>
            </w:r>
          </w:p>
        </w:tc>
        <w:tc>
          <w:tcPr>
            <w:tcW w:w="2919" w:type="dxa"/>
            <w:vAlign w:val="center"/>
          </w:tcPr>
          <w:p w14:paraId="46B89E62">
            <w:pPr>
              <w:keepNext w:val="0"/>
              <w:keepLines w:val="0"/>
              <w:widowControl/>
              <w:suppressLineNumbers w:val="0"/>
              <w:spacing w:before="0" w:beforeAutospacing="0" w:after="0" w:afterAutospacing="0" w:line="240" w:lineRule="auto"/>
              <w:ind w:left="0" w:right="0" w:firstLine="0"/>
              <w:jc w:val="center"/>
              <w:rPr>
                <w:rFonts w:hint="default" w:ascii="宋体" w:hAnsi="宋体" w:eastAsia="宋体" w:cs="宋体"/>
                <w:b/>
                <w:bCs/>
                <w:color w:val="auto"/>
                <w:highlight w:val="none"/>
              </w:rPr>
            </w:pPr>
            <w:r>
              <w:rPr>
                <w:rFonts w:hint="eastAsia" w:ascii="宋体" w:hAnsi="宋体" w:eastAsia="宋体" w:cs="宋体"/>
                <w:b/>
                <w:bCs/>
                <w:color w:val="auto"/>
                <w:highlight w:val="none"/>
              </w:rPr>
              <w:t>合格条件标准</w:t>
            </w:r>
          </w:p>
        </w:tc>
        <w:tc>
          <w:tcPr>
            <w:tcW w:w="2160" w:type="dxa"/>
            <w:vAlign w:val="center"/>
          </w:tcPr>
          <w:p w14:paraId="2C9CAA68">
            <w:pPr>
              <w:keepNext w:val="0"/>
              <w:keepLines w:val="0"/>
              <w:widowControl/>
              <w:suppressLineNumbers w:val="0"/>
              <w:spacing w:before="0" w:beforeAutospacing="0" w:after="0" w:afterAutospacing="0" w:line="240" w:lineRule="auto"/>
              <w:ind w:left="0" w:right="0" w:firstLine="0"/>
              <w:jc w:val="center"/>
              <w:rPr>
                <w:rFonts w:hint="default" w:ascii="宋体" w:hAnsi="宋体" w:eastAsia="宋体" w:cs="宋体"/>
                <w:b/>
                <w:bCs/>
                <w:color w:val="auto"/>
                <w:highlight w:val="none"/>
              </w:rPr>
            </w:pPr>
            <w:r>
              <w:rPr>
                <w:rFonts w:hint="eastAsia" w:ascii="宋体" w:hAnsi="宋体" w:eastAsia="宋体" w:cs="宋体"/>
                <w:b/>
                <w:bCs/>
                <w:color w:val="auto"/>
                <w:highlight w:val="none"/>
              </w:rPr>
              <w:t>评审依据</w:t>
            </w:r>
          </w:p>
        </w:tc>
        <w:tc>
          <w:tcPr>
            <w:tcW w:w="1325" w:type="dxa"/>
            <w:vAlign w:val="center"/>
          </w:tcPr>
          <w:p w14:paraId="6FE24377">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评审结果</w:t>
            </w:r>
          </w:p>
          <w:p w14:paraId="2B629A76">
            <w:pPr>
              <w:keepNext w:val="0"/>
              <w:keepLines w:val="0"/>
              <w:widowControl/>
              <w:suppressLineNumbers w:val="0"/>
              <w:spacing w:before="0" w:beforeAutospacing="0" w:after="0" w:afterAutospacing="0" w:line="240" w:lineRule="auto"/>
              <w:ind w:left="0" w:right="0" w:firstLine="0"/>
              <w:jc w:val="center"/>
              <w:rPr>
                <w:rFonts w:hint="default" w:ascii="宋体" w:hAnsi="宋体" w:eastAsia="宋体" w:cs="宋体"/>
                <w:b/>
                <w:bCs/>
                <w:color w:val="auto"/>
                <w:highlight w:val="none"/>
              </w:rPr>
            </w:pPr>
            <w:r>
              <w:rPr>
                <w:rFonts w:hint="eastAsia" w:ascii="宋体" w:hAnsi="宋体" w:eastAsia="宋体" w:cs="宋体"/>
                <w:b/>
                <w:bCs/>
                <w:color w:val="auto"/>
                <w:highlight w:val="none"/>
              </w:rPr>
              <w:t>（合格/不合格）</w:t>
            </w:r>
          </w:p>
        </w:tc>
        <w:tc>
          <w:tcPr>
            <w:tcW w:w="799" w:type="dxa"/>
            <w:vAlign w:val="center"/>
          </w:tcPr>
          <w:p w14:paraId="5AA03D30">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结论</w:t>
            </w:r>
          </w:p>
        </w:tc>
        <w:tc>
          <w:tcPr>
            <w:tcW w:w="1286" w:type="dxa"/>
            <w:vAlign w:val="center"/>
          </w:tcPr>
          <w:p w14:paraId="515BE174">
            <w:pPr>
              <w:keepNext w:val="0"/>
              <w:keepLines w:val="0"/>
              <w:widowControl/>
              <w:suppressLineNumbers w:val="0"/>
              <w:spacing w:before="0" w:beforeAutospacing="0" w:after="0" w:afterAutospacing="0" w:line="240" w:lineRule="auto"/>
              <w:ind w:left="0" w:right="0" w:firstLine="0"/>
              <w:jc w:val="center"/>
              <w:rPr>
                <w:rFonts w:hint="default" w:ascii="宋体" w:hAnsi="宋体" w:eastAsia="宋体" w:cs="宋体"/>
                <w:b/>
                <w:bCs/>
                <w:color w:val="auto"/>
                <w:highlight w:val="none"/>
              </w:rPr>
            </w:pPr>
            <w:r>
              <w:rPr>
                <w:rFonts w:hint="eastAsia" w:ascii="宋体" w:hAnsi="宋体" w:eastAsia="宋体" w:cs="宋体"/>
                <w:b/>
                <w:bCs/>
                <w:color w:val="auto"/>
                <w:highlight w:val="none"/>
              </w:rPr>
              <w:t>备注</w:t>
            </w:r>
          </w:p>
        </w:tc>
      </w:tr>
      <w:tr w14:paraId="4FF92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trPr>
        <w:tc>
          <w:tcPr>
            <w:tcW w:w="570" w:type="dxa"/>
            <w:vAlign w:val="center"/>
          </w:tcPr>
          <w:p w14:paraId="1F225E68">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1</w:t>
            </w:r>
          </w:p>
        </w:tc>
        <w:tc>
          <w:tcPr>
            <w:tcW w:w="837" w:type="dxa"/>
            <w:vAlign w:val="center"/>
          </w:tcPr>
          <w:p w14:paraId="5F9F35F6">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比选申请人资格</w:t>
            </w:r>
          </w:p>
        </w:tc>
        <w:tc>
          <w:tcPr>
            <w:tcW w:w="2919" w:type="dxa"/>
            <w:vAlign w:val="center"/>
          </w:tcPr>
          <w:p w14:paraId="56D1EAC8">
            <w:pPr>
              <w:keepNext w:val="0"/>
              <w:keepLines w:val="0"/>
              <w:widowControl/>
              <w:suppressLineNumbers w:val="0"/>
              <w:spacing w:before="0" w:beforeAutospacing="0" w:after="0" w:afterAutospacing="0" w:line="240" w:lineRule="auto"/>
              <w:ind w:left="0" w:leftChars="0" w:right="0" w:rightChars="0" w:firstLine="0" w:firstLineChars="0"/>
              <w:jc w:val="both"/>
              <w:rPr>
                <w:rFonts w:hint="eastAsia" w:ascii="宋体" w:hAnsi="宋体" w:eastAsia="宋体" w:cs="宋体"/>
                <w:color w:val="auto"/>
                <w:highlight w:val="none"/>
              </w:rPr>
            </w:pPr>
            <w:r>
              <w:rPr>
                <w:rFonts w:hint="eastAsia" w:ascii="宋体" w:hAnsi="宋体" w:cs="宋体"/>
                <w:color w:val="auto"/>
                <w:highlight w:val="none"/>
                <w:lang w:val="en-US" w:eastAsia="zh-CN"/>
              </w:rPr>
              <w:t>比选申请人为</w:t>
            </w:r>
            <w:r>
              <w:rPr>
                <w:rFonts w:hint="eastAsia" w:ascii="宋体" w:hAnsi="宋体" w:eastAsia="宋体" w:cs="宋体"/>
                <w:color w:val="auto"/>
                <w:highlight w:val="none"/>
              </w:rPr>
              <w:t>中华人民共和国境内依法设立的律师事务所</w:t>
            </w:r>
            <w:r>
              <w:rPr>
                <w:rFonts w:hint="eastAsia" w:ascii="宋体" w:hAnsi="宋体" w:cs="宋体"/>
                <w:color w:val="auto"/>
                <w:highlight w:val="none"/>
                <w:lang w:eastAsia="zh-CN"/>
              </w:rPr>
              <w:t>。</w:t>
            </w:r>
          </w:p>
        </w:tc>
        <w:tc>
          <w:tcPr>
            <w:tcW w:w="2160" w:type="dxa"/>
            <w:vAlign w:val="center"/>
          </w:tcPr>
          <w:p w14:paraId="4E2884E2">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律师事务所执业许可证复印件</w:t>
            </w:r>
          </w:p>
        </w:tc>
        <w:tc>
          <w:tcPr>
            <w:tcW w:w="1325" w:type="dxa"/>
            <w:vAlign w:val="center"/>
          </w:tcPr>
          <w:p w14:paraId="56BE687B">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color w:val="auto"/>
                <w:highlight w:val="none"/>
              </w:rPr>
            </w:pPr>
          </w:p>
        </w:tc>
        <w:tc>
          <w:tcPr>
            <w:tcW w:w="799" w:type="dxa"/>
            <w:vAlign w:val="center"/>
          </w:tcPr>
          <w:p w14:paraId="56F2B634">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color w:val="auto"/>
                <w:highlight w:val="none"/>
                <w:lang w:val="en-US" w:eastAsia="zh-CN"/>
              </w:rPr>
            </w:pPr>
          </w:p>
        </w:tc>
        <w:tc>
          <w:tcPr>
            <w:tcW w:w="1286" w:type="dxa"/>
            <w:vAlign w:val="center"/>
          </w:tcPr>
          <w:p w14:paraId="4B527C88">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须提供有效的律师事务所执业许可证复印件并加盖单位公章。</w:t>
            </w:r>
          </w:p>
        </w:tc>
      </w:tr>
      <w:tr w14:paraId="0028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trPr>
        <w:tc>
          <w:tcPr>
            <w:tcW w:w="570" w:type="dxa"/>
            <w:vAlign w:val="center"/>
          </w:tcPr>
          <w:p w14:paraId="6936A0F5">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2</w:t>
            </w:r>
          </w:p>
        </w:tc>
        <w:tc>
          <w:tcPr>
            <w:tcW w:w="837" w:type="dxa"/>
            <w:vAlign w:val="center"/>
          </w:tcPr>
          <w:p w14:paraId="6566411E">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highlight w:val="none"/>
              </w:rPr>
            </w:pPr>
            <w:r>
              <w:rPr>
                <w:rFonts w:hint="eastAsia" w:ascii="宋体" w:hAnsi="宋体" w:cs="宋体"/>
                <w:color w:val="auto"/>
                <w:highlight w:val="none"/>
                <w:lang w:val="en-US" w:eastAsia="zh-CN"/>
              </w:rPr>
              <w:t>诚信声明</w:t>
            </w:r>
          </w:p>
        </w:tc>
        <w:tc>
          <w:tcPr>
            <w:tcW w:w="2919" w:type="dxa"/>
            <w:vAlign w:val="center"/>
          </w:tcPr>
          <w:p w14:paraId="156E2E9E">
            <w:pPr>
              <w:keepNext w:val="0"/>
              <w:keepLines w:val="0"/>
              <w:widowControl/>
              <w:suppressLineNumbers w:val="0"/>
              <w:spacing w:before="0" w:beforeAutospacing="0" w:after="0" w:afterAutospacing="0" w:line="240" w:lineRule="auto"/>
              <w:ind w:left="0" w:right="0" w:firstLine="0"/>
              <w:jc w:val="left"/>
              <w:rPr>
                <w:rFonts w:hint="eastAsia" w:ascii="宋体" w:hAnsi="宋体" w:cs="宋体"/>
                <w:color w:val="auto"/>
                <w:highlight w:val="none"/>
                <w:lang w:val="en-US" w:eastAsia="zh-CN"/>
              </w:rPr>
            </w:pPr>
            <w:r>
              <w:rPr>
                <w:rFonts w:hint="eastAsia" w:ascii="宋体" w:hAnsi="宋体" w:eastAsia="宋体" w:cs="宋体"/>
                <w:color w:val="auto"/>
                <w:highlight w:val="none"/>
              </w:rPr>
              <w:t>按</w:t>
            </w:r>
            <w:r>
              <w:rPr>
                <w:rFonts w:hint="eastAsia" w:ascii="宋体" w:hAnsi="宋体" w:cs="宋体"/>
                <w:color w:val="auto"/>
                <w:highlight w:val="none"/>
                <w:lang w:val="en-US" w:eastAsia="zh-CN"/>
              </w:rPr>
              <w:t>本项目比选文件第三章</w:t>
            </w:r>
            <w:r>
              <w:rPr>
                <w:rFonts w:hint="eastAsia" w:ascii="宋体" w:hAnsi="宋体" w:eastAsia="宋体" w:cs="宋体"/>
                <w:color w:val="auto"/>
                <w:highlight w:val="none"/>
              </w:rPr>
              <w:t>规定</w:t>
            </w:r>
            <w:r>
              <w:rPr>
                <w:rFonts w:hint="eastAsia" w:ascii="宋体" w:hAnsi="宋体" w:cs="宋体"/>
                <w:color w:val="auto"/>
                <w:highlight w:val="none"/>
                <w:lang w:val="en-US" w:eastAsia="zh-CN"/>
              </w:rPr>
              <w:t>的</w:t>
            </w:r>
            <w:r>
              <w:rPr>
                <w:rFonts w:hint="eastAsia" w:ascii="宋体" w:hAnsi="宋体" w:eastAsia="宋体" w:cs="宋体"/>
                <w:color w:val="auto"/>
                <w:highlight w:val="none"/>
              </w:rPr>
              <w:t>格式提供</w:t>
            </w:r>
            <w:r>
              <w:rPr>
                <w:rFonts w:hint="eastAsia" w:ascii="宋体" w:hAnsi="宋体" w:cs="宋体"/>
                <w:color w:val="auto"/>
                <w:highlight w:val="none"/>
                <w:lang w:val="en-US" w:eastAsia="zh-CN"/>
              </w:rPr>
              <w:t>诚信声明。</w:t>
            </w:r>
          </w:p>
        </w:tc>
        <w:tc>
          <w:tcPr>
            <w:tcW w:w="2160" w:type="dxa"/>
            <w:vAlign w:val="center"/>
          </w:tcPr>
          <w:p w14:paraId="20115B65">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诚信声明原件</w:t>
            </w:r>
          </w:p>
        </w:tc>
        <w:tc>
          <w:tcPr>
            <w:tcW w:w="1325" w:type="dxa"/>
            <w:vAlign w:val="center"/>
          </w:tcPr>
          <w:p w14:paraId="3C8FDAB6">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color w:val="auto"/>
                <w:highlight w:val="none"/>
              </w:rPr>
            </w:pPr>
          </w:p>
        </w:tc>
        <w:tc>
          <w:tcPr>
            <w:tcW w:w="799" w:type="dxa"/>
            <w:vAlign w:val="center"/>
          </w:tcPr>
          <w:p w14:paraId="34D447B6">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color w:val="auto"/>
                <w:highlight w:val="none"/>
                <w:lang w:val="en-US" w:eastAsia="zh-CN"/>
              </w:rPr>
            </w:pPr>
          </w:p>
        </w:tc>
        <w:tc>
          <w:tcPr>
            <w:tcW w:w="1286" w:type="dxa"/>
            <w:vAlign w:val="center"/>
          </w:tcPr>
          <w:p w14:paraId="684DADA8">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color w:val="auto"/>
                <w:highlight w:val="none"/>
                <w:lang w:val="en-US" w:eastAsia="zh-CN"/>
              </w:rPr>
            </w:pPr>
          </w:p>
        </w:tc>
      </w:tr>
      <w:tr w14:paraId="4CFF3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trPr>
        <w:tc>
          <w:tcPr>
            <w:tcW w:w="570" w:type="dxa"/>
            <w:vAlign w:val="center"/>
          </w:tcPr>
          <w:p w14:paraId="120D6EB7">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color w:val="auto"/>
                <w:highlight w:val="none"/>
                <w:lang w:eastAsia="zh-CN"/>
              </w:rPr>
            </w:pPr>
            <w:r>
              <w:rPr>
                <w:rFonts w:hint="eastAsia" w:ascii="宋体" w:hAnsi="宋体" w:cs="宋体"/>
                <w:color w:val="auto"/>
                <w:highlight w:val="none"/>
                <w:lang w:val="en-US" w:eastAsia="zh-CN"/>
              </w:rPr>
              <w:t>3</w:t>
            </w:r>
          </w:p>
        </w:tc>
        <w:tc>
          <w:tcPr>
            <w:tcW w:w="837" w:type="dxa"/>
            <w:vAlign w:val="center"/>
          </w:tcPr>
          <w:p w14:paraId="3153456C">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比选函</w:t>
            </w:r>
          </w:p>
          <w:p w14:paraId="06578ADA">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color w:val="auto"/>
                <w:highlight w:val="none"/>
                <w:lang w:val="en-US" w:eastAsia="zh-CN"/>
              </w:rPr>
            </w:pPr>
          </w:p>
        </w:tc>
        <w:tc>
          <w:tcPr>
            <w:tcW w:w="2919" w:type="dxa"/>
            <w:vAlign w:val="center"/>
          </w:tcPr>
          <w:p w14:paraId="11C8F044">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color w:val="auto"/>
                <w:highlight w:val="none"/>
                <w:lang w:eastAsia="zh-CN"/>
              </w:rPr>
            </w:pPr>
            <w:r>
              <w:rPr>
                <w:rFonts w:hint="eastAsia" w:ascii="宋体" w:hAnsi="宋体" w:eastAsia="宋体" w:cs="宋体"/>
                <w:color w:val="auto"/>
                <w:highlight w:val="none"/>
              </w:rPr>
              <w:t>按</w:t>
            </w:r>
            <w:r>
              <w:rPr>
                <w:rFonts w:hint="eastAsia" w:ascii="宋体" w:hAnsi="宋体" w:cs="宋体"/>
                <w:color w:val="auto"/>
                <w:highlight w:val="none"/>
                <w:lang w:val="en-US" w:eastAsia="zh-CN"/>
              </w:rPr>
              <w:t>本项目比选文件第三章</w:t>
            </w:r>
            <w:r>
              <w:rPr>
                <w:rFonts w:hint="eastAsia" w:ascii="宋体" w:hAnsi="宋体" w:eastAsia="宋体" w:cs="宋体"/>
                <w:color w:val="auto"/>
                <w:highlight w:val="none"/>
              </w:rPr>
              <w:t>规定</w:t>
            </w:r>
            <w:r>
              <w:rPr>
                <w:rFonts w:hint="eastAsia" w:ascii="宋体" w:hAnsi="宋体" w:cs="宋体"/>
                <w:color w:val="auto"/>
                <w:highlight w:val="none"/>
                <w:lang w:val="en-US" w:eastAsia="zh-CN"/>
              </w:rPr>
              <w:t>的</w:t>
            </w:r>
            <w:r>
              <w:rPr>
                <w:rFonts w:hint="eastAsia" w:ascii="宋体" w:hAnsi="宋体" w:eastAsia="宋体" w:cs="宋体"/>
                <w:color w:val="auto"/>
                <w:highlight w:val="none"/>
              </w:rPr>
              <w:t>格式提供</w:t>
            </w:r>
            <w:r>
              <w:rPr>
                <w:rFonts w:hint="eastAsia" w:ascii="宋体" w:hAnsi="宋体" w:eastAsia="宋体" w:cs="宋体"/>
                <w:color w:val="auto"/>
                <w:highlight w:val="none"/>
                <w:lang w:val="en-US" w:eastAsia="zh-CN"/>
              </w:rPr>
              <w:t>比选函</w:t>
            </w:r>
            <w:r>
              <w:rPr>
                <w:rFonts w:hint="eastAsia" w:ascii="宋体" w:hAnsi="宋体" w:cs="宋体"/>
                <w:color w:val="auto"/>
                <w:highlight w:val="none"/>
                <w:lang w:val="en-US" w:eastAsia="zh-CN"/>
              </w:rPr>
              <w:t>。</w:t>
            </w:r>
          </w:p>
        </w:tc>
        <w:tc>
          <w:tcPr>
            <w:tcW w:w="2160" w:type="dxa"/>
            <w:vAlign w:val="center"/>
          </w:tcPr>
          <w:p w14:paraId="58EAB9EA">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highlight w:val="none"/>
              </w:rPr>
            </w:pPr>
            <w:r>
              <w:rPr>
                <w:rFonts w:hint="eastAsia" w:ascii="宋体" w:hAnsi="宋体" w:eastAsia="宋体" w:cs="宋体"/>
                <w:color w:val="auto"/>
                <w:highlight w:val="none"/>
                <w:lang w:val="en-US" w:eastAsia="zh-CN"/>
              </w:rPr>
              <w:t>比选函</w:t>
            </w:r>
            <w:r>
              <w:rPr>
                <w:rFonts w:hint="eastAsia" w:ascii="宋体" w:hAnsi="宋体" w:cs="宋体"/>
                <w:color w:val="auto"/>
                <w:highlight w:val="none"/>
                <w:lang w:val="en-US" w:eastAsia="zh-CN"/>
              </w:rPr>
              <w:t>原件</w:t>
            </w:r>
          </w:p>
        </w:tc>
        <w:tc>
          <w:tcPr>
            <w:tcW w:w="1325" w:type="dxa"/>
            <w:vAlign w:val="center"/>
          </w:tcPr>
          <w:p w14:paraId="12270082">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color w:val="auto"/>
                <w:highlight w:val="none"/>
              </w:rPr>
            </w:pPr>
          </w:p>
        </w:tc>
        <w:tc>
          <w:tcPr>
            <w:tcW w:w="799" w:type="dxa"/>
            <w:vMerge w:val="restart"/>
            <w:vAlign w:val="center"/>
          </w:tcPr>
          <w:p w14:paraId="08E42F13">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color w:val="auto"/>
                <w:highlight w:val="none"/>
                <w:lang w:val="en-US" w:eastAsia="zh-CN"/>
              </w:rPr>
            </w:pPr>
          </w:p>
        </w:tc>
        <w:tc>
          <w:tcPr>
            <w:tcW w:w="1286" w:type="dxa"/>
            <w:vAlign w:val="center"/>
          </w:tcPr>
          <w:p w14:paraId="3204F7A6">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color w:val="auto"/>
                <w:highlight w:val="none"/>
                <w:lang w:val="en-US" w:eastAsia="zh-CN"/>
              </w:rPr>
            </w:pPr>
          </w:p>
        </w:tc>
      </w:tr>
      <w:tr w14:paraId="0EA35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trPr>
        <w:tc>
          <w:tcPr>
            <w:tcW w:w="570" w:type="dxa"/>
            <w:vAlign w:val="center"/>
          </w:tcPr>
          <w:p w14:paraId="622971B4">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4</w:t>
            </w:r>
          </w:p>
        </w:tc>
        <w:tc>
          <w:tcPr>
            <w:tcW w:w="837" w:type="dxa"/>
            <w:vAlign w:val="center"/>
          </w:tcPr>
          <w:p w14:paraId="6659A55C">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color w:val="auto"/>
                <w:highlight w:val="none"/>
              </w:rPr>
            </w:pPr>
            <w:r>
              <w:rPr>
                <w:rFonts w:hint="eastAsia" w:ascii="宋体" w:hAnsi="宋体" w:eastAsia="宋体" w:cs="宋体"/>
                <w:color w:val="auto"/>
                <w:highlight w:val="none"/>
              </w:rPr>
              <w:t>身份证明材料</w:t>
            </w:r>
          </w:p>
        </w:tc>
        <w:tc>
          <w:tcPr>
            <w:tcW w:w="2919" w:type="dxa"/>
            <w:vAlign w:val="center"/>
          </w:tcPr>
          <w:p w14:paraId="599644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①提供</w:t>
            </w:r>
            <w:r>
              <w:rPr>
                <w:rFonts w:hint="eastAsia" w:ascii="宋体" w:hAnsi="宋体" w:eastAsia="宋体" w:cs="宋体"/>
                <w:color w:val="auto"/>
                <w:highlight w:val="none"/>
              </w:rPr>
              <w:t>律师事务所负责人身份</w:t>
            </w:r>
            <w:r>
              <w:rPr>
                <w:rFonts w:hint="eastAsia" w:ascii="宋体" w:hAnsi="宋体" w:cs="宋体"/>
                <w:color w:val="auto"/>
                <w:highlight w:val="none"/>
                <w:lang w:val="en-US" w:eastAsia="zh-CN"/>
              </w:rPr>
              <w:t>证复印件、授权代理人身份证复印件及比选申请文件签署授权委托书（如无授权时，只需提供律师事务所负责人身份证复印件）。</w:t>
            </w:r>
          </w:p>
        </w:tc>
        <w:tc>
          <w:tcPr>
            <w:tcW w:w="2160" w:type="dxa"/>
            <w:vAlign w:val="center"/>
          </w:tcPr>
          <w:p w14:paraId="665BA376">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color w:val="auto"/>
                <w:highlight w:val="none"/>
              </w:rPr>
            </w:pPr>
            <w:r>
              <w:rPr>
                <w:rFonts w:hint="eastAsia" w:ascii="宋体" w:hAnsi="宋体" w:eastAsia="宋体" w:cs="宋体"/>
                <w:color w:val="auto"/>
                <w:highlight w:val="none"/>
              </w:rPr>
              <w:t>律师事务所负责人身份</w:t>
            </w:r>
            <w:r>
              <w:rPr>
                <w:rFonts w:hint="eastAsia" w:ascii="宋体" w:hAnsi="宋体" w:cs="宋体"/>
                <w:color w:val="auto"/>
                <w:highlight w:val="none"/>
                <w:lang w:val="en-US" w:eastAsia="zh-CN"/>
              </w:rPr>
              <w:t>证复印件</w:t>
            </w:r>
            <w:r>
              <w:rPr>
                <w:rFonts w:ascii="宋体" w:hAnsi="宋体" w:cs="宋体"/>
                <w:b/>
                <w:bCs/>
                <w:color w:val="auto"/>
                <w:sz w:val="24"/>
              </w:rPr>
              <w:t>加盖律所公章</w:t>
            </w:r>
            <w:r>
              <w:rPr>
                <w:rFonts w:hint="eastAsia" w:ascii="宋体" w:hAnsi="宋体" w:cs="宋体"/>
                <w:color w:val="auto"/>
                <w:highlight w:val="none"/>
                <w:lang w:val="en-US" w:eastAsia="zh-CN"/>
              </w:rPr>
              <w:t>、授权代理人身份证复印件</w:t>
            </w:r>
            <w:r>
              <w:rPr>
                <w:rFonts w:ascii="宋体" w:hAnsi="宋体" w:cs="宋体"/>
                <w:b/>
                <w:bCs/>
                <w:color w:val="auto"/>
                <w:sz w:val="24"/>
              </w:rPr>
              <w:t>加盖单位公章</w:t>
            </w:r>
            <w:r>
              <w:rPr>
                <w:rFonts w:hint="eastAsia" w:ascii="宋体" w:hAnsi="宋体" w:cs="宋体"/>
                <w:color w:val="auto"/>
                <w:highlight w:val="none"/>
                <w:lang w:val="en-US" w:eastAsia="zh-CN"/>
              </w:rPr>
              <w:t>及比选申请文件签署授权委托书</w:t>
            </w:r>
            <w:r>
              <w:rPr>
                <w:rFonts w:hint="eastAsia" w:ascii="宋体" w:hAnsi="宋体" w:cs="宋体"/>
                <w:b/>
                <w:bCs/>
                <w:color w:val="auto"/>
                <w:highlight w:val="none"/>
                <w:lang w:val="en-US" w:eastAsia="zh-CN"/>
              </w:rPr>
              <w:t>原件</w:t>
            </w:r>
          </w:p>
        </w:tc>
        <w:tc>
          <w:tcPr>
            <w:tcW w:w="1325" w:type="dxa"/>
            <w:vAlign w:val="center"/>
          </w:tcPr>
          <w:p w14:paraId="7C74C071">
            <w:pPr>
              <w:ind w:right="753" w:firstLine="240" w:firstLineChars="100"/>
              <w:jc w:val="left"/>
              <w:rPr>
                <w:rFonts w:hint="eastAsia" w:ascii="宋体" w:hAnsi="宋体" w:eastAsia="宋体" w:cs="宋体"/>
                <w:color w:val="auto"/>
                <w:sz w:val="24"/>
                <w:lang w:eastAsia="zh-CN"/>
              </w:rPr>
            </w:pPr>
          </w:p>
          <w:p w14:paraId="330A78D0">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color w:val="auto"/>
                <w:highlight w:val="none"/>
              </w:rPr>
            </w:pPr>
          </w:p>
        </w:tc>
        <w:tc>
          <w:tcPr>
            <w:tcW w:w="799" w:type="dxa"/>
            <w:vMerge w:val="continue"/>
            <w:vAlign w:val="center"/>
          </w:tcPr>
          <w:p w14:paraId="5A80449A">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color w:val="auto"/>
                <w:highlight w:val="none"/>
                <w:lang w:val="en-US" w:eastAsia="zh-CN"/>
              </w:rPr>
            </w:pPr>
          </w:p>
        </w:tc>
        <w:tc>
          <w:tcPr>
            <w:tcW w:w="1286" w:type="dxa"/>
            <w:vAlign w:val="center"/>
          </w:tcPr>
          <w:p w14:paraId="2A6E6B9B">
            <w:pPr>
              <w:keepNext w:val="0"/>
              <w:keepLines w:val="0"/>
              <w:widowControl/>
              <w:suppressLineNumbers w:val="0"/>
              <w:spacing w:before="0" w:beforeAutospacing="0" w:after="0" w:afterAutospacing="0" w:line="240" w:lineRule="auto"/>
              <w:ind w:left="0" w:right="0" w:firstLine="0"/>
              <w:jc w:val="center"/>
              <w:rPr>
                <w:rFonts w:hint="default" w:ascii="宋体" w:hAnsi="宋体" w:eastAsia="宋体" w:cs="宋体"/>
                <w:color w:val="auto"/>
                <w:highlight w:val="none"/>
                <w:lang w:val="en-US"/>
              </w:rPr>
            </w:pPr>
            <w:r>
              <w:rPr>
                <w:rFonts w:hint="eastAsia" w:ascii="宋体" w:hAnsi="宋体" w:eastAsia="宋体" w:cs="宋体"/>
                <w:color w:val="auto"/>
                <w:highlight w:val="none"/>
                <w:lang w:val="en-US" w:eastAsia="zh-CN"/>
              </w:rPr>
              <w:t>如无授权时，只需提供律师事务所负责人身份证复印件。</w:t>
            </w:r>
          </w:p>
        </w:tc>
      </w:tr>
      <w:tr w14:paraId="08289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570" w:type="dxa"/>
            <w:vAlign w:val="center"/>
          </w:tcPr>
          <w:p w14:paraId="3F138059">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color w:val="auto"/>
                <w:sz w:val="21"/>
                <w:szCs w:val="21"/>
                <w:highlight w:val="none"/>
                <w:lang w:val="en-US" w:eastAsia="zh-CN" w:bidi="ar-SA"/>
              </w:rPr>
            </w:pPr>
            <w:r>
              <w:rPr>
                <w:rFonts w:hint="eastAsia" w:ascii="宋体" w:hAnsi="宋体" w:cs="宋体"/>
                <w:color w:val="auto"/>
                <w:highlight w:val="none"/>
                <w:lang w:val="en-US" w:eastAsia="zh-CN"/>
              </w:rPr>
              <w:t>5</w:t>
            </w:r>
          </w:p>
        </w:tc>
        <w:tc>
          <w:tcPr>
            <w:tcW w:w="837" w:type="dxa"/>
            <w:vAlign w:val="center"/>
          </w:tcPr>
          <w:p w14:paraId="555D1CB0">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1"/>
                <w:szCs w:val="21"/>
                <w:highlight w:val="none"/>
                <w:lang w:val="en-US" w:eastAsia="zh-CN" w:bidi="ar-SA"/>
              </w:rPr>
            </w:pPr>
            <w:r>
              <w:rPr>
                <w:rFonts w:hint="eastAsia" w:ascii="宋体" w:hAnsi="宋体" w:cs="宋体"/>
                <w:color w:val="auto"/>
                <w:highlight w:val="none"/>
                <w:lang w:val="en-US" w:eastAsia="zh-CN"/>
              </w:rPr>
              <w:t>联合体</w:t>
            </w:r>
          </w:p>
        </w:tc>
        <w:tc>
          <w:tcPr>
            <w:tcW w:w="2919" w:type="dxa"/>
            <w:vAlign w:val="center"/>
          </w:tcPr>
          <w:p w14:paraId="1B43AF41">
            <w:pPr>
              <w:keepNext w:val="0"/>
              <w:keepLines w:val="0"/>
              <w:widowControl/>
              <w:numPr>
                <w:ilvl w:val="0"/>
                <w:numId w:val="0"/>
              </w:numPr>
              <w:suppressLineNumbers w:val="0"/>
              <w:spacing w:before="0" w:beforeAutospacing="0" w:after="0" w:afterAutospacing="0" w:line="240" w:lineRule="auto"/>
              <w:ind w:left="0" w:leftChars="0" w:right="0" w:rightChars="0" w:firstLine="0" w:firstLineChars="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highlight w:val="none"/>
                <w:lang w:val="en-US" w:eastAsia="zh-CN"/>
              </w:rPr>
              <w:t>比选申请人</w:t>
            </w:r>
            <w:r>
              <w:rPr>
                <w:rFonts w:hint="eastAsia" w:ascii="宋体" w:hAnsi="宋体" w:eastAsia="宋体" w:cs="宋体"/>
                <w:color w:val="auto"/>
                <w:highlight w:val="none"/>
              </w:rPr>
              <w:t>非联合体</w:t>
            </w:r>
            <w:r>
              <w:rPr>
                <w:rFonts w:hint="eastAsia" w:ascii="宋体" w:hAnsi="宋体" w:eastAsia="宋体" w:cs="宋体"/>
                <w:color w:val="auto"/>
                <w:highlight w:val="none"/>
                <w:lang w:val="en-US" w:eastAsia="zh-CN"/>
              </w:rPr>
              <w:t>比选申请</w:t>
            </w:r>
            <w:r>
              <w:rPr>
                <w:rFonts w:hint="eastAsia" w:ascii="宋体" w:hAnsi="宋体" w:cs="宋体"/>
                <w:color w:val="auto"/>
                <w:highlight w:val="none"/>
                <w:lang w:val="en-US" w:eastAsia="zh-CN"/>
              </w:rPr>
              <w:t>人。</w:t>
            </w:r>
          </w:p>
        </w:tc>
        <w:tc>
          <w:tcPr>
            <w:tcW w:w="2160" w:type="dxa"/>
            <w:vAlign w:val="center"/>
          </w:tcPr>
          <w:p w14:paraId="67B2670E">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本项目不接受联合体比选申请</w:t>
            </w:r>
          </w:p>
        </w:tc>
        <w:tc>
          <w:tcPr>
            <w:tcW w:w="1325" w:type="dxa"/>
            <w:vAlign w:val="center"/>
          </w:tcPr>
          <w:p w14:paraId="23BC5800">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color w:val="auto"/>
                <w:highlight w:val="none"/>
              </w:rPr>
            </w:pPr>
          </w:p>
        </w:tc>
        <w:tc>
          <w:tcPr>
            <w:tcW w:w="799" w:type="dxa"/>
            <w:vMerge w:val="continue"/>
            <w:vAlign w:val="center"/>
          </w:tcPr>
          <w:p w14:paraId="59719051">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color w:val="auto"/>
                <w:highlight w:val="none"/>
                <w:lang w:val="en-US" w:eastAsia="zh-CN"/>
              </w:rPr>
            </w:pPr>
          </w:p>
        </w:tc>
        <w:tc>
          <w:tcPr>
            <w:tcW w:w="1286" w:type="dxa"/>
            <w:vAlign w:val="center"/>
          </w:tcPr>
          <w:p w14:paraId="4DECA9AD">
            <w:pPr>
              <w:keepNext w:val="0"/>
              <w:keepLines w:val="0"/>
              <w:widowControl/>
              <w:suppressLineNumbers w:val="0"/>
              <w:spacing w:before="0" w:beforeAutospacing="0" w:after="0" w:afterAutospacing="0" w:line="240" w:lineRule="auto"/>
              <w:ind w:left="0" w:right="0" w:firstLine="0"/>
              <w:jc w:val="center"/>
              <w:rPr>
                <w:rFonts w:hint="default" w:ascii="宋体" w:hAnsi="宋体" w:eastAsia="宋体" w:cs="宋体"/>
                <w:color w:val="auto"/>
                <w:highlight w:val="none"/>
                <w:lang w:val="en-US" w:eastAsia="zh-CN"/>
              </w:rPr>
            </w:pPr>
          </w:p>
        </w:tc>
      </w:tr>
      <w:bookmarkEnd w:id="513"/>
    </w:tbl>
    <w:p w14:paraId="70EB23AA">
      <w:pPr>
        <w:snapToGrid w:val="0"/>
        <w:spacing w:before="0" w:after="0" w:afterAutospacing="0" w:line="240" w:lineRule="auto"/>
        <w:ind w:left="0" w:right="0" w:firstLine="0"/>
        <w:rPr>
          <w:rFonts w:hint="eastAsia" w:ascii="宋体" w:hAnsi="宋体" w:eastAsia="宋体" w:cs="宋体"/>
          <w:b/>
          <w:color w:val="auto"/>
          <w:highlight w:val="none"/>
        </w:rPr>
      </w:pPr>
    </w:p>
    <w:p w14:paraId="206F222F">
      <w:pPr>
        <w:snapToGrid w:val="0"/>
        <w:spacing w:before="0" w:after="0" w:afterAutospacing="0" w:line="240" w:lineRule="auto"/>
        <w:ind w:left="0" w:right="0" w:firstLine="0"/>
        <w:rPr>
          <w:rFonts w:hint="eastAsia" w:ascii="宋体" w:hAnsi="宋体" w:eastAsia="宋体" w:cs="宋体"/>
          <w:b/>
          <w:color w:val="auto"/>
          <w:highlight w:val="none"/>
        </w:rPr>
      </w:pPr>
      <w:r>
        <w:rPr>
          <w:rFonts w:hint="eastAsia" w:ascii="宋体" w:hAnsi="宋体" w:eastAsia="宋体" w:cs="宋体"/>
          <w:b/>
          <w:color w:val="auto"/>
          <w:highlight w:val="none"/>
        </w:rPr>
        <w:t>注：</w:t>
      </w:r>
    </w:p>
    <w:p w14:paraId="2DA293B9">
      <w:pPr>
        <w:snapToGrid w:val="0"/>
        <w:spacing w:before="0" w:after="0" w:afterAutospacing="0" w:line="240" w:lineRule="auto"/>
        <w:ind w:left="0" w:right="0" w:firstLine="0"/>
        <w:rPr>
          <w:rFonts w:hint="default" w:ascii="宋体" w:hAnsi="宋体" w:eastAsia="宋体" w:cs="宋体"/>
          <w:b/>
          <w:color w:val="auto"/>
          <w:highlight w:val="none"/>
          <w:lang w:val="en-US" w:eastAsia="zh-CN"/>
        </w:rPr>
      </w:pPr>
      <w:r>
        <w:rPr>
          <w:rFonts w:hint="eastAsia" w:ascii="宋体" w:hAnsi="宋体" w:eastAsia="宋体" w:cs="宋体"/>
          <w:b/>
          <w:color w:val="auto"/>
          <w:highlight w:val="none"/>
        </w:rPr>
        <w:t>1.以上所有证明资料</w:t>
      </w:r>
      <w:r>
        <w:rPr>
          <w:rFonts w:hint="eastAsia" w:ascii="宋体" w:hAnsi="宋体" w:cs="宋体"/>
          <w:b/>
          <w:color w:val="auto"/>
          <w:highlight w:val="none"/>
          <w:lang w:val="en-US" w:eastAsia="zh-CN"/>
        </w:rPr>
        <w:t>复印件应加盖比选申请人公章。</w:t>
      </w:r>
    </w:p>
    <w:p w14:paraId="4F47FAE5">
      <w:pPr>
        <w:snapToGrid w:val="0"/>
        <w:spacing w:before="0" w:after="0" w:afterAutospacing="0" w:line="240" w:lineRule="auto"/>
        <w:ind w:left="0" w:right="0" w:firstLine="0"/>
        <w:rPr>
          <w:rFonts w:hint="default" w:ascii="宋体" w:hAnsi="宋体" w:eastAsia="宋体" w:cs="宋体"/>
          <w:b/>
          <w:color w:val="auto"/>
          <w:highlight w:val="none"/>
          <w:lang w:val="en-US" w:eastAsia="zh-CN"/>
        </w:rPr>
      </w:pPr>
      <w:r>
        <w:rPr>
          <w:rFonts w:hint="eastAsia" w:ascii="宋体" w:hAnsi="宋体" w:cs="宋体"/>
          <w:b/>
          <w:color w:val="auto"/>
          <w:highlight w:val="none"/>
          <w:lang w:val="en-US" w:eastAsia="zh-CN"/>
        </w:rPr>
        <w:t>2.评审结果填写：合格打√，不合格打×，凡评审结果有一项不合格者，结论为不通过。</w:t>
      </w:r>
    </w:p>
    <w:p w14:paraId="49F4F97D">
      <w:pPr>
        <w:snapToGrid w:val="0"/>
        <w:spacing w:before="0" w:after="0" w:afterAutospacing="0" w:line="240" w:lineRule="auto"/>
        <w:ind w:left="0" w:right="0" w:firstLine="0"/>
        <w:rPr>
          <w:rFonts w:hint="eastAsia" w:ascii="宋体" w:hAnsi="宋体" w:eastAsia="宋体" w:cs="宋体"/>
          <w:b/>
          <w:color w:val="auto"/>
          <w:highlight w:val="none"/>
        </w:rPr>
      </w:pPr>
      <w:r>
        <w:rPr>
          <w:rFonts w:hint="eastAsia" w:ascii="宋体" w:hAnsi="宋体" w:cs="宋体"/>
          <w:b/>
          <w:color w:val="auto"/>
          <w:highlight w:val="none"/>
          <w:lang w:val="en-US" w:eastAsia="zh-CN"/>
        </w:rPr>
        <w:t>3</w:t>
      </w:r>
      <w:r>
        <w:rPr>
          <w:rFonts w:hint="eastAsia" w:ascii="宋体" w:hAnsi="宋体" w:eastAsia="宋体" w:cs="宋体"/>
          <w:b/>
          <w:color w:val="auto"/>
          <w:highlight w:val="none"/>
        </w:rPr>
        <w:t>.比选申请人如未通过上述资格审查，则作比选申请被否决处理并不得进入下一阶段评审。</w:t>
      </w:r>
    </w:p>
    <w:p w14:paraId="55A87830">
      <w:pPr>
        <w:ind w:left="0"/>
        <w:jc w:val="left"/>
      </w:pPr>
    </w:p>
    <w:sectPr>
      <w:footerReference r:id="rId6" w:type="default"/>
      <w:pgSz w:w="11906" w:h="16838"/>
      <w:pgMar w:top="1418" w:right="1668" w:bottom="1134" w:left="183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Times New Roman"/>
    <w:panose1 w:val="02020603040505020304"/>
    <w:charset w:val="00"/>
    <w:family w:val="roman"/>
    <w:pitch w:val="default"/>
    <w:sig w:usb0="00000000" w:usb1="00000000" w:usb2="00000000" w:usb3="00000000" w:csb0="00000001"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BF8A5">
    <w:pPr>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A00188">
                          <w:pPr>
                            <w:pStyle w:val="2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14:paraId="06A00188">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1AB9C">
    <w:pPr>
      <w:jc w:val="cente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D76223">
                          <w:pPr>
                            <w:pStyle w:val="2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7Qo4MkBAACZ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DtCjgyQEAAJkDAAAOAAAAAAAAAAEAIAAAAB4BAABkcnMvZTJvRG9j&#10;LnhtbFBLBQYAAAAABgAGAFkBAABZBQAAAAA=&#10;">
              <v:fill on="f" focussize="0,0"/>
              <v:stroke on="f"/>
              <v:imagedata o:title=""/>
              <o:lock v:ext="edit" aspectratio="f"/>
              <v:textbox inset="0mm,0mm,0mm,0mm" style="mso-fit-shape-to-text:t;">
                <w:txbxContent>
                  <w:p w14:paraId="6FD76223">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6F48C">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01320" cy="211455"/>
              <wp:effectExtent l="0" t="0" r="0" b="0"/>
              <wp:wrapNone/>
              <wp:docPr id="1" name="文本框5"/>
              <wp:cNvGraphicFramePr/>
              <a:graphic xmlns:a="http://schemas.openxmlformats.org/drawingml/2006/main">
                <a:graphicData uri="http://schemas.microsoft.com/office/word/2010/wordprocessingShape">
                  <wps:wsp>
                    <wps:cNvSpPr txBox="1"/>
                    <wps:spPr>
                      <a:xfrm>
                        <a:off x="0" y="0"/>
                        <a:ext cx="401320" cy="211455"/>
                      </a:xfrm>
                      <a:prstGeom prst="rect">
                        <a:avLst/>
                      </a:prstGeom>
                      <a:noFill/>
                      <a:ln>
                        <a:noFill/>
                      </a:ln>
                    </wps:spPr>
                    <wps:txbx>
                      <w:txbxContent>
                        <w:p w14:paraId="5081E1A2">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lIns="0" tIns="0" rIns="0" bIns="0" upright="1"/>
                  </wps:wsp>
                </a:graphicData>
              </a:graphic>
            </wp:anchor>
          </w:drawing>
        </mc:Choice>
        <mc:Fallback>
          <w:pict>
            <v:shape id="文本框5" o:spid="_x0000_s1026" o:spt="202" type="#_x0000_t202" style="position:absolute;left:0pt;margin-top:0pt;height:16.65pt;width:31.6pt;mso-position-horizontal:center;mso-position-horizontal-relative:margin;z-index:251659264;mso-width-relative:page;mso-height-relative:page;" filled="f" stroked="f" coordsize="21600,21600" o:gfxdata="UEsDBAoAAAAAAIdO4kAAAAAAAAAAAAAAAAAEAAAAZHJzL1BLAwQUAAAACACHTuJA7odUD9QAAAAD&#10;AQAADwAAAGRycy9kb3ducmV2LnhtbE2PzU7DMBCE70h9B2srcaN2GymCEKdCCE5IiDQcODrxNrEa&#10;r0Ps/vD2LFzgstJoRjPfltuLH8UJ5+gCaVivFAikLlhHvYb35vnmFkRMhqwZA6GGL4ywrRZXpSls&#10;OFONp13qBZdQLIyGIaWpkDJ2A3oTV2FCYm8fZm8Sy7mXdjZnLvej3CiVS28c8cJgJnwcsDvsjl7D&#10;wwfVT+7ztX2r97VrmjtFL/lB6+vlWt2DSHhJf2H4wWd0qJipDUeyUYwa+JH0e9nLsw2IVkOWZSCr&#10;Uv5nr74BUEsDBBQAAAAIAIdO4kCJ3b1iuQEAAHADAAAOAAAAZHJzL2Uyb0RvYy54bWytU0Fu2zAQ&#10;vBfIHwjea0puUhSC5QCBkaBAkRZI+wCaIi0CJJcgaUv+QPqDnnrpve/yO7qkZadNLznkQq12V7Mz&#10;s9TierSG7GSIGlxL61lFiXQCOu02Lf329fbtB0pi4q7jBpxs6V5Ger28eLMYfCPn0IPpZCAI4mIz&#10;+Jb2KfmGsSh6aXmcgZcOiwqC5Qlfw4Z1gQ+Ibg2bV9V7NkDofAAhY8Ts6likE2J4CSAopYVcgdha&#10;6dIRNUjDE0qKvfaRLgtbpaRIn5WKMhHTUlSayolDMF7nky0XvNkE7nstJgr8JRSeabJcOxx6hlrx&#10;xMk26P+grBYBIqg0E2DZUUhxBFXU1TNvHnruZdGCVkd/Nj2+Hqy4330JRHd4Eyhx3OLCDz++H37+&#10;Pvx6vMruDD422PTgsS2NNzDmzikfMZlFjyrY/EQ5BOvo7f7srRwTEZi8rOp3c6wILM3r+vKqoLOn&#10;j32I6U6CJTloacDVFUf57lNMOBBbTy15loNbbUxZn3H/JLAxZ1hmfmSYozSux4n2Gro9qjEfHRqZ&#10;L8UpCKdgfQq2PuhNj3SK5gKJiyhkpkuTN/33exn89KM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uh1QP1AAAAAMBAAAPAAAAAAAAAAEAIAAAACIAAABkcnMvZG93bnJldi54bWxQSwECFAAUAAAA&#10;CACHTuJAid29YrkBAABwAwAADgAAAAAAAAABACAAAAAjAQAAZHJzL2Uyb0RvYy54bWxQSwUGAAAA&#10;AAYABgBZAQAATgUAAAAA&#10;">
              <v:fill on="f" focussize="0,0"/>
              <v:stroke on="f"/>
              <v:imagedata o:title=""/>
              <o:lock v:ext="edit" aspectratio="f"/>
              <v:textbox inset="0mm,0mm,0mm,0mm">
                <w:txbxContent>
                  <w:p w14:paraId="5081E1A2">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5E41E">
    <w:pPr>
      <w:pStyle w:val="22"/>
      <w:pBdr>
        <w:bottom w:val="none" w:color="auto" w:sz="0" w:space="0"/>
      </w:pBdr>
    </w:pPr>
    <w:r>
      <w:rPr>
        <w:sz w:val="18"/>
      </w:rPr>
      <w:pict>
        <v:shape id="PowerPlusWaterMarkObject33783327" o:spid="_x0000_s3135" o:spt="136" type="#_x0000_t136" style="position:absolute;left:0pt;margin-left:521.55pt;margin-top:546.2pt;height:14pt;width:35pt;mso-position-horizontal-relative:margin;mso-position-vertical-relative:margin;rotation:-2949120f;z-index:-251594752;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32967017" o:spid="_x0000_s3134" o:spt="136" type="#_x0000_t136" style="position:absolute;left:0pt;margin-left:475.55pt;margin-top:592.15pt;height:14pt;width:35pt;mso-position-horizontal-relative:margin;mso-position-vertical-relative:margin;rotation:-2949120f;z-index:-251595776;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32315805" o:spid="_x0000_s3133" o:spt="136" type="#_x0000_t136" style="position:absolute;left:0pt;margin-left:429.6pt;margin-top:638.1pt;height:14pt;width:35pt;mso-position-horizontal-relative:margin;mso-position-vertical-relative:margin;rotation:-2949120f;z-index:-251596800;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31637366" o:spid="_x0000_s3132" o:spt="136" type="#_x0000_t136" style="position:absolute;left:0pt;margin-left:383.65pt;margin-top:684.05pt;height:14pt;width:35pt;mso-position-horizontal-relative:margin;mso-position-vertical-relative:margin;rotation:-2949120f;z-index:-251597824;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30912177" o:spid="_x0000_s3131" o:spt="136" type="#_x0000_t136" style="position:absolute;left:0pt;margin-left:337.7pt;margin-top:730pt;height:14pt;width:35pt;mso-position-horizontal-relative:margin;mso-position-vertical-relative:margin;rotation:-2949120f;z-index:-251598848;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30422764" o:spid="_x0000_s3130" o:spt="136" type="#_x0000_t136" style="position:absolute;left:0pt;margin-left:291.7pt;margin-top:776pt;height:14pt;width:35pt;mso-position-horizontal-relative:margin;mso-position-vertical-relative:margin;rotation:-2949120f;z-index:-251599872;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29985423" o:spid="_x0000_s3129" o:spt="136" type="#_x0000_t136" style="position:absolute;left:0pt;margin-left:521.55pt;margin-top:340.85pt;height:14pt;width:35pt;mso-position-horizontal-relative:margin;mso-position-vertical-relative:margin;rotation:-2949120f;z-index:-251600896;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29309394" o:spid="_x0000_s3128" o:spt="136" type="#_x0000_t136" style="position:absolute;left:0pt;margin-left:475.55pt;margin-top:386.8pt;height:14pt;width:35pt;mso-position-horizontal-relative:margin;mso-position-vertical-relative:margin;rotation:-2949120f;z-index:-251601920;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29139330" o:spid="_x0000_s3127" o:spt="136" type="#_x0000_t136" style="position:absolute;left:0pt;margin-left:429.6pt;margin-top:432.8pt;height:14pt;width:35pt;mso-position-horizontal-relative:margin;mso-position-vertical-relative:margin;rotation:-2949120f;z-index:-251602944;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28155842" o:spid="_x0000_s3126" o:spt="136" type="#_x0000_t136" style="position:absolute;left:0pt;margin-left:383.65pt;margin-top:478.75pt;height:14pt;width:35pt;mso-position-horizontal-relative:margin;mso-position-vertical-relative:margin;rotation:-2949120f;z-index:-251603968;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27516352" o:spid="_x0000_s3125" o:spt="136" type="#_x0000_t136" style="position:absolute;left:0pt;margin-left:337.7pt;margin-top:524.7pt;height:14pt;width:35pt;mso-position-horizontal-relative:margin;mso-position-vertical-relative:margin;rotation:-2949120f;z-index:-251604992;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27235753" o:spid="_x0000_s3124" o:spt="136" type="#_x0000_t136" style="position:absolute;left:0pt;margin-left:291.7pt;margin-top:570.65pt;height:14pt;width:35pt;mso-position-horizontal-relative:margin;mso-position-vertical-relative:margin;rotation:-2949120f;z-index:-251606016;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26617924" o:spid="_x0000_s3123" o:spt="136" type="#_x0000_t136" style="position:absolute;left:0pt;margin-left:245.75pt;margin-top:616.65pt;height:14pt;width:35pt;mso-position-horizontal-relative:margin;mso-position-vertical-relative:margin;rotation:-2949120f;z-index:-251607040;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26261076" o:spid="_x0000_s3122" o:spt="136" type="#_x0000_t136" style="position:absolute;left:0pt;margin-left:199.8pt;margin-top:662.6pt;height:14pt;width:35pt;mso-position-horizontal-relative:margin;mso-position-vertical-relative:margin;rotation:-2949120f;z-index:-251608064;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25941089" o:spid="_x0000_s3121" o:spt="136" type="#_x0000_t136" style="position:absolute;left:0pt;margin-left:153.85pt;margin-top:708.55pt;height:14pt;width:35pt;mso-position-horizontal-relative:margin;mso-position-vertical-relative:margin;rotation:-2949120f;z-index:-251609088;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25360296" o:spid="_x0000_s3120" o:spt="136" type="#_x0000_t136" style="position:absolute;left:0pt;margin-left:107.85pt;margin-top:754.5pt;height:14pt;width:35pt;mso-position-horizontal-relative:margin;mso-position-vertical-relative:margin;rotation:-2949120f;z-index:-251610112;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24948585" o:spid="_x0000_s3119" o:spt="136" type="#_x0000_t136" style="position:absolute;left:0pt;margin-left:521.55pt;margin-top:135.55pt;height:14pt;width:35pt;mso-position-horizontal-relative:margin;mso-position-vertical-relative:margin;rotation:-2949120f;z-index:-251611136;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24650423" o:spid="_x0000_s3118" o:spt="136" type="#_x0000_t136" style="position:absolute;left:0pt;margin-left:475.55pt;margin-top:181.5pt;height:14pt;width:35pt;mso-position-horizontal-relative:margin;mso-position-vertical-relative:margin;rotation:-2949120f;z-index:-251612160;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24411223" o:spid="_x0000_s3117" o:spt="136" type="#_x0000_t136" style="position:absolute;left:0pt;margin-left:429.6pt;margin-top:227.45pt;height:14pt;width:35pt;mso-position-horizontal-relative:margin;mso-position-vertical-relative:margin;rotation:-2949120f;z-index:-251613184;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24323690" o:spid="_x0000_s3116" o:spt="136" type="#_x0000_t136" style="position:absolute;left:0pt;margin-left:383.65pt;margin-top:273.45pt;height:14pt;width:35pt;mso-position-horizontal-relative:margin;mso-position-vertical-relative:margin;rotation:-2949120f;z-index:-251614208;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23386164" o:spid="_x0000_s3115" o:spt="136" type="#_x0000_t136" style="position:absolute;left:0pt;margin-left:337.7pt;margin-top:319.4pt;height:14pt;width:35pt;mso-position-horizontal-relative:margin;mso-position-vertical-relative:margin;rotation:-2949120f;z-index:-251615232;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22657501" o:spid="_x0000_s3114" o:spt="136" type="#_x0000_t136" style="position:absolute;left:0pt;margin-left:291.7pt;margin-top:365.35pt;height:14pt;width:35pt;mso-position-horizontal-relative:margin;mso-position-vertical-relative:margin;rotation:-2949120f;z-index:-251616256;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22562710" o:spid="_x0000_s3113" o:spt="136" type="#_x0000_t136" style="position:absolute;left:0pt;margin-left:245.75pt;margin-top:411.3pt;height:14pt;width:35pt;mso-position-horizontal-relative:margin;mso-position-vertical-relative:margin;rotation:-2949120f;z-index:-251617280;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21656887" o:spid="_x0000_s3112" o:spt="136" type="#_x0000_t136" style="position:absolute;left:0pt;margin-left:199.8pt;margin-top:457.3pt;height:14pt;width:35pt;mso-position-horizontal-relative:margin;mso-position-vertical-relative:margin;rotation:-2949120f;z-index:-251618304;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21504858" o:spid="_x0000_s3111" o:spt="136" type="#_x0000_t136" style="position:absolute;left:0pt;margin-left:153.85pt;margin-top:503.25pt;height:14pt;width:35pt;mso-position-horizontal-relative:margin;mso-position-vertical-relative:margin;rotation:-2949120f;z-index:-251619328;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20715690" o:spid="_x0000_s3110" o:spt="136" type="#_x0000_t136" style="position:absolute;left:0pt;margin-left:107.85pt;margin-top:549.2pt;height:14pt;width:35pt;mso-position-horizontal-relative:margin;mso-position-vertical-relative:margin;rotation:-2949120f;z-index:-251620352;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19710939" o:spid="_x0000_s3109" o:spt="136" type="#_x0000_t136" style="position:absolute;left:0pt;margin-left:61.9pt;margin-top:595.15pt;height:14pt;width:35pt;mso-position-horizontal-relative:margin;mso-position-vertical-relative:margin;rotation:-2949120f;z-index:-251621376;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19415757" o:spid="_x0000_s3108" o:spt="136" type="#_x0000_t136" style="position:absolute;left:0pt;margin-left:15.95pt;margin-top:641.15pt;height:14pt;width:35pt;mso-position-horizontal-relative:margin;mso-position-vertical-relative:margin;rotation:-2949120f;z-index:-251622400;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18816186" o:spid="_x0000_s3107" o:spt="136" type="#_x0000_t136" style="position:absolute;left:0pt;margin-left:-30pt;margin-top:687.1pt;height:14pt;width:35pt;mso-position-horizontal-relative:margin;mso-position-vertical-relative:margin;rotation:-2949120f;z-index:-251623424;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17846666" o:spid="_x0000_s3106" o:spt="136" type="#_x0000_t136" style="position:absolute;left:0pt;margin-left:-76pt;margin-top:733.05pt;height:14pt;width:35pt;mso-position-horizontal-relative:margin;mso-position-vertical-relative:margin;rotation:-2949120f;z-index:-251624448;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17544634" o:spid="_x0000_s3105" o:spt="136" type="#_x0000_t136" style="position:absolute;left:0pt;margin-left:521.55pt;margin-top:-69.75pt;height:14pt;width:35pt;mso-position-horizontal-relative:margin;mso-position-vertical-relative:margin;rotation:-2949120f;z-index:-251625472;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17145984" o:spid="_x0000_s3104" o:spt="136" type="#_x0000_t136" style="position:absolute;left:0pt;margin-left:475.55pt;margin-top:-23.8pt;height:14pt;width:35pt;mso-position-horizontal-relative:margin;mso-position-vertical-relative:margin;rotation:-2949120f;z-index:-251626496;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16582519" o:spid="_x0000_s3103" o:spt="136" type="#_x0000_t136" style="position:absolute;left:0pt;margin-left:429.6pt;margin-top:22.15pt;height:14pt;width:35pt;mso-position-horizontal-relative:margin;mso-position-vertical-relative:margin;rotation:-2949120f;z-index:-251627520;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15856914" o:spid="_x0000_s3102" o:spt="136" type="#_x0000_t136" style="position:absolute;left:0pt;margin-left:383.65pt;margin-top:68.1pt;height:14pt;width:35pt;mso-position-horizontal-relative:margin;mso-position-vertical-relative:margin;rotation:-2949120f;z-index:-251628544;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15431288" o:spid="_x0000_s3101" o:spt="136" type="#_x0000_t136" style="position:absolute;left:0pt;margin-left:337.7pt;margin-top:114.1pt;height:14pt;width:35pt;mso-position-horizontal-relative:margin;mso-position-vertical-relative:margin;rotation:-2949120f;z-index:-251629568;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14925310" o:spid="_x0000_s3100" o:spt="136" type="#_x0000_t136" style="position:absolute;left:0pt;margin-left:291.7pt;margin-top:160.05pt;height:14pt;width:35pt;mso-position-horizontal-relative:margin;mso-position-vertical-relative:margin;rotation:-2949120f;z-index:-251630592;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14602111" o:spid="_x0000_s3099" o:spt="136" type="#_x0000_t136" style="position:absolute;left:0pt;margin-left:245.75pt;margin-top:206pt;height:14pt;width:35pt;mso-position-horizontal-relative:margin;mso-position-vertical-relative:margin;rotation:-2949120f;z-index:-251631616;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14572557" o:spid="_x0000_s3098" o:spt="136" type="#_x0000_t136" style="position:absolute;left:0pt;margin-left:199.8pt;margin-top:251.95pt;height:14pt;width:35pt;mso-position-horizontal-relative:margin;mso-position-vertical-relative:margin;rotation:-2949120f;z-index:-251632640;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14411240" o:spid="_x0000_s3097" o:spt="136" type="#_x0000_t136" style="position:absolute;left:0pt;margin-left:153.85pt;margin-top:297.95pt;height:14pt;width:35pt;mso-position-horizontal-relative:margin;mso-position-vertical-relative:margin;rotation:-2949120f;z-index:-251633664;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13756562" o:spid="_x0000_s3096" o:spt="136" type="#_x0000_t136" style="position:absolute;left:0pt;margin-left:107.85pt;margin-top:343.9pt;height:14pt;width:35pt;mso-position-horizontal-relative:margin;mso-position-vertical-relative:margin;rotation:-2949120f;z-index:-251634688;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13555663" o:spid="_x0000_s3095" o:spt="136" type="#_x0000_t136" style="position:absolute;left:0pt;margin-left:61.9pt;margin-top:389.85pt;height:14pt;width:35pt;mso-position-horizontal-relative:margin;mso-position-vertical-relative:margin;rotation:-2949120f;z-index:-251635712;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12885833" o:spid="_x0000_s3094" o:spt="136" type="#_x0000_t136" style="position:absolute;left:0pt;margin-left:15.95pt;margin-top:435.8pt;height:14pt;width:35pt;mso-position-horizontal-relative:margin;mso-position-vertical-relative:margin;rotation:-2949120f;z-index:-251636736;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12140314" o:spid="_x0000_s3093" o:spt="136" type="#_x0000_t136" style="position:absolute;left:0pt;margin-left:-30pt;margin-top:481.8pt;height:14pt;width:35pt;mso-position-horizontal-relative:margin;mso-position-vertical-relative:margin;rotation:-2949120f;z-index:-251637760;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11209507" o:spid="_x0000_s3092" o:spt="136" type="#_x0000_t136" style="position:absolute;left:0pt;margin-left:-76pt;margin-top:527.75pt;height:14pt;width:35pt;mso-position-horizontal-relative:margin;mso-position-vertical-relative:margin;rotation:-2949120f;z-index:-251638784;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10289316" o:spid="_x0000_s3091" o:spt="136" type="#_x0000_t136" style="position:absolute;left:0pt;margin-left:337.7pt;margin-top:-91.25pt;height:14pt;width:35pt;mso-position-horizontal-relative:margin;mso-position-vertical-relative:margin;rotation:-2949120f;z-index:-251639808;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9360204" o:spid="_x0000_s3090" o:spt="136" type="#_x0000_t136" style="position:absolute;left:0pt;margin-left:291.7pt;margin-top:-45.25pt;height:14pt;width:35pt;mso-position-horizontal-relative:margin;mso-position-vertical-relative:margin;rotation:-2949120f;z-index:-251640832;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8623961" o:spid="_x0000_s3089" o:spt="136" type="#_x0000_t136" style="position:absolute;left:0pt;margin-left:245.75pt;margin-top:0.7pt;height:14pt;width:35pt;mso-position-horizontal-relative:margin;mso-position-vertical-relative:margin;rotation:-2949120f;z-index:-251641856;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8587369" o:spid="_x0000_s3088" o:spt="136" type="#_x0000_t136" style="position:absolute;left:0pt;margin-left:199.8pt;margin-top:46.65pt;height:14pt;width:35pt;mso-position-horizontal-relative:margin;mso-position-vertical-relative:margin;rotation:-2949120f;z-index:-251642880;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7795013" o:spid="_x0000_s3087" o:spt="136" type="#_x0000_t136" style="position:absolute;left:0pt;margin-left:153.85pt;margin-top:92.6pt;height:14pt;width:35pt;mso-position-horizontal-relative:margin;mso-position-vertical-relative:margin;rotation:-2949120f;z-index:-251643904;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7685543" o:spid="_x0000_s3086" o:spt="136" type="#_x0000_t136" style="position:absolute;left:0pt;margin-left:107.85pt;margin-top:138.6pt;height:14pt;width:35pt;mso-position-horizontal-relative:margin;mso-position-vertical-relative:margin;rotation:-2949120f;z-index:-251644928;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7131497" o:spid="_x0000_s3085" o:spt="136" type="#_x0000_t136" style="position:absolute;left:0pt;margin-left:61.9pt;margin-top:184.55pt;height:14pt;width:35pt;mso-position-horizontal-relative:margin;mso-position-vertical-relative:margin;rotation:-2949120f;z-index:-251645952;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6344018" o:spid="_x0000_s3084" o:spt="136" type="#_x0000_t136" style="position:absolute;left:0pt;margin-left:15.95pt;margin-top:230.5pt;height:14pt;width:35pt;mso-position-horizontal-relative:margin;mso-position-vertical-relative:margin;rotation:-2949120f;z-index:-251646976;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5393809" o:spid="_x0000_s3083" o:spt="136" type="#_x0000_t136" style="position:absolute;left:0pt;margin-left:-30pt;margin-top:276.45pt;height:14pt;width:35pt;mso-position-horizontal-relative:margin;mso-position-vertical-relative:margin;rotation:-2949120f;z-index:-251648000;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4535441" o:spid="_x0000_s3082" o:spt="136" type="#_x0000_t136" style="position:absolute;left:0pt;margin-left:-76pt;margin-top:322.4pt;height:14pt;width:35pt;mso-position-horizontal-relative:margin;mso-position-vertical-relative:margin;rotation:-2949120f;z-index:-251649024;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3661818" o:spid="_x0000_s3081" o:spt="136" type="#_x0000_t136" style="position:absolute;left:0pt;margin-left:107.85pt;margin-top:-66.75pt;height:14pt;width:35pt;mso-position-horizontal-relative:margin;mso-position-vertical-relative:margin;rotation:-2949120f;z-index:-251650048;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2762801" o:spid="_x0000_s3080" o:spt="136" type="#_x0000_t136" style="position:absolute;left:0pt;margin-left:61.9pt;margin-top:-20.8pt;height:14pt;width:35pt;mso-position-horizontal-relative:margin;mso-position-vertical-relative:margin;rotation:-2949120f;z-index:-251651072;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2071746" o:spid="_x0000_s3079" o:spt="136" type="#_x0000_t136" style="position:absolute;left:0pt;margin-left:15.95pt;margin-top:25.2pt;height:14pt;width:35pt;mso-position-horizontal-relative:margin;mso-position-vertical-relative:margin;rotation:-2949120f;z-index:-251652096;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1845568" o:spid="_x0000_s3078" o:spt="136" type="#_x0000_t136" style="position:absolute;left:0pt;margin-left:-30pt;margin-top:71.15pt;height:14pt;width:35pt;mso-position-horizontal-relative:margin;mso-position-vertical-relative:margin;rotation:-2949120f;z-index:-251653120;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r>
      <w:rPr>
        <w:sz w:val="18"/>
      </w:rPr>
      <w:pict>
        <v:shape id="PowerPlusWaterMarkObject839035" o:spid="_x0000_s3077" o:spt="136" type="#_x0000_t136" style="position:absolute;left:0pt;margin-left:-76pt;margin-top:117.1pt;height:14pt;width:35pt;mso-position-horizontal-relative:margin;mso-position-vertical-relative:margin;rotation:-2949120f;z-index:-251654144;mso-width-relative:page;mso-height-relative:page;" fillcolor="#000000" filled="t" stroked="f" coordsize="21600,21600" adj="10800">
          <v:path/>
          <v:fill on="t" opacity="0f" focussize="0,0"/>
          <v:stroke on="f"/>
          <v:imagedata o:title=""/>
          <o:lock v:ext="edit" aspectratio="t"/>
          <v:textpath on="t" fitshape="t" fitpath="t" trim="t" xscale="f" string=" 刘艳君" style="font-family:汉仪旗黑KW 55S;font-size:14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70A6DE"/>
    <w:multiLevelType w:val="singleLevel"/>
    <w:tmpl w:val="E170A6DE"/>
    <w:lvl w:ilvl="0" w:tentative="0">
      <w:start w:val="2"/>
      <w:numFmt w:val="decimal"/>
      <w:lvlText w:val="%1."/>
      <w:lvlJc w:val="left"/>
      <w:pPr>
        <w:tabs>
          <w:tab w:val="left" w:pos="312"/>
        </w:tabs>
      </w:pPr>
    </w:lvl>
  </w:abstractNum>
  <w:abstractNum w:abstractNumId="1">
    <w:nsid w:val="F8D027DC"/>
    <w:multiLevelType w:val="singleLevel"/>
    <w:tmpl w:val="F8D027DC"/>
    <w:lvl w:ilvl="0" w:tentative="0">
      <w:start w:val="2"/>
      <w:numFmt w:val="decimal"/>
      <w:lvlText w:val="%1."/>
      <w:lvlJc w:val="left"/>
      <w:pPr>
        <w:tabs>
          <w:tab w:val="left" w:pos="312"/>
        </w:tabs>
      </w:pPr>
    </w:lvl>
  </w:abstractNum>
  <w:abstractNum w:abstractNumId="2">
    <w:nsid w:val="5A6EF1C4"/>
    <w:multiLevelType w:val="singleLevel"/>
    <w:tmpl w:val="5A6EF1C4"/>
    <w:lvl w:ilvl="0" w:tentative="0">
      <w:start w:val="5"/>
      <w:numFmt w:val="decimal"/>
      <w:lvlText w:val="%1."/>
      <w:lvlJc w:val="left"/>
      <w:pPr>
        <w:tabs>
          <w:tab w:val="left" w:pos="312"/>
        </w:tabs>
      </w:pPr>
    </w:lvl>
  </w:abstractNum>
  <w:abstractNum w:abstractNumId="3">
    <w:nsid w:val="65C1C1B6"/>
    <w:multiLevelType w:val="singleLevel"/>
    <w:tmpl w:val="65C1C1B6"/>
    <w:lvl w:ilvl="0" w:tentative="0">
      <w:start w:val="1"/>
      <w:numFmt w:val="decimal"/>
      <w:lvlText w:val="%1."/>
      <w:lvlJc w:val="left"/>
      <w:pPr>
        <w:tabs>
          <w:tab w:val="left" w:pos="312"/>
        </w:tabs>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jMTU5ZmJhMTc2ZmYwOTUzYmJhZjE4YzJkNGZkZTQifQ=="/>
    <w:docVar w:name="KSO_WPS_MARK_KEY" w:val="4400001f-6402-4f86-8304-04aefe74473b"/>
  </w:docVars>
  <w:rsids>
    <w:rsidRoot w:val="00172A27"/>
    <w:rsid w:val="00002B51"/>
    <w:rsid w:val="00003978"/>
    <w:rsid w:val="00004008"/>
    <w:rsid w:val="00004A25"/>
    <w:rsid w:val="00006245"/>
    <w:rsid w:val="00006E49"/>
    <w:rsid w:val="00007092"/>
    <w:rsid w:val="00007885"/>
    <w:rsid w:val="00010DF1"/>
    <w:rsid w:val="00011A3B"/>
    <w:rsid w:val="00011A63"/>
    <w:rsid w:val="000121F0"/>
    <w:rsid w:val="00013074"/>
    <w:rsid w:val="00013699"/>
    <w:rsid w:val="00013C92"/>
    <w:rsid w:val="000152A8"/>
    <w:rsid w:val="000158C4"/>
    <w:rsid w:val="00015B66"/>
    <w:rsid w:val="00015BF7"/>
    <w:rsid w:val="00016D41"/>
    <w:rsid w:val="00016E1C"/>
    <w:rsid w:val="0002218A"/>
    <w:rsid w:val="0002500A"/>
    <w:rsid w:val="00025256"/>
    <w:rsid w:val="00026174"/>
    <w:rsid w:val="0002675F"/>
    <w:rsid w:val="00026FFC"/>
    <w:rsid w:val="000276A2"/>
    <w:rsid w:val="000318D8"/>
    <w:rsid w:val="000415AB"/>
    <w:rsid w:val="00042228"/>
    <w:rsid w:val="00047299"/>
    <w:rsid w:val="000473D4"/>
    <w:rsid w:val="00050E7F"/>
    <w:rsid w:val="00052B63"/>
    <w:rsid w:val="00054F81"/>
    <w:rsid w:val="0005651D"/>
    <w:rsid w:val="00057BDC"/>
    <w:rsid w:val="00062107"/>
    <w:rsid w:val="0006275A"/>
    <w:rsid w:val="00063E9E"/>
    <w:rsid w:val="0007095D"/>
    <w:rsid w:val="000717BB"/>
    <w:rsid w:val="000721B2"/>
    <w:rsid w:val="00072A19"/>
    <w:rsid w:val="00073F12"/>
    <w:rsid w:val="0007429E"/>
    <w:rsid w:val="000743BC"/>
    <w:rsid w:val="00075B44"/>
    <w:rsid w:val="0007683C"/>
    <w:rsid w:val="00076DF2"/>
    <w:rsid w:val="000804F1"/>
    <w:rsid w:val="00082D8B"/>
    <w:rsid w:val="00083897"/>
    <w:rsid w:val="000843B4"/>
    <w:rsid w:val="000942B7"/>
    <w:rsid w:val="00094668"/>
    <w:rsid w:val="000971C8"/>
    <w:rsid w:val="000A1E43"/>
    <w:rsid w:val="000A4B9C"/>
    <w:rsid w:val="000A6250"/>
    <w:rsid w:val="000B0BA3"/>
    <w:rsid w:val="000B1107"/>
    <w:rsid w:val="000B2862"/>
    <w:rsid w:val="000B3F18"/>
    <w:rsid w:val="000B49FE"/>
    <w:rsid w:val="000B6659"/>
    <w:rsid w:val="000C1740"/>
    <w:rsid w:val="000C3C80"/>
    <w:rsid w:val="000C488A"/>
    <w:rsid w:val="000C4E33"/>
    <w:rsid w:val="000C6946"/>
    <w:rsid w:val="000C69DD"/>
    <w:rsid w:val="000C7E33"/>
    <w:rsid w:val="000C7F8A"/>
    <w:rsid w:val="000D0354"/>
    <w:rsid w:val="000D1D89"/>
    <w:rsid w:val="000D6678"/>
    <w:rsid w:val="000D67D8"/>
    <w:rsid w:val="000D7E70"/>
    <w:rsid w:val="000D7E91"/>
    <w:rsid w:val="000E0C3F"/>
    <w:rsid w:val="000E12B4"/>
    <w:rsid w:val="000E3735"/>
    <w:rsid w:val="000E3A4D"/>
    <w:rsid w:val="000E3EF7"/>
    <w:rsid w:val="000E5816"/>
    <w:rsid w:val="000E59C4"/>
    <w:rsid w:val="000E6869"/>
    <w:rsid w:val="000E688B"/>
    <w:rsid w:val="000E7B6F"/>
    <w:rsid w:val="000E7C77"/>
    <w:rsid w:val="000F032E"/>
    <w:rsid w:val="000F0956"/>
    <w:rsid w:val="000F1C10"/>
    <w:rsid w:val="000F2D03"/>
    <w:rsid w:val="000F36DC"/>
    <w:rsid w:val="000F453A"/>
    <w:rsid w:val="00100558"/>
    <w:rsid w:val="00100DB4"/>
    <w:rsid w:val="001014A5"/>
    <w:rsid w:val="0010328C"/>
    <w:rsid w:val="00104172"/>
    <w:rsid w:val="00104382"/>
    <w:rsid w:val="0010531A"/>
    <w:rsid w:val="00106513"/>
    <w:rsid w:val="00107C43"/>
    <w:rsid w:val="00111B38"/>
    <w:rsid w:val="00111C5D"/>
    <w:rsid w:val="00111EE3"/>
    <w:rsid w:val="0011368C"/>
    <w:rsid w:val="00113D1D"/>
    <w:rsid w:val="00113EDF"/>
    <w:rsid w:val="001144D2"/>
    <w:rsid w:val="001166A3"/>
    <w:rsid w:val="001202B5"/>
    <w:rsid w:val="001214C3"/>
    <w:rsid w:val="00123412"/>
    <w:rsid w:val="0012392F"/>
    <w:rsid w:val="00124180"/>
    <w:rsid w:val="00124D07"/>
    <w:rsid w:val="001255FC"/>
    <w:rsid w:val="00126543"/>
    <w:rsid w:val="00126ECC"/>
    <w:rsid w:val="00127D4A"/>
    <w:rsid w:val="001330C5"/>
    <w:rsid w:val="0013717F"/>
    <w:rsid w:val="0014338D"/>
    <w:rsid w:val="0014456C"/>
    <w:rsid w:val="001449DE"/>
    <w:rsid w:val="00150488"/>
    <w:rsid w:val="00151838"/>
    <w:rsid w:val="001519AC"/>
    <w:rsid w:val="00153375"/>
    <w:rsid w:val="00153BCB"/>
    <w:rsid w:val="00154126"/>
    <w:rsid w:val="00155A9D"/>
    <w:rsid w:val="00163C35"/>
    <w:rsid w:val="00163E35"/>
    <w:rsid w:val="001662B3"/>
    <w:rsid w:val="001662F2"/>
    <w:rsid w:val="001663DA"/>
    <w:rsid w:val="001666ED"/>
    <w:rsid w:val="00166F9F"/>
    <w:rsid w:val="0016797E"/>
    <w:rsid w:val="00170EBD"/>
    <w:rsid w:val="001713FC"/>
    <w:rsid w:val="00172A27"/>
    <w:rsid w:val="0017519C"/>
    <w:rsid w:val="00176048"/>
    <w:rsid w:val="00176909"/>
    <w:rsid w:val="00177BAE"/>
    <w:rsid w:val="00182DC8"/>
    <w:rsid w:val="0018713A"/>
    <w:rsid w:val="00191030"/>
    <w:rsid w:val="00192C72"/>
    <w:rsid w:val="001958FA"/>
    <w:rsid w:val="00196765"/>
    <w:rsid w:val="001975ED"/>
    <w:rsid w:val="001A01E7"/>
    <w:rsid w:val="001A3369"/>
    <w:rsid w:val="001A44EF"/>
    <w:rsid w:val="001A7092"/>
    <w:rsid w:val="001A7D81"/>
    <w:rsid w:val="001A7FCC"/>
    <w:rsid w:val="001B00CC"/>
    <w:rsid w:val="001B0A86"/>
    <w:rsid w:val="001B1E35"/>
    <w:rsid w:val="001B1E3E"/>
    <w:rsid w:val="001B331C"/>
    <w:rsid w:val="001B34D4"/>
    <w:rsid w:val="001B398B"/>
    <w:rsid w:val="001B56B7"/>
    <w:rsid w:val="001B7E76"/>
    <w:rsid w:val="001C473E"/>
    <w:rsid w:val="001C499E"/>
    <w:rsid w:val="001C4EF7"/>
    <w:rsid w:val="001C6E95"/>
    <w:rsid w:val="001D1387"/>
    <w:rsid w:val="001D1AEB"/>
    <w:rsid w:val="001D29C6"/>
    <w:rsid w:val="001D3F0A"/>
    <w:rsid w:val="001D54D7"/>
    <w:rsid w:val="001D7F3C"/>
    <w:rsid w:val="001E0165"/>
    <w:rsid w:val="001E086F"/>
    <w:rsid w:val="001E1904"/>
    <w:rsid w:val="001E3135"/>
    <w:rsid w:val="001E3877"/>
    <w:rsid w:val="001E56AB"/>
    <w:rsid w:val="001E6897"/>
    <w:rsid w:val="001E6C48"/>
    <w:rsid w:val="001E6FA6"/>
    <w:rsid w:val="001F35F6"/>
    <w:rsid w:val="001F3870"/>
    <w:rsid w:val="001F4BDB"/>
    <w:rsid w:val="001F5E56"/>
    <w:rsid w:val="001F701C"/>
    <w:rsid w:val="001F754B"/>
    <w:rsid w:val="0020071F"/>
    <w:rsid w:val="00200760"/>
    <w:rsid w:val="00200936"/>
    <w:rsid w:val="002017E5"/>
    <w:rsid w:val="002022FA"/>
    <w:rsid w:val="00203400"/>
    <w:rsid w:val="00203566"/>
    <w:rsid w:val="00204FCF"/>
    <w:rsid w:val="00205A6E"/>
    <w:rsid w:val="002065D6"/>
    <w:rsid w:val="002115C2"/>
    <w:rsid w:val="002134A1"/>
    <w:rsid w:val="0021374F"/>
    <w:rsid w:val="00214983"/>
    <w:rsid w:val="00214BB2"/>
    <w:rsid w:val="00217C6B"/>
    <w:rsid w:val="00217DD1"/>
    <w:rsid w:val="00220C52"/>
    <w:rsid w:val="002230F2"/>
    <w:rsid w:val="00225ADC"/>
    <w:rsid w:val="00225B9E"/>
    <w:rsid w:val="00225D3D"/>
    <w:rsid w:val="002267BB"/>
    <w:rsid w:val="00227BD1"/>
    <w:rsid w:val="0023123F"/>
    <w:rsid w:val="00235E4C"/>
    <w:rsid w:val="00236A8A"/>
    <w:rsid w:val="0023731D"/>
    <w:rsid w:val="00241BF1"/>
    <w:rsid w:val="002422EC"/>
    <w:rsid w:val="00242EA9"/>
    <w:rsid w:val="002459DE"/>
    <w:rsid w:val="00246DE3"/>
    <w:rsid w:val="002470C0"/>
    <w:rsid w:val="002472A7"/>
    <w:rsid w:val="00247729"/>
    <w:rsid w:val="00250E4E"/>
    <w:rsid w:val="00251A78"/>
    <w:rsid w:val="002528A0"/>
    <w:rsid w:val="002536AF"/>
    <w:rsid w:val="00254C9E"/>
    <w:rsid w:val="00261F13"/>
    <w:rsid w:val="00263316"/>
    <w:rsid w:val="00263451"/>
    <w:rsid w:val="00263723"/>
    <w:rsid w:val="002658DA"/>
    <w:rsid w:val="00265E3F"/>
    <w:rsid w:val="0026672D"/>
    <w:rsid w:val="00270C77"/>
    <w:rsid w:val="00271F3E"/>
    <w:rsid w:val="00273144"/>
    <w:rsid w:val="002742AA"/>
    <w:rsid w:val="00275CC8"/>
    <w:rsid w:val="0027652F"/>
    <w:rsid w:val="00276ECA"/>
    <w:rsid w:val="00282402"/>
    <w:rsid w:val="00282FAF"/>
    <w:rsid w:val="002843C7"/>
    <w:rsid w:val="0029350D"/>
    <w:rsid w:val="00294554"/>
    <w:rsid w:val="00295815"/>
    <w:rsid w:val="0029680C"/>
    <w:rsid w:val="00296D4F"/>
    <w:rsid w:val="002976EB"/>
    <w:rsid w:val="002979D7"/>
    <w:rsid w:val="002A05FA"/>
    <w:rsid w:val="002A0884"/>
    <w:rsid w:val="002A26D4"/>
    <w:rsid w:val="002A2901"/>
    <w:rsid w:val="002A36A6"/>
    <w:rsid w:val="002A5A1A"/>
    <w:rsid w:val="002A5AA8"/>
    <w:rsid w:val="002A5D65"/>
    <w:rsid w:val="002A75C4"/>
    <w:rsid w:val="002A7A98"/>
    <w:rsid w:val="002B193D"/>
    <w:rsid w:val="002B51AA"/>
    <w:rsid w:val="002B5539"/>
    <w:rsid w:val="002B5664"/>
    <w:rsid w:val="002B74C3"/>
    <w:rsid w:val="002C254F"/>
    <w:rsid w:val="002C2CAC"/>
    <w:rsid w:val="002C3F22"/>
    <w:rsid w:val="002C4464"/>
    <w:rsid w:val="002C44B1"/>
    <w:rsid w:val="002C4B45"/>
    <w:rsid w:val="002C5102"/>
    <w:rsid w:val="002C5517"/>
    <w:rsid w:val="002C552D"/>
    <w:rsid w:val="002C57EF"/>
    <w:rsid w:val="002C61BE"/>
    <w:rsid w:val="002C6B71"/>
    <w:rsid w:val="002C7300"/>
    <w:rsid w:val="002D01F7"/>
    <w:rsid w:val="002D06CA"/>
    <w:rsid w:val="002D09F6"/>
    <w:rsid w:val="002D1B18"/>
    <w:rsid w:val="002D2471"/>
    <w:rsid w:val="002D30E5"/>
    <w:rsid w:val="002D5466"/>
    <w:rsid w:val="002D7032"/>
    <w:rsid w:val="002E05BD"/>
    <w:rsid w:val="002E0B24"/>
    <w:rsid w:val="002E0BCC"/>
    <w:rsid w:val="002E10D0"/>
    <w:rsid w:val="002E41B0"/>
    <w:rsid w:val="002E6F61"/>
    <w:rsid w:val="002E7493"/>
    <w:rsid w:val="002F0D57"/>
    <w:rsid w:val="002F1449"/>
    <w:rsid w:val="002F1A91"/>
    <w:rsid w:val="002F2C76"/>
    <w:rsid w:val="002F482F"/>
    <w:rsid w:val="002F4DBA"/>
    <w:rsid w:val="00300C77"/>
    <w:rsid w:val="00301494"/>
    <w:rsid w:val="003020C2"/>
    <w:rsid w:val="003031F8"/>
    <w:rsid w:val="003033FE"/>
    <w:rsid w:val="00304405"/>
    <w:rsid w:val="003049C7"/>
    <w:rsid w:val="00306511"/>
    <w:rsid w:val="003067AD"/>
    <w:rsid w:val="003110D9"/>
    <w:rsid w:val="003117D9"/>
    <w:rsid w:val="00311BC7"/>
    <w:rsid w:val="003139C1"/>
    <w:rsid w:val="0031513B"/>
    <w:rsid w:val="00317FEA"/>
    <w:rsid w:val="003208C7"/>
    <w:rsid w:val="0032184E"/>
    <w:rsid w:val="00325895"/>
    <w:rsid w:val="00326138"/>
    <w:rsid w:val="003305C9"/>
    <w:rsid w:val="003309A7"/>
    <w:rsid w:val="00330B76"/>
    <w:rsid w:val="00331802"/>
    <w:rsid w:val="0033408A"/>
    <w:rsid w:val="0033719A"/>
    <w:rsid w:val="00337398"/>
    <w:rsid w:val="00337566"/>
    <w:rsid w:val="0033784C"/>
    <w:rsid w:val="0034058C"/>
    <w:rsid w:val="00341C6C"/>
    <w:rsid w:val="00341DB2"/>
    <w:rsid w:val="00341F37"/>
    <w:rsid w:val="00343658"/>
    <w:rsid w:val="0034408D"/>
    <w:rsid w:val="00344EA4"/>
    <w:rsid w:val="003450D9"/>
    <w:rsid w:val="00345496"/>
    <w:rsid w:val="0034733B"/>
    <w:rsid w:val="003507DE"/>
    <w:rsid w:val="003507ED"/>
    <w:rsid w:val="00352653"/>
    <w:rsid w:val="0035348D"/>
    <w:rsid w:val="00355333"/>
    <w:rsid w:val="00357997"/>
    <w:rsid w:val="00361CCB"/>
    <w:rsid w:val="00362B06"/>
    <w:rsid w:val="003652EC"/>
    <w:rsid w:val="003657B7"/>
    <w:rsid w:val="00365A1A"/>
    <w:rsid w:val="00366652"/>
    <w:rsid w:val="00367A43"/>
    <w:rsid w:val="00367F1F"/>
    <w:rsid w:val="003746B0"/>
    <w:rsid w:val="00374814"/>
    <w:rsid w:val="00376F95"/>
    <w:rsid w:val="003807E4"/>
    <w:rsid w:val="00380AB7"/>
    <w:rsid w:val="003814ED"/>
    <w:rsid w:val="00381A61"/>
    <w:rsid w:val="00381AB3"/>
    <w:rsid w:val="00382537"/>
    <w:rsid w:val="0038264F"/>
    <w:rsid w:val="003836CA"/>
    <w:rsid w:val="003842F0"/>
    <w:rsid w:val="00384EC6"/>
    <w:rsid w:val="00385132"/>
    <w:rsid w:val="00387605"/>
    <w:rsid w:val="003878E6"/>
    <w:rsid w:val="00387FBC"/>
    <w:rsid w:val="00390262"/>
    <w:rsid w:val="00392166"/>
    <w:rsid w:val="00392A25"/>
    <w:rsid w:val="00393E7F"/>
    <w:rsid w:val="00393FC8"/>
    <w:rsid w:val="003944BB"/>
    <w:rsid w:val="003954D2"/>
    <w:rsid w:val="00397194"/>
    <w:rsid w:val="003A0A56"/>
    <w:rsid w:val="003A4DE9"/>
    <w:rsid w:val="003A5EAE"/>
    <w:rsid w:val="003A6A4D"/>
    <w:rsid w:val="003A6C09"/>
    <w:rsid w:val="003B00AE"/>
    <w:rsid w:val="003B06FF"/>
    <w:rsid w:val="003B2094"/>
    <w:rsid w:val="003B31DD"/>
    <w:rsid w:val="003B4A82"/>
    <w:rsid w:val="003B4E58"/>
    <w:rsid w:val="003B52D4"/>
    <w:rsid w:val="003B6F49"/>
    <w:rsid w:val="003C02CA"/>
    <w:rsid w:val="003C1763"/>
    <w:rsid w:val="003C4311"/>
    <w:rsid w:val="003C6303"/>
    <w:rsid w:val="003C766A"/>
    <w:rsid w:val="003C7F0E"/>
    <w:rsid w:val="003D011C"/>
    <w:rsid w:val="003D24FD"/>
    <w:rsid w:val="003D27B8"/>
    <w:rsid w:val="003D33D6"/>
    <w:rsid w:val="003D3B68"/>
    <w:rsid w:val="003D3CD0"/>
    <w:rsid w:val="003D5D3B"/>
    <w:rsid w:val="003D6E24"/>
    <w:rsid w:val="003E0357"/>
    <w:rsid w:val="003E3503"/>
    <w:rsid w:val="003E3E70"/>
    <w:rsid w:val="003E3E74"/>
    <w:rsid w:val="003E510F"/>
    <w:rsid w:val="003E52EC"/>
    <w:rsid w:val="003E55BC"/>
    <w:rsid w:val="003E6D8E"/>
    <w:rsid w:val="003F1385"/>
    <w:rsid w:val="003F1EDE"/>
    <w:rsid w:val="003F2167"/>
    <w:rsid w:val="003F4527"/>
    <w:rsid w:val="003F52A4"/>
    <w:rsid w:val="003F5852"/>
    <w:rsid w:val="003F5E76"/>
    <w:rsid w:val="003F6C46"/>
    <w:rsid w:val="003F7352"/>
    <w:rsid w:val="003F77CF"/>
    <w:rsid w:val="004017C8"/>
    <w:rsid w:val="0040307D"/>
    <w:rsid w:val="0040386D"/>
    <w:rsid w:val="00403F1C"/>
    <w:rsid w:val="00410B70"/>
    <w:rsid w:val="00411C93"/>
    <w:rsid w:val="004136C2"/>
    <w:rsid w:val="00413E71"/>
    <w:rsid w:val="00417A21"/>
    <w:rsid w:val="0042091C"/>
    <w:rsid w:val="004251A5"/>
    <w:rsid w:val="0042526B"/>
    <w:rsid w:val="00430F08"/>
    <w:rsid w:val="00432CDD"/>
    <w:rsid w:val="00435970"/>
    <w:rsid w:val="0043626D"/>
    <w:rsid w:val="00442A07"/>
    <w:rsid w:val="00443937"/>
    <w:rsid w:val="004444FC"/>
    <w:rsid w:val="004476AA"/>
    <w:rsid w:val="0045021E"/>
    <w:rsid w:val="00450ADD"/>
    <w:rsid w:val="00450FEE"/>
    <w:rsid w:val="00452AD2"/>
    <w:rsid w:val="00454FE3"/>
    <w:rsid w:val="0045560B"/>
    <w:rsid w:val="00455AC3"/>
    <w:rsid w:val="00456509"/>
    <w:rsid w:val="004567DF"/>
    <w:rsid w:val="00457035"/>
    <w:rsid w:val="00457730"/>
    <w:rsid w:val="0046006F"/>
    <w:rsid w:val="004606FC"/>
    <w:rsid w:val="00460F9E"/>
    <w:rsid w:val="00460FDC"/>
    <w:rsid w:val="00462355"/>
    <w:rsid w:val="00462B7F"/>
    <w:rsid w:val="004635EE"/>
    <w:rsid w:val="004638BB"/>
    <w:rsid w:val="004651BB"/>
    <w:rsid w:val="0046549A"/>
    <w:rsid w:val="00466945"/>
    <w:rsid w:val="00470282"/>
    <w:rsid w:val="004748BA"/>
    <w:rsid w:val="00474A64"/>
    <w:rsid w:val="00475158"/>
    <w:rsid w:val="004763C9"/>
    <w:rsid w:val="0047642C"/>
    <w:rsid w:val="00476779"/>
    <w:rsid w:val="00481247"/>
    <w:rsid w:val="004820A1"/>
    <w:rsid w:val="004820CB"/>
    <w:rsid w:val="004822D3"/>
    <w:rsid w:val="00482F02"/>
    <w:rsid w:val="00483CBB"/>
    <w:rsid w:val="004868D1"/>
    <w:rsid w:val="00487EC6"/>
    <w:rsid w:val="00490B21"/>
    <w:rsid w:val="00494717"/>
    <w:rsid w:val="004A310F"/>
    <w:rsid w:val="004B331D"/>
    <w:rsid w:val="004B48F1"/>
    <w:rsid w:val="004B494F"/>
    <w:rsid w:val="004B4F24"/>
    <w:rsid w:val="004B5660"/>
    <w:rsid w:val="004B6AC3"/>
    <w:rsid w:val="004B7F0E"/>
    <w:rsid w:val="004C1B04"/>
    <w:rsid w:val="004C5AC1"/>
    <w:rsid w:val="004C6B7A"/>
    <w:rsid w:val="004D14D8"/>
    <w:rsid w:val="004D1C27"/>
    <w:rsid w:val="004D3130"/>
    <w:rsid w:val="004D42A9"/>
    <w:rsid w:val="004D61E1"/>
    <w:rsid w:val="004E1224"/>
    <w:rsid w:val="004E321B"/>
    <w:rsid w:val="004E3306"/>
    <w:rsid w:val="004E3429"/>
    <w:rsid w:val="004E3788"/>
    <w:rsid w:val="004E6550"/>
    <w:rsid w:val="004E6C6E"/>
    <w:rsid w:val="004F08C3"/>
    <w:rsid w:val="004F0CD4"/>
    <w:rsid w:val="004F2427"/>
    <w:rsid w:val="004F2D28"/>
    <w:rsid w:val="004F3BC3"/>
    <w:rsid w:val="004F4C1F"/>
    <w:rsid w:val="004F7CB3"/>
    <w:rsid w:val="00500FEC"/>
    <w:rsid w:val="0050129F"/>
    <w:rsid w:val="00501978"/>
    <w:rsid w:val="00501B51"/>
    <w:rsid w:val="00504C65"/>
    <w:rsid w:val="005065E5"/>
    <w:rsid w:val="00507E0A"/>
    <w:rsid w:val="0051124D"/>
    <w:rsid w:val="00511C42"/>
    <w:rsid w:val="00513E14"/>
    <w:rsid w:val="0051600C"/>
    <w:rsid w:val="00516690"/>
    <w:rsid w:val="00520A84"/>
    <w:rsid w:val="00520B2C"/>
    <w:rsid w:val="00520EF5"/>
    <w:rsid w:val="005215AD"/>
    <w:rsid w:val="00521DA4"/>
    <w:rsid w:val="0052204A"/>
    <w:rsid w:val="0052268A"/>
    <w:rsid w:val="00522E80"/>
    <w:rsid w:val="005233B9"/>
    <w:rsid w:val="00523976"/>
    <w:rsid w:val="00523DB7"/>
    <w:rsid w:val="0052471F"/>
    <w:rsid w:val="00524974"/>
    <w:rsid w:val="00526606"/>
    <w:rsid w:val="0052767A"/>
    <w:rsid w:val="00527B03"/>
    <w:rsid w:val="005312C5"/>
    <w:rsid w:val="00531F8C"/>
    <w:rsid w:val="005328E2"/>
    <w:rsid w:val="00532EFD"/>
    <w:rsid w:val="00533300"/>
    <w:rsid w:val="005333CD"/>
    <w:rsid w:val="0053358D"/>
    <w:rsid w:val="005364BD"/>
    <w:rsid w:val="00536A5A"/>
    <w:rsid w:val="00536E3A"/>
    <w:rsid w:val="005376ED"/>
    <w:rsid w:val="00540ADF"/>
    <w:rsid w:val="00543D84"/>
    <w:rsid w:val="00544847"/>
    <w:rsid w:val="00546937"/>
    <w:rsid w:val="005503C0"/>
    <w:rsid w:val="0055217D"/>
    <w:rsid w:val="00552270"/>
    <w:rsid w:val="005523BE"/>
    <w:rsid w:val="00552E5F"/>
    <w:rsid w:val="005544FD"/>
    <w:rsid w:val="00557E8E"/>
    <w:rsid w:val="005613F7"/>
    <w:rsid w:val="00561FE2"/>
    <w:rsid w:val="005622A4"/>
    <w:rsid w:val="005624E6"/>
    <w:rsid w:val="00562A1B"/>
    <w:rsid w:val="00562ABA"/>
    <w:rsid w:val="00563FB5"/>
    <w:rsid w:val="00565FF0"/>
    <w:rsid w:val="00566670"/>
    <w:rsid w:val="0057008C"/>
    <w:rsid w:val="005710E9"/>
    <w:rsid w:val="00572644"/>
    <w:rsid w:val="00573FA2"/>
    <w:rsid w:val="0057676F"/>
    <w:rsid w:val="005802D0"/>
    <w:rsid w:val="005835FD"/>
    <w:rsid w:val="00585C0E"/>
    <w:rsid w:val="00586738"/>
    <w:rsid w:val="005875A2"/>
    <w:rsid w:val="00587735"/>
    <w:rsid w:val="00591B2E"/>
    <w:rsid w:val="00593BB5"/>
    <w:rsid w:val="0059456F"/>
    <w:rsid w:val="00596B87"/>
    <w:rsid w:val="0059783D"/>
    <w:rsid w:val="005A059C"/>
    <w:rsid w:val="005A0E7A"/>
    <w:rsid w:val="005A1F32"/>
    <w:rsid w:val="005A28C9"/>
    <w:rsid w:val="005A33D0"/>
    <w:rsid w:val="005A3569"/>
    <w:rsid w:val="005A47F9"/>
    <w:rsid w:val="005A5AB5"/>
    <w:rsid w:val="005A619E"/>
    <w:rsid w:val="005A6664"/>
    <w:rsid w:val="005B0AB7"/>
    <w:rsid w:val="005B11E5"/>
    <w:rsid w:val="005B14EB"/>
    <w:rsid w:val="005B14F2"/>
    <w:rsid w:val="005B3263"/>
    <w:rsid w:val="005B32F3"/>
    <w:rsid w:val="005B3BD7"/>
    <w:rsid w:val="005B54F2"/>
    <w:rsid w:val="005B64D9"/>
    <w:rsid w:val="005B6F50"/>
    <w:rsid w:val="005B798C"/>
    <w:rsid w:val="005B7AF7"/>
    <w:rsid w:val="005C0C96"/>
    <w:rsid w:val="005C1BC8"/>
    <w:rsid w:val="005C4241"/>
    <w:rsid w:val="005C5535"/>
    <w:rsid w:val="005C629B"/>
    <w:rsid w:val="005C6D06"/>
    <w:rsid w:val="005C7DD0"/>
    <w:rsid w:val="005D12B6"/>
    <w:rsid w:val="005D4AA7"/>
    <w:rsid w:val="005D67DE"/>
    <w:rsid w:val="005E0625"/>
    <w:rsid w:val="005E181C"/>
    <w:rsid w:val="005E30F0"/>
    <w:rsid w:val="005E3167"/>
    <w:rsid w:val="005E420D"/>
    <w:rsid w:val="005E4417"/>
    <w:rsid w:val="005E470F"/>
    <w:rsid w:val="005E58A7"/>
    <w:rsid w:val="005E7258"/>
    <w:rsid w:val="005F0B89"/>
    <w:rsid w:val="005F0C00"/>
    <w:rsid w:val="005F0CFF"/>
    <w:rsid w:val="005F42B0"/>
    <w:rsid w:val="005F5682"/>
    <w:rsid w:val="005F648A"/>
    <w:rsid w:val="006051E7"/>
    <w:rsid w:val="006059BA"/>
    <w:rsid w:val="00606295"/>
    <w:rsid w:val="006066CA"/>
    <w:rsid w:val="00607C45"/>
    <w:rsid w:val="00612B65"/>
    <w:rsid w:val="00613A72"/>
    <w:rsid w:val="006144E3"/>
    <w:rsid w:val="00615EF2"/>
    <w:rsid w:val="006175FC"/>
    <w:rsid w:val="00617C40"/>
    <w:rsid w:val="006235ED"/>
    <w:rsid w:val="00624305"/>
    <w:rsid w:val="00624490"/>
    <w:rsid w:val="0063225B"/>
    <w:rsid w:val="0063331F"/>
    <w:rsid w:val="006335CD"/>
    <w:rsid w:val="0063597F"/>
    <w:rsid w:val="00637A2B"/>
    <w:rsid w:val="006400D4"/>
    <w:rsid w:val="00642AF7"/>
    <w:rsid w:val="00642D62"/>
    <w:rsid w:val="00643D34"/>
    <w:rsid w:val="00644AFE"/>
    <w:rsid w:val="006451B2"/>
    <w:rsid w:val="00645680"/>
    <w:rsid w:val="00647E6E"/>
    <w:rsid w:val="00647FE9"/>
    <w:rsid w:val="006503EA"/>
    <w:rsid w:val="00651C7F"/>
    <w:rsid w:val="00651DED"/>
    <w:rsid w:val="00652FD2"/>
    <w:rsid w:val="00654370"/>
    <w:rsid w:val="00654A21"/>
    <w:rsid w:val="00656234"/>
    <w:rsid w:val="00657B19"/>
    <w:rsid w:val="00662D72"/>
    <w:rsid w:val="00662DEB"/>
    <w:rsid w:val="006639E9"/>
    <w:rsid w:val="0066584C"/>
    <w:rsid w:val="00671723"/>
    <w:rsid w:val="006730D5"/>
    <w:rsid w:val="00674162"/>
    <w:rsid w:val="00674283"/>
    <w:rsid w:val="00676A54"/>
    <w:rsid w:val="006773D6"/>
    <w:rsid w:val="00677603"/>
    <w:rsid w:val="006777EA"/>
    <w:rsid w:val="0068193F"/>
    <w:rsid w:val="00681BB8"/>
    <w:rsid w:val="00681C07"/>
    <w:rsid w:val="00681C40"/>
    <w:rsid w:val="00682AF5"/>
    <w:rsid w:val="00685E98"/>
    <w:rsid w:val="0068602D"/>
    <w:rsid w:val="0068796D"/>
    <w:rsid w:val="00690253"/>
    <w:rsid w:val="006907B4"/>
    <w:rsid w:val="00692714"/>
    <w:rsid w:val="006942C0"/>
    <w:rsid w:val="00694527"/>
    <w:rsid w:val="00694561"/>
    <w:rsid w:val="00695DF3"/>
    <w:rsid w:val="00696992"/>
    <w:rsid w:val="0069728A"/>
    <w:rsid w:val="006A0FE4"/>
    <w:rsid w:val="006A6C7D"/>
    <w:rsid w:val="006A6D27"/>
    <w:rsid w:val="006B16DE"/>
    <w:rsid w:val="006B5BE2"/>
    <w:rsid w:val="006B60DA"/>
    <w:rsid w:val="006B6C08"/>
    <w:rsid w:val="006B7746"/>
    <w:rsid w:val="006C09F8"/>
    <w:rsid w:val="006C0E34"/>
    <w:rsid w:val="006C1F4D"/>
    <w:rsid w:val="006D36A8"/>
    <w:rsid w:val="006D38FB"/>
    <w:rsid w:val="006D41DD"/>
    <w:rsid w:val="006D422C"/>
    <w:rsid w:val="006D4A24"/>
    <w:rsid w:val="006D61E6"/>
    <w:rsid w:val="006D73F0"/>
    <w:rsid w:val="006E052D"/>
    <w:rsid w:val="006E0ABC"/>
    <w:rsid w:val="006E0D8D"/>
    <w:rsid w:val="006E1592"/>
    <w:rsid w:val="006E2396"/>
    <w:rsid w:val="006E48DB"/>
    <w:rsid w:val="006E55B8"/>
    <w:rsid w:val="006E5E63"/>
    <w:rsid w:val="006E7797"/>
    <w:rsid w:val="006E78D1"/>
    <w:rsid w:val="006F2492"/>
    <w:rsid w:val="006F34D0"/>
    <w:rsid w:val="006F41A5"/>
    <w:rsid w:val="006F4D37"/>
    <w:rsid w:val="006F5482"/>
    <w:rsid w:val="006F642A"/>
    <w:rsid w:val="006F7940"/>
    <w:rsid w:val="00700F73"/>
    <w:rsid w:val="00701580"/>
    <w:rsid w:val="00701CC3"/>
    <w:rsid w:val="00702856"/>
    <w:rsid w:val="00702E3F"/>
    <w:rsid w:val="00703456"/>
    <w:rsid w:val="00703842"/>
    <w:rsid w:val="00704566"/>
    <w:rsid w:val="00706C79"/>
    <w:rsid w:val="007072BF"/>
    <w:rsid w:val="00710093"/>
    <w:rsid w:val="0071383F"/>
    <w:rsid w:val="00713C23"/>
    <w:rsid w:val="00714401"/>
    <w:rsid w:val="00716480"/>
    <w:rsid w:val="007174E0"/>
    <w:rsid w:val="00720816"/>
    <w:rsid w:val="00720B8A"/>
    <w:rsid w:val="007233B8"/>
    <w:rsid w:val="007257AE"/>
    <w:rsid w:val="00727F09"/>
    <w:rsid w:val="00730D40"/>
    <w:rsid w:val="007310C7"/>
    <w:rsid w:val="0073318F"/>
    <w:rsid w:val="007337F6"/>
    <w:rsid w:val="00734513"/>
    <w:rsid w:val="00735747"/>
    <w:rsid w:val="007379A1"/>
    <w:rsid w:val="00741229"/>
    <w:rsid w:val="00742890"/>
    <w:rsid w:val="007432C4"/>
    <w:rsid w:val="00743FDD"/>
    <w:rsid w:val="00744A70"/>
    <w:rsid w:val="0074508E"/>
    <w:rsid w:val="00746681"/>
    <w:rsid w:val="007511BB"/>
    <w:rsid w:val="007536A1"/>
    <w:rsid w:val="00753C29"/>
    <w:rsid w:val="00753FFB"/>
    <w:rsid w:val="00757820"/>
    <w:rsid w:val="007618F4"/>
    <w:rsid w:val="00761C4D"/>
    <w:rsid w:val="007620FC"/>
    <w:rsid w:val="00762941"/>
    <w:rsid w:val="00763FEC"/>
    <w:rsid w:val="00764105"/>
    <w:rsid w:val="00764388"/>
    <w:rsid w:val="007655F2"/>
    <w:rsid w:val="00766EE3"/>
    <w:rsid w:val="00770B78"/>
    <w:rsid w:val="007716C9"/>
    <w:rsid w:val="00772492"/>
    <w:rsid w:val="0077288A"/>
    <w:rsid w:val="0077410B"/>
    <w:rsid w:val="00774375"/>
    <w:rsid w:val="00774E51"/>
    <w:rsid w:val="00774E7D"/>
    <w:rsid w:val="0077550F"/>
    <w:rsid w:val="00780E9E"/>
    <w:rsid w:val="007818D3"/>
    <w:rsid w:val="00784805"/>
    <w:rsid w:val="00785936"/>
    <w:rsid w:val="00785FC2"/>
    <w:rsid w:val="00787EDF"/>
    <w:rsid w:val="00787F88"/>
    <w:rsid w:val="00787FA1"/>
    <w:rsid w:val="007939B8"/>
    <w:rsid w:val="0079507B"/>
    <w:rsid w:val="00795C21"/>
    <w:rsid w:val="00796AE4"/>
    <w:rsid w:val="007A1EA6"/>
    <w:rsid w:val="007A6451"/>
    <w:rsid w:val="007A7415"/>
    <w:rsid w:val="007A7416"/>
    <w:rsid w:val="007A7652"/>
    <w:rsid w:val="007B02BE"/>
    <w:rsid w:val="007B0619"/>
    <w:rsid w:val="007B182E"/>
    <w:rsid w:val="007B2684"/>
    <w:rsid w:val="007B73E1"/>
    <w:rsid w:val="007C1F17"/>
    <w:rsid w:val="007C2055"/>
    <w:rsid w:val="007C22C0"/>
    <w:rsid w:val="007C3A5C"/>
    <w:rsid w:val="007C4079"/>
    <w:rsid w:val="007C516C"/>
    <w:rsid w:val="007C5741"/>
    <w:rsid w:val="007D1501"/>
    <w:rsid w:val="007D1932"/>
    <w:rsid w:val="007D1CCA"/>
    <w:rsid w:val="007D32B0"/>
    <w:rsid w:val="007D40B3"/>
    <w:rsid w:val="007D4FFE"/>
    <w:rsid w:val="007D78D0"/>
    <w:rsid w:val="007D7E81"/>
    <w:rsid w:val="007E115F"/>
    <w:rsid w:val="007E1344"/>
    <w:rsid w:val="007E1350"/>
    <w:rsid w:val="007E1D53"/>
    <w:rsid w:val="007E2480"/>
    <w:rsid w:val="007E252F"/>
    <w:rsid w:val="007E5D66"/>
    <w:rsid w:val="007E6518"/>
    <w:rsid w:val="007E7A17"/>
    <w:rsid w:val="007E7A2B"/>
    <w:rsid w:val="007F0F56"/>
    <w:rsid w:val="007F2463"/>
    <w:rsid w:val="007F26E2"/>
    <w:rsid w:val="007F4577"/>
    <w:rsid w:val="007F52F8"/>
    <w:rsid w:val="007F59C3"/>
    <w:rsid w:val="007F6096"/>
    <w:rsid w:val="00806010"/>
    <w:rsid w:val="00806743"/>
    <w:rsid w:val="00811D8C"/>
    <w:rsid w:val="00813F0F"/>
    <w:rsid w:val="00817879"/>
    <w:rsid w:val="00820C0E"/>
    <w:rsid w:val="008217C2"/>
    <w:rsid w:val="00821BA4"/>
    <w:rsid w:val="00822C4B"/>
    <w:rsid w:val="00823FD7"/>
    <w:rsid w:val="00824460"/>
    <w:rsid w:val="00825269"/>
    <w:rsid w:val="00826A8D"/>
    <w:rsid w:val="00827179"/>
    <w:rsid w:val="00827A4B"/>
    <w:rsid w:val="00830CC5"/>
    <w:rsid w:val="00830F61"/>
    <w:rsid w:val="00831C1E"/>
    <w:rsid w:val="008332FB"/>
    <w:rsid w:val="00834BCC"/>
    <w:rsid w:val="008353D7"/>
    <w:rsid w:val="00836174"/>
    <w:rsid w:val="00836556"/>
    <w:rsid w:val="00836871"/>
    <w:rsid w:val="008410F3"/>
    <w:rsid w:val="00841531"/>
    <w:rsid w:val="00842973"/>
    <w:rsid w:val="00844E4D"/>
    <w:rsid w:val="0084528A"/>
    <w:rsid w:val="00845E62"/>
    <w:rsid w:val="00846762"/>
    <w:rsid w:val="00847328"/>
    <w:rsid w:val="008475A0"/>
    <w:rsid w:val="00850667"/>
    <w:rsid w:val="00854C44"/>
    <w:rsid w:val="008559FF"/>
    <w:rsid w:val="00855AE6"/>
    <w:rsid w:val="008563C0"/>
    <w:rsid w:val="00857F6A"/>
    <w:rsid w:val="00862456"/>
    <w:rsid w:val="00862772"/>
    <w:rsid w:val="0086293C"/>
    <w:rsid w:val="008635F2"/>
    <w:rsid w:val="00864C9D"/>
    <w:rsid w:val="00864F39"/>
    <w:rsid w:val="00870E5A"/>
    <w:rsid w:val="00872615"/>
    <w:rsid w:val="00872827"/>
    <w:rsid w:val="00873520"/>
    <w:rsid w:val="008756F9"/>
    <w:rsid w:val="00877566"/>
    <w:rsid w:val="00877E85"/>
    <w:rsid w:val="008805E8"/>
    <w:rsid w:val="00882D83"/>
    <w:rsid w:val="00882F8B"/>
    <w:rsid w:val="00883718"/>
    <w:rsid w:val="00886E35"/>
    <w:rsid w:val="008901FF"/>
    <w:rsid w:val="0089067B"/>
    <w:rsid w:val="00892886"/>
    <w:rsid w:val="00894324"/>
    <w:rsid w:val="008969C1"/>
    <w:rsid w:val="00897DC4"/>
    <w:rsid w:val="008A00FC"/>
    <w:rsid w:val="008A0ABA"/>
    <w:rsid w:val="008A1B59"/>
    <w:rsid w:val="008A2494"/>
    <w:rsid w:val="008A2B13"/>
    <w:rsid w:val="008A372E"/>
    <w:rsid w:val="008A4515"/>
    <w:rsid w:val="008A4698"/>
    <w:rsid w:val="008A7A6C"/>
    <w:rsid w:val="008A7DE9"/>
    <w:rsid w:val="008B0C09"/>
    <w:rsid w:val="008B1E80"/>
    <w:rsid w:val="008B3868"/>
    <w:rsid w:val="008B51AB"/>
    <w:rsid w:val="008C24EB"/>
    <w:rsid w:val="008C2790"/>
    <w:rsid w:val="008C3EDE"/>
    <w:rsid w:val="008C524B"/>
    <w:rsid w:val="008C5A01"/>
    <w:rsid w:val="008D29A5"/>
    <w:rsid w:val="008D2BFB"/>
    <w:rsid w:val="008D373D"/>
    <w:rsid w:val="008D54C1"/>
    <w:rsid w:val="008D656C"/>
    <w:rsid w:val="008D7BB8"/>
    <w:rsid w:val="008E09CE"/>
    <w:rsid w:val="008E09EA"/>
    <w:rsid w:val="008E1705"/>
    <w:rsid w:val="008E3CD8"/>
    <w:rsid w:val="008E436C"/>
    <w:rsid w:val="008E4597"/>
    <w:rsid w:val="008E7D03"/>
    <w:rsid w:val="008F4978"/>
    <w:rsid w:val="008F4B3D"/>
    <w:rsid w:val="008F4C7F"/>
    <w:rsid w:val="008F5F3D"/>
    <w:rsid w:val="008F6C78"/>
    <w:rsid w:val="008F6DDD"/>
    <w:rsid w:val="008F6FE6"/>
    <w:rsid w:val="008F7CE8"/>
    <w:rsid w:val="00900D3F"/>
    <w:rsid w:val="00901FB3"/>
    <w:rsid w:val="00903F1E"/>
    <w:rsid w:val="00905026"/>
    <w:rsid w:val="00905D49"/>
    <w:rsid w:val="009064FF"/>
    <w:rsid w:val="0090660E"/>
    <w:rsid w:val="00907EDD"/>
    <w:rsid w:val="009108C5"/>
    <w:rsid w:val="009110B9"/>
    <w:rsid w:val="00912CDE"/>
    <w:rsid w:val="00913B16"/>
    <w:rsid w:val="0091410D"/>
    <w:rsid w:val="00915BDE"/>
    <w:rsid w:val="009207A2"/>
    <w:rsid w:val="0092097C"/>
    <w:rsid w:val="00920FBE"/>
    <w:rsid w:val="0092185B"/>
    <w:rsid w:val="00922051"/>
    <w:rsid w:val="00923522"/>
    <w:rsid w:val="0092381E"/>
    <w:rsid w:val="00923DEA"/>
    <w:rsid w:val="00925008"/>
    <w:rsid w:val="00925374"/>
    <w:rsid w:val="00925B65"/>
    <w:rsid w:val="0092735A"/>
    <w:rsid w:val="00931680"/>
    <w:rsid w:val="009338E5"/>
    <w:rsid w:val="00936592"/>
    <w:rsid w:val="00937DDE"/>
    <w:rsid w:val="009414D6"/>
    <w:rsid w:val="00942A27"/>
    <w:rsid w:val="00943377"/>
    <w:rsid w:val="00943A1A"/>
    <w:rsid w:val="00943E73"/>
    <w:rsid w:val="0094475E"/>
    <w:rsid w:val="00944F77"/>
    <w:rsid w:val="00947099"/>
    <w:rsid w:val="009472A5"/>
    <w:rsid w:val="00947974"/>
    <w:rsid w:val="00947DD4"/>
    <w:rsid w:val="00951607"/>
    <w:rsid w:val="009534F2"/>
    <w:rsid w:val="00954C30"/>
    <w:rsid w:val="00956A89"/>
    <w:rsid w:val="009576F6"/>
    <w:rsid w:val="00960C58"/>
    <w:rsid w:val="0096122B"/>
    <w:rsid w:val="0096317C"/>
    <w:rsid w:val="0096538C"/>
    <w:rsid w:val="009657E6"/>
    <w:rsid w:val="00965D26"/>
    <w:rsid w:val="009660FE"/>
    <w:rsid w:val="009665A3"/>
    <w:rsid w:val="009666F4"/>
    <w:rsid w:val="00966EC0"/>
    <w:rsid w:val="00967299"/>
    <w:rsid w:val="00967B5B"/>
    <w:rsid w:val="00970B9C"/>
    <w:rsid w:val="00971836"/>
    <w:rsid w:val="00972036"/>
    <w:rsid w:val="00972722"/>
    <w:rsid w:val="00973407"/>
    <w:rsid w:val="00973AC7"/>
    <w:rsid w:val="0097492D"/>
    <w:rsid w:val="00975C9C"/>
    <w:rsid w:val="00981420"/>
    <w:rsid w:val="009822C4"/>
    <w:rsid w:val="00982D4F"/>
    <w:rsid w:val="00984178"/>
    <w:rsid w:val="00984C52"/>
    <w:rsid w:val="00985417"/>
    <w:rsid w:val="009865B1"/>
    <w:rsid w:val="00990889"/>
    <w:rsid w:val="00990997"/>
    <w:rsid w:val="00990E83"/>
    <w:rsid w:val="00991A9B"/>
    <w:rsid w:val="00991B0C"/>
    <w:rsid w:val="00991BCE"/>
    <w:rsid w:val="00993FC8"/>
    <w:rsid w:val="00996294"/>
    <w:rsid w:val="009A0088"/>
    <w:rsid w:val="009A166A"/>
    <w:rsid w:val="009A1BEB"/>
    <w:rsid w:val="009A1E0A"/>
    <w:rsid w:val="009A287B"/>
    <w:rsid w:val="009A66F0"/>
    <w:rsid w:val="009A7422"/>
    <w:rsid w:val="009B089A"/>
    <w:rsid w:val="009B1BDD"/>
    <w:rsid w:val="009B2C73"/>
    <w:rsid w:val="009B2DEC"/>
    <w:rsid w:val="009B33E9"/>
    <w:rsid w:val="009B528F"/>
    <w:rsid w:val="009B61D6"/>
    <w:rsid w:val="009B6B44"/>
    <w:rsid w:val="009C0879"/>
    <w:rsid w:val="009C186F"/>
    <w:rsid w:val="009C2A59"/>
    <w:rsid w:val="009C2EFC"/>
    <w:rsid w:val="009C2F7C"/>
    <w:rsid w:val="009C39B9"/>
    <w:rsid w:val="009C3A87"/>
    <w:rsid w:val="009C5179"/>
    <w:rsid w:val="009C6B00"/>
    <w:rsid w:val="009C7B2B"/>
    <w:rsid w:val="009D0FD9"/>
    <w:rsid w:val="009D3277"/>
    <w:rsid w:val="009D3BD0"/>
    <w:rsid w:val="009D513C"/>
    <w:rsid w:val="009D737C"/>
    <w:rsid w:val="009E0520"/>
    <w:rsid w:val="009E29E6"/>
    <w:rsid w:val="009E4832"/>
    <w:rsid w:val="009E570F"/>
    <w:rsid w:val="009E5C9F"/>
    <w:rsid w:val="009E6FB5"/>
    <w:rsid w:val="009E77C2"/>
    <w:rsid w:val="009F029C"/>
    <w:rsid w:val="009F03FF"/>
    <w:rsid w:val="009F1510"/>
    <w:rsid w:val="009F1541"/>
    <w:rsid w:val="009F1A57"/>
    <w:rsid w:val="009F34C2"/>
    <w:rsid w:val="009F38E2"/>
    <w:rsid w:val="009F3B21"/>
    <w:rsid w:val="009F40CE"/>
    <w:rsid w:val="009F4345"/>
    <w:rsid w:val="009F4E41"/>
    <w:rsid w:val="009F70AA"/>
    <w:rsid w:val="00A0020F"/>
    <w:rsid w:val="00A0108B"/>
    <w:rsid w:val="00A01CE2"/>
    <w:rsid w:val="00A02ED0"/>
    <w:rsid w:val="00A02F87"/>
    <w:rsid w:val="00A03274"/>
    <w:rsid w:val="00A046F3"/>
    <w:rsid w:val="00A119B9"/>
    <w:rsid w:val="00A1249B"/>
    <w:rsid w:val="00A125BB"/>
    <w:rsid w:val="00A12A60"/>
    <w:rsid w:val="00A15FAA"/>
    <w:rsid w:val="00A16236"/>
    <w:rsid w:val="00A1660A"/>
    <w:rsid w:val="00A21227"/>
    <w:rsid w:val="00A21392"/>
    <w:rsid w:val="00A22C8A"/>
    <w:rsid w:val="00A23221"/>
    <w:rsid w:val="00A2358D"/>
    <w:rsid w:val="00A23A13"/>
    <w:rsid w:val="00A252DF"/>
    <w:rsid w:val="00A25741"/>
    <w:rsid w:val="00A26E79"/>
    <w:rsid w:val="00A279EE"/>
    <w:rsid w:val="00A30FC0"/>
    <w:rsid w:val="00A319B9"/>
    <w:rsid w:val="00A31A45"/>
    <w:rsid w:val="00A31DE0"/>
    <w:rsid w:val="00A32508"/>
    <w:rsid w:val="00A329B3"/>
    <w:rsid w:val="00A3568F"/>
    <w:rsid w:val="00A358BF"/>
    <w:rsid w:val="00A371D0"/>
    <w:rsid w:val="00A377CD"/>
    <w:rsid w:val="00A379BD"/>
    <w:rsid w:val="00A37D27"/>
    <w:rsid w:val="00A45F2F"/>
    <w:rsid w:val="00A46EA5"/>
    <w:rsid w:val="00A479FB"/>
    <w:rsid w:val="00A50170"/>
    <w:rsid w:val="00A52877"/>
    <w:rsid w:val="00A529D4"/>
    <w:rsid w:val="00A542B1"/>
    <w:rsid w:val="00A55133"/>
    <w:rsid w:val="00A561E8"/>
    <w:rsid w:val="00A56732"/>
    <w:rsid w:val="00A56842"/>
    <w:rsid w:val="00A56DC4"/>
    <w:rsid w:val="00A616C5"/>
    <w:rsid w:val="00A61CA3"/>
    <w:rsid w:val="00A63017"/>
    <w:rsid w:val="00A64448"/>
    <w:rsid w:val="00A64DE2"/>
    <w:rsid w:val="00A66170"/>
    <w:rsid w:val="00A66397"/>
    <w:rsid w:val="00A674F2"/>
    <w:rsid w:val="00A70366"/>
    <w:rsid w:val="00A708B0"/>
    <w:rsid w:val="00A71652"/>
    <w:rsid w:val="00A718E4"/>
    <w:rsid w:val="00A73818"/>
    <w:rsid w:val="00A73CA7"/>
    <w:rsid w:val="00A7427D"/>
    <w:rsid w:val="00A74F6E"/>
    <w:rsid w:val="00A75B4C"/>
    <w:rsid w:val="00A76CED"/>
    <w:rsid w:val="00A77660"/>
    <w:rsid w:val="00A80840"/>
    <w:rsid w:val="00A824A8"/>
    <w:rsid w:val="00A8562F"/>
    <w:rsid w:val="00A87EE5"/>
    <w:rsid w:val="00A920A8"/>
    <w:rsid w:val="00A92252"/>
    <w:rsid w:val="00A92837"/>
    <w:rsid w:val="00A930A7"/>
    <w:rsid w:val="00A93494"/>
    <w:rsid w:val="00A9405C"/>
    <w:rsid w:val="00A9418A"/>
    <w:rsid w:val="00A941D2"/>
    <w:rsid w:val="00A953B2"/>
    <w:rsid w:val="00A96F71"/>
    <w:rsid w:val="00AA318E"/>
    <w:rsid w:val="00AA36EB"/>
    <w:rsid w:val="00AA517C"/>
    <w:rsid w:val="00AA523D"/>
    <w:rsid w:val="00AA7338"/>
    <w:rsid w:val="00AA7731"/>
    <w:rsid w:val="00AB0368"/>
    <w:rsid w:val="00AB107D"/>
    <w:rsid w:val="00AB1922"/>
    <w:rsid w:val="00AB24D5"/>
    <w:rsid w:val="00AB265D"/>
    <w:rsid w:val="00AB3888"/>
    <w:rsid w:val="00AB409A"/>
    <w:rsid w:val="00AB43E0"/>
    <w:rsid w:val="00AB4F6E"/>
    <w:rsid w:val="00AB5A0C"/>
    <w:rsid w:val="00AB5DF9"/>
    <w:rsid w:val="00AB76C0"/>
    <w:rsid w:val="00AB78A7"/>
    <w:rsid w:val="00AC046D"/>
    <w:rsid w:val="00AC1EB9"/>
    <w:rsid w:val="00AC5AED"/>
    <w:rsid w:val="00AC67E2"/>
    <w:rsid w:val="00AC7923"/>
    <w:rsid w:val="00AD0D3D"/>
    <w:rsid w:val="00AD1F56"/>
    <w:rsid w:val="00AD3BE5"/>
    <w:rsid w:val="00AD4DAF"/>
    <w:rsid w:val="00AD4DCB"/>
    <w:rsid w:val="00AD5CC4"/>
    <w:rsid w:val="00AD5DDA"/>
    <w:rsid w:val="00AD5F30"/>
    <w:rsid w:val="00AD65BA"/>
    <w:rsid w:val="00AD6ADB"/>
    <w:rsid w:val="00AE0161"/>
    <w:rsid w:val="00AE0419"/>
    <w:rsid w:val="00AE2DAC"/>
    <w:rsid w:val="00AE37CB"/>
    <w:rsid w:val="00AE6F0E"/>
    <w:rsid w:val="00AF0E19"/>
    <w:rsid w:val="00AF0EC6"/>
    <w:rsid w:val="00AF21E7"/>
    <w:rsid w:val="00AF2299"/>
    <w:rsid w:val="00AF33C1"/>
    <w:rsid w:val="00AF3484"/>
    <w:rsid w:val="00AF3DEE"/>
    <w:rsid w:val="00AF421E"/>
    <w:rsid w:val="00AF4972"/>
    <w:rsid w:val="00AF49CD"/>
    <w:rsid w:val="00AF4CA3"/>
    <w:rsid w:val="00AF6541"/>
    <w:rsid w:val="00AF659C"/>
    <w:rsid w:val="00AF688A"/>
    <w:rsid w:val="00B008BD"/>
    <w:rsid w:val="00B00B67"/>
    <w:rsid w:val="00B00BC1"/>
    <w:rsid w:val="00B0126B"/>
    <w:rsid w:val="00B023E0"/>
    <w:rsid w:val="00B02F0B"/>
    <w:rsid w:val="00B03FD4"/>
    <w:rsid w:val="00B05395"/>
    <w:rsid w:val="00B059A7"/>
    <w:rsid w:val="00B0669A"/>
    <w:rsid w:val="00B07357"/>
    <w:rsid w:val="00B0772F"/>
    <w:rsid w:val="00B10140"/>
    <w:rsid w:val="00B117C6"/>
    <w:rsid w:val="00B12216"/>
    <w:rsid w:val="00B127DC"/>
    <w:rsid w:val="00B133C4"/>
    <w:rsid w:val="00B13DFF"/>
    <w:rsid w:val="00B1458C"/>
    <w:rsid w:val="00B215F9"/>
    <w:rsid w:val="00B21B34"/>
    <w:rsid w:val="00B23644"/>
    <w:rsid w:val="00B25D75"/>
    <w:rsid w:val="00B25DB5"/>
    <w:rsid w:val="00B26CD5"/>
    <w:rsid w:val="00B301AB"/>
    <w:rsid w:val="00B34D7D"/>
    <w:rsid w:val="00B34F16"/>
    <w:rsid w:val="00B3542A"/>
    <w:rsid w:val="00B35D8E"/>
    <w:rsid w:val="00B36DC9"/>
    <w:rsid w:val="00B402E5"/>
    <w:rsid w:val="00B41AEF"/>
    <w:rsid w:val="00B41E48"/>
    <w:rsid w:val="00B4280B"/>
    <w:rsid w:val="00B45DA2"/>
    <w:rsid w:val="00B467CB"/>
    <w:rsid w:val="00B478FE"/>
    <w:rsid w:val="00B53A50"/>
    <w:rsid w:val="00B540C3"/>
    <w:rsid w:val="00B54FAB"/>
    <w:rsid w:val="00B5621D"/>
    <w:rsid w:val="00B62EA7"/>
    <w:rsid w:val="00B636B2"/>
    <w:rsid w:val="00B63F4B"/>
    <w:rsid w:val="00B659FE"/>
    <w:rsid w:val="00B733C2"/>
    <w:rsid w:val="00B738A1"/>
    <w:rsid w:val="00B75321"/>
    <w:rsid w:val="00B75665"/>
    <w:rsid w:val="00B809CD"/>
    <w:rsid w:val="00B80F77"/>
    <w:rsid w:val="00B81962"/>
    <w:rsid w:val="00B826DA"/>
    <w:rsid w:val="00B82881"/>
    <w:rsid w:val="00B82A3E"/>
    <w:rsid w:val="00B83FE9"/>
    <w:rsid w:val="00B84823"/>
    <w:rsid w:val="00B853E5"/>
    <w:rsid w:val="00B856A9"/>
    <w:rsid w:val="00B865F9"/>
    <w:rsid w:val="00B87317"/>
    <w:rsid w:val="00B91279"/>
    <w:rsid w:val="00B91D02"/>
    <w:rsid w:val="00B923F4"/>
    <w:rsid w:val="00B929C6"/>
    <w:rsid w:val="00B95263"/>
    <w:rsid w:val="00B9534C"/>
    <w:rsid w:val="00B953CB"/>
    <w:rsid w:val="00B96641"/>
    <w:rsid w:val="00B97878"/>
    <w:rsid w:val="00BA2E15"/>
    <w:rsid w:val="00BA38E7"/>
    <w:rsid w:val="00BA4898"/>
    <w:rsid w:val="00BA5D4B"/>
    <w:rsid w:val="00BA5E50"/>
    <w:rsid w:val="00BA6CC9"/>
    <w:rsid w:val="00BA719D"/>
    <w:rsid w:val="00BA7D46"/>
    <w:rsid w:val="00BB090E"/>
    <w:rsid w:val="00BB1AC1"/>
    <w:rsid w:val="00BB20D7"/>
    <w:rsid w:val="00BB571F"/>
    <w:rsid w:val="00BB78B4"/>
    <w:rsid w:val="00BC1D80"/>
    <w:rsid w:val="00BC1EA5"/>
    <w:rsid w:val="00BC1F5B"/>
    <w:rsid w:val="00BC3915"/>
    <w:rsid w:val="00BC39BA"/>
    <w:rsid w:val="00BC560D"/>
    <w:rsid w:val="00BC5C52"/>
    <w:rsid w:val="00BC6E26"/>
    <w:rsid w:val="00BC72DB"/>
    <w:rsid w:val="00BD02E3"/>
    <w:rsid w:val="00BD076C"/>
    <w:rsid w:val="00BD4268"/>
    <w:rsid w:val="00BD5C71"/>
    <w:rsid w:val="00BD6966"/>
    <w:rsid w:val="00BE0066"/>
    <w:rsid w:val="00BE144B"/>
    <w:rsid w:val="00BE1D21"/>
    <w:rsid w:val="00BE316C"/>
    <w:rsid w:val="00BE4617"/>
    <w:rsid w:val="00BE56E6"/>
    <w:rsid w:val="00BE5F4B"/>
    <w:rsid w:val="00BF0B16"/>
    <w:rsid w:val="00BF1068"/>
    <w:rsid w:val="00BF2461"/>
    <w:rsid w:val="00BF27B6"/>
    <w:rsid w:val="00BF4632"/>
    <w:rsid w:val="00BF467A"/>
    <w:rsid w:val="00BF5A24"/>
    <w:rsid w:val="00C00BD1"/>
    <w:rsid w:val="00C00C48"/>
    <w:rsid w:val="00C100E2"/>
    <w:rsid w:val="00C10E75"/>
    <w:rsid w:val="00C119EF"/>
    <w:rsid w:val="00C11DE8"/>
    <w:rsid w:val="00C12947"/>
    <w:rsid w:val="00C135C4"/>
    <w:rsid w:val="00C13A99"/>
    <w:rsid w:val="00C150A0"/>
    <w:rsid w:val="00C1532D"/>
    <w:rsid w:val="00C20E42"/>
    <w:rsid w:val="00C21B8F"/>
    <w:rsid w:val="00C224F7"/>
    <w:rsid w:val="00C22A46"/>
    <w:rsid w:val="00C22F5A"/>
    <w:rsid w:val="00C237AC"/>
    <w:rsid w:val="00C2430B"/>
    <w:rsid w:val="00C26280"/>
    <w:rsid w:val="00C26707"/>
    <w:rsid w:val="00C3009A"/>
    <w:rsid w:val="00C306BF"/>
    <w:rsid w:val="00C34867"/>
    <w:rsid w:val="00C349EA"/>
    <w:rsid w:val="00C34B5A"/>
    <w:rsid w:val="00C358EC"/>
    <w:rsid w:val="00C3671E"/>
    <w:rsid w:val="00C3691B"/>
    <w:rsid w:val="00C410D2"/>
    <w:rsid w:val="00C414F9"/>
    <w:rsid w:val="00C418FD"/>
    <w:rsid w:val="00C421E1"/>
    <w:rsid w:val="00C42931"/>
    <w:rsid w:val="00C43B58"/>
    <w:rsid w:val="00C442A7"/>
    <w:rsid w:val="00C506B5"/>
    <w:rsid w:val="00C51FBF"/>
    <w:rsid w:val="00C53358"/>
    <w:rsid w:val="00C56208"/>
    <w:rsid w:val="00C61094"/>
    <w:rsid w:val="00C61725"/>
    <w:rsid w:val="00C62EBC"/>
    <w:rsid w:val="00C6389C"/>
    <w:rsid w:val="00C64FE4"/>
    <w:rsid w:val="00C65BF3"/>
    <w:rsid w:val="00C720E1"/>
    <w:rsid w:val="00C73F1F"/>
    <w:rsid w:val="00C74AB8"/>
    <w:rsid w:val="00C75272"/>
    <w:rsid w:val="00C75AF0"/>
    <w:rsid w:val="00C829AF"/>
    <w:rsid w:val="00C8416C"/>
    <w:rsid w:val="00C84694"/>
    <w:rsid w:val="00C852E5"/>
    <w:rsid w:val="00C8578D"/>
    <w:rsid w:val="00C8783B"/>
    <w:rsid w:val="00C8784A"/>
    <w:rsid w:val="00C90686"/>
    <w:rsid w:val="00C907FB"/>
    <w:rsid w:val="00C909E6"/>
    <w:rsid w:val="00C9286F"/>
    <w:rsid w:val="00C93313"/>
    <w:rsid w:val="00C9524B"/>
    <w:rsid w:val="00C964B8"/>
    <w:rsid w:val="00C978E3"/>
    <w:rsid w:val="00C97915"/>
    <w:rsid w:val="00C9798D"/>
    <w:rsid w:val="00C97BCD"/>
    <w:rsid w:val="00CA1ED9"/>
    <w:rsid w:val="00CA3128"/>
    <w:rsid w:val="00CA3EBF"/>
    <w:rsid w:val="00CA73C4"/>
    <w:rsid w:val="00CA75AC"/>
    <w:rsid w:val="00CA7A58"/>
    <w:rsid w:val="00CB0E24"/>
    <w:rsid w:val="00CB1DD2"/>
    <w:rsid w:val="00CB2297"/>
    <w:rsid w:val="00CB2CA6"/>
    <w:rsid w:val="00CB57CE"/>
    <w:rsid w:val="00CB6194"/>
    <w:rsid w:val="00CB737A"/>
    <w:rsid w:val="00CC2381"/>
    <w:rsid w:val="00CC3070"/>
    <w:rsid w:val="00CC3622"/>
    <w:rsid w:val="00CC601D"/>
    <w:rsid w:val="00CC6107"/>
    <w:rsid w:val="00CC67A0"/>
    <w:rsid w:val="00CC7146"/>
    <w:rsid w:val="00CC718D"/>
    <w:rsid w:val="00CD3332"/>
    <w:rsid w:val="00CD5E31"/>
    <w:rsid w:val="00CD71E8"/>
    <w:rsid w:val="00CE0A32"/>
    <w:rsid w:val="00CE1128"/>
    <w:rsid w:val="00CE1850"/>
    <w:rsid w:val="00CE2F02"/>
    <w:rsid w:val="00CE30B1"/>
    <w:rsid w:val="00CE3649"/>
    <w:rsid w:val="00CE49A8"/>
    <w:rsid w:val="00CE4F73"/>
    <w:rsid w:val="00CE5A5A"/>
    <w:rsid w:val="00CE5BDF"/>
    <w:rsid w:val="00CE5D9E"/>
    <w:rsid w:val="00CE7ECA"/>
    <w:rsid w:val="00CF06D9"/>
    <w:rsid w:val="00CF1155"/>
    <w:rsid w:val="00CF12A6"/>
    <w:rsid w:val="00CF197F"/>
    <w:rsid w:val="00CF1EB2"/>
    <w:rsid w:val="00CF3BDE"/>
    <w:rsid w:val="00CF4158"/>
    <w:rsid w:val="00CF512A"/>
    <w:rsid w:val="00CF5DB9"/>
    <w:rsid w:val="00CF6CA9"/>
    <w:rsid w:val="00CF7C56"/>
    <w:rsid w:val="00D00149"/>
    <w:rsid w:val="00D00B06"/>
    <w:rsid w:val="00D00DE5"/>
    <w:rsid w:val="00D0175D"/>
    <w:rsid w:val="00D02330"/>
    <w:rsid w:val="00D032D8"/>
    <w:rsid w:val="00D03BE6"/>
    <w:rsid w:val="00D03C48"/>
    <w:rsid w:val="00D049F1"/>
    <w:rsid w:val="00D04E41"/>
    <w:rsid w:val="00D0512E"/>
    <w:rsid w:val="00D06398"/>
    <w:rsid w:val="00D1000B"/>
    <w:rsid w:val="00D12378"/>
    <w:rsid w:val="00D13DCE"/>
    <w:rsid w:val="00D14CCB"/>
    <w:rsid w:val="00D15510"/>
    <w:rsid w:val="00D16345"/>
    <w:rsid w:val="00D16E3D"/>
    <w:rsid w:val="00D176A2"/>
    <w:rsid w:val="00D17B3F"/>
    <w:rsid w:val="00D20075"/>
    <w:rsid w:val="00D20879"/>
    <w:rsid w:val="00D23AFB"/>
    <w:rsid w:val="00D24C05"/>
    <w:rsid w:val="00D25DE3"/>
    <w:rsid w:val="00D261F1"/>
    <w:rsid w:val="00D315C0"/>
    <w:rsid w:val="00D31AD4"/>
    <w:rsid w:val="00D34B6A"/>
    <w:rsid w:val="00D34C37"/>
    <w:rsid w:val="00D34E39"/>
    <w:rsid w:val="00D3534C"/>
    <w:rsid w:val="00D354F4"/>
    <w:rsid w:val="00D3552A"/>
    <w:rsid w:val="00D37CF4"/>
    <w:rsid w:val="00D4002E"/>
    <w:rsid w:val="00D40CEC"/>
    <w:rsid w:val="00D411E2"/>
    <w:rsid w:val="00D41738"/>
    <w:rsid w:val="00D433B3"/>
    <w:rsid w:val="00D443CC"/>
    <w:rsid w:val="00D46341"/>
    <w:rsid w:val="00D46894"/>
    <w:rsid w:val="00D507F4"/>
    <w:rsid w:val="00D50B55"/>
    <w:rsid w:val="00D52BE8"/>
    <w:rsid w:val="00D52FA4"/>
    <w:rsid w:val="00D53351"/>
    <w:rsid w:val="00D55C10"/>
    <w:rsid w:val="00D579A2"/>
    <w:rsid w:val="00D600B3"/>
    <w:rsid w:val="00D615D6"/>
    <w:rsid w:val="00D623ED"/>
    <w:rsid w:val="00D645C0"/>
    <w:rsid w:val="00D64B41"/>
    <w:rsid w:val="00D65C8F"/>
    <w:rsid w:val="00D70F31"/>
    <w:rsid w:val="00D71D7F"/>
    <w:rsid w:val="00D73B09"/>
    <w:rsid w:val="00D75C7C"/>
    <w:rsid w:val="00D761F0"/>
    <w:rsid w:val="00D76A57"/>
    <w:rsid w:val="00D772DE"/>
    <w:rsid w:val="00D77AEE"/>
    <w:rsid w:val="00D80672"/>
    <w:rsid w:val="00D8098F"/>
    <w:rsid w:val="00D83805"/>
    <w:rsid w:val="00D84C97"/>
    <w:rsid w:val="00D90496"/>
    <w:rsid w:val="00D914A6"/>
    <w:rsid w:val="00D92C31"/>
    <w:rsid w:val="00D92FC9"/>
    <w:rsid w:val="00D9330F"/>
    <w:rsid w:val="00D944E2"/>
    <w:rsid w:val="00D950F2"/>
    <w:rsid w:val="00D95B7C"/>
    <w:rsid w:val="00D96EFA"/>
    <w:rsid w:val="00D97DF7"/>
    <w:rsid w:val="00DA03D7"/>
    <w:rsid w:val="00DA0BB4"/>
    <w:rsid w:val="00DA1351"/>
    <w:rsid w:val="00DA1387"/>
    <w:rsid w:val="00DA198B"/>
    <w:rsid w:val="00DA1AF4"/>
    <w:rsid w:val="00DA1BB3"/>
    <w:rsid w:val="00DA2C18"/>
    <w:rsid w:val="00DA2D5C"/>
    <w:rsid w:val="00DA4E23"/>
    <w:rsid w:val="00DA63B8"/>
    <w:rsid w:val="00DA6860"/>
    <w:rsid w:val="00DA775A"/>
    <w:rsid w:val="00DB0858"/>
    <w:rsid w:val="00DB14BB"/>
    <w:rsid w:val="00DB14D1"/>
    <w:rsid w:val="00DB26F2"/>
    <w:rsid w:val="00DB5C83"/>
    <w:rsid w:val="00DB5F70"/>
    <w:rsid w:val="00DB60F3"/>
    <w:rsid w:val="00DB7E76"/>
    <w:rsid w:val="00DC0D46"/>
    <w:rsid w:val="00DC1ACB"/>
    <w:rsid w:val="00DC2175"/>
    <w:rsid w:val="00DC2510"/>
    <w:rsid w:val="00DC32C4"/>
    <w:rsid w:val="00DC3911"/>
    <w:rsid w:val="00DC39C3"/>
    <w:rsid w:val="00DC4F5D"/>
    <w:rsid w:val="00DC59C1"/>
    <w:rsid w:val="00DC6B8A"/>
    <w:rsid w:val="00DC775F"/>
    <w:rsid w:val="00DC7921"/>
    <w:rsid w:val="00DD103B"/>
    <w:rsid w:val="00DD32AF"/>
    <w:rsid w:val="00DD4F69"/>
    <w:rsid w:val="00DD5E9A"/>
    <w:rsid w:val="00DD6EE9"/>
    <w:rsid w:val="00DE2872"/>
    <w:rsid w:val="00DE49FC"/>
    <w:rsid w:val="00DE5DD6"/>
    <w:rsid w:val="00DE68AD"/>
    <w:rsid w:val="00DE7564"/>
    <w:rsid w:val="00DF15FA"/>
    <w:rsid w:val="00DF16AB"/>
    <w:rsid w:val="00DF19D5"/>
    <w:rsid w:val="00DF1A72"/>
    <w:rsid w:val="00DF2F5C"/>
    <w:rsid w:val="00DF3530"/>
    <w:rsid w:val="00DF558F"/>
    <w:rsid w:val="00DF55B1"/>
    <w:rsid w:val="00DF6D2A"/>
    <w:rsid w:val="00DF7B8A"/>
    <w:rsid w:val="00E0238B"/>
    <w:rsid w:val="00E034C8"/>
    <w:rsid w:val="00E04301"/>
    <w:rsid w:val="00E05D1C"/>
    <w:rsid w:val="00E06D2A"/>
    <w:rsid w:val="00E06DE8"/>
    <w:rsid w:val="00E075C9"/>
    <w:rsid w:val="00E100E3"/>
    <w:rsid w:val="00E10A80"/>
    <w:rsid w:val="00E1169E"/>
    <w:rsid w:val="00E119A2"/>
    <w:rsid w:val="00E12DE5"/>
    <w:rsid w:val="00E13BC7"/>
    <w:rsid w:val="00E1438C"/>
    <w:rsid w:val="00E16FDA"/>
    <w:rsid w:val="00E20573"/>
    <w:rsid w:val="00E20A47"/>
    <w:rsid w:val="00E22667"/>
    <w:rsid w:val="00E2309E"/>
    <w:rsid w:val="00E23B0B"/>
    <w:rsid w:val="00E23C4C"/>
    <w:rsid w:val="00E3316F"/>
    <w:rsid w:val="00E35197"/>
    <w:rsid w:val="00E35399"/>
    <w:rsid w:val="00E3629C"/>
    <w:rsid w:val="00E37429"/>
    <w:rsid w:val="00E37CB1"/>
    <w:rsid w:val="00E37EBB"/>
    <w:rsid w:val="00E41A39"/>
    <w:rsid w:val="00E439DF"/>
    <w:rsid w:val="00E44356"/>
    <w:rsid w:val="00E44DE9"/>
    <w:rsid w:val="00E45F44"/>
    <w:rsid w:val="00E464F5"/>
    <w:rsid w:val="00E51231"/>
    <w:rsid w:val="00E512B9"/>
    <w:rsid w:val="00E51F59"/>
    <w:rsid w:val="00E52E54"/>
    <w:rsid w:val="00E57433"/>
    <w:rsid w:val="00E60692"/>
    <w:rsid w:val="00E61BB3"/>
    <w:rsid w:val="00E636ED"/>
    <w:rsid w:val="00E639CA"/>
    <w:rsid w:val="00E63B7F"/>
    <w:rsid w:val="00E651B5"/>
    <w:rsid w:val="00E6546D"/>
    <w:rsid w:val="00E66CEB"/>
    <w:rsid w:val="00E679C5"/>
    <w:rsid w:val="00E67C7F"/>
    <w:rsid w:val="00E706BC"/>
    <w:rsid w:val="00E7154B"/>
    <w:rsid w:val="00E7336B"/>
    <w:rsid w:val="00E73BA7"/>
    <w:rsid w:val="00E751DA"/>
    <w:rsid w:val="00E80FB5"/>
    <w:rsid w:val="00E81167"/>
    <w:rsid w:val="00E829A1"/>
    <w:rsid w:val="00E839B5"/>
    <w:rsid w:val="00E85D20"/>
    <w:rsid w:val="00E86942"/>
    <w:rsid w:val="00E90521"/>
    <w:rsid w:val="00E9096A"/>
    <w:rsid w:val="00E92BD2"/>
    <w:rsid w:val="00E93428"/>
    <w:rsid w:val="00E93C5B"/>
    <w:rsid w:val="00E94D01"/>
    <w:rsid w:val="00E955BC"/>
    <w:rsid w:val="00EA02BE"/>
    <w:rsid w:val="00EA1AA6"/>
    <w:rsid w:val="00EA42EC"/>
    <w:rsid w:val="00EA5646"/>
    <w:rsid w:val="00EA5D5C"/>
    <w:rsid w:val="00EA7A93"/>
    <w:rsid w:val="00EB1F10"/>
    <w:rsid w:val="00EB2242"/>
    <w:rsid w:val="00EB2A50"/>
    <w:rsid w:val="00EB37C3"/>
    <w:rsid w:val="00EB3F04"/>
    <w:rsid w:val="00EB7515"/>
    <w:rsid w:val="00EC0740"/>
    <w:rsid w:val="00EC2738"/>
    <w:rsid w:val="00EC3092"/>
    <w:rsid w:val="00EC45E5"/>
    <w:rsid w:val="00EC4C1B"/>
    <w:rsid w:val="00EC4EE9"/>
    <w:rsid w:val="00EC5321"/>
    <w:rsid w:val="00EC5715"/>
    <w:rsid w:val="00EC6583"/>
    <w:rsid w:val="00EC6657"/>
    <w:rsid w:val="00EC6897"/>
    <w:rsid w:val="00EC6B9A"/>
    <w:rsid w:val="00ED1C74"/>
    <w:rsid w:val="00ED4FF9"/>
    <w:rsid w:val="00ED514D"/>
    <w:rsid w:val="00ED6154"/>
    <w:rsid w:val="00ED7CAE"/>
    <w:rsid w:val="00EE04E8"/>
    <w:rsid w:val="00EE0DCE"/>
    <w:rsid w:val="00EE0FCE"/>
    <w:rsid w:val="00EE1FEC"/>
    <w:rsid w:val="00EE286D"/>
    <w:rsid w:val="00EE35C1"/>
    <w:rsid w:val="00EE3A55"/>
    <w:rsid w:val="00EE3C85"/>
    <w:rsid w:val="00EE5A55"/>
    <w:rsid w:val="00EE6477"/>
    <w:rsid w:val="00EE6555"/>
    <w:rsid w:val="00EF0449"/>
    <w:rsid w:val="00EF0E54"/>
    <w:rsid w:val="00EF2D7C"/>
    <w:rsid w:val="00EF3D53"/>
    <w:rsid w:val="00EF5EB2"/>
    <w:rsid w:val="00EF623F"/>
    <w:rsid w:val="00F0018D"/>
    <w:rsid w:val="00F02945"/>
    <w:rsid w:val="00F02CC2"/>
    <w:rsid w:val="00F02F82"/>
    <w:rsid w:val="00F02FB9"/>
    <w:rsid w:val="00F0463B"/>
    <w:rsid w:val="00F04785"/>
    <w:rsid w:val="00F04914"/>
    <w:rsid w:val="00F05490"/>
    <w:rsid w:val="00F054A4"/>
    <w:rsid w:val="00F058AC"/>
    <w:rsid w:val="00F06CBB"/>
    <w:rsid w:val="00F06E4E"/>
    <w:rsid w:val="00F11D60"/>
    <w:rsid w:val="00F13877"/>
    <w:rsid w:val="00F1651B"/>
    <w:rsid w:val="00F16792"/>
    <w:rsid w:val="00F1740C"/>
    <w:rsid w:val="00F17583"/>
    <w:rsid w:val="00F203DC"/>
    <w:rsid w:val="00F2284D"/>
    <w:rsid w:val="00F22F32"/>
    <w:rsid w:val="00F23292"/>
    <w:rsid w:val="00F2373C"/>
    <w:rsid w:val="00F2523B"/>
    <w:rsid w:val="00F27D2C"/>
    <w:rsid w:val="00F27F07"/>
    <w:rsid w:val="00F30AAA"/>
    <w:rsid w:val="00F32BC2"/>
    <w:rsid w:val="00F33E38"/>
    <w:rsid w:val="00F3645E"/>
    <w:rsid w:val="00F36FB3"/>
    <w:rsid w:val="00F37420"/>
    <w:rsid w:val="00F4020C"/>
    <w:rsid w:val="00F41AC2"/>
    <w:rsid w:val="00F43605"/>
    <w:rsid w:val="00F4597E"/>
    <w:rsid w:val="00F473C7"/>
    <w:rsid w:val="00F50090"/>
    <w:rsid w:val="00F50765"/>
    <w:rsid w:val="00F5113B"/>
    <w:rsid w:val="00F52E1F"/>
    <w:rsid w:val="00F52EA0"/>
    <w:rsid w:val="00F53299"/>
    <w:rsid w:val="00F550E7"/>
    <w:rsid w:val="00F56A40"/>
    <w:rsid w:val="00F56C1B"/>
    <w:rsid w:val="00F600EB"/>
    <w:rsid w:val="00F603C2"/>
    <w:rsid w:val="00F60D53"/>
    <w:rsid w:val="00F616A4"/>
    <w:rsid w:val="00F6186B"/>
    <w:rsid w:val="00F6275D"/>
    <w:rsid w:val="00F6290B"/>
    <w:rsid w:val="00F64279"/>
    <w:rsid w:val="00F65597"/>
    <w:rsid w:val="00F66111"/>
    <w:rsid w:val="00F66117"/>
    <w:rsid w:val="00F67F6B"/>
    <w:rsid w:val="00F7348C"/>
    <w:rsid w:val="00F74418"/>
    <w:rsid w:val="00F75963"/>
    <w:rsid w:val="00F76EC6"/>
    <w:rsid w:val="00F77676"/>
    <w:rsid w:val="00F800DC"/>
    <w:rsid w:val="00F804F1"/>
    <w:rsid w:val="00F824D0"/>
    <w:rsid w:val="00F82BBF"/>
    <w:rsid w:val="00F82CA5"/>
    <w:rsid w:val="00F832CC"/>
    <w:rsid w:val="00F835EF"/>
    <w:rsid w:val="00F8599C"/>
    <w:rsid w:val="00F8691B"/>
    <w:rsid w:val="00F86D98"/>
    <w:rsid w:val="00F872BE"/>
    <w:rsid w:val="00F875FB"/>
    <w:rsid w:val="00F90798"/>
    <w:rsid w:val="00F92930"/>
    <w:rsid w:val="00F929E7"/>
    <w:rsid w:val="00F94FA1"/>
    <w:rsid w:val="00F95259"/>
    <w:rsid w:val="00F96EDF"/>
    <w:rsid w:val="00FA1172"/>
    <w:rsid w:val="00FA2117"/>
    <w:rsid w:val="00FA3994"/>
    <w:rsid w:val="00FA3F96"/>
    <w:rsid w:val="00FA4641"/>
    <w:rsid w:val="00FA66EA"/>
    <w:rsid w:val="00FA6745"/>
    <w:rsid w:val="00FA6DD7"/>
    <w:rsid w:val="00FA749C"/>
    <w:rsid w:val="00FA7F63"/>
    <w:rsid w:val="00FB3CCE"/>
    <w:rsid w:val="00FB47BD"/>
    <w:rsid w:val="00FB6FF4"/>
    <w:rsid w:val="00FC109B"/>
    <w:rsid w:val="00FC26F6"/>
    <w:rsid w:val="00FC46E6"/>
    <w:rsid w:val="00FC4DA0"/>
    <w:rsid w:val="00FC5C7D"/>
    <w:rsid w:val="00FC682F"/>
    <w:rsid w:val="00FD0834"/>
    <w:rsid w:val="00FD0B55"/>
    <w:rsid w:val="00FD0ECB"/>
    <w:rsid w:val="00FD109B"/>
    <w:rsid w:val="00FD1BF5"/>
    <w:rsid w:val="00FD22A0"/>
    <w:rsid w:val="00FD30AF"/>
    <w:rsid w:val="00FD3E98"/>
    <w:rsid w:val="00FD4DB7"/>
    <w:rsid w:val="00FD4FBC"/>
    <w:rsid w:val="00FD76EE"/>
    <w:rsid w:val="00FE0059"/>
    <w:rsid w:val="00FE095E"/>
    <w:rsid w:val="00FE2806"/>
    <w:rsid w:val="00FE3019"/>
    <w:rsid w:val="00FE30B7"/>
    <w:rsid w:val="00FE337F"/>
    <w:rsid w:val="00FE4DB8"/>
    <w:rsid w:val="00FE5ADA"/>
    <w:rsid w:val="00FE5D04"/>
    <w:rsid w:val="00FE76A7"/>
    <w:rsid w:val="00FE7B5C"/>
    <w:rsid w:val="00FF00A5"/>
    <w:rsid w:val="00FF00D3"/>
    <w:rsid w:val="00FF1968"/>
    <w:rsid w:val="00FF29F5"/>
    <w:rsid w:val="00FF3525"/>
    <w:rsid w:val="00FF36AD"/>
    <w:rsid w:val="00FF47B4"/>
    <w:rsid w:val="00FF6CA3"/>
    <w:rsid w:val="00FF73BF"/>
    <w:rsid w:val="00FF7E0A"/>
    <w:rsid w:val="01281A93"/>
    <w:rsid w:val="01903005"/>
    <w:rsid w:val="01D23372"/>
    <w:rsid w:val="020D441A"/>
    <w:rsid w:val="0222795D"/>
    <w:rsid w:val="0273086B"/>
    <w:rsid w:val="028E0AA1"/>
    <w:rsid w:val="029141C2"/>
    <w:rsid w:val="02B33080"/>
    <w:rsid w:val="02D33214"/>
    <w:rsid w:val="032163EA"/>
    <w:rsid w:val="03516C2A"/>
    <w:rsid w:val="039412E0"/>
    <w:rsid w:val="03985C7D"/>
    <w:rsid w:val="039A405D"/>
    <w:rsid w:val="039F5640"/>
    <w:rsid w:val="03AA3E3D"/>
    <w:rsid w:val="03D72DE7"/>
    <w:rsid w:val="03DB2934"/>
    <w:rsid w:val="03FF434E"/>
    <w:rsid w:val="040454EB"/>
    <w:rsid w:val="040F287B"/>
    <w:rsid w:val="0411086C"/>
    <w:rsid w:val="046129FA"/>
    <w:rsid w:val="04A02684"/>
    <w:rsid w:val="04AC677B"/>
    <w:rsid w:val="04D93D32"/>
    <w:rsid w:val="04DE6065"/>
    <w:rsid w:val="04ED3182"/>
    <w:rsid w:val="05A56D8A"/>
    <w:rsid w:val="05AE4162"/>
    <w:rsid w:val="05DD39A8"/>
    <w:rsid w:val="05E73509"/>
    <w:rsid w:val="0611423F"/>
    <w:rsid w:val="06511F26"/>
    <w:rsid w:val="0659602B"/>
    <w:rsid w:val="065E40FE"/>
    <w:rsid w:val="068067CD"/>
    <w:rsid w:val="068124F2"/>
    <w:rsid w:val="06C90837"/>
    <w:rsid w:val="06DF5963"/>
    <w:rsid w:val="071120FE"/>
    <w:rsid w:val="07124399"/>
    <w:rsid w:val="072320E9"/>
    <w:rsid w:val="073D5F2E"/>
    <w:rsid w:val="0748186C"/>
    <w:rsid w:val="074E0EA7"/>
    <w:rsid w:val="075B296C"/>
    <w:rsid w:val="07801DF0"/>
    <w:rsid w:val="079B68A4"/>
    <w:rsid w:val="07C9123B"/>
    <w:rsid w:val="080028EE"/>
    <w:rsid w:val="081E53D8"/>
    <w:rsid w:val="08DC2FD1"/>
    <w:rsid w:val="08F12CDA"/>
    <w:rsid w:val="08FD0388"/>
    <w:rsid w:val="090E0C57"/>
    <w:rsid w:val="092F71D4"/>
    <w:rsid w:val="09331E2A"/>
    <w:rsid w:val="094A76EB"/>
    <w:rsid w:val="095D1B18"/>
    <w:rsid w:val="09630D8D"/>
    <w:rsid w:val="099512B1"/>
    <w:rsid w:val="099E25E0"/>
    <w:rsid w:val="09C71513"/>
    <w:rsid w:val="09D300D1"/>
    <w:rsid w:val="09F64ACD"/>
    <w:rsid w:val="0A4F448F"/>
    <w:rsid w:val="0AD53A33"/>
    <w:rsid w:val="0B123003"/>
    <w:rsid w:val="0B1F0AE3"/>
    <w:rsid w:val="0B6005C7"/>
    <w:rsid w:val="0B621790"/>
    <w:rsid w:val="0B7236AB"/>
    <w:rsid w:val="0B953E9F"/>
    <w:rsid w:val="0BAA34C4"/>
    <w:rsid w:val="0BC6462B"/>
    <w:rsid w:val="0C31615C"/>
    <w:rsid w:val="0CFB40EB"/>
    <w:rsid w:val="0D0D5387"/>
    <w:rsid w:val="0D314B50"/>
    <w:rsid w:val="0D340637"/>
    <w:rsid w:val="0D6A61F4"/>
    <w:rsid w:val="0D6C7761"/>
    <w:rsid w:val="0D7B6C02"/>
    <w:rsid w:val="0D913AE5"/>
    <w:rsid w:val="0D977DE2"/>
    <w:rsid w:val="0DA3144D"/>
    <w:rsid w:val="0DA95871"/>
    <w:rsid w:val="0DD939F3"/>
    <w:rsid w:val="0DE11AEE"/>
    <w:rsid w:val="0DF66984"/>
    <w:rsid w:val="0E27063F"/>
    <w:rsid w:val="0E9F708D"/>
    <w:rsid w:val="0EBD6E82"/>
    <w:rsid w:val="0F200689"/>
    <w:rsid w:val="0F3C2A72"/>
    <w:rsid w:val="0FA9766C"/>
    <w:rsid w:val="0FB466B0"/>
    <w:rsid w:val="0FFC4976"/>
    <w:rsid w:val="10294DA3"/>
    <w:rsid w:val="106C5ADB"/>
    <w:rsid w:val="106F7C76"/>
    <w:rsid w:val="10BA749F"/>
    <w:rsid w:val="1131633B"/>
    <w:rsid w:val="11572B0E"/>
    <w:rsid w:val="115A4163"/>
    <w:rsid w:val="11BE6006"/>
    <w:rsid w:val="11C055F3"/>
    <w:rsid w:val="11C46DD3"/>
    <w:rsid w:val="11D230A2"/>
    <w:rsid w:val="11E015B7"/>
    <w:rsid w:val="1250401C"/>
    <w:rsid w:val="12774837"/>
    <w:rsid w:val="132035A6"/>
    <w:rsid w:val="134F342E"/>
    <w:rsid w:val="138E1A23"/>
    <w:rsid w:val="13BE19A7"/>
    <w:rsid w:val="13D66D65"/>
    <w:rsid w:val="14093979"/>
    <w:rsid w:val="14123B6C"/>
    <w:rsid w:val="14851297"/>
    <w:rsid w:val="14B552DF"/>
    <w:rsid w:val="14D85C29"/>
    <w:rsid w:val="14F4359D"/>
    <w:rsid w:val="15023D8B"/>
    <w:rsid w:val="152F2F86"/>
    <w:rsid w:val="154F6161"/>
    <w:rsid w:val="155F727A"/>
    <w:rsid w:val="158113E4"/>
    <w:rsid w:val="15886C97"/>
    <w:rsid w:val="15A46B04"/>
    <w:rsid w:val="15EA35EF"/>
    <w:rsid w:val="15EC01E2"/>
    <w:rsid w:val="15FC56FF"/>
    <w:rsid w:val="163C4F8E"/>
    <w:rsid w:val="166167A3"/>
    <w:rsid w:val="16811AA4"/>
    <w:rsid w:val="16B34B25"/>
    <w:rsid w:val="16E24139"/>
    <w:rsid w:val="16E3285D"/>
    <w:rsid w:val="170F0C33"/>
    <w:rsid w:val="177523E5"/>
    <w:rsid w:val="178E0490"/>
    <w:rsid w:val="17BF33B8"/>
    <w:rsid w:val="17D63196"/>
    <w:rsid w:val="18265D6D"/>
    <w:rsid w:val="189F21F1"/>
    <w:rsid w:val="18F14A93"/>
    <w:rsid w:val="19537910"/>
    <w:rsid w:val="1978518A"/>
    <w:rsid w:val="19C4432E"/>
    <w:rsid w:val="19D03979"/>
    <w:rsid w:val="19DE03B4"/>
    <w:rsid w:val="19E8702F"/>
    <w:rsid w:val="1A282C87"/>
    <w:rsid w:val="1A513316"/>
    <w:rsid w:val="1A6E1B33"/>
    <w:rsid w:val="1A7729AC"/>
    <w:rsid w:val="1AAE1AD1"/>
    <w:rsid w:val="1B0670DB"/>
    <w:rsid w:val="1B115CA7"/>
    <w:rsid w:val="1B44566F"/>
    <w:rsid w:val="1B5B21F6"/>
    <w:rsid w:val="1B88639A"/>
    <w:rsid w:val="1C010AE9"/>
    <w:rsid w:val="1C3B44E8"/>
    <w:rsid w:val="1C523FD7"/>
    <w:rsid w:val="1C636264"/>
    <w:rsid w:val="1C997D6F"/>
    <w:rsid w:val="1CAA4AC9"/>
    <w:rsid w:val="1CCA7A9D"/>
    <w:rsid w:val="1CE148AE"/>
    <w:rsid w:val="1D0F329E"/>
    <w:rsid w:val="1D157D7A"/>
    <w:rsid w:val="1D2F5834"/>
    <w:rsid w:val="1D753660"/>
    <w:rsid w:val="1D78034B"/>
    <w:rsid w:val="1E0B14FC"/>
    <w:rsid w:val="1E176CBC"/>
    <w:rsid w:val="1E220E97"/>
    <w:rsid w:val="1E513E3F"/>
    <w:rsid w:val="1E9454E1"/>
    <w:rsid w:val="1EA44B74"/>
    <w:rsid w:val="1EC6080B"/>
    <w:rsid w:val="1EF45E44"/>
    <w:rsid w:val="1F2A0A38"/>
    <w:rsid w:val="1F2C732E"/>
    <w:rsid w:val="1F6D7F66"/>
    <w:rsid w:val="1F991688"/>
    <w:rsid w:val="1FAA075C"/>
    <w:rsid w:val="1FE87E2B"/>
    <w:rsid w:val="1FEB2506"/>
    <w:rsid w:val="20663B3B"/>
    <w:rsid w:val="20E6224E"/>
    <w:rsid w:val="20E762C6"/>
    <w:rsid w:val="20F05A4E"/>
    <w:rsid w:val="21170BB9"/>
    <w:rsid w:val="212810E2"/>
    <w:rsid w:val="21282777"/>
    <w:rsid w:val="212B3D6F"/>
    <w:rsid w:val="216F19D7"/>
    <w:rsid w:val="21964DFD"/>
    <w:rsid w:val="21CC24BA"/>
    <w:rsid w:val="2229215F"/>
    <w:rsid w:val="22347461"/>
    <w:rsid w:val="223A14EF"/>
    <w:rsid w:val="22433433"/>
    <w:rsid w:val="229B446B"/>
    <w:rsid w:val="22B85B28"/>
    <w:rsid w:val="22F81661"/>
    <w:rsid w:val="231413CC"/>
    <w:rsid w:val="231D36AD"/>
    <w:rsid w:val="232F611F"/>
    <w:rsid w:val="234405FE"/>
    <w:rsid w:val="23662C46"/>
    <w:rsid w:val="23685375"/>
    <w:rsid w:val="23837C9F"/>
    <w:rsid w:val="23C66316"/>
    <w:rsid w:val="23E663B3"/>
    <w:rsid w:val="23F7482D"/>
    <w:rsid w:val="247513A1"/>
    <w:rsid w:val="24C00822"/>
    <w:rsid w:val="24FC7F7D"/>
    <w:rsid w:val="25344C05"/>
    <w:rsid w:val="254527BD"/>
    <w:rsid w:val="25B92E9C"/>
    <w:rsid w:val="26127BBD"/>
    <w:rsid w:val="264C5613"/>
    <w:rsid w:val="265418D8"/>
    <w:rsid w:val="2665074E"/>
    <w:rsid w:val="26B77FA8"/>
    <w:rsid w:val="26CB4532"/>
    <w:rsid w:val="26CC34AB"/>
    <w:rsid w:val="26DB1772"/>
    <w:rsid w:val="26E437C6"/>
    <w:rsid w:val="270802DA"/>
    <w:rsid w:val="270E6E13"/>
    <w:rsid w:val="273852FE"/>
    <w:rsid w:val="27394EB2"/>
    <w:rsid w:val="27A326C3"/>
    <w:rsid w:val="27B02A42"/>
    <w:rsid w:val="27D0302A"/>
    <w:rsid w:val="27EC7F4B"/>
    <w:rsid w:val="27F72649"/>
    <w:rsid w:val="27FC383E"/>
    <w:rsid w:val="281E70EA"/>
    <w:rsid w:val="282071BE"/>
    <w:rsid w:val="282D248F"/>
    <w:rsid w:val="283E00B2"/>
    <w:rsid w:val="28732C14"/>
    <w:rsid w:val="28761F53"/>
    <w:rsid w:val="28CF3ED2"/>
    <w:rsid w:val="290F13E3"/>
    <w:rsid w:val="29732D2A"/>
    <w:rsid w:val="29C05FE8"/>
    <w:rsid w:val="29D272CE"/>
    <w:rsid w:val="29D32DB0"/>
    <w:rsid w:val="29D91D7A"/>
    <w:rsid w:val="29EE0CC6"/>
    <w:rsid w:val="2A773EBF"/>
    <w:rsid w:val="2AA01352"/>
    <w:rsid w:val="2AB675BD"/>
    <w:rsid w:val="2B255B99"/>
    <w:rsid w:val="2B5841C1"/>
    <w:rsid w:val="2BDC13E8"/>
    <w:rsid w:val="2BE869ED"/>
    <w:rsid w:val="2C26467B"/>
    <w:rsid w:val="2C2D58F3"/>
    <w:rsid w:val="2C5365DF"/>
    <w:rsid w:val="2C572781"/>
    <w:rsid w:val="2CBD00D1"/>
    <w:rsid w:val="2CE46E5F"/>
    <w:rsid w:val="2CFC631C"/>
    <w:rsid w:val="2CFE4A5A"/>
    <w:rsid w:val="2D022222"/>
    <w:rsid w:val="2D0A4BE3"/>
    <w:rsid w:val="2D1B3A39"/>
    <w:rsid w:val="2D5E5392"/>
    <w:rsid w:val="2DBC6038"/>
    <w:rsid w:val="2DD418E3"/>
    <w:rsid w:val="2DF02662"/>
    <w:rsid w:val="2DF44523"/>
    <w:rsid w:val="2DFD4BAB"/>
    <w:rsid w:val="2E1913AF"/>
    <w:rsid w:val="2E4F3412"/>
    <w:rsid w:val="2E9928E0"/>
    <w:rsid w:val="2E9F4CE5"/>
    <w:rsid w:val="2EAF419D"/>
    <w:rsid w:val="2EBE6008"/>
    <w:rsid w:val="2EFD1082"/>
    <w:rsid w:val="2EFF0321"/>
    <w:rsid w:val="2F0B30BB"/>
    <w:rsid w:val="2F175398"/>
    <w:rsid w:val="2F9E1B21"/>
    <w:rsid w:val="2FA34BFC"/>
    <w:rsid w:val="2FC9631E"/>
    <w:rsid w:val="2FD7696A"/>
    <w:rsid w:val="2FF506A2"/>
    <w:rsid w:val="2FFFC676"/>
    <w:rsid w:val="30070A6F"/>
    <w:rsid w:val="30967796"/>
    <w:rsid w:val="309B0234"/>
    <w:rsid w:val="30FF03BF"/>
    <w:rsid w:val="31235A1F"/>
    <w:rsid w:val="320C0C11"/>
    <w:rsid w:val="322110E1"/>
    <w:rsid w:val="323D3917"/>
    <w:rsid w:val="327740C5"/>
    <w:rsid w:val="32D71C99"/>
    <w:rsid w:val="32FC5E04"/>
    <w:rsid w:val="33020EA8"/>
    <w:rsid w:val="330505D7"/>
    <w:rsid w:val="333E13F0"/>
    <w:rsid w:val="336E78FA"/>
    <w:rsid w:val="339F21F8"/>
    <w:rsid w:val="33AA4855"/>
    <w:rsid w:val="33C72DDA"/>
    <w:rsid w:val="33D24927"/>
    <w:rsid w:val="34185CB5"/>
    <w:rsid w:val="342314BF"/>
    <w:rsid w:val="343121E7"/>
    <w:rsid w:val="34556EBB"/>
    <w:rsid w:val="34820AFC"/>
    <w:rsid w:val="34A044E2"/>
    <w:rsid w:val="34C25057"/>
    <w:rsid w:val="35132752"/>
    <w:rsid w:val="35201AB6"/>
    <w:rsid w:val="35282032"/>
    <w:rsid w:val="35AD5E3E"/>
    <w:rsid w:val="35EF2FF8"/>
    <w:rsid w:val="35F04A44"/>
    <w:rsid w:val="363137A3"/>
    <w:rsid w:val="36432264"/>
    <w:rsid w:val="36B9458C"/>
    <w:rsid w:val="373C7CDF"/>
    <w:rsid w:val="374C4D7A"/>
    <w:rsid w:val="37AE5168"/>
    <w:rsid w:val="37BE7040"/>
    <w:rsid w:val="37DF47F8"/>
    <w:rsid w:val="380E34FE"/>
    <w:rsid w:val="381465C5"/>
    <w:rsid w:val="383931E6"/>
    <w:rsid w:val="384B118B"/>
    <w:rsid w:val="38844D80"/>
    <w:rsid w:val="38C822EE"/>
    <w:rsid w:val="38E9635A"/>
    <w:rsid w:val="39116B92"/>
    <w:rsid w:val="39127AA8"/>
    <w:rsid w:val="392668B4"/>
    <w:rsid w:val="39477140"/>
    <w:rsid w:val="395B690B"/>
    <w:rsid w:val="396F7BFA"/>
    <w:rsid w:val="39897C3B"/>
    <w:rsid w:val="39A4566F"/>
    <w:rsid w:val="39D30EB6"/>
    <w:rsid w:val="3A0413D6"/>
    <w:rsid w:val="3A122874"/>
    <w:rsid w:val="3A1F7582"/>
    <w:rsid w:val="3A312FB9"/>
    <w:rsid w:val="3A3B16EB"/>
    <w:rsid w:val="3AAD25C6"/>
    <w:rsid w:val="3AF5542D"/>
    <w:rsid w:val="3B331C7A"/>
    <w:rsid w:val="3B39786F"/>
    <w:rsid w:val="3B68732E"/>
    <w:rsid w:val="3BBC721A"/>
    <w:rsid w:val="3BCD4780"/>
    <w:rsid w:val="3C094A13"/>
    <w:rsid w:val="3C6F7865"/>
    <w:rsid w:val="3C722C08"/>
    <w:rsid w:val="3C903859"/>
    <w:rsid w:val="3CBD6CA7"/>
    <w:rsid w:val="3CF7D072"/>
    <w:rsid w:val="3CF85F3C"/>
    <w:rsid w:val="3D1732BA"/>
    <w:rsid w:val="3D3B12DA"/>
    <w:rsid w:val="3D593E8C"/>
    <w:rsid w:val="3D6267D9"/>
    <w:rsid w:val="3D866B4A"/>
    <w:rsid w:val="3D9B5A4B"/>
    <w:rsid w:val="3DAF1262"/>
    <w:rsid w:val="3DC52280"/>
    <w:rsid w:val="3DDB5B51"/>
    <w:rsid w:val="3E342552"/>
    <w:rsid w:val="3EA160F5"/>
    <w:rsid w:val="3EA9145A"/>
    <w:rsid w:val="3EA92689"/>
    <w:rsid w:val="3EAC767E"/>
    <w:rsid w:val="3EBC7294"/>
    <w:rsid w:val="3F402B4A"/>
    <w:rsid w:val="3F8740DA"/>
    <w:rsid w:val="403740F3"/>
    <w:rsid w:val="4039719F"/>
    <w:rsid w:val="40BF1218"/>
    <w:rsid w:val="40BF70B8"/>
    <w:rsid w:val="40FE18D7"/>
    <w:rsid w:val="415D0910"/>
    <w:rsid w:val="416B1DD1"/>
    <w:rsid w:val="41836624"/>
    <w:rsid w:val="41A20B0A"/>
    <w:rsid w:val="42045657"/>
    <w:rsid w:val="422126D2"/>
    <w:rsid w:val="42834427"/>
    <w:rsid w:val="429811F1"/>
    <w:rsid w:val="42A61B46"/>
    <w:rsid w:val="42DB7979"/>
    <w:rsid w:val="42ED4FE4"/>
    <w:rsid w:val="42F10D9F"/>
    <w:rsid w:val="43147BDF"/>
    <w:rsid w:val="43312BF2"/>
    <w:rsid w:val="43372EE1"/>
    <w:rsid w:val="43A062FD"/>
    <w:rsid w:val="43CF2A33"/>
    <w:rsid w:val="43DC4C2D"/>
    <w:rsid w:val="43E809AA"/>
    <w:rsid w:val="44082775"/>
    <w:rsid w:val="44224F14"/>
    <w:rsid w:val="44272477"/>
    <w:rsid w:val="444F40A7"/>
    <w:rsid w:val="446E5745"/>
    <w:rsid w:val="44843505"/>
    <w:rsid w:val="44A3472A"/>
    <w:rsid w:val="44A866F5"/>
    <w:rsid w:val="44F0452A"/>
    <w:rsid w:val="4596708A"/>
    <w:rsid w:val="45CC6B9C"/>
    <w:rsid w:val="45D82877"/>
    <w:rsid w:val="45D83655"/>
    <w:rsid w:val="46011A2D"/>
    <w:rsid w:val="465F39FA"/>
    <w:rsid w:val="469F284C"/>
    <w:rsid w:val="46D25049"/>
    <w:rsid w:val="46E11FE4"/>
    <w:rsid w:val="46FA357B"/>
    <w:rsid w:val="47953E5C"/>
    <w:rsid w:val="479700BB"/>
    <w:rsid w:val="4797419D"/>
    <w:rsid w:val="47FF0228"/>
    <w:rsid w:val="480E2214"/>
    <w:rsid w:val="481360E3"/>
    <w:rsid w:val="48361666"/>
    <w:rsid w:val="483D796F"/>
    <w:rsid w:val="48493E90"/>
    <w:rsid w:val="48B81E35"/>
    <w:rsid w:val="48D637FF"/>
    <w:rsid w:val="48FC5BAA"/>
    <w:rsid w:val="49177493"/>
    <w:rsid w:val="4936101B"/>
    <w:rsid w:val="493B484C"/>
    <w:rsid w:val="4988591D"/>
    <w:rsid w:val="49A51446"/>
    <w:rsid w:val="49D46F8E"/>
    <w:rsid w:val="4A0175A8"/>
    <w:rsid w:val="4A20189A"/>
    <w:rsid w:val="4A444F0A"/>
    <w:rsid w:val="4A62547D"/>
    <w:rsid w:val="4A855A51"/>
    <w:rsid w:val="4AA16E27"/>
    <w:rsid w:val="4AAC4E1B"/>
    <w:rsid w:val="4AB425FA"/>
    <w:rsid w:val="4ABE6B0D"/>
    <w:rsid w:val="4B4C52E9"/>
    <w:rsid w:val="4BD573F2"/>
    <w:rsid w:val="4BE220FC"/>
    <w:rsid w:val="4C151BBB"/>
    <w:rsid w:val="4C287B12"/>
    <w:rsid w:val="4C5D5041"/>
    <w:rsid w:val="4CDB6D47"/>
    <w:rsid w:val="4CDC2399"/>
    <w:rsid w:val="4CE30467"/>
    <w:rsid w:val="4DC2042B"/>
    <w:rsid w:val="4DC35B9D"/>
    <w:rsid w:val="4DE571DC"/>
    <w:rsid w:val="4DF22672"/>
    <w:rsid w:val="4E062B9E"/>
    <w:rsid w:val="4E1D27A5"/>
    <w:rsid w:val="4E42767A"/>
    <w:rsid w:val="4E8665C4"/>
    <w:rsid w:val="4EA10878"/>
    <w:rsid w:val="4ED01871"/>
    <w:rsid w:val="4ED625C1"/>
    <w:rsid w:val="4F207B36"/>
    <w:rsid w:val="4F372F27"/>
    <w:rsid w:val="4F755271"/>
    <w:rsid w:val="4F8371CF"/>
    <w:rsid w:val="4FBE7BEA"/>
    <w:rsid w:val="500E646C"/>
    <w:rsid w:val="50547F5C"/>
    <w:rsid w:val="507809AE"/>
    <w:rsid w:val="509408BB"/>
    <w:rsid w:val="50946314"/>
    <w:rsid w:val="50A904B4"/>
    <w:rsid w:val="50EE38A4"/>
    <w:rsid w:val="50FD3157"/>
    <w:rsid w:val="510C1EE6"/>
    <w:rsid w:val="51F742BB"/>
    <w:rsid w:val="52631353"/>
    <w:rsid w:val="527414FE"/>
    <w:rsid w:val="52785E51"/>
    <w:rsid w:val="52926067"/>
    <w:rsid w:val="529E31CE"/>
    <w:rsid w:val="52F8623D"/>
    <w:rsid w:val="53082679"/>
    <w:rsid w:val="532766FB"/>
    <w:rsid w:val="53763215"/>
    <w:rsid w:val="53CA1341"/>
    <w:rsid w:val="53D17471"/>
    <w:rsid w:val="53E93575"/>
    <w:rsid w:val="546569C2"/>
    <w:rsid w:val="548941A4"/>
    <w:rsid w:val="54BE6BB9"/>
    <w:rsid w:val="55AF4797"/>
    <w:rsid w:val="560F5C82"/>
    <w:rsid w:val="56B7324F"/>
    <w:rsid w:val="56ED4FA4"/>
    <w:rsid w:val="56FF5B94"/>
    <w:rsid w:val="575A6E7A"/>
    <w:rsid w:val="577F6713"/>
    <w:rsid w:val="57855FC0"/>
    <w:rsid w:val="58127620"/>
    <w:rsid w:val="58192794"/>
    <w:rsid w:val="58393981"/>
    <w:rsid w:val="585E3333"/>
    <w:rsid w:val="58613ED8"/>
    <w:rsid w:val="58A8544C"/>
    <w:rsid w:val="58C61EBA"/>
    <w:rsid w:val="58DF5029"/>
    <w:rsid w:val="58ED77F0"/>
    <w:rsid w:val="592F1800"/>
    <w:rsid w:val="59395EF6"/>
    <w:rsid w:val="59624F95"/>
    <w:rsid w:val="597D4C6F"/>
    <w:rsid w:val="59893102"/>
    <w:rsid w:val="598D27E9"/>
    <w:rsid w:val="59E648CF"/>
    <w:rsid w:val="5A040A41"/>
    <w:rsid w:val="5A261084"/>
    <w:rsid w:val="5A5B16F2"/>
    <w:rsid w:val="5AAB6988"/>
    <w:rsid w:val="5AC620C1"/>
    <w:rsid w:val="5AEE6F2B"/>
    <w:rsid w:val="5B4F2CD5"/>
    <w:rsid w:val="5B60353E"/>
    <w:rsid w:val="5BA22960"/>
    <w:rsid w:val="5BC55BE4"/>
    <w:rsid w:val="5BE674CA"/>
    <w:rsid w:val="5C5C0F22"/>
    <w:rsid w:val="5C603089"/>
    <w:rsid w:val="5C683E65"/>
    <w:rsid w:val="5CB0319A"/>
    <w:rsid w:val="5D1A533C"/>
    <w:rsid w:val="5D6A375C"/>
    <w:rsid w:val="5D831BED"/>
    <w:rsid w:val="5DCB066D"/>
    <w:rsid w:val="5E3B60D1"/>
    <w:rsid w:val="5E52066F"/>
    <w:rsid w:val="5E9D7311"/>
    <w:rsid w:val="5F061262"/>
    <w:rsid w:val="5F0A2CFC"/>
    <w:rsid w:val="5F4C0743"/>
    <w:rsid w:val="5F5E2376"/>
    <w:rsid w:val="5F8B10A0"/>
    <w:rsid w:val="5F8F47E3"/>
    <w:rsid w:val="5FC61841"/>
    <w:rsid w:val="5FE13A7D"/>
    <w:rsid w:val="5FFC2665"/>
    <w:rsid w:val="5FFE5A42"/>
    <w:rsid w:val="60130EEF"/>
    <w:rsid w:val="603B56D3"/>
    <w:rsid w:val="607168FB"/>
    <w:rsid w:val="60A560C3"/>
    <w:rsid w:val="60BE4FE7"/>
    <w:rsid w:val="613715C7"/>
    <w:rsid w:val="6140104D"/>
    <w:rsid w:val="618817A0"/>
    <w:rsid w:val="618F0E11"/>
    <w:rsid w:val="61A26934"/>
    <w:rsid w:val="61B75CB6"/>
    <w:rsid w:val="61D07E40"/>
    <w:rsid w:val="61D731BE"/>
    <w:rsid w:val="61DA609B"/>
    <w:rsid w:val="626A3A22"/>
    <w:rsid w:val="6280636A"/>
    <w:rsid w:val="62A73885"/>
    <w:rsid w:val="62E00878"/>
    <w:rsid w:val="631034D8"/>
    <w:rsid w:val="632D2893"/>
    <w:rsid w:val="634819C6"/>
    <w:rsid w:val="63BA6EF9"/>
    <w:rsid w:val="63C15F50"/>
    <w:rsid w:val="63E00724"/>
    <w:rsid w:val="63E70AFA"/>
    <w:rsid w:val="640252AD"/>
    <w:rsid w:val="6478698A"/>
    <w:rsid w:val="64A948CE"/>
    <w:rsid w:val="64C302C6"/>
    <w:rsid w:val="64DE0161"/>
    <w:rsid w:val="650D095F"/>
    <w:rsid w:val="65156A79"/>
    <w:rsid w:val="654710AE"/>
    <w:rsid w:val="65856DC7"/>
    <w:rsid w:val="659F6B87"/>
    <w:rsid w:val="65B00BC4"/>
    <w:rsid w:val="65DB2F06"/>
    <w:rsid w:val="65FF1857"/>
    <w:rsid w:val="661E75DA"/>
    <w:rsid w:val="66486A4A"/>
    <w:rsid w:val="664C27E4"/>
    <w:rsid w:val="66681F2F"/>
    <w:rsid w:val="66C343CE"/>
    <w:rsid w:val="67421BF9"/>
    <w:rsid w:val="67440CAB"/>
    <w:rsid w:val="67584901"/>
    <w:rsid w:val="67632E68"/>
    <w:rsid w:val="678A5E57"/>
    <w:rsid w:val="67A86C6A"/>
    <w:rsid w:val="67F95C28"/>
    <w:rsid w:val="68146827"/>
    <w:rsid w:val="68370BB3"/>
    <w:rsid w:val="685F3915"/>
    <w:rsid w:val="687D69EC"/>
    <w:rsid w:val="68C61866"/>
    <w:rsid w:val="6904197B"/>
    <w:rsid w:val="690E2712"/>
    <w:rsid w:val="6988201A"/>
    <w:rsid w:val="6A081471"/>
    <w:rsid w:val="6A1058FC"/>
    <w:rsid w:val="6A575F14"/>
    <w:rsid w:val="6A6C1D89"/>
    <w:rsid w:val="6ACF59F0"/>
    <w:rsid w:val="6B0D446E"/>
    <w:rsid w:val="6B6419B0"/>
    <w:rsid w:val="6B6B59FD"/>
    <w:rsid w:val="6B995658"/>
    <w:rsid w:val="6BD42D3C"/>
    <w:rsid w:val="6BDE0A0B"/>
    <w:rsid w:val="6BE712D3"/>
    <w:rsid w:val="6C2616B5"/>
    <w:rsid w:val="6C3854AC"/>
    <w:rsid w:val="6C39130E"/>
    <w:rsid w:val="6C653D2B"/>
    <w:rsid w:val="6CC375DB"/>
    <w:rsid w:val="6CD35D3C"/>
    <w:rsid w:val="6CE20216"/>
    <w:rsid w:val="6D222936"/>
    <w:rsid w:val="6D5B5BDB"/>
    <w:rsid w:val="6D631EE4"/>
    <w:rsid w:val="6DF9107E"/>
    <w:rsid w:val="6E7A1830"/>
    <w:rsid w:val="6E7D208A"/>
    <w:rsid w:val="6E804714"/>
    <w:rsid w:val="6E8450BD"/>
    <w:rsid w:val="6EA91F3C"/>
    <w:rsid w:val="6EB54C74"/>
    <w:rsid w:val="6ECE3EA8"/>
    <w:rsid w:val="6F035B95"/>
    <w:rsid w:val="6F0C3B6A"/>
    <w:rsid w:val="6F3E6C48"/>
    <w:rsid w:val="6F9A2B67"/>
    <w:rsid w:val="6FA143EC"/>
    <w:rsid w:val="6FE6707F"/>
    <w:rsid w:val="6FFE2589"/>
    <w:rsid w:val="700A2B31"/>
    <w:rsid w:val="704C034C"/>
    <w:rsid w:val="705C45DD"/>
    <w:rsid w:val="70941112"/>
    <w:rsid w:val="70E7735E"/>
    <w:rsid w:val="70F66562"/>
    <w:rsid w:val="711B54C1"/>
    <w:rsid w:val="716C5052"/>
    <w:rsid w:val="71820106"/>
    <w:rsid w:val="71A02D3C"/>
    <w:rsid w:val="71BB6CD5"/>
    <w:rsid w:val="71BD2C85"/>
    <w:rsid w:val="71C02CF2"/>
    <w:rsid w:val="71C968CB"/>
    <w:rsid w:val="71F42EDB"/>
    <w:rsid w:val="720743CF"/>
    <w:rsid w:val="72196A7C"/>
    <w:rsid w:val="724F47F4"/>
    <w:rsid w:val="7257796A"/>
    <w:rsid w:val="72A9042B"/>
    <w:rsid w:val="72F86392"/>
    <w:rsid w:val="72FB5B7B"/>
    <w:rsid w:val="735D4625"/>
    <w:rsid w:val="735F42EA"/>
    <w:rsid w:val="736245BD"/>
    <w:rsid w:val="739C0EFC"/>
    <w:rsid w:val="73B749DE"/>
    <w:rsid w:val="73C1117C"/>
    <w:rsid w:val="73CE217D"/>
    <w:rsid w:val="73D20CCD"/>
    <w:rsid w:val="73E04F7E"/>
    <w:rsid w:val="73F60BF0"/>
    <w:rsid w:val="7409286C"/>
    <w:rsid w:val="74201E01"/>
    <w:rsid w:val="744660FC"/>
    <w:rsid w:val="7466758A"/>
    <w:rsid w:val="748A48A8"/>
    <w:rsid w:val="74D94979"/>
    <w:rsid w:val="74F0420D"/>
    <w:rsid w:val="755B4D66"/>
    <w:rsid w:val="757565A8"/>
    <w:rsid w:val="75F1580B"/>
    <w:rsid w:val="761C2355"/>
    <w:rsid w:val="76684159"/>
    <w:rsid w:val="768021FC"/>
    <w:rsid w:val="768D1FAE"/>
    <w:rsid w:val="76BB05AA"/>
    <w:rsid w:val="76C4112A"/>
    <w:rsid w:val="76D96099"/>
    <w:rsid w:val="76F02983"/>
    <w:rsid w:val="76FA3968"/>
    <w:rsid w:val="770A5A19"/>
    <w:rsid w:val="77140529"/>
    <w:rsid w:val="773367C4"/>
    <w:rsid w:val="77B16D9B"/>
    <w:rsid w:val="77B533CE"/>
    <w:rsid w:val="786E290C"/>
    <w:rsid w:val="78982E38"/>
    <w:rsid w:val="78A74B00"/>
    <w:rsid w:val="78F251D1"/>
    <w:rsid w:val="78FB23C6"/>
    <w:rsid w:val="79477A05"/>
    <w:rsid w:val="794805F0"/>
    <w:rsid w:val="7990082B"/>
    <w:rsid w:val="79940683"/>
    <w:rsid w:val="799562D1"/>
    <w:rsid w:val="79960FDD"/>
    <w:rsid w:val="79AB22FD"/>
    <w:rsid w:val="79BC6558"/>
    <w:rsid w:val="79D068E2"/>
    <w:rsid w:val="79D42231"/>
    <w:rsid w:val="7A085C07"/>
    <w:rsid w:val="7A2C6801"/>
    <w:rsid w:val="7A2E4B0E"/>
    <w:rsid w:val="7A2F4562"/>
    <w:rsid w:val="7A482083"/>
    <w:rsid w:val="7A4E4613"/>
    <w:rsid w:val="7A7916F9"/>
    <w:rsid w:val="7A9456F4"/>
    <w:rsid w:val="7AB71E5B"/>
    <w:rsid w:val="7ADC6EC3"/>
    <w:rsid w:val="7B2B40D3"/>
    <w:rsid w:val="7B505C98"/>
    <w:rsid w:val="7BB02F4F"/>
    <w:rsid w:val="7BD101DF"/>
    <w:rsid w:val="7C0840FA"/>
    <w:rsid w:val="7C0C7D4C"/>
    <w:rsid w:val="7C1829C4"/>
    <w:rsid w:val="7C3C4C35"/>
    <w:rsid w:val="7C3F595C"/>
    <w:rsid w:val="7C546F68"/>
    <w:rsid w:val="7C5F079C"/>
    <w:rsid w:val="7CC22809"/>
    <w:rsid w:val="7D33726F"/>
    <w:rsid w:val="7D674992"/>
    <w:rsid w:val="7D786FD1"/>
    <w:rsid w:val="7D7D4CAE"/>
    <w:rsid w:val="7DC4425D"/>
    <w:rsid w:val="7E287DF7"/>
    <w:rsid w:val="7E413C0D"/>
    <w:rsid w:val="7E470C8D"/>
    <w:rsid w:val="7E941087"/>
    <w:rsid w:val="7E967E80"/>
    <w:rsid w:val="7EA26651"/>
    <w:rsid w:val="7EA36676"/>
    <w:rsid w:val="7EA956A2"/>
    <w:rsid w:val="7EBFFD8B"/>
    <w:rsid w:val="7EE56CB3"/>
    <w:rsid w:val="7EFD7E36"/>
    <w:rsid w:val="7F1710DE"/>
    <w:rsid w:val="7F300303"/>
    <w:rsid w:val="7F3B6FA7"/>
    <w:rsid w:val="7F4B592A"/>
    <w:rsid w:val="7F870AA8"/>
    <w:rsid w:val="7FA56664"/>
    <w:rsid w:val="7FB543BB"/>
    <w:rsid w:val="7FB65F75"/>
    <w:rsid w:val="7FC6567C"/>
    <w:rsid w:val="7FFD1640"/>
    <w:rsid w:val="7FFD7C6F"/>
    <w:rsid w:val="97FE1C8C"/>
    <w:rsid w:val="B5FA0662"/>
    <w:rsid w:val="B9FD80AA"/>
    <w:rsid w:val="F6DF29AF"/>
    <w:rsid w:val="FEFDDED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qFormat="1" w:unhideWhenUsed="0" w:uiPriority="0" w:semiHidden="0" w:name="toa heading"/>
    <w:lsdException w:uiPriority="0" w:name="List"/>
    <w:lsdException w:unhideWhenUsed="0" w:uiPriority="0" w:semiHidden="0" w:name="List Bullet"/>
    <w:lsdException w:unhideWhenUsed="0" w:uiPriority="0" w:semiHidden="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qFormat="1" w:uiPriority="99" w:semiHidden="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6"/>
    <w:next w:val="1"/>
    <w:link w:val="45"/>
    <w:qFormat/>
    <w:uiPriority w:val="0"/>
    <w:pPr>
      <w:keepNext/>
      <w:keepLines/>
      <w:spacing w:before="340" w:after="330" w:line="576" w:lineRule="auto"/>
      <w:jc w:val="center"/>
      <w:outlineLvl w:val="0"/>
    </w:pPr>
    <w:rPr>
      <w:rFonts w:ascii="Times New Roman" w:hAnsi="Times New Roman"/>
      <w:b/>
      <w:kern w:val="44"/>
      <w:sz w:val="28"/>
      <w:szCs w:val="20"/>
    </w:rPr>
  </w:style>
  <w:style w:type="paragraph" w:styleId="7">
    <w:name w:val="heading 2"/>
    <w:basedOn w:val="1"/>
    <w:next w:val="1"/>
    <w:link w:val="47"/>
    <w:qFormat/>
    <w:uiPriority w:val="0"/>
    <w:pPr>
      <w:keepNext/>
      <w:keepLines/>
      <w:spacing w:before="260" w:after="260" w:line="413" w:lineRule="auto"/>
      <w:outlineLvl w:val="1"/>
    </w:pPr>
    <w:rPr>
      <w:rFonts w:ascii="Arial" w:hAnsi="Arial"/>
      <w:kern w:val="0"/>
      <w:sz w:val="28"/>
      <w:szCs w:val="20"/>
    </w:rPr>
  </w:style>
  <w:style w:type="paragraph" w:styleId="8">
    <w:name w:val="heading 3"/>
    <w:basedOn w:val="1"/>
    <w:next w:val="1"/>
    <w:link w:val="64"/>
    <w:qFormat/>
    <w:uiPriority w:val="0"/>
    <w:pPr>
      <w:keepNext/>
      <w:keepLines/>
      <w:spacing w:before="260" w:after="260" w:line="413" w:lineRule="auto"/>
      <w:outlineLvl w:val="2"/>
    </w:pPr>
    <w:rPr>
      <w:kern w:val="0"/>
      <w:sz w:val="28"/>
      <w:szCs w:val="20"/>
    </w:rPr>
  </w:style>
  <w:style w:type="paragraph" w:styleId="9">
    <w:name w:val="heading 4"/>
    <w:next w:val="1"/>
    <w:qFormat/>
    <w:uiPriority w:val="0"/>
    <w:pPr>
      <w:keepNext/>
      <w:keepLines/>
      <w:spacing w:before="280" w:after="290" w:afterAutospacing="1" w:line="374" w:lineRule="auto"/>
      <w:ind w:left="709" w:right="-27" w:hanging="709"/>
      <w:jc w:val="both"/>
      <w:outlineLvl w:val="3"/>
    </w:pPr>
    <w:rPr>
      <w:rFonts w:ascii="Cambria" w:hAnsi="Cambria" w:eastAsia="宋体" w:cs="Times New Roman"/>
      <w:b/>
      <w:bCs/>
      <w:sz w:val="28"/>
      <w:szCs w:val="28"/>
      <w:lang w:val="en-US" w:eastAsia="zh-CN" w:bidi="ar-SA"/>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spacing w:beforeLines="0" w:afterLines="0" w:line="360" w:lineRule="auto"/>
    </w:pPr>
    <w:rPr>
      <w:rFonts w:hint="default"/>
      <w:b/>
      <w:sz w:val="28"/>
      <w:szCs w:val="22"/>
    </w:rPr>
  </w:style>
  <w:style w:type="paragraph" w:styleId="3">
    <w:name w:val="Body Text"/>
    <w:basedOn w:val="1"/>
    <w:next w:val="4"/>
    <w:qFormat/>
    <w:uiPriority w:val="0"/>
    <w:pPr>
      <w:spacing w:after="120"/>
    </w:pPr>
  </w:style>
  <w:style w:type="paragraph" w:styleId="4">
    <w:name w:val="Title"/>
    <w:basedOn w:val="1"/>
    <w:next w:val="1"/>
    <w:qFormat/>
    <w:uiPriority w:val="10"/>
    <w:pPr>
      <w:contextualSpacing/>
      <w:jc w:val="center"/>
    </w:pPr>
    <w:rPr>
      <w:rFonts w:ascii="Cambria" w:hAnsi="Cambria" w:eastAsia="宋体" w:cs="Times New Roman"/>
      <w:b/>
      <w:bCs/>
      <w:spacing w:val="-7"/>
      <w:sz w:val="48"/>
      <w:szCs w:val="48"/>
    </w:rPr>
  </w:style>
  <w:style w:type="paragraph" w:styleId="6">
    <w:name w:val="toa heading"/>
    <w:basedOn w:val="1"/>
    <w:next w:val="1"/>
    <w:qFormat/>
    <w:uiPriority w:val="0"/>
    <w:pPr>
      <w:spacing w:before="120"/>
    </w:pPr>
    <w:rPr>
      <w:rFonts w:ascii="Arial" w:hAnsi="Arial"/>
      <w:sz w:val="24"/>
    </w:rPr>
  </w:style>
  <w:style w:type="paragraph" w:styleId="10">
    <w:name w:val="toc 7"/>
    <w:basedOn w:val="1"/>
    <w:next w:val="1"/>
    <w:qFormat/>
    <w:uiPriority w:val="0"/>
    <w:pPr>
      <w:ind w:left="2520" w:leftChars="1200"/>
    </w:pPr>
  </w:style>
  <w:style w:type="paragraph" w:styleId="11">
    <w:name w:val="Normal Indent"/>
    <w:basedOn w:val="1"/>
    <w:next w:val="1"/>
    <w:qFormat/>
    <w:uiPriority w:val="0"/>
    <w:pPr>
      <w:ind w:firstLine="420"/>
    </w:pPr>
    <w:rPr>
      <w:szCs w:val="20"/>
    </w:rPr>
  </w:style>
  <w:style w:type="paragraph" w:styleId="12">
    <w:name w:val="Document Map"/>
    <w:basedOn w:val="1"/>
    <w:link w:val="40"/>
    <w:qFormat/>
    <w:uiPriority w:val="0"/>
    <w:rPr>
      <w:rFonts w:ascii="宋体"/>
      <w:sz w:val="18"/>
      <w:szCs w:val="18"/>
    </w:rPr>
  </w:style>
  <w:style w:type="paragraph" w:styleId="13">
    <w:name w:val="annotation text"/>
    <w:basedOn w:val="1"/>
    <w:link w:val="38"/>
    <w:qFormat/>
    <w:uiPriority w:val="0"/>
    <w:pPr>
      <w:jc w:val="left"/>
    </w:pPr>
    <w:rPr>
      <w:rFonts w:ascii="Calibri" w:hAnsi="Calibri"/>
      <w:szCs w:val="22"/>
    </w:rPr>
  </w:style>
  <w:style w:type="paragraph" w:styleId="14">
    <w:name w:val="Body Text Indent"/>
    <w:basedOn w:val="1"/>
    <w:link w:val="49"/>
    <w:qFormat/>
    <w:uiPriority w:val="0"/>
    <w:pPr>
      <w:spacing w:after="120"/>
      <w:ind w:left="420" w:leftChars="200"/>
    </w:pPr>
  </w:style>
  <w:style w:type="paragraph" w:styleId="15">
    <w:name w:val="List 2"/>
    <w:qFormat/>
    <w:uiPriority w:val="0"/>
    <w:pPr>
      <w:spacing w:line="400" w:lineRule="exact"/>
      <w:jc w:val="center"/>
    </w:pPr>
    <w:rPr>
      <w:rFonts w:ascii="Arial" w:hAnsi="Arial" w:eastAsia="宋体" w:cs="Times New Roman"/>
      <w:sz w:val="24"/>
      <w:lang w:val="en-US" w:eastAsia="zh-CN" w:bidi="ar-SA"/>
    </w:rPr>
  </w:style>
  <w:style w:type="paragraph" w:styleId="16">
    <w:name w:val="toc 5"/>
    <w:basedOn w:val="1"/>
    <w:next w:val="1"/>
    <w:qFormat/>
    <w:uiPriority w:val="0"/>
    <w:pPr>
      <w:ind w:left="1680" w:leftChars="800"/>
    </w:pPr>
  </w:style>
  <w:style w:type="paragraph" w:styleId="17">
    <w:name w:val="toc 3"/>
    <w:basedOn w:val="1"/>
    <w:next w:val="1"/>
    <w:qFormat/>
    <w:uiPriority w:val="39"/>
    <w:pPr>
      <w:ind w:left="840" w:leftChars="400"/>
    </w:pPr>
  </w:style>
  <w:style w:type="paragraph" w:styleId="18">
    <w:name w:val="Plain Text"/>
    <w:basedOn w:val="1"/>
    <w:next w:val="9"/>
    <w:link w:val="56"/>
    <w:qFormat/>
    <w:uiPriority w:val="0"/>
    <w:pPr>
      <w:adjustRightInd w:val="0"/>
      <w:spacing w:line="312" w:lineRule="atLeast"/>
      <w:textAlignment w:val="baseline"/>
    </w:pPr>
    <w:rPr>
      <w:rFonts w:ascii="宋体" w:hAnsi="Courier New"/>
    </w:rPr>
  </w:style>
  <w:style w:type="paragraph" w:styleId="19">
    <w:name w:val="toc 8"/>
    <w:basedOn w:val="1"/>
    <w:next w:val="1"/>
    <w:qFormat/>
    <w:uiPriority w:val="0"/>
    <w:pPr>
      <w:ind w:left="2940" w:leftChars="1400"/>
    </w:pPr>
  </w:style>
  <w:style w:type="paragraph" w:styleId="20">
    <w:name w:val="Balloon Text"/>
    <w:basedOn w:val="1"/>
    <w:link w:val="41"/>
    <w:qFormat/>
    <w:uiPriority w:val="0"/>
    <w:rPr>
      <w:sz w:val="18"/>
      <w:szCs w:val="18"/>
    </w:rPr>
  </w:style>
  <w:style w:type="paragraph" w:styleId="21">
    <w:name w:val="footer"/>
    <w:basedOn w:val="1"/>
    <w:qFormat/>
    <w:uiPriority w:val="0"/>
    <w:pPr>
      <w:tabs>
        <w:tab w:val="center" w:pos="4153"/>
        <w:tab w:val="right" w:pos="8306"/>
      </w:tabs>
      <w:snapToGrid w:val="0"/>
      <w:jc w:val="left"/>
    </w:pPr>
    <w:rPr>
      <w:sz w:val="18"/>
    </w:rPr>
  </w:style>
  <w:style w:type="paragraph" w:styleId="2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3">
    <w:name w:val="toc 1"/>
    <w:basedOn w:val="1"/>
    <w:next w:val="1"/>
    <w:qFormat/>
    <w:uiPriority w:val="39"/>
  </w:style>
  <w:style w:type="paragraph" w:styleId="24">
    <w:name w:val="toc 4"/>
    <w:basedOn w:val="1"/>
    <w:next w:val="1"/>
    <w:qFormat/>
    <w:uiPriority w:val="0"/>
    <w:pPr>
      <w:ind w:left="1260" w:leftChars="600"/>
    </w:pPr>
  </w:style>
  <w:style w:type="paragraph" w:styleId="25">
    <w:name w:val="toc 6"/>
    <w:basedOn w:val="1"/>
    <w:next w:val="1"/>
    <w:qFormat/>
    <w:uiPriority w:val="0"/>
    <w:pPr>
      <w:ind w:left="2100" w:leftChars="1000"/>
    </w:pPr>
  </w:style>
  <w:style w:type="paragraph" w:styleId="26">
    <w:name w:val="Body Text Indent 3"/>
    <w:basedOn w:val="1"/>
    <w:link w:val="48"/>
    <w:qFormat/>
    <w:uiPriority w:val="0"/>
    <w:pPr>
      <w:spacing w:after="120"/>
      <w:ind w:left="420" w:leftChars="200"/>
    </w:pPr>
    <w:rPr>
      <w:sz w:val="16"/>
      <w:szCs w:val="16"/>
    </w:rPr>
  </w:style>
  <w:style w:type="paragraph" w:styleId="27">
    <w:name w:val="toc 2"/>
    <w:basedOn w:val="1"/>
    <w:next w:val="1"/>
    <w:qFormat/>
    <w:uiPriority w:val="39"/>
    <w:pPr>
      <w:ind w:left="420" w:leftChars="200"/>
    </w:pPr>
  </w:style>
  <w:style w:type="paragraph" w:styleId="28">
    <w:name w:val="toc 9"/>
    <w:basedOn w:val="1"/>
    <w:next w:val="1"/>
    <w:qFormat/>
    <w:uiPriority w:val="0"/>
    <w:pPr>
      <w:ind w:left="3360" w:leftChars="1600"/>
    </w:pPr>
  </w:style>
  <w:style w:type="paragraph" w:styleId="2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30">
    <w:name w:val="annotation subject"/>
    <w:basedOn w:val="13"/>
    <w:next w:val="13"/>
    <w:link w:val="39"/>
    <w:qFormat/>
    <w:uiPriority w:val="0"/>
    <w:rPr>
      <w:rFonts w:ascii="Times New Roman" w:hAnsi="Times New Roman"/>
      <w:b/>
      <w:bCs/>
      <w:szCs w:val="24"/>
    </w:rPr>
  </w:style>
  <w:style w:type="table" w:styleId="32">
    <w:name w:val="Table Grid"/>
    <w:basedOn w:val="31"/>
    <w:unhideWhenUsed/>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34">
    <w:name w:val="Strong"/>
    <w:basedOn w:val="33"/>
    <w:qFormat/>
    <w:uiPriority w:val="0"/>
    <w:rPr>
      <w:b/>
    </w:rPr>
  </w:style>
  <w:style w:type="character" w:styleId="35">
    <w:name w:val="page number"/>
    <w:qFormat/>
    <w:uiPriority w:val="0"/>
    <w:rPr>
      <w:rFonts w:cs="Times New Roman"/>
    </w:rPr>
  </w:style>
  <w:style w:type="character" w:styleId="36">
    <w:name w:val="Hyperlink"/>
    <w:unhideWhenUsed/>
    <w:qFormat/>
    <w:uiPriority w:val="99"/>
    <w:rPr>
      <w:color w:val="0000FF"/>
      <w:u w:val="single"/>
    </w:rPr>
  </w:style>
  <w:style w:type="character" w:styleId="37">
    <w:name w:val="annotation reference"/>
    <w:qFormat/>
    <w:uiPriority w:val="0"/>
    <w:rPr>
      <w:sz w:val="21"/>
      <w:szCs w:val="21"/>
    </w:rPr>
  </w:style>
  <w:style w:type="character" w:customStyle="1" w:styleId="38">
    <w:name w:val="批注文字 字符"/>
    <w:link w:val="13"/>
    <w:qFormat/>
    <w:uiPriority w:val="0"/>
    <w:rPr>
      <w:rFonts w:ascii="Calibri" w:hAnsi="Calibri"/>
      <w:kern w:val="2"/>
      <w:sz w:val="21"/>
      <w:szCs w:val="22"/>
    </w:rPr>
  </w:style>
  <w:style w:type="character" w:customStyle="1" w:styleId="39">
    <w:name w:val="批注主题 字符"/>
    <w:basedOn w:val="38"/>
    <w:link w:val="30"/>
    <w:qFormat/>
    <w:uiPriority w:val="0"/>
    <w:rPr>
      <w:rFonts w:ascii="Calibri" w:hAnsi="Calibri"/>
      <w:kern w:val="2"/>
      <w:sz w:val="21"/>
      <w:szCs w:val="22"/>
    </w:rPr>
  </w:style>
  <w:style w:type="character" w:customStyle="1" w:styleId="40">
    <w:name w:val="文档结构图 字符"/>
    <w:link w:val="12"/>
    <w:qFormat/>
    <w:uiPriority w:val="0"/>
    <w:rPr>
      <w:rFonts w:ascii="宋体"/>
      <w:kern w:val="2"/>
      <w:sz w:val="18"/>
      <w:szCs w:val="18"/>
    </w:rPr>
  </w:style>
  <w:style w:type="character" w:customStyle="1" w:styleId="41">
    <w:name w:val="批注框文本 字符"/>
    <w:link w:val="20"/>
    <w:qFormat/>
    <w:uiPriority w:val="0"/>
    <w:rPr>
      <w:kern w:val="2"/>
      <w:sz w:val="18"/>
      <w:szCs w:val="18"/>
    </w:rPr>
  </w:style>
  <w:style w:type="character" w:customStyle="1" w:styleId="42">
    <w:name w:val="1101 Char"/>
    <w:link w:val="43"/>
    <w:qFormat/>
    <w:uiPriority w:val="0"/>
    <w:rPr>
      <w:rFonts w:ascii="宋体" w:hAnsi="宋体" w:cs="宋体"/>
      <w:kern w:val="2"/>
      <w:sz w:val="28"/>
      <w:szCs w:val="28"/>
    </w:rPr>
  </w:style>
  <w:style w:type="paragraph" w:customStyle="1" w:styleId="43">
    <w:name w:val="1101"/>
    <w:basedOn w:val="1"/>
    <w:link w:val="42"/>
    <w:qFormat/>
    <w:uiPriority w:val="0"/>
    <w:pPr>
      <w:ind w:firstLine="560" w:firstLineChars="200"/>
      <w:jc w:val="left"/>
    </w:pPr>
    <w:rPr>
      <w:rFonts w:ascii="宋体" w:hAnsi="宋体"/>
      <w:sz w:val="28"/>
      <w:szCs w:val="28"/>
    </w:rPr>
  </w:style>
  <w:style w:type="character" w:customStyle="1" w:styleId="44">
    <w:name w:val="标题 3 字符"/>
    <w:link w:val="8"/>
    <w:qFormat/>
    <w:uiPriority w:val="0"/>
    <w:rPr>
      <w:rFonts w:eastAsia="宋体"/>
      <w:sz w:val="28"/>
    </w:rPr>
  </w:style>
  <w:style w:type="character" w:customStyle="1" w:styleId="45">
    <w:name w:val="标题 1 字符"/>
    <w:link w:val="5"/>
    <w:qFormat/>
    <w:uiPriority w:val="0"/>
    <w:rPr>
      <w:rFonts w:ascii="Times New Roman" w:hAnsi="Times New Roman" w:eastAsia="宋体"/>
      <w:b/>
      <w:kern w:val="44"/>
      <w:sz w:val="28"/>
      <w:szCs w:val="20"/>
    </w:rPr>
  </w:style>
  <w:style w:type="character" w:customStyle="1" w:styleId="46">
    <w:name w:val="正文文本缩进 Char"/>
    <w:basedOn w:val="33"/>
    <w:qFormat/>
    <w:uiPriority w:val="0"/>
    <w:rPr>
      <w:kern w:val="2"/>
      <w:sz w:val="21"/>
      <w:szCs w:val="24"/>
    </w:rPr>
  </w:style>
  <w:style w:type="character" w:customStyle="1" w:styleId="47">
    <w:name w:val="标题 2 字符"/>
    <w:link w:val="7"/>
    <w:qFormat/>
    <w:uiPriority w:val="0"/>
    <w:rPr>
      <w:rFonts w:ascii="Arial" w:hAnsi="Arial" w:eastAsia="宋体"/>
      <w:sz w:val="28"/>
      <w:szCs w:val="20"/>
    </w:rPr>
  </w:style>
  <w:style w:type="character" w:customStyle="1" w:styleId="48">
    <w:name w:val="正文文本缩进 3 字符"/>
    <w:link w:val="26"/>
    <w:qFormat/>
    <w:uiPriority w:val="0"/>
    <w:rPr>
      <w:kern w:val="2"/>
      <w:sz w:val="16"/>
      <w:szCs w:val="16"/>
    </w:rPr>
  </w:style>
  <w:style w:type="character" w:customStyle="1" w:styleId="49">
    <w:name w:val="正文文本缩进 字符"/>
    <w:basedOn w:val="33"/>
    <w:link w:val="14"/>
    <w:qFormat/>
    <w:uiPriority w:val="0"/>
    <w:rPr>
      <w:kern w:val="2"/>
      <w:sz w:val="21"/>
      <w:szCs w:val="24"/>
    </w:rPr>
  </w:style>
  <w:style w:type="paragraph" w:customStyle="1" w:styleId="50">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51">
    <w:name w:val="纯文本1"/>
    <w:basedOn w:val="1"/>
    <w:qFormat/>
    <w:uiPriority w:val="0"/>
    <w:rPr>
      <w:rFonts w:ascii="宋体" w:hAnsi="Courier New" w:cs="黑体"/>
      <w:szCs w:val="21"/>
    </w:rPr>
  </w:style>
  <w:style w:type="paragraph" w:customStyle="1" w:styleId="52">
    <w:name w:val="ST20_2"/>
    <w:basedOn w:val="1"/>
    <w:qFormat/>
    <w:uiPriority w:val="0"/>
    <w:pPr>
      <w:autoSpaceDE w:val="0"/>
      <w:autoSpaceDN w:val="0"/>
      <w:adjustRightInd w:val="0"/>
      <w:spacing w:line="312" w:lineRule="atLeast"/>
      <w:ind w:firstLine="482"/>
      <w:textAlignment w:val="baseline"/>
    </w:pPr>
    <w:rPr>
      <w:rFonts w:ascii="宋体" w:hAnsi="Tms Rmn"/>
      <w:kern w:val="0"/>
      <w:sz w:val="24"/>
      <w:szCs w:val="20"/>
    </w:rPr>
  </w:style>
  <w:style w:type="paragraph" w:customStyle="1" w:styleId="53">
    <w:name w:val="款下正文"/>
    <w:basedOn w:val="1"/>
    <w:qFormat/>
    <w:uiPriority w:val="0"/>
    <w:pPr>
      <w:spacing w:beforeLines="50" w:afterLines="50" w:line="480" w:lineRule="exact"/>
      <w:ind w:firstLine="480" w:firstLineChars="200"/>
    </w:pPr>
    <w:rPr>
      <w:sz w:val="24"/>
      <w:szCs w:val="28"/>
    </w:rPr>
  </w:style>
  <w:style w:type="paragraph" w:customStyle="1" w:styleId="54">
    <w:name w:val="TOC 标题1"/>
    <w:basedOn w:val="5"/>
    <w:next w:val="1"/>
    <w:qFormat/>
    <w:uiPriority w:val="39"/>
    <w:pPr>
      <w:widowControl/>
      <w:spacing w:before="480" w:after="0" w:line="276" w:lineRule="auto"/>
      <w:jc w:val="left"/>
      <w:outlineLvl w:val="9"/>
    </w:pPr>
    <w:rPr>
      <w:rFonts w:ascii="Cambria" w:hAnsi="Cambria"/>
      <w:bCs/>
      <w:color w:val="365F91"/>
      <w:kern w:val="0"/>
      <w:szCs w:val="28"/>
    </w:rPr>
  </w:style>
  <w:style w:type="paragraph" w:customStyle="1" w:styleId="55">
    <w:name w:val="样式1"/>
    <w:basedOn w:val="5"/>
    <w:qFormat/>
    <w:uiPriority w:val="0"/>
  </w:style>
  <w:style w:type="character" w:customStyle="1" w:styleId="56">
    <w:name w:val="纯文本 字符"/>
    <w:link w:val="18"/>
    <w:qFormat/>
    <w:uiPriority w:val="0"/>
    <w:rPr>
      <w:rFonts w:ascii="宋体" w:hAnsi="Courier New"/>
      <w:kern w:val="2"/>
      <w:sz w:val="21"/>
      <w:szCs w:val="24"/>
    </w:rPr>
  </w:style>
  <w:style w:type="paragraph" w:customStyle="1" w:styleId="57">
    <w:name w:val="列出段落1"/>
    <w:basedOn w:val="1"/>
    <w:qFormat/>
    <w:uiPriority w:val="34"/>
    <w:pPr>
      <w:ind w:firstLine="420" w:firstLineChars="200"/>
    </w:pPr>
    <w:rPr>
      <w:rFonts w:ascii="Calibri" w:hAnsi="Calibri"/>
      <w:szCs w:val="22"/>
    </w:rPr>
  </w:style>
  <w:style w:type="character" w:customStyle="1" w:styleId="58">
    <w:name w:val="纯文本 Char1"/>
    <w:basedOn w:val="33"/>
    <w:qFormat/>
    <w:uiPriority w:val="0"/>
    <w:rPr>
      <w:rFonts w:ascii="宋体" w:hAnsi="Courier New" w:eastAsia="宋体"/>
    </w:rPr>
  </w:style>
  <w:style w:type="paragraph" w:styleId="59">
    <w:name w:val="List Paragraph"/>
    <w:basedOn w:val="1"/>
    <w:unhideWhenUsed/>
    <w:qFormat/>
    <w:uiPriority w:val="99"/>
    <w:pPr>
      <w:ind w:firstLine="420" w:firstLineChars="200"/>
    </w:pPr>
  </w:style>
  <w:style w:type="paragraph" w:customStyle="1" w:styleId="60">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61">
    <w:name w:val="表格文字"/>
    <w:qFormat/>
    <w:uiPriority w:val="0"/>
    <w:pPr>
      <w:spacing w:line="288" w:lineRule="auto"/>
      <w:jc w:val="center"/>
    </w:pPr>
    <w:rPr>
      <w:rFonts w:ascii="宋体" w:hAnsi="宋体" w:eastAsia="宋体" w:cs="宋体"/>
      <w:kern w:val="2"/>
      <w:sz w:val="21"/>
      <w:szCs w:val="21"/>
      <w:lang w:val="en-US" w:eastAsia="zh-CN" w:bidi="ar-SA"/>
    </w:rPr>
  </w:style>
  <w:style w:type="character" w:customStyle="1" w:styleId="62">
    <w:name w:val="批注文字 Char"/>
    <w:semiHidden/>
    <w:qFormat/>
    <w:uiPriority w:val="0"/>
    <w:rPr>
      <w:sz w:val="24"/>
    </w:rPr>
  </w:style>
  <w:style w:type="character" w:customStyle="1" w:styleId="63">
    <w:name w:val="批注框文本 Char"/>
    <w:qFormat/>
    <w:uiPriority w:val="0"/>
    <w:rPr>
      <w:kern w:val="2"/>
      <w:sz w:val="18"/>
      <w:szCs w:val="18"/>
    </w:rPr>
  </w:style>
  <w:style w:type="character" w:customStyle="1" w:styleId="64">
    <w:name w:val="标题 3 Char"/>
    <w:link w:val="8"/>
    <w:qFormat/>
    <w:uiPriority w:val="0"/>
    <w:rPr>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135"/>
    <customShpInfo spid="_x0000_s3134"/>
    <customShpInfo spid="_x0000_s3133"/>
    <customShpInfo spid="_x0000_s3132"/>
    <customShpInfo spid="_x0000_s3131"/>
    <customShpInfo spid="_x0000_s3130"/>
    <customShpInfo spid="_x0000_s3129"/>
    <customShpInfo spid="_x0000_s3128"/>
    <customShpInfo spid="_x0000_s3127"/>
    <customShpInfo spid="_x0000_s3126"/>
    <customShpInfo spid="_x0000_s3125"/>
    <customShpInfo spid="_x0000_s3124"/>
    <customShpInfo spid="_x0000_s3123"/>
    <customShpInfo spid="_x0000_s3122"/>
    <customShpInfo spid="_x0000_s3121"/>
    <customShpInfo spid="_x0000_s3120"/>
    <customShpInfo spid="_x0000_s3119"/>
    <customShpInfo spid="_x0000_s3118"/>
    <customShpInfo spid="_x0000_s3117"/>
    <customShpInfo spid="_x0000_s3116"/>
    <customShpInfo spid="_x0000_s3115"/>
    <customShpInfo spid="_x0000_s3114"/>
    <customShpInfo spid="_x0000_s3113"/>
    <customShpInfo spid="_x0000_s3112"/>
    <customShpInfo spid="_x0000_s3111"/>
    <customShpInfo spid="_x0000_s3110"/>
    <customShpInfo spid="_x0000_s3109"/>
    <customShpInfo spid="_x0000_s3108"/>
    <customShpInfo spid="_x0000_s3107"/>
    <customShpInfo spid="_x0000_s3106"/>
    <customShpInfo spid="_x0000_s3105"/>
    <customShpInfo spid="_x0000_s3104"/>
    <customShpInfo spid="_x0000_s3103"/>
    <customShpInfo spid="_x0000_s3102"/>
    <customShpInfo spid="_x0000_s3101"/>
    <customShpInfo spid="_x0000_s3100"/>
    <customShpInfo spid="_x0000_s3099"/>
    <customShpInfo spid="_x0000_s3098"/>
    <customShpInfo spid="_x0000_s3097"/>
    <customShpInfo spid="_x0000_s3096"/>
    <customShpInfo spid="_x0000_s3095"/>
    <customShpInfo spid="_x0000_s3094"/>
    <customShpInfo spid="_x0000_s3093"/>
    <customShpInfo spid="_x0000_s3092"/>
    <customShpInfo spid="_x0000_s3091"/>
    <customShpInfo spid="_x0000_s3090"/>
    <customShpInfo spid="_x0000_s3089"/>
    <customShpInfo spid="_x0000_s3088"/>
    <customShpInfo spid="_x0000_s3087"/>
    <customShpInfo spid="_x0000_s3086"/>
    <customShpInfo spid="_x0000_s3085"/>
    <customShpInfo spid="_x0000_s3084"/>
    <customShpInfo spid="_x0000_s3083"/>
    <customShpInfo spid="_x0000_s3082"/>
    <customShpInfo spid="_x0000_s3081"/>
    <customShpInfo spid="_x0000_s3080"/>
    <customShpInfo spid="_x0000_s3079"/>
    <customShpInfo spid="_x0000_s3078"/>
    <customShpInfo spid="_x0000_s3077"/>
    <customShpInfo spid="_x0000_s1026" textRotate="1"/>
  </customShpExts>
</s:customData>
</file>

<file path=customXml/item2.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65DD6E-2FE5-4965-8F43-851342C7FD9E}">
  <ds:schemaRefs/>
</ds:datastoreItem>
</file>

<file path=docProps/app.xml><?xml version="1.0" encoding="utf-8"?>
<Properties xmlns="http://schemas.openxmlformats.org/officeDocument/2006/extended-properties" xmlns:vt="http://schemas.openxmlformats.org/officeDocument/2006/docPropsVTypes">
  <Company>Microsoft</Company>
  <Pages>44</Pages>
  <Words>978</Words>
  <Characters>1013</Characters>
  <Lines>1</Lines>
  <Paragraphs>1</Paragraphs>
  <TotalTime>9</TotalTime>
  <ScaleCrop>false</ScaleCrop>
  <LinksUpToDate>false</LinksUpToDate>
  <CharactersWithSpaces>1044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2018-10-17T05:44:00Z</dcterms:created>
  <dc:creator>jkghj</dc:creator>
  <cp:lastModifiedBy>良</cp:lastModifiedBy>
  <cp:lastPrinted>2024-08-13T23:03:00Z</cp:lastPrinted>
  <dcterms:modified xsi:type="dcterms:W3CDTF">2025-09-05T08:11:38Z</dcterms:modified>
  <dc:title>南宁市轨道交通3号线工程可行性研究报告(含选线勘察)编制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CACA593C0C864D0D8E32412184BC0763_13</vt:lpwstr>
  </property>
  <property fmtid="{D5CDD505-2E9C-101B-9397-08002B2CF9AE}" pid="4" name="commondata">
    <vt:lpwstr>eyJoZGlkIjoiZjViY2JhYjlkY2I1YTgzM2JkNDM5YTE4Njk2MGVhZjYifQ==</vt:lpwstr>
  </property>
  <property fmtid="{D5CDD505-2E9C-101B-9397-08002B2CF9AE}" pid="5" name="KSOTemplateDocerSaveRecord">
    <vt:lpwstr>eyJoZGlkIjoiYmQ0ZDFkZGRmYzZmZDgyMDZhNDcxYzExMzMyMzJiN2IiLCJ1c2VySWQiOiI0NTk5MzAxOTgifQ==</vt:lpwstr>
  </property>
</Properties>
</file>