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3"/>
      </w:pPr>
      <w:r/>
      <w:r/>
    </w:p>
    <w:p>
      <w:pPr>
        <w:pStyle w:val="1043"/>
      </w:pPr>
      <w:r/>
      <w:r/>
    </w:p>
    <w:p>
      <w:pPr>
        <w:pStyle w:val="1043"/>
        <w:rPr>
          <w:rFonts w:hint="eastAsia" w:asciiTheme="minorEastAsia" w:hAnsiTheme="minorEastAsia" w:eastAsiaTheme="minorEastAsia"/>
          <w:b/>
          <w:color w:val="000000" w:themeColor="text1"/>
          <w:sz w:val="48"/>
          <w:szCs w:val="48"/>
          <w14:textFill>
            <w14:solidFill>
              <w14:schemeClr w14:val="tx1"/>
            </w14:solidFill>
          </w14:textFill>
        </w:rPr>
      </w:pPr>
      <w:r/>
      <w:bookmarkStart w:id="0" w:name="OLE_LINK1"/>
      <w:r>
        <w:rPr>
          <w:rFonts w:hint="eastAsia" w:asciiTheme="minorEastAsia" w:hAnsiTheme="minorEastAsia" w:eastAsiaTheme="minorEastAsia"/>
          <w:b/>
          <w:color w:val="000000" w:themeColor="text1"/>
          <w:sz w:val="48"/>
          <w:szCs w:val="48"/>
          <w14:textFill>
            <w14:solidFill>
              <w14:schemeClr w14:val="tx1"/>
            </w14:solidFill>
          </w14:textFill>
        </w:rPr>
        <w:t xml:space="preserve">紫金山实验室</w:t>
      </w:r>
      <w:r/>
    </w:p>
    <w:p>
      <w:pPr>
        <w:pStyle w:val="1043"/>
        <w:rPr>
          <w:rFonts w:hint="eastAsia" w:asciiTheme="minorEastAsia" w:hAnsiTheme="minorEastAsia" w:eastAsiaTheme="minorEastAsia"/>
          <w:b/>
          <w:color w:val="000000" w:themeColor="text1"/>
          <w:sz w:val="48"/>
          <w:szCs w:val="48"/>
          <w14:textFill>
            <w14:solidFill>
              <w14:schemeClr w14:val="tx1"/>
            </w14:solidFill>
          </w14:textFill>
        </w:rPr>
      </w:pPr>
      <w:r>
        <w:rPr>
          <w:rFonts w:hint="eastAsia" w:asciiTheme="minorEastAsia" w:hAnsiTheme="minorEastAsia" w:eastAsiaTheme="minorEastAsia"/>
          <w:b/>
          <w:color w:val="000000" w:themeColor="text1"/>
          <w:sz w:val="48"/>
          <w:szCs w:val="48"/>
          <w14:textFill>
            <w14:solidFill>
              <w14:schemeClr w14:val="tx1"/>
            </w14:solidFill>
          </w14:textFill>
        </w:rPr>
        <w:t xml:space="preserve">基于超远距离通信网络的无人机巡检系统及网络配套采购项目</w:t>
      </w:r>
      <w:r/>
    </w:p>
    <w:p>
      <w:pPr>
        <w:pStyle w:val="1043"/>
        <w:rPr>
          <w:rFonts w:hint="eastAsia" w:asciiTheme="minorEastAsia" w:hAnsiTheme="minorEastAsia" w:eastAsiaTheme="minorEastAsia"/>
          <w:b/>
          <w:color w:val="000000" w:themeColor="text1"/>
          <w:sz w:val="48"/>
          <w:szCs w:val="48"/>
          <w14:textFill>
            <w14:solidFill>
              <w14:schemeClr w14:val="tx1"/>
            </w14:solidFill>
          </w14:textFill>
        </w:rPr>
      </w:pPr>
      <w:r>
        <w:rPr>
          <w:rFonts w:hint="eastAsia" w:asciiTheme="minorEastAsia" w:hAnsiTheme="minorEastAsia" w:eastAsiaTheme="minorEastAsia"/>
          <w:b/>
          <w:color w:val="000000" w:themeColor="text1"/>
          <w:sz w:val="48"/>
          <w:szCs w:val="48"/>
          <w14:textFill>
            <w14:solidFill>
              <w14:schemeClr w14:val="tx1"/>
            </w14:solidFill>
          </w14:textFill>
        </w:rPr>
        <w:t xml:space="preserve">竞争性谈判文件</w:t>
      </w:r>
      <w:r/>
    </w:p>
    <w:p>
      <w:pPr>
        <w:pStyle w:val="1198"/>
        <w:ind w:firstLine="0"/>
        <w:jc w:val="center"/>
        <w:spacing w:before="1160" w:after="1160" w:line="240" w:lineRule="auto"/>
        <w:rPr>
          <w:rFonts w:ascii="Times New Roman" w:hAnsi="Times New Roman"/>
          <w:b/>
          <w:sz w:val="36"/>
          <w:szCs w:val="36"/>
          <w:highlight w:val="none"/>
        </w:rPr>
      </w:pPr>
      <w:r>
        <w:rPr>
          <w:rFonts w:ascii="Times New Roman" w:hAnsi="Times New Roman"/>
          <w:b/>
          <w:sz w:val="36"/>
          <w:szCs w:val="36"/>
          <w:highlight w:val="none"/>
        </w:rPr>
        <w:t xml:space="preserve">项目编号：</w:t>
      </w:r>
      <w:bookmarkStart w:id="1" w:name="_Hlk100563445"/>
      <w:r>
        <w:rPr>
          <w:rFonts w:hint="eastAsia" w:ascii="Times New Roman" w:hAnsi="Times New Roman"/>
          <w:b/>
          <w:sz w:val="36"/>
          <w:szCs w:val="36"/>
          <w:highlight w:val="none"/>
        </w:rPr>
        <w:t xml:space="preserve">JSZC-320100-ZTZB-T2026-0007（内部编号：</w:t>
      </w:r>
      <w:r>
        <w:rPr>
          <w:rFonts w:ascii="Times New Roman" w:hAnsi="Times New Roman"/>
          <w:bCs/>
          <w:sz w:val="36"/>
          <w:szCs w:val="36"/>
          <w:highlight w:val="none"/>
        </w:rPr>
        <w:t xml:space="preserve">PML-ZH-</w:t>
      </w:r>
      <w:r>
        <w:rPr>
          <w:rFonts w:hint="eastAsia" w:ascii="Times New Roman" w:hAnsi="Times New Roman"/>
          <w:bCs/>
          <w:sz w:val="36"/>
          <w:szCs w:val="36"/>
          <w:highlight w:val="none"/>
        </w:rPr>
        <w:t xml:space="preserve">TP</w:t>
      </w:r>
      <w:r>
        <w:rPr>
          <w:rFonts w:ascii="Times New Roman" w:hAnsi="Times New Roman"/>
          <w:bCs/>
          <w:sz w:val="36"/>
          <w:szCs w:val="36"/>
          <w:highlight w:val="none"/>
        </w:rPr>
        <w:t xml:space="preserve">-202</w:t>
      </w:r>
      <w:r>
        <w:rPr>
          <w:rFonts w:hint="eastAsia" w:ascii="Times New Roman" w:hAnsi="Times New Roman"/>
          <w:bCs/>
          <w:sz w:val="36"/>
          <w:szCs w:val="36"/>
          <w:highlight w:val="none"/>
        </w:rPr>
        <w:t xml:space="preserve">6</w:t>
      </w:r>
      <w:r>
        <w:rPr>
          <w:rFonts w:ascii="Times New Roman" w:hAnsi="Times New Roman"/>
          <w:bCs/>
          <w:sz w:val="36"/>
          <w:szCs w:val="36"/>
          <w:highlight w:val="none"/>
        </w:rPr>
        <w:t xml:space="preserve">00</w:t>
      </w:r>
      <w:r>
        <w:rPr>
          <w:rFonts w:hint="eastAsia" w:ascii="Times New Roman" w:hAnsi="Times New Roman"/>
          <w:bCs/>
          <w:sz w:val="36"/>
          <w:szCs w:val="36"/>
          <w:highlight w:val="none"/>
        </w:rPr>
        <w:t xml:space="preserve">1</w:t>
      </w:r>
      <w:r>
        <w:rPr>
          <w:rFonts w:hint="eastAsia" w:ascii="Times New Roman" w:hAnsi="Times New Roman"/>
          <w:b/>
          <w:sz w:val="36"/>
          <w:szCs w:val="36"/>
          <w:highlight w:val="none"/>
        </w:rPr>
        <w:t xml:space="preserve">）</w:t>
      </w:r>
      <w:bookmarkEnd w:id="1"/>
      <w:r/>
      <w:r/>
    </w:p>
    <w:p>
      <w:pPr>
        <w:pStyle w:val="1198"/>
        <w:ind w:firstLine="0"/>
        <w:spacing w:before="0" w:after="0"/>
        <w:rPr>
          <w:rFonts w:hint="eastAsia" w:ascii="宋体" w:hAnsi="宋体"/>
        </w:rPr>
      </w:pPr>
      <w:r>
        <w:rPr>
          <w:rFonts w:hint="eastAsia" w:ascii="宋体" w:hAnsi="宋体"/>
        </w:rPr>
      </w:r>
      <w:r/>
    </w:p>
    <w:p>
      <w:pPr>
        <w:pStyle w:val="1198"/>
        <w:ind w:firstLine="0"/>
        <w:spacing w:before="0" w:after="0"/>
        <w:rPr>
          <w:rFonts w:hint="eastAsia" w:ascii="宋体" w:hAnsi="宋体"/>
        </w:rPr>
      </w:pPr>
      <w:r>
        <w:rPr>
          <w:rFonts w:hint="eastAsia" w:ascii="宋体" w:hAnsi="宋体"/>
        </w:rPr>
      </w:r>
      <w:r/>
    </w:p>
    <w:p>
      <w:pPr>
        <w:pStyle w:val="1198"/>
        <w:ind w:firstLine="0"/>
        <w:spacing w:before="0" w:after="0"/>
        <w:rPr>
          <w:rFonts w:hint="eastAsia" w:ascii="宋体" w:hAnsi="宋体"/>
        </w:rPr>
      </w:pPr>
      <w:r>
        <w:rPr>
          <w:rFonts w:hint="eastAsia" w:ascii="宋体" w:hAnsi="宋体"/>
        </w:rPr>
      </w:r>
      <w:r/>
    </w:p>
    <w:p>
      <w:pPr>
        <w:pStyle w:val="1198"/>
        <w:ind w:firstLine="0"/>
        <w:spacing w:before="0" w:after="0"/>
        <w:rPr>
          <w:rFonts w:hint="eastAsia" w:ascii="宋体" w:hAnsi="宋体"/>
        </w:rPr>
      </w:pPr>
      <w:r>
        <w:rPr>
          <w:rFonts w:hint="eastAsia" w:ascii="宋体" w:hAnsi="宋体"/>
        </w:rPr>
      </w:r>
      <w:r/>
    </w:p>
    <w:p>
      <w:pPr>
        <w:pStyle w:val="1198"/>
        <w:ind w:firstLine="0"/>
        <w:spacing w:before="0" w:after="0"/>
        <w:rPr>
          <w:rFonts w:hint="eastAsia" w:ascii="宋体" w:hAnsi="宋体"/>
        </w:rPr>
      </w:pPr>
      <w:r>
        <w:rPr>
          <w:rFonts w:hint="eastAsia" w:ascii="宋体" w:hAnsi="宋体"/>
        </w:rPr>
      </w:r>
      <w:r/>
    </w:p>
    <w:p>
      <w:pPr>
        <w:pStyle w:val="1198"/>
        <w:ind w:firstLine="0"/>
        <w:jc w:val="center"/>
        <w:spacing w:before="0" w:after="0"/>
        <w:rPr>
          <w:rFonts w:ascii="Times New Roman" w:hAnsi="Times New Roman"/>
          <w:b/>
          <w:sz w:val="30"/>
          <w:szCs w:val="30"/>
        </w:rPr>
      </w:pPr>
      <w:r>
        <w:rPr>
          <w:rFonts w:hint="eastAsia" w:ascii="Times New Roman" w:hAnsi="Times New Roman"/>
          <w:b/>
          <w:sz w:val="30"/>
          <w:szCs w:val="30"/>
        </w:rPr>
        <w:t xml:space="preserve">采购</w:t>
      </w:r>
      <w:r>
        <w:rPr>
          <w:rFonts w:ascii="Times New Roman" w:hAnsi="Times New Roman"/>
          <w:b/>
          <w:sz w:val="30"/>
          <w:szCs w:val="30"/>
        </w:rPr>
        <w:t xml:space="preserve">人：</w:t>
      </w:r>
      <w:r>
        <w:rPr>
          <w:rFonts w:hint="eastAsia" w:ascii="Times New Roman" w:hAnsi="Times New Roman"/>
          <w:b/>
          <w:sz w:val="30"/>
          <w:szCs w:val="30"/>
        </w:rPr>
        <w:t xml:space="preserve">紫金山实验室</w:t>
      </w:r>
      <w:r/>
    </w:p>
    <w:p>
      <w:pPr>
        <w:pStyle w:val="1198"/>
        <w:ind w:firstLine="0"/>
        <w:jc w:val="center"/>
        <w:spacing w:before="0" w:after="0"/>
        <w:rPr>
          <w:rFonts w:ascii="Times New Roman" w:hAnsi="Times New Roman"/>
          <w:b/>
          <w:sz w:val="30"/>
          <w:szCs w:val="30"/>
        </w:rPr>
      </w:pPr>
      <w:r>
        <w:rPr>
          <w:rFonts w:hint="eastAsia" w:ascii="Times New Roman" w:hAnsi="Times New Roman"/>
          <w:b/>
          <w:sz w:val="30"/>
          <w:szCs w:val="30"/>
        </w:rPr>
        <w:t xml:space="preserve">采购</w:t>
      </w:r>
      <w:r>
        <w:rPr>
          <w:rFonts w:ascii="Times New Roman" w:hAnsi="Times New Roman"/>
          <w:b/>
          <w:sz w:val="30"/>
          <w:szCs w:val="30"/>
        </w:rPr>
        <w:t xml:space="preserve">代理机构：中通服咨询设计研究院有限公司</w:t>
      </w:r>
      <w:r/>
    </w:p>
    <w:p>
      <w:pPr>
        <w:pStyle w:val="1198"/>
        <w:ind w:firstLine="0"/>
        <w:jc w:val="center"/>
        <w:spacing w:before="0" w:after="0"/>
        <w:rPr>
          <w:rFonts w:ascii="Times New Roman" w:hAnsi="Times New Roman"/>
          <w:b/>
          <w:sz w:val="30"/>
          <w:szCs w:val="30"/>
        </w:rPr>
      </w:pPr>
      <w:r>
        <w:rPr>
          <w:rFonts w:hint="eastAsia" w:ascii="Times New Roman" w:hAnsi="Times New Roman"/>
          <w:b/>
          <w:sz w:val="30"/>
          <w:szCs w:val="30"/>
        </w:rPr>
        <w:t xml:space="preserve">2</w:t>
      </w:r>
      <w:r>
        <w:rPr>
          <w:rFonts w:ascii="Times New Roman" w:hAnsi="Times New Roman"/>
          <w:b/>
          <w:sz w:val="30"/>
          <w:szCs w:val="30"/>
        </w:rPr>
        <w:t xml:space="preserve">0</w:t>
      </w:r>
      <w:r>
        <w:rPr>
          <w:rFonts w:hint="eastAsia" w:ascii="Times New Roman" w:hAnsi="Times New Roman"/>
          <w:b/>
          <w:sz w:val="30"/>
          <w:szCs w:val="30"/>
        </w:rPr>
        <w:t xml:space="preserve">26年3月</w:t>
      </w:r>
      <w:r/>
    </w:p>
    <w:p>
      <w:pPr>
        <w:pStyle w:val="1198"/>
        <w:ind w:firstLine="0"/>
        <w:jc w:val="center"/>
        <w:spacing w:before="0" w:after="0"/>
        <w:rPr>
          <w:rFonts w:ascii="Times New Roman" w:hAnsi="Times New Roman"/>
          <w:b/>
          <w:sz w:val="30"/>
          <w:szCs w:val="30"/>
        </w:rPr>
        <w:sectPr>
          <w:headerReference w:type="first" r:id="rId9"/>
          <w:footerReference w:type="default" r:id="rId13"/>
          <w:footerReference w:type="even" r:id="rId14"/>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ascii="Times New Roman" w:hAnsi="Times New Roman"/>
          <w:b/>
          <w:sz w:val="30"/>
          <w:szCs w:val="30"/>
        </w:rPr>
      </w:r>
      <w:r/>
    </w:p>
    <w:p>
      <w:pPr>
        <w:pStyle w:val="1200"/>
        <w:jc w:val="center"/>
        <w:rPr>
          <w:rFonts w:hint="eastAsia" w:ascii="宋体" w:hAnsi="宋体" w:eastAsia="宋体"/>
          <w:b/>
          <w:bCs/>
          <w:color w:val="auto"/>
          <w:sz w:val="44"/>
          <w:szCs w:val="44"/>
        </w:rPr>
      </w:pPr>
      <w:r/>
      <w:bookmarkStart w:id="2" w:name="_Toc120614210"/>
      <w:r/>
      <w:bookmarkStart w:id="3" w:name="_Toc479757206"/>
      <w:r/>
      <w:bookmarkStart w:id="4" w:name="_Toc20823272"/>
      <w:r/>
      <w:bookmarkStart w:id="5" w:name="_Toc16938516"/>
      <w:r/>
      <w:bookmarkStart w:id="6" w:name="_Toc513029200"/>
      <w:r/>
      <w:bookmarkStart w:id="7" w:name="_Toc523127445"/>
      <w:r>
        <w:rPr>
          <w:rFonts w:ascii="宋体" w:hAnsi="宋体" w:eastAsia="宋体"/>
          <w:b/>
          <w:bCs/>
          <w:color w:val="auto"/>
          <w:sz w:val="44"/>
          <w:szCs w:val="44"/>
          <w:lang w:val="zh-CN"/>
        </w:rPr>
        <w:t xml:space="preserve">目</w:t>
      </w:r>
      <w:r>
        <w:rPr>
          <w:rFonts w:hint="eastAsia" w:ascii="宋体" w:hAnsi="宋体" w:eastAsia="宋体"/>
          <w:b/>
          <w:bCs/>
          <w:color w:val="auto"/>
          <w:sz w:val="44"/>
          <w:szCs w:val="44"/>
          <w:lang w:val="zh-CN"/>
        </w:rPr>
        <w:t xml:space="preserve"> </w:t>
      </w:r>
      <w:r>
        <w:rPr>
          <w:rFonts w:ascii="宋体" w:hAnsi="宋体" w:eastAsia="宋体"/>
          <w:b/>
          <w:bCs/>
          <w:color w:val="auto"/>
          <w:sz w:val="44"/>
          <w:szCs w:val="44"/>
          <w:lang w:val="zh-CN"/>
        </w:rPr>
        <w:t xml:space="preserve">录</w:t>
      </w:r>
      <w:r/>
    </w:p>
    <w:p>
      <w:pPr>
        <w:pStyle w:val="1054"/>
        <w:tabs>
          <w:tab w:val="clear" w:pos="8296" w:leader="none"/>
          <w:tab w:val="right" w:pos="8931" w:leader="dot"/>
        </w:tabs>
        <w:rPr>
          <w:rFonts w:hint="eastAsia" w:ascii="等线" w:hAnsi="等线" w:eastAsia="等线"/>
          <w:sz w:val="21"/>
          <w:szCs w:val="22"/>
        </w:rPr>
      </w:pPr>
      <w:r>
        <w:fldChar w:fldCharType="begin"/>
      </w:r>
      <w:r>
        <w:instrText xml:space="preserve"> TOC \o "1-3" \h \z \u </w:instrText>
      </w:r>
      <w:r>
        <w:fldChar w:fldCharType="separate"/>
      </w:r>
      <w:r>
        <w:fldChar w:fldCharType="begin"/>
      </w:r>
      <w:r>
        <w:instrText xml:space="preserve"> HYPERLINK \l "_Toc24962234" </w:instrText>
      </w:r>
      <w:r>
        <w:fldChar w:fldCharType="separate"/>
      </w:r>
      <w:r>
        <w:rPr>
          <w:rStyle w:val="1070"/>
          <w:rFonts w:ascii="宋体" w:hAnsi="宋体" w:eastAsia="宋体"/>
          <w:b/>
          <w:bCs/>
        </w:rPr>
        <w:t xml:space="preserve">第一章 竞争性</w:t>
      </w:r>
      <w:r>
        <w:rPr>
          <w:rStyle w:val="1070"/>
          <w:rFonts w:hint="eastAsia" w:ascii="宋体" w:hAnsi="宋体" w:eastAsia="宋体"/>
          <w:b/>
          <w:bCs/>
        </w:rPr>
        <w:t xml:space="preserve">谈判</w:t>
      </w:r>
      <w:r>
        <w:rPr>
          <w:rStyle w:val="1070"/>
          <w:rFonts w:ascii="宋体" w:hAnsi="宋体" w:eastAsia="宋体"/>
          <w:b/>
          <w:bCs/>
        </w:rPr>
        <w:t xml:space="preserve">公告</w:t>
      </w:r>
      <w:r>
        <w:tab/>
      </w:r>
      <w:r>
        <w:fldChar w:fldCharType="begin"/>
      </w:r>
      <w:r>
        <w:instrText xml:space="preserve"> PAGEREF _Toc24962234 \h </w:instrText>
      </w:r>
      <w:r>
        <w:fldChar w:fldCharType="separate"/>
      </w:r>
      <w:r>
        <w:t xml:space="preserve">1</w:t>
      </w:r>
      <w:r>
        <w:fldChar w:fldCharType="end"/>
      </w:r>
      <w:r>
        <w:fldChar w:fldCharType="end"/>
      </w:r>
      <w:r/>
    </w:p>
    <w:p>
      <w:pPr>
        <w:pStyle w:val="1054"/>
        <w:tabs>
          <w:tab w:val="clear" w:pos="8296" w:leader="none"/>
          <w:tab w:val="right" w:pos="8931" w:leader="dot"/>
        </w:tabs>
        <w:rPr>
          <w:rFonts w:hint="eastAsia" w:ascii="等线" w:hAnsi="等线" w:eastAsia="等线"/>
          <w:sz w:val="21"/>
          <w:szCs w:val="22"/>
        </w:rPr>
      </w:pPr>
      <w:r>
        <w:fldChar w:fldCharType="begin"/>
      </w:r>
      <w:r>
        <w:instrText xml:space="preserve"> HYPERLINK \l "_Toc24962235" </w:instrText>
      </w:r>
      <w:r>
        <w:fldChar w:fldCharType="separate"/>
      </w:r>
      <w:r>
        <w:rPr>
          <w:rStyle w:val="1070"/>
          <w:rFonts w:ascii="宋体" w:hAnsi="宋体" w:eastAsia="宋体"/>
          <w:b/>
          <w:bCs/>
        </w:rPr>
        <w:t xml:space="preserve">第二章 竞争性</w:t>
      </w:r>
      <w:r>
        <w:rPr>
          <w:rStyle w:val="1070"/>
          <w:rFonts w:hint="eastAsia" w:ascii="宋体" w:hAnsi="宋体" w:eastAsia="宋体"/>
          <w:b/>
          <w:bCs/>
        </w:rPr>
        <w:t xml:space="preserve">谈判</w:t>
      </w:r>
      <w:r>
        <w:rPr>
          <w:rStyle w:val="1070"/>
          <w:rFonts w:ascii="宋体" w:hAnsi="宋体" w:eastAsia="宋体"/>
          <w:b/>
          <w:bCs/>
        </w:rPr>
        <w:t xml:space="preserve">须知</w:t>
      </w:r>
      <w:r>
        <w:tab/>
      </w:r>
      <w:r>
        <w:fldChar w:fldCharType="begin"/>
      </w:r>
      <w:r>
        <w:instrText xml:space="preserve"> PAGEREF _Toc24962235 \h </w:instrText>
      </w:r>
      <w:r>
        <w:fldChar w:fldCharType="separate"/>
      </w:r>
      <w:r>
        <w:t xml:space="preserve">5</w:t>
      </w:r>
      <w:r>
        <w:fldChar w:fldCharType="end"/>
      </w:r>
      <w:r>
        <w:fldChar w:fldCharType="end"/>
      </w:r>
      <w:r/>
    </w:p>
    <w:p>
      <w:pPr>
        <w:pStyle w:val="1054"/>
        <w:tabs>
          <w:tab w:val="clear" w:pos="8296" w:leader="none"/>
          <w:tab w:val="right" w:pos="8931" w:leader="dot"/>
        </w:tabs>
        <w:rPr>
          <w:rFonts w:hint="eastAsia" w:ascii="等线" w:hAnsi="等线" w:eastAsia="等线"/>
          <w:sz w:val="21"/>
          <w:szCs w:val="22"/>
        </w:rPr>
      </w:pPr>
      <w:r>
        <w:fldChar w:fldCharType="begin"/>
      </w:r>
      <w:r>
        <w:instrText xml:space="preserve"> HYPERLINK \l "_Toc24962236" </w:instrText>
      </w:r>
      <w:r>
        <w:fldChar w:fldCharType="separate"/>
      </w:r>
      <w:r>
        <w:rPr>
          <w:rStyle w:val="1070"/>
          <w:rFonts w:ascii="宋体" w:hAnsi="宋体" w:eastAsia="宋体"/>
          <w:b/>
          <w:bCs/>
        </w:rPr>
        <w:t xml:space="preserve">第三章 评标标准</w:t>
      </w:r>
      <w:r>
        <w:tab/>
      </w:r>
      <w:r>
        <w:fldChar w:fldCharType="begin"/>
      </w:r>
      <w:r>
        <w:instrText xml:space="preserve"> PAGEREF _Toc24962236 \h </w:instrText>
      </w:r>
      <w:r>
        <w:fldChar w:fldCharType="separate"/>
      </w:r>
      <w:r>
        <w:t xml:space="preserve">13</w:t>
      </w:r>
      <w:r>
        <w:fldChar w:fldCharType="end"/>
      </w:r>
      <w:r>
        <w:fldChar w:fldCharType="end"/>
      </w:r>
      <w:r/>
    </w:p>
    <w:p>
      <w:pPr>
        <w:pStyle w:val="1054"/>
        <w:tabs>
          <w:tab w:val="clear" w:pos="8296" w:leader="none"/>
          <w:tab w:val="right" w:pos="8931" w:leader="dot"/>
        </w:tabs>
        <w:rPr>
          <w:rFonts w:hint="eastAsia" w:ascii="等线" w:hAnsi="等线" w:eastAsia="等线"/>
          <w:sz w:val="21"/>
          <w:szCs w:val="22"/>
        </w:rPr>
      </w:pPr>
      <w:r>
        <w:fldChar w:fldCharType="begin"/>
      </w:r>
      <w:r>
        <w:instrText xml:space="preserve"> HYPERLINK \l "_Toc24962237" </w:instrText>
      </w:r>
      <w:r>
        <w:fldChar w:fldCharType="separate"/>
      </w:r>
      <w:r>
        <w:rPr>
          <w:rStyle w:val="1070"/>
          <w:rFonts w:ascii="宋体" w:hAnsi="宋体" w:eastAsia="宋体"/>
          <w:b/>
          <w:bCs/>
        </w:rPr>
        <w:t xml:space="preserve">第四章 技术规范</w:t>
      </w:r>
      <w:r>
        <w:tab/>
      </w:r>
      <w:r>
        <w:fldChar w:fldCharType="begin"/>
      </w:r>
      <w:r>
        <w:instrText xml:space="preserve"> PAGEREF _Toc24962237 \h </w:instrText>
      </w:r>
      <w:r>
        <w:fldChar w:fldCharType="separate"/>
      </w:r>
      <w:r>
        <w:t xml:space="preserve">14</w:t>
      </w:r>
      <w:r>
        <w:fldChar w:fldCharType="end"/>
      </w:r>
      <w:r>
        <w:fldChar w:fldCharType="end"/>
      </w:r>
      <w:r/>
    </w:p>
    <w:p>
      <w:pPr>
        <w:pStyle w:val="1054"/>
        <w:tabs>
          <w:tab w:val="clear" w:pos="8296" w:leader="none"/>
          <w:tab w:val="right" w:pos="8931" w:leader="dot"/>
        </w:tabs>
        <w:rPr>
          <w:rFonts w:hint="eastAsia" w:ascii="等线" w:hAnsi="等线" w:eastAsia="等线"/>
          <w:sz w:val="21"/>
          <w:szCs w:val="22"/>
        </w:rPr>
      </w:pPr>
      <w:r>
        <w:fldChar w:fldCharType="begin"/>
      </w:r>
      <w:r>
        <w:instrText xml:space="preserve"> HYPERLINK \l "_Toc24962238" </w:instrText>
      </w:r>
      <w:r>
        <w:fldChar w:fldCharType="separate"/>
      </w:r>
      <w:r>
        <w:rPr>
          <w:rStyle w:val="1070"/>
          <w:rFonts w:ascii="宋体" w:hAnsi="宋体" w:eastAsia="宋体"/>
          <w:b/>
          <w:bCs/>
        </w:rPr>
        <w:t xml:space="preserve">第五章 合同主要条款</w:t>
      </w:r>
      <w:r>
        <w:tab/>
      </w:r>
      <w:r>
        <w:fldChar w:fldCharType="begin"/>
      </w:r>
      <w:r>
        <w:instrText xml:space="preserve"> PAGEREF _Toc24962238 \h </w:instrText>
      </w:r>
      <w:r>
        <w:fldChar w:fldCharType="separate"/>
      </w:r>
      <w:r>
        <w:t xml:space="preserve">14</w:t>
      </w:r>
      <w:r>
        <w:fldChar w:fldCharType="end"/>
      </w:r>
      <w:r>
        <w:fldChar w:fldCharType="end"/>
      </w:r>
      <w:r/>
    </w:p>
    <w:p>
      <w:pPr>
        <w:pStyle w:val="1054"/>
        <w:tabs>
          <w:tab w:val="clear" w:pos="8296" w:leader="none"/>
          <w:tab w:val="right" w:pos="8931" w:leader="dot"/>
        </w:tabs>
        <w:rPr>
          <w:rFonts w:hint="eastAsia" w:ascii="等线" w:hAnsi="等线"/>
          <w:sz w:val="21"/>
          <w:szCs w:val="22"/>
        </w:rPr>
      </w:pPr>
      <w:r>
        <w:fldChar w:fldCharType="begin"/>
      </w:r>
      <w:r>
        <w:instrText xml:space="preserve"> HYPERLINK \l "_Toc24962239" </w:instrText>
      </w:r>
      <w:r>
        <w:fldChar w:fldCharType="separate"/>
      </w:r>
      <w:r>
        <w:rPr>
          <w:rStyle w:val="1070"/>
          <w:rFonts w:ascii="宋体" w:hAnsi="宋体" w:eastAsia="宋体"/>
          <w:b/>
          <w:bCs/>
        </w:rPr>
        <w:t xml:space="preserve">第六章 竞争性</w:t>
      </w:r>
      <w:r>
        <w:rPr>
          <w:rStyle w:val="1070"/>
          <w:rFonts w:hint="eastAsia" w:ascii="宋体" w:hAnsi="宋体" w:eastAsia="宋体"/>
          <w:b/>
          <w:bCs/>
        </w:rPr>
        <w:t xml:space="preserve">谈判</w:t>
      </w:r>
      <w:r>
        <w:rPr>
          <w:rStyle w:val="1070"/>
          <w:rFonts w:ascii="宋体" w:hAnsi="宋体" w:eastAsia="宋体"/>
          <w:b/>
          <w:bCs/>
        </w:rPr>
        <w:t xml:space="preserve">响应文件格式</w:t>
      </w:r>
      <w:bookmarkStart w:id="8" w:name="_Hlt33003440"/>
      <w:r/>
      <w:bookmarkStart w:id="9" w:name="_Hlt33003441"/>
      <w:r>
        <w:tab/>
      </w:r>
      <w:bookmarkEnd w:id="8"/>
      <w:r/>
      <w:bookmarkEnd w:id="9"/>
      <w:r>
        <w:rPr>
          <w:rFonts w:hint="eastAsia"/>
        </w:rPr>
        <w:t xml:space="preserve">2</w:t>
      </w:r>
      <w:r>
        <w:rPr>
          <w:rFonts w:hint="eastAsia"/>
        </w:rPr>
        <w:fldChar w:fldCharType="end"/>
      </w:r>
      <w:r>
        <w:rPr>
          <w:rFonts w:hint="eastAsia"/>
        </w:rPr>
        <w:t xml:space="preserve">2</w:t>
      </w:r>
      <w:r/>
    </w:p>
    <w:p>
      <w:pPr>
        <w:rPr>
          <w:rFonts w:hint="eastAsia" w:ascii="黑体" w:hAnsi="黑体" w:eastAsia="黑体"/>
          <w:sz w:val="36"/>
          <w:szCs w:val="36"/>
        </w:rPr>
        <w:sectPr>
          <w:headerReference w:type="first" r:id="rId10"/>
          <w:footerReference w:type="first" r:id="rId15"/>
          <w:footnotePr/>
          <w:endnotePr/>
          <w:type w:val="nextPage"/>
          <w:pgSz w:w="11906" w:h="16838" w:orient="portrait"/>
          <w:pgMar w:top="1418" w:right="1588" w:bottom="1418" w:left="1365" w:header="851" w:footer="907" w:gutter="0"/>
          <w:pgNumType w:start="0"/>
          <w:cols w:num="1" w:sep="0" w:space="720" w:equalWidth="1"/>
          <w:docGrid w:linePitch="360"/>
          <w:titlePg/>
        </w:sectPr>
      </w:pPr>
      <w:r>
        <w:rPr>
          <w:b/>
          <w:bCs/>
          <w:lang w:val="zh-CN"/>
        </w:rPr>
        <w:fldChar w:fldCharType="end"/>
      </w:r>
      <w:r/>
    </w:p>
    <w:p>
      <w:pPr>
        <w:pStyle w:val="1025"/>
        <w:spacing w:before="290" w:after="290" w:line="400" w:lineRule="exact"/>
        <w:rPr>
          <w:rFonts w:hint="eastAsia" w:ascii="宋体" w:hAnsi="宋体" w:eastAsia="宋体"/>
          <w:b/>
          <w:bCs/>
          <w:sz w:val="32"/>
          <w:szCs w:val="32"/>
        </w:rPr>
      </w:pPr>
      <w:r/>
      <w:bookmarkStart w:id="10" w:name="_Toc24962234"/>
      <w:r>
        <w:rPr>
          <w:rFonts w:hint="eastAsia" w:ascii="宋体" w:hAnsi="宋体" w:eastAsia="宋体"/>
          <w:b/>
          <w:bCs/>
          <w:sz w:val="32"/>
          <w:szCs w:val="32"/>
        </w:rPr>
        <w:t xml:space="preserve">第一章 </w:t>
      </w:r>
      <w:bookmarkEnd w:id="2"/>
      <w:r>
        <w:rPr>
          <w:rFonts w:hint="eastAsia" w:ascii="宋体" w:hAnsi="宋体" w:eastAsia="宋体"/>
          <w:b/>
          <w:bCs/>
          <w:sz w:val="32"/>
          <w:szCs w:val="32"/>
        </w:rPr>
        <w:t xml:space="preserve">竞争性谈判公告</w:t>
      </w:r>
      <w:bookmarkEnd w:id="10"/>
      <w:r/>
      <w:bookmarkStart w:id="11" w:name="_Toc120614211"/>
      <w:r/>
      <w:r/>
    </w:p>
    <w:p>
      <w:pPr>
        <w:ind w:firstLine="482"/>
        <w:spacing w:line="360" w:lineRule="exact"/>
        <w:rPr>
          <w:rFonts w:hint="eastAsia" w:ascii="宋体" w:hAnsi="宋体" w:cs="宋体"/>
          <w:sz w:val="24"/>
          <w:szCs w:val="24"/>
        </w:rPr>
      </w:pPr>
      <w:r/>
      <w:bookmarkStart w:id="12" w:name="_Toc28359012"/>
      <w:r/>
      <w:bookmarkStart w:id="13" w:name="_Toc28359089"/>
      <w:r/>
      <w:bookmarkStart w:id="14" w:name="_Toc35393798"/>
      <w:r/>
      <w:bookmarkStart w:id="15" w:name="_Toc35393629"/>
      <w:r>
        <w:rPr>
          <w:rFonts w:hint="eastAsia" w:ascii="宋体" w:hAnsi="宋体" w:cs="宋体"/>
          <w:b/>
          <w:bCs/>
          <w:sz w:val="24"/>
          <w:szCs w:val="24"/>
        </w:rPr>
        <w:t xml:space="preserve">一、项目基本情况</w:t>
      </w:r>
      <w:bookmarkEnd w:id="12"/>
      <w:r/>
      <w:bookmarkEnd w:id="13"/>
      <w:r/>
      <w:bookmarkEnd w:id="14"/>
      <w:r/>
      <w:bookmarkEnd w:id="15"/>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highlight w:val="none"/>
        </w:rPr>
        <w:t xml:space="preserve"> JSZC-320100-ZTZB-T2026-0007</w:t>
      </w:r>
      <w:r>
        <w:rPr>
          <w:rFonts w:hint="eastAsia" w:ascii="宋体" w:hAnsi="宋体" w:cs="宋体"/>
          <w:sz w:val="24"/>
          <w:szCs w:val="24"/>
        </w:rPr>
        <w:t xml:space="preserve">（内部编号：PML-ZH-TP-2026001）</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项目名称：紫金山实验室基于超远距离通信网络的无人机巡检系统及网络配套采购项目</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采购方式：竞争性谈判</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预算金额：</w:t>
      </w:r>
      <w:bookmarkStart w:id="16" w:name="OLE_LINK2"/>
      <w:r>
        <w:rPr>
          <w:rFonts w:hint="eastAsia" w:ascii="宋体" w:hAnsi="宋体" w:cs="宋体"/>
          <w:sz w:val="24"/>
          <w:szCs w:val="24"/>
        </w:rPr>
        <w:t xml:space="preserve">390万元</w:t>
      </w:r>
      <w:bookmarkEnd w:id="16"/>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最高限价：390万元（超过此限价属于无效投标。）</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采购需求：</w:t>
      </w:r>
      <w:r/>
    </w:p>
    <w:p>
      <w:pPr>
        <w:ind w:firstLine="480"/>
        <w:spacing w:line="360" w:lineRule="exact"/>
        <w:rPr>
          <w:rFonts w:hint="eastAsia" w:ascii="宋体" w:hAnsi="宋体" w:cs="宋体"/>
          <w:sz w:val="24"/>
          <w:szCs w:val="24"/>
          <w:lang w:bidi="ar"/>
        </w:rPr>
      </w:pPr>
      <w:r>
        <w:rPr>
          <w:rFonts w:hint="eastAsia" w:ascii="宋体" w:hAnsi="宋体" w:cs="宋体"/>
          <w:sz w:val="24"/>
          <w:szCs w:val="24"/>
          <w:lang w:bidi="ar"/>
        </w:rPr>
        <w:t xml:space="preserve">采购1套基于超远距离通信网络的无人机巡检系统及网络配套服务，协同构建6G智能无蜂窝通信网络，进行远距离大范围无人机自主侦查和巡检应用。</w:t>
      </w:r>
      <w:r/>
    </w:p>
    <w:p>
      <w:pPr>
        <w:pStyle w:val="1072"/>
        <w:ind w:firstLine="482"/>
        <w:spacing w:line="360" w:lineRule="exact"/>
        <w:rPr>
          <w:rFonts w:hint="eastAsia" w:hAnsi="宋体" w:cs="宋体"/>
          <w:b/>
          <w:bCs/>
          <w:szCs w:val="24"/>
        </w:rPr>
      </w:pPr>
      <w:r>
        <w:rPr>
          <w:rFonts w:hint="eastAsia" w:hAnsi="宋体" w:cs="宋体"/>
          <w:b/>
          <w:bCs/>
          <w:szCs w:val="24"/>
        </w:rPr>
        <w:t xml:space="preserve">本项目不接受联合体。</w:t>
      </w:r>
      <w:bookmarkStart w:id="17" w:name="_Toc35393799"/>
      <w:r/>
      <w:bookmarkStart w:id="18" w:name="_Toc35393630"/>
      <w:r/>
      <w:bookmarkStart w:id="19" w:name="_Toc28359090"/>
      <w:r/>
      <w:bookmarkStart w:id="20" w:name="_Toc28359013"/>
      <w:r/>
      <w:r/>
    </w:p>
    <w:p>
      <w:pPr>
        <w:ind w:left="482"/>
        <w:spacing w:line="360" w:lineRule="exact"/>
        <w:rPr>
          <w:rFonts w:hint="eastAsia" w:ascii="宋体" w:hAnsi="宋体" w:cs="宋体"/>
          <w:b/>
          <w:bCs/>
          <w:sz w:val="24"/>
          <w:szCs w:val="24"/>
        </w:rPr>
      </w:pPr>
      <w:r>
        <w:rPr>
          <w:rFonts w:hint="eastAsia" w:ascii="宋体" w:hAnsi="宋体" w:cs="宋体"/>
          <w:b/>
          <w:bCs/>
          <w:sz w:val="24"/>
          <w:szCs w:val="24"/>
        </w:rPr>
        <w:t xml:space="preserve">二、申请人的资格要求</w:t>
      </w:r>
      <w:bookmarkEnd w:id="17"/>
      <w:r/>
      <w:bookmarkEnd w:id="18"/>
      <w:r/>
      <w:bookmarkEnd w:id="19"/>
      <w:r/>
      <w:bookmarkEnd w:id="20"/>
      <w:r/>
      <w:r/>
    </w:p>
    <w:p>
      <w:pPr>
        <w:numPr>
          <w:ilvl w:val="0"/>
          <w:numId w:val="8"/>
        </w:numPr>
        <w:ind w:left="420"/>
        <w:spacing w:line="360" w:lineRule="exact"/>
        <w:rPr>
          <w:rFonts w:hint="eastAsia" w:ascii="宋体" w:hAnsi="宋体" w:cs="宋体"/>
          <w:sz w:val="24"/>
          <w:szCs w:val="24"/>
        </w:rPr>
      </w:pPr>
      <w:r/>
      <w:bookmarkStart w:id="21" w:name="OLE_LINK17"/>
      <w:r/>
      <w:bookmarkStart w:id="22" w:name="OLE_LINK16"/>
      <w:r>
        <w:rPr>
          <w:rFonts w:hint="eastAsia" w:ascii="宋体" w:hAnsi="宋体" w:cs="宋体"/>
          <w:sz w:val="24"/>
          <w:szCs w:val="24"/>
        </w:rPr>
        <w:t xml:space="preserve">满足</w:t>
      </w:r>
      <w:bookmarkEnd w:id="21"/>
      <w:r>
        <w:rPr>
          <w:rFonts w:hint="eastAsia" w:ascii="宋体" w:hAnsi="宋体" w:cs="宋体"/>
          <w:sz w:val="24"/>
          <w:szCs w:val="24"/>
        </w:rPr>
        <w:t xml:space="preserve">《中华人民共和国政府采购法》第二十二条规定：</w:t>
      </w:r>
      <w:bookmarkEnd w:id="22"/>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1.1供应商必须是经国家有关部门批准，具有合法经营资质、符合《中华人民共和国政府采购法》第二十二条规定的独立法人或其他组织；</w:t>
      </w:r>
      <w:r/>
    </w:p>
    <w:p>
      <w:pPr>
        <w:pStyle w:val="1072"/>
        <w:ind w:firstLine="480"/>
        <w:spacing w:line="360" w:lineRule="exact"/>
        <w:rPr>
          <w:rFonts w:hint="eastAsia" w:hAnsi="宋体" w:cs="宋体"/>
          <w:szCs w:val="24"/>
        </w:rPr>
      </w:pPr>
      <w:r>
        <w:rPr>
          <w:rFonts w:hint="eastAsia" w:hAnsi="宋体" w:cs="宋体"/>
          <w:szCs w:val="24"/>
        </w:rPr>
        <w:t xml:space="preserve">1.2供应商需提供上一年度的财务状况报告（成立不满一年不需提供）；</w:t>
      </w:r>
      <w:r/>
    </w:p>
    <w:p>
      <w:pPr>
        <w:pStyle w:val="1072"/>
        <w:ind w:firstLine="480"/>
        <w:spacing w:line="360" w:lineRule="exact"/>
        <w:rPr>
          <w:rFonts w:hint="eastAsia" w:hAnsi="宋体" w:cs="宋体"/>
          <w:szCs w:val="24"/>
        </w:rPr>
      </w:pPr>
      <w:r>
        <w:rPr>
          <w:rFonts w:hint="eastAsia" w:hAnsi="宋体" w:cs="宋体"/>
          <w:szCs w:val="24"/>
        </w:rPr>
        <w:t xml:space="preserve">1.3供应商需提供依法缴纳税收和社会保障资金的相关材料；</w:t>
      </w:r>
      <w:r/>
    </w:p>
    <w:p>
      <w:pPr>
        <w:pStyle w:val="1072"/>
        <w:ind w:firstLine="480"/>
        <w:spacing w:line="360" w:lineRule="exact"/>
        <w:rPr>
          <w:rFonts w:hint="eastAsia" w:hAnsi="宋体" w:cs="宋体"/>
          <w:szCs w:val="24"/>
        </w:rPr>
      </w:pPr>
      <w:r>
        <w:rPr>
          <w:rFonts w:hint="eastAsia" w:hAnsi="宋体" w:cs="宋体"/>
          <w:szCs w:val="24"/>
        </w:rPr>
        <w:t xml:space="preserve">1.4供应商具有履行合同所必需的设备和专业技术能力的书面声明；</w:t>
      </w:r>
      <w:r/>
    </w:p>
    <w:p>
      <w:pPr>
        <w:pStyle w:val="1072"/>
        <w:ind w:firstLine="480"/>
        <w:spacing w:line="360" w:lineRule="exact"/>
        <w:rPr>
          <w:rFonts w:hint="eastAsia" w:hAnsi="宋体" w:cs="宋体"/>
          <w:szCs w:val="24"/>
        </w:rPr>
      </w:pPr>
      <w:r>
        <w:rPr>
          <w:rFonts w:hint="eastAsia" w:hAnsi="宋体" w:cs="宋体"/>
          <w:szCs w:val="24"/>
        </w:rPr>
        <w:t xml:space="preserve">1.5供应商在经营活动中没有违法违规记录，近三年内没有被司法部门或行业主管部门处罚，提供书面声明；</w:t>
      </w:r>
      <w:r/>
    </w:p>
    <w:p>
      <w:pPr>
        <w:pStyle w:val="1072"/>
        <w:ind w:firstLine="480"/>
        <w:spacing w:line="360" w:lineRule="exact"/>
        <w:rPr>
          <w:rFonts w:hint="eastAsia" w:hAnsi="宋体" w:cs="宋体"/>
          <w:szCs w:val="24"/>
        </w:rPr>
      </w:pPr>
      <w:r>
        <w:rPr>
          <w:rFonts w:hint="eastAsia" w:hAnsi="宋体" w:cs="宋体"/>
          <w:szCs w:val="24"/>
        </w:rPr>
        <w:t xml:space="preserve">1.6供应商须提供在“信用中国”（www.creditchina.gov.cn）查询的、自本采购公告发布之日至投标截止前的信用记录的截图（截图须加盖CA电子公章）；</w:t>
      </w:r>
      <w:r/>
    </w:p>
    <w:p>
      <w:pPr>
        <w:pStyle w:val="1072"/>
        <w:ind w:firstLine="480"/>
        <w:spacing w:line="360" w:lineRule="exact"/>
        <w:rPr>
          <w:rFonts w:hint="eastAsia" w:hAnsi="宋体" w:cs="宋体"/>
          <w:szCs w:val="24"/>
          <w:highlight w:val="none"/>
        </w:rPr>
      </w:pPr>
      <w:r>
        <w:rPr>
          <w:rFonts w:hint="eastAsia" w:hAnsi="宋体" w:cs="宋体"/>
          <w:szCs w:val="24"/>
          <w:highlight w:val="none"/>
        </w:rPr>
        <w:t xml:space="preserve">1</w:t>
      </w:r>
      <w:r>
        <w:rPr>
          <w:rFonts w:hint="eastAsia" w:hAnsi="宋体" w:cs="宋体"/>
          <w:szCs w:val="24"/>
          <w:highlight w:val="none"/>
        </w:rPr>
        <w:t xml:space="preserve">.7业绩要求：供应商须提供本项目类似业绩，5G专网服务或无人机业绩共计两个，提供体现合同主要内容的清晰复印件并加盖CA电子公章（至少包含封面、首页、合同标的及主要服务内容及其他主要条款、金额页、签字盖章页等），或结算单等其他证明文件；</w:t>
      </w:r>
      <w:r/>
    </w:p>
    <w:p>
      <w:pPr>
        <w:pStyle w:val="1072"/>
        <w:ind w:firstLine="480"/>
        <w:spacing w:line="360" w:lineRule="exact"/>
        <w:rPr>
          <w:rFonts w:hint="eastAsia" w:hAnsi="宋体" w:cs="宋体"/>
          <w:szCs w:val="24"/>
        </w:rPr>
      </w:pPr>
      <w:r>
        <w:rPr>
          <w:rFonts w:hint="eastAsia" w:hAnsi="宋体" w:cs="宋体"/>
          <w:szCs w:val="24"/>
        </w:rPr>
        <w:t xml:space="preserve">1.8本项目不接受进口产品投标。</w:t>
      </w:r>
      <w:r/>
    </w:p>
    <w:p>
      <w:pPr>
        <w:pStyle w:val="1072"/>
        <w:ind w:firstLine="480"/>
        <w:spacing w:line="360" w:lineRule="exact"/>
        <w:rPr>
          <w:rFonts w:hint="eastAsia" w:hAnsi="宋体" w:cs="宋体"/>
          <w:szCs w:val="24"/>
        </w:rPr>
      </w:pPr>
      <w:r>
        <w:rPr>
          <w:rFonts w:hint="eastAsia" w:hAnsi="宋体" w:cs="宋体"/>
          <w:szCs w:val="24"/>
        </w:rPr>
        <w:t xml:space="preserve">1.9拒绝下述供应商参加本次采购活动：</w:t>
      </w:r>
      <w:r/>
    </w:p>
    <w:p>
      <w:pPr>
        <w:pStyle w:val="1072"/>
        <w:ind w:firstLine="480"/>
        <w:spacing w:line="360" w:lineRule="exact"/>
        <w:rPr>
          <w:rFonts w:hint="eastAsia" w:hAnsi="宋体" w:cs="宋体"/>
          <w:szCs w:val="24"/>
        </w:rPr>
      </w:pPr>
      <w:r>
        <w:rPr>
          <w:rFonts w:hint="eastAsia" w:hAnsi="宋体" w:cs="宋体"/>
          <w:szCs w:val="24"/>
        </w:rPr>
        <w:t xml:space="preserve">（1）单位负责人为同一人或者存在直接控股、管理关系的不同供应商； </w:t>
      </w:r>
      <w:r/>
    </w:p>
    <w:p>
      <w:pPr>
        <w:pStyle w:val="1072"/>
        <w:ind w:firstLine="480"/>
        <w:spacing w:line="360" w:lineRule="exact"/>
        <w:rPr>
          <w:rFonts w:hint="eastAsia" w:hAnsi="宋体" w:cs="宋体"/>
          <w:szCs w:val="24"/>
        </w:rPr>
      </w:pPr>
      <w:r>
        <w:rPr>
          <w:rFonts w:hint="eastAsia" w:hAnsi="宋体" w:cs="宋体"/>
          <w:szCs w:val="24"/>
        </w:rPr>
        <w:t xml:space="preserve">（2）为采购项目提供整体设计、规范编制或者项目管理、监理、检测等服务的供应商； </w:t>
      </w:r>
      <w:r/>
    </w:p>
    <w:p>
      <w:pPr>
        <w:pStyle w:val="1072"/>
        <w:ind w:firstLine="480"/>
        <w:spacing w:line="360" w:lineRule="exact"/>
        <w:rPr>
          <w:rFonts w:hint="eastAsia" w:hAnsi="宋体" w:cs="宋体"/>
          <w:szCs w:val="24"/>
        </w:rPr>
      </w:pPr>
      <w:r>
        <w:rPr>
          <w:rFonts w:hint="eastAsia" w:hAnsi="宋体" w:cs="宋体"/>
          <w:szCs w:val="24"/>
        </w:rPr>
        <w:t xml:space="preserve">（3）供应商被“信用中国”网站（www.creditchina.gov.cn）、“中国政府采购网”(www.ccgp.gov.cn)列入失信被执行人、重大税收违法案件当事人名单、政府采购严重违法失信行为记录名单；</w:t>
      </w:r>
      <w:r/>
    </w:p>
    <w:p>
      <w:pPr>
        <w:pStyle w:val="1072"/>
        <w:ind w:firstLine="480"/>
        <w:spacing w:line="360" w:lineRule="exact"/>
        <w:rPr>
          <w:rFonts w:hint="eastAsia" w:hAnsi="宋体" w:cs="宋体"/>
          <w:szCs w:val="24"/>
        </w:rPr>
      </w:pPr>
      <w:r>
        <w:rPr>
          <w:rFonts w:hint="eastAsia" w:hAnsi="宋体" w:cs="宋体"/>
          <w:szCs w:val="24"/>
        </w:rPr>
        <w:t xml:space="preserve">（4）供应商未提供《南京市政府采购供应商信用记录表暨信用承诺书》。</w:t>
      </w:r>
      <w:r/>
    </w:p>
    <w:p>
      <w:pPr>
        <w:pStyle w:val="1072"/>
        <w:ind w:firstLine="480"/>
        <w:spacing w:line="360" w:lineRule="exact"/>
        <w:rPr>
          <w:rFonts w:hint="eastAsia" w:hAnsi="宋体" w:cs="宋体"/>
          <w:szCs w:val="24"/>
        </w:rPr>
      </w:pPr>
      <w:r>
        <w:rPr>
          <w:rFonts w:hint="eastAsia" w:hAnsi="宋体" w:cs="宋体"/>
          <w:szCs w:val="24"/>
        </w:rPr>
        <w:t xml:space="preserve">1.10政府采购信用承诺</w:t>
      </w:r>
      <w:r/>
    </w:p>
    <w:p>
      <w:pPr>
        <w:pStyle w:val="1072"/>
        <w:ind w:firstLine="480"/>
        <w:spacing w:line="360" w:lineRule="exact"/>
        <w:rPr>
          <w:rFonts w:hint="eastAsia" w:hAnsi="宋体" w:cs="宋体"/>
          <w:szCs w:val="24"/>
        </w:rPr>
      </w:pPr>
      <w:r>
        <w:rPr>
          <w:rFonts w:hint="eastAsia" w:hAnsi="宋体" w:cs="宋体"/>
          <w:szCs w:val="24"/>
        </w:rPr>
        <w:t xml:space="preserve">根据《关于在政府采购活动中推行信用承诺制的通知》宁财购通〔2021〕5号规定，参加南京地区政府采购活动的供应商，应以书面形式向招标人或政府采购代理机构作出信用承诺。供应商应尽早做好承诺工作，点击‘南京公共采购信息网’首页 （https://njg</w:t>
      </w:r>
      <w:r>
        <w:rPr>
          <w:rFonts w:hint="eastAsia" w:hAnsi="宋体" w:cs="宋体"/>
          <w:szCs w:val="24"/>
        </w:rPr>
        <w:t xml:space="preserve">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要求完成注册），然后在“信用记录”模块页面点击“信用记录打印”下载本单位《南京市政府采购供应商信用记录表暨信用承诺书》，由法人签字并盖单位供应商CA公章，随响应文件一并递交。</w:t>
      </w:r>
      <w:r/>
    </w:p>
    <w:p>
      <w:pPr>
        <w:pStyle w:val="1072"/>
        <w:ind w:firstLine="480"/>
        <w:spacing w:line="360" w:lineRule="exact"/>
        <w:rPr>
          <w:rFonts w:hint="eastAsia" w:hAnsi="宋体" w:cs="宋体"/>
          <w:szCs w:val="24"/>
        </w:rPr>
      </w:pPr>
      <w:r>
        <w:rPr>
          <w:rFonts w:hint="eastAsia" w:hAnsi="宋体" w:cs="宋体"/>
          <w:szCs w:val="24"/>
        </w:rPr>
        <w:t xml:space="preserve">在政府采购资格审查环节，供应商只需提供书面《南京市政府采购供应商信用记录表暨信用承诺书》，即可替代</w:t>
      </w:r>
      <w:r>
        <w:rPr>
          <w:rFonts w:hint="eastAsia" w:hAnsi="宋体" w:cs="宋体"/>
          <w:szCs w:val="24"/>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招标人或采购代理机构核验。经核验无误后。由招标人或采购代理机构发出中标(成交)通知书。</w:t>
      </w:r>
      <w:r/>
    </w:p>
    <w:p>
      <w:pPr>
        <w:pStyle w:val="1072"/>
        <w:ind w:firstLine="480"/>
        <w:spacing w:line="360" w:lineRule="exact"/>
        <w:rPr>
          <w:rFonts w:hint="eastAsia" w:hAnsi="宋体" w:cs="宋体"/>
          <w:szCs w:val="24"/>
        </w:rPr>
      </w:pPr>
      <w:r>
        <w:rPr>
          <w:rFonts w:hint="eastAsia" w:hAnsi="宋体" w:cs="宋体"/>
          <w:szCs w:val="24"/>
        </w:rPr>
        <w:t xml:space="preserve">供应商涉及以下情形的，不适用信用承诺:(1)供应商被列入严重失信主体名单;(2)被相关监管部门作出行政处罚且尚在处罚有效期内;(3)其他法律、行政法规规定的不适用信用承诺的情形。 供应商对信用承诺内容的真实性、合法性、有效性负责。如作出虚假信用承诺，视同为“提供虚假材料谋取中标、成交”的违法行为。</w:t>
      </w:r>
      <w:r/>
    </w:p>
    <w:p>
      <w:pPr>
        <w:ind w:firstLine="480"/>
        <w:spacing w:line="360" w:lineRule="exact"/>
        <w:rPr>
          <w:rFonts w:hint="eastAsia" w:ascii="宋体" w:hAnsi="宋体" w:cs="宋体"/>
          <w:sz w:val="24"/>
          <w:szCs w:val="24"/>
        </w:rPr>
      </w:pPr>
      <w:r/>
      <w:bookmarkStart w:id="23" w:name="_Toc28359091"/>
      <w:r/>
      <w:bookmarkStart w:id="24" w:name="_Toc28359014"/>
      <w:r>
        <w:rPr>
          <w:rFonts w:hint="eastAsia" w:ascii="宋体" w:hAnsi="宋体" w:cs="宋体"/>
          <w:sz w:val="24"/>
          <w:szCs w:val="24"/>
        </w:rPr>
        <w:t xml:space="preserve">2.落实政府采购政策需满足的资格要求：</w:t>
      </w:r>
      <w:r/>
    </w:p>
    <w:p>
      <w:pPr>
        <w:pStyle w:val="1072"/>
        <w:ind w:firstLine="480"/>
        <w:spacing w:line="360" w:lineRule="exact"/>
        <w:rPr>
          <w:rFonts w:hint="eastAsia" w:hAnsi="宋体" w:cs="宋体"/>
          <w:szCs w:val="24"/>
        </w:rPr>
      </w:pPr>
      <w:r>
        <w:rPr>
          <w:rFonts w:hint="eastAsia" w:hAnsi="宋体" w:cs="宋体"/>
          <w:szCs w:val="24"/>
        </w:rPr>
        <w:t xml:space="preserve">本项目按照以下第(4)种方式落实政府采购促进中小企业发展的要求： </w:t>
      </w:r>
      <w:r/>
    </w:p>
    <w:p>
      <w:pPr>
        <w:pStyle w:val="1072"/>
        <w:ind w:firstLine="480"/>
        <w:spacing w:line="360" w:lineRule="exact"/>
        <w:rPr>
          <w:rFonts w:hint="eastAsia" w:hAnsi="宋体" w:cs="宋体"/>
          <w:szCs w:val="24"/>
        </w:rPr>
      </w:pPr>
      <w:r>
        <w:rPr>
          <w:rFonts w:hint="eastAsia" w:hAnsi="宋体" w:cs="宋体"/>
          <w:szCs w:val="24"/>
        </w:rPr>
        <w:t xml:space="preserve">（1）本项目整体专门面向中小企业采购货物。 </w:t>
      </w:r>
      <w:r/>
    </w:p>
    <w:p>
      <w:pPr>
        <w:pStyle w:val="1072"/>
        <w:ind w:firstLine="480"/>
        <w:spacing w:line="360" w:lineRule="exact"/>
        <w:rPr>
          <w:rFonts w:hint="eastAsia" w:hAnsi="宋体" w:cs="宋体"/>
          <w:szCs w:val="24"/>
        </w:rPr>
      </w:pPr>
      <w:r>
        <w:rPr>
          <w:rFonts w:hint="eastAsia" w:hAnsi="宋体" w:cs="宋体"/>
          <w:szCs w:val="24"/>
        </w:rPr>
        <w:t xml:space="preserve">（2）本项目整体专门面向小微企业采购货物。 </w:t>
      </w:r>
      <w:r/>
    </w:p>
    <w:p>
      <w:pPr>
        <w:pStyle w:val="1072"/>
        <w:ind w:firstLine="480"/>
        <w:spacing w:line="360" w:lineRule="exact"/>
        <w:rPr>
          <w:rFonts w:hint="eastAsia" w:hAnsi="宋体" w:cs="宋体"/>
          <w:szCs w:val="24"/>
        </w:rPr>
      </w:pPr>
      <w:r>
        <w:rPr>
          <w:rFonts w:hint="eastAsia" w:hAnsi="宋体" w:cs="宋体"/>
          <w:szCs w:val="24"/>
        </w:rPr>
        <w:t xml:space="preserve">（3）本项目通过以下第（/） 种方式预留部分采购份额采购中小企业货物： </w:t>
      </w:r>
      <w:r/>
    </w:p>
    <w:p>
      <w:pPr>
        <w:pStyle w:val="1072"/>
        <w:ind w:firstLine="480"/>
        <w:spacing w:line="360" w:lineRule="exact"/>
        <w:rPr>
          <w:rFonts w:hint="eastAsia" w:hAnsi="宋体" w:cs="宋体"/>
          <w:szCs w:val="24"/>
        </w:rPr>
      </w:pPr>
      <w:r>
        <w:rPr>
          <w:rFonts w:hint="eastAsia" w:hAnsi="宋体" w:cs="宋体"/>
          <w:szCs w:val="24"/>
        </w:rPr>
        <w:t xml:space="preserve">①要求供应商以联合体形式参加，企业合同金额应当达到的比例为 / %。 </w:t>
      </w:r>
      <w:r/>
    </w:p>
    <w:p>
      <w:pPr>
        <w:pStyle w:val="1072"/>
        <w:ind w:firstLine="480"/>
        <w:spacing w:line="360" w:lineRule="exact"/>
        <w:rPr>
          <w:rFonts w:hint="eastAsia" w:hAnsi="宋体" w:cs="宋体"/>
          <w:szCs w:val="24"/>
        </w:rPr>
      </w:pPr>
      <w:r>
        <w:rPr>
          <w:rFonts w:hint="eastAsia" w:hAnsi="宋体" w:cs="宋体"/>
          <w:szCs w:val="24"/>
        </w:rPr>
        <w:t xml:space="preserve">②要求供应商进行合同分包，企业合同金额应当达到的比例为 / %。 </w:t>
      </w:r>
      <w:r/>
    </w:p>
    <w:p>
      <w:pPr>
        <w:pStyle w:val="1072"/>
        <w:numPr>
          <w:ilvl w:val="0"/>
          <w:numId w:val="9"/>
        </w:numPr>
        <w:ind w:firstLine="480"/>
        <w:spacing w:line="360" w:lineRule="exact"/>
        <w:rPr>
          <w:rFonts w:hint="eastAsia" w:hAnsi="宋体" w:cs="宋体"/>
          <w:szCs w:val="24"/>
        </w:rPr>
      </w:pPr>
      <w:r>
        <w:rPr>
          <w:rFonts w:hint="eastAsia" w:hAnsi="宋体" w:cs="宋体"/>
          <w:szCs w:val="24"/>
        </w:rPr>
        <w:t xml:space="preserve">本项目为非预留份额的采购项目或采购包，执行价格扣除优惠政策，具体详见评标办法与标准。</w:t>
      </w:r>
      <w:r/>
    </w:p>
    <w:p>
      <w:pPr>
        <w:numPr>
          <w:ilvl w:val="0"/>
          <w:numId w:val="9"/>
        </w:numPr>
        <w:ind w:firstLine="480"/>
        <w:spacing w:line="360" w:lineRule="exact"/>
        <w:rPr>
          <w:rFonts w:hint="eastAsia" w:ascii="宋体" w:hAnsi="宋体" w:cs="宋体"/>
          <w:sz w:val="24"/>
          <w:szCs w:val="24"/>
        </w:rPr>
      </w:pPr>
      <w:r>
        <w:rPr>
          <w:rFonts w:hint="eastAsia" w:ascii="宋体" w:hAnsi="宋体" w:cs="宋体"/>
          <w:sz w:val="24"/>
          <w:szCs w:val="24"/>
        </w:rPr>
        <w:t xml:space="preserve">本项目所属行业类型：工业。</w:t>
      </w:r>
      <w:r/>
    </w:p>
    <w:p>
      <w:pPr>
        <w:pStyle w:val="1184"/>
        <w:ind w:left="480" w:firstLine="0"/>
        <w:spacing w:line="360" w:lineRule="exact"/>
        <w:rPr>
          <w:rFonts w:hint="eastAsia" w:ascii="宋体" w:hAnsi="宋体" w:cs="宋体"/>
          <w:sz w:val="24"/>
          <w:szCs w:val="24"/>
        </w:rPr>
      </w:pPr>
      <w:r>
        <w:rPr>
          <w:rFonts w:hint="eastAsia" w:ascii="宋体" w:hAnsi="宋体" w:cs="宋体"/>
          <w:sz w:val="24"/>
          <w:szCs w:val="24"/>
        </w:rPr>
        <w:t xml:space="preserve">3.本项目的特定资格要求：</w:t>
      </w:r>
      <w:bookmarkStart w:id="25" w:name="OLE_LINK19"/>
      <w:r>
        <w:rPr>
          <w:rFonts w:hint="eastAsia" w:ascii="宋体" w:hAnsi="宋体" w:cs="宋体"/>
          <w:sz w:val="24"/>
          <w:szCs w:val="24"/>
        </w:rPr>
        <w:t xml:space="preserve">无。</w:t>
      </w:r>
      <w:bookmarkEnd w:id="25"/>
      <w:r/>
      <w:r/>
    </w:p>
    <w:p>
      <w:pPr>
        <w:ind w:firstLine="482"/>
        <w:spacing w:line="360" w:lineRule="exact"/>
        <w:rPr>
          <w:rFonts w:hint="eastAsia" w:ascii="宋体" w:hAnsi="宋体" w:cs="宋体"/>
          <w:b/>
          <w:bCs/>
          <w:sz w:val="24"/>
          <w:szCs w:val="24"/>
        </w:rPr>
      </w:pPr>
      <w:r/>
      <w:bookmarkStart w:id="26" w:name="_Toc35393800"/>
      <w:r/>
      <w:bookmarkStart w:id="27" w:name="_Toc35393631"/>
      <w:r/>
      <w:r/>
    </w:p>
    <w:p>
      <w:pPr>
        <w:ind w:firstLine="482"/>
        <w:spacing w:line="360" w:lineRule="exact"/>
        <w:rPr>
          <w:rFonts w:hint="eastAsia" w:ascii="宋体" w:hAnsi="宋体" w:cs="宋体"/>
          <w:sz w:val="24"/>
          <w:szCs w:val="24"/>
        </w:rPr>
      </w:pPr>
      <w:r>
        <w:rPr>
          <w:rFonts w:hint="eastAsia" w:ascii="宋体" w:hAnsi="宋体" w:cs="宋体"/>
          <w:b/>
          <w:bCs/>
          <w:sz w:val="24"/>
          <w:szCs w:val="24"/>
        </w:rPr>
        <w:t xml:space="preserve">四、获取采购文件</w:t>
      </w:r>
      <w:bookmarkEnd w:id="23"/>
      <w:r/>
      <w:bookmarkEnd w:id="24"/>
      <w:r/>
      <w:bookmarkEnd w:id="26"/>
      <w:r/>
      <w:bookmarkEnd w:id="27"/>
      <w:r/>
      <w:r/>
    </w:p>
    <w:p>
      <w:pPr>
        <w:pStyle w:val="1072"/>
        <w:ind w:firstLine="480"/>
        <w:spacing w:line="360" w:lineRule="exact"/>
        <w:rPr>
          <w:rFonts w:hint="eastAsia" w:hAnsi="宋体" w:cs="宋体"/>
          <w:szCs w:val="24"/>
        </w:rPr>
      </w:pPr>
      <w:r>
        <w:rPr>
          <w:rFonts w:hint="eastAsia" w:hAnsi="宋体" w:cs="宋体"/>
          <w:szCs w:val="24"/>
        </w:rPr>
        <w:t xml:space="preserve">时间：自公告发出之日起2个工作日内。</w:t>
      </w:r>
      <w:r/>
    </w:p>
    <w:p>
      <w:pPr>
        <w:pStyle w:val="1072"/>
        <w:ind w:firstLine="480"/>
        <w:spacing w:line="360" w:lineRule="exact"/>
        <w:rPr>
          <w:rFonts w:hint="eastAsia" w:hAnsi="宋体" w:cs="宋体"/>
          <w:szCs w:val="24"/>
        </w:rPr>
      </w:pPr>
      <w:r>
        <w:rPr>
          <w:rFonts w:hint="eastAsia" w:hAnsi="宋体" w:cs="宋体"/>
          <w:szCs w:val="24"/>
        </w:rPr>
        <w:t xml:space="preserve">方式：苏采云上下载</w:t>
      </w:r>
      <w:r/>
    </w:p>
    <w:p>
      <w:pPr>
        <w:ind w:firstLine="482"/>
        <w:spacing w:line="360" w:lineRule="exact"/>
        <w:rPr>
          <w:rFonts w:hint="eastAsia" w:ascii="宋体" w:hAnsi="宋体" w:cs="宋体"/>
          <w:b/>
          <w:bCs/>
          <w:sz w:val="24"/>
          <w:szCs w:val="24"/>
        </w:rPr>
      </w:pPr>
      <w:r/>
      <w:bookmarkStart w:id="28" w:name="_Toc35393632"/>
      <w:r/>
      <w:bookmarkStart w:id="29" w:name="_Toc28359015"/>
      <w:r/>
      <w:bookmarkStart w:id="30" w:name="_Toc28359092"/>
      <w:r/>
      <w:bookmarkStart w:id="31" w:name="_Toc35393801"/>
      <w:r/>
      <w:r/>
    </w:p>
    <w:p>
      <w:pPr>
        <w:ind w:firstLine="482"/>
        <w:spacing w:line="360" w:lineRule="exact"/>
        <w:rPr>
          <w:rFonts w:hint="eastAsia" w:ascii="宋体" w:hAnsi="宋体" w:cs="宋体"/>
          <w:b/>
          <w:bCs/>
          <w:sz w:val="24"/>
          <w:szCs w:val="24"/>
        </w:rPr>
      </w:pPr>
      <w:r>
        <w:rPr>
          <w:rFonts w:hint="eastAsia" w:ascii="宋体" w:hAnsi="宋体" w:cs="宋体"/>
          <w:b/>
          <w:bCs/>
          <w:sz w:val="24"/>
          <w:szCs w:val="24"/>
        </w:rPr>
        <w:t xml:space="preserve">五、响应文件提交</w:t>
      </w:r>
      <w:bookmarkEnd w:id="28"/>
      <w:r/>
      <w:bookmarkEnd w:id="29"/>
      <w:r/>
      <w:bookmarkEnd w:id="30"/>
      <w:r/>
      <w:bookmarkEnd w:id="31"/>
      <w:r/>
      <w:r/>
    </w:p>
    <w:p>
      <w:pPr>
        <w:ind w:firstLine="480"/>
        <w:spacing w:line="360" w:lineRule="exact"/>
        <w:rPr>
          <w:rFonts w:hint="eastAsia" w:ascii="宋体" w:hAnsi="宋体" w:cs="宋体"/>
          <w:bCs/>
          <w:sz w:val="24"/>
          <w:szCs w:val="24"/>
          <w:highlight w:val="none"/>
        </w:rPr>
      </w:pPr>
      <w:r>
        <w:rPr>
          <w:rFonts w:hint="eastAsia" w:ascii="宋体" w:hAnsi="宋体" w:cs="宋体"/>
          <w:sz w:val="24"/>
          <w:szCs w:val="24"/>
        </w:rPr>
        <w:t xml:space="preserve">截止时间</w:t>
      </w:r>
      <w:r>
        <w:rPr>
          <w:rFonts w:hint="eastAsia" w:ascii="宋体" w:hAnsi="宋体" w:cs="宋体"/>
          <w:sz w:val="24"/>
          <w:szCs w:val="24"/>
          <w:highlight w:val="none"/>
        </w:rPr>
        <w:t xml:space="preserve">：</w:t>
      </w:r>
      <w:bookmarkStart w:id="32" w:name="_Hlk74669350"/>
      <w:r>
        <w:rPr>
          <w:rFonts w:hint="eastAsia" w:ascii="宋体" w:hAnsi="宋体" w:cs="宋体"/>
          <w:sz w:val="24"/>
          <w:szCs w:val="24"/>
          <w:highlight w:val="none"/>
          <w:u w:val="single"/>
        </w:rPr>
        <w:t xml:space="preserve">2026</w:t>
      </w:r>
      <w:r>
        <w:rPr>
          <w:rFonts w:hint="eastAsia" w:ascii="宋体" w:hAnsi="宋体" w:cs="宋体"/>
          <w:bCs/>
          <w:sz w:val="24"/>
          <w:szCs w:val="24"/>
          <w:highlight w:val="none"/>
          <w:u w:val="single"/>
        </w:rPr>
        <w:t xml:space="preserve">年</w:t>
      </w:r>
      <w:r>
        <w:rPr>
          <w:rFonts w:hint="eastAsia" w:ascii="宋体" w:hAnsi="宋体" w:cs="宋体"/>
          <w:bCs/>
          <w:sz w:val="24"/>
          <w:szCs w:val="24"/>
          <w:highlight w:val="none"/>
          <w:u w:val="single"/>
          <w:lang w:val="en-US" w:eastAsia="zh-CN"/>
        </w:rPr>
        <w:t xml:space="preserve">3</w:t>
      </w:r>
      <w:r>
        <w:rPr>
          <w:rFonts w:hint="eastAsia" w:ascii="宋体" w:hAnsi="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23</w:t>
      </w:r>
      <w:r>
        <w:rPr>
          <w:rFonts w:hint="eastAsia" w:ascii="宋体" w:hAnsi="宋体" w:cs="宋体"/>
          <w:bCs/>
          <w:sz w:val="24"/>
          <w:szCs w:val="24"/>
          <w:highlight w:val="none"/>
          <w:u w:val="single"/>
        </w:rPr>
        <w:t xml:space="preserve">日下午14点30分</w:t>
      </w:r>
      <w:bookmarkEnd w:id="32"/>
      <w:r>
        <w:rPr>
          <w:rFonts w:hint="eastAsia" w:ascii="宋体" w:hAnsi="宋体" w:cs="宋体"/>
          <w:bCs/>
          <w:sz w:val="24"/>
          <w:szCs w:val="24"/>
          <w:highlight w:val="none"/>
        </w:rPr>
        <w:t xml:space="preserve">（北京时间）</w:t>
      </w:r>
      <w:r/>
    </w:p>
    <w:p>
      <w:pPr>
        <w:ind w:firstLine="480"/>
        <w:spacing w:line="360" w:lineRule="exact"/>
        <w:rPr>
          <w:rFonts w:hint="eastAsia" w:ascii="宋体" w:hAnsi="宋体" w:cs="宋体"/>
          <w:bCs/>
          <w:sz w:val="24"/>
          <w:szCs w:val="24"/>
          <w:highlight w:val="none"/>
          <w:u w:val="single"/>
        </w:rPr>
      </w:pPr>
      <w:r>
        <w:rPr>
          <w:rFonts w:hint="eastAsia" w:ascii="宋体" w:hAnsi="宋体" w:cs="宋体"/>
          <w:sz w:val="24"/>
          <w:szCs w:val="24"/>
          <w:highlight w:val="none"/>
        </w:rPr>
        <w:t xml:space="preserve">地点：苏采云开标大厅</w:t>
      </w:r>
      <w:r/>
    </w:p>
    <w:p>
      <w:pPr>
        <w:ind w:firstLine="482"/>
        <w:spacing w:line="360" w:lineRule="exact"/>
        <w:rPr>
          <w:rFonts w:hint="eastAsia" w:ascii="宋体" w:hAnsi="宋体" w:cs="宋体"/>
          <w:sz w:val="24"/>
          <w:szCs w:val="24"/>
          <w:highlight w:val="none"/>
        </w:rPr>
      </w:pPr>
      <w:r/>
      <w:bookmarkStart w:id="33" w:name="_Toc28359016"/>
      <w:r/>
      <w:bookmarkStart w:id="34" w:name="_Toc35393633"/>
      <w:r/>
      <w:bookmarkStart w:id="35" w:name="_Toc28359093"/>
      <w:r/>
      <w:bookmarkStart w:id="36" w:name="_Toc35393802"/>
      <w:r>
        <w:rPr>
          <w:rFonts w:hint="eastAsia" w:ascii="宋体" w:hAnsi="宋体" w:cs="宋体"/>
          <w:b/>
          <w:bCs/>
          <w:sz w:val="24"/>
          <w:szCs w:val="24"/>
          <w:highlight w:val="none"/>
        </w:rPr>
        <w:t xml:space="preserve">六、开启</w:t>
      </w:r>
      <w:bookmarkEnd w:id="33"/>
      <w:r/>
      <w:bookmarkEnd w:id="34"/>
      <w:r/>
      <w:bookmarkEnd w:id="35"/>
      <w:r/>
      <w:bookmarkEnd w:id="36"/>
      <w:r/>
      <w:r/>
    </w:p>
    <w:p>
      <w:pPr>
        <w:ind w:firstLine="480"/>
        <w:spacing w:line="360" w:lineRule="exact"/>
        <w:rPr>
          <w:rFonts w:hint="eastAsia" w:ascii="宋体" w:hAnsi="宋体" w:cs="宋体"/>
          <w:bCs/>
          <w:sz w:val="24"/>
          <w:szCs w:val="24"/>
          <w:highlight w:val="none"/>
          <w:u w:val="single"/>
        </w:rPr>
      </w:pPr>
      <w:r>
        <w:rPr>
          <w:rFonts w:hint="eastAsia" w:ascii="宋体" w:hAnsi="宋体" w:cs="宋体"/>
          <w:sz w:val="24"/>
          <w:szCs w:val="24"/>
          <w:highlight w:val="none"/>
        </w:rPr>
        <w:t xml:space="preserve">时间：</w:t>
      </w:r>
      <w:r>
        <w:rPr>
          <w:rFonts w:hint="eastAsia" w:ascii="宋体" w:hAnsi="宋体" w:cs="宋体"/>
          <w:sz w:val="24"/>
          <w:szCs w:val="24"/>
          <w:highlight w:val="none"/>
          <w:u w:val="single"/>
        </w:rPr>
        <w:t xml:space="preserve">2026</w:t>
      </w:r>
      <w:r>
        <w:rPr>
          <w:rFonts w:hint="eastAsia" w:ascii="宋体" w:hAnsi="宋体" w:cs="宋体"/>
          <w:bCs/>
          <w:sz w:val="24"/>
          <w:szCs w:val="24"/>
          <w:highlight w:val="none"/>
          <w:u w:val="single"/>
        </w:rPr>
        <w:t xml:space="preserve">年</w:t>
      </w:r>
      <w:r>
        <w:rPr>
          <w:rFonts w:hint="eastAsia" w:ascii="宋体" w:hAnsi="宋体" w:cs="宋体"/>
          <w:bCs/>
          <w:sz w:val="24"/>
          <w:szCs w:val="24"/>
          <w:highlight w:val="none"/>
          <w:u w:val="single"/>
          <w:lang w:val="en-US" w:eastAsia="zh-CN"/>
        </w:rPr>
        <w:t xml:space="preserve">3</w:t>
      </w:r>
      <w:r>
        <w:rPr>
          <w:rFonts w:hint="eastAsia" w:ascii="宋体" w:hAnsi="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23</w:t>
      </w:r>
      <w:r>
        <w:rPr>
          <w:rFonts w:hint="eastAsia" w:ascii="宋体" w:hAnsi="宋体" w:cs="宋体"/>
          <w:bCs/>
          <w:sz w:val="24"/>
          <w:szCs w:val="24"/>
          <w:highlight w:val="none"/>
          <w:u w:val="single"/>
        </w:rPr>
        <w:t xml:space="preserve">日下午14点30分</w:t>
      </w:r>
      <w:r>
        <w:rPr>
          <w:rFonts w:hint="eastAsia" w:ascii="宋体" w:hAnsi="宋体" w:cs="宋体"/>
          <w:bCs/>
          <w:sz w:val="24"/>
          <w:szCs w:val="24"/>
          <w:highlight w:val="none"/>
        </w:rPr>
        <w:t xml:space="preserve">（北京时间）</w:t>
      </w:r>
      <w:r/>
    </w:p>
    <w:p>
      <w:pPr>
        <w:ind w:firstLine="480"/>
        <w:spacing w:line="360" w:lineRule="exact"/>
        <w:rPr>
          <w:rFonts w:hint="eastAsia" w:ascii="宋体" w:hAnsi="宋体" w:cs="宋体"/>
          <w:bCs/>
          <w:sz w:val="24"/>
          <w:szCs w:val="24"/>
          <w:highlight w:val="none"/>
          <w:u w:val="single"/>
        </w:rPr>
      </w:pPr>
      <w:r>
        <w:rPr>
          <w:rFonts w:hint="eastAsia" w:ascii="宋体" w:hAnsi="宋体" w:cs="宋体"/>
          <w:sz w:val="24"/>
          <w:szCs w:val="24"/>
          <w:highlight w:val="none"/>
        </w:rPr>
        <w:t xml:space="preserve">地点：苏采云开标大厅</w:t>
      </w:r>
      <w:r/>
    </w:p>
    <w:p>
      <w:pPr>
        <w:ind w:firstLine="482"/>
        <w:spacing w:line="360" w:lineRule="exact"/>
        <w:rPr>
          <w:rFonts w:hint="eastAsia" w:ascii="宋体" w:hAnsi="宋体" w:cs="宋体"/>
          <w:b/>
          <w:bCs/>
          <w:sz w:val="24"/>
          <w:szCs w:val="24"/>
        </w:rPr>
      </w:pPr>
      <w:r/>
      <w:bookmarkStart w:id="37" w:name="_Toc28359017"/>
      <w:r/>
      <w:bookmarkStart w:id="38" w:name="_Toc35393803"/>
      <w:r/>
      <w:bookmarkStart w:id="39" w:name="_Toc35393634"/>
      <w:r/>
      <w:bookmarkStart w:id="40" w:name="_Toc28359094"/>
      <w:r/>
      <w:r/>
    </w:p>
    <w:p>
      <w:pPr>
        <w:ind w:firstLine="482"/>
        <w:spacing w:line="360" w:lineRule="exact"/>
        <w:rPr>
          <w:rFonts w:hint="eastAsia" w:ascii="宋体" w:hAnsi="宋体" w:cs="宋体"/>
          <w:sz w:val="24"/>
          <w:szCs w:val="24"/>
        </w:rPr>
      </w:pPr>
      <w:r>
        <w:rPr>
          <w:rFonts w:hint="eastAsia" w:ascii="宋体" w:hAnsi="宋体" w:cs="宋体"/>
          <w:b/>
          <w:bCs/>
          <w:sz w:val="24"/>
          <w:szCs w:val="24"/>
        </w:rPr>
        <w:t xml:space="preserve">七、公告期限</w:t>
      </w:r>
      <w:bookmarkEnd w:id="37"/>
      <w:r/>
      <w:bookmarkEnd w:id="38"/>
      <w:r/>
      <w:bookmarkEnd w:id="39"/>
      <w:r/>
      <w:bookmarkEnd w:id="40"/>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自本公告发布之日起3个工作日。</w:t>
      </w:r>
      <w:r/>
    </w:p>
    <w:p>
      <w:pPr>
        <w:ind w:firstLine="482"/>
        <w:spacing w:line="360" w:lineRule="exact"/>
        <w:rPr>
          <w:rFonts w:hint="eastAsia" w:ascii="宋体" w:hAnsi="宋体" w:cs="宋体"/>
          <w:b/>
          <w:bCs/>
          <w:sz w:val="24"/>
          <w:szCs w:val="24"/>
        </w:rPr>
      </w:pPr>
      <w:r/>
      <w:bookmarkStart w:id="41" w:name="_Toc35393635"/>
      <w:r/>
      <w:bookmarkStart w:id="42" w:name="_Toc35393804"/>
      <w:r/>
      <w:r/>
    </w:p>
    <w:p>
      <w:pPr>
        <w:ind w:firstLine="482"/>
        <w:spacing w:line="360" w:lineRule="exact"/>
        <w:rPr>
          <w:rFonts w:hint="eastAsia" w:ascii="宋体" w:hAnsi="宋体" w:cs="宋体"/>
          <w:sz w:val="24"/>
          <w:szCs w:val="24"/>
        </w:rPr>
      </w:pPr>
      <w:r>
        <w:rPr>
          <w:rFonts w:hint="eastAsia" w:ascii="宋体" w:hAnsi="宋体" w:cs="宋体"/>
          <w:b/>
          <w:bCs/>
          <w:sz w:val="24"/>
          <w:szCs w:val="24"/>
        </w:rPr>
        <w:t xml:space="preserve">八、其他补充事宜</w:t>
      </w:r>
      <w:bookmarkEnd w:id="41"/>
      <w:r/>
      <w:bookmarkEnd w:id="42"/>
      <w:r/>
      <w:r/>
    </w:p>
    <w:p>
      <w:pPr>
        <w:ind w:firstLine="480"/>
        <w:spacing w:line="360" w:lineRule="exact"/>
        <w:rPr>
          <w:rFonts w:hint="eastAsia" w:ascii="宋体" w:hAnsi="宋体" w:cs="宋体"/>
          <w:sz w:val="24"/>
          <w:szCs w:val="24"/>
          <w:highlight w:val="yellow"/>
          <w:u w:val="single"/>
        </w:rPr>
      </w:pPr>
      <w:r/>
      <w:bookmarkStart w:id="43" w:name="_Toc35393636"/>
      <w:r/>
      <w:bookmarkStart w:id="44" w:name="_Toc28359018"/>
      <w:r/>
      <w:bookmarkStart w:id="45" w:name="_Toc35393805"/>
      <w:r/>
      <w:bookmarkStart w:id="46" w:name="_Toc28359095"/>
      <w:r>
        <w:rPr>
          <w:rFonts w:hint="eastAsia" w:ascii="宋体" w:hAnsi="宋体" w:cs="宋体"/>
          <w:sz w:val="24"/>
          <w:szCs w:val="24"/>
        </w:rPr>
        <w:t xml:space="preserve">1.报名时间：</w:t>
      </w:r>
      <w:r>
        <w:rPr>
          <w:rFonts w:hint="eastAsia" w:ascii="宋体" w:hAnsi="宋体" w:cs="宋体"/>
          <w:sz w:val="24"/>
          <w:szCs w:val="24"/>
        </w:rPr>
        <w:t xml:space="preserve">时间：</w:t>
      </w:r>
      <w:r>
        <w:rPr>
          <w:rFonts w:hint="eastAsia" w:ascii="宋体" w:hAnsi="宋体" w:cs="宋体"/>
          <w:sz w:val="24"/>
          <w:szCs w:val="24"/>
          <w:highlight w:val="none"/>
          <w:u w:val="single"/>
        </w:rPr>
        <w:t xml:space="preserve">2026年</w:t>
      </w:r>
      <w:r>
        <w:rPr>
          <w:rFonts w:hint="eastAsia" w:ascii="宋体" w:hAnsi="宋体" w:cs="宋体"/>
          <w:sz w:val="24"/>
          <w:szCs w:val="24"/>
          <w:highlight w:val="none"/>
          <w:u w:val="single"/>
          <w:lang w:val="en-US" w:eastAsia="zh-CN"/>
        </w:rPr>
        <w:t xml:space="preserve">3</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18</w:t>
      </w:r>
      <w:r>
        <w:rPr>
          <w:rFonts w:hint="eastAsia" w:ascii="宋体" w:hAnsi="宋体" w:cs="宋体"/>
          <w:sz w:val="24"/>
          <w:szCs w:val="24"/>
          <w:highlight w:val="none"/>
          <w:u w:val="single"/>
        </w:rPr>
        <w:t xml:space="preserve">日</w:t>
      </w:r>
      <w:r>
        <w:rPr>
          <w:rFonts w:hint="eastAsia" w:ascii="宋体" w:hAnsi="宋体" w:cs="宋体"/>
          <w:sz w:val="24"/>
          <w:szCs w:val="24"/>
          <w:highlight w:val="none"/>
        </w:rPr>
        <w:t xml:space="preserve">至</w:t>
      </w:r>
      <w:r>
        <w:rPr>
          <w:rFonts w:hint="eastAsia" w:ascii="宋体" w:hAnsi="宋体" w:cs="宋体"/>
          <w:sz w:val="24"/>
          <w:szCs w:val="24"/>
          <w:highlight w:val="none"/>
          <w:u w:val="single"/>
        </w:rPr>
        <w:t xml:space="preserve">2026年</w:t>
      </w:r>
      <w:r>
        <w:rPr>
          <w:rFonts w:hint="eastAsia" w:ascii="宋体" w:hAnsi="宋体" w:cs="宋体"/>
          <w:sz w:val="24"/>
          <w:szCs w:val="24"/>
          <w:highlight w:val="none"/>
          <w:u w:val="single"/>
          <w:lang w:val="en-US" w:eastAsia="zh-CN"/>
        </w:rPr>
        <w:t xml:space="preserve">3</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19</w:t>
      </w:r>
      <w:r>
        <w:rPr>
          <w:rFonts w:hint="eastAsia" w:ascii="宋体" w:hAnsi="宋体" w:cs="宋体"/>
          <w:sz w:val="24"/>
          <w:szCs w:val="24"/>
          <w:highlight w:val="none"/>
          <w:u w:val="single"/>
        </w:rPr>
        <w:t xml:space="preserve">日</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2.有关本次采购的事项若存在变动或修改，敬请及时关注“江苏政府采购网”发布的信息。</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r/>
    </w:p>
    <w:p>
      <w:pPr>
        <w:spacing w:line="360" w:lineRule="exact"/>
        <w:rPr>
          <w:rFonts w:hint="eastAsia" w:ascii="宋体" w:hAnsi="宋体" w:cs="宋体"/>
          <w:sz w:val="24"/>
          <w:szCs w:val="24"/>
        </w:rPr>
      </w:pPr>
      <w:r>
        <w:rPr>
          <w:rFonts w:hint="eastAsia" w:ascii="宋体" w:hAnsi="宋体" w:cs="宋体"/>
          <w:sz w:val="24"/>
          <w:szCs w:val="24"/>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ind w:firstLine="482"/>
        <w:spacing w:line="360" w:lineRule="exact"/>
        <w:rPr>
          <w:rFonts w:hint="eastAsia" w:ascii="宋体" w:hAnsi="宋体" w:cs="宋体"/>
          <w:b/>
          <w:bCs/>
          <w:sz w:val="24"/>
          <w:szCs w:val="24"/>
        </w:rPr>
      </w:pPr>
      <w:r>
        <w:rPr>
          <w:rFonts w:hint="eastAsia" w:ascii="宋体" w:hAnsi="宋体" w:cs="宋体"/>
          <w:b/>
          <w:bCs/>
          <w:sz w:val="24"/>
          <w:szCs w:val="24"/>
        </w:rPr>
      </w:r>
      <w:r/>
    </w:p>
    <w:p>
      <w:pPr>
        <w:ind w:firstLine="482"/>
        <w:spacing w:line="360" w:lineRule="exact"/>
        <w:rPr>
          <w:rFonts w:hint="eastAsia" w:ascii="宋体" w:hAnsi="宋体" w:cs="宋体"/>
          <w:b/>
          <w:bCs/>
          <w:sz w:val="24"/>
          <w:szCs w:val="24"/>
        </w:rPr>
      </w:pPr>
      <w:r>
        <w:rPr>
          <w:rFonts w:hint="eastAsia" w:ascii="宋体" w:hAnsi="宋体" w:cs="宋体"/>
          <w:b/>
          <w:bCs/>
          <w:sz w:val="24"/>
          <w:szCs w:val="24"/>
        </w:rPr>
        <w:t xml:space="preserve">九、凡对本次采购提出询问，请按以下方式联系。</w:t>
      </w:r>
      <w:bookmarkEnd w:id="43"/>
      <w:r/>
      <w:bookmarkEnd w:id="44"/>
      <w:r/>
      <w:bookmarkEnd w:id="45"/>
      <w:r/>
      <w:bookmarkEnd w:id="46"/>
      <w:r/>
      <w:r/>
    </w:p>
    <w:p>
      <w:pPr>
        <w:ind w:firstLine="720"/>
        <w:spacing w:line="360" w:lineRule="exact"/>
        <w:rPr>
          <w:rFonts w:hint="eastAsia" w:ascii="宋体" w:hAnsi="宋体" w:cs="宋体"/>
          <w:sz w:val="24"/>
          <w:szCs w:val="24"/>
        </w:rPr>
      </w:pPr>
      <w:r/>
      <w:bookmarkStart w:id="47" w:name="_Toc28359019"/>
      <w:r/>
      <w:bookmarkStart w:id="48" w:name="_Toc28359096"/>
      <w:r/>
      <w:bookmarkStart w:id="49" w:name="_Toc35393806"/>
      <w:r/>
      <w:bookmarkStart w:id="50" w:name="_Toc35393637"/>
      <w:r>
        <w:rPr>
          <w:rFonts w:hint="eastAsia" w:ascii="宋体" w:hAnsi="宋体" w:cs="宋体"/>
          <w:sz w:val="24"/>
          <w:szCs w:val="24"/>
        </w:rPr>
        <w:t xml:space="preserve">1.采购人信息</w:t>
      </w:r>
      <w:bookmarkEnd w:id="47"/>
      <w:r/>
      <w:bookmarkEnd w:id="48"/>
      <w:r/>
      <w:bookmarkEnd w:id="49"/>
      <w:r/>
      <w:bookmarkEnd w:id="50"/>
      <w:r/>
      <w:r/>
    </w:p>
    <w:p>
      <w:pPr>
        <w:ind w:firstLine="720"/>
        <w:spacing w:line="36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紫金山实验室 　</w:t>
      </w:r>
      <w:r/>
    </w:p>
    <w:p>
      <w:pPr>
        <w:ind w:firstLine="720"/>
        <w:spacing w:line="36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南京市江宁区秣周东路9号　</w:t>
      </w:r>
      <w:r/>
    </w:p>
    <w:p>
      <w:pPr>
        <w:ind w:firstLine="720"/>
        <w:spacing w:line="360" w:lineRule="exact"/>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u w:val="single"/>
        </w:rPr>
        <w:t xml:space="preserve">　陈工（025-57917082）　</w:t>
      </w:r>
      <w:r/>
    </w:p>
    <w:p>
      <w:pPr>
        <w:ind w:firstLine="720"/>
        <w:spacing w:line="360" w:lineRule="exact"/>
        <w:rPr>
          <w:rFonts w:hint="eastAsia" w:ascii="宋体" w:hAnsi="宋体" w:cs="宋体"/>
          <w:sz w:val="24"/>
          <w:szCs w:val="24"/>
        </w:rPr>
      </w:pPr>
      <w:r/>
      <w:bookmarkStart w:id="51" w:name="_Toc35393638"/>
      <w:r/>
      <w:bookmarkStart w:id="52" w:name="_Toc28359097"/>
      <w:r/>
      <w:bookmarkStart w:id="53" w:name="_Toc35393807"/>
      <w:r/>
      <w:bookmarkStart w:id="54" w:name="_Toc28359020"/>
      <w:r>
        <w:rPr>
          <w:rFonts w:hint="eastAsia" w:ascii="宋体" w:hAnsi="宋体" w:cs="宋体"/>
          <w:sz w:val="24"/>
          <w:szCs w:val="24"/>
        </w:rPr>
        <w:t xml:space="preserve">2.采购代理机构信息</w:t>
      </w:r>
      <w:bookmarkEnd w:id="51"/>
      <w:r/>
      <w:bookmarkEnd w:id="52"/>
      <w:r/>
      <w:bookmarkEnd w:id="53"/>
      <w:r/>
      <w:bookmarkEnd w:id="54"/>
      <w:r/>
      <w:r/>
    </w:p>
    <w:p>
      <w:pPr>
        <w:ind w:firstLine="720"/>
        <w:spacing w:line="36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中通服咨询设计研究院有限公司　</w:t>
      </w:r>
      <w:r/>
    </w:p>
    <w:p>
      <w:pPr>
        <w:ind w:firstLine="720"/>
        <w:spacing w:line="36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南京市建邺区楠溪江东街58号　</w:t>
      </w:r>
      <w:r/>
    </w:p>
    <w:p>
      <w:pPr>
        <w:ind w:firstLine="720"/>
        <w:spacing w:line="360" w:lineRule="exact"/>
        <w:rPr>
          <w:rFonts w:hint="eastAsia" w:ascii="宋体" w:hAnsi="宋体" w:cs="宋体"/>
          <w:sz w:val="24"/>
          <w:szCs w:val="24"/>
          <w:u w:val="single"/>
        </w:rPr>
      </w:pPr>
      <w:r>
        <w:rPr>
          <w:rFonts w:hint="eastAsia" w:ascii="宋体" w:hAnsi="宋体" w:cs="宋体"/>
          <w:sz w:val="24"/>
          <w:szCs w:val="24"/>
        </w:rPr>
        <w:t xml:space="preserve">联系方式：</w:t>
      </w:r>
      <w:r>
        <w:rPr>
          <w:rFonts w:hint="eastAsia" w:ascii="宋体" w:hAnsi="宋体" w:cs="宋体"/>
          <w:sz w:val="24"/>
          <w:szCs w:val="24"/>
          <w:u w:val="single"/>
        </w:rPr>
        <w:t xml:space="preserve">　陈沭（13913913997）、郑春雅、徐磊、胡洋、周明珠、夏宜宁、朱晓琦　</w:t>
      </w:r>
      <w:r/>
    </w:p>
    <w:p>
      <w:pPr>
        <w:ind w:firstLine="720"/>
        <w:spacing w:line="360" w:lineRule="exact"/>
        <w:rPr>
          <w:rFonts w:hint="eastAsia" w:ascii="宋体" w:hAnsi="宋体" w:cs="宋体"/>
          <w:sz w:val="24"/>
          <w:szCs w:val="24"/>
        </w:rPr>
      </w:pPr>
      <w:r/>
      <w:bookmarkStart w:id="55" w:name="_Toc35393639"/>
      <w:r/>
      <w:bookmarkStart w:id="56" w:name="_Toc28359021"/>
      <w:r/>
      <w:bookmarkStart w:id="57" w:name="_Toc28359098"/>
      <w:r/>
      <w:bookmarkStart w:id="58" w:name="_Toc35393808"/>
      <w:r>
        <w:rPr>
          <w:rFonts w:hint="eastAsia" w:ascii="宋体" w:hAnsi="宋体" w:cs="宋体"/>
          <w:sz w:val="24"/>
          <w:szCs w:val="24"/>
        </w:rPr>
        <w:t xml:space="preserve">3.项目联系方式</w:t>
      </w:r>
      <w:bookmarkEnd w:id="55"/>
      <w:r/>
      <w:bookmarkEnd w:id="56"/>
      <w:r/>
      <w:bookmarkEnd w:id="57"/>
      <w:r/>
      <w:bookmarkEnd w:id="58"/>
      <w:r/>
      <w:r/>
    </w:p>
    <w:p>
      <w:pPr>
        <w:pStyle w:val="1048"/>
        <w:ind w:firstLine="720"/>
        <w:spacing w:line="360" w:lineRule="exact"/>
        <w:rPr>
          <w:rFonts w:hint="eastAsia" w:hAnsi="宋体" w:cs="宋体"/>
          <w:sz w:val="24"/>
          <w:szCs w:val="24"/>
        </w:rPr>
      </w:pPr>
      <w:r>
        <w:rPr>
          <w:rFonts w:hint="eastAsia" w:hAnsi="宋体" w:cs="宋体"/>
          <w:sz w:val="24"/>
          <w:szCs w:val="24"/>
        </w:rPr>
        <w:t xml:space="preserve">项目联系人：</w:t>
      </w:r>
      <w:r>
        <w:rPr>
          <w:rFonts w:hint="eastAsia" w:hAnsi="宋体" w:cs="宋体"/>
          <w:sz w:val="24"/>
          <w:szCs w:val="24"/>
          <w:u w:val="single"/>
        </w:rPr>
        <w:t xml:space="preserve">      陈沭     </w:t>
      </w:r>
      <w:r/>
    </w:p>
    <w:p>
      <w:pPr>
        <w:ind w:firstLine="720"/>
        <w:spacing w:line="360" w:lineRule="exact"/>
        <w:rPr>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13913913997　</w:t>
      </w:r>
      <w:r/>
    </w:p>
    <w:p>
      <w:pPr>
        <w:pStyle w:val="1025"/>
        <w:spacing w:before="290" w:after="290" w:line="400" w:lineRule="exact"/>
        <w:rPr>
          <w:rFonts w:hint="eastAsia" w:ascii="宋体" w:hAnsi="宋体" w:eastAsia="宋体"/>
          <w:b/>
          <w:bCs/>
          <w:sz w:val="32"/>
          <w:szCs w:val="32"/>
        </w:rPr>
      </w:pPr>
      <w:r>
        <w:rPr>
          <w:rFonts w:ascii="宋体" w:hAnsi="宋体"/>
          <w:b/>
          <w:bCs/>
          <w:sz w:val="32"/>
          <w:szCs w:val="32"/>
        </w:rPr>
        <w:br w:type="page" w:clear="all"/>
      </w:r>
      <w:bookmarkStart w:id="59" w:name="_Toc24962235"/>
      <w:r>
        <w:rPr>
          <w:rFonts w:hint="eastAsia" w:ascii="宋体" w:hAnsi="宋体" w:eastAsia="宋体"/>
          <w:b/>
          <w:bCs/>
          <w:sz w:val="32"/>
          <w:szCs w:val="32"/>
        </w:rPr>
        <w:t xml:space="preserve">第二章 </w:t>
      </w:r>
      <w:bookmarkEnd w:id="3"/>
      <w:r/>
      <w:bookmarkEnd w:id="4"/>
      <w:r/>
      <w:bookmarkEnd w:id="5"/>
      <w:r/>
      <w:bookmarkEnd w:id="6"/>
      <w:r/>
      <w:bookmarkEnd w:id="7"/>
      <w:r/>
      <w:bookmarkEnd w:id="11"/>
      <w:r/>
      <w:bookmarkStart w:id="60" w:name="_Toc513029202"/>
      <w:r/>
      <w:bookmarkStart w:id="61" w:name="_Toc120614213"/>
      <w:r/>
      <w:bookmarkStart w:id="62" w:name="_Toc20823274"/>
      <w:r/>
      <w:bookmarkStart w:id="63" w:name="_Toc16938518"/>
      <w:r>
        <w:rPr>
          <w:rFonts w:hint="eastAsia" w:ascii="宋体" w:hAnsi="宋体" w:eastAsia="宋体"/>
          <w:b/>
          <w:bCs/>
          <w:sz w:val="32"/>
          <w:szCs w:val="32"/>
        </w:rPr>
        <w:t xml:space="preserve">竞争性谈判须知</w:t>
      </w:r>
      <w:bookmarkEnd w:id="59"/>
      <w:r/>
      <w:bookmarkEnd w:id="60"/>
      <w:r/>
      <w:bookmarkEnd w:id="61"/>
      <w:r/>
      <w:bookmarkEnd w:id="62"/>
      <w:r/>
      <w:bookmarkEnd w:id="63"/>
      <w:r/>
      <w:r/>
    </w:p>
    <w:p>
      <w:pPr>
        <w:ind w:firstLine="480"/>
        <w:spacing w:line="400" w:lineRule="exact"/>
        <w:rPr>
          <w:sz w:val="24"/>
          <w:szCs w:val="24"/>
        </w:rPr>
      </w:pPr>
      <w:r/>
      <w:bookmarkStart w:id="64" w:name="_Toc120614214"/>
      <w:r/>
      <w:bookmarkStart w:id="65" w:name="_Toc16938519"/>
      <w:r/>
      <w:bookmarkStart w:id="66" w:name="_Toc20823275"/>
      <w:r/>
      <w:bookmarkStart w:id="67" w:name="_Toc513029203"/>
      <w:r>
        <w:rPr>
          <w:rFonts w:hint="eastAsia"/>
          <w:sz w:val="24"/>
          <w:szCs w:val="24"/>
        </w:rPr>
        <w:t xml:space="preserve">一、总 则 </w:t>
      </w:r>
      <w:r/>
    </w:p>
    <w:p>
      <w:pPr>
        <w:ind w:firstLine="480"/>
        <w:spacing w:line="400" w:lineRule="exact"/>
        <w:rPr>
          <w:sz w:val="24"/>
          <w:szCs w:val="24"/>
        </w:rPr>
      </w:pPr>
      <w:r>
        <w:rPr>
          <w:rFonts w:hint="eastAsia"/>
          <w:sz w:val="24"/>
          <w:szCs w:val="24"/>
        </w:rPr>
        <w:t xml:space="preserve">1、适用法律 </w:t>
      </w:r>
      <w:r/>
    </w:p>
    <w:p>
      <w:pPr>
        <w:ind w:firstLine="480"/>
        <w:spacing w:line="400" w:lineRule="exact"/>
        <w:rPr>
          <w:sz w:val="24"/>
          <w:szCs w:val="24"/>
        </w:rPr>
      </w:pPr>
      <w:r>
        <w:rPr>
          <w:rFonts w:hint="eastAsia"/>
          <w:sz w:val="24"/>
          <w:szCs w:val="24"/>
        </w:rPr>
        <w:t xml:space="preserve">1.1本次采购及由本次采购产生的合同受中华人民共和国有关法律法规制约和保护。 </w:t>
      </w:r>
      <w:r/>
    </w:p>
    <w:p>
      <w:pPr>
        <w:ind w:firstLine="480"/>
        <w:spacing w:line="400" w:lineRule="exact"/>
        <w:rPr>
          <w:sz w:val="24"/>
          <w:szCs w:val="24"/>
        </w:rPr>
      </w:pPr>
      <w:r>
        <w:rPr>
          <w:rFonts w:hint="eastAsia"/>
          <w:sz w:val="24"/>
          <w:szCs w:val="24"/>
        </w:rPr>
        <w:t xml:space="preserve">1.2在本项目政府采购活动过程中，如果所执行的标准有更新的，按照最新标准执行。</w:t>
      </w:r>
      <w:r/>
    </w:p>
    <w:p>
      <w:pPr>
        <w:ind w:firstLine="480"/>
        <w:spacing w:line="400" w:lineRule="exact"/>
        <w:rPr>
          <w:sz w:val="24"/>
          <w:szCs w:val="24"/>
        </w:rPr>
      </w:pPr>
      <w:r>
        <w:rPr>
          <w:rFonts w:hint="eastAsia"/>
          <w:sz w:val="24"/>
          <w:szCs w:val="24"/>
        </w:rPr>
        <w:t xml:space="preserve">2、定义 </w:t>
      </w:r>
      <w:r/>
    </w:p>
    <w:p>
      <w:pPr>
        <w:ind w:firstLine="480"/>
        <w:spacing w:line="400" w:lineRule="exact"/>
        <w:rPr>
          <w:sz w:val="24"/>
          <w:szCs w:val="24"/>
        </w:rPr>
      </w:pPr>
      <w:r>
        <w:rPr>
          <w:rFonts w:hint="eastAsia"/>
          <w:sz w:val="24"/>
          <w:szCs w:val="24"/>
        </w:rPr>
        <w:t xml:space="preserve">2.1“采购人”是指依法进行政府采购的国家机关、事业单位、团体组织。 </w:t>
      </w:r>
      <w:r/>
    </w:p>
    <w:p>
      <w:pPr>
        <w:ind w:firstLine="480"/>
        <w:spacing w:line="400" w:lineRule="exact"/>
        <w:rPr>
          <w:sz w:val="24"/>
          <w:szCs w:val="24"/>
        </w:rPr>
      </w:pPr>
      <w:r>
        <w:rPr>
          <w:rFonts w:hint="eastAsia"/>
          <w:sz w:val="24"/>
          <w:szCs w:val="24"/>
        </w:rPr>
        <w:t xml:space="preserve">2.2“供应商”是指参加竞争性谈判，并符合采购文件规定资格条件的法人、其他组织或者自然人。 </w:t>
      </w:r>
      <w:r/>
    </w:p>
    <w:p>
      <w:pPr>
        <w:ind w:firstLine="480"/>
        <w:spacing w:line="400" w:lineRule="exact"/>
        <w:rPr>
          <w:sz w:val="24"/>
          <w:szCs w:val="24"/>
        </w:rPr>
      </w:pPr>
      <w:r>
        <w:rPr>
          <w:rFonts w:hint="eastAsia"/>
          <w:sz w:val="24"/>
          <w:szCs w:val="24"/>
        </w:rPr>
        <w:t xml:space="preserve">2.3“货物和服务”指本采购文件中所述产品及相关服务。 </w:t>
      </w:r>
      <w:r/>
    </w:p>
    <w:p>
      <w:pPr>
        <w:ind w:firstLine="480"/>
        <w:spacing w:line="400" w:lineRule="exact"/>
        <w:rPr>
          <w:sz w:val="24"/>
          <w:szCs w:val="24"/>
        </w:rPr>
      </w:pPr>
      <w:r>
        <w:rPr>
          <w:rFonts w:hint="eastAsia"/>
          <w:sz w:val="24"/>
          <w:szCs w:val="24"/>
        </w:rPr>
        <w:t xml:space="preserve">2.4“用户或使用单位”是指使用服务的单位。 </w:t>
      </w:r>
      <w:r/>
    </w:p>
    <w:p>
      <w:pPr>
        <w:ind w:firstLine="480"/>
        <w:spacing w:line="400" w:lineRule="exact"/>
        <w:rPr>
          <w:sz w:val="24"/>
          <w:szCs w:val="24"/>
        </w:rPr>
      </w:pPr>
      <w:r>
        <w:rPr>
          <w:rFonts w:hint="eastAsia"/>
          <w:sz w:val="24"/>
          <w:szCs w:val="24"/>
        </w:rPr>
        <w:t xml:space="preserve">3、政策功能 </w:t>
      </w:r>
      <w:r/>
    </w:p>
    <w:p>
      <w:pPr>
        <w:ind w:firstLine="480"/>
        <w:spacing w:line="400" w:lineRule="exact"/>
        <w:rPr>
          <w:sz w:val="24"/>
          <w:szCs w:val="24"/>
        </w:rPr>
      </w:pPr>
      <w:r>
        <w:rPr>
          <w:rFonts w:hint="eastAsia"/>
          <w:sz w:val="24"/>
          <w:szCs w:val="24"/>
        </w:rPr>
        <w:t xml:space="preserve">3.1本次采购及由本次采购产生的合同受中华人民共和国有关法律法规制约和保护。</w:t>
      </w:r>
      <w:r/>
    </w:p>
    <w:p>
      <w:pPr>
        <w:ind w:firstLine="480"/>
        <w:spacing w:line="400" w:lineRule="exact"/>
        <w:rPr>
          <w:sz w:val="24"/>
          <w:szCs w:val="24"/>
        </w:rPr>
      </w:pPr>
      <w:r>
        <w:rPr>
          <w:rFonts w:hint="eastAsia"/>
          <w:sz w:val="24"/>
          <w:szCs w:val="24"/>
        </w:rPr>
        <w:t xml:space="preserve">3.2 政策功能</w:t>
      </w:r>
      <w:r/>
    </w:p>
    <w:p>
      <w:pPr>
        <w:ind w:firstLine="480"/>
        <w:spacing w:line="400" w:lineRule="exact"/>
        <w:rPr>
          <w:sz w:val="24"/>
          <w:szCs w:val="24"/>
        </w:rPr>
      </w:pPr>
      <w:r>
        <w:rPr>
          <w:rFonts w:hint="eastAsia"/>
          <w:sz w:val="24"/>
          <w:szCs w:val="24"/>
        </w:rPr>
        <w:t xml:space="preserve">3.2.1 促进中小企业发展。在政府采购活动中，供应商提供的货物、工程或者服务符合下列情形的，享受中小企业扶持政策： </w:t>
      </w:r>
      <w:r/>
    </w:p>
    <w:p>
      <w:pPr>
        <w:ind w:firstLine="480"/>
        <w:spacing w:line="400" w:lineRule="exact"/>
        <w:rPr>
          <w:sz w:val="24"/>
          <w:szCs w:val="24"/>
        </w:rPr>
      </w:pPr>
      <w:r>
        <w:rPr>
          <w:rFonts w:hint="eastAsia"/>
          <w:sz w:val="24"/>
          <w:szCs w:val="24"/>
        </w:rPr>
        <w:t xml:space="preserve">（1）在货物采购项目中，货物由中小企业制造，即货物由中小企业生产且使用该中小企业商号或者注册商标； </w:t>
      </w:r>
      <w:r/>
    </w:p>
    <w:p>
      <w:pPr>
        <w:ind w:firstLine="480"/>
        <w:spacing w:line="400" w:lineRule="exact"/>
        <w:rPr>
          <w:sz w:val="24"/>
          <w:szCs w:val="24"/>
        </w:rPr>
      </w:pPr>
      <w:r>
        <w:rPr>
          <w:rFonts w:hint="eastAsia"/>
          <w:sz w:val="24"/>
          <w:szCs w:val="24"/>
        </w:rPr>
        <w:t xml:space="preserve">（2）在工程采购项目中，工程由中小企业承建，即工程施工单位为中小企业； </w:t>
      </w:r>
      <w:r/>
    </w:p>
    <w:p>
      <w:pPr>
        <w:ind w:firstLine="480"/>
        <w:spacing w:line="400" w:lineRule="exact"/>
        <w:rPr>
          <w:sz w:val="24"/>
          <w:szCs w:val="24"/>
        </w:rPr>
      </w:pPr>
      <w:r>
        <w:rPr>
          <w:rFonts w:hint="eastAsia"/>
          <w:sz w:val="24"/>
          <w:szCs w:val="24"/>
        </w:rPr>
        <w:t xml:space="preserve">（3）在服务采购项目中，服务由中小企业承接，即提供服务的人员为中小企业依照《中华人民共和国劳动合同法》订立劳动合同的从业人员。 在货物采购项目中，供应商提供的货物既有中小企业制造货物，也有大型企业制造货物的，不享受中小企业扶持政策。 以联合体形式参加政府采购活动，联合体各方均为中小企业的，联合体视同中小企业。其中，联合体各方均为小微企业的，联合体视同小微企业。 中小企业供</w:t>
      </w:r>
      <w:r>
        <w:rPr>
          <w:rFonts w:hint="eastAsia"/>
          <w:sz w:val="24"/>
          <w:szCs w:val="24"/>
        </w:rPr>
        <w:t xml:space="preserve">应商参加政府采购活动，应当出具《中小企业声明函》，否则不得享受相关中小企业扶持政策。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400" w:lineRule="exact"/>
        <w:rPr>
          <w:sz w:val="24"/>
          <w:szCs w:val="24"/>
        </w:rPr>
      </w:pPr>
      <w:r>
        <w:rPr>
          <w:rFonts w:hint="eastAsia"/>
          <w:sz w:val="24"/>
          <w:szCs w:val="24"/>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400" w:lineRule="exact"/>
        <w:rPr>
          <w:sz w:val="24"/>
          <w:szCs w:val="24"/>
        </w:rPr>
      </w:pPr>
      <w:r>
        <w:rPr>
          <w:rFonts w:hint="eastAsia"/>
          <w:sz w:val="24"/>
          <w:szCs w:val="24"/>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400" w:lineRule="exact"/>
        <w:rPr>
          <w:sz w:val="24"/>
          <w:szCs w:val="24"/>
        </w:rPr>
      </w:pPr>
      <w:r>
        <w:rPr>
          <w:rFonts w:hint="eastAsia"/>
          <w:sz w:val="24"/>
          <w:szCs w:val="24"/>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400" w:lineRule="exact"/>
        <w:rPr>
          <w:sz w:val="24"/>
          <w:szCs w:val="24"/>
        </w:rPr>
      </w:pPr>
      <w:r>
        <w:rPr>
          <w:rFonts w:hint="eastAsia"/>
          <w:sz w:val="24"/>
          <w:szCs w:val="24"/>
        </w:rPr>
        <w:t xml:space="preserve">3.2.5 采购的产品属于信息安全产品的，供应商应当选择经国家认证的信息安全产品投标，并提供由中国信息安全认证中心按国家标准认证颁发的有效认证证书。 </w:t>
      </w:r>
      <w:r/>
    </w:p>
    <w:p>
      <w:pPr>
        <w:ind w:firstLine="480"/>
        <w:spacing w:line="400" w:lineRule="exact"/>
        <w:rPr>
          <w:sz w:val="24"/>
          <w:szCs w:val="24"/>
        </w:rPr>
      </w:pPr>
      <w:r>
        <w:rPr>
          <w:rFonts w:hint="eastAsia"/>
          <w:sz w:val="24"/>
          <w:szCs w:val="24"/>
        </w:rPr>
        <w:t xml:space="preserve">3.2.6 采购的产品属于政府强制采购节能产品的，供应商应当选择依据国家标准中二级能效（水效）指标认证的节能产品投标，并提供有效的节能产品认证证书。 </w:t>
      </w:r>
      <w:r/>
    </w:p>
    <w:p>
      <w:pPr>
        <w:ind w:firstLine="480"/>
        <w:spacing w:line="400" w:lineRule="exact"/>
        <w:rPr>
          <w:sz w:val="24"/>
          <w:szCs w:val="24"/>
        </w:rPr>
      </w:pPr>
      <w:r>
        <w:rPr>
          <w:rFonts w:hint="eastAsia"/>
          <w:sz w:val="24"/>
          <w:szCs w:val="24"/>
        </w:rPr>
        <w:t xml:space="preserve">3.2.7采购的产品属于环境标志产品的,供应商应当选择依据相关标准的最新版本认证的环境标志产品投标,并提供有效的环境标志产品认证证书。</w:t>
      </w:r>
      <w:r/>
    </w:p>
    <w:p>
      <w:pPr>
        <w:ind w:firstLine="480"/>
        <w:spacing w:line="400" w:lineRule="exact"/>
        <w:rPr>
          <w:sz w:val="24"/>
          <w:szCs w:val="24"/>
        </w:rPr>
      </w:pPr>
      <w:r>
        <w:rPr>
          <w:rFonts w:hint="eastAsia"/>
          <w:sz w:val="24"/>
          <w:szCs w:val="24"/>
        </w:rPr>
        <w:t xml:space="preserve">二、</w:t>
      </w:r>
      <w:r>
        <w:rPr>
          <w:rFonts w:hint="eastAsia"/>
          <w:b/>
          <w:bCs/>
          <w:sz w:val="24"/>
          <w:szCs w:val="24"/>
        </w:rPr>
        <w:t xml:space="preserve">谈判响应文件编制</w:t>
      </w:r>
      <w:r/>
    </w:p>
    <w:p>
      <w:pPr>
        <w:ind w:firstLine="480"/>
        <w:spacing w:line="400" w:lineRule="exact"/>
        <w:rPr>
          <w:sz w:val="24"/>
          <w:szCs w:val="24"/>
        </w:rPr>
      </w:pPr>
      <w:r>
        <w:rPr>
          <w:rFonts w:hint="eastAsia"/>
          <w:sz w:val="24"/>
          <w:szCs w:val="24"/>
        </w:rPr>
        <w:t xml:space="preserve">4、谈判响应文件的语言、计量单位、货币和编制 </w:t>
      </w:r>
      <w:r/>
    </w:p>
    <w:p>
      <w:pPr>
        <w:ind w:firstLine="480"/>
        <w:spacing w:line="400" w:lineRule="exact"/>
        <w:rPr>
          <w:sz w:val="24"/>
          <w:szCs w:val="24"/>
        </w:rPr>
      </w:pPr>
      <w:r>
        <w:rPr>
          <w:rFonts w:hint="eastAsia"/>
          <w:sz w:val="24"/>
          <w:szCs w:val="24"/>
        </w:rPr>
        <w:t xml:space="preserve">4.1 供应商提交的谈判响应文件、技术文件和资料，包括图纸中的说明，以及供应商与采购代理机构就有关谈判的所有来往函电均应使用中文。响应文件中若有英文或其他语言文字的资料，应提供相应的中文翻译资料。对不同文本响应文件的解释发生异议的，以中文文本为准。</w:t>
      </w:r>
      <w:r/>
    </w:p>
    <w:p>
      <w:pPr>
        <w:ind w:firstLine="480"/>
        <w:spacing w:line="400" w:lineRule="exact"/>
        <w:rPr>
          <w:sz w:val="24"/>
          <w:szCs w:val="24"/>
        </w:rPr>
      </w:pPr>
      <w:r>
        <w:rPr>
          <w:rFonts w:hint="eastAsia"/>
          <w:sz w:val="24"/>
          <w:szCs w:val="24"/>
        </w:rPr>
        <w:t xml:space="preserve">4.2 供应商所使用的计量单位应为国家法定计量单位。</w:t>
      </w:r>
      <w:r/>
    </w:p>
    <w:p>
      <w:pPr>
        <w:ind w:firstLine="480"/>
        <w:spacing w:line="400" w:lineRule="exact"/>
        <w:rPr>
          <w:sz w:val="24"/>
          <w:szCs w:val="24"/>
        </w:rPr>
      </w:pPr>
      <w:r>
        <w:rPr>
          <w:rFonts w:hint="eastAsia"/>
          <w:sz w:val="24"/>
          <w:szCs w:val="24"/>
        </w:rPr>
        <w:t xml:space="preserve">4.3 供应商应用人民币报价。报价产品如果是进口产品的，应提供人民币与外币之间的汇率；报价单位为“元”。</w:t>
      </w:r>
      <w:r/>
    </w:p>
    <w:p>
      <w:pPr>
        <w:ind w:firstLine="480"/>
        <w:spacing w:line="400" w:lineRule="exact"/>
        <w:rPr>
          <w:sz w:val="24"/>
          <w:szCs w:val="24"/>
        </w:rPr>
      </w:pPr>
      <w:r>
        <w:rPr>
          <w:rFonts w:hint="eastAsia"/>
          <w:sz w:val="24"/>
          <w:szCs w:val="24"/>
        </w:rPr>
        <w:t xml:space="preserve">4.4 谈判响应文件应字迹清楚、内容齐全、不得涂改。如有修改，修改处须有供应商公章或投标专用章和法定代表人或其授权谈判代表签字。</w:t>
      </w:r>
      <w:r/>
    </w:p>
    <w:p>
      <w:pPr>
        <w:ind w:firstLine="480"/>
        <w:spacing w:line="400" w:lineRule="exact"/>
        <w:rPr>
          <w:sz w:val="24"/>
          <w:szCs w:val="24"/>
        </w:rPr>
      </w:pPr>
      <w:r>
        <w:rPr>
          <w:rFonts w:hint="eastAsia"/>
          <w:sz w:val="24"/>
          <w:szCs w:val="24"/>
        </w:rPr>
        <w:t xml:space="preserve">4.5 谈判响应文件应按照竞争性谈判文件规定的顺序，统一用A4规格幅面打印、装订成册并编制目录，由于编排混乱导致响应文件被误读或查找不到，责任由供应商承担。</w:t>
      </w:r>
      <w:r/>
    </w:p>
    <w:p>
      <w:pPr>
        <w:ind w:firstLine="480"/>
        <w:spacing w:line="400" w:lineRule="exact"/>
        <w:rPr>
          <w:sz w:val="24"/>
          <w:szCs w:val="24"/>
        </w:rPr>
      </w:pPr>
      <w:r>
        <w:rPr>
          <w:rFonts w:hint="eastAsia"/>
          <w:sz w:val="24"/>
          <w:szCs w:val="24"/>
        </w:rPr>
        <w:t xml:space="preserve">4.6 供应商应在谈判响应文件中写清相应的项目编号、项目名称、供应商全称、地址、电话等。</w:t>
      </w:r>
      <w:r/>
    </w:p>
    <w:p>
      <w:pPr>
        <w:ind w:firstLine="480"/>
        <w:spacing w:line="400" w:lineRule="exact"/>
        <w:rPr>
          <w:sz w:val="24"/>
          <w:szCs w:val="24"/>
        </w:rPr>
      </w:pPr>
      <w:r>
        <w:rPr>
          <w:rFonts w:hint="eastAsia"/>
          <w:sz w:val="24"/>
          <w:szCs w:val="24"/>
        </w:rPr>
        <w:t xml:space="preserve">5、谈判响应文件的组成</w:t>
      </w:r>
      <w:r/>
    </w:p>
    <w:p>
      <w:pPr>
        <w:ind w:firstLine="480"/>
        <w:spacing w:line="400" w:lineRule="exact"/>
        <w:rPr>
          <w:sz w:val="24"/>
          <w:szCs w:val="24"/>
        </w:rPr>
      </w:pPr>
      <w:r>
        <w:rPr>
          <w:rFonts w:hint="eastAsia"/>
          <w:sz w:val="24"/>
          <w:szCs w:val="24"/>
        </w:rPr>
        <w:t xml:space="preserve">5.1 供应商应当根据竞争性谈判文件要求编制谈判响应文件，并根据自己的商务能力、技术水平对竞争性谈判文件提出的要求和条件逐条标明是否响应。</w:t>
      </w:r>
      <w:r/>
    </w:p>
    <w:p>
      <w:pPr>
        <w:ind w:firstLine="480"/>
        <w:spacing w:line="400" w:lineRule="exact"/>
        <w:rPr>
          <w:sz w:val="24"/>
          <w:szCs w:val="24"/>
        </w:rPr>
      </w:pPr>
      <w:r>
        <w:rPr>
          <w:rFonts w:hint="eastAsia"/>
          <w:sz w:val="24"/>
          <w:szCs w:val="24"/>
        </w:rPr>
        <w:t xml:space="preserve">5.2 谈判响应文件由商务部分、技术部分、价格部分，以及其他部分组成。</w:t>
      </w:r>
      <w:r/>
    </w:p>
    <w:p>
      <w:pPr>
        <w:ind w:firstLine="480"/>
        <w:spacing w:line="400" w:lineRule="exact"/>
        <w:rPr>
          <w:sz w:val="24"/>
          <w:szCs w:val="24"/>
        </w:rPr>
      </w:pPr>
      <w:r>
        <w:rPr>
          <w:rFonts w:hint="eastAsia"/>
          <w:sz w:val="24"/>
          <w:szCs w:val="24"/>
        </w:rPr>
        <w:t xml:space="preserve">5.3 本次采购的最小单位是包。采购项目的技术要求中未分包的，供应商对要求提供的服务不得部分投标；采购项目的技术要求中已经分包的，可以以包为单位投标。</w:t>
      </w:r>
      <w:r/>
    </w:p>
    <w:p>
      <w:pPr>
        <w:ind w:firstLine="480"/>
        <w:spacing w:line="400" w:lineRule="exact"/>
        <w:rPr>
          <w:sz w:val="24"/>
          <w:szCs w:val="24"/>
        </w:rPr>
      </w:pPr>
      <w:r>
        <w:rPr>
          <w:rFonts w:hint="eastAsia"/>
          <w:sz w:val="24"/>
          <w:szCs w:val="24"/>
        </w:rPr>
        <w:t xml:space="preserve">5.4 谈判响应文件的</w:t>
      </w:r>
      <w:r>
        <w:rPr>
          <w:rFonts w:hint="eastAsia"/>
          <w:b/>
          <w:bCs/>
          <w:sz w:val="24"/>
          <w:szCs w:val="24"/>
        </w:rPr>
        <w:t xml:space="preserve">商务部分</w:t>
      </w:r>
      <w:r>
        <w:rPr>
          <w:rFonts w:hint="eastAsia"/>
          <w:sz w:val="24"/>
          <w:szCs w:val="24"/>
        </w:rPr>
        <w:t xml:space="preserve">。商务部分是证明供应商有资格参加谈判和成交后有能力履行合同的文件，这些文件应能满足竞争性谈判采购的要求，包括但不限于下列文件（（1）</w:t>
      </w:r>
      <w:r>
        <w:rPr>
          <w:rFonts w:hint="eastAsia" w:ascii="宋体" w:hAnsi="宋体"/>
          <w:sz w:val="24"/>
          <w:szCs w:val="24"/>
        </w:rPr>
        <w:t xml:space="preserve">-</w:t>
      </w:r>
      <w:r>
        <w:rPr>
          <w:rFonts w:hint="eastAsia"/>
          <w:sz w:val="24"/>
          <w:szCs w:val="24"/>
        </w:rPr>
        <w:t xml:space="preserve">（5）所述材料如提供不全或不满足谈判文件的实质性要求，评标委员会有权否决供应商的投标）： </w:t>
      </w:r>
      <w:r/>
    </w:p>
    <w:p>
      <w:pPr>
        <w:ind w:firstLine="480"/>
        <w:spacing w:line="400" w:lineRule="exact"/>
        <w:rPr>
          <w:sz w:val="24"/>
          <w:szCs w:val="24"/>
        </w:rPr>
      </w:pPr>
      <w:r>
        <w:rPr>
          <w:rFonts w:hint="eastAsia"/>
          <w:sz w:val="24"/>
          <w:szCs w:val="24"/>
        </w:rPr>
        <w:t xml:space="preserve">（1）竞争性谈判申请及声明（格式见附件）； </w:t>
      </w:r>
      <w:r/>
    </w:p>
    <w:p>
      <w:pPr>
        <w:ind w:firstLine="480"/>
        <w:spacing w:line="400" w:lineRule="exact"/>
        <w:rPr>
          <w:sz w:val="24"/>
          <w:szCs w:val="24"/>
        </w:rPr>
      </w:pPr>
      <w:r>
        <w:rPr>
          <w:rFonts w:hint="eastAsia"/>
          <w:sz w:val="24"/>
          <w:szCs w:val="24"/>
        </w:rPr>
        <w:t xml:space="preserve">（2）法定代表人授权委托书及身份证复印件（格式见附件）；</w:t>
      </w:r>
      <w:r/>
    </w:p>
    <w:p>
      <w:pPr>
        <w:ind w:firstLine="480"/>
        <w:spacing w:line="40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）第一章竞争性谈判公告中2.1《中华人民共和国政府采购法》规定的资格条件证明文件； </w:t>
      </w:r>
      <w:r/>
    </w:p>
    <w:p>
      <w:pPr>
        <w:ind w:firstLine="480"/>
        <w:spacing w:line="400" w:lineRule="exact"/>
        <w:rPr>
          <w:sz w:val="24"/>
          <w:szCs w:val="24"/>
        </w:rPr>
      </w:pPr>
      <w:r>
        <w:rPr>
          <w:rFonts w:hint="eastAsia"/>
          <w:sz w:val="24"/>
          <w:szCs w:val="24"/>
        </w:rPr>
        <w:t xml:space="preserve">（4）第一章竞争性谈判公告中 2.2 采购人根据采购项目的特殊要求规定的特定条件证明文件； </w:t>
      </w:r>
      <w:r/>
    </w:p>
    <w:p>
      <w:pPr>
        <w:ind w:firstLine="480"/>
        <w:spacing w:line="400" w:lineRule="exact"/>
        <w:rPr>
          <w:sz w:val="24"/>
          <w:szCs w:val="24"/>
        </w:rPr>
      </w:pPr>
      <w:r>
        <w:rPr>
          <w:rFonts w:hint="eastAsia"/>
          <w:sz w:val="24"/>
          <w:szCs w:val="24"/>
        </w:rPr>
        <w:t xml:space="preserve">（5）《商务条款偏离表》； </w:t>
      </w:r>
      <w:r/>
    </w:p>
    <w:p>
      <w:pPr>
        <w:ind w:firstLine="480"/>
        <w:spacing w:line="400" w:lineRule="exact"/>
        <w:rPr>
          <w:sz w:val="24"/>
          <w:szCs w:val="24"/>
        </w:rPr>
      </w:pPr>
      <w:r>
        <w:rPr>
          <w:rFonts w:hint="eastAsia"/>
          <w:sz w:val="24"/>
          <w:szCs w:val="24"/>
        </w:rPr>
        <w:t xml:space="preserve">（</w:t>
      </w:r>
      <w:r>
        <w:rPr>
          <w:sz w:val="24"/>
          <w:szCs w:val="24"/>
        </w:rPr>
        <w:t xml:space="preserve">6</w:t>
      </w:r>
      <w:r>
        <w:rPr>
          <w:rFonts w:hint="eastAsia"/>
          <w:sz w:val="24"/>
          <w:szCs w:val="24"/>
        </w:rPr>
        <w:t xml:space="preserve">）供应商认为需要提供的其他资格证明文件和商务资料。</w:t>
      </w:r>
      <w:r/>
    </w:p>
    <w:p>
      <w:pPr>
        <w:ind w:firstLine="480"/>
        <w:spacing w:line="400" w:lineRule="exact"/>
        <w:rPr>
          <w:sz w:val="24"/>
          <w:szCs w:val="24"/>
        </w:rPr>
      </w:pPr>
      <w:r>
        <w:rPr>
          <w:rFonts w:hint="eastAsia"/>
          <w:sz w:val="24"/>
          <w:szCs w:val="24"/>
        </w:rPr>
        <w:t xml:space="preserve">5.5 谈判响应文件的</w:t>
      </w:r>
      <w:r>
        <w:rPr>
          <w:rFonts w:hint="eastAsia"/>
          <w:b/>
          <w:bCs/>
          <w:sz w:val="24"/>
          <w:szCs w:val="24"/>
        </w:rPr>
        <w:t xml:space="preserve">技术部分</w:t>
      </w:r>
      <w:r>
        <w:rPr>
          <w:rFonts w:hint="eastAsia"/>
          <w:sz w:val="24"/>
          <w:szCs w:val="24"/>
        </w:rPr>
        <w:t xml:space="preserve">。技术部分是证明供应商提供的服务是合格的、并符合竞争性谈判文件要求的证明文件，以及对服务的详细说明，这些文件可以是文字资料、图纸和数据等。提供的服务如与竞争性谈判文件要求有不符之处，应说明其差别之所在。包括但不限于下列文件：</w:t>
      </w:r>
      <w:r/>
    </w:p>
    <w:p>
      <w:pPr>
        <w:ind w:firstLine="480"/>
        <w:spacing w:line="400" w:lineRule="exact"/>
        <w:rPr>
          <w:sz w:val="24"/>
          <w:szCs w:val="24"/>
        </w:rPr>
      </w:pPr>
      <w:r>
        <w:rPr>
          <w:rFonts w:hint="eastAsia"/>
          <w:sz w:val="24"/>
          <w:szCs w:val="24"/>
        </w:rPr>
        <w:t xml:space="preserve">（1）项目技术方案或服务说明；  </w:t>
      </w:r>
      <w:r/>
    </w:p>
    <w:p>
      <w:pPr>
        <w:ind w:firstLine="480"/>
        <w:spacing w:line="400" w:lineRule="exact"/>
        <w:rPr>
          <w:sz w:val="24"/>
          <w:szCs w:val="24"/>
        </w:rPr>
      </w:pPr>
      <w:r>
        <w:rPr>
          <w:rFonts w:hint="eastAsia"/>
          <w:sz w:val="24"/>
          <w:szCs w:val="24"/>
        </w:rPr>
        <w:t xml:space="preserve">（2）《采购需求条款偏离表》； </w:t>
      </w:r>
      <w:r/>
    </w:p>
    <w:p>
      <w:pPr>
        <w:ind w:firstLine="480"/>
        <w:spacing w:line="400" w:lineRule="exact"/>
        <w:rPr>
          <w:sz w:val="24"/>
          <w:szCs w:val="24"/>
        </w:rPr>
      </w:pPr>
      <w:r>
        <w:rPr>
          <w:rFonts w:hint="eastAsia"/>
          <w:sz w:val="24"/>
          <w:szCs w:val="24"/>
        </w:rPr>
        <w:t xml:space="preserve">（3）供应商认为需要提供的其他技术资料。 </w:t>
      </w:r>
      <w:r/>
    </w:p>
    <w:p>
      <w:pPr>
        <w:ind w:firstLine="480"/>
        <w:spacing w:line="400" w:lineRule="exact"/>
        <w:rPr>
          <w:sz w:val="24"/>
          <w:szCs w:val="24"/>
        </w:rPr>
      </w:pPr>
      <w:r>
        <w:rPr>
          <w:rFonts w:hint="eastAsia"/>
          <w:sz w:val="24"/>
          <w:szCs w:val="24"/>
        </w:rPr>
        <w:t xml:space="preserve">5.6 谈判响应文件的</w:t>
      </w:r>
      <w:r>
        <w:rPr>
          <w:rFonts w:hint="eastAsia"/>
          <w:b/>
          <w:bCs/>
          <w:sz w:val="24"/>
          <w:szCs w:val="24"/>
        </w:rPr>
        <w:t xml:space="preserve">价格部分。</w:t>
      </w:r>
      <w:r>
        <w:rPr>
          <w:rFonts w:hint="eastAsia"/>
          <w:sz w:val="24"/>
          <w:szCs w:val="24"/>
        </w:rPr>
        <w:t xml:space="preserve">价格部分包括以下文件：</w:t>
      </w:r>
      <w:bookmarkStart w:id="68" w:name="_Hlk22117076"/>
      <w:r>
        <w:rPr>
          <w:rFonts w:hint="eastAsia"/>
          <w:sz w:val="24"/>
          <w:szCs w:val="24"/>
        </w:rPr>
        <w:t xml:space="preserve">（1）报价表（格式见附件）；（2）分项报价表（如果有）</w:t>
      </w:r>
      <w:bookmarkEnd w:id="68"/>
      <w:r>
        <w:rPr>
          <w:rFonts w:hint="eastAsia" w:ascii="宋体" w:hAnsi="宋体"/>
          <w:sz w:val="24"/>
          <w:szCs w:val="24"/>
        </w:rPr>
        <w:t xml:space="preserve">。</w:t>
      </w:r>
      <w:r>
        <w:rPr>
          <w:rFonts w:hint="eastAsia"/>
          <w:sz w:val="24"/>
          <w:szCs w:val="24"/>
        </w:rPr>
        <w:t xml:space="preserve"> </w:t>
      </w:r>
      <w:r/>
    </w:p>
    <w:p>
      <w:pPr>
        <w:ind w:firstLine="480"/>
        <w:spacing w:line="400" w:lineRule="exact"/>
        <w:rPr>
          <w:sz w:val="24"/>
          <w:szCs w:val="24"/>
        </w:rPr>
      </w:pPr>
      <w:r>
        <w:rPr>
          <w:rFonts w:hint="eastAsia"/>
          <w:sz w:val="24"/>
          <w:szCs w:val="24"/>
        </w:rPr>
        <w:t xml:space="preserve">（1）价格部分是对服务价格构成的说明，竞争性谈判文件如没有特别说明的话，对每一项服务仅接受一个价格。</w:t>
      </w:r>
      <w:r/>
    </w:p>
    <w:p>
      <w:pPr>
        <w:ind w:firstLine="480"/>
        <w:spacing w:line="400" w:lineRule="exact"/>
        <w:rPr>
          <w:sz w:val="24"/>
          <w:szCs w:val="24"/>
        </w:rPr>
      </w:pPr>
      <w:r>
        <w:rPr>
          <w:rFonts w:hint="eastAsia"/>
          <w:sz w:val="24"/>
          <w:szCs w:val="24"/>
        </w:rPr>
        <w:t xml:space="preserve">（2）报价应包含与谈判项目有关的所用费用，以及技术资料、国家强制缴纳的各种社会保障资金，以及供应商认为需要的其他费用等。</w:t>
      </w:r>
      <w:r/>
    </w:p>
    <w:p>
      <w:pPr>
        <w:ind w:firstLine="480"/>
        <w:spacing w:line="400" w:lineRule="exact"/>
        <w:rPr>
          <w:sz w:val="24"/>
          <w:szCs w:val="24"/>
        </w:rPr>
      </w:pPr>
      <w:r>
        <w:rPr>
          <w:rFonts w:hint="eastAsia"/>
          <w:sz w:val="24"/>
          <w:szCs w:val="24"/>
        </w:rPr>
        <w:t xml:space="preserve">（3）供应商应以表格形式详细说明服务的价格构成，以及价格构成各项因素的单价和总价。</w:t>
      </w:r>
      <w:r/>
    </w:p>
    <w:p>
      <w:pPr>
        <w:ind w:firstLine="480"/>
        <w:spacing w:line="400" w:lineRule="exact"/>
        <w:rPr>
          <w:sz w:val="24"/>
          <w:szCs w:val="24"/>
        </w:rPr>
      </w:pPr>
      <w:r>
        <w:rPr>
          <w:rFonts w:hint="eastAsia"/>
          <w:sz w:val="24"/>
          <w:szCs w:val="24"/>
        </w:rPr>
        <w:t xml:space="preserve">（4）供应商应充分考虑到市场价格变动，以及项目实施过程中的不可预见因素，一旦成交，总价格不变。如果有漏项，视同让利。 </w:t>
      </w:r>
      <w:r/>
    </w:p>
    <w:p>
      <w:pPr>
        <w:ind w:firstLine="480"/>
        <w:spacing w:line="400" w:lineRule="exact"/>
        <w:rPr>
          <w:sz w:val="24"/>
          <w:szCs w:val="24"/>
        </w:rPr>
      </w:pPr>
      <w:r>
        <w:rPr>
          <w:rFonts w:hint="eastAsia"/>
          <w:sz w:val="24"/>
          <w:szCs w:val="24"/>
        </w:rPr>
        <w:t xml:space="preserve">（5）响应文件所报的投标价格不得超过谈判文件规定的预算价、限价，超过谈判文件规定的响应文件，按无效投标处理。</w:t>
      </w:r>
      <w:r/>
    </w:p>
    <w:p>
      <w:pPr>
        <w:ind w:firstLine="480"/>
        <w:spacing w:line="400" w:lineRule="exact"/>
        <w:rPr>
          <w:sz w:val="24"/>
          <w:szCs w:val="24"/>
        </w:rPr>
      </w:pPr>
      <w:r>
        <w:rPr>
          <w:rFonts w:hint="eastAsia"/>
          <w:sz w:val="24"/>
          <w:szCs w:val="24"/>
        </w:rPr>
        <w:t xml:space="preserve">（6）经谈判后，如果成交价低于供应商在谈判响应文件报价的话，除特别注明外，分项报价同比例调整。</w:t>
      </w:r>
      <w:r/>
    </w:p>
    <w:p>
      <w:pPr>
        <w:ind w:firstLine="480"/>
        <w:spacing w:line="400" w:lineRule="exact"/>
        <w:rPr>
          <w:sz w:val="24"/>
          <w:szCs w:val="24"/>
        </w:rPr>
      </w:pPr>
      <w:r>
        <w:rPr>
          <w:rFonts w:hint="eastAsia"/>
          <w:sz w:val="24"/>
          <w:szCs w:val="24"/>
        </w:rPr>
        <w:t xml:space="preserve">5.7 谈判响应文件的其他部分。其他部分由供应商根据编制谈判响应文件需要提供的其他相关文件组成。</w:t>
      </w:r>
      <w:r/>
    </w:p>
    <w:p>
      <w:pPr>
        <w:ind w:firstLine="480"/>
        <w:spacing w:line="400" w:lineRule="exact"/>
        <w:rPr>
          <w:sz w:val="24"/>
          <w:szCs w:val="24"/>
        </w:rPr>
      </w:pPr>
      <w:r>
        <w:rPr>
          <w:rFonts w:hint="eastAsia"/>
          <w:sz w:val="24"/>
          <w:szCs w:val="24"/>
        </w:rPr>
        <w:t xml:space="preserve">三、谈判响应文件的递交</w:t>
      </w:r>
      <w:r/>
    </w:p>
    <w:p>
      <w:pPr>
        <w:ind w:firstLine="480"/>
        <w:spacing w:line="400" w:lineRule="exact"/>
        <w:rPr>
          <w:sz w:val="24"/>
          <w:szCs w:val="24"/>
        </w:rPr>
      </w:pPr>
      <w:r>
        <w:rPr>
          <w:rFonts w:hint="eastAsia"/>
          <w:sz w:val="24"/>
          <w:szCs w:val="24"/>
        </w:rPr>
        <w:t xml:space="preserve">6、谈判响应文件的签署、密封和递交</w:t>
      </w:r>
      <w:r/>
    </w:p>
    <w:p>
      <w:pPr>
        <w:ind w:firstLine="480"/>
        <w:spacing w:line="400" w:lineRule="exact"/>
        <w:rPr>
          <w:b/>
          <w:bCs/>
          <w:sz w:val="24"/>
          <w:szCs w:val="24"/>
        </w:rPr>
      </w:pPr>
      <w:r>
        <w:rPr>
          <w:rFonts w:hint="eastAsia"/>
          <w:sz w:val="24"/>
          <w:szCs w:val="24"/>
        </w:rPr>
        <w:t xml:space="preserve">6.1 </w:t>
      </w:r>
      <w:r>
        <w:rPr>
          <w:rFonts w:hint="eastAsia"/>
          <w:b/>
          <w:bCs/>
          <w:sz w:val="24"/>
          <w:szCs w:val="24"/>
        </w:rPr>
        <w:t xml:space="preserve">谈判响应文件一正贰副，正本和所有副本均需打印或用不褪色墨水书写，在谈判文件中注明须加盖CA电子公章、签字的地方加盖CA电子公章，并由供应商的法定代表人或授权代表签字，如为授权代表签字的应附“法定代表人授权委托书”，正本必须为原件，但供应商的相关证明文件可采用复印件，采用复印件的，采购代理机构、谈判小组认为需要时，供应商应提供原件供核对。</w:t>
      </w:r>
      <w:r/>
    </w:p>
    <w:p>
      <w:pPr>
        <w:ind w:firstLine="480"/>
        <w:spacing w:line="400" w:lineRule="exact"/>
        <w:rPr>
          <w:sz w:val="24"/>
          <w:szCs w:val="24"/>
        </w:rPr>
      </w:pPr>
      <w:r>
        <w:rPr>
          <w:rFonts w:hint="eastAsia"/>
          <w:sz w:val="24"/>
          <w:szCs w:val="24"/>
        </w:rPr>
        <w:t xml:space="preserve">6.2 谈判响应文件不应有涂改、增删之处，如必须修改时，修改处必须有供应商法定代表人或授权代表签字。</w:t>
      </w:r>
      <w:r/>
    </w:p>
    <w:p>
      <w:pPr>
        <w:ind w:firstLine="480"/>
        <w:spacing w:line="400" w:lineRule="exact"/>
        <w:rPr>
          <w:sz w:val="24"/>
          <w:szCs w:val="24"/>
        </w:rPr>
      </w:pPr>
      <w:r>
        <w:rPr>
          <w:rFonts w:hint="eastAsia"/>
          <w:sz w:val="24"/>
          <w:szCs w:val="24"/>
        </w:rPr>
        <w:t xml:space="preserve">6.3 供应商应当在竞争性谈判文件要求递交谈判响应文件的截止时间前，将谈判响应文件密封送达指定地点。</w:t>
      </w:r>
      <w:r/>
    </w:p>
    <w:p>
      <w:pPr>
        <w:ind w:firstLine="480"/>
        <w:spacing w:line="400" w:lineRule="exact"/>
        <w:rPr>
          <w:sz w:val="24"/>
          <w:szCs w:val="24"/>
        </w:rPr>
      </w:pPr>
      <w:r>
        <w:rPr>
          <w:rFonts w:hint="eastAsia"/>
          <w:sz w:val="24"/>
          <w:szCs w:val="24"/>
        </w:rPr>
        <w:t xml:space="preserve">6.4 有下列情形之一的响应文件将拒收：</w:t>
      </w:r>
      <w:r/>
    </w:p>
    <w:p>
      <w:pPr>
        <w:ind w:firstLine="480"/>
        <w:spacing w:line="400" w:lineRule="exact"/>
        <w:rPr>
          <w:sz w:val="24"/>
          <w:szCs w:val="24"/>
        </w:rPr>
      </w:pPr>
      <w:r>
        <w:rPr>
          <w:rFonts w:hint="eastAsia"/>
          <w:sz w:val="24"/>
          <w:szCs w:val="24"/>
        </w:rPr>
        <w:t xml:space="preserve">（1）未按竞争性谈判文件要求密封的；</w:t>
      </w:r>
      <w:r/>
    </w:p>
    <w:p>
      <w:pPr>
        <w:ind w:firstLine="480"/>
        <w:spacing w:line="400" w:lineRule="exact"/>
        <w:rPr>
          <w:sz w:val="24"/>
          <w:szCs w:val="24"/>
        </w:rPr>
      </w:pPr>
      <w:r>
        <w:rPr>
          <w:rFonts w:hint="eastAsia"/>
          <w:sz w:val="24"/>
          <w:szCs w:val="24"/>
        </w:rPr>
        <w:t xml:space="preserve">（2）在竞争性谈判文件要求的递交响应文件截止时间之后送达的。</w:t>
      </w:r>
      <w:r/>
    </w:p>
    <w:p>
      <w:pPr>
        <w:ind w:firstLine="480"/>
        <w:spacing w:line="400" w:lineRule="exact"/>
        <w:rPr>
          <w:sz w:val="24"/>
          <w:szCs w:val="24"/>
        </w:rPr>
      </w:pPr>
      <w:r>
        <w:rPr>
          <w:rFonts w:hint="eastAsia"/>
          <w:sz w:val="24"/>
          <w:szCs w:val="24"/>
        </w:rPr>
        <w:t xml:space="preserve">7、诚实信用</w:t>
      </w:r>
      <w:r/>
    </w:p>
    <w:p>
      <w:pPr>
        <w:ind w:firstLine="480"/>
        <w:spacing w:line="400" w:lineRule="exact"/>
        <w:rPr>
          <w:sz w:val="24"/>
          <w:szCs w:val="24"/>
        </w:rPr>
      </w:pPr>
      <w:r>
        <w:rPr>
          <w:rFonts w:hint="eastAsia"/>
          <w:sz w:val="24"/>
          <w:szCs w:val="24"/>
        </w:rPr>
        <w:t xml:space="preserve">7.1 供应商之间不得相互串通报价，不得妨碍其他供应商的公平竞争，不得损害采购人或者其他供应商的合法权益。</w:t>
      </w:r>
      <w:r/>
    </w:p>
    <w:p>
      <w:pPr>
        <w:ind w:firstLine="480"/>
        <w:spacing w:line="400" w:lineRule="exact"/>
        <w:rPr>
          <w:sz w:val="24"/>
          <w:szCs w:val="24"/>
        </w:rPr>
      </w:pPr>
      <w:r>
        <w:rPr>
          <w:rFonts w:hint="eastAsia"/>
          <w:sz w:val="24"/>
          <w:szCs w:val="24"/>
        </w:rPr>
        <w:t xml:space="preserve">7.2 供应商不得以向采购代理机构工作人员、谈判小组成员行贿或者采取其他不正当手段谋取成交。</w:t>
      </w:r>
      <w:r/>
    </w:p>
    <w:p>
      <w:pPr>
        <w:ind w:firstLine="480"/>
        <w:spacing w:line="400" w:lineRule="exact"/>
        <w:rPr>
          <w:sz w:val="24"/>
          <w:szCs w:val="24"/>
        </w:rPr>
      </w:pPr>
      <w:r>
        <w:rPr>
          <w:rFonts w:hint="eastAsia"/>
          <w:sz w:val="24"/>
          <w:szCs w:val="24"/>
        </w:rPr>
        <w:t xml:space="preserve">四、谈判</w:t>
      </w:r>
      <w:r/>
    </w:p>
    <w:p>
      <w:pPr>
        <w:ind w:firstLine="480"/>
        <w:spacing w:line="400" w:lineRule="exact"/>
        <w:rPr>
          <w:sz w:val="24"/>
          <w:szCs w:val="24"/>
        </w:rPr>
      </w:pPr>
      <w:r>
        <w:rPr>
          <w:rFonts w:hint="eastAsia"/>
          <w:sz w:val="24"/>
          <w:szCs w:val="24"/>
        </w:rPr>
        <w:t xml:space="preserve">8、谈判组织</w:t>
      </w:r>
      <w:r/>
    </w:p>
    <w:p>
      <w:pPr>
        <w:ind w:firstLine="480"/>
        <w:spacing w:line="400" w:lineRule="exact"/>
        <w:rPr>
          <w:sz w:val="24"/>
          <w:szCs w:val="24"/>
        </w:rPr>
      </w:pPr>
      <w:r>
        <w:rPr>
          <w:rFonts w:hint="eastAsia"/>
          <w:sz w:val="24"/>
          <w:szCs w:val="24"/>
        </w:rPr>
        <w:t xml:space="preserve">8.1 在递交谈判响应文件时间截止后，采购代理机构在规定的时间和地点组织谈判小组分别与供应商进行谈判。</w:t>
      </w:r>
      <w:r/>
    </w:p>
    <w:p>
      <w:pPr>
        <w:ind w:firstLine="480"/>
        <w:spacing w:line="400" w:lineRule="exact"/>
        <w:rPr>
          <w:sz w:val="24"/>
          <w:szCs w:val="24"/>
        </w:rPr>
      </w:pPr>
      <w:r>
        <w:rPr>
          <w:rFonts w:hint="eastAsia"/>
          <w:sz w:val="24"/>
          <w:szCs w:val="24"/>
        </w:rPr>
        <w:t xml:space="preserve">8.2 谈判工作由采购代理机构负责组织，具体谈判事务由依法组建的谈判小组负责。</w:t>
      </w:r>
      <w:r/>
    </w:p>
    <w:p>
      <w:pPr>
        <w:ind w:firstLine="480"/>
        <w:spacing w:line="400" w:lineRule="exact"/>
        <w:rPr>
          <w:sz w:val="24"/>
          <w:szCs w:val="24"/>
        </w:rPr>
      </w:pPr>
      <w:r>
        <w:rPr>
          <w:rFonts w:hint="eastAsia"/>
          <w:sz w:val="24"/>
          <w:szCs w:val="24"/>
        </w:rPr>
        <w:t xml:space="preserve">9、谈判程序</w:t>
      </w:r>
      <w:r/>
    </w:p>
    <w:p>
      <w:pPr>
        <w:ind w:firstLine="480"/>
        <w:spacing w:line="400" w:lineRule="exact"/>
        <w:rPr>
          <w:sz w:val="24"/>
          <w:szCs w:val="24"/>
        </w:rPr>
      </w:pPr>
      <w:r>
        <w:rPr>
          <w:rFonts w:hint="eastAsia"/>
          <w:sz w:val="24"/>
          <w:szCs w:val="24"/>
        </w:rPr>
        <w:t xml:space="preserve">9.1 谈判小组审阅供应商所递交的响应文件，凡不具备资格条件的供应商不得进入谈判程序。</w:t>
      </w:r>
      <w:r/>
    </w:p>
    <w:p>
      <w:pPr>
        <w:ind w:firstLine="480"/>
        <w:spacing w:line="400" w:lineRule="exact"/>
        <w:rPr>
          <w:sz w:val="24"/>
          <w:szCs w:val="24"/>
        </w:rPr>
      </w:pPr>
      <w:r>
        <w:rPr>
          <w:rFonts w:hint="eastAsia"/>
          <w:sz w:val="24"/>
          <w:szCs w:val="24"/>
        </w:rPr>
        <w:t xml:space="preserve">9.2 谈判小组所有成员集中与单一供应商分别就竞争性谈判采购项目的技术、商务和价格进行谈判。</w:t>
      </w:r>
      <w:r/>
    </w:p>
    <w:p>
      <w:pPr>
        <w:ind w:firstLine="480"/>
        <w:spacing w:line="400" w:lineRule="exact"/>
        <w:rPr>
          <w:sz w:val="24"/>
          <w:szCs w:val="24"/>
        </w:rPr>
      </w:pPr>
      <w:r>
        <w:rPr>
          <w:rFonts w:hint="eastAsia"/>
          <w:sz w:val="24"/>
          <w:szCs w:val="24"/>
        </w:rPr>
        <w:t xml:space="preserve">9.3 谈判过程中，谈判小组可以根据谈判文件和谈判情况可能实质性变动采购需求中的技术、服务要求以及合同草案条款，但不得变动谈判文件中的其他内容。实质性变动的内容，须经采购人代表确认。</w:t>
      </w:r>
      <w:r/>
    </w:p>
    <w:p>
      <w:pPr>
        <w:ind w:firstLine="480"/>
        <w:spacing w:line="400" w:lineRule="exact"/>
        <w:rPr>
          <w:sz w:val="24"/>
          <w:szCs w:val="24"/>
        </w:rPr>
      </w:pPr>
      <w:r>
        <w:rPr>
          <w:rFonts w:hint="eastAsia"/>
          <w:sz w:val="24"/>
          <w:szCs w:val="24"/>
        </w:rPr>
        <w:t xml:space="preserve">对谈判文件做出的实质性变动是谈判文件的有效组成部分，谈判小组应当及时以书面形式同时通知所有参加谈判的供应商。</w:t>
      </w:r>
      <w:r/>
    </w:p>
    <w:p>
      <w:pPr>
        <w:ind w:firstLine="480"/>
        <w:spacing w:line="400" w:lineRule="exact"/>
        <w:rPr>
          <w:sz w:val="24"/>
          <w:szCs w:val="24"/>
        </w:rPr>
      </w:pPr>
      <w:r>
        <w:rPr>
          <w:rFonts w:hint="eastAsia"/>
          <w:sz w:val="24"/>
          <w:szCs w:val="24"/>
        </w:rPr>
        <w:t xml:space="preserve">9.4 如谈判文件有实质性变动的，供应商应当按照谈判文件的变动情况和谈判小组的要求提交响应（或补充）文件，应由其法定代表人或授权代表签字或者加盖CA电子公章。</w:t>
      </w:r>
      <w:r/>
    </w:p>
    <w:p>
      <w:pPr>
        <w:ind w:firstLine="480"/>
        <w:spacing w:line="400" w:lineRule="exact"/>
        <w:rPr>
          <w:sz w:val="24"/>
          <w:szCs w:val="24"/>
        </w:rPr>
      </w:pPr>
      <w:r>
        <w:rPr>
          <w:rFonts w:hint="eastAsia"/>
          <w:sz w:val="24"/>
          <w:szCs w:val="24"/>
        </w:rPr>
        <w:t xml:space="preserve">9.5 谈判结束后，谈判小组将要求所有实质性响应的供应商在规定时间内提交最后报价。最后报价由其法定代表人或授权代表签字或者加盖CA电子公章，最后报价是供应商响应文件的有效组成部分。</w:t>
      </w:r>
      <w:r/>
    </w:p>
    <w:p>
      <w:pPr>
        <w:ind w:firstLine="480"/>
        <w:spacing w:line="400" w:lineRule="exact"/>
        <w:rPr>
          <w:sz w:val="24"/>
          <w:szCs w:val="24"/>
        </w:rPr>
      </w:pPr>
      <w:r>
        <w:rPr>
          <w:rFonts w:hint="eastAsia"/>
          <w:sz w:val="24"/>
          <w:szCs w:val="24"/>
        </w:rPr>
        <w:t xml:space="preserve">9.6 出现下列情形之一的响应文件按照无效处理：</w:t>
      </w:r>
      <w:r/>
    </w:p>
    <w:p>
      <w:pPr>
        <w:ind w:firstLine="480"/>
        <w:spacing w:line="400" w:lineRule="exact"/>
        <w:rPr>
          <w:sz w:val="24"/>
          <w:szCs w:val="24"/>
        </w:rPr>
      </w:pPr>
      <w:r>
        <w:rPr>
          <w:rFonts w:hint="eastAsia"/>
          <w:sz w:val="24"/>
          <w:szCs w:val="24"/>
        </w:rPr>
        <w:t xml:space="preserve">（1）不满足“第一章竞争性谈判公告3中供应商应具备下列资格条件”的规定的； </w:t>
      </w:r>
      <w:r/>
    </w:p>
    <w:p>
      <w:pPr>
        <w:ind w:firstLine="480"/>
        <w:spacing w:line="400" w:lineRule="exact"/>
        <w:rPr>
          <w:sz w:val="24"/>
          <w:szCs w:val="24"/>
        </w:rPr>
      </w:pPr>
      <w:r>
        <w:rPr>
          <w:rFonts w:hint="eastAsia"/>
          <w:sz w:val="24"/>
          <w:szCs w:val="24"/>
        </w:rPr>
        <w:t xml:space="preserve">（2）未实质性响应采购文件要求的；(实质性要求是指本竞争性谈判文件中用带星号（“*”）、“须（必须）”或“应（应当）”等其他文字说明的商务和技术要求。) </w:t>
      </w:r>
      <w:r/>
    </w:p>
    <w:p>
      <w:pPr>
        <w:ind w:firstLine="480"/>
        <w:spacing w:line="400" w:lineRule="exact"/>
        <w:rPr>
          <w:sz w:val="24"/>
          <w:szCs w:val="24"/>
        </w:rPr>
      </w:pPr>
      <w:r>
        <w:rPr>
          <w:rFonts w:hint="eastAsia"/>
          <w:sz w:val="24"/>
          <w:szCs w:val="24"/>
        </w:rPr>
        <w:t xml:space="preserve">（3）不符合法律、法规和谈判文件规定的其他实质性要求的。</w:t>
      </w:r>
      <w:r/>
    </w:p>
    <w:p>
      <w:pPr>
        <w:ind w:firstLine="480"/>
        <w:spacing w:line="400" w:lineRule="exact"/>
        <w:rPr>
          <w:sz w:val="24"/>
          <w:szCs w:val="24"/>
        </w:rPr>
      </w:pPr>
      <w:r>
        <w:rPr>
          <w:rFonts w:hint="eastAsia"/>
          <w:sz w:val="24"/>
          <w:szCs w:val="24"/>
        </w:rPr>
        <w:t xml:space="preserve">9.7 出现下列情形之一的谈判终止： </w:t>
      </w:r>
      <w:r/>
    </w:p>
    <w:p>
      <w:pPr>
        <w:ind w:firstLine="480"/>
        <w:spacing w:line="400" w:lineRule="exact"/>
        <w:rPr>
          <w:sz w:val="24"/>
          <w:szCs w:val="24"/>
        </w:rPr>
      </w:pPr>
      <w:r>
        <w:rPr>
          <w:rFonts w:hint="eastAsia"/>
          <w:sz w:val="24"/>
          <w:szCs w:val="24"/>
        </w:rPr>
        <w:t xml:space="preserve">（1）因情况变化，不再符合规定的竞争性谈判采购方式适用情形的；</w:t>
      </w:r>
      <w:r/>
    </w:p>
    <w:p>
      <w:pPr>
        <w:ind w:firstLine="480"/>
        <w:spacing w:line="400" w:lineRule="exact"/>
        <w:rPr>
          <w:sz w:val="24"/>
          <w:szCs w:val="24"/>
        </w:rPr>
      </w:pPr>
      <w:r>
        <w:rPr>
          <w:rFonts w:hint="eastAsia"/>
          <w:sz w:val="24"/>
          <w:szCs w:val="24"/>
        </w:rPr>
        <w:t xml:space="preserve">（2）出现影响采购公正的违法、违规行为的； </w:t>
      </w:r>
      <w:r/>
    </w:p>
    <w:p>
      <w:pPr>
        <w:ind w:firstLine="480"/>
        <w:spacing w:line="400" w:lineRule="exact"/>
        <w:rPr>
          <w:sz w:val="24"/>
          <w:szCs w:val="24"/>
        </w:rPr>
      </w:pPr>
      <w:r>
        <w:rPr>
          <w:rFonts w:hint="eastAsia"/>
          <w:sz w:val="24"/>
          <w:szCs w:val="24"/>
        </w:rPr>
        <w:t xml:space="preserve">（3）除市场竞争不充分的科研项目，以及需要扶持的科技成果转化项目外，在采购过程中符合要求的供应商或者报价未超过采购预算的供应商不足2家的。 </w:t>
      </w:r>
      <w:r/>
    </w:p>
    <w:p>
      <w:pPr>
        <w:ind w:firstLine="480"/>
        <w:spacing w:line="400" w:lineRule="exact"/>
        <w:rPr>
          <w:sz w:val="24"/>
          <w:szCs w:val="24"/>
        </w:rPr>
      </w:pPr>
      <w:r>
        <w:rPr>
          <w:rFonts w:hint="eastAsia"/>
          <w:sz w:val="24"/>
          <w:szCs w:val="24"/>
        </w:rPr>
        <w:t xml:space="preserve">9.8 谈判有效期为90天，从提交谈判响应文件的截止之日起算。谈判响应文件中承诺的谈判有效期应当不少于竞争性谈判文件中载明的谈判有效期。 </w:t>
      </w:r>
      <w:r/>
    </w:p>
    <w:p>
      <w:pPr>
        <w:ind w:firstLine="480"/>
        <w:spacing w:line="400" w:lineRule="exact"/>
        <w:rPr>
          <w:sz w:val="24"/>
          <w:szCs w:val="24"/>
        </w:rPr>
      </w:pPr>
      <w:r>
        <w:rPr>
          <w:rFonts w:hint="eastAsia"/>
          <w:sz w:val="24"/>
          <w:szCs w:val="24"/>
        </w:rPr>
        <w:t xml:space="preserve">10、评分方法和标准 </w:t>
      </w:r>
      <w:r/>
    </w:p>
    <w:p>
      <w:pPr>
        <w:ind w:firstLine="480"/>
        <w:spacing w:line="400" w:lineRule="exact"/>
        <w:rPr>
          <w:sz w:val="24"/>
          <w:szCs w:val="24"/>
        </w:rPr>
      </w:pPr>
      <w:r>
        <w:rPr>
          <w:rFonts w:hint="eastAsia"/>
          <w:sz w:val="24"/>
          <w:szCs w:val="24"/>
        </w:rPr>
        <w:t xml:space="preserve">10.1 采用价格优先法。即在最大限度地满足谈判文件实质性要求前提下，以报价最低的供应商作为成交候选供应商或者成交人的评分方法。</w:t>
      </w:r>
      <w:r/>
    </w:p>
    <w:p>
      <w:pPr>
        <w:ind w:firstLine="480"/>
        <w:spacing w:line="400" w:lineRule="exact"/>
        <w:rPr>
          <w:sz w:val="24"/>
          <w:szCs w:val="24"/>
        </w:rPr>
      </w:pPr>
      <w:r>
        <w:rPr>
          <w:rFonts w:hint="eastAsia"/>
          <w:sz w:val="24"/>
          <w:szCs w:val="24"/>
        </w:rPr>
        <w:t xml:space="preserve">10.2 评分的主要因素是：价格。 </w:t>
      </w:r>
      <w:r/>
    </w:p>
    <w:p>
      <w:pPr>
        <w:ind w:firstLine="480"/>
        <w:spacing w:line="400" w:lineRule="exact"/>
        <w:rPr>
          <w:sz w:val="24"/>
          <w:szCs w:val="24"/>
        </w:rPr>
      </w:pPr>
      <w:r>
        <w:rPr>
          <w:rFonts w:hint="eastAsia"/>
          <w:sz w:val="24"/>
          <w:szCs w:val="24"/>
        </w:rPr>
        <w:t xml:space="preserve">10.3 评分标准详见第三章。</w:t>
      </w:r>
      <w:r/>
    </w:p>
    <w:p>
      <w:pPr>
        <w:ind w:firstLine="480"/>
        <w:spacing w:line="400" w:lineRule="exact"/>
        <w:rPr>
          <w:sz w:val="24"/>
          <w:szCs w:val="24"/>
        </w:rPr>
      </w:pPr>
      <w:r>
        <w:rPr>
          <w:rFonts w:hint="eastAsia"/>
          <w:sz w:val="24"/>
          <w:szCs w:val="24"/>
        </w:rPr>
        <w:t xml:space="preserve">11、确定成交供应商</w:t>
      </w:r>
      <w:r/>
    </w:p>
    <w:p>
      <w:pPr>
        <w:ind w:firstLine="480"/>
        <w:spacing w:line="400" w:lineRule="exact"/>
        <w:rPr>
          <w:sz w:val="24"/>
          <w:szCs w:val="24"/>
        </w:rPr>
      </w:pPr>
      <w:r>
        <w:rPr>
          <w:rFonts w:hint="eastAsia"/>
          <w:sz w:val="24"/>
          <w:szCs w:val="24"/>
        </w:rPr>
        <w:t xml:space="preserve">11.1 按照价格由低到高顺序对供应商进行排列。报价相同的，按技术指标优劣顺序排列。评标委员会将排名第一的供应商确定为成交供应商。 </w:t>
      </w:r>
      <w:r/>
    </w:p>
    <w:p>
      <w:pPr>
        <w:ind w:firstLine="480"/>
        <w:spacing w:line="400" w:lineRule="exact"/>
        <w:rPr>
          <w:sz w:val="24"/>
          <w:szCs w:val="24"/>
        </w:rPr>
      </w:pPr>
      <w:r>
        <w:rPr>
          <w:rFonts w:hint="eastAsia"/>
          <w:sz w:val="24"/>
          <w:szCs w:val="24"/>
        </w:rPr>
        <w:t xml:space="preserve">11.2 成交供应商确定后，采购人或者采购代理机构将在省级以上财政部门指定的政府采购信息发布媒体上公告成交结果，同时向成交供应商发出成交通知书。 </w:t>
      </w:r>
      <w:r/>
    </w:p>
    <w:p>
      <w:pPr>
        <w:ind w:firstLine="480"/>
        <w:spacing w:line="400" w:lineRule="exact"/>
        <w:rPr>
          <w:sz w:val="24"/>
          <w:szCs w:val="24"/>
        </w:rPr>
      </w:pPr>
      <w:r>
        <w:rPr>
          <w:rFonts w:hint="eastAsia"/>
          <w:sz w:val="24"/>
          <w:szCs w:val="24"/>
        </w:rPr>
        <w:t xml:space="preserve">11.3 成交通知书对采购人和成交供应商具有同等法律效力。 </w:t>
      </w:r>
      <w:r/>
    </w:p>
    <w:p>
      <w:pPr>
        <w:ind w:firstLine="480"/>
        <w:spacing w:line="400" w:lineRule="exact"/>
        <w:rPr>
          <w:sz w:val="24"/>
          <w:szCs w:val="24"/>
        </w:rPr>
      </w:pPr>
      <w:r>
        <w:rPr>
          <w:rFonts w:hint="eastAsia"/>
          <w:sz w:val="24"/>
          <w:szCs w:val="24"/>
        </w:rPr>
        <w:t xml:space="preserve">11.4 成交通知书发出后，采购人或成交供应商拒绝签订合同的，拒绝签订合同的一方应向另一方支付为谈判所发生的有关费用和双方商定的其他补偿，并承担相应的法律责任。 </w:t>
      </w:r>
      <w:r/>
    </w:p>
    <w:p>
      <w:pPr>
        <w:ind w:firstLine="480"/>
        <w:spacing w:line="400" w:lineRule="exact"/>
        <w:rPr>
          <w:sz w:val="24"/>
          <w:szCs w:val="24"/>
        </w:rPr>
      </w:pPr>
      <w:r>
        <w:rPr>
          <w:rFonts w:hint="eastAsia"/>
          <w:sz w:val="24"/>
          <w:szCs w:val="24"/>
        </w:rPr>
        <w:t xml:space="preserve">11.5 成交通知书发出后，成交供应商除发生法律规定的不能预见、不能避免并不能克服的客观情况外不得放弃或拒绝签订合同的。放弃或拒绝签订合同的，情节严重的提请财政部门将其列入不良行为名单，在一至三年内不得参加政府采购活动，并予以通报。 </w:t>
      </w:r>
      <w:r/>
    </w:p>
    <w:p>
      <w:pPr>
        <w:ind w:firstLine="480"/>
        <w:spacing w:line="400" w:lineRule="exact"/>
        <w:rPr>
          <w:sz w:val="24"/>
          <w:szCs w:val="24"/>
        </w:rPr>
      </w:pPr>
      <w:r>
        <w:rPr>
          <w:rFonts w:hint="eastAsia"/>
          <w:sz w:val="24"/>
          <w:szCs w:val="24"/>
        </w:rPr>
        <w:t xml:space="preserve">11.6 采购代理机构对未成交的供应商不作未成交原因的解释。 </w:t>
      </w:r>
      <w:r/>
    </w:p>
    <w:p>
      <w:pPr>
        <w:ind w:firstLine="480"/>
        <w:spacing w:line="400" w:lineRule="exact"/>
        <w:rPr>
          <w:sz w:val="24"/>
          <w:szCs w:val="24"/>
        </w:rPr>
      </w:pPr>
      <w:r>
        <w:rPr>
          <w:rFonts w:hint="eastAsia"/>
          <w:sz w:val="24"/>
          <w:szCs w:val="24"/>
        </w:rPr>
        <w:t xml:space="preserve">11.7 所有响应文件不论成交与否，采购代理机构均不退回。</w:t>
      </w:r>
      <w:r/>
    </w:p>
    <w:p>
      <w:pPr>
        <w:ind w:firstLine="480"/>
        <w:spacing w:line="400" w:lineRule="exact"/>
        <w:rPr>
          <w:sz w:val="24"/>
          <w:szCs w:val="24"/>
        </w:rPr>
      </w:pPr>
      <w:r>
        <w:rPr>
          <w:rFonts w:hint="eastAsia"/>
          <w:sz w:val="24"/>
          <w:szCs w:val="24"/>
        </w:rPr>
        <w:t xml:space="preserve">12、编写谈判（评审）报告 </w:t>
      </w:r>
      <w:r/>
    </w:p>
    <w:p>
      <w:pPr>
        <w:ind w:firstLine="480"/>
        <w:spacing w:line="400" w:lineRule="exact"/>
        <w:rPr>
          <w:sz w:val="24"/>
          <w:szCs w:val="24"/>
        </w:rPr>
      </w:pPr>
      <w:r>
        <w:rPr>
          <w:rFonts w:hint="eastAsia"/>
          <w:sz w:val="24"/>
          <w:szCs w:val="24"/>
        </w:rPr>
        <w:t xml:space="preserve">12.1 谈判小组根据谈判过程和结果编写谈判（评审）报告。 </w:t>
      </w:r>
      <w:r/>
    </w:p>
    <w:p>
      <w:pPr>
        <w:ind w:firstLine="480"/>
        <w:spacing w:line="400" w:lineRule="exact"/>
        <w:rPr>
          <w:sz w:val="24"/>
          <w:szCs w:val="24"/>
        </w:rPr>
      </w:pPr>
      <w:r>
        <w:rPr>
          <w:rFonts w:hint="eastAsia"/>
          <w:sz w:val="24"/>
          <w:szCs w:val="24"/>
        </w:rPr>
        <w:t xml:space="preserve">13、签订合同 </w:t>
      </w:r>
      <w:r/>
    </w:p>
    <w:p>
      <w:pPr>
        <w:ind w:firstLine="480"/>
        <w:spacing w:line="400" w:lineRule="exact"/>
        <w:rPr>
          <w:sz w:val="24"/>
          <w:szCs w:val="24"/>
        </w:rPr>
      </w:pPr>
      <w:r>
        <w:rPr>
          <w:rFonts w:hint="eastAsia"/>
          <w:sz w:val="24"/>
          <w:szCs w:val="24"/>
        </w:rPr>
        <w:t xml:space="preserve">13.1 成交供应商应当自成交通知书发出之日起三十日内，与采购人签订合同，所签订的合同不得对竞争性谈判文件和响应文件作实质性修改。</w:t>
      </w:r>
      <w:r/>
    </w:p>
    <w:p>
      <w:pPr>
        <w:ind w:firstLine="480"/>
        <w:spacing w:line="400" w:lineRule="exact"/>
        <w:rPr>
          <w:sz w:val="24"/>
          <w:szCs w:val="24"/>
        </w:rPr>
      </w:pPr>
      <w:r>
        <w:rPr>
          <w:rFonts w:hint="eastAsia"/>
          <w:sz w:val="24"/>
          <w:szCs w:val="24"/>
        </w:rPr>
        <w:t xml:space="preserve">13.2 采购人不得向成交供应商提出任何不合理的要求作为签订合同的条件，不得与成交供应商私下订立背离合同实质性内容的协议。 </w:t>
      </w:r>
      <w:r/>
    </w:p>
    <w:p>
      <w:pPr>
        <w:ind w:firstLine="480"/>
        <w:spacing w:line="400" w:lineRule="exact"/>
        <w:rPr>
          <w:sz w:val="24"/>
          <w:szCs w:val="24"/>
        </w:rPr>
      </w:pPr>
      <w:r>
        <w:rPr>
          <w:rFonts w:hint="eastAsia"/>
          <w:sz w:val="24"/>
          <w:szCs w:val="24"/>
        </w:rPr>
        <w:t xml:space="preserve">13.3 成交供应商因不可抗力或者自身原因不能履行合同的，采购人可以视情与排位在成交供应商之后第一位的成交候选供应商签订合同，以此类推。 </w:t>
      </w:r>
      <w:r/>
    </w:p>
    <w:p>
      <w:pPr>
        <w:ind w:firstLine="480"/>
        <w:spacing w:line="400" w:lineRule="exact"/>
        <w:rPr>
          <w:sz w:val="24"/>
          <w:szCs w:val="24"/>
        </w:rPr>
      </w:pPr>
      <w:r>
        <w:rPr>
          <w:rFonts w:hint="eastAsia"/>
          <w:sz w:val="24"/>
          <w:szCs w:val="24"/>
        </w:rPr>
        <w:t xml:space="preserve">13.4 合同履行中，采购人需追加与合同标的相同的货物的，在不改变合同其他条款的前提下，可以与供应商协商签订补充合同，但所有补充合同的采购金额不得超过原合同采购金额的百分之十。 </w:t>
      </w:r>
      <w:r/>
    </w:p>
    <w:p>
      <w:pPr>
        <w:ind w:firstLine="480"/>
        <w:spacing w:line="400" w:lineRule="exact"/>
        <w:rPr>
          <w:sz w:val="24"/>
          <w:szCs w:val="24"/>
        </w:rPr>
      </w:pPr>
      <w:r>
        <w:rPr>
          <w:rFonts w:hint="eastAsia"/>
          <w:sz w:val="24"/>
          <w:szCs w:val="24"/>
        </w:rPr>
        <w:t xml:space="preserve">五、质疑与投诉</w:t>
      </w:r>
      <w:r/>
    </w:p>
    <w:p>
      <w:pPr>
        <w:ind w:firstLine="480"/>
        <w:spacing w:line="400" w:lineRule="exact"/>
        <w:rPr>
          <w:sz w:val="24"/>
          <w:szCs w:val="24"/>
        </w:rPr>
      </w:pPr>
      <w:r>
        <w:rPr>
          <w:rFonts w:hint="eastAsia"/>
          <w:sz w:val="24"/>
          <w:szCs w:val="24"/>
        </w:rPr>
        <w:t xml:space="preserve">14、质疑 </w:t>
      </w:r>
      <w:r/>
    </w:p>
    <w:p>
      <w:pPr>
        <w:ind w:firstLine="480"/>
        <w:spacing w:line="400" w:lineRule="exact"/>
        <w:rPr>
          <w:sz w:val="24"/>
          <w:szCs w:val="24"/>
        </w:rPr>
      </w:pPr>
      <w:r/>
      <w:bookmarkStart w:id="69" w:name="_Hlk33002342"/>
      <w:r>
        <w:rPr>
          <w:rFonts w:hint="eastAsia"/>
          <w:sz w:val="24"/>
          <w:szCs w:val="24"/>
        </w:rPr>
        <w:t xml:space="preserve">14.1 供应商认为谈判文件、谈判过程和中标、成交结果使自己的权益受到损害的，可以在知道或者应知其权益受到损害之日起七个工作日内，以书面形式向采购代理机构提出质疑。 </w:t>
      </w:r>
      <w:r/>
    </w:p>
    <w:p>
      <w:pPr>
        <w:ind w:firstLine="480"/>
        <w:spacing w:line="400" w:lineRule="exact"/>
        <w:rPr>
          <w:sz w:val="24"/>
          <w:szCs w:val="24"/>
        </w:rPr>
      </w:pPr>
      <w:r>
        <w:rPr>
          <w:rFonts w:hint="eastAsia"/>
          <w:sz w:val="24"/>
          <w:szCs w:val="24"/>
        </w:rPr>
        <w:t xml:space="preserve">14.2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 </w:t>
      </w:r>
      <w:r/>
    </w:p>
    <w:p>
      <w:pPr>
        <w:ind w:firstLine="480"/>
        <w:spacing w:line="400" w:lineRule="exact"/>
        <w:rPr>
          <w:sz w:val="24"/>
          <w:szCs w:val="24"/>
        </w:rPr>
      </w:pPr>
      <w:r>
        <w:rPr>
          <w:rFonts w:hint="eastAsia"/>
          <w:sz w:val="24"/>
          <w:szCs w:val="24"/>
        </w:rPr>
        <w:t xml:space="preserve">14.3 提出质疑的供应商应当是参与所质疑项目采购活动的供应商。潜在供应商已依法获取其可质疑的采购文件的，可以对该文件提出质疑。 </w:t>
      </w:r>
      <w:r/>
    </w:p>
    <w:p>
      <w:pPr>
        <w:ind w:firstLine="480"/>
        <w:spacing w:line="400" w:lineRule="exact"/>
        <w:rPr>
          <w:sz w:val="24"/>
          <w:szCs w:val="24"/>
        </w:rPr>
      </w:pPr>
      <w:r>
        <w:rPr>
          <w:rFonts w:hint="eastAsia"/>
          <w:sz w:val="24"/>
          <w:szCs w:val="24"/>
        </w:rPr>
        <w:t xml:space="preserve">14.4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CA电子公章。代理人提出质疑和投诉，应当提交供应商签署的授权委托书。 </w:t>
      </w:r>
      <w:r/>
    </w:p>
    <w:p>
      <w:pPr>
        <w:ind w:firstLine="480"/>
        <w:spacing w:line="400" w:lineRule="exact"/>
        <w:rPr>
          <w:sz w:val="24"/>
          <w:szCs w:val="24"/>
        </w:rPr>
      </w:pPr>
      <w:r>
        <w:rPr>
          <w:rFonts w:hint="eastAsia"/>
          <w:sz w:val="24"/>
          <w:szCs w:val="24"/>
        </w:rPr>
        <w:t xml:space="preserve">14.5 以联合体形式参加政府采购活动的，其投诉应当由组成联合体的所有供应商共同提出。 </w:t>
      </w:r>
      <w:r/>
    </w:p>
    <w:p>
      <w:pPr>
        <w:ind w:firstLine="480"/>
        <w:spacing w:line="400" w:lineRule="exact"/>
        <w:rPr>
          <w:sz w:val="24"/>
          <w:szCs w:val="24"/>
        </w:rPr>
      </w:pPr>
      <w:r>
        <w:rPr>
          <w:rFonts w:hint="eastAsia"/>
          <w:sz w:val="24"/>
          <w:szCs w:val="24"/>
        </w:rPr>
        <w:t xml:space="preserve">14.6 供应商质疑应当有明确的请求和必要的证明材料。供应商必须在法定质疑期内一次性提出针对同一采购程序环节的质疑。 </w:t>
      </w:r>
      <w:r/>
    </w:p>
    <w:p>
      <w:pPr>
        <w:ind w:firstLine="480"/>
        <w:spacing w:line="400" w:lineRule="exact"/>
        <w:rPr>
          <w:sz w:val="24"/>
          <w:szCs w:val="24"/>
        </w:rPr>
      </w:pPr>
      <w:r>
        <w:rPr>
          <w:rFonts w:hint="eastAsia"/>
          <w:sz w:val="24"/>
          <w:szCs w:val="24"/>
        </w:rPr>
        <w:t xml:space="preserve">14.7 质疑函的主要内容须按照财政部制定的质疑函范本（财政部指定中国政府采购网发布）填写；供应商为自然人的，应当由本人签字；供应商为法人或者其他组织的，应当由 法定代表人、主要负责人，或者其授权代表签字或者盖章，并加盖CA电子公章。 </w:t>
      </w:r>
      <w:r/>
    </w:p>
    <w:p>
      <w:pPr>
        <w:ind w:firstLine="480"/>
        <w:spacing w:line="400" w:lineRule="exact"/>
        <w:rPr>
          <w:sz w:val="24"/>
          <w:szCs w:val="24"/>
        </w:rPr>
      </w:pPr>
      <w:r>
        <w:rPr>
          <w:rFonts w:hint="eastAsia"/>
          <w:sz w:val="24"/>
          <w:szCs w:val="24"/>
        </w:rPr>
        <w:t xml:space="preserve">14.8 质疑函应当使用中文。相关当事人提供外文书证或者外国语视听资料的，应当附有中文译本，由翻译机构盖章或者翻译人员签名。 </w:t>
      </w:r>
      <w:r/>
    </w:p>
    <w:p>
      <w:pPr>
        <w:ind w:firstLine="480"/>
        <w:spacing w:line="400" w:lineRule="exact"/>
        <w:rPr>
          <w:sz w:val="24"/>
          <w:szCs w:val="24"/>
        </w:rPr>
      </w:pPr>
      <w:r>
        <w:rPr>
          <w:rFonts w:hint="eastAsia"/>
          <w:sz w:val="24"/>
          <w:szCs w:val="24"/>
        </w:rPr>
        <w:t xml:space="preserve">14.9 质疑函应当现场书面提交至采购代理机构联系人（详见竞争性谈判公告）处，提交时应出示有效身份证明。 </w:t>
      </w:r>
      <w:r/>
    </w:p>
    <w:p>
      <w:pPr>
        <w:ind w:firstLine="480"/>
        <w:spacing w:line="400" w:lineRule="exact"/>
        <w:rPr>
          <w:sz w:val="24"/>
          <w:szCs w:val="24"/>
        </w:rPr>
      </w:pPr>
      <w:r>
        <w:rPr>
          <w:rFonts w:hint="eastAsia"/>
          <w:sz w:val="24"/>
          <w:szCs w:val="24"/>
        </w:rPr>
        <w:t xml:space="preserve">15、投诉 </w:t>
      </w:r>
      <w:r/>
    </w:p>
    <w:p>
      <w:pPr>
        <w:ind w:firstLine="480"/>
        <w:spacing w:line="400" w:lineRule="exact"/>
        <w:rPr>
          <w:sz w:val="24"/>
          <w:szCs w:val="24"/>
        </w:rPr>
      </w:pPr>
      <w:r>
        <w:rPr>
          <w:rFonts w:hint="eastAsia"/>
          <w:sz w:val="24"/>
          <w:szCs w:val="24"/>
        </w:rPr>
        <w:t xml:space="preserve">15.1 供应商对采购代理机构的答复不满意或者采购代理机构未在规定的时间内作出答复的，可以在答复期满后十五个工作日内向同级政府采购监督管理部门投诉。 </w:t>
      </w:r>
      <w:r/>
    </w:p>
    <w:p>
      <w:pPr>
        <w:ind w:firstLine="480"/>
        <w:spacing w:line="400" w:lineRule="exact"/>
        <w:rPr>
          <w:sz w:val="24"/>
          <w:szCs w:val="24"/>
        </w:rPr>
      </w:pPr>
      <w:r>
        <w:rPr>
          <w:rFonts w:hint="eastAsia"/>
          <w:sz w:val="24"/>
          <w:szCs w:val="24"/>
        </w:rPr>
        <w:t xml:space="preserve">15.2 供应商投诉应当有明确的请求和必要的证明材料。供应商投诉的事项不得超出已质疑事项的范围。 </w:t>
      </w:r>
      <w:r/>
    </w:p>
    <w:p>
      <w:pPr>
        <w:ind w:firstLine="480"/>
        <w:spacing w:line="400" w:lineRule="exact"/>
        <w:rPr>
          <w:sz w:val="24"/>
          <w:szCs w:val="24"/>
        </w:rPr>
      </w:pPr>
      <w:r>
        <w:rPr>
          <w:rFonts w:hint="eastAsia"/>
          <w:sz w:val="24"/>
          <w:szCs w:val="24"/>
        </w:rPr>
        <w:t xml:space="preserve">15.3 投诉人对政府采购监督管理部门的投诉处理决定不服或者政府采购监督管理部门逾期未作处理的，可以依法申请行政复议或者向人民法院提起行政诉讼。 </w:t>
      </w:r>
      <w:r/>
    </w:p>
    <w:p>
      <w:pPr>
        <w:ind w:firstLine="480"/>
        <w:spacing w:line="400" w:lineRule="exact"/>
        <w:rPr>
          <w:sz w:val="24"/>
          <w:szCs w:val="24"/>
        </w:rPr>
      </w:pPr>
      <w:r>
        <w:rPr>
          <w:rFonts w:hint="eastAsia"/>
          <w:sz w:val="24"/>
          <w:szCs w:val="24"/>
        </w:rPr>
        <w:t xml:space="preserve">15.4 投诉人在全国范围12个月内三次以上投诉查无实据的，由财政部门列入不良行为记录名单。 </w:t>
      </w:r>
      <w:r/>
    </w:p>
    <w:p>
      <w:pPr>
        <w:ind w:firstLine="480"/>
        <w:spacing w:line="400" w:lineRule="exact"/>
        <w:rPr>
          <w:sz w:val="24"/>
          <w:szCs w:val="24"/>
        </w:rPr>
      </w:pPr>
      <w:r>
        <w:rPr>
          <w:rFonts w:hint="eastAsia"/>
          <w:sz w:val="24"/>
          <w:szCs w:val="24"/>
        </w:rPr>
        <w:t xml:space="preserve">15.5 投诉人有下列行为之一的，属于虚假、恶意投诉，由财政部门列入不良行为记录名单，禁止其1至3年内参加政府采购活动： </w:t>
      </w:r>
      <w:r/>
    </w:p>
    <w:p>
      <w:pPr>
        <w:ind w:firstLine="480"/>
        <w:spacing w:line="400" w:lineRule="exact"/>
        <w:rPr>
          <w:sz w:val="24"/>
          <w:szCs w:val="24"/>
        </w:rPr>
      </w:pPr>
      <w:r>
        <w:rPr>
          <w:rFonts w:hint="eastAsia"/>
          <w:sz w:val="24"/>
          <w:szCs w:val="24"/>
        </w:rPr>
        <w:t xml:space="preserve">（1）捏造事实； </w:t>
      </w:r>
      <w:r/>
    </w:p>
    <w:p>
      <w:pPr>
        <w:ind w:firstLine="480"/>
        <w:spacing w:line="400" w:lineRule="exact"/>
        <w:rPr>
          <w:sz w:val="24"/>
          <w:szCs w:val="24"/>
        </w:rPr>
      </w:pPr>
      <w:r>
        <w:rPr>
          <w:rFonts w:hint="eastAsia"/>
          <w:sz w:val="24"/>
          <w:szCs w:val="24"/>
        </w:rPr>
        <w:t xml:space="preserve">（2）提供虚假材料； </w:t>
      </w:r>
      <w:r/>
    </w:p>
    <w:p>
      <w:pPr>
        <w:ind w:firstLine="480"/>
        <w:spacing w:line="400" w:lineRule="exact"/>
        <w:rPr>
          <w:sz w:val="24"/>
          <w:szCs w:val="24"/>
        </w:rPr>
      </w:pPr>
      <w:r>
        <w:rPr>
          <w:rFonts w:hint="eastAsia"/>
          <w:sz w:val="24"/>
          <w:szCs w:val="24"/>
        </w:rPr>
        <w:t xml:space="preserve">（3）以非法手段取得证明材料。证据来源的合法性存在明显疑问，投诉人无法证明其取得方式合法的，视为以非法手段取得证明材料。</w:t>
      </w:r>
      <w:bookmarkEnd w:id="69"/>
      <w:r/>
      <w:r/>
    </w:p>
    <w:p>
      <w:pPr>
        <w:ind w:firstLine="480"/>
        <w:spacing w:line="400" w:lineRule="exact"/>
        <w:rPr>
          <w:sz w:val="24"/>
          <w:szCs w:val="24"/>
        </w:rPr>
      </w:pPr>
      <w:r>
        <w:rPr>
          <w:rFonts w:hint="eastAsia"/>
          <w:sz w:val="24"/>
          <w:szCs w:val="24"/>
        </w:rPr>
        <w:t xml:space="preserve">六、诚实信用 </w:t>
      </w:r>
      <w:r/>
    </w:p>
    <w:p>
      <w:pPr>
        <w:ind w:firstLine="480"/>
        <w:spacing w:line="400" w:lineRule="exact"/>
        <w:rPr>
          <w:sz w:val="24"/>
          <w:szCs w:val="24"/>
        </w:rPr>
      </w:pPr>
      <w:r>
        <w:rPr>
          <w:rFonts w:hint="eastAsia"/>
          <w:sz w:val="24"/>
          <w:szCs w:val="24"/>
        </w:rPr>
        <w:t xml:space="preserve">16.1 供应商之间不得相互串通报价，不得妨碍其他供应商的公平竞争，不得损害采购人和其他供应商的合法权益。 </w:t>
      </w:r>
      <w:r/>
    </w:p>
    <w:p>
      <w:pPr>
        <w:ind w:firstLine="480"/>
        <w:spacing w:line="400" w:lineRule="exact"/>
        <w:rPr>
          <w:sz w:val="24"/>
          <w:szCs w:val="24"/>
        </w:rPr>
      </w:pPr>
      <w:r>
        <w:rPr>
          <w:rFonts w:hint="eastAsia"/>
          <w:sz w:val="24"/>
          <w:szCs w:val="24"/>
        </w:rPr>
        <w:t xml:space="preserve">16.2 供应商不得以向采购代理机构工作人员、谈判委员会成员行贿或者采取其他不正当手段谋取成交。 </w:t>
      </w:r>
      <w:r/>
    </w:p>
    <w:p>
      <w:pPr>
        <w:ind w:firstLine="480"/>
        <w:spacing w:line="400" w:lineRule="exact"/>
        <w:rPr>
          <w:sz w:val="24"/>
          <w:szCs w:val="24"/>
        </w:rPr>
      </w:pPr>
      <w:r>
        <w:rPr>
          <w:rFonts w:hint="eastAsia"/>
          <w:sz w:val="24"/>
          <w:szCs w:val="24"/>
        </w:rPr>
        <w:t xml:space="preserve">16.3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 </w:t>
      </w:r>
      <w:r/>
    </w:p>
    <w:p>
      <w:pPr>
        <w:ind w:firstLine="480"/>
        <w:spacing w:line="400" w:lineRule="exact"/>
        <w:rPr>
          <w:sz w:val="24"/>
          <w:szCs w:val="24"/>
        </w:rPr>
      </w:pPr>
      <w:r>
        <w:rPr>
          <w:rFonts w:hint="eastAsia"/>
          <w:sz w:val="24"/>
          <w:szCs w:val="24"/>
        </w:rPr>
        <w:t xml:space="preserve">16.4 供应商不得虚假承诺，否则，按照提供虚假材料谋取成交处理。 </w:t>
      </w:r>
      <w:r/>
    </w:p>
    <w:p>
      <w:pPr>
        <w:ind w:firstLine="480"/>
        <w:spacing w:line="400" w:lineRule="exact"/>
        <w:rPr>
          <w:sz w:val="24"/>
          <w:szCs w:val="24"/>
        </w:rPr>
      </w:pPr>
      <w:r>
        <w:rPr>
          <w:rFonts w:hint="eastAsia"/>
          <w:sz w:val="24"/>
          <w:szCs w:val="24"/>
        </w:rPr>
        <w:t xml:space="preserve">七、谈判费用 </w:t>
      </w:r>
      <w:r/>
    </w:p>
    <w:p>
      <w:pPr>
        <w:ind w:firstLine="480"/>
        <w:spacing w:line="400" w:lineRule="exact"/>
        <w:rPr>
          <w:sz w:val="24"/>
          <w:szCs w:val="24"/>
        </w:rPr>
      </w:pPr>
      <w:r>
        <w:rPr>
          <w:rFonts w:hint="eastAsia"/>
          <w:sz w:val="24"/>
          <w:szCs w:val="24"/>
        </w:rPr>
        <w:t xml:space="preserve">17.1 供应商应承担所有与准备和参加谈判有关的费用，无论采购结果如何，采购代理机构和采购人在任何情况下均无义务和责任承担这些费用。 </w:t>
      </w:r>
      <w:r/>
    </w:p>
    <w:p>
      <w:pPr>
        <w:ind w:firstLine="480"/>
        <w:spacing w:line="400" w:lineRule="exact"/>
        <w:rPr>
          <w:sz w:val="24"/>
          <w:szCs w:val="24"/>
        </w:rPr>
      </w:pPr>
      <w:r>
        <w:rPr>
          <w:rFonts w:hint="eastAsia"/>
          <w:sz w:val="24"/>
          <w:szCs w:val="24"/>
        </w:rPr>
        <w:t xml:space="preserve">17.2 本次采购，代理服务费由成交供应商支付，按照国家发展和改革委员会下发的《关于降低部分建设项目收费标准规范收费行为等有关问题的通知》（发改价格[2011]534号）所列招标代理服务费收费标准的50%（优惠率）收取：</w:t>
      </w:r>
      <w:r/>
    </w:p>
    <w:tbl>
      <w:tblPr>
        <w:tblStyle w:val="10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96"/>
        <w:gridCol w:w="1806"/>
        <w:gridCol w:w="1711"/>
        <w:gridCol w:w="1766"/>
      </w:tblGrid>
      <w:tr>
        <w:trPr>
          <w:jc w:val="center"/>
        </w:trPr>
        <w:tc>
          <w:tcPr>
            <w:tcW w:w="2213"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中标金额(万元)</w:t>
            </w:r>
            <w:r/>
          </w:p>
        </w:tc>
        <w:tc>
          <w:tcPr>
            <w:tcW w:w="95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货物</w:t>
            </w:r>
            <w:r/>
          </w:p>
        </w:tc>
        <w:tc>
          <w:tcPr>
            <w:tcW w:w="90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服务</w:t>
            </w:r>
            <w:r/>
          </w:p>
        </w:tc>
        <w:tc>
          <w:tcPr>
            <w:tcW w:w="931"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工程</w:t>
            </w:r>
            <w:r/>
          </w:p>
        </w:tc>
      </w:tr>
      <w:tr>
        <w:trPr>
          <w:jc w:val="center"/>
        </w:trPr>
        <w:tc>
          <w:tcPr>
            <w:tcW w:w="2213"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100以下(含100)</w:t>
            </w:r>
            <w:r/>
          </w:p>
        </w:tc>
        <w:tc>
          <w:tcPr>
            <w:tcW w:w="95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1.50%</w:t>
            </w:r>
            <w:r/>
          </w:p>
        </w:tc>
        <w:tc>
          <w:tcPr>
            <w:tcW w:w="90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1.50%</w:t>
            </w:r>
            <w:r/>
          </w:p>
        </w:tc>
        <w:tc>
          <w:tcPr>
            <w:tcW w:w="931"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Pr>
        <w:tc>
          <w:tcPr>
            <w:tcW w:w="2213"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100-500 (含500)</w:t>
            </w:r>
            <w:r/>
          </w:p>
        </w:tc>
        <w:tc>
          <w:tcPr>
            <w:tcW w:w="95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1.10%</w:t>
            </w:r>
            <w:r/>
          </w:p>
        </w:tc>
        <w:tc>
          <w:tcPr>
            <w:tcW w:w="90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0.80%</w:t>
            </w:r>
            <w:r/>
          </w:p>
        </w:tc>
        <w:tc>
          <w:tcPr>
            <w:tcW w:w="931"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0.70%</w:t>
            </w:r>
            <w:r/>
          </w:p>
        </w:tc>
      </w:tr>
      <w:tr>
        <w:trPr>
          <w:jc w:val="center"/>
        </w:trPr>
        <w:tc>
          <w:tcPr>
            <w:tcW w:w="2213"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500-1000 (含1000)</w:t>
            </w:r>
            <w:r/>
          </w:p>
        </w:tc>
        <w:tc>
          <w:tcPr>
            <w:tcW w:w="95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0.80%</w:t>
            </w:r>
            <w:r/>
          </w:p>
        </w:tc>
        <w:tc>
          <w:tcPr>
            <w:tcW w:w="90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0.45%</w:t>
            </w:r>
            <w:r/>
          </w:p>
        </w:tc>
        <w:tc>
          <w:tcPr>
            <w:tcW w:w="931"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0.55%</w:t>
            </w:r>
            <w:r/>
          </w:p>
        </w:tc>
      </w:tr>
      <w:tr>
        <w:trPr>
          <w:jc w:val="center"/>
        </w:trPr>
        <w:tc>
          <w:tcPr>
            <w:tcW w:w="2213"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1000-5000 (含5000)</w:t>
            </w:r>
            <w:r/>
          </w:p>
        </w:tc>
        <w:tc>
          <w:tcPr>
            <w:tcW w:w="95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0.50%</w:t>
            </w:r>
            <w:r/>
          </w:p>
        </w:tc>
        <w:tc>
          <w:tcPr>
            <w:tcW w:w="90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0.25%</w:t>
            </w:r>
            <w:r/>
          </w:p>
        </w:tc>
        <w:tc>
          <w:tcPr>
            <w:tcW w:w="931"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0.35%</w:t>
            </w:r>
            <w:r/>
          </w:p>
        </w:tc>
      </w:tr>
      <w:tr>
        <w:trPr>
          <w:jc w:val="center"/>
        </w:trPr>
        <w:tc>
          <w:tcPr>
            <w:tcW w:w="2213"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5000-10000 (含10000 )</w:t>
            </w:r>
            <w:r/>
          </w:p>
        </w:tc>
        <w:tc>
          <w:tcPr>
            <w:tcW w:w="95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0.25%</w:t>
            </w:r>
            <w:r/>
          </w:p>
        </w:tc>
        <w:tc>
          <w:tcPr>
            <w:tcW w:w="90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0.10%</w:t>
            </w:r>
            <w:r/>
          </w:p>
        </w:tc>
        <w:tc>
          <w:tcPr>
            <w:tcW w:w="931"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0.20%</w:t>
            </w:r>
            <w:r/>
          </w:p>
        </w:tc>
      </w:tr>
      <w:tr>
        <w:trPr>
          <w:jc w:val="center"/>
        </w:trPr>
        <w:tc>
          <w:tcPr>
            <w:tcW w:w="2213"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10000- 100000 (含100000)</w:t>
            </w:r>
            <w:r/>
          </w:p>
        </w:tc>
        <w:tc>
          <w:tcPr>
            <w:tcW w:w="95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0.05%</w:t>
            </w:r>
            <w:r/>
          </w:p>
        </w:tc>
        <w:tc>
          <w:tcPr>
            <w:tcW w:w="90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0.05%</w:t>
            </w:r>
            <w:r/>
          </w:p>
        </w:tc>
        <w:tc>
          <w:tcPr>
            <w:tcW w:w="931"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0.05%</w:t>
            </w:r>
            <w:r/>
          </w:p>
        </w:tc>
      </w:tr>
      <w:tr>
        <w:trPr>
          <w:jc w:val="center"/>
        </w:trPr>
        <w:tc>
          <w:tcPr>
            <w:tcW w:w="2213"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100000以上</w:t>
            </w:r>
            <w:r/>
          </w:p>
        </w:tc>
        <w:tc>
          <w:tcPr>
            <w:tcW w:w="95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0.01%</w:t>
            </w:r>
            <w:r/>
          </w:p>
        </w:tc>
        <w:tc>
          <w:tcPr>
            <w:tcW w:w="902"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0.01%</w:t>
            </w:r>
            <w:r/>
          </w:p>
        </w:tc>
        <w:tc>
          <w:tcPr>
            <w:tcW w:w="931" w:type="pct"/>
            <w:vAlign w:val="center"/>
            <w:textDirection w:val="lrTb"/>
            <w:noWrap w:val="false"/>
          </w:tcPr>
          <w:p>
            <w:pPr>
              <w:pStyle w:val="1043"/>
              <w:spacing w:line="400" w:lineRule="exact"/>
              <w:rPr>
                <w:rFonts w:hint="eastAsia" w:ascii="宋体" w:hAnsi="宋体" w:eastAsia="宋体" w:cs="宋体"/>
                <w:sz w:val="24"/>
                <w:szCs w:val="24"/>
              </w:rPr>
            </w:pPr>
            <w:r>
              <w:rPr>
                <w:rFonts w:hint="eastAsia" w:ascii="宋体" w:hAnsi="宋体" w:eastAsia="宋体" w:cs="宋体"/>
                <w:sz w:val="24"/>
                <w:szCs w:val="24"/>
              </w:rPr>
              <w:t xml:space="preserve">0.01%</w:t>
            </w:r>
            <w:r/>
          </w:p>
        </w:tc>
      </w:tr>
    </w:tbl>
    <w:p>
      <w:pPr>
        <w:spacing w:line="400" w:lineRule="exact"/>
        <w:rPr>
          <w:sz w:val="24"/>
          <w:szCs w:val="24"/>
        </w:rPr>
      </w:pPr>
      <w:r>
        <w:rPr>
          <w:sz w:val="24"/>
          <w:szCs w:val="24"/>
        </w:rPr>
      </w:r>
      <w:bookmarkEnd w:id="64"/>
      <w:r/>
      <w:bookmarkEnd w:id="65"/>
      <w:r/>
      <w:bookmarkEnd w:id="66"/>
      <w:r/>
      <w:bookmarkEnd w:id="67"/>
      <w:r/>
      <w:r/>
    </w:p>
    <w:p>
      <w:pPr>
        <w:pStyle w:val="1025"/>
        <w:spacing w:before="290" w:after="290" w:line="400" w:lineRule="exact"/>
        <w:rPr>
          <w:rFonts w:hint="eastAsia" w:ascii="宋体" w:hAnsi="宋体" w:eastAsia="宋体"/>
          <w:b/>
          <w:bCs/>
          <w:sz w:val="32"/>
          <w:szCs w:val="32"/>
        </w:rPr>
      </w:pPr>
      <w:r/>
      <w:bookmarkStart w:id="70" w:name="_Toc20823314"/>
      <w:r/>
      <w:bookmarkStart w:id="71" w:name="_Toc513029242"/>
      <w:r/>
      <w:bookmarkStart w:id="72" w:name="_Toc120614221"/>
      <w:r/>
      <w:bookmarkStart w:id="73" w:name="_Toc479757207"/>
      <w:r/>
      <w:bookmarkStart w:id="74" w:name="_Toc16938558"/>
      <w:r>
        <w:rPr>
          <w:rFonts w:ascii="宋体" w:hAnsi="宋体" w:eastAsia="宋体"/>
          <w:b/>
          <w:bCs/>
          <w:sz w:val="32"/>
          <w:szCs w:val="32"/>
        </w:rPr>
        <w:br w:type="page" w:clear="all"/>
      </w:r>
      <w:bookmarkStart w:id="75" w:name="_Toc24962236"/>
      <w:r>
        <w:rPr>
          <w:rFonts w:hint="eastAsia" w:ascii="宋体" w:hAnsi="宋体" w:eastAsia="宋体"/>
          <w:b/>
          <w:bCs/>
          <w:sz w:val="32"/>
          <w:szCs w:val="32"/>
        </w:rPr>
        <w:t xml:space="preserve">第三章 </w:t>
      </w:r>
      <w:bookmarkEnd w:id="70"/>
      <w:r/>
      <w:bookmarkEnd w:id="71"/>
      <w:r/>
      <w:bookmarkEnd w:id="72"/>
      <w:r/>
      <w:bookmarkEnd w:id="73"/>
      <w:r/>
      <w:bookmarkEnd w:id="74"/>
      <w:r/>
      <w:bookmarkStart w:id="76" w:name="_Toc20823315"/>
      <w:r/>
      <w:bookmarkStart w:id="77" w:name="_Toc16938559"/>
      <w:r/>
      <w:bookmarkStart w:id="78" w:name="_Toc513029243"/>
      <w:r>
        <w:rPr>
          <w:rFonts w:hint="eastAsia" w:ascii="宋体" w:hAnsi="宋体" w:eastAsia="宋体"/>
          <w:b/>
          <w:bCs/>
          <w:sz w:val="32"/>
          <w:szCs w:val="32"/>
        </w:rPr>
        <w:t xml:space="preserve">评标标准</w:t>
      </w:r>
      <w:bookmarkEnd w:id="75"/>
      <w:r/>
      <w:r/>
    </w:p>
    <w:p>
      <w:pPr>
        <w:ind w:firstLine="480"/>
        <w:spacing w:line="400" w:lineRule="exact"/>
        <w:rPr>
          <w:sz w:val="24"/>
          <w:szCs w:val="24"/>
        </w:rPr>
      </w:pPr>
      <w:r>
        <w:rPr>
          <w:rFonts w:hint="eastAsia"/>
          <w:sz w:val="24"/>
          <w:szCs w:val="24"/>
        </w:rPr>
        <w:t xml:space="preserve">采用价格优先法。即在最大限度地满足谈判文件实质性要求前提下，以报价最低的供应商作为成交候选供应商或者成交人的评分方法。</w:t>
      </w:r>
      <w:r/>
    </w:p>
    <w:p>
      <w:pPr>
        <w:ind w:firstLine="480"/>
        <w:spacing w:line="400" w:lineRule="exact"/>
        <w:rPr>
          <w:sz w:val="24"/>
          <w:szCs w:val="24"/>
        </w:rPr>
      </w:pPr>
      <w:r>
        <w:rPr>
          <w:rFonts w:hint="eastAsia"/>
          <w:sz w:val="24"/>
          <w:szCs w:val="24"/>
        </w:rPr>
        <w:t xml:space="preserve">按照价格由低到高顺序对供应商进行排列。报价相同的，按技术指标和服务标准优劣顺序排列。评标委员会将排名第一的供应商确定为成交供应商。</w:t>
      </w:r>
      <w:r/>
    </w:p>
    <w:p>
      <w:pPr>
        <w:ind w:firstLine="480"/>
        <w:spacing w:line="400" w:lineRule="exact"/>
        <w:rPr>
          <w:sz w:val="24"/>
          <w:szCs w:val="24"/>
        </w:rPr>
      </w:pPr>
      <w:r>
        <w:rPr>
          <w:rFonts w:hint="eastAsia"/>
          <w:sz w:val="24"/>
          <w:szCs w:val="24"/>
        </w:rPr>
        <w:t xml:space="preserve">所有认证、证明或业绩均以有效的证明文件的复印件为依据。</w:t>
      </w:r>
      <w:r/>
    </w:p>
    <w:p>
      <w:pPr>
        <w:ind w:firstLine="420"/>
        <w:spacing w:line="400" w:lineRule="exact"/>
      </w:pPr>
      <w:r>
        <w:rPr>
          <w:rFonts w:hint="eastAsia"/>
        </w:rPr>
        <w:t xml:space="preserve">说明：</w:t>
      </w:r>
      <w:r/>
    </w:p>
    <w:p>
      <w:pPr>
        <w:ind w:firstLine="420"/>
        <w:spacing w:line="400" w:lineRule="exact"/>
      </w:pPr>
      <w:r>
        <w:rPr>
          <w:rFonts w:hint="eastAsia"/>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ind w:firstLine="420"/>
        <w:spacing w:line="400" w:lineRule="exact"/>
      </w:pPr>
      <w:r>
        <w:rPr>
          <w:rFonts w:hint="eastAsia"/>
        </w:rPr>
        <w:t xml:space="preserve">2.小微企业的价格扣除</w:t>
      </w:r>
      <w:r/>
    </w:p>
    <w:p>
      <w:pPr>
        <w:ind w:firstLine="420"/>
        <w:spacing w:line="400" w:lineRule="exact"/>
      </w:pPr>
      <w:r>
        <w:rPr>
          <w:rFonts w:hint="eastAsia"/>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ind w:firstLine="420"/>
        <w:spacing w:line="400" w:lineRule="exact"/>
      </w:pPr>
      <w:r>
        <w:rPr>
          <w:rFonts w:hint="eastAsia"/>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ind w:firstLine="420"/>
        <w:spacing w:line="400" w:lineRule="exact"/>
      </w:pPr>
      <w:r>
        <w:rPr>
          <w:rFonts w:hint="eastAsia"/>
        </w:rPr>
        <w:t xml:space="preserve">3.监狱和戒毒企业的价格扣除</w:t>
      </w:r>
      <w:r/>
    </w:p>
    <w:p>
      <w:pPr>
        <w:ind w:firstLine="420"/>
        <w:spacing w:line="400" w:lineRule="exact"/>
      </w:pPr>
      <w:r>
        <w:rPr>
          <w:rFonts w:hint="eastAsia"/>
        </w:rPr>
        <w:t xml:space="preserve">3.1. 本项目对监狱和戒毒企业（简称监狱企业），给予等同于小微企业的价格扣除，用扣除后的价格参与评审。</w:t>
      </w:r>
      <w:r/>
    </w:p>
    <w:p>
      <w:pPr>
        <w:ind w:firstLine="420"/>
        <w:spacing w:line="400" w:lineRule="exact"/>
      </w:pPr>
      <w:r>
        <w:rPr>
          <w:rFonts w:hint="eastAsia"/>
        </w:rPr>
        <w:t xml:space="preserve">3.2. 监狱企业需提供由省级以上监狱管理局、戒毒管理局（含新疆生产建设兵团）出具的属于监狱企业的证明文件。</w:t>
      </w:r>
      <w:r/>
    </w:p>
    <w:p>
      <w:pPr>
        <w:ind w:firstLine="420"/>
        <w:spacing w:line="400" w:lineRule="exact"/>
      </w:pPr>
      <w:r>
        <w:rPr>
          <w:rFonts w:hint="eastAsia"/>
        </w:rPr>
        <w:t xml:space="preserve">3.3. 监狱企业标准请参照《关于政府采购支持监狱企业发展有关问题的通知》（财库[2014]68号）。</w:t>
      </w:r>
      <w:r/>
    </w:p>
    <w:p>
      <w:pPr>
        <w:ind w:firstLine="420"/>
        <w:spacing w:line="400" w:lineRule="exact"/>
      </w:pPr>
      <w:r>
        <w:rPr>
          <w:rFonts w:hint="eastAsia"/>
        </w:rPr>
        <w:t xml:space="preserve">4.残疾人福利性单位的价格扣除</w:t>
      </w:r>
      <w:r/>
    </w:p>
    <w:p>
      <w:pPr>
        <w:ind w:firstLine="420"/>
        <w:spacing w:line="400" w:lineRule="exact"/>
      </w:pPr>
      <w:r>
        <w:rPr>
          <w:rFonts w:hint="eastAsia"/>
        </w:rPr>
        <w:t xml:space="preserve">4.1. 本项目对残疾人福利性单位，给予等同于小微企业的价格扣除，用扣除后的价格参与评审。</w:t>
      </w:r>
      <w:r/>
    </w:p>
    <w:p>
      <w:pPr>
        <w:ind w:firstLine="420"/>
        <w:spacing w:line="400" w:lineRule="exact"/>
      </w:pPr>
      <w:r>
        <w:rPr>
          <w:rFonts w:hint="eastAsia"/>
        </w:rPr>
        <w:t xml:space="preserve">4.2. 残疾人福利单位需按照招标文件的要求提供《残疾人福利性单位声明函》。</w:t>
      </w:r>
      <w:r/>
    </w:p>
    <w:p>
      <w:pPr>
        <w:ind w:firstLine="420"/>
        <w:spacing w:line="400" w:lineRule="exact"/>
      </w:pPr>
      <w:r>
        <w:rPr>
          <w:rFonts w:hint="eastAsia"/>
        </w:rPr>
        <w:t xml:space="preserve">4.3. 残疾人福利单位标准请参照《关于促进残疾人就业政府采购政策的通知》（财库〔2017〕141号）。</w:t>
      </w:r>
      <w:r/>
    </w:p>
    <w:p>
      <w:pPr>
        <w:ind w:firstLine="420"/>
        <w:spacing w:line="400" w:lineRule="exact"/>
      </w:pPr>
      <w:r>
        <w:rPr>
          <w:rFonts w:hint="eastAsia"/>
        </w:rPr>
        <w:t xml:space="preserve">5.监狱企业、残疾人福利单位属于小型、微型企业的，不重复享受政策。</w:t>
      </w:r>
      <w:r/>
    </w:p>
    <w:p>
      <w:pPr>
        <w:ind w:firstLine="420"/>
        <w:spacing w:line="400" w:lineRule="exact"/>
      </w:pPr>
      <w:r>
        <w:rPr>
          <w:rFonts w:hint="eastAsia"/>
        </w:rPr>
        <w:t xml:space="preserve">6.采购本国产品的支持政策</w:t>
      </w:r>
      <w:r/>
    </w:p>
    <w:p>
      <w:pPr>
        <w:ind w:firstLine="420"/>
        <w:spacing w:line="400" w:lineRule="exact"/>
      </w:pPr>
      <w:r>
        <w:rPr>
          <w:rFonts w:hint="eastAsia"/>
        </w:rPr>
        <w:t xml:space="preserve">6.1 本项目政府采购活动中既有本国产品又有非本国产品参与竞争的，依法对本国产品给予价格评审优惠，对本国产品的报价给予  20%的价格扣除，用扣除后的价格参与评审。</w:t>
      </w:r>
      <w:r/>
    </w:p>
    <w:p>
      <w:pPr>
        <w:ind w:firstLine="420"/>
        <w:spacing w:line="400" w:lineRule="exact"/>
      </w:pPr>
      <w:r>
        <w:rPr>
          <w:rFonts w:hint="eastAsia"/>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pPr>
      <w:r>
        <w:rPr>
          <w:rFonts w:hint="eastAsia"/>
        </w:rPr>
        <w:t xml:space="preserve">6.3 供应商需按照招标文件的要求提供《关于符合本国产品标准的声明函》（以下简称《声明函》），如不提供将不享受本国产品价格评审优惠。</w:t>
      </w:r>
      <w:r/>
    </w:p>
    <w:p>
      <w:pPr>
        <w:ind w:firstLine="420"/>
        <w:spacing w:line="400" w:lineRule="exact"/>
      </w:pPr>
      <w:r>
        <w:rPr>
          <w:rFonts w:hint="eastAsia"/>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pPr>
      <w:r>
        <w:rPr>
          <w:rFonts w:hint="eastAsia"/>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76"/>
      <w:r/>
      <w:bookmarkEnd w:id="77"/>
      <w:r/>
      <w:bookmarkEnd w:id="78"/>
      <w:r/>
      <w:r/>
    </w:p>
    <w:p>
      <w:pPr>
        <w:pStyle w:val="1025"/>
        <w:numPr>
          <w:ilvl w:val="0"/>
          <w:numId w:val="10"/>
        </w:numPr>
        <w:spacing w:before="290" w:after="290" w:line="400" w:lineRule="exact"/>
        <w:rPr>
          <w:rFonts w:hint="eastAsia" w:ascii="微软雅黑" w:hAnsi="微软雅黑" w:eastAsia="微软雅黑"/>
          <w:b/>
          <w:sz w:val="32"/>
          <w:szCs w:val="32"/>
        </w:rPr>
      </w:pPr>
      <w:r/>
      <w:bookmarkStart w:id="79" w:name="_Toc462564139"/>
      <w:r/>
      <w:bookmarkStart w:id="80" w:name="_Toc20823346"/>
      <w:r/>
      <w:bookmarkStart w:id="81" w:name="_Toc479757211"/>
      <w:r/>
      <w:bookmarkStart w:id="82" w:name="_Hlt16619350"/>
      <w:r/>
      <w:bookmarkStart w:id="83" w:name="_Toc16938590"/>
      <w:r/>
      <w:bookmarkStart w:id="84" w:name="_Toc120614244"/>
      <w:r>
        <w:rPr>
          <w:rFonts w:ascii="宋体" w:hAnsi="宋体" w:eastAsia="宋体"/>
          <w:b/>
          <w:bCs/>
          <w:sz w:val="32"/>
          <w:szCs w:val="32"/>
        </w:rPr>
        <w:br w:type="page" w:clear="all"/>
      </w:r>
      <w:bookmarkStart w:id="85" w:name="_Toc24962237"/>
      <w:r>
        <w:rPr>
          <w:rFonts w:hint="eastAsia" w:ascii="微软雅黑" w:hAnsi="微软雅黑" w:eastAsia="微软雅黑"/>
          <w:b/>
          <w:sz w:val="32"/>
          <w:szCs w:val="32"/>
        </w:rPr>
        <w:t xml:space="preserve">技术规范</w:t>
      </w:r>
      <w:bookmarkEnd w:id="85"/>
      <w:r>
        <w:rPr>
          <w:rFonts w:hint="eastAsia" w:ascii="微软雅黑" w:hAnsi="微软雅黑" w:eastAsia="微软雅黑"/>
          <w:b/>
          <w:sz w:val="32"/>
          <w:szCs w:val="32"/>
        </w:rPr>
        <w:t xml:space="preserve">（★）</w:t>
      </w:r>
      <w:r/>
    </w:p>
    <w:p>
      <w:pPr>
        <w:numPr>
          <w:ilvl w:val="0"/>
          <w:numId w:val="11"/>
        </w:numPr>
        <w:ind w:left="0" w:firstLine="562"/>
        <w:spacing w:line="360" w:lineRule="exact"/>
        <w:widowControl/>
        <w:rPr>
          <w:rFonts w:hint="eastAsia" w:ascii="宋体" w:hAnsi="宋体" w:cs="宋体"/>
          <w:bCs/>
          <w:sz w:val="24"/>
          <w:szCs w:val="24"/>
        </w:rPr>
      </w:pPr>
      <w:r/>
      <w:bookmarkStart w:id="86" w:name="_Toc24962238"/>
      <w:r>
        <w:rPr>
          <w:rFonts w:hint="eastAsia" w:ascii="宋体" w:hAnsi="宋体" w:cs="宋体"/>
          <w:b/>
          <w:sz w:val="28"/>
          <w:szCs w:val="28"/>
        </w:rPr>
        <w:t xml:space="preserve">规格参数要求</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本项目需求所提技术要求为最低限度的技术要求，配置要求为参考配置，供应商可对系统方案进行优化。以下所有技术要求指标均为核心指标项，必须满足，有一条不满足视为无效投标。</w:t>
      </w:r>
      <w:r>
        <w:rPr>
          <w:rFonts w:hint="eastAsia" w:ascii="宋体" w:hAnsi="宋体" w:cs="宋体"/>
          <w:b/>
          <w:bCs w:val="0"/>
          <w:sz w:val="24"/>
          <w:szCs w:val="24"/>
          <w:highlight w:val="none"/>
        </w:rPr>
        <w:t xml:space="preserve">供应商投标阶段须提供对本章所有内容的响应承诺函并加盖</w:t>
      </w:r>
      <w:r>
        <w:rPr>
          <w:rFonts w:hint="eastAsia" w:ascii="宋体" w:hAnsi="宋体" w:cs="宋体"/>
          <w:b/>
          <w:bCs w:val="0"/>
          <w:sz w:val="24"/>
          <w:szCs w:val="24"/>
          <w:highlight w:val="none"/>
          <w:lang w:val="en-US" w:eastAsia="zh-CN"/>
        </w:rPr>
        <w:t xml:space="preserve">CA</w:t>
      </w:r>
      <w:r>
        <w:rPr>
          <w:rFonts w:hint="eastAsia" w:ascii="宋体" w:hAnsi="宋体" w:cs="宋体"/>
          <w:b/>
          <w:bCs w:val="0"/>
          <w:sz w:val="24"/>
          <w:szCs w:val="24"/>
          <w:highlight w:val="none"/>
        </w:rPr>
        <w:t xml:space="preserve">公章。</w:t>
      </w:r>
      <w:r>
        <w:rPr>
          <w:rFonts w:hint="eastAsia" w:ascii="宋体" w:hAnsi="宋体" w:cs="宋体"/>
          <w:bCs/>
          <w:sz w:val="24"/>
          <w:szCs w:val="24"/>
          <w:highlight w:val="none"/>
        </w:rPr>
        <w:t xml:space="preserve">在文件中有特殊要求提供的证明文件、技术方案等需单独提供。</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如有“不满足”、“优于”或“部分满足（偏离）”，请填写在技术参数响应及偏离表。如供应商提交的“技术参数响应及偏离表”未填写实质性内容，则视为已接受此章的所有要求。</w:t>
      </w:r>
      <w:r/>
    </w:p>
    <w:p>
      <w:pPr>
        <w:numPr>
          <w:ilvl w:val="0"/>
          <w:numId w:val="12"/>
        </w:numPr>
        <w:ind w:left="0" w:firstLine="425"/>
        <w:spacing w:line="360" w:lineRule="auto"/>
        <w:rPr>
          <w:rFonts w:hint="eastAsia" w:ascii="宋体" w:hAnsi="宋体" w:cs="宋体"/>
          <w:bCs/>
          <w:sz w:val="24"/>
          <w:szCs w:val="24"/>
        </w:rPr>
      </w:pPr>
      <w:r>
        <w:rPr>
          <w:rFonts w:hint="eastAsia" w:ascii="宋体" w:hAnsi="宋体" w:cs="宋体"/>
          <w:bCs/>
          <w:sz w:val="24"/>
          <w:szCs w:val="24"/>
        </w:rPr>
        <w:t xml:space="preserve">无人机巡检系统技术要求</w:t>
      </w:r>
      <w:r/>
    </w:p>
    <w:p>
      <w:pPr>
        <w:pStyle w:val="1309"/>
        <w:numPr>
          <w:ilvl w:val="1"/>
          <w:numId w:val="13"/>
        </w:numPr>
        <w:ind w:left="0" w:firstLine="567"/>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项目整体要求</w:t>
      </w:r>
      <w:r/>
    </w:p>
    <w:p>
      <w:pPr>
        <w:pStyle w:val="1309"/>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1.1.1针对大范围、长距离、复杂环境的自动化热管网巡检需求，面向30公里以上级供热管线巡检等典型场景，提供具备多机协作、自动巡测、远距离/大范围作业的无人机平台及地面指控系统，突破无人机多传感器融合定位、复杂环境自主飞行避障等技术，最终实现项目地点厂外设备设施巡检云边端协同AI智能推理。</w:t>
      </w:r>
      <w:r/>
    </w:p>
    <w:p>
      <w:pPr>
        <w:pStyle w:val="1309"/>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过上述技术落地实施，实现项目厂外热网管道，包括洋河片区、经开区片区、经开区南片区、运河港区等四个片区热网管道的巡检，构建与6G智能无蜂窝无人机巡检通信网络配合的切片网络，进行远距离大范围自主侦查和巡检应用示范，大幅提升在大范围、长距离、复杂环境下无人机热管网巡检的作业精度、效率和安全性、可靠性。</w:t>
      </w:r>
      <w:r/>
    </w:p>
    <w:p>
      <w:pPr>
        <w:ind w:firstLine="480"/>
        <w:spacing w:line="360" w:lineRule="exact"/>
        <w:rPr>
          <w:rFonts w:hint="eastAsia" w:ascii="宋体" w:hAnsi="宋体" w:cs="宋体"/>
          <w:bCs/>
          <w:sz w:val="24"/>
          <w:szCs w:val="24"/>
          <w:lang w:bidi="ar"/>
        </w:rPr>
      </w:pPr>
      <w:r>
        <w:rPr>
          <w:rFonts w:hint="eastAsia" w:ascii="宋体" w:hAnsi="宋体" w:cs="宋体"/>
          <w:bCs/>
          <w:sz w:val="24"/>
          <w:szCs w:val="24"/>
          <w:lang w:bidi="ar"/>
        </w:rPr>
        <w:t xml:space="preserve">1.1.2供应商提供的设备参数需满足以下本技术规范“1.1项目整体要求 1.2技术要求”中对项目整体功能和巡检路线的需求，并确保后期项目整体验收。</w:t>
      </w:r>
      <w:r/>
    </w:p>
    <w:p>
      <w:pPr>
        <w:ind w:firstLine="480"/>
        <w:spacing w:line="360" w:lineRule="exact"/>
        <w:rPr>
          <w:rFonts w:hint="eastAsia" w:ascii="宋体" w:hAnsi="宋体" w:cs="宋体"/>
          <w:bCs/>
          <w:sz w:val="24"/>
          <w:szCs w:val="24"/>
          <w:lang w:bidi="ar"/>
        </w:rPr>
      </w:pPr>
      <w:r>
        <w:rPr>
          <w:rFonts w:hint="eastAsia" w:ascii="宋体" w:hAnsi="宋体" w:cs="宋体"/>
          <w:bCs/>
          <w:sz w:val="24"/>
          <w:szCs w:val="24"/>
          <w:lang w:bidi="ar"/>
        </w:rPr>
        <w:t xml:space="preserve">1.1.3项目验收前无人机巡检系统应取得的相关证明材料：</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无人机飞行许可证：满足操作无人机巡检热网管道要求；</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无人机飞手证：满足操作无人机巡检热网管道要求。 </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无人机CNAS检验报告：满足无人机巡检热网管道要求；</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GNSS芯片单北斗检测报告：本项目所使用卫星定位、导航、授时设备仅用北斗信号，不允许存在单GPS、多模GNSS和经过软件升级的多模设备；要求提供设备整机及设备集成的GNSS芯片单北斗检测报告，报告与产品型号应严格对应，不接受一份整机报告对应多种型号的检测报告； </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无人机空域管理证明材料：满足无人机巡检热网管道要求；</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其它证明材料：包括不限于无人机等软硬件设备技术功能证明文件。</w:t>
      </w:r>
      <w:r/>
    </w:p>
    <w:p>
      <w:pPr>
        <w:pStyle w:val="1309"/>
        <w:numPr>
          <w:ilvl w:val="1"/>
          <w:numId w:val="13"/>
        </w:numPr>
        <w:ind w:left="0" w:firstLine="567"/>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技术要求</w:t>
      </w:r>
      <w:r/>
    </w:p>
    <w:p>
      <w:pPr>
        <w:ind w:firstLine="480"/>
        <w:spacing w:line="360" w:lineRule="exact"/>
        <w:rPr>
          <w:rFonts w:hint="eastAsia" w:ascii="宋体" w:hAnsi="宋体" w:cs="宋体"/>
          <w:bCs/>
          <w:sz w:val="24"/>
          <w:szCs w:val="24"/>
          <w:lang w:bidi="ar"/>
        </w:rPr>
      </w:pPr>
      <w:r>
        <w:rPr>
          <w:rFonts w:hint="eastAsia" w:ascii="宋体" w:hAnsi="宋体" w:cs="宋体"/>
          <w:bCs/>
          <w:sz w:val="24"/>
          <w:szCs w:val="24"/>
          <w:lang w:bidi="ar"/>
        </w:rPr>
        <w:t xml:space="preserve">1.2.1无人机巡检系统</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待巡检热网管线如图：</w:t>
      </w:r>
      <w:r/>
    </w:p>
    <w:p>
      <w:pPr>
        <w:pStyle w:val="1309"/>
        <w:ind w:firstLine="0"/>
        <w:jc w:val="center"/>
        <w:spacing w:line="360" w:lineRule="auto"/>
        <w:rPr>
          <w:rFonts w:hint="eastAsia" w:ascii="宋体" w:hAnsi="宋体" w:eastAsia="宋体" w:cs="宋体"/>
          <w:bCs/>
          <w:sz w:val="24"/>
          <w:szCs w:val="24"/>
          <w:lang w:eastAsia="zh-CN"/>
        </w:rPr>
      </w:pPr>
      <w:r>
        <w:rPr>
          <w:rFonts w:ascii="宋体" w:hAnsi="宋体" w:eastAsia="宋体" w:cs="宋体"/>
          <w:bCs/>
          <w:sz w:val="24"/>
          <w:szCs w:val="24"/>
          <w:lang w:eastAsia="zh-CN"/>
        </w:rPr>
        <mc:AlternateContent>
          <mc:Choice Requires="wpg">
            <w:drawing>
              <wp:inline xmlns:wp="http://schemas.openxmlformats.org/drawingml/2006/wordprocessingDrawing" distT="0" distB="0" distL="0" distR="0">
                <wp:extent cx="3743325" cy="4434840"/>
                <wp:effectExtent l="0" t="0" r="0" b="3810"/>
                <wp:docPr id="3" name="图片 21" descr="_cgi-bin_mmwebwx-bin_webwxgetmsgimg__&amp;MsgID=3181584448250205996&amp;skey=@crypt_3bc624a6_db2492c8a7c32d9564b8ba18d19426d7&amp;mmweb_appid=wx_webfilehel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_cgi-bin_mmwebwx-bin_webwxgetmsgimg__&amp;MsgID=3181584448250205996&amp;skey=@crypt_3bc624a6_db2492c8a7c32d9564b8ba18d19426d7&amp;mmweb_appid=wx_webfilehelper"/>
                        <pic:cNvPicPr>
                          <a:picLocks noChangeAspect="1"/>
                        </pic:cNvPicPr>
                        <pic:nvPr/>
                      </pic:nvPicPr>
                      <pic:blipFill>
                        <a:blip r:embed="rId20"/>
                        <a:srcRect l="4825" t="2976" r="7994" b="9851"/>
                        <a:stretch/>
                      </pic:blipFill>
                      <pic:spPr bwMode="auto">
                        <a:xfrm>
                          <a:off x="0" y="0"/>
                          <a:ext cx="3743325" cy="4434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94.8pt;height:349.2pt;mso-wrap-distance-left:0.0pt;mso-wrap-distance-top:0.0pt;mso-wrap-distance-right:0.0pt;mso-wrap-distance-bottom:0.0pt;" stroked="false">
                <v:path textboxrect="0,0,0,0"/>
                <v:imagedata r:id="rId20" o:title=""/>
              </v:shape>
            </w:pict>
          </mc:Fallback>
        </mc:AlternateContent>
      </w:r>
      <w:r/>
    </w:p>
    <w:p>
      <w:pPr>
        <w:ind w:firstLine="480"/>
        <w:jc w:val="center"/>
        <w:spacing w:line="360" w:lineRule="auto"/>
        <w:rPr>
          <w:rFonts w:hint="eastAsia" w:ascii="宋体" w:hAnsi="宋体" w:cs="宋体"/>
          <w:bCs/>
          <w:sz w:val="24"/>
          <w:szCs w:val="24"/>
        </w:rPr>
      </w:pPr>
      <w:r>
        <w:rPr>
          <w:rFonts w:hint="eastAsia" w:ascii="宋体" w:hAnsi="宋体" w:cs="宋体"/>
          <w:bCs/>
          <w:sz w:val="24"/>
          <w:szCs w:val="24"/>
        </w:rPr>
        <w:t xml:space="preserve">图1-1当前热网管线</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项目实施时投标方应进行现场工勘，并提供详细的工勘报告，根据现场情况及场景需求制定巡检方案，实现当前热网管线全域巡检。</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巡检方案应包括且不限于：</w:t>
      </w:r>
      <w:r/>
    </w:p>
    <w:p>
      <w:pPr>
        <w:ind w:left="800"/>
        <w:spacing w:line="360" w:lineRule="auto"/>
        <w:rPr>
          <w:rFonts w:hint="eastAsia" w:ascii="宋体" w:hAnsi="宋体" w:cs="宋体"/>
          <w:bCs/>
          <w:sz w:val="24"/>
          <w:szCs w:val="24"/>
        </w:rPr>
      </w:pPr>
      <w:r>
        <w:rPr>
          <w:rFonts w:hint="eastAsia" w:ascii="宋体" w:hAnsi="宋体" w:cs="宋体"/>
          <w:bCs/>
          <w:sz w:val="24"/>
          <w:szCs w:val="24"/>
        </w:rPr>
        <w:t xml:space="preserve">1.2.2巡检航线</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由于铁路部门相关政策，无人机不能穿越铁轨进行巡检，航线设计时需充分考虑铁路不允许穿越的限制条件，投标厂家进行合理的航线设计确保管线全域覆盖。</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为保障通信畅通，航线设计应充分考虑无蜂窝网络的覆盖情况，确保无人机巡检路线95%以上接入到无蜂窝网络，同时满足巡检需要。</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建议分区域划分巡检范围，厂区内配置垂起固定翼无人机进行远距离巡检，其他区域考虑多旋翼无人机进行巡检。</w:t>
      </w:r>
      <w:r/>
    </w:p>
    <w:p>
      <w:pPr>
        <w:ind w:left="800"/>
        <w:spacing w:line="360" w:lineRule="auto"/>
        <w:rPr>
          <w:rFonts w:hint="eastAsia" w:ascii="宋体" w:hAnsi="宋体" w:cs="宋体"/>
          <w:bCs/>
          <w:sz w:val="24"/>
          <w:szCs w:val="24"/>
        </w:rPr>
      </w:pPr>
      <w:r>
        <w:rPr>
          <w:rFonts w:hint="eastAsia" w:ascii="宋体" w:hAnsi="宋体" w:cs="宋体"/>
          <w:bCs/>
          <w:sz w:val="24"/>
          <w:szCs w:val="24"/>
        </w:rPr>
        <w:t xml:space="preserve">1.2.3垂起固定翼无人机及机库</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(1)无人机</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有效载荷≥5kg；</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续航时间：≥180分钟；</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飞行半径≥100km；</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抗风等级：6级；</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使用温度：-10℃~+45℃；</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最大速度：120km/h；</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巡航速度：≥50km/h；</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升限：4000m；</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起降方式:垂直起降；</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飞控要求：重量：≤160g；工作温度：-20℃-60℃；供电电压：12-60V；IMU和控制独立CPU；可连续工作时间：＞24h；</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飞控能力：飞控进行三防处理，对湿热、盐雾、尘土等环境具有一定防护能力；内置减震设置，可抵抗一定程度机体震动；支持手动操控，纯自主飞行控制；</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飞行定位：采用双天线RTK定位，定位精度≤10cm；</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安全保护：对遥控器失控、链路失联、电池电压低、GPS失锁等异常情况有相应的保护处理措施；</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安全保障：支持飞行高度＞50m的条件下，GNSS拒止的自主飞行；</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无人机需搭载红外成像、可见光摄像等感知设备；</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无人机单次巡航里程须大于50km；</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为提高多样化作业能力，具备更换任务舱能力，能够更换正射相机任务舱、激光雷达任务舱、倾斜相机任务仓； </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具有毫米波雷达避障功能，具备规避障碍物功能，保障安全飞行；</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具备下视双目视觉精准降落功能，能够通过标记物视觉引导精准降落，备降点无标志降落时，飞行器降落过程中如遇障碍物，可以自动重新选择安全降落点降落； </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针对管线实际分布，进行航线规划，无人机频谱及航线需得到当地无线电管理及空域管理许可。</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（2）光电吊舱</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可见光性能分辨率：≥1920×1080</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红外光性能分辨率：≥640×512</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（3）无人机机库</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具备自动回收、自主充电、温湿度自动控制、实时监控等功能；</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具备过载保护、漏电保护等用电安全防护措施</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开合方式：顶部开合</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温控调节方式：工业空调</w:t>
      </w:r>
      <w:r/>
    </w:p>
    <w:p>
      <w:pPr>
        <w:ind w:left="800"/>
        <w:spacing w:line="360" w:lineRule="auto"/>
        <w:rPr>
          <w:rFonts w:hint="eastAsia" w:ascii="宋体" w:hAnsi="宋体" w:cs="宋体"/>
          <w:bCs/>
          <w:sz w:val="24"/>
          <w:szCs w:val="24"/>
        </w:rPr>
      </w:pPr>
      <w:r>
        <w:rPr>
          <w:rFonts w:hint="eastAsia" w:ascii="宋体" w:hAnsi="宋体" w:cs="宋体"/>
          <w:bCs/>
          <w:sz w:val="24"/>
          <w:szCs w:val="24"/>
        </w:rPr>
        <w:t xml:space="preserve">1.2.4多旋翼无人机及机库</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（1）无人机</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无人机抗风能力≥6级（12m/s）</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防护等级：≥IP55</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具备防雷击能力</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无人机及机库，应具备与无蜂窝网络和切片网络的连接能力，支持正常的任务开展。</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空机续航时间≥50min</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具备自主避障能力</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（2）无人机机库：</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应具备自动回收、自主充电、温湿度自动控制、实时监控等功能；</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应具备过载保护、漏电保护等用电安全防护措施；</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外部监控：具备外部监控功能；</w:t>
      </w:r>
      <w:r/>
    </w:p>
    <w:p>
      <w:pPr>
        <w:ind w:left="800"/>
        <w:spacing w:line="360" w:lineRule="auto"/>
        <w:rPr>
          <w:rFonts w:hint="eastAsia" w:ascii="宋体" w:hAnsi="宋体" w:cs="宋体"/>
          <w:bCs/>
          <w:sz w:val="24"/>
          <w:szCs w:val="24"/>
        </w:rPr>
      </w:pPr>
      <w:r>
        <w:rPr>
          <w:rFonts w:hint="eastAsia" w:ascii="宋体" w:hAnsi="宋体" w:cs="宋体"/>
          <w:bCs/>
          <w:sz w:val="24"/>
          <w:szCs w:val="24"/>
        </w:rPr>
        <w:t xml:space="preserve">1.2.5地面指控平台</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地面指控平台通过6G无蜂窝通信系统对无人机进行远程控制，具体功能如下：</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支持地面站集成飞行遥控遥测、参数调节、数据回放、飞行仿真、固件升级功能于一体。</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可将无人机作业画面远程实时传回指挥中心，尤其是在无人机进行多架次、多类型、多飞机作业任务时，可进行集群式指挥调度作业，并通过大通量、高并发带宽链路将无人机视频数据实时回传至指挥中心。</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对无人机数据按照类型、状态进行分类存储，方便日常管理调用，并且在飞行成果的基础之上，对无人机数据进行深度的分析和应用，结合大数据分析系统，可对无人机数据进行自动化、智能化、可视化展示和分析。</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飞行模式：具备自主起飞、自动航线、自动返航、自动降落、断点飞行、指点飞行等多种自主飞行功能。</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支持地图：根据三维地图实现仿地飞行能力，支持离线二维地图功能。</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飞行仿真：在不增加硬件的条件下，通过更新飞控固件，能够实现飞行仿真功能。</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航点能力：支持不少于1000个航点的自动航线规划以及不少于100个航点的应急备降方案。</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支持无人机处理算法进行云边端算力迁移调度。</w:t>
      </w:r>
      <w:r/>
    </w:p>
    <w:p>
      <w:pPr>
        <w:ind w:left="800"/>
        <w:spacing w:line="360" w:lineRule="auto"/>
        <w:rPr>
          <w:rFonts w:hint="eastAsia" w:ascii="宋体" w:hAnsi="宋体" w:cs="宋体"/>
          <w:bCs/>
          <w:sz w:val="24"/>
          <w:szCs w:val="24"/>
        </w:rPr>
      </w:pPr>
      <w:r>
        <w:rPr>
          <w:rFonts w:hint="eastAsia" w:ascii="宋体" w:hAnsi="宋体" w:cs="宋体"/>
          <w:bCs/>
          <w:sz w:val="24"/>
          <w:szCs w:val="24"/>
        </w:rPr>
        <w:t xml:space="preserve">1.2.6智能分析平台</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针对供热管道外层的破损、掉落、凹陷、变形、锈蚀及管道位移，可疑人员管理等多种故障缺陷，研究采用深度学习的人工智能识别算法模型研制热力管道缺陷识别算法。通过无人机航拍管道缺陷的影像样本，来训练学习管道缺陷识别算法。</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根据现场实际情况，部署不少于6种管道异常识别的AI算法，包括但不限于：管道破损、管道脱落、管道凹陷、管道变形、管道锈蚀、管道位移、可疑人员管理等，最终算法由甲方根据现场实际情况确定。</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缺陷识别准确率≥90%，误检率≤5%，漏检率≤3%；单帧影像分析时间≤1 秒，支持批量数据并行处理；支持算法在线升级，可根据实际巡检需求新增缺陷识别类型。</w:t>
      </w:r>
      <w:r/>
    </w:p>
    <w:p>
      <w:pPr>
        <w:numPr>
          <w:ilvl w:val="0"/>
          <w:numId w:val="12"/>
        </w:numPr>
        <w:ind w:left="0" w:firstLine="425"/>
        <w:spacing w:line="360" w:lineRule="exact"/>
        <w:rPr>
          <w:rFonts w:hint="eastAsia" w:ascii="宋体" w:hAnsi="宋体" w:cs="宋体"/>
          <w:bCs/>
          <w:sz w:val="24"/>
          <w:szCs w:val="24"/>
        </w:rPr>
      </w:pPr>
      <w:r/>
      <w:bookmarkStart w:id="87" w:name="OLE_LINK18"/>
      <w:r>
        <w:rPr>
          <w:rFonts w:hint="eastAsia" w:ascii="宋体" w:hAnsi="宋体" w:cs="宋体"/>
          <w:bCs/>
          <w:sz w:val="24"/>
          <w:szCs w:val="24"/>
        </w:rPr>
        <w:t xml:space="preserve">切片网络服务</w:t>
      </w:r>
      <w:bookmarkEnd w:id="87"/>
      <w:r>
        <w:rPr>
          <w:rFonts w:hint="eastAsia" w:ascii="宋体" w:hAnsi="宋体" w:cs="宋体"/>
          <w:bCs/>
          <w:sz w:val="24"/>
          <w:szCs w:val="24"/>
        </w:rPr>
        <w:t xml:space="preserve">采购技术要求</w:t>
      </w:r>
      <w:r/>
    </w:p>
    <w:p>
      <w:pPr>
        <w:pStyle w:val="1309"/>
        <w:numPr>
          <w:ilvl w:val="1"/>
          <w:numId w:val="14"/>
        </w:numPr>
        <w:ind w:left="0" w:firstLine="567"/>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总则</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本技术要求为最低强制性标准，中标方提供的服务不得低于本规范；凡未明确但属于网络切片补盲、网络切片和无蜂窝网络协同适配、无人机巡检必需的功能与性能，均视为中标方应提供的标配服务，不另行计费。</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按照国家法律规定，目前，仅有移动、电信、联通、广电具备移动通信网路运营许可。为保障项目顺利实施，非运营商投标单位在投标阶段需提供与项目用户当地运营商合作文件。</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在投标阶段需针对本节“切片网络服务”招标技术要求提供完整准确的技术方案，包括且不限于频率规划、UPF下沉组网、网络切片与无蜂窝网络切换、他网用户对无蜂窝用户的干扰避免处理措施等。</w:t>
      </w:r>
      <w:r/>
    </w:p>
    <w:p>
      <w:pPr>
        <w:pStyle w:val="1309"/>
        <w:numPr>
          <w:ilvl w:val="1"/>
          <w:numId w:val="14"/>
        </w:numPr>
        <w:ind w:left="0" w:firstLine="567"/>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频率协同</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其他网络和无蜂窝网络必须采用异频部署，严禁同频重叠，避免对其他用户产生干扰，也规避其他电磁波信号对本次试验的影响。在正式测试前，首先应进行电磁环境测试，确认测试场景周围是否存在其他同频、邻频无线信号，提供电磁环境检测报告。测试用例、测试方法、测试结果需甲方审核确认。</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无蜂窝网络频率须使用中标方提供的合法合规频谱，且须在中标方许可范围内选择低频段，确保覆盖能力最优；频率方案须经中标方许可及甲方书面确认后方可实施，未经双方同意不得擅自调整。测试选用的频段应向无线电相关管理部门报备，取得无线频段许可证，项目结束前办理无线电台站执照保障用户单位合法使用。</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频段范围为3300-3400/3400-3500/3500-3600MHz，4800-4960MHz，选择100M带宽作为无蜂窝网络频段。</w:t>
      </w:r>
      <w:r/>
    </w:p>
    <w:p>
      <w:pPr>
        <w:pStyle w:val="1309"/>
        <w:numPr>
          <w:ilvl w:val="1"/>
          <w:numId w:val="14"/>
        </w:numPr>
        <w:ind w:left="0" w:firstLine="567"/>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覆盖能力</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切片网络应对无蜂窝网络覆盖盲区进行补盲，补盲区域应包含无人机巡检航线和供热管网。切片网络应完整覆盖无人机航线和供热管网，必须提供连续、稳定、可切换的信号：RSRP ≥ -95dBm，SINR ≥ 12dB，确保无人机终端在无蜂窝网络信号衰减时，可无缝切换 / 重选到切片网络，不掉线、不脱网。应进行完整的测试并提供测试报告。测试用例、测试方法、测试结果需甲方审核确认。</w:t>
      </w:r>
      <w:r/>
    </w:p>
    <w:p>
      <w:pPr>
        <w:pStyle w:val="1309"/>
        <w:numPr>
          <w:ilvl w:val="1"/>
          <w:numId w:val="14"/>
        </w:numPr>
        <w:ind w:left="0" w:firstLine="567"/>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接入控制与用户管理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中标方应采用合适的技术方法，实现无蜂窝网络与切片网络的平滑切换，且降低他网用户对无蜂窝网络的干扰。项目实施时，中标方应提供详细的技术方案，并经过甲方审核认可。技术方案实施后，应提供系统方案测试报告，验证方案技术效果。且经过连续运营一年的运行监测（以周报告、月报告、季度报告、年度报告的形式连续监测），确保系统效果的达成。测试方案、测试方法、测试结果需经甲方的认可方为有效。切换成功率 ≥ 99%，切换中断时间 ≤ 40ms。</w:t>
      </w:r>
      <w:r/>
    </w:p>
    <w:p>
      <w:pPr>
        <w:ind w:firstLine="480"/>
        <w:rPr>
          <w:rFonts w:hint="eastAsia" w:ascii="宋体" w:hAnsi="宋体" w:cs="宋体"/>
          <w:bCs/>
          <w:sz w:val="24"/>
          <w:szCs w:val="24"/>
        </w:rPr>
      </w:pPr>
      <w:r>
        <w:rPr>
          <w:rFonts w:hint="eastAsia" w:ascii="宋体" w:hAnsi="宋体" w:cs="宋体"/>
          <w:bCs/>
          <w:sz w:val="24"/>
          <w:szCs w:val="24"/>
        </w:rPr>
        <w:t xml:space="preserve">2.4.1无蜂窝网络切换到切片网络</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在无蜂窝网络覆盖较弱的区域，中标方应采取合适的技术手段，包括且不限于核心网数据配置、签约、UPF下沉等技术方法，确保业务连续、不丢包的情况下，实现无蜂窝网络用户从无蜂窝网络平滑地切入到切片网络。</w:t>
      </w:r>
      <w:r/>
    </w:p>
    <w:p>
      <w:pPr>
        <w:ind w:firstLine="480"/>
        <w:rPr>
          <w:rFonts w:hint="eastAsia" w:ascii="宋体" w:hAnsi="宋体" w:cs="宋体"/>
          <w:bCs/>
          <w:sz w:val="24"/>
          <w:szCs w:val="24"/>
        </w:rPr>
      </w:pPr>
      <w:r>
        <w:rPr>
          <w:rFonts w:hint="eastAsia" w:ascii="宋体" w:hAnsi="宋体" w:cs="宋体"/>
          <w:bCs/>
          <w:sz w:val="24"/>
          <w:szCs w:val="24"/>
        </w:rPr>
        <w:t xml:space="preserve">2.4.2切片网络切换到无蜂窝网络</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在无蜂窝网络覆盖较强的区域，中标方应采取合适的技术手段，包括且不限于核心网数据配置、签约、UPF下沉等技术方法，确保业务连续、不丢包的情况下，实现无蜂窝网络用户从切片网络平滑地切入到无蜂窝网络。</w:t>
      </w:r>
      <w:r/>
    </w:p>
    <w:p>
      <w:pPr>
        <w:ind w:firstLine="480"/>
        <w:rPr>
          <w:rFonts w:hint="eastAsia" w:ascii="宋体" w:hAnsi="宋体" w:cs="宋体"/>
          <w:bCs/>
          <w:sz w:val="24"/>
          <w:szCs w:val="24"/>
        </w:rPr>
      </w:pPr>
      <w:r>
        <w:rPr>
          <w:rFonts w:hint="eastAsia" w:ascii="宋体" w:hAnsi="宋体" w:cs="宋体"/>
          <w:bCs/>
          <w:sz w:val="24"/>
          <w:szCs w:val="24"/>
        </w:rPr>
        <w:t xml:space="preserve">2.4.3他网用户干扰</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在无蜂窝网络的覆盖区域，中标方应采取合适的技术手段，包括且不限于核心网数据配置、签约、UPF下沉等技术方法，确保他网用户对无蜂窝网络的正常业务运行不造成业务干扰。他网用户每秒接入/拒绝接入数量小于10个。</w:t>
      </w:r>
      <w:r/>
    </w:p>
    <w:p>
      <w:pPr>
        <w:ind w:firstLine="480"/>
        <w:rPr>
          <w:rFonts w:hint="eastAsia" w:ascii="宋体" w:hAnsi="宋体" w:cs="宋体"/>
          <w:bCs/>
          <w:sz w:val="24"/>
          <w:szCs w:val="24"/>
        </w:rPr>
      </w:pPr>
      <w:r>
        <w:rPr>
          <w:rFonts w:hint="eastAsia" w:ascii="宋体" w:hAnsi="宋体" w:cs="宋体"/>
          <w:bCs/>
          <w:sz w:val="24"/>
          <w:szCs w:val="24"/>
        </w:rPr>
        <w:t xml:space="preserve">2.4.4其他</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以下为可能的参考技术方法，仅供投标方参考。投标方可以提出创新的其他方案，以便于最大程度的满足上述目标的达成。</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核心网 UDM/UDR 需为我方终端（含 IMSI、IMEI 信息）配置专属切片网络签约数据，明确允许其接入切片网络；同时，签约数据需适配甲方无蜂窝网络接入要求，确保终端可正常接入甲方无蜂窝网络；实现切片网络与无蜂窝网络双网协同。无蜂窝网络用户的系统配置数据为优选接入无蜂窝网络。</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切片网络及核心网必须支持专用 DNN、专用网络切片标识、专用 5QI 及 ARP 抢占优先级，并在无蜂窝网络与切片补盲场景下均能正确识别、路由、转发该专属业务，实现业务隔离。</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切片网络核心网需根据用户签约信息及接入基站标识，禁止他用户占用、接入、驻留无蜂窝网络基站，仅允许无蜂窝网络用户接入。</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切片核心网需向专网终端下发专网频率最高优先级的驻留策略，终端默认优先接入专网。</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核心网须支持通过RRCRelease信令向终端下发无蜂窝网络优先的重选参数（如cellReselectionPriority = 7、threshX-High、t-ReselectionNR等），并协同配置切换门限。切换门限、测量事件参数需由甲方认可，适配无人机高速移动中小区切换场景。</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实现终端在专网信号弱时平滑切换至公网，信号恢复后及时切回专网。</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关键指标：切换成功率 ≥ 99%，切换中断时间 ≤ 40ms。</w:t>
      </w:r>
      <w:r/>
    </w:p>
    <w:p>
      <w:pPr>
        <w:pStyle w:val="1309"/>
        <w:numPr>
          <w:ilvl w:val="1"/>
          <w:numId w:val="14"/>
        </w:numPr>
        <w:ind w:left="0" w:firstLine="567"/>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业务保障</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切片网络需具备稳定支撑无人机热管线巡检视频回传的能力，速率指标以净口速率计（不含重传与开销）：​</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单用户指标要求：1080P 高清视频：保障上行速率 ≥ 4Mbps；​4K 超高清视频：保障上行速率 ≥ 20Mbps。</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总体系统指标（多站）：上行速率不小于100Mbps；下行速率：不小于30Mbps；</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切片网络区域需为巡检业务提供高优先级调度，避免带宽被其他业务挤占，确保视频流连续、无卡顿、无丢包。</w:t>
      </w:r>
      <w:r/>
    </w:p>
    <w:p>
      <w:pPr>
        <w:pStyle w:val="1309"/>
        <w:numPr>
          <w:ilvl w:val="1"/>
          <w:numId w:val="14"/>
        </w:numPr>
        <w:ind w:left="0" w:firstLine="567"/>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网络互通</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切片网络与无蜂窝网络之间支持 PDU 会话保持、业务不中断、IP 地址不重构，确保无人机在网切换过程中视频流与控制指令不中断。</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时延要求：视频数据端到端时延小于50ms。</w:t>
      </w:r>
      <w:r/>
    </w:p>
    <w:p>
      <w:pPr>
        <w:pStyle w:val="1309"/>
        <w:numPr>
          <w:ilvl w:val="1"/>
          <w:numId w:val="14"/>
        </w:numPr>
        <w:ind w:left="0" w:firstLine="567"/>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网络隔离</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仅开放必要端口：视频流接收端口、控制指令下发端口、设备状态上报端口及运维所需端口（按需配置）。​</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严禁开放终端访问互联网、公网其他业务网段的权限，阻断跨网段扫描等非法访问行为，安全策略一经配置，未经我方书面许可不得修改、关闭、下调安全级别。</w:t>
      </w:r>
      <w:r/>
    </w:p>
    <w:p>
      <w:pPr>
        <w:pStyle w:val="1309"/>
        <w:numPr>
          <w:ilvl w:val="1"/>
          <w:numId w:val="14"/>
        </w:numPr>
        <w:ind w:left="0" w:firstLine="567"/>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网络性能指标</w:t>
      </w:r>
      <w:r/>
    </w:p>
    <w:tbl>
      <w:tblPr>
        <w:tblStyle w:val="103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4140"/>
        <w:gridCol w:w="5250"/>
      </w:tblGrid>
      <w:tr>
        <w:trPr>
          <w:jc w:val="center"/>
          <w:tblHead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指标</w:t>
            </w:r>
            <w:r/>
          </w:p>
        </w:tc>
        <w:tc>
          <w:tcPr>
            <w:shd w:val="clear" w:color="auto" w:fill="ffffff"/>
            <w:tcMar>
              <w:left w:w="120" w:type="dxa"/>
              <w:top w:w="75" w:type="dxa"/>
              <w:right w:w="120" w:type="dxa"/>
              <w:bottom w:w="75" w:type="dxa"/>
            </w:tcMar>
            <w:tcW w:w="2795"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要求</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核心网可用性</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≥99%</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UPF可用性</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≥99%</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端到端时延</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≤50ms</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丢包率</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≤0.1%</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切换成功率</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≥99%</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切换中断时间</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≤40ms</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上行速率（切片网络）</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单用户：≥20Mbps（4K），≥4Mbps（1080P）</w:t>
            </w:r>
            <w:r/>
          </w:p>
          <w:p>
            <w:pPr>
              <w:jc w:val="center"/>
              <w:spacing w:line="400" w:lineRule="exact"/>
              <w:rPr>
                <w:rFonts w:hint="eastAsia" w:ascii="宋体" w:hAnsi="宋体" w:cs="宋体"/>
                <w:bCs/>
                <w:sz w:val="24"/>
                <w:szCs w:val="24"/>
              </w:rPr>
            </w:pPr>
            <w:r>
              <w:rPr>
                <w:rFonts w:hint="eastAsia" w:ascii="宋体" w:hAnsi="宋体" w:cs="宋体"/>
                <w:bCs/>
                <w:sz w:val="24"/>
                <w:szCs w:val="24"/>
              </w:rPr>
              <w:t xml:space="preserve">系统：上行速率不小于100Mbps；下行速率：不小于30Mbps；</w:t>
            </w:r>
            <w:r/>
          </w:p>
        </w:tc>
      </w:tr>
    </w:tbl>
    <w:p>
      <w:pPr>
        <w:pStyle w:val="1309"/>
        <w:numPr>
          <w:ilvl w:val="1"/>
          <w:numId w:val="14"/>
        </w:numPr>
        <w:ind w:left="0" w:firstLine="567"/>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终端与场景适配​</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切片网络需支持无人机高速移动场景下的信号稳定接收与切换，适配空中无线信道特性。​</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支持终端在无蜂窝网络覆盖边缘区域的稳定驻留与快速切换，满足在专网盲区的巡检需求。</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支持终端长时间连续在线运行，无频繁重连、掉线现象，保障在专网盲区的巡检业务连续性。</w:t>
      </w:r>
      <w:r/>
    </w:p>
    <w:p>
      <w:pPr>
        <w:pStyle w:val="1309"/>
        <w:numPr>
          <w:ilvl w:val="1"/>
          <w:numId w:val="14"/>
        </w:numPr>
        <w:ind w:left="0" w:firstLine="567"/>
        <w:spacing w:line="240" w:lineRule="auto"/>
        <w:rPr>
          <w:rFonts w:hint="eastAsia" w:ascii="宋体" w:hAnsi="宋体" w:cs="宋体"/>
          <w:bCs/>
          <w:sz w:val="24"/>
          <w:szCs w:val="24"/>
        </w:rPr>
      </w:pPr>
      <w:r>
        <w:rPr>
          <w:rFonts w:hint="eastAsia" w:ascii="宋体" w:hAnsi="宋体" w:eastAsia="宋体" w:cs="宋体"/>
          <w:bCs/>
          <w:sz w:val="24"/>
          <w:szCs w:val="24"/>
          <w:lang w:eastAsia="zh-CN"/>
        </w:rPr>
        <w:t xml:space="preserve">安全与审计</w:t>
      </w:r>
      <w:r>
        <w:rPr>
          <w:rFonts w:hint="eastAsia" w:ascii="宋体" w:hAnsi="宋体" w:cs="宋体"/>
          <w:bCs/>
          <w:sz w:val="24"/>
          <w:szCs w:val="24"/>
        </w:rPr>
        <w:t xml:space="preserve">​</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切片专网仅对我方提供的无蜂窝网络用户白名单（IMSI/IMEI）开放接入权限，拒绝非法终端接入。​</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中标方需能够提供完整的接入日志、切换日志、流量日志及故障日志，日志保留期限不少于 6 个月，支持追溯查询。日志不可删除、不可篡改、不可回溯修改，支持第三方审计。</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系统应能够提供异常下线告警（含下线大致物理区域、下线原因）及非法接入阻断功能，保障网络与业务安全。​</w:t>
      </w:r>
      <w:r/>
    </w:p>
    <w:p>
      <w:pPr>
        <w:pStyle w:val="1309"/>
        <w:numPr>
          <w:ilvl w:val="1"/>
          <w:numId w:val="14"/>
        </w:numPr>
        <w:ind w:left="0" w:firstLine="567"/>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测试与验收要求</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中标方需在项目实施完成后，在我方指定的无蜂窝弱覆盖典型区域现场实测，所有性能指标均为实际净口速率、实测环境下的平均值，不含理想仿真、极限峰值、不计重传与开销。</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测试内容包括但不限于：公网覆盖强度（RSRP/SINR）、切换成功率、切换中断时间、上行速率、端到端时延、丢包率等关键指标。​</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所有测试指标需满足本技术规范要求，测试结果需经双方签字确认。​</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若测试指标不达标，中标方需在规定时间内免费整改直至合格，整改期间不计入服务期，整改费用由中标方自行承担。​</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切片网络服务验收通过后，甲方出具《切片网络服务验收报告》，验收合格之日起正式计入服务期。</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无线核心网：无蜂窝网络的核心网络，提供终端用户接入控制、用户管理、承载管理等，满足覆盖区域物联终端接入，且支持IPv6能力。配置烧卡机设备，保证相关SIM卡频段接入使用。</w:t>
      </w:r>
      <w:r/>
    </w:p>
    <w:p>
      <w:pPr>
        <w:pStyle w:val="1309"/>
        <w:numPr>
          <w:ilvl w:val="1"/>
          <w:numId w:val="14"/>
        </w:numPr>
        <w:ind w:left="0" w:firstLine="567"/>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核心网和UPF可用性验收要求</w:t>
      </w:r>
      <w:r/>
    </w:p>
    <w:p>
      <w:pPr>
        <w:ind w:firstLine="480"/>
        <w:rPr>
          <w:rFonts w:hint="eastAsia" w:ascii="宋体" w:hAnsi="宋体" w:cs="宋体"/>
          <w:bCs/>
          <w:sz w:val="24"/>
          <w:szCs w:val="24"/>
        </w:rPr>
      </w:pPr>
      <w:r>
        <w:rPr>
          <w:rFonts w:hint="eastAsia" w:ascii="宋体" w:hAnsi="宋体" w:cs="宋体"/>
          <w:bCs/>
          <w:sz w:val="24"/>
          <w:szCs w:val="24"/>
        </w:rPr>
        <w:t xml:space="preserve">2.12.1可用性定义与计算规则</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核心网可用性 = （统计周期内核心网实际可用时长）/（统计周期总时长）×100%</w:t>
      </w:r>
      <w:r/>
    </w:p>
    <w:p>
      <w:pPr>
        <w:ind w:firstLine="480"/>
        <w:rPr>
          <w:rFonts w:hint="eastAsia" w:ascii="宋体" w:hAnsi="宋体" w:cs="宋体"/>
          <w:bCs/>
          <w:sz w:val="24"/>
          <w:szCs w:val="24"/>
        </w:rPr>
      </w:pPr>
      <w:r>
        <w:rPr>
          <w:rFonts w:hint="eastAsia" w:ascii="宋体" w:hAnsi="宋体" w:cs="宋体"/>
          <w:bCs/>
          <w:sz w:val="24"/>
          <w:szCs w:val="24"/>
        </w:rPr>
        <w:t xml:space="preserve">2.12.2核心网可用状态</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满足本规范第 2.8表列所有网络性能指标（端到端时延≤50ms、丢包率≤0.1%、切换成功率≥99% 等），且无影响无人机巡检业务的故障（如签约数据失效、切换失败、PDU 会话中断等）。</w:t>
      </w:r>
      <w:r/>
    </w:p>
    <w:p>
      <w:pPr>
        <w:ind w:firstLine="480"/>
        <w:rPr>
          <w:rFonts w:hint="eastAsia" w:ascii="宋体" w:hAnsi="宋体" w:cs="宋体"/>
          <w:bCs/>
          <w:sz w:val="24"/>
          <w:szCs w:val="24"/>
        </w:rPr>
      </w:pPr>
      <w:r>
        <w:rPr>
          <w:rFonts w:hint="eastAsia" w:ascii="宋体" w:hAnsi="宋体" w:cs="宋体"/>
          <w:bCs/>
          <w:sz w:val="24"/>
          <w:szCs w:val="24"/>
        </w:rPr>
        <w:t xml:space="preserve">2.12.3不可用时长界定</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核心网出现以下情况之一，即计入不可用时长，自故障发生时间起至故障修复并恢复可用状态止：</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（1）核心网 UDM/UDR、AMF、SMF 等关键网元宕机或性能劣化，导致专网终端无法接入公网、切换失败；</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（2）核心网配置异常导致签约数据和优先级策略失效（如 5QI 优先级不生效、带宽保障不足）；</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（3）核心网与下沉 UPF 通信中断，导致业务数据无法传输；</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（4）核心网故障引发端到端时延＞50ms、丢包率＞0.1%，且持续超过 15 分钟未恢复。</w:t>
      </w:r>
      <w:r/>
    </w:p>
    <w:p>
      <w:pPr>
        <w:ind w:firstLine="480"/>
        <w:rPr>
          <w:rFonts w:hint="eastAsia" w:ascii="宋体" w:hAnsi="宋体" w:cs="宋体"/>
          <w:bCs/>
          <w:sz w:val="24"/>
          <w:szCs w:val="24"/>
        </w:rPr>
      </w:pPr>
      <w:r>
        <w:rPr>
          <w:rFonts w:hint="eastAsia" w:ascii="宋体" w:hAnsi="宋体" w:cs="宋体"/>
          <w:bCs/>
          <w:sz w:val="24"/>
          <w:szCs w:val="24"/>
        </w:rPr>
        <w:t xml:space="preserve">2.12.4豁免条款</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以下情况不计入不可用时长：</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我方书面同意的计划性维护（需提前 72 小时通知，维护窗口避开无人机巡检高峰时段，单次维护时长≤4 小时 / 月）；</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不可抗力导致的故障（地震、台风等，需提供权威部门证明）；</w:t>
      </w:r>
      <w:r/>
    </w:p>
    <w:p>
      <w:pPr>
        <w:ind w:firstLine="480"/>
        <w:rPr>
          <w:rFonts w:hint="eastAsia" w:ascii="宋体" w:hAnsi="宋体" w:cs="宋体"/>
          <w:bCs/>
          <w:sz w:val="24"/>
          <w:szCs w:val="24"/>
        </w:rPr>
      </w:pPr>
      <w:r>
        <w:rPr>
          <w:rFonts w:hint="eastAsia" w:ascii="宋体" w:hAnsi="宋体" w:cs="宋体"/>
          <w:bCs/>
          <w:sz w:val="24"/>
          <w:szCs w:val="24"/>
        </w:rPr>
        <w:t xml:space="preserve">2.12.5统计周期与验收频次</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统计周期：按自然月统计，服务期内年度可用性≥99%。</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月度验收：中标方每月 5 日前提交上月可用性统计报告。</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年度验收：服务期满 12 个月，中标方提交年度可用性汇总报告，作为年度服务考核核心依据。</w:t>
      </w:r>
      <w:r/>
    </w:p>
    <w:p>
      <w:pPr>
        <w:ind w:firstLine="480"/>
        <w:rPr>
          <w:rFonts w:hint="eastAsia" w:ascii="宋体" w:hAnsi="宋体" w:cs="宋体"/>
          <w:bCs/>
          <w:sz w:val="24"/>
          <w:szCs w:val="24"/>
        </w:rPr>
      </w:pPr>
      <w:r>
        <w:rPr>
          <w:rFonts w:hint="eastAsia" w:ascii="宋体" w:hAnsi="宋体" w:cs="宋体"/>
          <w:bCs/>
          <w:sz w:val="24"/>
          <w:szCs w:val="24"/>
        </w:rPr>
        <w:t xml:space="preserve">2.12.6统计报告要求（中标方提供）</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核心网关键网元的 7×24 小时运行日志（含启动 / 停止时间、故障告警日志）；</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核心网性能监控平台导出的月度指标报表（含时延、丢包率、切换成功率等实时监控数据）；</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故障处理记录（含故障发生时间、故障现象、排查过程、修复时间、责任人签字）；</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计划性维护审批文件（含我方书面同意记录、维护内容、维护时长）；</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自有或第三方运维监控平台数据（若有，需加盖平台运营方公章）。</w:t>
      </w:r>
      <w:r/>
    </w:p>
    <w:p>
      <w:pPr>
        <w:ind w:firstLine="480"/>
        <w:rPr>
          <w:rFonts w:hint="eastAsia" w:ascii="宋体" w:hAnsi="宋体" w:cs="宋体"/>
          <w:bCs/>
          <w:sz w:val="24"/>
          <w:szCs w:val="24"/>
        </w:rPr>
      </w:pPr>
      <w:r>
        <w:rPr>
          <w:rFonts w:hint="eastAsia" w:ascii="宋体" w:hAnsi="宋体" w:cs="宋体"/>
          <w:bCs/>
          <w:sz w:val="24"/>
          <w:szCs w:val="24"/>
        </w:rPr>
        <w:t xml:space="preserve">2.12.7验收标准与不达标处理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验收标准：月度 / 年度核心网可用性≥99%（即每月不可用时长≤7.2 小时，年度不可用时长≤87.6 小时）；</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不达标处理：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若月度可用性未达标，中标方需在 10 个工作日内提交整改方案，免费完成优化整改，整改期间不计入服务期，且需向我方支付合同总费用 20% 的违约金；</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连续 2 个月或年度累计 3 个月可用性未达标，我方有权单方面解除合同，中标方需承担由此造成的我方业务损失（如巡检中断导致的管线维护损失）；</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中标方提供的材料需真实有效，若发现数据造假，视为可用性不达标，按上述条款加倍追责。</w:t>
      </w:r>
      <w:r/>
    </w:p>
    <w:p>
      <w:pPr>
        <w:pStyle w:val="1309"/>
        <w:numPr>
          <w:ilvl w:val="1"/>
          <w:numId w:val="14"/>
        </w:numPr>
        <w:ind w:left="0" w:firstLine="567"/>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服务与响应</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中标方需提供 7×24 小时不间断运维监控服务，建立专属运维团队，确保实时监测网络运行状态。​</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故障响应机制：故障响应时间 ≤ 1 小时（从接到故障通知起算）；一般故障需在 2 小时内修复；导致巡检业务全断、核心网不可用的重大故障，需在 72 小时内修复，逾期需按合同约定承担违约责任。​</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中标方每季度需向我方提交《网络优化报告》，内容包括但不限于：切换成功率、覆盖范围变化、业务传输质量、故障统计分析及优化改进措施等。​</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建立定期沟通机制，每月召开一次服务沟通会议，及时解决服务过程中出现的问题。</w:t>
      </w:r>
      <w:r/>
    </w:p>
    <w:p>
      <w:pPr>
        <w:numPr>
          <w:ilvl w:val="0"/>
          <w:numId w:val="12"/>
        </w:numPr>
        <w:ind w:left="0" w:firstLine="425"/>
        <w:rPr>
          <w:rFonts w:hint="eastAsia" w:ascii="宋体" w:hAnsi="宋体" w:cs="宋体"/>
          <w:bCs/>
          <w:sz w:val="24"/>
          <w:szCs w:val="24"/>
        </w:rPr>
      </w:pPr>
      <w:r>
        <w:rPr>
          <w:rFonts w:hint="eastAsia" w:ascii="宋体" w:hAnsi="宋体" w:cs="宋体"/>
          <w:bCs/>
          <w:sz w:val="24"/>
          <w:szCs w:val="24"/>
        </w:rPr>
        <w:t xml:space="preserve">网络配套处理单元具体指标要求如下</w:t>
      </w:r>
      <w:r/>
    </w:p>
    <w:p>
      <w:pPr>
        <w:pStyle w:val="1184"/>
        <w:numPr>
          <w:ilvl w:val="0"/>
          <w:numId w:val="15"/>
        </w:numPr>
        <w:ind w:left="0" w:firstLine="480"/>
        <w:spacing w:line="360" w:lineRule="exact"/>
        <w:rPr>
          <w:rFonts w:hint="eastAsia" w:ascii="宋体" w:hAnsi="宋体" w:cs="宋体"/>
          <w:bCs/>
          <w:sz w:val="24"/>
          <w:szCs w:val="24"/>
        </w:rPr>
      </w:pPr>
      <w:r>
        <w:rPr>
          <w:rFonts w:hint="eastAsia" w:ascii="宋体" w:hAnsi="宋体" w:cs="宋体"/>
          <w:bCs/>
          <w:sz w:val="24"/>
          <w:szCs w:val="24"/>
        </w:rPr>
        <w:t xml:space="preserve">网络服务处理单元1</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1）单小区最大连接态用户数1200个，单小区最大激活态用户数400个；</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2）支持无蜂窝分布式 MIMO 16T16R 的多天线信号处理，支持空口校准；</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3）支持 3GPP LDPC 硬件加速解码；</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4）CPU</w:t>
      </w:r>
      <w:r>
        <w:rPr>
          <w:rFonts w:hint="eastAsia" w:ascii="宋体" w:hAnsi="宋体" w:cs="宋体"/>
          <w:bCs/>
          <w:sz w:val="24"/>
          <w:szCs w:val="24"/>
        </w:rPr>
        <w:tab/>
      </w:r>
      <w:r>
        <w:rPr>
          <w:rFonts w:hint="eastAsia" w:ascii="宋体" w:hAnsi="宋体" w:cs="宋体"/>
          <w:bCs/>
          <w:sz w:val="24"/>
          <w:szCs w:val="24"/>
        </w:rPr>
        <w:t xml:space="preserve">≥4路 CPU，单 CPU≥18核，主频≥2.5 GHz</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5）内存</w:t>
      </w:r>
      <w:r>
        <w:rPr>
          <w:rFonts w:hint="eastAsia" w:ascii="宋体" w:hAnsi="宋体" w:cs="宋体"/>
          <w:bCs/>
          <w:sz w:val="24"/>
          <w:szCs w:val="24"/>
        </w:rPr>
        <w:tab/>
      </w:r>
      <w:r>
        <w:rPr>
          <w:rFonts w:hint="eastAsia" w:ascii="宋体" w:hAnsi="宋体" w:cs="宋体"/>
          <w:bCs/>
          <w:sz w:val="24"/>
          <w:szCs w:val="24"/>
        </w:rPr>
        <w:t xml:space="preserve">≥512 GB DDR4/DDR5 ECC 内存（32GB每条）</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6）硬盘</w:t>
      </w:r>
      <w:r>
        <w:rPr>
          <w:rFonts w:hint="eastAsia" w:ascii="宋体" w:hAnsi="宋体" w:cs="宋体"/>
          <w:bCs/>
          <w:sz w:val="24"/>
          <w:szCs w:val="24"/>
        </w:rPr>
        <w:tab/>
      </w:r>
      <w:r>
        <w:rPr>
          <w:rFonts w:hint="eastAsia" w:ascii="宋体" w:hAnsi="宋体" w:cs="宋体"/>
          <w:bCs/>
          <w:sz w:val="24"/>
          <w:szCs w:val="24"/>
        </w:rPr>
        <w:t xml:space="preserve">≥2块960 GB 企业级 SSD/SATA， 硬盘支持RAID 0/1/10/5/6</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7）网卡</w:t>
      </w:r>
      <w:r>
        <w:rPr>
          <w:rFonts w:hint="eastAsia" w:ascii="宋体" w:hAnsi="宋体" w:cs="宋体"/>
          <w:bCs/>
          <w:sz w:val="24"/>
          <w:szCs w:val="24"/>
        </w:rPr>
        <w:tab/>
      </w:r>
      <w:r>
        <w:rPr>
          <w:rFonts w:hint="eastAsia" w:ascii="宋体" w:hAnsi="宋体" w:cs="宋体"/>
          <w:bCs/>
          <w:sz w:val="24"/>
          <w:szCs w:val="24"/>
        </w:rPr>
        <w:t xml:space="preserve">≥2个10Gbps 以太网口，配万兆多模光模块；</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ab/>
      </w:r>
      <w:r>
        <w:rPr>
          <w:rFonts w:hint="eastAsia" w:ascii="宋体" w:hAnsi="宋体" w:cs="宋体"/>
          <w:bCs/>
          <w:sz w:val="24"/>
          <w:szCs w:val="24"/>
        </w:rPr>
        <w:t xml:space="preserve">≥2个40Gb光口网卡（配40G多模光模块）；</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ab/>
      </w:r>
      <w:r>
        <w:rPr>
          <w:rFonts w:hint="eastAsia" w:ascii="宋体" w:hAnsi="宋体" w:cs="宋体"/>
          <w:bCs/>
          <w:sz w:val="24"/>
          <w:szCs w:val="24"/>
        </w:rPr>
        <w:t xml:space="preserve">≥4个千兆电口</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8）阵列卡</w:t>
      </w:r>
      <w:r>
        <w:rPr>
          <w:rFonts w:hint="eastAsia" w:ascii="宋体" w:hAnsi="宋体" w:cs="宋体"/>
          <w:bCs/>
          <w:sz w:val="24"/>
          <w:szCs w:val="24"/>
        </w:rPr>
        <w:tab/>
      </w:r>
      <w:r>
        <w:rPr>
          <w:rFonts w:hint="eastAsia" w:ascii="宋体" w:hAnsi="宋体" w:cs="宋体"/>
          <w:bCs/>
          <w:sz w:val="24"/>
          <w:szCs w:val="24"/>
        </w:rPr>
        <w:t xml:space="preserve">支持 RAID 0/1/5/6/10</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9）电源</w:t>
      </w:r>
      <w:r>
        <w:rPr>
          <w:rFonts w:hint="eastAsia" w:ascii="宋体" w:hAnsi="宋体" w:cs="宋体"/>
          <w:bCs/>
          <w:sz w:val="24"/>
          <w:szCs w:val="24"/>
        </w:rPr>
        <w:tab/>
      </w:r>
      <w:r>
        <w:rPr>
          <w:rFonts w:hint="eastAsia" w:ascii="宋体" w:hAnsi="宋体" w:cs="宋体"/>
          <w:bCs/>
          <w:sz w:val="24"/>
          <w:szCs w:val="24"/>
        </w:rPr>
        <w:t xml:space="preserve">≥4个冗余白金电源，单个电源功率≥1600W</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10）远程管理</w:t>
      </w:r>
      <w:r>
        <w:rPr>
          <w:rFonts w:hint="eastAsia" w:ascii="宋体" w:hAnsi="宋体" w:cs="宋体"/>
          <w:bCs/>
          <w:sz w:val="24"/>
          <w:szCs w:val="24"/>
        </w:rPr>
        <w:tab/>
      </w:r>
      <w:r>
        <w:rPr>
          <w:rFonts w:hint="eastAsia" w:ascii="宋体" w:hAnsi="宋体" w:cs="宋体"/>
          <w:bCs/>
          <w:sz w:val="24"/>
          <w:szCs w:val="24"/>
        </w:rPr>
        <w:t xml:space="preserve">支持 IPMI/iDRAC/iLO 独立管理口</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11）操作系统</w:t>
      </w:r>
      <w:r>
        <w:rPr>
          <w:rFonts w:hint="eastAsia" w:ascii="宋体" w:hAnsi="宋体" w:cs="宋体"/>
          <w:bCs/>
          <w:sz w:val="24"/>
          <w:szCs w:val="24"/>
        </w:rPr>
        <w:tab/>
      </w:r>
      <w:r>
        <w:rPr>
          <w:rFonts w:hint="eastAsia" w:ascii="宋体" w:hAnsi="宋体" w:cs="宋体"/>
          <w:bCs/>
          <w:sz w:val="24"/>
          <w:szCs w:val="24"/>
        </w:rPr>
        <w:t xml:space="preserve">支持 Cent OS 7.9[SW1.1]</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12）质保</w:t>
      </w:r>
      <w:r>
        <w:rPr>
          <w:rFonts w:hint="eastAsia" w:ascii="宋体" w:hAnsi="宋体" w:cs="宋体"/>
          <w:bCs/>
          <w:sz w:val="24"/>
          <w:szCs w:val="24"/>
        </w:rPr>
        <w:tab/>
      </w:r>
      <w:r>
        <w:rPr>
          <w:rFonts w:hint="eastAsia" w:ascii="宋体" w:hAnsi="宋体" w:cs="宋体"/>
          <w:bCs/>
          <w:sz w:val="24"/>
          <w:szCs w:val="24"/>
        </w:rPr>
        <w:t xml:space="preserve">原厂三年免费质保，7×24 小时技术支持</w:t>
      </w:r>
      <w:r/>
    </w:p>
    <w:p>
      <w:pPr>
        <w:pStyle w:val="1184"/>
        <w:numPr>
          <w:ilvl w:val="0"/>
          <w:numId w:val="15"/>
        </w:numPr>
        <w:ind w:left="0" w:firstLine="480"/>
        <w:spacing w:line="360" w:lineRule="exact"/>
        <w:rPr>
          <w:rFonts w:hint="eastAsia" w:ascii="宋体" w:hAnsi="宋体" w:cs="宋体"/>
          <w:bCs/>
          <w:sz w:val="24"/>
          <w:szCs w:val="24"/>
        </w:rPr>
      </w:pPr>
      <w:r>
        <w:rPr>
          <w:rFonts w:hint="eastAsia" w:ascii="宋体" w:hAnsi="宋体" w:cs="宋体"/>
          <w:bCs/>
          <w:sz w:val="24"/>
          <w:szCs w:val="24"/>
        </w:rPr>
        <w:t xml:space="preserve">网络服务处理单元2 </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1）小区</w:t>
      </w:r>
      <w:r>
        <w:rPr>
          <w:rFonts w:hint="eastAsia" w:ascii="宋体" w:hAnsi="宋体" w:cs="宋体"/>
          <w:bCs/>
          <w:sz w:val="24"/>
          <w:szCs w:val="24"/>
        </w:rPr>
        <w:tab/>
      </w:r>
      <w:r>
        <w:rPr>
          <w:rFonts w:hint="eastAsia" w:ascii="宋体" w:hAnsi="宋体" w:cs="宋体"/>
          <w:bCs/>
          <w:sz w:val="24"/>
          <w:szCs w:val="24"/>
        </w:rPr>
        <w:t xml:space="preserve"> 支持至少4个4T4R小区</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2）带宽</w:t>
      </w:r>
      <w:r>
        <w:rPr>
          <w:rFonts w:hint="eastAsia" w:ascii="宋体" w:hAnsi="宋体" w:cs="宋体"/>
          <w:bCs/>
          <w:sz w:val="24"/>
          <w:szCs w:val="24"/>
        </w:rPr>
        <w:tab/>
      </w:r>
      <w:r>
        <w:rPr>
          <w:rFonts w:hint="eastAsia" w:ascii="宋体" w:hAnsi="宋体" w:cs="宋体"/>
          <w:bCs/>
          <w:sz w:val="24"/>
          <w:szCs w:val="24"/>
        </w:rPr>
        <w:t xml:space="preserve">带宽100M，子载波30k Hz，支持虚拟化和容器部署</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3）用户</w:t>
      </w:r>
      <w:r>
        <w:rPr>
          <w:rFonts w:hint="eastAsia" w:ascii="宋体" w:hAnsi="宋体" w:cs="宋体"/>
          <w:bCs/>
          <w:sz w:val="24"/>
          <w:szCs w:val="24"/>
        </w:rPr>
        <w:tab/>
      </w:r>
      <w:r>
        <w:rPr>
          <w:rFonts w:hint="eastAsia" w:ascii="宋体" w:hAnsi="宋体" w:cs="宋体"/>
          <w:bCs/>
          <w:sz w:val="24"/>
          <w:szCs w:val="24"/>
        </w:rPr>
        <w:t xml:space="preserve"> 单小区最大连接态用户数不少于1200个，单小区最大激活态用户数不少于400个</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4）连接</w:t>
      </w:r>
      <w:r>
        <w:rPr>
          <w:rFonts w:hint="eastAsia" w:ascii="宋体" w:hAnsi="宋体" w:cs="宋体"/>
          <w:bCs/>
          <w:sz w:val="24"/>
          <w:szCs w:val="24"/>
        </w:rPr>
        <w:tab/>
      </w:r>
      <w:r>
        <w:rPr>
          <w:rFonts w:hint="eastAsia" w:ascii="宋体" w:hAnsi="宋体" w:cs="宋体"/>
          <w:bCs/>
          <w:sz w:val="24"/>
          <w:szCs w:val="24"/>
        </w:rPr>
        <w:t xml:space="preserve">支持Ng接口与核心网连接</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5）架构</w:t>
      </w:r>
      <w:r>
        <w:rPr>
          <w:rFonts w:hint="eastAsia" w:ascii="宋体" w:hAnsi="宋体" w:cs="宋体"/>
          <w:bCs/>
          <w:sz w:val="24"/>
          <w:szCs w:val="24"/>
        </w:rPr>
        <w:tab/>
      </w:r>
      <w:r>
        <w:rPr>
          <w:rFonts w:hint="eastAsia" w:ascii="宋体" w:hAnsi="宋体" w:cs="宋体"/>
          <w:bCs/>
          <w:sz w:val="24"/>
          <w:szCs w:val="24"/>
        </w:rPr>
        <w:t xml:space="preserve">支持无蜂窝分布式MIMO传输和调度</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6）编解码</w:t>
      </w:r>
      <w:r>
        <w:rPr>
          <w:rFonts w:hint="eastAsia" w:ascii="宋体" w:hAnsi="宋体" w:cs="宋体"/>
          <w:bCs/>
          <w:sz w:val="24"/>
          <w:szCs w:val="24"/>
        </w:rPr>
        <w:tab/>
      </w:r>
      <w:r>
        <w:rPr>
          <w:rFonts w:hint="eastAsia" w:ascii="宋体" w:hAnsi="宋体" w:cs="宋体"/>
          <w:bCs/>
          <w:sz w:val="24"/>
          <w:szCs w:val="24"/>
        </w:rPr>
        <w:t xml:space="preserve">支持3GPP LDPC和Turbo硬件编解码</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7）接口</w:t>
      </w:r>
      <w:r>
        <w:rPr>
          <w:rFonts w:hint="eastAsia" w:ascii="宋体" w:hAnsi="宋体" w:cs="宋体"/>
          <w:bCs/>
          <w:sz w:val="24"/>
          <w:szCs w:val="24"/>
        </w:rPr>
        <w:tab/>
      </w:r>
      <w:r>
        <w:rPr>
          <w:rFonts w:hint="eastAsia" w:ascii="宋体" w:hAnsi="宋体" w:cs="宋体"/>
          <w:bCs/>
          <w:sz w:val="24"/>
          <w:szCs w:val="24"/>
        </w:rPr>
        <w:t xml:space="preserve">支持BBU与RRU直连组网，支持1个1Gbps/10Gbps/25Gbps自适应回传接口</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8）CPU</w:t>
      </w:r>
      <w:r>
        <w:rPr>
          <w:rFonts w:hint="eastAsia" w:ascii="宋体" w:hAnsi="宋体" w:cs="宋体"/>
          <w:bCs/>
          <w:sz w:val="24"/>
          <w:szCs w:val="24"/>
        </w:rPr>
        <w:tab/>
      </w:r>
      <w:r>
        <w:rPr>
          <w:rFonts w:hint="eastAsia" w:ascii="宋体" w:hAnsi="宋体" w:cs="宋体"/>
          <w:bCs/>
          <w:sz w:val="24"/>
          <w:szCs w:val="24"/>
        </w:rPr>
        <w:t xml:space="preserve">≥2路 CPU，单 CPU≥28核，主频≥2.5 GHz</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9）内存</w:t>
      </w:r>
      <w:r>
        <w:rPr>
          <w:rFonts w:hint="eastAsia" w:ascii="宋体" w:hAnsi="宋体" w:cs="宋体"/>
          <w:bCs/>
          <w:sz w:val="24"/>
          <w:szCs w:val="24"/>
        </w:rPr>
        <w:tab/>
      </w:r>
      <w:r>
        <w:rPr>
          <w:rFonts w:hint="eastAsia" w:ascii="宋体" w:hAnsi="宋体" w:cs="宋体"/>
          <w:bCs/>
          <w:sz w:val="24"/>
          <w:szCs w:val="24"/>
        </w:rPr>
        <w:t xml:space="preserve">≥512 GB DDR4/DDR5 ECC 内存（32GB每条）</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10）硬盘</w:t>
      </w:r>
      <w:r>
        <w:rPr>
          <w:rFonts w:hint="eastAsia" w:ascii="宋体" w:hAnsi="宋体" w:cs="宋体"/>
          <w:bCs/>
          <w:sz w:val="24"/>
          <w:szCs w:val="24"/>
        </w:rPr>
        <w:tab/>
      </w:r>
      <w:r>
        <w:rPr>
          <w:rFonts w:hint="eastAsia" w:ascii="宋体" w:hAnsi="宋体" w:cs="宋体"/>
          <w:bCs/>
          <w:sz w:val="24"/>
          <w:szCs w:val="24"/>
        </w:rPr>
        <w:t xml:space="preserve">≥2块960 GB 企业级 SSD/SATA；</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ab/>
      </w:r>
      <w:r>
        <w:rPr>
          <w:rFonts w:hint="eastAsia" w:ascii="宋体" w:hAnsi="宋体" w:cs="宋体"/>
          <w:bCs/>
          <w:sz w:val="24"/>
          <w:szCs w:val="24"/>
        </w:rPr>
        <w:t xml:space="preserve">≥2个16T HDD；</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ab/>
      </w:r>
      <w:r>
        <w:rPr>
          <w:rFonts w:hint="eastAsia" w:ascii="宋体" w:hAnsi="宋体" w:cs="宋体"/>
          <w:bCs/>
          <w:sz w:val="24"/>
          <w:szCs w:val="24"/>
        </w:rPr>
        <w:t xml:space="preserve">硬盘支持RAID 0/1/10/5/6；</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11）网卡</w:t>
      </w:r>
      <w:r>
        <w:rPr>
          <w:rFonts w:hint="eastAsia" w:ascii="宋体" w:hAnsi="宋体" w:cs="宋体"/>
          <w:bCs/>
          <w:sz w:val="24"/>
          <w:szCs w:val="24"/>
        </w:rPr>
        <w:tab/>
      </w:r>
      <w:r>
        <w:rPr>
          <w:rFonts w:hint="eastAsia" w:ascii="宋体" w:hAnsi="宋体" w:cs="宋体"/>
          <w:bCs/>
          <w:sz w:val="24"/>
          <w:szCs w:val="24"/>
        </w:rPr>
        <w:t xml:space="preserve">≥2个10Gbps 以太网口，配万兆多模光模块；</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ab/>
      </w:r>
      <w:r>
        <w:rPr>
          <w:rFonts w:hint="eastAsia" w:ascii="宋体" w:hAnsi="宋体" w:cs="宋体"/>
          <w:bCs/>
          <w:sz w:val="24"/>
          <w:szCs w:val="24"/>
        </w:rPr>
        <w:t xml:space="preserve">≥2个千兆电口；</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12）阵列卡</w:t>
      </w:r>
      <w:r>
        <w:rPr>
          <w:rFonts w:hint="eastAsia" w:ascii="宋体" w:hAnsi="宋体" w:cs="宋体"/>
          <w:bCs/>
          <w:sz w:val="24"/>
          <w:szCs w:val="24"/>
        </w:rPr>
        <w:tab/>
      </w:r>
      <w:r>
        <w:rPr>
          <w:rFonts w:hint="eastAsia" w:ascii="宋体" w:hAnsi="宋体" w:cs="宋体"/>
          <w:bCs/>
          <w:sz w:val="24"/>
          <w:szCs w:val="24"/>
        </w:rPr>
        <w:t xml:space="preserve">支持 RAID 0/1/5/6/10</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13）电源</w:t>
      </w:r>
      <w:r>
        <w:rPr>
          <w:rFonts w:hint="eastAsia" w:ascii="宋体" w:hAnsi="宋体" w:cs="宋体"/>
          <w:bCs/>
          <w:sz w:val="24"/>
          <w:szCs w:val="24"/>
        </w:rPr>
        <w:tab/>
      </w:r>
      <w:r>
        <w:rPr>
          <w:rFonts w:hint="eastAsia" w:ascii="宋体" w:hAnsi="宋体" w:cs="宋体"/>
          <w:bCs/>
          <w:sz w:val="24"/>
          <w:szCs w:val="24"/>
        </w:rPr>
        <w:t xml:space="preserve">≥2个冗余电源，单个电源功率≥1600W</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14）远程管理</w:t>
      </w:r>
      <w:r>
        <w:rPr>
          <w:rFonts w:hint="eastAsia" w:ascii="宋体" w:hAnsi="宋体" w:cs="宋体"/>
          <w:bCs/>
          <w:sz w:val="24"/>
          <w:szCs w:val="24"/>
        </w:rPr>
        <w:tab/>
      </w:r>
      <w:r>
        <w:rPr>
          <w:rFonts w:hint="eastAsia" w:ascii="宋体" w:hAnsi="宋体" w:cs="宋体"/>
          <w:bCs/>
          <w:sz w:val="24"/>
          <w:szCs w:val="24"/>
        </w:rPr>
        <w:t xml:space="preserve">支持 IPMI/iDRAC/iLO 独立管理口</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15）操作系统</w:t>
      </w:r>
      <w:r>
        <w:rPr>
          <w:rFonts w:hint="eastAsia" w:ascii="宋体" w:hAnsi="宋体" w:cs="宋体"/>
          <w:bCs/>
          <w:sz w:val="24"/>
          <w:szCs w:val="24"/>
        </w:rPr>
        <w:tab/>
      </w:r>
      <w:r>
        <w:rPr>
          <w:rFonts w:hint="eastAsia" w:ascii="宋体" w:hAnsi="宋体" w:cs="宋体"/>
          <w:bCs/>
          <w:sz w:val="24"/>
          <w:szCs w:val="24"/>
        </w:rPr>
        <w:t xml:space="preserve">支持 Cent OS 7.9 / Ubuntu</w:t>
      </w:r>
      <w:r/>
    </w:p>
    <w:p>
      <w:pPr>
        <w:pStyle w:val="1184"/>
        <w:ind w:left="480" w:firstLine="480"/>
        <w:spacing w:line="360" w:lineRule="exact"/>
        <w:rPr>
          <w:rFonts w:hint="eastAsia" w:ascii="宋体" w:hAnsi="宋体" w:cs="宋体"/>
          <w:bCs/>
          <w:sz w:val="24"/>
          <w:szCs w:val="24"/>
        </w:rPr>
      </w:pPr>
      <w:r>
        <w:rPr>
          <w:rFonts w:hint="eastAsia" w:ascii="宋体" w:hAnsi="宋体" w:cs="宋体"/>
          <w:bCs/>
          <w:sz w:val="24"/>
          <w:szCs w:val="24"/>
        </w:rPr>
        <w:t xml:space="preserve">16）质保</w:t>
      </w:r>
      <w:r>
        <w:rPr>
          <w:rFonts w:hint="eastAsia" w:ascii="宋体" w:hAnsi="宋体" w:cs="宋体"/>
          <w:bCs/>
          <w:sz w:val="24"/>
          <w:szCs w:val="24"/>
        </w:rPr>
        <w:tab/>
      </w:r>
      <w:r>
        <w:rPr>
          <w:rFonts w:hint="eastAsia" w:ascii="宋体" w:hAnsi="宋体" w:cs="宋体"/>
          <w:bCs/>
          <w:sz w:val="24"/>
          <w:szCs w:val="24"/>
        </w:rPr>
        <w:t xml:space="preserve">原厂三年免费质保，7×24 小时技术支持</w:t>
      </w:r>
      <w:r/>
    </w:p>
    <w:p>
      <w:pPr>
        <w:numPr>
          <w:ilvl w:val="0"/>
          <w:numId w:val="12"/>
        </w:numPr>
        <w:ind w:left="0" w:firstLine="425"/>
        <w:spacing w:line="360" w:lineRule="exact"/>
        <w:rPr>
          <w:rFonts w:hint="eastAsia" w:ascii="宋体" w:hAnsi="宋体" w:cs="宋体"/>
          <w:bCs/>
          <w:sz w:val="24"/>
          <w:szCs w:val="24"/>
        </w:rPr>
      </w:pPr>
      <w:r/>
      <w:bookmarkStart w:id="88" w:name="OLE_LINK13"/>
      <w:r>
        <w:rPr>
          <w:rFonts w:hint="eastAsia" w:ascii="宋体" w:hAnsi="宋体" w:cs="宋体"/>
          <w:bCs/>
          <w:sz w:val="24"/>
          <w:szCs w:val="24"/>
        </w:rPr>
        <w:t xml:space="preserve">网络配套UPF系统要求</w:t>
      </w:r>
      <w:bookmarkEnd w:id="88"/>
      <w:r/>
      <w:r/>
    </w:p>
    <w:p>
      <w:pPr>
        <w:ind w:firstLine="480"/>
        <w:spacing w:line="360" w:lineRule="auto"/>
        <w:rPr>
          <w:rFonts w:hint="eastAsia" w:asciiTheme="minorEastAsia" w:hAnsiTheme="minorEastAsia" w:eastAsiaTheme="minorEastAsia"/>
          <w:sz w:val="24"/>
          <w:szCs w:val="28"/>
        </w:rPr>
      </w:pPr>
      <w:r>
        <w:rPr>
          <w:rFonts w:hint="eastAsia" w:asciiTheme="minorEastAsia" w:hAnsiTheme="minorEastAsia" w:eastAsiaTheme="minorEastAsia"/>
          <w:sz w:val="24"/>
          <w:szCs w:val="28"/>
        </w:rPr>
        <w:t xml:space="preserve">UPF应用于企业专网建设。系统连接图如下：</w:t>
      </w:r>
      <w:r/>
    </w:p>
    <w:p>
      <w:pPr>
        <w:jc w:val="center"/>
        <w:rPr>
          <w:rFonts w:hint="eastAsia" w:ascii="宋体" w:hAnsi="宋体" w:cs="宋体"/>
          <w:bCs/>
          <w:sz w:val="24"/>
          <w:szCs w:val="24"/>
        </w:rPr>
      </w:pPr>
      <w:r>
        <w:rPr>
          <w:rFonts w:hint="eastAsia" w:ascii="仿宋_GB2312" w:hAnsi="黑体" w:eastAsia="仿宋_GB2312"/>
          <w:sz w:val="28"/>
          <w:szCs w:val="28"/>
        </w:rPr>
        <mc:AlternateContent>
          <mc:Choice Requires="wpg">
            <w:drawing>
              <wp:inline xmlns:wp="http://schemas.openxmlformats.org/drawingml/2006/wordprocessingDrawing" distT="0" distB="0" distL="0" distR="0">
                <wp:extent cx="4507865" cy="2052320"/>
                <wp:effectExtent l="0" t="0" r="6985" b="508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819455" name="图片 2"/>
                        <pic:cNvPicPr>
                          <a:picLocks noChangeAspect="1"/>
                        </pic:cNvPicPr>
                        <pic:nvPr/>
                      </pic:nvPicPr>
                      <pic:blipFill>
                        <a:blip r:embed="rId21"/>
                        <a:stretch/>
                      </pic:blipFill>
                      <pic:spPr bwMode="auto">
                        <a:xfrm>
                          <a:off x="0" y="0"/>
                          <a:ext cx="4535010" cy="2065174"/>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4.9pt;height:161.6pt;mso-wrap-distance-left:0.0pt;mso-wrap-distance-top:0.0pt;mso-wrap-distance-right:0.0pt;mso-wrap-distance-bottom:0.0pt;" stroked="false">
                <v:path textboxrect="0,0,0,0"/>
                <v:imagedata r:id="rId21" o:title=""/>
              </v:shape>
            </w:pict>
          </mc:Fallback>
        </mc:AlternateContent>
      </w:r>
      <w:r/>
    </w:p>
    <w:p>
      <w:pPr>
        <w:spacing w:line="360" w:lineRule="exact"/>
        <w:rPr>
          <w:rFonts w:hint="eastAsia" w:ascii="宋体" w:hAnsi="宋体" w:cs="宋体"/>
          <w:bCs/>
          <w:sz w:val="24"/>
          <w:szCs w:val="24"/>
        </w:rPr>
      </w:pPr>
      <w:r>
        <w:rPr>
          <w:rFonts w:hint="eastAsia" w:ascii="宋体" w:hAnsi="宋体" w:cs="宋体"/>
          <w:bCs/>
          <w:sz w:val="24"/>
          <w:szCs w:val="24"/>
        </w:rPr>
      </w:r>
      <w:r/>
    </w:p>
    <w:p>
      <w:pPr>
        <w:ind w:firstLine="480"/>
        <w:spacing w:line="400" w:lineRule="exact"/>
        <w:rPr>
          <w:rFonts w:hint="eastAsia" w:ascii="宋体" w:hAnsi="宋体" w:cs="宋体"/>
          <w:sz w:val="24"/>
          <w:szCs w:val="28"/>
        </w:rPr>
      </w:pPr>
      <w:r>
        <w:rPr>
          <w:rFonts w:hint="eastAsia" w:ascii="宋体" w:hAnsi="宋体" w:cs="宋体"/>
          <w:sz w:val="24"/>
          <w:szCs w:val="28"/>
        </w:rPr>
        <w:t xml:space="preserve">说明：待采购的UPF与企业专网基站（BBU），放置在企业的IDC机房里。UPF提供两个接口10GE光口。“接口1”用于连通企业专网基站和公网基站。“接口2”用于连通APP Server.“接口3”为速率不低于100Mbps的专线，用于连通运营商网络的5GC控制面和支持网络切片的公网基站。</w:t>
      </w:r>
      <w:r/>
    </w:p>
    <w:p>
      <w:pPr>
        <w:ind w:firstLine="480"/>
        <w:spacing w:line="400" w:lineRule="exact"/>
        <w:rPr>
          <w:rFonts w:hint="eastAsia" w:ascii="宋体" w:hAnsi="宋体" w:cs="宋体"/>
          <w:sz w:val="24"/>
          <w:szCs w:val="28"/>
        </w:rPr>
      </w:pPr>
      <w:r>
        <w:rPr>
          <w:rFonts w:hint="eastAsia" w:ascii="宋体" w:hAnsi="宋体" w:cs="宋体"/>
          <w:sz w:val="24"/>
          <w:szCs w:val="28"/>
        </w:rPr>
        <w:t xml:space="preserve">本次采购的范围为：UPF和配套的两个接口的光模块（10GE、多模），和“接口3”的专线连通（含光纤和光模块）+不低于100Mbps的专线服务。</w:t>
      </w:r>
      <w:r/>
    </w:p>
    <w:p>
      <w:pPr>
        <w:ind w:firstLine="480"/>
        <w:spacing w:line="400" w:lineRule="exact"/>
        <w:rPr>
          <w:rFonts w:hint="eastAsia" w:ascii="宋体" w:hAnsi="宋体" w:cs="宋体"/>
          <w:sz w:val="24"/>
          <w:szCs w:val="28"/>
        </w:rPr>
      </w:pPr>
      <w:r>
        <w:rPr>
          <w:rFonts w:hint="eastAsia" w:ascii="宋体" w:hAnsi="宋体" w:cs="宋体"/>
          <w:sz w:val="24"/>
          <w:szCs w:val="28"/>
        </w:rPr>
        <w:t xml:space="preserve">场景a:当企业专网UE在企业专网基站的覆盖范围内时</w:t>
      </w:r>
      <w:r/>
    </w:p>
    <w:p>
      <w:pPr>
        <w:ind w:firstLine="480"/>
        <w:spacing w:line="400" w:lineRule="exact"/>
        <w:rPr>
          <w:rFonts w:hint="eastAsia" w:ascii="宋体" w:hAnsi="宋体" w:cs="宋体"/>
          <w:sz w:val="24"/>
          <w:szCs w:val="28"/>
        </w:rPr>
      </w:pPr>
      <w:r>
        <w:rPr>
          <w:rFonts w:hint="eastAsia" w:ascii="宋体" w:hAnsi="宋体" w:cs="宋体"/>
          <w:sz w:val="24"/>
          <w:szCs w:val="28"/>
        </w:rPr>
        <w:t xml:space="preserve">（1）UPF+5GC控制面，应能够与企业专网基站协同配合，完成企业专网UE的接入、会话建立、数据传输，支持UE的数据通过企业专网基站和UPF，发送到APP Server。</w:t>
      </w:r>
      <w:r/>
    </w:p>
    <w:p>
      <w:pPr>
        <w:ind w:firstLine="480"/>
        <w:spacing w:line="400" w:lineRule="exact"/>
        <w:rPr>
          <w:rFonts w:hint="eastAsia" w:ascii="宋体" w:hAnsi="宋体" w:cs="宋体"/>
          <w:sz w:val="24"/>
          <w:szCs w:val="28"/>
        </w:rPr>
      </w:pPr>
      <w:r>
        <w:rPr>
          <w:rFonts w:hint="eastAsia" w:ascii="宋体" w:hAnsi="宋体" w:cs="宋体"/>
          <w:sz w:val="24"/>
          <w:szCs w:val="28"/>
        </w:rPr>
        <w:t xml:space="preserve">（2）能够拒绝非企业专网UE的用户接入。</w:t>
      </w:r>
      <w:r/>
    </w:p>
    <w:p>
      <w:pPr>
        <w:ind w:firstLine="480"/>
        <w:spacing w:line="400" w:lineRule="exact"/>
        <w:rPr>
          <w:rFonts w:hint="eastAsia" w:ascii="宋体" w:hAnsi="宋体" w:cs="宋体"/>
          <w:sz w:val="24"/>
          <w:szCs w:val="28"/>
        </w:rPr>
      </w:pPr>
      <w:r>
        <w:rPr>
          <w:rFonts w:hint="eastAsia" w:ascii="宋体" w:hAnsi="宋体" w:cs="宋体"/>
          <w:sz w:val="24"/>
          <w:szCs w:val="28"/>
        </w:rPr>
        <w:t xml:space="preserve">场景b：当企业专网UE在公网基站的覆盖范围内时</w:t>
      </w:r>
      <w:r/>
    </w:p>
    <w:p>
      <w:pPr>
        <w:ind w:firstLine="480"/>
        <w:spacing w:line="400" w:lineRule="exact"/>
        <w:rPr>
          <w:rFonts w:hint="eastAsia" w:ascii="宋体" w:hAnsi="宋体" w:cs="宋体"/>
          <w:sz w:val="24"/>
          <w:szCs w:val="28"/>
        </w:rPr>
      </w:pPr>
      <w:r>
        <w:rPr>
          <w:rFonts w:hint="eastAsia" w:ascii="宋体" w:hAnsi="宋体" w:cs="宋体"/>
          <w:sz w:val="24"/>
          <w:szCs w:val="28"/>
        </w:rPr>
        <w:t xml:space="preserve">（1）企业专网UE能够通过公网基站的网络切片，回传数据到企业专网UPF，并发送数据到APP Server.</w:t>
      </w:r>
      <w:r/>
    </w:p>
    <w:p>
      <w:pPr>
        <w:ind w:firstLine="480"/>
        <w:spacing w:line="400" w:lineRule="exact"/>
        <w:rPr>
          <w:rFonts w:hint="eastAsia" w:ascii="宋体" w:hAnsi="宋体" w:cs="宋体"/>
          <w:sz w:val="24"/>
          <w:szCs w:val="28"/>
        </w:rPr>
      </w:pPr>
      <w:r>
        <w:rPr>
          <w:rFonts w:hint="eastAsia" w:ascii="宋体" w:hAnsi="宋体" w:cs="宋体"/>
          <w:sz w:val="24"/>
          <w:szCs w:val="28"/>
        </w:rPr>
        <w:t xml:space="preserve">（2）拒绝非企业专网UE接入到企业专网切片的请求，保障企业专网网络安全。</w:t>
      </w:r>
      <w:r/>
    </w:p>
    <w:p>
      <w:pPr>
        <w:ind w:firstLine="480"/>
        <w:spacing w:line="400" w:lineRule="exact"/>
        <w:rPr>
          <w:rFonts w:hint="eastAsia" w:ascii="宋体" w:hAnsi="宋体" w:cs="宋体"/>
          <w:sz w:val="24"/>
          <w:szCs w:val="28"/>
        </w:rPr>
      </w:pPr>
      <w:r>
        <w:rPr>
          <w:rFonts w:hint="eastAsia" w:ascii="宋体" w:hAnsi="宋体" w:cs="宋体"/>
          <w:sz w:val="24"/>
          <w:szCs w:val="28"/>
        </w:rPr>
        <w:t xml:space="preserve">场景c: 当企业专网UE在企业专网基站和公网基站的覆盖边缘时</w:t>
      </w:r>
      <w:r/>
    </w:p>
    <w:p>
      <w:pPr>
        <w:ind w:firstLine="480"/>
        <w:spacing w:line="400" w:lineRule="exact"/>
        <w:rPr>
          <w:rFonts w:hint="eastAsia" w:ascii="宋体" w:hAnsi="宋体" w:cs="宋体"/>
          <w:sz w:val="24"/>
          <w:szCs w:val="28"/>
        </w:rPr>
      </w:pPr>
      <w:r>
        <w:rPr>
          <w:rFonts w:hint="eastAsia" w:ascii="宋体" w:hAnsi="宋体" w:cs="宋体"/>
          <w:sz w:val="24"/>
          <w:szCs w:val="28"/>
        </w:rPr>
        <w:t xml:space="preserve">（1）根据测量信号强弱以及判决条件，企业专网UE可从专网基站切换到公网基站。</w:t>
      </w:r>
      <w:r/>
    </w:p>
    <w:p>
      <w:pPr>
        <w:ind w:firstLine="480"/>
        <w:spacing w:line="400" w:lineRule="exact"/>
        <w:rPr>
          <w:rFonts w:hint="eastAsia" w:ascii="宋体" w:hAnsi="宋体" w:cs="宋体"/>
          <w:sz w:val="24"/>
          <w:szCs w:val="28"/>
        </w:rPr>
      </w:pPr>
      <w:r>
        <w:rPr>
          <w:rFonts w:hint="eastAsia" w:ascii="宋体" w:hAnsi="宋体" w:cs="宋体"/>
          <w:sz w:val="24"/>
          <w:szCs w:val="28"/>
        </w:rPr>
        <w:t xml:space="preserve">（2）根据测量信号强弱以及判决条件，企业专网UE可从公网基站切换到专网基站，并阻止普通用户切换到专网。</w:t>
      </w:r>
      <w:r/>
    </w:p>
    <w:p>
      <w:pPr>
        <w:ind w:firstLine="480"/>
        <w:spacing w:line="400" w:lineRule="exact"/>
        <w:rPr>
          <w:rFonts w:hint="eastAsia" w:ascii="宋体" w:hAnsi="宋体" w:cs="宋体"/>
          <w:sz w:val="24"/>
          <w:szCs w:val="28"/>
        </w:rPr>
      </w:pPr>
      <w:r>
        <w:rPr>
          <w:rFonts w:hint="eastAsia" w:ascii="宋体" w:hAnsi="宋体" w:cs="宋体"/>
          <w:sz w:val="24"/>
          <w:szCs w:val="28"/>
        </w:rPr>
        <w:t xml:space="preserve">UPF系统包括一体化设备+服务（含专线服务，公网网络切片服务），技术要求如下：</w:t>
      </w:r>
      <w:r/>
    </w:p>
    <w:p>
      <w:pPr>
        <w:pStyle w:val="1184"/>
        <w:numPr>
          <w:ilvl w:val="0"/>
          <w:numId w:val="16"/>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UPF一体化设备</w:t>
      </w:r>
      <w:r/>
    </w:p>
    <w:p>
      <w:pPr>
        <w:pStyle w:val="1184"/>
        <w:ind w:firstLine="482"/>
        <w:spacing w:line="400" w:lineRule="exact"/>
        <w:rPr>
          <w:rFonts w:hint="eastAsia" w:ascii="宋体" w:hAnsi="宋体" w:cs="宋体"/>
          <w:bCs/>
          <w:sz w:val="24"/>
          <w:szCs w:val="24"/>
        </w:rPr>
      </w:pPr>
      <w:r>
        <w:rPr>
          <w:rFonts w:hint="eastAsia" w:ascii="宋体" w:hAnsi="宋体" w:cs="宋体"/>
          <w:b/>
          <w:bCs/>
          <w:sz w:val="24"/>
          <w:szCs w:val="24"/>
        </w:rPr>
        <w:t xml:space="preserve">1）接口协议</w:t>
      </w:r>
      <w:r/>
    </w:p>
    <w:p>
      <w:pPr>
        <w:pStyle w:val="1184"/>
        <w:numPr>
          <w:ilvl w:val="1"/>
          <w:numId w:val="17"/>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支持 N4（PFCP）对接 SMF</w:t>
      </w:r>
      <w:r/>
    </w:p>
    <w:p>
      <w:pPr>
        <w:pStyle w:val="1184"/>
        <w:numPr>
          <w:ilvl w:val="1"/>
          <w:numId w:val="17"/>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支持 GTP-U 隧道封装 / 解封装</w:t>
      </w:r>
      <w:r/>
    </w:p>
    <w:p>
      <w:pPr>
        <w:pStyle w:val="1184"/>
        <w:numPr>
          <w:ilvl w:val="1"/>
          <w:numId w:val="17"/>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支持 PDR/FAR/QER/URR 规则</w:t>
      </w:r>
      <w:r/>
    </w:p>
    <w:p>
      <w:pPr>
        <w:pStyle w:val="1184"/>
        <w:numPr>
          <w:ilvl w:val="1"/>
          <w:numId w:val="17"/>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支持网络切片</w:t>
      </w:r>
      <w:r/>
    </w:p>
    <w:p>
      <w:pPr>
        <w:pStyle w:val="1184"/>
        <w:ind w:firstLine="482"/>
        <w:spacing w:line="400" w:lineRule="exact"/>
        <w:rPr>
          <w:rFonts w:hint="eastAsia" w:ascii="宋体" w:hAnsi="宋体" w:cs="宋体"/>
          <w:bCs/>
          <w:sz w:val="24"/>
          <w:szCs w:val="24"/>
        </w:rPr>
      </w:pPr>
      <w:r>
        <w:rPr>
          <w:rFonts w:hint="eastAsia" w:ascii="宋体" w:hAnsi="宋体" w:cs="宋体"/>
          <w:b/>
          <w:bCs/>
          <w:sz w:val="24"/>
          <w:szCs w:val="24"/>
        </w:rPr>
        <w:t xml:space="preserve">2）业务功能</w:t>
      </w:r>
      <w:r/>
    </w:p>
    <w:p>
      <w:pPr>
        <w:pStyle w:val="1184"/>
        <w:numPr>
          <w:ilvl w:val="0"/>
          <w:numId w:val="18"/>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5G QoS、带宽限速、优先级调度</w:t>
      </w:r>
      <w:r/>
    </w:p>
    <w:p>
      <w:pPr>
        <w:pStyle w:val="1184"/>
        <w:numPr>
          <w:ilvl w:val="0"/>
          <w:numId w:val="18"/>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SGi 接口、NAT、ACL、静态 / 动态路由</w:t>
      </w:r>
      <w:r/>
    </w:p>
    <w:p>
      <w:pPr>
        <w:pStyle w:val="1184"/>
        <w:numPr>
          <w:ilvl w:val="0"/>
          <w:numId w:val="18"/>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本地分流、流量统计、基础 DPI</w:t>
      </w:r>
      <w:r/>
    </w:p>
    <w:p>
      <w:pPr>
        <w:pStyle w:val="1184"/>
        <w:numPr>
          <w:ilvl w:val="0"/>
          <w:numId w:val="18"/>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黑白名单、访问控制</w:t>
      </w:r>
      <w:r/>
    </w:p>
    <w:p>
      <w:pPr>
        <w:pStyle w:val="1184"/>
        <w:ind w:firstLine="482"/>
        <w:spacing w:line="400" w:lineRule="exact"/>
        <w:rPr>
          <w:rFonts w:hint="eastAsia" w:ascii="宋体" w:hAnsi="宋体" w:cs="宋体"/>
          <w:bCs/>
          <w:sz w:val="24"/>
          <w:szCs w:val="24"/>
        </w:rPr>
      </w:pPr>
      <w:r>
        <w:rPr>
          <w:rFonts w:hint="eastAsia" w:ascii="宋体" w:hAnsi="宋体" w:cs="宋体"/>
          <w:b/>
          <w:bCs/>
          <w:sz w:val="24"/>
          <w:szCs w:val="24"/>
        </w:rPr>
        <w:t xml:space="preserve">3）运维管理</w:t>
      </w:r>
      <w:r/>
    </w:p>
    <w:p>
      <w:pPr>
        <w:pStyle w:val="1184"/>
        <w:numPr>
          <w:ilvl w:val="0"/>
          <w:numId w:val="19"/>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Web 图形化管理界面</w:t>
      </w:r>
      <w:r/>
    </w:p>
    <w:p>
      <w:pPr>
        <w:pStyle w:val="1184"/>
        <w:numPr>
          <w:ilvl w:val="0"/>
          <w:numId w:val="19"/>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会话、流量、硬件状态监控</w:t>
      </w:r>
      <w:r/>
    </w:p>
    <w:p>
      <w:pPr>
        <w:pStyle w:val="1184"/>
        <w:numPr>
          <w:ilvl w:val="0"/>
          <w:numId w:val="19"/>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配置备份 / 恢复、日志、告警</w:t>
      </w:r>
      <w:r/>
    </w:p>
    <w:p>
      <w:pPr>
        <w:pStyle w:val="1184"/>
        <w:numPr>
          <w:ilvl w:val="0"/>
          <w:numId w:val="19"/>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进程守护、异常自动恢复</w:t>
      </w:r>
      <w:r/>
    </w:p>
    <w:p>
      <w:pPr>
        <w:ind w:firstLine="422"/>
        <w:spacing w:line="400" w:lineRule="exact"/>
        <w:rPr>
          <w:rFonts w:hint="eastAsia" w:ascii="宋体" w:hAnsi="宋体" w:cs="宋体"/>
          <w:b/>
          <w:sz w:val="24"/>
          <w:szCs w:val="24"/>
        </w:rPr>
      </w:pPr>
      <w:r>
        <w:rPr>
          <w:rFonts w:hint="eastAsia" w:ascii="宋体" w:hAnsi="宋体" w:cs="宋体"/>
          <w:b/>
          <w:sz w:val="24"/>
          <w:szCs w:val="24"/>
        </w:rPr>
        <w:t xml:space="preserve">4）配置要求</w:t>
      </w:r>
      <w:r/>
    </w:p>
    <w:p>
      <w:pPr>
        <w:pStyle w:val="1184"/>
        <w:numPr>
          <w:ilvl w:val="0"/>
          <w:numId w:val="20"/>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形态</w:t>
      </w:r>
      <w:r>
        <w:rPr>
          <w:rFonts w:hint="eastAsia" w:ascii="宋体" w:hAnsi="宋体" w:cs="宋体"/>
          <w:bCs/>
          <w:sz w:val="24"/>
          <w:szCs w:val="24"/>
        </w:rPr>
        <w:tab/>
      </w:r>
      <w:r>
        <w:rPr>
          <w:rFonts w:hint="eastAsia" w:ascii="宋体" w:hAnsi="宋体" w:cs="宋体"/>
          <w:bCs/>
          <w:sz w:val="24"/>
          <w:szCs w:val="24"/>
        </w:rPr>
        <w:t xml:space="preserve">不高于2U；</w:t>
      </w:r>
      <w:r/>
    </w:p>
    <w:p>
      <w:pPr>
        <w:pStyle w:val="1184"/>
        <w:numPr>
          <w:ilvl w:val="0"/>
          <w:numId w:val="20"/>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CPU</w:t>
      </w:r>
      <w:r>
        <w:rPr>
          <w:rFonts w:hint="eastAsia" w:ascii="宋体" w:hAnsi="宋体" w:cs="宋体"/>
          <w:bCs/>
          <w:sz w:val="24"/>
          <w:szCs w:val="24"/>
        </w:rPr>
        <w:tab/>
      </w:r>
      <w:r>
        <w:rPr>
          <w:rFonts w:hint="eastAsia" w:ascii="宋体" w:hAnsi="宋体" w:cs="宋体"/>
          <w:bCs/>
          <w:sz w:val="24"/>
          <w:szCs w:val="24"/>
        </w:rPr>
        <w:t xml:space="preserve">说明CPU品牌和型号，优先支持信创产品；</w:t>
      </w:r>
      <w:r/>
    </w:p>
    <w:p>
      <w:pPr>
        <w:pStyle w:val="1184"/>
        <w:numPr>
          <w:ilvl w:val="0"/>
          <w:numId w:val="20"/>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每CPU≥20 核，主频≥2.2GHz；</w:t>
      </w:r>
      <w:r/>
    </w:p>
    <w:p>
      <w:pPr>
        <w:pStyle w:val="1184"/>
        <w:numPr>
          <w:ilvl w:val="0"/>
          <w:numId w:val="20"/>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内存</w:t>
      </w:r>
      <w:r>
        <w:rPr>
          <w:rFonts w:hint="eastAsia" w:ascii="宋体" w:hAnsi="宋体" w:cs="宋体"/>
          <w:bCs/>
          <w:sz w:val="24"/>
          <w:szCs w:val="24"/>
        </w:rPr>
        <w:tab/>
      </w:r>
      <w:r>
        <w:rPr>
          <w:rFonts w:hint="eastAsia" w:ascii="宋体" w:hAnsi="宋体" w:cs="宋体"/>
          <w:bCs/>
          <w:sz w:val="24"/>
          <w:szCs w:val="24"/>
        </w:rPr>
        <w:t xml:space="preserve">≥64GB DDR4 ECC；</w:t>
      </w:r>
      <w:r/>
    </w:p>
    <w:p>
      <w:pPr>
        <w:pStyle w:val="1184"/>
        <w:numPr>
          <w:ilvl w:val="0"/>
          <w:numId w:val="20"/>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存储</w:t>
      </w:r>
      <w:r>
        <w:rPr>
          <w:rFonts w:hint="eastAsia" w:ascii="宋体" w:hAnsi="宋体" w:cs="宋体"/>
          <w:bCs/>
          <w:sz w:val="24"/>
          <w:szCs w:val="24"/>
        </w:rPr>
        <w:tab/>
      </w:r>
      <w:r>
        <w:rPr>
          <w:rFonts w:hint="eastAsia" w:ascii="宋体" w:hAnsi="宋体" w:cs="宋体"/>
          <w:bCs/>
          <w:sz w:val="24"/>
          <w:szCs w:val="24"/>
        </w:rPr>
        <w:t xml:space="preserve">≥960GB 企业级 SSD；</w:t>
      </w:r>
      <w:r/>
    </w:p>
    <w:p>
      <w:pPr>
        <w:pStyle w:val="1184"/>
        <w:numPr>
          <w:ilvl w:val="0"/>
          <w:numId w:val="20"/>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业务网卡</w:t>
      </w:r>
      <w:r>
        <w:rPr>
          <w:rFonts w:hint="eastAsia" w:ascii="宋体" w:hAnsi="宋体" w:cs="宋体"/>
          <w:bCs/>
          <w:sz w:val="24"/>
          <w:szCs w:val="24"/>
        </w:rPr>
        <w:tab/>
      </w:r>
      <w:r>
        <w:rPr>
          <w:rFonts w:hint="eastAsia" w:ascii="宋体" w:hAnsi="宋体" w:cs="宋体"/>
          <w:bCs/>
          <w:sz w:val="24"/>
          <w:szCs w:val="24"/>
        </w:rPr>
        <w:t xml:space="preserve">≥2 口 智能网卡，支持 DPDK、SR-IOV、RSS、GTP-U 加速；</w:t>
      </w:r>
      <w:r/>
    </w:p>
    <w:p>
      <w:pPr>
        <w:pStyle w:val="1184"/>
        <w:numPr>
          <w:ilvl w:val="0"/>
          <w:numId w:val="20"/>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管理口</w:t>
      </w:r>
      <w:r>
        <w:rPr>
          <w:rFonts w:hint="eastAsia" w:ascii="宋体" w:hAnsi="宋体" w:cs="宋体"/>
          <w:bCs/>
          <w:sz w:val="24"/>
          <w:szCs w:val="24"/>
        </w:rPr>
        <w:tab/>
      </w:r>
      <w:r>
        <w:rPr>
          <w:rFonts w:hint="eastAsia" w:ascii="宋体" w:hAnsi="宋体" w:cs="宋体"/>
          <w:bCs/>
          <w:sz w:val="24"/>
          <w:szCs w:val="24"/>
        </w:rPr>
        <w:t xml:space="preserve">≥1 口千兆电口，支持 IPMI/iDRAC/iLO；</w:t>
      </w:r>
      <w:r/>
    </w:p>
    <w:p>
      <w:pPr>
        <w:pStyle w:val="1184"/>
        <w:numPr>
          <w:ilvl w:val="0"/>
          <w:numId w:val="20"/>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电源</w:t>
      </w:r>
      <w:r>
        <w:rPr>
          <w:rFonts w:hint="eastAsia" w:ascii="宋体" w:hAnsi="宋体" w:cs="宋体"/>
          <w:bCs/>
          <w:sz w:val="24"/>
          <w:szCs w:val="24"/>
        </w:rPr>
        <w:tab/>
      </w:r>
      <w:r>
        <w:rPr>
          <w:rFonts w:hint="eastAsia" w:ascii="宋体" w:hAnsi="宋体" w:cs="宋体"/>
          <w:bCs/>
          <w:sz w:val="24"/>
          <w:szCs w:val="24"/>
        </w:rPr>
        <w:t xml:space="preserve">1+1 冗余热插拔电源；</w:t>
      </w:r>
      <w:r/>
    </w:p>
    <w:p>
      <w:pPr>
        <w:pStyle w:val="1184"/>
        <w:numPr>
          <w:ilvl w:val="0"/>
          <w:numId w:val="20"/>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可靠性</w:t>
      </w:r>
      <w:r>
        <w:rPr>
          <w:rFonts w:hint="eastAsia" w:ascii="宋体" w:hAnsi="宋体" w:cs="宋体"/>
          <w:bCs/>
          <w:sz w:val="24"/>
          <w:szCs w:val="24"/>
        </w:rPr>
        <w:tab/>
      </w:r>
      <w:r>
        <w:rPr>
          <w:rFonts w:hint="eastAsia" w:ascii="宋体" w:hAnsi="宋体" w:cs="宋体"/>
          <w:bCs/>
          <w:sz w:val="24"/>
          <w:szCs w:val="24"/>
        </w:rPr>
        <w:t xml:space="preserve">支持硬件故障告警、配置持久化；</w:t>
      </w:r>
      <w:r/>
    </w:p>
    <w:p>
      <w:pPr>
        <w:pStyle w:val="1184"/>
        <w:numPr>
          <w:ilvl w:val="0"/>
          <w:numId w:val="16"/>
        </w:numPr>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专线及网络切片服务</w:t>
      </w:r>
      <w:r/>
    </w:p>
    <w:p>
      <w:pPr>
        <w:numPr>
          <w:ilvl w:val="0"/>
          <w:numId w:val="21"/>
        </w:numPr>
        <w:ind w:left="0" w:firstLine="480"/>
        <w:spacing w:line="400" w:lineRule="exact"/>
        <w:rPr>
          <w:rFonts w:hint="eastAsia" w:ascii="宋体" w:hAnsi="宋体" w:cs="宋体"/>
          <w:sz w:val="24"/>
          <w:szCs w:val="24"/>
        </w:rPr>
      </w:pPr>
      <w:r>
        <w:rPr>
          <w:rFonts w:hint="eastAsia" w:ascii="宋体" w:hAnsi="宋体" w:cs="宋体"/>
          <w:sz w:val="24"/>
          <w:szCs w:val="24"/>
        </w:rPr>
        <w:t xml:space="preserve">专线速率不低于100Mbps；</w:t>
      </w:r>
      <w:r/>
    </w:p>
    <w:p>
      <w:pPr>
        <w:numPr>
          <w:ilvl w:val="0"/>
          <w:numId w:val="21"/>
        </w:numPr>
        <w:ind w:left="0" w:firstLine="480"/>
        <w:spacing w:line="400" w:lineRule="exact"/>
        <w:rPr>
          <w:rFonts w:hint="eastAsia" w:ascii="宋体" w:hAnsi="宋体" w:cs="宋体"/>
          <w:sz w:val="24"/>
          <w:szCs w:val="24"/>
        </w:rPr>
      </w:pPr>
      <w:r>
        <w:rPr>
          <w:rFonts w:hint="eastAsia" w:ascii="宋体" w:hAnsi="宋体" w:cs="宋体"/>
          <w:sz w:val="24"/>
          <w:szCs w:val="24"/>
        </w:rPr>
        <w:t xml:space="preserve">可与运营商网络5GC控制面+网络切片基站，完成企业专网UE的接入和数据传输。传输速率不低于100Mbps；</w:t>
      </w:r>
      <w:r/>
    </w:p>
    <w:p>
      <w:pPr>
        <w:numPr>
          <w:ilvl w:val="0"/>
          <w:numId w:val="21"/>
        </w:numPr>
        <w:ind w:left="0" w:firstLine="480"/>
        <w:spacing w:line="400" w:lineRule="exact"/>
        <w:rPr>
          <w:rFonts w:hint="eastAsia" w:ascii="宋体" w:hAnsi="宋体" w:cs="宋体"/>
          <w:sz w:val="24"/>
          <w:szCs w:val="24"/>
        </w:rPr>
      </w:pPr>
      <w:r>
        <w:rPr>
          <w:rFonts w:hint="eastAsia" w:ascii="宋体" w:hAnsi="宋体" w:cs="宋体"/>
          <w:sz w:val="24"/>
          <w:szCs w:val="24"/>
        </w:rPr>
        <w:t xml:space="preserve">服务期限为三年（36个月）。</w:t>
      </w:r>
      <w:r/>
    </w:p>
    <w:p>
      <w:pPr>
        <w:numPr>
          <w:ilvl w:val="0"/>
          <w:numId w:val="12"/>
        </w:numPr>
        <w:ind w:left="0" w:firstLine="425"/>
        <w:rPr>
          <w:rFonts w:hint="eastAsia" w:ascii="宋体" w:hAnsi="宋体" w:cs="宋体"/>
          <w:bCs/>
          <w:sz w:val="24"/>
          <w:szCs w:val="24"/>
        </w:rPr>
      </w:pPr>
      <w:r>
        <w:rPr>
          <w:rFonts w:hint="eastAsia" w:ascii="宋体" w:hAnsi="宋体" w:cs="宋体"/>
          <w:bCs/>
          <w:sz w:val="24"/>
          <w:szCs w:val="24"/>
        </w:rPr>
        <w:t xml:space="preserve">系统集成服务要求</w:t>
      </w:r>
      <w:r/>
    </w:p>
    <w:p>
      <w:pPr>
        <w:ind w:left="480"/>
        <w:spacing w:line="400" w:lineRule="exact"/>
        <w:rPr>
          <w:rFonts w:hint="eastAsia" w:ascii="宋体" w:hAnsi="宋体" w:cs="宋体"/>
          <w:sz w:val="24"/>
          <w:szCs w:val="24"/>
        </w:rPr>
      </w:pPr>
      <w:r>
        <w:rPr>
          <w:rFonts w:hint="eastAsia" w:ascii="宋体" w:hAnsi="宋体" w:cs="宋体"/>
          <w:sz w:val="24"/>
          <w:szCs w:val="24"/>
        </w:rPr>
        <w:t xml:space="preserve">需提供从方案设计、设备到货、集成安装、测试联调到培训交付的全流程服务。</w:t>
      </w:r>
      <w:r/>
    </w:p>
    <w:p>
      <w:pPr>
        <w:numPr>
          <w:ilvl w:val="0"/>
          <w:numId w:val="12"/>
        </w:numPr>
        <w:ind w:left="0" w:firstLine="425"/>
        <w:rPr>
          <w:rFonts w:hint="eastAsia" w:ascii="宋体" w:hAnsi="宋体" w:cs="宋体"/>
          <w:bCs/>
          <w:sz w:val="24"/>
          <w:szCs w:val="24"/>
        </w:rPr>
      </w:pPr>
      <w:r>
        <w:rPr>
          <w:rFonts w:hint="eastAsia" w:ascii="宋体" w:hAnsi="宋体" w:cs="宋体"/>
          <w:bCs/>
          <w:sz w:val="24"/>
          <w:szCs w:val="24"/>
        </w:rPr>
        <w:t xml:space="preserve">供货清单</w:t>
      </w:r>
      <w:r/>
    </w:p>
    <w:tbl>
      <w:tblPr>
        <w:tblStyle w:val="10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2113"/>
        <w:gridCol w:w="2406"/>
        <w:gridCol w:w="1007"/>
        <w:gridCol w:w="1007"/>
        <w:gridCol w:w="1938"/>
      </w:tblGrid>
      <w:tr>
        <w:trPr/>
        <w:tc>
          <w:tcPr>
            <w:tcW w:w="532"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115"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类别</w:t>
            </w:r>
            <w:r/>
          </w:p>
        </w:tc>
        <w:tc>
          <w:tcPr>
            <w:tcW w:w="1269"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名称</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单位</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备注</w:t>
            </w:r>
            <w:r/>
          </w:p>
        </w:tc>
      </w:tr>
      <w:tr>
        <w:trPr/>
        <w:tc>
          <w:tcPr>
            <w:tcW w:w="532"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right w:val="single" w:color="auto" w:sz="4" w:space="0"/>
            </w:tcBorders>
            <w:tcW w:w="1115" w:type="pct"/>
            <w:vAlign w:val="center"/>
            <w:vMerge w:val="restar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无人机巡检系统</w:t>
            </w:r>
            <w:r/>
          </w:p>
        </w:tc>
        <w:tc>
          <w:tcPr>
            <w:tcW w:w="1269"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垂起固定翼无人机</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台</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pStyle w:val="1184"/>
              <w:ind w:firstLine="480"/>
              <w:jc w:val="center"/>
              <w:spacing w:line="360" w:lineRule="exact"/>
              <w:rPr>
                <w:rFonts w:hint="eastAsia" w:ascii="宋体" w:hAnsi="宋体" w:cs="宋体"/>
                <w:bCs/>
                <w:sz w:val="24"/>
                <w:szCs w:val="24"/>
              </w:rPr>
            </w:pPr>
            <w:r>
              <w:rPr>
                <w:rFonts w:hint="eastAsia" w:ascii="宋体" w:hAnsi="宋体" w:cs="宋体"/>
                <w:bCs/>
                <w:sz w:val="24"/>
                <w:szCs w:val="24"/>
              </w:rPr>
            </w:r>
            <w:r/>
          </w:p>
        </w:tc>
      </w:tr>
      <w:tr>
        <w:trPr/>
        <w:tc>
          <w:tcPr>
            <w:tcW w:w="532"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2</w:t>
            </w:r>
            <w:r/>
          </w:p>
        </w:tc>
        <w:tc>
          <w:tcPr>
            <w:tcBorders>
              <w:left w:val="single" w:color="auto" w:sz="4" w:space="0"/>
              <w:right w:val="single" w:color="auto" w:sz="4" w:space="0"/>
            </w:tcBorders>
            <w:tcW w:w="1115" w:type="pct"/>
            <w:vMerge w:val="continue"/>
            <w:textDirection w:val="lrTb"/>
            <w:noWrap w:val="false"/>
          </w:tcPr>
          <w:p>
            <w:pPr>
              <w:pStyle w:val="1184"/>
              <w:ind w:firstLine="480"/>
              <w:jc w:val="center"/>
              <w:spacing w:line="360" w:lineRule="exact"/>
              <w:rPr>
                <w:rFonts w:hint="eastAsia" w:ascii="宋体" w:hAnsi="宋体" w:cs="宋体"/>
                <w:bCs/>
                <w:sz w:val="24"/>
                <w:szCs w:val="24"/>
              </w:rPr>
            </w:pPr>
            <w:r>
              <w:rPr>
                <w:rFonts w:hint="eastAsia" w:ascii="宋体" w:hAnsi="宋体" w:cs="宋体"/>
                <w:bCs/>
                <w:sz w:val="24"/>
                <w:szCs w:val="24"/>
              </w:rPr>
            </w:r>
            <w:r/>
          </w:p>
        </w:tc>
        <w:tc>
          <w:tcPr>
            <w:tcW w:w="1269"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无人机机库</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台</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pStyle w:val="1184"/>
              <w:ind w:firstLine="480"/>
              <w:jc w:val="center"/>
              <w:spacing w:line="360" w:lineRule="exact"/>
              <w:rPr>
                <w:rFonts w:hint="eastAsia" w:ascii="宋体" w:hAnsi="宋体" w:cs="宋体"/>
                <w:bCs/>
                <w:sz w:val="24"/>
                <w:szCs w:val="24"/>
              </w:rPr>
            </w:pPr>
            <w:r>
              <w:rPr>
                <w:rFonts w:hint="eastAsia" w:ascii="宋体" w:hAnsi="宋体" w:cs="宋体"/>
                <w:bCs/>
                <w:sz w:val="24"/>
                <w:szCs w:val="24"/>
              </w:rPr>
            </w:r>
            <w:r/>
          </w:p>
        </w:tc>
      </w:tr>
      <w:tr>
        <w:trPr/>
        <w:tc>
          <w:tcPr>
            <w:tcW w:w="532"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3</w:t>
            </w:r>
            <w:r/>
          </w:p>
        </w:tc>
        <w:tc>
          <w:tcPr>
            <w:tcBorders>
              <w:left w:val="single" w:color="auto" w:sz="4" w:space="0"/>
              <w:right w:val="single" w:color="auto" w:sz="4" w:space="0"/>
            </w:tcBorders>
            <w:tcW w:w="1115" w:type="pct"/>
            <w:vMerge w:val="continue"/>
            <w:textDirection w:val="lrTb"/>
            <w:noWrap w:val="false"/>
          </w:tcPr>
          <w:p>
            <w:pPr>
              <w:pStyle w:val="1184"/>
              <w:ind w:firstLine="480"/>
              <w:jc w:val="center"/>
              <w:spacing w:line="360" w:lineRule="exact"/>
              <w:rPr>
                <w:rFonts w:hint="eastAsia" w:ascii="宋体" w:hAnsi="宋体" w:cs="宋体"/>
                <w:bCs/>
                <w:sz w:val="24"/>
                <w:szCs w:val="24"/>
              </w:rPr>
            </w:pPr>
            <w:r>
              <w:rPr>
                <w:rFonts w:hint="eastAsia" w:ascii="宋体" w:hAnsi="宋体" w:cs="宋体"/>
                <w:bCs/>
                <w:sz w:val="24"/>
                <w:szCs w:val="24"/>
              </w:rPr>
            </w:r>
            <w:r/>
          </w:p>
        </w:tc>
        <w:tc>
          <w:tcPr>
            <w:tcW w:w="1269"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光电吊舱</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台</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pStyle w:val="1184"/>
              <w:ind w:firstLine="480"/>
              <w:jc w:val="center"/>
              <w:spacing w:line="360" w:lineRule="exact"/>
              <w:rPr>
                <w:rFonts w:hint="eastAsia" w:ascii="宋体" w:hAnsi="宋体" w:cs="宋体"/>
                <w:bCs/>
                <w:sz w:val="24"/>
                <w:szCs w:val="24"/>
              </w:rPr>
            </w:pPr>
            <w:r>
              <w:rPr>
                <w:rFonts w:hint="eastAsia" w:ascii="宋体" w:hAnsi="宋体" w:cs="宋体"/>
                <w:bCs/>
                <w:sz w:val="24"/>
                <w:szCs w:val="24"/>
              </w:rPr>
            </w:r>
            <w:r/>
          </w:p>
        </w:tc>
      </w:tr>
      <w:tr>
        <w:trPr/>
        <w:tc>
          <w:tcPr>
            <w:tcW w:w="532"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4</w:t>
            </w:r>
            <w:r/>
          </w:p>
        </w:tc>
        <w:tc>
          <w:tcPr>
            <w:tcBorders>
              <w:left w:val="single" w:color="auto" w:sz="4" w:space="0"/>
              <w:right w:val="single" w:color="auto" w:sz="4" w:space="0"/>
            </w:tcBorders>
            <w:tcW w:w="1115" w:type="pct"/>
            <w:vMerge w:val="continue"/>
            <w:textDirection w:val="lrTb"/>
            <w:noWrap w:val="false"/>
          </w:tcPr>
          <w:p>
            <w:pPr>
              <w:pStyle w:val="1184"/>
              <w:ind w:firstLine="480"/>
              <w:jc w:val="center"/>
              <w:spacing w:line="360" w:lineRule="exact"/>
              <w:rPr>
                <w:rFonts w:hint="eastAsia" w:ascii="宋体" w:hAnsi="宋体" w:cs="宋体"/>
                <w:bCs/>
                <w:sz w:val="24"/>
                <w:szCs w:val="24"/>
              </w:rPr>
            </w:pPr>
            <w:r>
              <w:rPr>
                <w:rFonts w:hint="eastAsia" w:ascii="宋体" w:hAnsi="宋体" w:cs="宋体"/>
                <w:bCs/>
                <w:sz w:val="24"/>
                <w:szCs w:val="24"/>
              </w:rPr>
            </w:r>
            <w:r/>
          </w:p>
        </w:tc>
        <w:tc>
          <w:tcPr>
            <w:tcW w:w="1269"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机载网络接入单元</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套</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pStyle w:val="1184"/>
              <w:ind w:firstLine="480"/>
              <w:jc w:val="center"/>
              <w:spacing w:line="360" w:lineRule="exact"/>
              <w:rPr>
                <w:rFonts w:hint="eastAsia" w:ascii="宋体" w:hAnsi="宋体" w:cs="宋体"/>
                <w:bCs/>
                <w:sz w:val="24"/>
                <w:szCs w:val="24"/>
              </w:rPr>
            </w:pPr>
            <w:r>
              <w:rPr>
                <w:rFonts w:hint="eastAsia" w:ascii="宋体" w:hAnsi="宋体" w:cs="宋体"/>
                <w:bCs/>
                <w:sz w:val="24"/>
                <w:szCs w:val="24"/>
              </w:rPr>
            </w:r>
            <w:r/>
          </w:p>
        </w:tc>
      </w:tr>
      <w:tr>
        <w:trPr/>
        <w:tc>
          <w:tcPr>
            <w:tcW w:w="532"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5</w:t>
            </w:r>
            <w:r/>
          </w:p>
        </w:tc>
        <w:tc>
          <w:tcPr>
            <w:tcBorders>
              <w:left w:val="single" w:color="auto" w:sz="4" w:space="0"/>
              <w:right w:val="single" w:color="auto" w:sz="4" w:space="0"/>
            </w:tcBorders>
            <w:tcW w:w="1115" w:type="pct"/>
            <w:vMerge w:val="continue"/>
            <w:textDirection w:val="lrTb"/>
            <w:noWrap w:val="false"/>
          </w:tcPr>
          <w:p>
            <w:pPr>
              <w:pStyle w:val="1184"/>
              <w:ind w:firstLine="480"/>
              <w:jc w:val="center"/>
              <w:spacing w:line="360" w:lineRule="exact"/>
              <w:rPr>
                <w:rFonts w:hint="eastAsia" w:ascii="宋体" w:hAnsi="宋体" w:cs="宋体"/>
                <w:bCs/>
                <w:sz w:val="24"/>
                <w:szCs w:val="24"/>
              </w:rPr>
            </w:pPr>
            <w:r>
              <w:rPr>
                <w:rFonts w:hint="eastAsia" w:ascii="宋体" w:hAnsi="宋体" w:cs="宋体"/>
                <w:bCs/>
                <w:sz w:val="24"/>
                <w:szCs w:val="24"/>
              </w:rPr>
            </w:r>
            <w:r/>
          </w:p>
        </w:tc>
        <w:tc>
          <w:tcPr>
            <w:tcW w:w="1269" w:type="pct"/>
            <w:textDirection w:val="lrTb"/>
            <w:noWrap w:val="false"/>
          </w:tcPr>
          <w:p>
            <w:pPr>
              <w:pStyle w:val="1184"/>
              <w:ind w:firstLine="0"/>
              <w:jc w:val="center"/>
              <w:spacing w:line="360" w:lineRule="exact"/>
              <w:rPr>
                <w:rFonts w:hint="eastAsia" w:ascii="宋体" w:hAnsi="宋体" w:cs="宋体"/>
                <w:bCs/>
                <w:sz w:val="24"/>
                <w:szCs w:val="24"/>
                <w:highlight w:val="cyan"/>
              </w:rPr>
            </w:pPr>
            <w:r>
              <w:rPr>
                <w:rFonts w:hint="eastAsia" w:ascii="宋体" w:hAnsi="宋体" w:cs="宋体"/>
                <w:bCs/>
                <w:sz w:val="24"/>
                <w:szCs w:val="24"/>
              </w:rPr>
              <w:t xml:space="preserve">多旋翼无人机及机库</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套</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pStyle w:val="1184"/>
              <w:ind w:firstLine="480"/>
              <w:jc w:val="center"/>
              <w:spacing w:line="360" w:lineRule="exact"/>
              <w:rPr>
                <w:rFonts w:hint="eastAsia" w:ascii="宋体" w:hAnsi="宋体" w:cs="宋体"/>
                <w:bCs/>
                <w:sz w:val="24"/>
                <w:szCs w:val="24"/>
                <w:highlight w:val="cyan"/>
              </w:rPr>
            </w:pPr>
            <w:r>
              <w:rPr>
                <w:rFonts w:hint="eastAsia" w:ascii="宋体" w:hAnsi="宋体" w:cs="宋体"/>
                <w:bCs/>
                <w:sz w:val="24"/>
                <w:szCs w:val="24"/>
                <w:highlight w:val="cyan"/>
              </w:rPr>
            </w:r>
            <w:r/>
          </w:p>
        </w:tc>
      </w:tr>
      <w:tr>
        <w:trPr/>
        <w:tc>
          <w:tcPr>
            <w:tcW w:w="532" w:type="pct"/>
            <w:vAlign w:val="center"/>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6</w:t>
            </w:r>
            <w:r/>
          </w:p>
        </w:tc>
        <w:tc>
          <w:tcPr>
            <w:tcBorders>
              <w:left w:val="single" w:color="auto" w:sz="4" w:space="0"/>
              <w:right w:val="single" w:color="auto" w:sz="4" w:space="0"/>
            </w:tcBorders>
            <w:tcW w:w="1115" w:type="pct"/>
            <w:vMerge w:val="continue"/>
            <w:textDirection w:val="lrTb"/>
            <w:noWrap w:val="false"/>
          </w:tcPr>
          <w:p>
            <w:pPr>
              <w:pStyle w:val="1184"/>
              <w:ind w:firstLine="480"/>
              <w:jc w:val="center"/>
              <w:spacing w:line="360" w:lineRule="exact"/>
              <w:rPr>
                <w:rFonts w:hint="eastAsia" w:ascii="宋体" w:hAnsi="宋体" w:cs="宋体"/>
                <w:bCs/>
                <w:sz w:val="24"/>
                <w:szCs w:val="24"/>
              </w:rPr>
            </w:pPr>
            <w:r>
              <w:rPr>
                <w:rFonts w:hint="eastAsia" w:ascii="宋体" w:hAnsi="宋体" w:cs="宋体"/>
                <w:bCs/>
                <w:sz w:val="24"/>
                <w:szCs w:val="24"/>
              </w:rPr>
            </w:r>
            <w:r/>
          </w:p>
        </w:tc>
        <w:tc>
          <w:tcPr>
            <w:tcW w:w="1269" w:type="pct"/>
            <w:vAlign w:val="center"/>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地面指控平台</w:t>
            </w:r>
            <w:r/>
          </w:p>
        </w:tc>
        <w:tc>
          <w:tcPr>
            <w:tcW w:w="531" w:type="pct"/>
            <w:vAlign w:val="center"/>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套</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pStyle w:val="1184"/>
              <w:ind w:firstLine="0"/>
              <w:spacing w:line="360" w:lineRule="exact"/>
              <w:rPr>
                <w:rFonts w:hint="eastAsia" w:ascii="宋体" w:hAnsi="宋体" w:cs="宋体"/>
                <w:bCs/>
                <w:sz w:val="24"/>
                <w:szCs w:val="24"/>
              </w:rPr>
            </w:pPr>
            <w:r>
              <w:rPr>
                <w:rFonts w:hint="eastAsia" w:ascii="宋体" w:hAnsi="宋体" w:cs="宋体"/>
                <w:bCs/>
                <w:sz w:val="24"/>
                <w:szCs w:val="24"/>
              </w:rPr>
              <w:t xml:space="preserve">含软硬件系统（在性能满足要求情况下硬件可共享）</w:t>
            </w:r>
            <w:r/>
          </w:p>
        </w:tc>
      </w:tr>
      <w:tr>
        <w:trPr/>
        <w:tc>
          <w:tcPr>
            <w:tcW w:w="532" w:type="pct"/>
            <w:vAlign w:val="center"/>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7</w:t>
            </w:r>
            <w:r/>
          </w:p>
        </w:tc>
        <w:tc>
          <w:tcPr>
            <w:tcBorders>
              <w:left w:val="single" w:color="auto" w:sz="4" w:space="0"/>
              <w:right w:val="single" w:color="auto" w:sz="4" w:space="0"/>
            </w:tcBorders>
            <w:tcW w:w="1115" w:type="pct"/>
            <w:vMerge w:val="continue"/>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r>
            <w:r/>
          </w:p>
        </w:tc>
        <w:tc>
          <w:tcPr>
            <w:tcW w:w="1269" w:type="pct"/>
            <w:vAlign w:val="center"/>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智能分析平台</w:t>
            </w:r>
            <w:r/>
          </w:p>
        </w:tc>
        <w:tc>
          <w:tcPr>
            <w:tcW w:w="531" w:type="pct"/>
            <w:vAlign w:val="center"/>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套</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pStyle w:val="1184"/>
              <w:ind w:firstLine="0"/>
              <w:spacing w:line="360" w:lineRule="exact"/>
              <w:rPr>
                <w:rFonts w:hint="eastAsia" w:ascii="宋体" w:hAnsi="宋体" w:cs="宋体"/>
                <w:bCs/>
                <w:sz w:val="24"/>
                <w:szCs w:val="24"/>
              </w:rPr>
            </w:pPr>
            <w:r/>
            <w:bookmarkStart w:id="89" w:name="OLE_LINK15"/>
            <w:r>
              <w:rPr>
                <w:rFonts w:hint="eastAsia" w:ascii="宋体" w:hAnsi="宋体" w:cs="宋体"/>
                <w:bCs/>
                <w:sz w:val="24"/>
                <w:szCs w:val="24"/>
              </w:rPr>
              <w:t xml:space="preserve">含软硬件系统</w:t>
            </w:r>
            <w:bookmarkEnd w:id="89"/>
            <w:r>
              <w:rPr>
                <w:rFonts w:hint="eastAsia" w:ascii="宋体" w:hAnsi="宋体" w:cs="宋体"/>
                <w:bCs/>
                <w:sz w:val="24"/>
                <w:szCs w:val="24"/>
              </w:rPr>
              <w:t xml:space="preserve">（在性能满足要求情况下硬件可共享）</w:t>
            </w:r>
            <w:r/>
          </w:p>
        </w:tc>
      </w:tr>
      <w:tr>
        <w:trPr/>
        <w:tc>
          <w:tcPr>
            <w:tcW w:w="532"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8</w:t>
            </w:r>
            <w:r/>
          </w:p>
        </w:tc>
        <w:tc>
          <w:tcPr>
            <w:tcBorders>
              <w:left w:val="single" w:color="auto" w:sz="4" w:space="0"/>
              <w:right w:val="single" w:color="auto" w:sz="4" w:space="0"/>
            </w:tcBorders>
            <w:tcW w:w="1115" w:type="pct"/>
            <w:vAlign w:val="center"/>
            <w:vMerge w:val="restar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网络配套处理单元</w:t>
            </w:r>
            <w:r/>
          </w:p>
        </w:tc>
        <w:tc>
          <w:tcPr>
            <w:tcW w:w="1269"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网络服务处理单元 1</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台</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pStyle w:val="1184"/>
              <w:ind w:firstLine="480"/>
              <w:jc w:val="center"/>
              <w:spacing w:line="360" w:lineRule="exact"/>
              <w:rPr>
                <w:rFonts w:hint="eastAsia" w:ascii="宋体" w:hAnsi="宋体" w:cs="宋体"/>
                <w:bCs/>
                <w:sz w:val="24"/>
                <w:szCs w:val="24"/>
              </w:rPr>
            </w:pPr>
            <w:r>
              <w:rPr>
                <w:rFonts w:hint="eastAsia" w:ascii="宋体" w:hAnsi="宋体" w:cs="宋体"/>
                <w:bCs/>
                <w:sz w:val="24"/>
                <w:szCs w:val="24"/>
              </w:rPr>
            </w:r>
            <w:r/>
          </w:p>
        </w:tc>
      </w:tr>
      <w:tr>
        <w:trPr/>
        <w:tc>
          <w:tcPr>
            <w:tcW w:w="532"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9</w:t>
            </w:r>
            <w:r/>
          </w:p>
        </w:tc>
        <w:tc>
          <w:tcPr>
            <w:tcBorders>
              <w:left w:val="single" w:color="auto" w:sz="4" w:space="0"/>
              <w:right w:val="single" w:color="auto" w:sz="4" w:space="0"/>
            </w:tcBorders>
            <w:tcW w:w="1115" w:type="pct"/>
            <w:vMerge w:val="continue"/>
            <w:textDirection w:val="lrTb"/>
            <w:noWrap w:val="false"/>
          </w:tcPr>
          <w:p>
            <w:pPr>
              <w:pStyle w:val="1184"/>
              <w:ind w:firstLine="480"/>
              <w:spacing w:line="360" w:lineRule="exact"/>
              <w:rPr>
                <w:rFonts w:hint="eastAsia" w:ascii="宋体" w:hAnsi="宋体" w:cs="宋体"/>
                <w:bCs/>
                <w:sz w:val="24"/>
                <w:szCs w:val="24"/>
              </w:rPr>
            </w:pPr>
            <w:r>
              <w:rPr>
                <w:rFonts w:hint="eastAsia" w:ascii="宋体" w:hAnsi="宋体" w:cs="宋体"/>
                <w:bCs/>
                <w:sz w:val="24"/>
                <w:szCs w:val="24"/>
              </w:rPr>
            </w:r>
            <w:r/>
          </w:p>
        </w:tc>
        <w:tc>
          <w:tcPr>
            <w:tcW w:w="1269"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网络服务处理单元2</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台</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pStyle w:val="1184"/>
              <w:ind w:firstLine="480"/>
              <w:jc w:val="center"/>
              <w:spacing w:line="360" w:lineRule="exact"/>
              <w:rPr>
                <w:rFonts w:hint="eastAsia" w:ascii="宋体" w:hAnsi="宋体" w:cs="宋体"/>
                <w:bCs/>
                <w:sz w:val="24"/>
                <w:szCs w:val="24"/>
              </w:rPr>
            </w:pPr>
            <w:r>
              <w:rPr>
                <w:rFonts w:hint="eastAsia" w:ascii="宋体" w:hAnsi="宋体" w:cs="宋体"/>
                <w:bCs/>
                <w:sz w:val="24"/>
                <w:szCs w:val="24"/>
              </w:rPr>
            </w:r>
            <w:r/>
          </w:p>
        </w:tc>
      </w:tr>
      <w:tr>
        <w:trPr/>
        <w:tc>
          <w:tcPr>
            <w:tcW w:w="532"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10</w:t>
            </w:r>
            <w:r/>
          </w:p>
        </w:tc>
        <w:tc>
          <w:tcPr>
            <w:tcBorders>
              <w:left w:val="single" w:color="auto" w:sz="4" w:space="0"/>
              <w:right w:val="single" w:color="auto" w:sz="4" w:space="0"/>
            </w:tcBorders>
            <w:tcW w:w="1115" w:type="pct"/>
            <w:vAlign w:val="center"/>
            <w:vMerge w:val="restar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网络配套UPF系统</w:t>
            </w:r>
            <w:r/>
          </w:p>
        </w:tc>
        <w:tc>
          <w:tcPr>
            <w:tcW w:w="1269"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UPF一体化设备</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台</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pStyle w:val="1184"/>
              <w:ind w:firstLine="0"/>
              <w:spacing w:line="360" w:lineRule="exact"/>
              <w:rPr>
                <w:rFonts w:hint="eastAsia" w:ascii="宋体" w:hAnsi="宋体" w:cs="宋体"/>
                <w:bCs/>
                <w:sz w:val="24"/>
                <w:szCs w:val="24"/>
              </w:rPr>
            </w:pPr>
            <w:r>
              <w:rPr>
                <w:rFonts w:hint="eastAsia" w:ascii="宋体" w:hAnsi="宋体" w:cs="宋体"/>
                <w:bCs/>
                <w:sz w:val="24"/>
                <w:szCs w:val="24"/>
              </w:rPr>
              <w:t xml:space="preserve">含配套光模块</w:t>
            </w:r>
            <w:r/>
          </w:p>
        </w:tc>
      </w:tr>
      <w:tr>
        <w:trPr/>
        <w:tc>
          <w:tcPr>
            <w:tcW w:w="532"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11</w:t>
            </w:r>
            <w:r/>
          </w:p>
        </w:tc>
        <w:tc>
          <w:tcPr>
            <w:tcBorders>
              <w:left w:val="single" w:color="auto" w:sz="4" w:space="0"/>
              <w:right w:val="single" w:color="auto" w:sz="4" w:space="0"/>
            </w:tcBorders>
            <w:tcW w:w="1115" w:type="pct"/>
            <w:vMerge w:val="continue"/>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r>
            <w:r/>
          </w:p>
        </w:tc>
        <w:tc>
          <w:tcPr>
            <w:tcW w:w="1269"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专线及网络切片服务</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套</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pStyle w:val="1184"/>
              <w:ind w:firstLine="480"/>
              <w:jc w:val="center"/>
              <w:spacing w:line="360" w:lineRule="exact"/>
              <w:rPr>
                <w:rFonts w:hint="eastAsia" w:ascii="宋体" w:hAnsi="宋体" w:cs="宋体"/>
                <w:bCs/>
                <w:sz w:val="24"/>
                <w:szCs w:val="24"/>
              </w:rPr>
            </w:pPr>
            <w:r>
              <w:rPr>
                <w:rFonts w:hint="eastAsia" w:ascii="宋体" w:hAnsi="宋体" w:cs="宋体"/>
                <w:bCs/>
                <w:sz w:val="24"/>
                <w:szCs w:val="24"/>
              </w:rPr>
            </w:r>
            <w:r/>
          </w:p>
        </w:tc>
      </w:tr>
      <w:tr>
        <w:trPr/>
        <w:tc>
          <w:tcPr>
            <w:tcW w:w="532"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12</w:t>
            </w:r>
            <w:r/>
          </w:p>
        </w:tc>
        <w:tc>
          <w:tcPr>
            <w:tcBorders>
              <w:left w:val="single" w:color="auto" w:sz="4" w:space="0"/>
              <w:right w:val="single" w:color="auto" w:sz="4" w:space="0"/>
            </w:tcBorders>
            <w:tcW w:w="1115"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系统集成服务</w:t>
            </w:r>
            <w:r/>
          </w:p>
        </w:tc>
        <w:tc>
          <w:tcPr>
            <w:tcW w:w="1269"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系统集成服务</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套</w:t>
            </w:r>
            <w:r/>
          </w:p>
        </w:tc>
        <w:tc>
          <w:tcPr>
            <w:tcW w:w="531" w:type="pct"/>
            <w:textDirection w:val="lrTb"/>
            <w:noWrap w:val="false"/>
          </w:tcPr>
          <w:p>
            <w:pPr>
              <w:pStyle w:val="1184"/>
              <w:ind w:firstLine="0"/>
              <w:jc w:val="center"/>
              <w:spacing w:line="360" w:lineRule="exact"/>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pStyle w:val="1184"/>
              <w:ind w:firstLine="480"/>
              <w:jc w:val="center"/>
              <w:spacing w:line="360" w:lineRule="exact"/>
              <w:rPr>
                <w:rFonts w:hint="eastAsia" w:ascii="宋体" w:hAnsi="宋体" w:cs="宋体"/>
                <w:bCs/>
                <w:sz w:val="24"/>
                <w:szCs w:val="24"/>
              </w:rPr>
            </w:pPr>
            <w:r>
              <w:rPr>
                <w:rFonts w:hint="eastAsia" w:ascii="宋体" w:hAnsi="宋体" w:cs="宋体"/>
                <w:bCs/>
                <w:sz w:val="24"/>
                <w:szCs w:val="24"/>
              </w:rPr>
            </w:r>
            <w:r/>
          </w:p>
        </w:tc>
      </w:tr>
    </w:tbl>
    <w:p>
      <w:pPr>
        <w:numPr>
          <w:ilvl w:val="0"/>
          <w:numId w:val="12"/>
        </w:numPr>
        <w:ind w:left="0" w:firstLine="425"/>
        <w:rPr>
          <w:rFonts w:hint="eastAsia" w:ascii="宋体" w:hAnsi="宋体" w:cs="宋体"/>
          <w:b/>
          <w:sz w:val="24"/>
          <w:szCs w:val="24"/>
        </w:rPr>
      </w:pPr>
      <w:r>
        <w:rPr>
          <w:rFonts w:hint="eastAsia" w:ascii="宋体" w:hAnsi="宋体" w:cs="宋体"/>
          <w:b/>
          <w:sz w:val="24"/>
          <w:szCs w:val="24"/>
        </w:rPr>
        <w:t xml:space="preserve">项目管理要求（中标后提供证明材料）</w:t>
      </w:r>
      <w:r/>
    </w:p>
    <w:p>
      <w:pPr>
        <w:ind w:firstLine="480"/>
        <w:rPr>
          <w:rFonts w:hint="eastAsia" w:ascii="宋体" w:hAnsi="宋体" w:cs="宋体"/>
          <w:sz w:val="24"/>
          <w:szCs w:val="32"/>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.1 总则</w:t>
      </w:r>
      <w:r/>
    </w:p>
    <w:p>
      <w:pPr>
        <w:ind w:firstLine="480"/>
        <w:spacing w:line="400" w:lineRule="exact"/>
        <w:rPr>
          <w:rFonts w:hint="eastAsia" w:ascii="宋体" w:hAnsi="宋体" w:cs="宋体"/>
          <w:sz w:val="24"/>
          <w:szCs w:val="32"/>
        </w:rPr>
      </w:pPr>
      <w:r>
        <w:rPr>
          <w:rFonts w:hint="eastAsia" w:ascii="宋体" w:hAnsi="宋体" w:cs="宋体"/>
          <w:sz w:val="24"/>
          <w:szCs w:val="32"/>
        </w:rPr>
        <w:t xml:space="preserve">本要求包含中标方的资质证明和安装人员资质及安全措施要求，作业期间中标方安装人员需要遵守包括但不限于本要求的安全措施、行业安全规范、作业厂区内各项作业安全要求。</w:t>
      </w:r>
      <w:r/>
    </w:p>
    <w:p>
      <w:pPr>
        <w:ind w:firstLine="480"/>
        <w:rPr>
          <w:rFonts w:hint="eastAsia" w:ascii="宋体" w:hAnsi="宋体" w:cs="宋体"/>
          <w:b/>
          <w:bCs/>
          <w:sz w:val="24"/>
        </w:rPr>
      </w:pPr>
      <w:r>
        <w:rPr>
          <w:rFonts w:hint="eastAsia" w:ascii="宋体" w:hAnsi="宋体" w:cs="宋体"/>
          <w:sz w:val="24"/>
          <w:lang w:val="en-US" w:eastAsia="zh-CN"/>
        </w:rPr>
        <w:t xml:space="preserve">7</w:t>
      </w:r>
      <w:r>
        <w:rPr>
          <w:rFonts w:hint="eastAsia" w:ascii="宋体" w:hAnsi="宋体" w:cs="宋体"/>
          <w:sz w:val="24"/>
        </w:rPr>
        <w:t xml:space="preserve">.2供应商生产要求证明</w:t>
      </w:r>
      <w:r/>
    </w:p>
    <w:p>
      <w:pPr>
        <w:ind w:firstLine="480"/>
        <w:spacing w:line="400" w:lineRule="exact"/>
        <w:rPr>
          <w:rFonts w:hint="eastAsia" w:ascii="宋体" w:hAnsi="宋体" w:cs="宋体"/>
          <w:sz w:val="24"/>
          <w:szCs w:val="32"/>
        </w:rPr>
      </w:pPr>
      <w:r>
        <w:rPr>
          <w:rFonts w:hint="eastAsia" w:ascii="宋体" w:hAnsi="宋体" w:cs="宋体"/>
          <w:sz w:val="24"/>
          <w:szCs w:val="32"/>
        </w:rPr>
        <w:t xml:space="preserve">1）中标后提供安全生产履约保函（见索即付）：合同总金额的10%，合同签订后15天内提供；</w:t>
      </w:r>
      <w:r/>
    </w:p>
    <w:p>
      <w:pPr>
        <w:ind w:firstLine="480"/>
        <w:spacing w:line="400" w:lineRule="exact"/>
        <w:rPr>
          <w:rFonts w:hint="eastAsia" w:ascii="宋体" w:hAnsi="宋体" w:cs="宋体"/>
          <w:sz w:val="24"/>
          <w:szCs w:val="32"/>
        </w:rPr>
      </w:pPr>
      <w:r>
        <w:rPr>
          <w:rFonts w:hint="eastAsia" w:ascii="宋体" w:hAnsi="宋体" w:cs="宋体"/>
          <w:sz w:val="24"/>
          <w:szCs w:val="32"/>
        </w:rPr>
        <w:t xml:space="preserve">2）中标后，供应商提供专职管理人员（一人）及电工、焊接、高处作业等特种作业人员（数量根据实际情况来定）资格证和上岗证；</w:t>
      </w:r>
      <w:r/>
    </w:p>
    <w:p>
      <w:pPr>
        <w:ind w:firstLine="480"/>
        <w:rPr>
          <w:rFonts w:hint="eastAsia" w:ascii="宋体" w:hAnsi="宋体" w:cs="宋体"/>
          <w:b/>
          <w:bCs/>
          <w:sz w:val="24"/>
        </w:rPr>
      </w:pPr>
      <w:r>
        <w:rPr>
          <w:rFonts w:hint="eastAsia" w:ascii="宋体" w:hAnsi="宋体" w:cs="宋体"/>
          <w:sz w:val="24"/>
          <w:lang w:val="en-US" w:eastAsia="zh-CN"/>
        </w:rPr>
        <w:t xml:space="preserve">7</w:t>
      </w:r>
      <w:r>
        <w:rPr>
          <w:rFonts w:hint="eastAsia" w:ascii="宋体" w:hAnsi="宋体" w:cs="宋体"/>
          <w:sz w:val="24"/>
        </w:rPr>
        <w:t xml:space="preserve">.3供应商作业人员应具有下列资质</w:t>
      </w:r>
      <w:r/>
    </w:p>
    <w:p>
      <w:pPr>
        <w:ind w:firstLine="480"/>
        <w:spacing w:line="400" w:lineRule="exact"/>
        <w:rPr>
          <w:rFonts w:hint="eastAsia" w:ascii="宋体" w:hAnsi="宋体" w:cs="宋体"/>
          <w:sz w:val="24"/>
          <w:szCs w:val="32"/>
        </w:rPr>
      </w:pPr>
      <w:r>
        <w:rPr>
          <w:rFonts w:hint="eastAsia" w:ascii="宋体" w:hAnsi="宋体" w:cs="宋体"/>
          <w:sz w:val="24"/>
          <w:szCs w:val="32"/>
        </w:rPr>
        <w:t xml:space="preserve">1）遵守中华人民共和国法律，遵守现场的各项规章和制度；</w:t>
      </w:r>
      <w:r/>
    </w:p>
    <w:p>
      <w:pPr>
        <w:ind w:firstLine="480"/>
        <w:spacing w:line="400" w:lineRule="exact"/>
        <w:rPr>
          <w:rFonts w:hint="eastAsia" w:ascii="宋体" w:hAnsi="宋体" w:cs="宋体"/>
          <w:sz w:val="24"/>
          <w:szCs w:val="32"/>
        </w:rPr>
      </w:pPr>
      <w:r>
        <w:rPr>
          <w:rFonts w:hint="eastAsia" w:ascii="宋体" w:hAnsi="宋体" w:cs="宋体"/>
          <w:sz w:val="24"/>
          <w:szCs w:val="32"/>
        </w:rPr>
        <w:t xml:space="preserve">2）有较强的责任感和事业心，按时到位；</w:t>
      </w:r>
      <w:r/>
    </w:p>
    <w:p>
      <w:pPr>
        <w:ind w:firstLine="480"/>
        <w:spacing w:line="400" w:lineRule="exact"/>
        <w:rPr>
          <w:rFonts w:hint="eastAsia" w:ascii="宋体" w:hAnsi="宋体" w:cs="宋体"/>
          <w:sz w:val="24"/>
          <w:szCs w:val="32"/>
        </w:rPr>
      </w:pPr>
      <w:r>
        <w:rPr>
          <w:rFonts w:hint="eastAsia" w:ascii="宋体" w:hAnsi="宋体" w:cs="宋体"/>
          <w:sz w:val="24"/>
          <w:szCs w:val="32"/>
        </w:rPr>
        <w:t xml:space="preserve">3）了解系统的设计，熟悉其结构，有相同或相近设备的现场工作经验，能够正确地进行现场指导；</w:t>
      </w:r>
      <w:r/>
    </w:p>
    <w:p>
      <w:pPr>
        <w:ind w:firstLine="480"/>
        <w:spacing w:line="400" w:lineRule="exact"/>
        <w:rPr>
          <w:rFonts w:hint="eastAsia" w:ascii="宋体" w:hAnsi="宋体" w:cs="宋体"/>
          <w:sz w:val="24"/>
          <w:szCs w:val="32"/>
        </w:rPr>
      </w:pPr>
      <w:r>
        <w:rPr>
          <w:rFonts w:hint="eastAsia" w:ascii="宋体" w:hAnsi="宋体" w:cs="宋体"/>
          <w:sz w:val="24"/>
          <w:szCs w:val="32"/>
        </w:rPr>
        <w:t xml:space="preserve">4）身体健康，适应现场工作的条件；</w:t>
      </w:r>
      <w:r/>
    </w:p>
    <w:p>
      <w:pPr>
        <w:ind w:firstLine="480"/>
        <w:spacing w:line="400" w:lineRule="exact"/>
        <w:rPr>
          <w:rFonts w:hint="eastAsia" w:ascii="宋体" w:hAnsi="宋体" w:cs="宋体"/>
          <w:sz w:val="24"/>
          <w:szCs w:val="32"/>
        </w:rPr>
      </w:pPr>
      <w:r>
        <w:rPr>
          <w:rFonts w:hint="eastAsia" w:ascii="宋体" w:hAnsi="宋体" w:cs="宋体"/>
          <w:sz w:val="24"/>
          <w:szCs w:val="32"/>
        </w:rPr>
        <w:t xml:space="preserve">5）供应商须更换甲方认为不合格的中标方现场服务人员；</w:t>
      </w:r>
      <w:r/>
    </w:p>
    <w:p>
      <w:pPr>
        <w:ind w:firstLine="480"/>
        <w:spacing w:line="400" w:lineRule="exact"/>
        <w:rPr>
          <w:rFonts w:hint="eastAsia" w:ascii="宋体" w:hAnsi="宋体" w:cs="宋体"/>
          <w:sz w:val="24"/>
          <w:szCs w:val="32"/>
        </w:rPr>
      </w:pPr>
      <w:r>
        <w:rPr>
          <w:rFonts w:hint="eastAsia" w:ascii="宋体" w:hAnsi="宋体" w:cs="宋体"/>
          <w:sz w:val="24"/>
          <w:szCs w:val="32"/>
        </w:rPr>
        <w:t xml:space="preserve">6）供应商应提供满足项目服务所需的人数；</w:t>
      </w:r>
      <w:r/>
    </w:p>
    <w:p>
      <w:pPr>
        <w:ind w:firstLine="480"/>
        <w:spacing w:line="400" w:lineRule="exact"/>
        <w:rPr>
          <w:sz w:val="24"/>
          <w:szCs w:val="32"/>
        </w:rPr>
      </w:pPr>
      <w:r>
        <w:rPr>
          <w:rFonts w:hint="eastAsia" w:ascii="宋体" w:hAnsi="宋体" w:cs="宋体"/>
          <w:sz w:val="24"/>
          <w:szCs w:val="32"/>
        </w:rPr>
        <w:t xml:space="preserve">7）满足以下要求，证明材料需甲方审核确认。</w:t>
      </w:r>
      <w:r/>
    </w:p>
    <w:tbl>
      <w:tblPr>
        <w:tblStyle w:val="103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6332"/>
        <w:gridCol w:w="2242"/>
      </w:tblGrid>
      <w:tr>
        <w:trPr>
          <w:jc w:val="center"/>
          <w:trHeight w:val="340" w:hRule="exact"/>
        </w:trPr>
        <w:tc>
          <w:tcPr>
            <w:tcW w:w="47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33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内容</w:t>
            </w:r>
            <w:r/>
          </w:p>
        </w:tc>
        <w:tc>
          <w:tcPr>
            <w:tcW w:w="11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控制要求</w:t>
            </w:r>
            <w:r/>
          </w:p>
        </w:tc>
      </w:tr>
      <w:tr>
        <w:trPr>
          <w:jc w:val="center"/>
          <w:trHeight w:val="315" w:hRule="exact"/>
        </w:trPr>
        <w:tc>
          <w:tcPr>
            <w:tcW w:w="478" w:type="pct"/>
            <w:vAlign w:val="center"/>
            <w:textDirection w:val="lrTb"/>
            <w:noWrap w:val="false"/>
          </w:tcPr>
          <w:p>
            <w:pPr>
              <w:numPr>
                <w:ilvl w:val="0"/>
                <w:numId w:val="22"/>
              </w:numPr>
              <w:ind w:left="635"/>
              <w:jc w:val="center"/>
              <w:spacing w:line="360" w:lineRule="auto"/>
              <w:rPr>
                <w:rFonts w:hint="eastAsia" w:ascii="宋体" w:hAnsi="宋体" w:cs="宋体"/>
                <w:sz w:val="24"/>
                <w:szCs w:val="24"/>
              </w:rPr>
            </w:pPr>
            <w:r>
              <w:rPr>
                <w:rFonts w:hint="eastAsia" w:ascii="宋体" w:hAnsi="宋体" w:cs="宋体"/>
                <w:sz w:val="24"/>
                <w:szCs w:val="24"/>
              </w:rPr>
            </w:r>
            <w:r/>
          </w:p>
        </w:tc>
        <w:tc>
          <w:tcPr>
            <w:tcW w:w="333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职业健康检查机构出局的3个月内有效健康体检报告</w:t>
            </w:r>
            <w:r/>
          </w:p>
        </w:tc>
        <w:tc>
          <w:tcPr>
            <w:tcW w:w="11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100％</w:t>
            </w:r>
            <w:r/>
          </w:p>
        </w:tc>
      </w:tr>
      <w:tr>
        <w:trPr>
          <w:jc w:val="center"/>
          <w:trHeight w:val="315" w:hRule="exact"/>
        </w:trPr>
        <w:tc>
          <w:tcPr>
            <w:tcW w:w="478" w:type="pct"/>
            <w:vAlign w:val="center"/>
            <w:textDirection w:val="lrTb"/>
            <w:noWrap w:val="false"/>
          </w:tcPr>
          <w:p>
            <w:pPr>
              <w:numPr>
                <w:ilvl w:val="0"/>
                <w:numId w:val="22"/>
              </w:numPr>
              <w:ind w:left="635"/>
              <w:jc w:val="center"/>
              <w:spacing w:line="360" w:lineRule="auto"/>
              <w:rPr>
                <w:rFonts w:hint="eastAsia" w:ascii="宋体" w:hAnsi="宋体" w:cs="宋体"/>
                <w:sz w:val="24"/>
                <w:szCs w:val="24"/>
              </w:rPr>
            </w:pPr>
            <w:r>
              <w:rPr>
                <w:rFonts w:hint="eastAsia" w:ascii="宋体" w:hAnsi="宋体" w:cs="宋体"/>
                <w:sz w:val="24"/>
                <w:szCs w:val="24"/>
              </w:rPr>
            </w:r>
            <w:r/>
          </w:p>
        </w:tc>
        <w:tc>
          <w:tcPr>
            <w:tcW w:w="333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200万人身意外保险证明</w:t>
            </w:r>
            <w:r/>
          </w:p>
        </w:tc>
        <w:tc>
          <w:tcPr>
            <w:tcW w:w="11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100％</w:t>
            </w:r>
            <w:r/>
          </w:p>
        </w:tc>
      </w:tr>
      <w:tr>
        <w:trPr>
          <w:jc w:val="center"/>
          <w:trHeight w:val="340" w:hRule="exact"/>
        </w:trPr>
        <w:tc>
          <w:tcPr>
            <w:tcW w:w="478" w:type="pct"/>
            <w:vAlign w:val="center"/>
            <w:textDirection w:val="lrTb"/>
            <w:noWrap w:val="false"/>
          </w:tcPr>
          <w:p>
            <w:pPr>
              <w:numPr>
                <w:ilvl w:val="0"/>
                <w:numId w:val="22"/>
              </w:numPr>
              <w:ind w:left="635"/>
              <w:jc w:val="center"/>
              <w:spacing w:line="360" w:lineRule="auto"/>
              <w:rPr>
                <w:rFonts w:hint="eastAsia" w:ascii="宋体" w:hAnsi="宋体" w:cs="宋体"/>
                <w:sz w:val="24"/>
                <w:szCs w:val="24"/>
              </w:rPr>
            </w:pPr>
            <w:r>
              <w:rPr>
                <w:rFonts w:hint="eastAsia" w:ascii="宋体" w:hAnsi="宋体" w:cs="宋体"/>
                <w:sz w:val="24"/>
                <w:szCs w:val="24"/>
              </w:rPr>
            </w:r>
            <w:r/>
          </w:p>
        </w:tc>
        <w:tc>
          <w:tcPr>
            <w:tcW w:w="333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雇佣力工的年龄</w:t>
            </w:r>
            <w:r/>
          </w:p>
        </w:tc>
        <w:tc>
          <w:tcPr>
            <w:tcW w:w="11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18-55岁</w:t>
            </w:r>
            <w:r/>
          </w:p>
        </w:tc>
      </w:tr>
      <w:tr>
        <w:trPr>
          <w:jc w:val="center"/>
          <w:trHeight w:val="340" w:hRule="exact"/>
        </w:trPr>
        <w:tc>
          <w:tcPr>
            <w:tcW w:w="478" w:type="pct"/>
            <w:vAlign w:val="center"/>
            <w:textDirection w:val="lrTb"/>
            <w:noWrap w:val="false"/>
          </w:tcPr>
          <w:p>
            <w:pPr>
              <w:numPr>
                <w:ilvl w:val="0"/>
                <w:numId w:val="22"/>
              </w:numPr>
              <w:ind w:left="635"/>
              <w:jc w:val="center"/>
              <w:spacing w:line="360" w:lineRule="auto"/>
              <w:rPr>
                <w:rFonts w:hint="eastAsia" w:ascii="宋体" w:hAnsi="宋体" w:cs="宋体"/>
                <w:sz w:val="24"/>
                <w:szCs w:val="24"/>
              </w:rPr>
            </w:pPr>
            <w:r>
              <w:rPr>
                <w:rFonts w:hint="eastAsia" w:ascii="宋体" w:hAnsi="宋体" w:cs="宋体"/>
                <w:sz w:val="24"/>
                <w:szCs w:val="24"/>
              </w:rPr>
            </w:r>
            <w:r/>
          </w:p>
        </w:tc>
        <w:tc>
          <w:tcPr>
            <w:tcW w:w="333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雇佣技工年龄</w:t>
            </w:r>
            <w:r/>
          </w:p>
        </w:tc>
        <w:tc>
          <w:tcPr>
            <w:tcW w:w="11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20-60岁</w:t>
            </w:r>
            <w:r/>
          </w:p>
        </w:tc>
      </w:tr>
      <w:tr>
        <w:trPr>
          <w:jc w:val="center"/>
          <w:trHeight w:val="340" w:hRule="exact"/>
        </w:trPr>
        <w:tc>
          <w:tcPr>
            <w:tcW w:w="478" w:type="pct"/>
            <w:vAlign w:val="center"/>
            <w:textDirection w:val="lrTb"/>
            <w:noWrap w:val="false"/>
          </w:tcPr>
          <w:p>
            <w:pPr>
              <w:numPr>
                <w:ilvl w:val="0"/>
                <w:numId w:val="22"/>
              </w:numPr>
              <w:ind w:left="635"/>
              <w:jc w:val="center"/>
              <w:spacing w:line="360" w:lineRule="auto"/>
              <w:rPr>
                <w:rFonts w:hint="eastAsia" w:ascii="宋体" w:hAnsi="宋体" w:cs="宋体"/>
                <w:sz w:val="24"/>
                <w:szCs w:val="24"/>
              </w:rPr>
            </w:pPr>
            <w:r>
              <w:rPr>
                <w:rFonts w:hint="eastAsia" w:ascii="宋体" w:hAnsi="宋体" w:cs="宋体"/>
                <w:sz w:val="24"/>
                <w:szCs w:val="24"/>
              </w:rPr>
            </w:r>
            <w:r/>
          </w:p>
        </w:tc>
        <w:tc>
          <w:tcPr>
            <w:tcW w:w="333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特殊工种的资质</w:t>
            </w:r>
            <w:r/>
          </w:p>
        </w:tc>
        <w:tc>
          <w:tcPr>
            <w:tcW w:w="11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100％合格验证</w:t>
            </w:r>
            <w:r/>
          </w:p>
        </w:tc>
      </w:tr>
      <w:tr>
        <w:trPr>
          <w:jc w:val="center"/>
          <w:trHeight w:val="340" w:hRule="exact"/>
        </w:trPr>
        <w:tc>
          <w:tcPr>
            <w:tcW w:w="478" w:type="pct"/>
            <w:vAlign w:val="center"/>
            <w:textDirection w:val="lrTb"/>
            <w:noWrap w:val="false"/>
          </w:tcPr>
          <w:p>
            <w:pPr>
              <w:numPr>
                <w:ilvl w:val="0"/>
                <w:numId w:val="22"/>
              </w:numPr>
              <w:ind w:left="635"/>
              <w:jc w:val="center"/>
              <w:spacing w:line="360" w:lineRule="auto"/>
              <w:rPr>
                <w:rFonts w:hint="eastAsia" w:ascii="宋体" w:hAnsi="宋体" w:cs="宋体"/>
                <w:sz w:val="24"/>
                <w:szCs w:val="24"/>
              </w:rPr>
            </w:pPr>
            <w:r>
              <w:rPr>
                <w:rFonts w:hint="eastAsia" w:ascii="宋体" w:hAnsi="宋体" w:cs="宋体"/>
                <w:sz w:val="24"/>
                <w:szCs w:val="24"/>
              </w:rPr>
            </w:r>
            <w:r/>
          </w:p>
        </w:tc>
        <w:tc>
          <w:tcPr>
            <w:tcW w:w="333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入厂教育培训参与率</w:t>
            </w:r>
            <w:r/>
          </w:p>
        </w:tc>
        <w:tc>
          <w:tcPr>
            <w:tcW w:w="11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100％</w:t>
            </w:r>
            <w:r/>
          </w:p>
        </w:tc>
      </w:tr>
      <w:tr>
        <w:trPr>
          <w:jc w:val="center"/>
          <w:trHeight w:val="340" w:hRule="exact"/>
        </w:trPr>
        <w:tc>
          <w:tcPr>
            <w:tcW w:w="478" w:type="pct"/>
            <w:vAlign w:val="center"/>
            <w:textDirection w:val="lrTb"/>
            <w:noWrap w:val="false"/>
          </w:tcPr>
          <w:p>
            <w:pPr>
              <w:numPr>
                <w:ilvl w:val="0"/>
                <w:numId w:val="22"/>
              </w:numPr>
              <w:ind w:left="635"/>
              <w:jc w:val="center"/>
              <w:spacing w:line="360" w:lineRule="auto"/>
              <w:rPr>
                <w:rFonts w:hint="eastAsia" w:ascii="宋体" w:hAnsi="宋体" w:cs="宋体"/>
                <w:sz w:val="24"/>
                <w:szCs w:val="24"/>
              </w:rPr>
            </w:pPr>
            <w:r>
              <w:rPr>
                <w:rFonts w:hint="eastAsia" w:ascii="宋体" w:hAnsi="宋体" w:cs="宋体"/>
                <w:sz w:val="24"/>
                <w:szCs w:val="24"/>
              </w:rPr>
            </w:r>
            <w:r/>
          </w:p>
        </w:tc>
        <w:tc>
          <w:tcPr>
            <w:tcW w:w="333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入厂教育考试合格率（85分以上）</w:t>
            </w:r>
            <w:r/>
          </w:p>
        </w:tc>
        <w:tc>
          <w:tcPr>
            <w:tcW w:w="11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100％</w:t>
            </w:r>
            <w:r/>
          </w:p>
        </w:tc>
      </w:tr>
      <w:tr>
        <w:trPr>
          <w:jc w:val="center"/>
          <w:trHeight w:val="340" w:hRule="exact"/>
        </w:trPr>
        <w:tc>
          <w:tcPr>
            <w:tcW w:w="478" w:type="pct"/>
            <w:vAlign w:val="center"/>
            <w:textDirection w:val="lrTb"/>
            <w:noWrap w:val="false"/>
          </w:tcPr>
          <w:p>
            <w:pPr>
              <w:numPr>
                <w:ilvl w:val="0"/>
                <w:numId w:val="22"/>
              </w:numPr>
              <w:ind w:left="635"/>
              <w:jc w:val="center"/>
              <w:spacing w:line="360" w:lineRule="auto"/>
              <w:rPr>
                <w:rFonts w:hint="eastAsia" w:ascii="宋体" w:hAnsi="宋体" w:cs="宋体"/>
                <w:sz w:val="24"/>
                <w:szCs w:val="24"/>
              </w:rPr>
            </w:pPr>
            <w:r>
              <w:rPr>
                <w:rFonts w:hint="eastAsia" w:ascii="宋体" w:hAnsi="宋体" w:cs="宋体"/>
                <w:sz w:val="24"/>
                <w:szCs w:val="24"/>
              </w:rPr>
            </w:r>
            <w:r/>
          </w:p>
        </w:tc>
        <w:tc>
          <w:tcPr>
            <w:tcW w:w="333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对提出问题的整改率</w:t>
            </w:r>
            <w:r/>
          </w:p>
        </w:tc>
        <w:tc>
          <w:tcPr>
            <w:tcW w:w="11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100％整改合格</w:t>
            </w:r>
            <w:r/>
          </w:p>
        </w:tc>
      </w:tr>
      <w:tr>
        <w:trPr>
          <w:jc w:val="center"/>
          <w:trHeight w:val="340" w:hRule="exact"/>
        </w:trPr>
        <w:tc>
          <w:tcPr>
            <w:tcW w:w="478" w:type="pct"/>
            <w:vAlign w:val="center"/>
            <w:textDirection w:val="lrTb"/>
            <w:noWrap w:val="false"/>
          </w:tcPr>
          <w:p>
            <w:pPr>
              <w:numPr>
                <w:ilvl w:val="0"/>
                <w:numId w:val="22"/>
              </w:numPr>
              <w:ind w:left="635"/>
              <w:jc w:val="center"/>
              <w:spacing w:line="360" w:lineRule="auto"/>
              <w:rPr>
                <w:rFonts w:hint="eastAsia" w:ascii="宋体" w:hAnsi="宋体" w:cs="宋体"/>
                <w:sz w:val="24"/>
                <w:szCs w:val="24"/>
              </w:rPr>
            </w:pPr>
            <w:r>
              <w:rPr>
                <w:rFonts w:hint="eastAsia" w:ascii="宋体" w:hAnsi="宋体" w:cs="宋体"/>
                <w:sz w:val="24"/>
                <w:szCs w:val="24"/>
              </w:rPr>
            </w:r>
            <w:r/>
          </w:p>
        </w:tc>
        <w:tc>
          <w:tcPr>
            <w:tcW w:w="333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参加甲方相关项目的讨论会议或协调会议</w:t>
            </w:r>
            <w:r/>
          </w:p>
        </w:tc>
        <w:tc>
          <w:tcPr>
            <w:tcW w:w="11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100％</w:t>
            </w:r>
            <w:r/>
          </w:p>
        </w:tc>
      </w:tr>
    </w:tbl>
    <w:p>
      <w:pPr>
        <w:ind w:firstLine="480"/>
        <w:rPr>
          <w:rFonts w:hint="eastAsia" w:ascii="宋体" w:hAnsi="宋体" w:cs="宋体"/>
          <w:b/>
          <w:bCs/>
          <w:sz w:val="24"/>
          <w:szCs w:val="24"/>
        </w:rPr>
      </w:pPr>
      <w:r>
        <w:rPr>
          <w:rFonts w:hint="eastAsia" w:ascii="宋体" w:hAnsi="宋体" w:cs="宋体"/>
          <w:sz w:val="24"/>
          <w:lang w:val="en-US" w:eastAsia="zh-CN"/>
        </w:rPr>
        <w:t xml:space="preserve">7</w:t>
      </w:r>
      <w:r>
        <w:rPr>
          <w:rFonts w:hint="eastAsia" w:ascii="宋体" w:hAnsi="宋体" w:cs="宋体"/>
          <w:sz w:val="24"/>
        </w:rPr>
        <w:t xml:space="preserve">.4项目管理</w:t>
      </w:r>
      <w:r/>
    </w:p>
    <w:p>
      <w:pPr>
        <w:ind w:firstLine="482"/>
        <w:spacing w:line="400" w:lineRule="exact"/>
        <w:rPr>
          <w:rFonts w:cs="宋体"/>
          <w:b/>
          <w:bCs/>
          <w:sz w:val="24"/>
          <w:szCs w:val="24"/>
        </w:rPr>
      </w:pPr>
      <w:r>
        <w:rPr>
          <w:rFonts w:hint="eastAsia" w:ascii="宋体" w:hAnsi="宋体" w:cs="宋体"/>
          <w:b/>
          <w:bCs/>
          <w:sz w:val="24"/>
          <w:szCs w:val="24"/>
        </w:rPr>
        <w:t xml:space="preserve">（1）项目管理</w:t>
      </w:r>
      <w:bookmarkStart w:id="90" w:name="OLE_LINK9"/>
      <w:r>
        <w:rPr>
          <w:rFonts w:hint="eastAsia" w:ascii="宋体" w:hAnsi="宋体" w:cs="宋体"/>
          <w:b/>
          <w:bCs/>
          <w:sz w:val="24"/>
          <w:szCs w:val="24"/>
        </w:rPr>
        <w:t xml:space="preserve">人员要求</w:t>
      </w:r>
      <w:bookmarkEnd w:id="90"/>
      <w:r/>
      <w:r/>
    </w:p>
    <w:p>
      <w:pPr>
        <w:pStyle w:val="1303"/>
        <w:numPr>
          <w:ilvl w:val="0"/>
          <w:numId w:val="23"/>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供应商应提供有效的项目管理人员和作业调试人员，以保证项目的顺利实施，人员在合同执行期间不得任意变更。</w:t>
      </w:r>
      <w:r/>
    </w:p>
    <w:p>
      <w:pPr>
        <w:pStyle w:val="1303"/>
        <w:numPr>
          <w:ilvl w:val="0"/>
          <w:numId w:val="23"/>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应为本项目指定一名项目经理，负责协调工程全过程中的各项工作和与接口。如系统设计、外购设备协调、工程进度、对外接口、制造确认、编程和技术服务、图纸文件、工厂和现场测试、编制文件、启动、投运和现场系统可利用率测试等工作。项目经理必须具有良好的工程组织和项目管理能力及专业技术水平。</w:t>
      </w:r>
      <w:r/>
    </w:p>
    <w:p>
      <w:pPr>
        <w:ind w:firstLine="482"/>
        <w:spacing w:line="400" w:lineRule="exact"/>
        <w:rPr>
          <w:rFonts w:cs="宋体"/>
          <w:b/>
          <w:bCs/>
          <w:sz w:val="24"/>
          <w:szCs w:val="24"/>
        </w:rPr>
      </w:pPr>
      <w:r/>
      <w:bookmarkStart w:id="91" w:name="_Toc60748513"/>
      <w:r/>
      <w:bookmarkStart w:id="92" w:name="_Toc20220"/>
      <w:r/>
      <w:bookmarkStart w:id="93" w:name="_Toc5630"/>
      <w:r/>
      <w:bookmarkStart w:id="94" w:name="_Toc59385965"/>
      <w:r/>
      <w:bookmarkStart w:id="95" w:name="_Toc14737"/>
      <w:r/>
      <w:bookmarkStart w:id="96" w:name="_Toc29011"/>
      <w:r/>
      <w:bookmarkStart w:id="97" w:name="_Toc29702"/>
      <w:r/>
      <w:bookmarkStart w:id="98" w:name="_Toc258044336"/>
      <w:r/>
      <w:bookmarkStart w:id="99" w:name="_Toc257966797"/>
      <w:r>
        <w:rPr>
          <w:rFonts w:hint="eastAsia" w:ascii="宋体" w:hAnsi="宋体" w:cs="宋体"/>
          <w:b/>
          <w:bCs/>
          <w:sz w:val="24"/>
          <w:szCs w:val="24"/>
        </w:rPr>
        <w:t xml:space="preserve">（2）项目设计</w:t>
      </w:r>
      <w:bookmarkEnd w:id="91"/>
      <w:r/>
      <w:bookmarkEnd w:id="92"/>
      <w:r/>
      <w:bookmarkEnd w:id="93"/>
      <w:r/>
      <w:bookmarkEnd w:id="94"/>
      <w:r/>
      <w:bookmarkEnd w:id="95"/>
      <w:r/>
      <w:bookmarkEnd w:id="96"/>
      <w:r/>
      <w:bookmarkEnd w:id="97"/>
      <w:r/>
      <w:bookmarkEnd w:id="98"/>
      <w:r/>
      <w:bookmarkEnd w:id="99"/>
      <w:r>
        <w:rPr>
          <w:rFonts w:hint="eastAsia" w:ascii="宋体" w:hAnsi="宋体" w:cs="宋体"/>
          <w:b/>
          <w:bCs/>
          <w:sz w:val="24"/>
          <w:szCs w:val="24"/>
        </w:rPr>
        <w:t xml:space="preserve">及联络</w:t>
      </w:r>
      <w:r/>
    </w:p>
    <w:p>
      <w:pPr>
        <w:pStyle w:val="1303"/>
        <w:numPr>
          <w:ilvl w:val="0"/>
          <w:numId w:val="24"/>
        </w:numPr>
        <w:contextualSpacing/>
        <w:ind w:left="0" w:firstLine="480"/>
        <w:spacing w:line="400" w:lineRule="exact"/>
        <w:widowControl/>
        <w:rPr>
          <w:rFonts w:cs="宋体"/>
          <w:sz w:val="24"/>
          <w:szCs w:val="24"/>
        </w:rPr>
      </w:pPr>
      <w:r>
        <w:rPr>
          <w:rFonts w:hint="eastAsia" w:ascii="宋体" w:hAnsi="宋体" w:cs="宋体"/>
          <w:sz w:val="24"/>
          <w:szCs w:val="24"/>
        </w:rPr>
        <w:t xml:space="preserve">在设备和系统制造前，</w:t>
      </w:r>
      <w:bookmarkStart w:id="100" w:name="OLE_LINK10"/>
      <w:r>
        <w:rPr>
          <w:rFonts w:hint="eastAsia" w:ascii="宋体" w:hAnsi="宋体" w:cs="宋体"/>
          <w:sz w:val="24"/>
          <w:szCs w:val="24"/>
        </w:rPr>
        <w:t xml:space="preserve">供应商</w:t>
      </w:r>
      <w:bookmarkEnd w:id="100"/>
      <w:r>
        <w:rPr>
          <w:rFonts w:hint="eastAsia" w:ascii="宋体" w:hAnsi="宋体" w:cs="宋体"/>
          <w:sz w:val="24"/>
          <w:szCs w:val="24"/>
        </w:rPr>
        <w:t xml:space="preserve">应将设备布置图、各设备组成、各功能模块说明书等提供给采购人审核批准，以保证所供系统和设备能符合合同文本的各项规定。</w:t>
      </w:r>
      <w:r/>
    </w:p>
    <w:p>
      <w:pPr>
        <w:pStyle w:val="1303"/>
        <w:numPr>
          <w:ilvl w:val="0"/>
          <w:numId w:val="24"/>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供应商还应按照要求及时向采购人提交所有最终接口资料和图纸，以便采购人能顺利开展其设计工作。</w:t>
      </w:r>
      <w:r/>
    </w:p>
    <w:p>
      <w:pPr>
        <w:pStyle w:val="1303"/>
        <w:numPr>
          <w:ilvl w:val="0"/>
          <w:numId w:val="24"/>
        </w:numPr>
        <w:contextualSpacing/>
        <w:ind w:left="0" w:firstLine="480"/>
        <w:spacing w:line="400" w:lineRule="exact"/>
        <w:widowControl/>
        <w:rPr>
          <w:rFonts w:cs="宋体"/>
          <w:sz w:val="24"/>
          <w:szCs w:val="24"/>
        </w:rPr>
      </w:pPr>
      <w:r>
        <w:rPr>
          <w:rFonts w:hint="eastAsia" w:ascii="宋体" w:hAnsi="宋体" w:cs="宋体"/>
          <w:sz w:val="24"/>
          <w:szCs w:val="24"/>
        </w:rPr>
        <w:t xml:space="preserve">采购人应审查来自其它设备系统或其他供货商的资料，并提出其具体意见和问题，以协调接口设计并实现系统的完整性。有关设计联络的计划、时间、地点和内容要求由双方商定。供应商应无偿按采购人要求在指定的时间和地点参加设计联络会。</w:t>
      </w:r>
      <w:r/>
    </w:p>
    <w:p>
      <w:pPr>
        <w:pStyle w:val="1303"/>
        <w:numPr>
          <w:ilvl w:val="0"/>
          <w:numId w:val="24"/>
        </w:numPr>
        <w:contextualSpacing/>
        <w:ind w:left="0" w:firstLine="480"/>
        <w:spacing w:line="400" w:lineRule="exact"/>
        <w:widowControl/>
        <w:rPr>
          <w:rFonts w:cs="宋体"/>
          <w:sz w:val="24"/>
          <w:szCs w:val="24"/>
        </w:rPr>
      </w:pPr>
      <w:r>
        <w:rPr>
          <w:rFonts w:hint="eastAsia" w:ascii="宋体" w:hAnsi="宋体" w:cs="宋体"/>
          <w:sz w:val="24"/>
          <w:szCs w:val="24"/>
        </w:rPr>
        <w:t xml:space="preserve">设计联络会的目的是保证合同设备和部件的成功设计，及时协调和解决设计、安装、调试中的技术问题，协调采购人和供应商，以及供应商所属相关模块及与采购人相关系统的接口配合问题。设计联络会召开不少于三次，直至完成项目技术方案专家评审，专家评审相关发生的费用由采购人负责。</w:t>
      </w:r>
      <w:r/>
    </w:p>
    <w:p>
      <w:pPr>
        <w:pStyle w:val="1303"/>
        <w:numPr>
          <w:ilvl w:val="0"/>
          <w:numId w:val="24"/>
        </w:numPr>
        <w:contextualSpacing/>
        <w:ind w:left="0" w:firstLine="480"/>
        <w:spacing w:line="400" w:lineRule="exact"/>
        <w:widowControl/>
        <w:rPr>
          <w:rFonts w:cs="宋体"/>
          <w:sz w:val="24"/>
          <w:szCs w:val="24"/>
        </w:rPr>
      </w:pPr>
      <w:r>
        <w:rPr>
          <w:rFonts w:hint="eastAsia" w:ascii="宋体" w:hAnsi="宋体" w:cs="宋体"/>
          <w:sz w:val="24"/>
          <w:szCs w:val="24"/>
        </w:rPr>
        <w:t xml:space="preserve">完善设备的设计选型方案，确定技术参数，研究双方工作计划、技术要求和工作进度。</w:t>
      </w:r>
      <w:r/>
    </w:p>
    <w:p>
      <w:pPr>
        <w:pStyle w:val="1303"/>
        <w:numPr>
          <w:ilvl w:val="0"/>
          <w:numId w:val="24"/>
        </w:numPr>
        <w:contextualSpacing/>
        <w:ind w:left="0" w:firstLine="480"/>
        <w:spacing w:line="400" w:lineRule="exact"/>
        <w:widowControl/>
        <w:rPr>
          <w:rFonts w:cs="宋体"/>
          <w:sz w:val="24"/>
          <w:szCs w:val="24"/>
        </w:rPr>
      </w:pPr>
      <w:r>
        <w:rPr>
          <w:rFonts w:hint="eastAsia" w:ascii="宋体" w:hAnsi="宋体" w:cs="宋体"/>
          <w:sz w:val="24"/>
          <w:szCs w:val="24"/>
        </w:rPr>
        <w:t xml:space="preserve">检查设计接口，供货接口衔接，相互资料提供和配合。</w:t>
      </w:r>
      <w:r/>
    </w:p>
    <w:p>
      <w:pPr>
        <w:ind w:firstLine="482"/>
        <w:spacing w:line="400" w:lineRule="exact"/>
        <w:rPr>
          <w:rFonts w:cs="宋体"/>
          <w:b/>
          <w:bCs/>
          <w:sz w:val="24"/>
          <w:szCs w:val="24"/>
        </w:rPr>
      </w:pPr>
      <w:r/>
      <w:bookmarkStart w:id="101" w:name="_Toc20440"/>
      <w:r>
        <w:rPr>
          <w:rFonts w:hint="eastAsia" w:ascii="宋体" w:hAnsi="宋体" w:cs="宋体"/>
          <w:b/>
          <w:bCs/>
          <w:sz w:val="24"/>
          <w:szCs w:val="24"/>
        </w:rPr>
        <w:t xml:space="preserve">（3）现场技术服务</w:t>
      </w:r>
      <w:bookmarkEnd w:id="101"/>
      <w:r/>
      <w:r/>
    </w:p>
    <w:p>
      <w:pPr>
        <w:pStyle w:val="1303"/>
        <w:numPr>
          <w:ilvl w:val="0"/>
          <w:numId w:val="25"/>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现场技术服务人员的目的是保证所提供系统的安全、正常投运。供应商要派出合格的、能独立解决问题的现场服务人员。供应商提供的包括服务人天数的现场服务表应能满足工程需要。如果提供的人数或天数不能满足工程需要，采购人有权追加人数和天数，且发生的费用由乙方承担。</w:t>
      </w:r>
      <w:r/>
    </w:p>
    <w:p>
      <w:pPr>
        <w:pStyle w:val="1303"/>
        <w:numPr>
          <w:ilvl w:val="0"/>
          <w:numId w:val="25"/>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供应商服务人员的一切费用已包含在合同总价中，它包括诸如服务人员的工资及各种补助、交通费、通讯费、食宿费、医疗费、各种保险费、各种税费，等等。</w:t>
      </w:r>
      <w:r/>
    </w:p>
    <w:p>
      <w:pPr>
        <w:pStyle w:val="1303"/>
        <w:numPr>
          <w:ilvl w:val="0"/>
          <w:numId w:val="25"/>
        </w:numPr>
        <w:contextualSpacing/>
        <w:ind w:left="0" w:firstLine="480"/>
        <w:spacing w:line="400" w:lineRule="exact"/>
        <w:widowControl/>
        <w:rPr>
          <w:rFonts w:cs="宋体"/>
          <w:sz w:val="24"/>
          <w:szCs w:val="24"/>
        </w:rPr>
      </w:pPr>
      <w:r>
        <w:rPr>
          <w:rFonts w:hint="eastAsia" w:ascii="宋体" w:hAnsi="宋体" w:cs="宋体"/>
          <w:sz w:val="24"/>
          <w:szCs w:val="24"/>
        </w:rPr>
        <w:t xml:space="preserve">现场服务人员的工作时间应与现场要求相一致，以满足现场安装、调试和试运行的要求。采购人不再因供应商现场服务人员的加班和节假日而另付费用。</w:t>
      </w:r>
      <w:r/>
    </w:p>
    <w:p>
      <w:pPr>
        <w:pStyle w:val="1303"/>
        <w:numPr>
          <w:ilvl w:val="0"/>
          <w:numId w:val="25"/>
        </w:numPr>
        <w:contextualSpacing/>
        <w:ind w:left="0" w:firstLine="480"/>
        <w:spacing w:line="400" w:lineRule="exact"/>
        <w:widowControl/>
        <w:rPr>
          <w:rFonts w:cs="宋体"/>
          <w:sz w:val="24"/>
          <w:szCs w:val="24"/>
        </w:rPr>
      </w:pPr>
      <w:r>
        <w:rPr>
          <w:rFonts w:hint="eastAsia" w:ascii="宋体" w:hAnsi="宋体" w:cs="宋体"/>
          <w:sz w:val="24"/>
          <w:szCs w:val="24"/>
        </w:rPr>
        <w:t xml:space="preserve">未经采购人同意，供应商不得随意更换现场服务人员。供应商还须及时更换采购人认为不合格的乙方现场服务人员。</w:t>
      </w:r>
      <w:r/>
    </w:p>
    <w:p>
      <w:pPr>
        <w:pStyle w:val="1303"/>
        <w:numPr>
          <w:ilvl w:val="0"/>
          <w:numId w:val="25"/>
        </w:numPr>
        <w:contextualSpacing/>
        <w:ind w:left="0" w:firstLine="480"/>
        <w:spacing w:line="400" w:lineRule="exact"/>
        <w:widowControl/>
        <w:rPr>
          <w:rFonts w:cs="宋体"/>
          <w:sz w:val="24"/>
          <w:szCs w:val="24"/>
        </w:rPr>
      </w:pPr>
      <w:r>
        <w:rPr>
          <w:rFonts w:hint="eastAsia" w:ascii="宋体" w:hAnsi="宋体" w:cs="宋体"/>
          <w:sz w:val="24"/>
          <w:szCs w:val="24"/>
        </w:rPr>
        <w:t xml:space="preserve"> 在下列情况下发生的服务人天数将不计入供应商现场总服务人天数中。</w:t>
      </w:r>
      <w:r/>
    </w:p>
    <w:p>
      <w:pPr>
        <w:numPr>
          <w:ilvl w:val="0"/>
          <w:numId w:val="26"/>
        </w:numPr>
        <w:ind w:left="0" w:firstLine="480"/>
        <w:spacing w:line="400" w:lineRule="exact"/>
        <w:widowControl/>
        <w:rPr>
          <w:rFonts w:cs="宋体"/>
          <w:sz w:val="24"/>
          <w:szCs w:val="24"/>
        </w:rPr>
      </w:pPr>
      <w:r>
        <w:rPr>
          <w:rFonts w:hint="eastAsia" w:ascii="宋体" w:hAnsi="宋体" w:cs="宋体"/>
          <w:sz w:val="24"/>
          <w:szCs w:val="24"/>
        </w:rPr>
        <w:t xml:space="preserve">由于供应商原因不能履行服务人员职责和不具备服务人员条件资质的现场服务人员人天数。</w:t>
      </w:r>
      <w:r/>
    </w:p>
    <w:p>
      <w:pPr>
        <w:numPr>
          <w:ilvl w:val="0"/>
          <w:numId w:val="26"/>
        </w:numPr>
        <w:ind w:left="0" w:firstLine="480"/>
        <w:spacing w:line="400" w:lineRule="exact"/>
        <w:widowControl/>
        <w:rPr>
          <w:rFonts w:cs="宋体"/>
          <w:sz w:val="24"/>
          <w:szCs w:val="24"/>
        </w:rPr>
      </w:pPr>
      <w:r>
        <w:rPr>
          <w:rFonts w:hint="eastAsia" w:ascii="宋体" w:hAnsi="宋体" w:cs="宋体"/>
          <w:sz w:val="24"/>
          <w:szCs w:val="24"/>
        </w:rPr>
        <w:t xml:space="preserve">供应商为解决在设计、安装、调试、试运等阶段的自身技术、设备等方面出现的问题而增加的现场服务人天数。</w:t>
      </w:r>
      <w:r/>
    </w:p>
    <w:p>
      <w:pPr>
        <w:numPr>
          <w:ilvl w:val="0"/>
          <w:numId w:val="26"/>
        </w:numPr>
        <w:ind w:left="0" w:firstLine="480"/>
        <w:spacing w:line="400" w:lineRule="exact"/>
        <w:widowControl/>
        <w:rPr>
          <w:rFonts w:cs="宋体"/>
          <w:sz w:val="24"/>
          <w:szCs w:val="24"/>
        </w:rPr>
      </w:pPr>
      <w:r>
        <w:rPr>
          <w:rFonts w:hint="eastAsia" w:ascii="宋体" w:hAnsi="宋体" w:cs="宋体"/>
          <w:sz w:val="24"/>
          <w:szCs w:val="24"/>
        </w:rPr>
        <w:t xml:space="preserve">因其他供应商原因而增加的现场服务人员。</w:t>
      </w:r>
      <w:r/>
    </w:p>
    <w:p>
      <w:pPr>
        <w:ind w:firstLine="482"/>
        <w:spacing w:line="400" w:lineRule="exact"/>
        <w:rPr>
          <w:rFonts w:cs="宋体"/>
          <w:b/>
          <w:bCs/>
          <w:sz w:val="24"/>
          <w:szCs w:val="24"/>
        </w:rPr>
      </w:pPr>
      <w:r/>
      <w:bookmarkStart w:id="102" w:name="_Toc2778"/>
      <w:r>
        <w:rPr>
          <w:rFonts w:hint="eastAsia" w:ascii="宋体" w:hAnsi="宋体" w:cs="宋体"/>
          <w:b/>
          <w:bCs/>
          <w:sz w:val="24"/>
          <w:szCs w:val="24"/>
        </w:rPr>
        <w:t xml:space="preserve">（4）现场服务人员的职责</w:t>
      </w:r>
      <w:bookmarkEnd w:id="102"/>
      <w:r/>
      <w:r/>
    </w:p>
    <w:p>
      <w:pPr>
        <w:pStyle w:val="1303"/>
        <w:numPr>
          <w:ilvl w:val="0"/>
          <w:numId w:val="27"/>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供应商现场服务人员的任务主要包括设备催交、货物的开箱检验、设备质量问题的处理、指导安装和调试、参加试运行和性能验收试验。</w:t>
      </w:r>
      <w:r/>
    </w:p>
    <w:p>
      <w:pPr>
        <w:pStyle w:val="1303"/>
        <w:numPr>
          <w:ilvl w:val="0"/>
          <w:numId w:val="27"/>
        </w:numPr>
        <w:contextualSpacing/>
        <w:ind w:left="0" w:firstLine="480"/>
        <w:spacing w:line="400" w:lineRule="exact"/>
        <w:widowControl/>
        <w:rPr>
          <w:rFonts w:cs="宋体"/>
          <w:sz w:val="24"/>
          <w:szCs w:val="24"/>
        </w:rPr>
      </w:pPr>
      <w:r>
        <w:rPr>
          <w:rFonts w:hint="eastAsia" w:ascii="宋体" w:hAnsi="宋体" w:cs="宋体"/>
          <w:sz w:val="24"/>
          <w:szCs w:val="24"/>
        </w:rPr>
        <w:t xml:space="preserve">在安装和调试前，供应商技术服务人员应向甲方进行技术交底，讲解和示范将要进行的程序和方法。供应商应对其所供设备提供安装和调试监督的重要工序表，在设备开始安装后的任务为指导安装和调试，监督工程质量和调试质量，采购人技术人员要对作业情况进行确认和签证，否则供应商不能进行下一道工序。经采购人确认和签证的工序如因供应商技术服务人员指导错误而发生问题，供应商负全部责任。</w:t>
      </w:r>
      <w:r/>
    </w:p>
    <w:p>
      <w:pPr>
        <w:pStyle w:val="1303"/>
        <w:numPr>
          <w:ilvl w:val="0"/>
          <w:numId w:val="27"/>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现场服务人员应有权全权处理现场出现的一切技术和商务问题。如现场发生质量问题，供应商现场人员要在甲方规定的合理时间内处理解决。如供应商委托采购人进行处理，供应商现场服务人员要出委托书并承担相应的经济责任。</w:t>
      </w:r>
      <w:r/>
    </w:p>
    <w:p>
      <w:pPr>
        <w:pStyle w:val="1303"/>
        <w:numPr>
          <w:ilvl w:val="0"/>
          <w:numId w:val="27"/>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供应商对其现场服务人员的一切行为负全部责任。</w:t>
      </w:r>
      <w:r/>
    </w:p>
    <w:p>
      <w:pPr>
        <w:pStyle w:val="1303"/>
        <w:numPr>
          <w:ilvl w:val="0"/>
          <w:numId w:val="27"/>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供应商现场服务人员的正常来去和更换应事先与采购人协商。</w:t>
      </w:r>
      <w:r/>
    </w:p>
    <w:p>
      <w:pPr>
        <w:numPr>
          <w:ilvl w:val="0"/>
          <w:numId w:val="12"/>
        </w:numPr>
        <w:ind w:left="0" w:firstLine="425"/>
        <w:rPr>
          <w:rFonts w:hint="eastAsia" w:ascii="宋体" w:hAnsi="宋体" w:cs="宋体"/>
          <w:bCs/>
          <w:sz w:val="24"/>
          <w:szCs w:val="24"/>
        </w:rPr>
      </w:pPr>
      <w:r>
        <w:rPr>
          <w:rFonts w:hint="eastAsia" w:ascii="宋体" w:hAnsi="宋体" w:cs="宋体"/>
          <w:bCs/>
          <w:sz w:val="24"/>
          <w:szCs w:val="24"/>
        </w:rPr>
        <w:t xml:space="preserve">安全生产要求</w:t>
      </w:r>
      <w:r/>
    </w:p>
    <w:p>
      <w:pPr>
        <w:ind w:firstLine="480"/>
        <w:spacing w:line="400" w:lineRule="exact"/>
        <w:rPr>
          <w:rFonts w:hint="eastAsia" w:ascii="宋体" w:hAnsi="宋体" w:cs="宋体"/>
          <w:sz w:val="24"/>
          <w:szCs w:val="32"/>
        </w:rPr>
      </w:pPr>
      <w:r>
        <w:rPr>
          <w:rFonts w:hint="eastAsia" w:ascii="宋体" w:hAnsi="宋体" w:cs="宋体"/>
          <w:sz w:val="24"/>
          <w:szCs w:val="32"/>
        </w:rPr>
        <w:t xml:space="preserve">为保障项目实施期间作业规范及安全生产，</w:t>
      </w:r>
      <w:r>
        <w:rPr>
          <w:rFonts w:hint="eastAsia" w:ascii="宋体" w:hAnsi="宋体" w:cs="宋体"/>
          <w:bCs/>
          <w:sz w:val="24"/>
          <w:szCs w:val="24"/>
        </w:rPr>
        <w:t xml:space="preserve">供应商在现场应充分响应现场用户的安全生产规定与要求。</w:t>
      </w:r>
      <w:r>
        <w:rPr>
          <w:rFonts w:hint="eastAsia" w:ascii="宋体" w:hAnsi="宋体" w:cs="宋体"/>
          <w:sz w:val="24"/>
          <w:szCs w:val="32"/>
        </w:rPr>
        <w:t xml:space="preserve">由于供应商原因导致采购人被罚款的将在采购人被罚款金额基础上对供应商加罚20%罚款。</w:t>
      </w:r>
      <w:r/>
    </w:p>
    <w:p>
      <w:pPr>
        <w:pStyle w:val="1184"/>
        <w:ind w:firstLine="480"/>
        <w:spacing w:line="400" w:lineRule="exact"/>
        <w:rPr>
          <w:rFonts w:hint="eastAsia" w:ascii="宋体" w:hAnsi="宋体" w:cs="宋体"/>
          <w:bCs/>
          <w:sz w:val="24"/>
          <w:szCs w:val="24"/>
        </w:rPr>
      </w:pPr>
      <w:r>
        <w:rPr>
          <w:rFonts w:hint="eastAsia" w:ascii="宋体" w:hAnsi="宋体" w:cs="宋体"/>
          <w:bCs/>
          <w:sz w:val="24"/>
          <w:szCs w:val="24"/>
        </w:rPr>
        <w:t xml:space="preserve">安全生产要求包括以下几方面：</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（1）安健环目标</w:t>
      </w:r>
      <w:r/>
    </w:p>
    <w:p>
      <w:pPr>
        <w:pStyle w:val="1303"/>
        <w:numPr>
          <w:ilvl w:val="0"/>
          <w:numId w:val="28"/>
        </w:numPr>
        <w:contextualSpacing/>
        <w:ind w:left="0" w:firstLine="480"/>
        <w:spacing w:line="400" w:lineRule="exact"/>
        <w:widowControl/>
        <w:rPr>
          <w:rFonts w:hint="eastAsia" w:ascii="宋体" w:hAnsi="宋体" w:cs="宋体"/>
          <w:sz w:val="24"/>
          <w:szCs w:val="24"/>
        </w:rPr>
      </w:pPr>
      <w:r>
        <w:rPr>
          <w:rFonts w:hint="eastAsia" w:ascii="宋体" w:hAnsi="宋体" w:cs="宋体"/>
          <w:sz w:val="24"/>
          <w:szCs w:val="24"/>
        </w:rPr>
        <w:t xml:space="preserve">供应商应控制的安健环目标：不发生人身重伤及以上事故；不发生火灾事故；不发生环境污染事件；不发生职业病危害事故；不发生负主要责任的一般及以上交通事故；不发生一般及以上设备事故（含垮坝、坍塌）；不发生因勘察设计、作业、调试责任造成的质量事故；不发生严重违法、违纪及严重损害企业形象事件；</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（2）安全职责要求</w:t>
      </w:r>
      <w:r/>
    </w:p>
    <w:p>
      <w:pPr>
        <w:pStyle w:val="1303"/>
        <w:numPr>
          <w:ilvl w:val="0"/>
          <w:numId w:val="29"/>
        </w:numPr>
        <w:contextualSpacing/>
        <w:ind w:left="0" w:firstLine="480"/>
        <w:spacing w:line="400" w:lineRule="exact"/>
        <w:widowControl/>
        <w:rPr>
          <w:rFonts w:hint="eastAsia" w:ascii="宋体" w:hAnsi="宋体" w:cs="宋体"/>
          <w:sz w:val="24"/>
          <w:szCs w:val="24"/>
        </w:rPr>
      </w:pPr>
      <w:r>
        <w:rPr>
          <w:rFonts w:hint="eastAsia" w:ascii="宋体" w:hAnsi="宋体" w:cs="宋体"/>
          <w:sz w:val="24"/>
          <w:szCs w:val="24"/>
        </w:rPr>
        <w:t xml:space="preserve">供应商安全职责</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供应商严格执行有关安全生产的法律、法规和标准，尊重并服从现场用户的安全生产规章制度和管理方式，接受采购人的监督管理，对参加项目的有关人员的安全和行为负责。</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按照现场用户要求提供相关材料，接受安全资质和条件审查，并对材料的真实性、合法性和有效性负责。</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必须为所有参与本项目的工作人员（包括供应商本单位人员、派遣至供应商的工作人员等）办理或监督办理工伤社会保险和意外伤害保险，并向采购人备案。为确保覆盖到所有参与本项目的工作人员，要以项目为单位办理或监督办理工伤社会保险，办理或监督办理团体意外伤害保险。工作人员的年龄、身体条件、从事现场作业的资质等，必须符合国家、行业、本项目及本公司的有关规定。供应商按相关规定必须为从人员提供、配备合格的劳动防护、保护用品、用具，满足所从事工作的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供应商必须按照法规、规定进行入场人员的安全管理、教育培训、安全考试和安全生产活动。未接受安全教育和安全考试不合格者不得进入现场作业。</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应严格遵守和执行国家、地方政府、行业有关消防安全的法律法规、消防安全规程及用户的消防安全管理制度。供应商为所承担项目的消防安全责任主体，要按照相关规定配备消防设施、设备、器材，成立消防组织机构和建立义务消防组织。</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应严格控制作业对环境造成的影响（如：噪声、粉尘、有毒有害化学品、废气、废液、废弃物及油污的排放控制及管理等），废弃物按合同约定进行处置，并应符合相关法律、法规要求和现场规定的程序和方式。</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供应商应采取一切合理的措施，防止本单位人员发生任何违法、妨碍治安和影响工程项目周边和谐稳定的行为。</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负责制定作业现场应急预案并报采购人备案。建立应急救援组织、配备应急物资和器材，定期组织演练。供应商应急管理应纳入采购人应急救援系统，并接受采购人的统一协调管理。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应服从现场用户和地方政府安全、环境保护监督部门对安全文明作业、职业卫生、环境保护的监督管理，接受监督管理单位的检查和考评。开工前要组织全体人员学习公司《安全文明施工奖惩制度》，并遵从严格执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供应商在作业中确保安全、健康、环保、环境设施实现“三同时”，确保安全、健康、环保、环境等硬件设施达到设计、规范、工艺标准。符合、满足安全生产要求。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对现场用户组织的安全环境大检查、安全工作会议，供应商应及时派员参加并认真贯彻落实，对会议提出的问题和检查中发现的问题在规定期限内完成整改。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供应商每天必须进行班前会教育，结合工作任务，做好危险点分析，布置相应的安全措施，交待注意事项，告知当天工作和作业存在的风险隐患，没有完善的安全措施，绝对不允许开工。</w:t>
      </w:r>
      <w:r/>
    </w:p>
    <w:p>
      <w:pPr>
        <w:pStyle w:val="1303"/>
        <w:numPr>
          <w:ilvl w:val="0"/>
          <w:numId w:val="29"/>
        </w:numPr>
        <w:contextualSpacing/>
        <w:ind w:left="0" w:firstLine="480"/>
        <w:spacing w:line="400" w:lineRule="exact"/>
        <w:widowControl/>
        <w:rPr>
          <w:rFonts w:hint="eastAsia" w:ascii="宋体" w:hAnsi="宋体" w:cs="宋体"/>
          <w:sz w:val="24"/>
          <w:szCs w:val="24"/>
        </w:rPr>
      </w:pPr>
      <w:r>
        <w:rPr>
          <w:rFonts w:hint="eastAsia" w:ascii="宋体" w:hAnsi="宋体" w:cs="宋体"/>
          <w:sz w:val="24"/>
          <w:szCs w:val="24"/>
        </w:rPr>
        <w:t xml:space="preserve">供应商人员管理要求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每天开工前由供应商相关工作负责人对工作人员进行“三交”交任务、交安全、交措施、“三查”即精神状态、着装、个人防护用品检查，不符合要求严禁进入现场工作。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特种作业人员证件有效、齐全，并在工作中随身携带证件复印件，以备检查。</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任何人员不得进入与自己工作无关的区域，不得进入已隔离的区域。</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供应商按时参加</w:t>
      </w:r>
      <w:bookmarkStart w:id="103" w:name="OLE_LINK14"/>
      <w:r>
        <w:rPr>
          <w:rFonts w:hint="eastAsia" w:ascii="宋体" w:hAnsi="宋体" w:cs="宋体"/>
          <w:sz w:val="24"/>
          <w:szCs w:val="24"/>
        </w:rPr>
        <w:t xml:space="preserve">现场用户</w:t>
      </w:r>
      <w:bookmarkEnd w:id="103"/>
      <w:r>
        <w:rPr>
          <w:rFonts w:hint="eastAsia" w:ascii="宋体" w:hAnsi="宋体" w:cs="宋体"/>
          <w:sz w:val="24"/>
          <w:szCs w:val="24"/>
        </w:rPr>
        <w:t xml:space="preserve">的安全会议，按时组织现场用户要求的相关会议，并做好会议记录；</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在作业期间，供应商从业人员、安全设备设施不得随意变更，特殊原因需要变更或增减时，须经现场用户审查并批准，当达不到现场用户要求时，采购人有权终止合同，并要求供应商按合同条款赔偿一切损失。</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供应商人员要无条件服从现场的安健环管理相关规定，对有章不循的，采购人有权进行责任追究和考核。</w:t>
      </w:r>
      <w:r/>
    </w:p>
    <w:p>
      <w:pPr>
        <w:pStyle w:val="1303"/>
        <w:numPr>
          <w:ilvl w:val="0"/>
          <w:numId w:val="29"/>
        </w:numPr>
        <w:contextualSpacing/>
        <w:ind w:left="0" w:firstLine="480"/>
        <w:spacing w:line="400" w:lineRule="exact"/>
        <w:widowControl/>
        <w:rPr>
          <w:rFonts w:hint="eastAsia" w:ascii="宋体" w:hAnsi="宋体" w:cs="宋体"/>
          <w:sz w:val="24"/>
          <w:szCs w:val="24"/>
        </w:rPr>
      </w:pPr>
      <w:r>
        <w:rPr>
          <w:rFonts w:hint="eastAsia" w:ascii="宋体" w:hAnsi="宋体" w:cs="宋体"/>
          <w:sz w:val="24"/>
          <w:szCs w:val="24"/>
        </w:rPr>
        <w:t xml:space="preserve">作业现场管理要求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必须坚持文明作业，应严格按照作业总平面布置图进行作业平面管理，明确责任区负责人，责任区实施全封闭管理（现场各临建要统一基本色调，并进行区域搭配），做到区域定制化、设施标准化、行为规范化、管理信息化、现场可视化；建设标准化工地，实现规章制度的标准化、管理流程的程序化、作业行为的规范化、场容场貌的秩序化和作业现场安全防护的标准化；推行“绿色作业”管理，做到“作业现场工厂化、作业工地车间化”。</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设备、材料堆放做到标准化、定置化、模块化管理，作业区域作业做到随干随清，现场各类垃圾应分类及时清理。如供应商不定期清理，采购人组织清理发生的费用在供应商工程款中按清理费的2倍及以上扣除。</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供应商办公区域、库房、现场必须遵循现场相关规定及要求实施定置管理；作业现场必须保持整洁，各类物品做好定置码放，遵循公司相关要求进行作业现场的管理，实现整齐、整洁、规范、定置管理。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同时还应遵守以下要求：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消灭“三违”即：违章作业、违章指挥、违反劳动纪律</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做到“三无”即：无油迹、无积水、无灰尘</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做到“三齐”即：拆下零件摆放整齐、检修机具摆放整齐、材料备品堆放整齐</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做到“三不乱”即：电线不乱拉、管件不乱放、杂物不乱丢</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做到“三条线”即：设备零件摆放一条线；材料物品摆放一条线；工器具摆放一条线</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做到“三不落地”即：工器具与量具不落地、设备零部件不落地、油污不落地</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供应商作业人员应对所在的作业区域、作业环境、操作设施设备、工器具、安全设施等进行每天开工前的检查，发现隐患立即处理，落实整改措施，并向现场安监部门报告。</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各类安全防护设施、安全标志牌、警告牌和接地线等不得擅自拆除、更动。擅自拆除、更动所造成的后果，均由拆除方负责。</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在作业中，应注意地下管线、光缆及高压架空线的保护。供应商应向现场了解地下管线和障碍物详细情况。如遇有特殊情况，应及时向采购人和有关部门联系，采取保护措施后作业，严禁冒险作业、野蛮作业。</w:t>
      </w:r>
      <w:r/>
    </w:p>
    <w:p>
      <w:pPr>
        <w:pStyle w:val="1303"/>
        <w:numPr>
          <w:ilvl w:val="0"/>
          <w:numId w:val="29"/>
        </w:numPr>
        <w:contextualSpacing/>
        <w:ind w:left="0" w:firstLine="480"/>
        <w:spacing w:line="400" w:lineRule="exact"/>
        <w:widowControl/>
        <w:rPr>
          <w:rFonts w:hint="eastAsia" w:ascii="宋体" w:hAnsi="宋体" w:cs="宋体"/>
          <w:sz w:val="24"/>
          <w:szCs w:val="24"/>
        </w:rPr>
      </w:pPr>
      <w:r>
        <w:rPr>
          <w:rFonts w:hint="eastAsia" w:ascii="宋体" w:hAnsi="宋体" w:cs="宋体"/>
          <w:sz w:val="24"/>
          <w:szCs w:val="24"/>
        </w:rPr>
        <w:t xml:space="preserve">健康管理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供应商人员不得带病作业，由于身体原因不适合工作时应立即停止作业，进行人员调整。</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供应商应给现场用户人员提供符合法律、法规、行业标准等要求的职业卫生防护条件，保证现场用户人员的健康。供应商不具备职业病防</w:t>
      </w:r>
      <w:r>
        <w:rPr>
          <w:rFonts w:hint="eastAsia" w:ascii="宋体" w:hAnsi="宋体" w:cs="宋体"/>
          <w:sz w:val="24"/>
          <w:szCs w:val="24"/>
        </w:rPr>
        <w:t xml:space="preserve">护条件的单位和个人不得接受产生职业病危害的作业。供应商接触职业病危害因素的人员应进行相应的职业健康检查（上岗、在岗和离岗），提供由省级以上人民政府卫生行政部门批准的医疗卫生机构职业健康检查证明材料，并将企业承诺书和加盖公章的体检报告复印件提供给采购人备案。供应商应足量配备合格的个体防护用品，并进行告知和培训，保证作业人员能正确使用。供应商要制定并执行操作规程，要建立承包商和个人职业健康监护档案，按照相关制度规定进行工作场所职业病危害因素的监测工作。（上述工作（不限于）发生的费用计入工程总价，且费用满足使用）</w:t>
      </w:r>
      <w:r/>
    </w:p>
    <w:p>
      <w:pPr>
        <w:pStyle w:val="1303"/>
        <w:numPr>
          <w:ilvl w:val="0"/>
          <w:numId w:val="29"/>
        </w:numPr>
        <w:contextualSpacing/>
        <w:ind w:left="0" w:firstLine="480"/>
        <w:spacing w:line="400" w:lineRule="exact"/>
        <w:widowControl/>
        <w:rPr>
          <w:rFonts w:hint="eastAsia" w:ascii="宋体" w:hAnsi="宋体" w:cs="宋体"/>
          <w:sz w:val="24"/>
          <w:szCs w:val="24"/>
        </w:rPr>
      </w:pPr>
      <w:r>
        <w:rPr>
          <w:rFonts w:hint="eastAsia" w:ascii="宋体" w:hAnsi="宋体" w:cs="宋体"/>
          <w:sz w:val="24"/>
          <w:szCs w:val="24"/>
        </w:rPr>
        <w:t xml:space="preserve">安健环事件、事故管理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作业现场发生不安全事件应立即停工，并立即采取防止事件扩大的措施，同时保护好现场，立即向采购人相关人员汇报，如有人员受伤，必须采取一切措施抢救伤员。</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发生人身未遂、交通事故、火险、设备异常、环境污染等事件时，供应商应立即、如实向采购人汇报，同时采取防范措施防止事件扩大，并积极参与事故救援和调查处理。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根据国务院《企业职工伤亡事故报告和处理规定》和《电业生产事故调查规程》之规定，对不属采购人责任的工伤事故，</w:t>
      </w:r>
      <w:bookmarkStart w:id="104" w:name="OLE_LINK11"/>
      <w:r>
        <w:rPr>
          <w:rFonts w:hint="eastAsia" w:ascii="宋体" w:hAnsi="宋体" w:cs="宋体"/>
          <w:sz w:val="24"/>
          <w:szCs w:val="24"/>
        </w:rPr>
        <w:t xml:space="preserve">供应商</w:t>
      </w:r>
      <w:bookmarkEnd w:id="104"/>
      <w:r>
        <w:rPr>
          <w:rFonts w:hint="eastAsia" w:ascii="宋体" w:hAnsi="宋体" w:cs="宋体"/>
          <w:sz w:val="24"/>
          <w:szCs w:val="24"/>
        </w:rPr>
        <w:t xml:space="preserve">应立即报告其企业主管部门和企业所在地劳动部门、公安部门、人民检察院，并认真进行事故调查、分析，按“四不放过”的原则严肃处理并统计上报，做好善后处理，并支付由事故而引发的一切费用。</w:t>
      </w:r>
      <w:r/>
    </w:p>
    <w:p>
      <w:pPr>
        <w:pStyle w:val="1303"/>
        <w:numPr>
          <w:ilvl w:val="0"/>
          <w:numId w:val="29"/>
        </w:numPr>
        <w:contextualSpacing/>
        <w:ind w:left="0" w:firstLine="480"/>
        <w:spacing w:line="400" w:lineRule="exact"/>
        <w:widowControl/>
        <w:rPr>
          <w:rFonts w:hint="eastAsia" w:ascii="宋体" w:hAnsi="宋体" w:cs="宋体"/>
          <w:sz w:val="24"/>
          <w:szCs w:val="24"/>
        </w:rPr>
      </w:pPr>
      <w:r>
        <w:rPr>
          <w:rFonts w:hint="eastAsia" w:ascii="宋体" w:hAnsi="宋体" w:cs="宋体"/>
          <w:sz w:val="24"/>
          <w:szCs w:val="24"/>
        </w:rPr>
        <w:t xml:space="preserve">其他管理要求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供应商须认真贯彻执行安全生产有关法律法规标准和各项规章制度，严格执行作业现场组织设计和安全作业措施。</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组织制定作业现场安全生产管理目标计划，落实安全措施，并保证措施的效果。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参加作业人员的岗前培训、工前教育及安全技术交底工作。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及时消除安全隐患，纠正违章行为，针对可能产生的事故隐患，制定相应的预防措施，并督促执行。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保证作业现场安全生产资金投入，确保安全资金有效使用。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及时如实报告异常及以上事件，并积极协助开展事故调查及善后处理工作。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上述条款如有与上级文件或国家法律法规相抵触的，应以上级文件或国家法律法规为准。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供应商负责为全体作业人员提供统一着装。</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对采购人、现场用户、监理及上级单位和人员的违反安全生产规定、制度的指令有权拒绝执行，对采购人、监理在安全管理工作中存在的问题有权提出意见和改进建议。在预见有重大危险发生时，供应商应认真排查工程关键节点，分析重大危险源点，制定相应的应急预案，并强化实施过程的安全监督，全力规避安全风险。</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（3）安健环考核</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在履行安全监督管理职责时，采购人有权依据现场用户《安全生产法》和《安全生产工作规定》，以及安全生产考核与奖惩管理规定，对供应商的安全生产工作进行考核和奖惩。详见附件一、二、三。</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人员违反现场用户的规章制度及要求的，按现场用户的有关规定进行考核（支付罚金）。供应商未在自通知三日内向采购人交纳考核金额的，采购人有权从工程结算款中扣除，供应商拒绝支付的，采购人有权单方解除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若供应商不能保证所提交资质材料的真实、合法和有效，采购人将有权要求供应商进行整改或终止合同，同时记入不良行为记录。</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当现场发现供应商工作人员的实际安全技术素质和能力不能满足本工程项目需要时，采购人及监理有权要求供应商进行人员更换。</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当发现供应商自行携带和使用的设备、工器具、安全设施、安全装备等不符合国家、行业及本公司安全标准时，采购人有权责令停工整改或强行使之达到安全标准，所需费用从工程款中加倍扣除。所需费用从工程款中扣除。</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采购人有权清退不服从管理，发生严重违章，在作业期内发生违章行为屡教不改累计达到三次，以及发生在合同或其相关附件中规定须清退的其他行为的供应商人员。被清退出场的人员，在三年内不准进入本项目系统承担工程项目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当供应商发生严重违章，或违章行为累计次数足以影响工程安全致使合同无法正常履行时，采购人将有权终止合同。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因供应商责任发生重伤及以上安全事故、重要设备损坏事故、火灾事故、环保事故以及发生在合同或其相关附件中规定须终止合同的其他情况致使合同无法正常履行或给采购人造成社会影响时，采购人将有权终止合同。</w:t>
      </w:r>
      <w:r/>
    </w:p>
    <w:p>
      <w:pPr>
        <w:ind w:firstLine="480"/>
        <w:spacing w:line="400" w:lineRule="exact"/>
        <w:rPr>
          <w:rFonts w:cs="宋体"/>
          <w:sz w:val="24"/>
          <w:szCs w:val="24"/>
        </w:rPr>
      </w:pPr>
      <w:r>
        <w:rPr>
          <w:rFonts w:hint="eastAsia" w:ascii="宋体" w:hAnsi="宋体" w:cs="宋体"/>
          <w:sz w:val="24"/>
          <w:szCs w:val="24"/>
        </w:rPr>
        <w:t xml:space="preserve">当供应商出现安全生产事故不能支付事故罚款和/或承担赔偿责任时，采购人有权从安健环风险保证金中扣除代缴，如果安健环风险保证金数额不足，可以从合同款项中扣除。</w:t>
      </w:r>
      <w:r/>
    </w:p>
    <w:p>
      <w:pPr>
        <w:jc w:val="center"/>
        <w:rPr>
          <w:rFonts w:cs="宋体"/>
          <w:sz w:val="24"/>
          <w:szCs w:val="24"/>
        </w:rPr>
      </w:pPr>
      <w:r>
        <w:rPr>
          <w:rFonts w:hint="eastAsia" w:ascii="宋体" w:hAnsi="宋体" w:cs="宋体"/>
          <w:sz w:val="24"/>
          <w:szCs w:val="24"/>
        </w:rPr>
        <w:t xml:space="preserve">附件一：现场用户作业管理考核标准</w:t>
      </w:r>
      <w:r/>
    </w:p>
    <w:tbl>
      <w:tblPr>
        <w:tblStyle w:val="10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4088"/>
        <w:gridCol w:w="1889"/>
        <w:gridCol w:w="1664"/>
        <w:gridCol w:w="943"/>
      </w:tblGrid>
      <w:tr>
        <w:trPr>
          <w:cantSplit/>
          <w:trHeight w:val="614"/>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考核项目</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考核标准</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负责考核部门</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备注</w:t>
            </w:r>
            <w:r/>
          </w:p>
        </w:tc>
      </w:tr>
      <w:tr>
        <w:trPr>
          <w:cantSplit/>
          <w:trHeight w:val="393"/>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未设立或不符合现场用户专业管理要求设立现场组织管理机构</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1000元</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665"/>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bookmarkStart w:id="105" w:name="OLE_LINK12"/>
            <w:r>
              <w:rPr>
                <w:rFonts w:hint="eastAsia" w:ascii="宋体" w:hAnsi="宋体" w:cs="宋体"/>
                <w:sz w:val="24"/>
                <w:szCs w:val="24"/>
              </w:rPr>
              <w:t xml:space="preserve">供应商</w:t>
            </w:r>
            <w:bookmarkEnd w:id="105"/>
            <w:r>
              <w:rPr>
                <w:rFonts w:hint="eastAsia" w:ascii="宋体" w:hAnsi="宋体" w:cs="宋体"/>
                <w:sz w:val="24"/>
                <w:szCs w:val="24"/>
              </w:rPr>
              <w:t xml:space="preserve">不服从现场用户对口管理部门的生产调度指挥</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500－2000元/次</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77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供应商工作人员工作态度不端正；以非正当理由拒绝现场用户工作要求等。</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200－500元/次，严重者责令辞退</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393"/>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需专业资质的作业项目，供应商工作人员无证上岗或虚假资质。</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1000元/人</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521"/>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供应商管理人员、技术人员不到位（未事实履行职责），或未经同意更换主要工作人员。</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300元/人/天</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393"/>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管理岗位人员、主要技术岗位人员驻工地时间不满合同期的85%。</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200元/岗/天</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77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供应商负责人员缺席或未准时参加现场用户要求参加的协调会、生产调度会、专业会、事故调查会等会议。</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200元/次</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77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在责任范围内，不按时执行现场用户安排的整改工作。</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200－1000元/次，导致事故按程度另计，最高按非停考核。</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393"/>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供应商不及时报告、处理现场异常（按甲方的异常标准）。</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200－500元/次</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393"/>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供应商不按要求报送现场用户要求的各类作业计划、作业组织设计、记录报表等。</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200－500元/次</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393"/>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供应商各专业负责人未做到每天向现场用户管理人员汇报当天工作。</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500元/天</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393"/>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供应商有关负责人不如实汇报工作情况，或隐瞒事实真相。</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500－2000元/次</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77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现场用户发生应急事件，供应商不配合现场用户临时安排的应急处理工作。（不限于合同范围）</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500－2000元/次</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77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供应商在现场使用的主要机具设备、仪器与报价时计划用于维修的种类、数量等不相符。</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100－2000元/台</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1160"/>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15</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借用现场专用工器具损坏的。</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供应商能修复的处罚200元/项，损坏严重的按100%的购买价赔偿。</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r>
        <w:trPr>
          <w:cantSplit/>
          <w:trHeight w:val="393"/>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16</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供应商被现场用户认为安、健、环、质管理体系混乱。</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按现场用户生产考核标准</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360" w:lineRule="auto"/>
              <w:rPr>
                <w:rFonts w:cs="宋体"/>
                <w:sz w:val="24"/>
                <w:szCs w:val="24"/>
              </w:rPr>
            </w:pPr>
            <w:r>
              <w:rPr>
                <w:rFonts w:cs="宋体"/>
                <w:sz w:val="24"/>
                <w:szCs w:val="24"/>
              </w:rPr>
            </w:r>
            <w:r/>
          </w:p>
        </w:tc>
      </w:tr>
    </w:tbl>
    <w:p>
      <w:pPr>
        <w:jc w:val="center"/>
        <w:rPr>
          <w:rFonts w:cs="宋体"/>
          <w:b/>
          <w:bCs/>
          <w:sz w:val="24"/>
          <w:szCs w:val="24"/>
        </w:rPr>
      </w:pPr>
      <w:r>
        <w:rPr>
          <w:rFonts w:hint="eastAsia" w:ascii="宋体" w:hAnsi="宋体" w:cs="宋体"/>
          <w:sz w:val="24"/>
          <w:szCs w:val="24"/>
        </w:rPr>
        <w:t xml:space="preserve">附件二：现场用户文明生产考核标准</w:t>
      </w:r>
      <w:r/>
    </w:p>
    <w:tbl>
      <w:tblPr>
        <w:tblStyle w:val="10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4343"/>
        <w:gridCol w:w="1766"/>
        <w:gridCol w:w="1768"/>
        <w:gridCol w:w="876"/>
      </w:tblGrid>
      <w:tr>
        <w:trPr>
          <w:jc w:val="center"/>
          <w:trHeight w:val="476"/>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290"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考核项目</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考核标准</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负责考核部门</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备注</w:t>
            </w:r>
            <w:r/>
          </w:p>
        </w:tc>
      </w:tr>
      <w:tr>
        <w:trPr>
          <w:jc w:val="center"/>
          <w:trHeight w:val="431"/>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290"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供应商工作人员行为不文明，破坏现场用户形象的。</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1000元/次</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spacing w:line="360" w:lineRule="auto"/>
              <w:rPr>
                <w:rFonts w:cs="宋体"/>
                <w:sz w:val="24"/>
                <w:szCs w:val="24"/>
              </w:rPr>
            </w:pPr>
            <w:r>
              <w:rPr>
                <w:rFonts w:cs="宋体"/>
                <w:sz w:val="24"/>
                <w:szCs w:val="24"/>
              </w:rPr>
            </w:r>
            <w:r/>
          </w:p>
        </w:tc>
      </w:tr>
      <w:tr>
        <w:trPr>
          <w:jc w:val="center"/>
          <w:trHeight w:val="431"/>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290"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供应商人员的的工作服着装标示不统一的。</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100元/人</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spacing w:line="360" w:lineRule="auto"/>
              <w:rPr>
                <w:rFonts w:cs="宋体"/>
                <w:sz w:val="24"/>
                <w:szCs w:val="24"/>
              </w:rPr>
            </w:pPr>
            <w:r>
              <w:rPr>
                <w:rFonts w:cs="宋体"/>
                <w:sz w:val="24"/>
                <w:szCs w:val="24"/>
              </w:rPr>
            </w:r>
            <w:r/>
          </w:p>
        </w:tc>
      </w:tr>
      <w:tr>
        <w:trPr>
          <w:jc w:val="center"/>
          <w:trHeight w:val="843"/>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2290"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不执行对生产现场的文明整改通知单，或不按期整改的。</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500－1000元/项</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spacing w:line="360" w:lineRule="auto"/>
              <w:rPr>
                <w:rFonts w:cs="宋体"/>
                <w:sz w:val="24"/>
                <w:szCs w:val="24"/>
              </w:rPr>
            </w:pPr>
            <w:r>
              <w:rPr>
                <w:rFonts w:cs="宋体"/>
                <w:sz w:val="24"/>
                <w:szCs w:val="24"/>
              </w:rPr>
            </w:r>
            <w:r/>
          </w:p>
        </w:tc>
      </w:tr>
      <w:tr>
        <w:trPr>
          <w:jc w:val="center"/>
          <w:trHeight w:val="890"/>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2290"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设备作业区域不及时进行清理、或不按指定地点堆放垃圾的。</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200－500元/次</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spacing w:line="360" w:lineRule="auto"/>
              <w:rPr>
                <w:rFonts w:cs="宋体"/>
                <w:sz w:val="24"/>
                <w:szCs w:val="24"/>
              </w:rPr>
            </w:pPr>
            <w:r>
              <w:rPr>
                <w:rFonts w:cs="宋体"/>
                <w:sz w:val="24"/>
                <w:szCs w:val="24"/>
              </w:rPr>
            </w:r>
            <w:r/>
          </w:p>
        </w:tc>
      </w:tr>
      <w:tr>
        <w:trPr>
          <w:jc w:val="center"/>
          <w:trHeight w:val="431"/>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2290"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在建筑物、设备上乱写、乱涂乱画等。</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200元/处</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spacing w:line="360" w:lineRule="auto"/>
              <w:rPr>
                <w:rFonts w:cs="宋体"/>
                <w:sz w:val="24"/>
                <w:szCs w:val="24"/>
              </w:rPr>
            </w:pPr>
            <w:r>
              <w:rPr>
                <w:rFonts w:cs="宋体"/>
                <w:sz w:val="24"/>
                <w:szCs w:val="24"/>
              </w:rPr>
            </w:r>
            <w:r/>
          </w:p>
        </w:tc>
      </w:tr>
      <w:tr>
        <w:trPr>
          <w:jc w:val="center"/>
          <w:trHeight w:val="826"/>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60" w:lineRule="auto"/>
              <w:rPr>
                <w:rFonts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2290"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不经公司批准在设备、结构、建筑物上开孔或焊接临时构件。</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spacing w:line="360" w:lineRule="auto"/>
              <w:rPr>
                <w:rFonts w:cs="宋体"/>
                <w:sz w:val="24"/>
                <w:szCs w:val="24"/>
              </w:rPr>
            </w:pPr>
            <w:r>
              <w:rPr>
                <w:rFonts w:hint="eastAsia" w:ascii="宋体" w:hAnsi="宋体" w:cs="宋体"/>
                <w:sz w:val="24"/>
                <w:szCs w:val="24"/>
              </w:rPr>
              <w:t xml:space="preserve">500－1000元/处</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spacing w:line="360" w:lineRule="auto"/>
              <w:rPr>
                <w:rFonts w:cs="宋体"/>
                <w:sz w:val="24"/>
                <w:szCs w:val="24"/>
              </w:rPr>
            </w:pPr>
            <w:r>
              <w:rPr>
                <w:rFonts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spacing w:line="360" w:lineRule="auto"/>
              <w:rPr>
                <w:rFonts w:cs="宋体"/>
                <w:sz w:val="24"/>
                <w:szCs w:val="24"/>
              </w:rPr>
            </w:pPr>
            <w:r>
              <w:rPr>
                <w:rFonts w:cs="宋体"/>
                <w:sz w:val="24"/>
                <w:szCs w:val="24"/>
              </w:rPr>
            </w:r>
            <w:r/>
          </w:p>
        </w:tc>
      </w:tr>
    </w:tbl>
    <w:p>
      <w:pPr>
        <w:ind w:firstLine="480"/>
        <w:spacing w:line="400" w:lineRule="exact"/>
        <w:rPr>
          <w:rFonts w:cs="宋体"/>
          <w:b/>
          <w:bCs/>
          <w:sz w:val="24"/>
          <w:szCs w:val="24"/>
        </w:rPr>
      </w:pPr>
      <w:r>
        <w:rPr>
          <w:rFonts w:hint="eastAsia" w:ascii="宋体" w:hAnsi="宋体" w:cs="宋体"/>
          <w:sz w:val="24"/>
          <w:szCs w:val="24"/>
        </w:rPr>
        <w:t xml:space="preserve">附件三：现场用户十条红线</w:t>
      </w:r>
      <w:r/>
    </w:p>
    <w:p>
      <w:pPr>
        <w:ind w:firstLine="482"/>
        <w:spacing w:line="400" w:lineRule="exact"/>
        <w:rPr>
          <w:rFonts w:cs="宋体"/>
          <w:sz w:val="24"/>
          <w:szCs w:val="24"/>
        </w:rPr>
      </w:pPr>
      <w:r>
        <w:rPr>
          <w:rFonts w:hint="eastAsia" w:ascii="宋体" w:hAnsi="宋体" w:cs="宋体"/>
          <w:b/>
          <w:bCs/>
          <w:sz w:val="24"/>
          <w:szCs w:val="24"/>
        </w:rPr>
        <w:t xml:space="preserve">一、</w:t>
      </w:r>
      <w:r>
        <w:rPr>
          <w:rFonts w:hint="eastAsia" w:ascii="宋体" w:hAnsi="宋体" w:cs="宋体"/>
          <w:sz w:val="24"/>
          <w:szCs w:val="24"/>
        </w:rPr>
        <w:t xml:space="preserve">未经入厂三级安全教育并考试合格、无证、冒名顶替进入现场工作；工作前无风险评估、无安全技术交底；高风险作业无安全监护。</w:t>
      </w:r>
      <w:r/>
    </w:p>
    <w:p>
      <w:pPr>
        <w:ind w:firstLine="482"/>
        <w:spacing w:line="400" w:lineRule="exact"/>
        <w:rPr>
          <w:rFonts w:cs="宋体"/>
          <w:sz w:val="24"/>
          <w:szCs w:val="24"/>
        </w:rPr>
      </w:pPr>
      <w:r>
        <w:rPr>
          <w:rFonts w:hint="eastAsia" w:ascii="宋体" w:hAnsi="宋体" w:cs="宋体"/>
          <w:b/>
          <w:bCs/>
          <w:sz w:val="24"/>
          <w:szCs w:val="24"/>
        </w:rPr>
        <w:t xml:space="preserve">二、</w:t>
      </w:r>
      <w:r>
        <w:rPr>
          <w:rFonts w:hint="eastAsia" w:ascii="宋体" w:hAnsi="宋体" w:cs="宋体"/>
          <w:sz w:val="24"/>
          <w:szCs w:val="24"/>
        </w:rPr>
        <w:t xml:space="preserve">进入现场不佩戴安全帽；高处作业不系挂安全带。</w:t>
      </w:r>
      <w:r/>
    </w:p>
    <w:p>
      <w:pPr>
        <w:ind w:firstLine="482"/>
        <w:spacing w:line="400" w:lineRule="exact"/>
        <w:rPr>
          <w:rFonts w:cs="宋体"/>
          <w:sz w:val="24"/>
          <w:szCs w:val="24"/>
        </w:rPr>
      </w:pPr>
      <w:r>
        <w:rPr>
          <w:rFonts w:hint="eastAsia" w:ascii="宋体" w:hAnsi="宋体" w:cs="宋体"/>
          <w:b/>
          <w:bCs/>
          <w:sz w:val="24"/>
          <w:szCs w:val="24"/>
        </w:rPr>
        <w:t xml:space="preserve">三、</w:t>
      </w:r>
      <w:r>
        <w:rPr>
          <w:rFonts w:hint="eastAsia" w:ascii="宋体" w:hAnsi="宋体" w:cs="宋体"/>
          <w:sz w:val="24"/>
          <w:szCs w:val="24"/>
        </w:rPr>
        <w:t xml:space="preserve">代签作业票证、无票或搭票作业（工作票、操作票、风险预控票、动火工作票）；未执行票面安全措施；未经许可扩大作业范围，擅自拆除、变更安全防护设施。</w:t>
      </w:r>
      <w:r/>
    </w:p>
    <w:p>
      <w:pPr>
        <w:ind w:firstLine="482"/>
        <w:spacing w:line="400" w:lineRule="exact"/>
        <w:rPr>
          <w:rFonts w:cs="宋体"/>
          <w:sz w:val="24"/>
          <w:szCs w:val="24"/>
        </w:rPr>
      </w:pPr>
      <w:r>
        <w:rPr>
          <w:rFonts w:hint="eastAsia" w:ascii="宋体" w:hAnsi="宋体" w:cs="宋体"/>
          <w:b/>
          <w:bCs/>
          <w:sz w:val="24"/>
          <w:szCs w:val="24"/>
        </w:rPr>
        <w:t xml:space="preserve">四、</w:t>
      </w:r>
      <w:r>
        <w:rPr>
          <w:rFonts w:hint="eastAsia" w:ascii="宋体" w:hAnsi="宋体" w:cs="宋体"/>
          <w:sz w:val="24"/>
          <w:szCs w:val="24"/>
        </w:rPr>
        <w:t xml:space="preserve">井、坑、孔洞作业无可靠安全围栏和安全警示标识；临边和交叉作业无可靠安全隔离措施。</w:t>
      </w:r>
      <w:r/>
    </w:p>
    <w:p>
      <w:pPr>
        <w:ind w:firstLine="482"/>
        <w:spacing w:line="400" w:lineRule="exact"/>
        <w:rPr>
          <w:rFonts w:cs="宋体"/>
          <w:sz w:val="24"/>
          <w:szCs w:val="24"/>
        </w:rPr>
      </w:pPr>
      <w:r>
        <w:rPr>
          <w:rFonts w:hint="eastAsia" w:ascii="宋体" w:hAnsi="宋体" w:cs="宋体"/>
          <w:b/>
          <w:bCs/>
          <w:sz w:val="24"/>
          <w:szCs w:val="24"/>
        </w:rPr>
        <w:t xml:space="preserve">五、</w:t>
      </w:r>
      <w:r>
        <w:rPr>
          <w:rFonts w:hint="eastAsia" w:ascii="宋体" w:hAnsi="宋体" w:cs="宋体"/>
          <w:sz w:val="24"/>
          <w:szCs w:val="24"/>
        </w:rPr>
        <w:t xml:space="preserve">有限空间作业，未执行“先通风、后检测、再作业”程序，未履行出入登记手续、外部无人监护。</w:t>
      </w:r>
      <w:r/>
    </w:p>
    <w:p>
      <w:pPr>
        <w:ind w:firstLine="482"/>
        <w:spacing w:line="400" w:lineRule="exact"/>
        <w:rPr>
          <w:rFonts w:cs="宋体"/>
          <w:sz w:val="24"/>
          <w:szCs w:val="24"/>
        </w:rPr>
      </w:pPr>
      <w:r>
        <w:rPr>
          <w:rFonts w:hint="eastAsia" w:ascii="宋体" w:hAnsi="宋体" w:cs="宋体"/>
          <w:b/>
          <w:bCs/>
          <w:sz w:val="24"/>
          <w:szCs w:val="24"/>
        </w:rPr>
        <w:t xml:space="preserve">六、</w:t>
      </w:r>
      <w:r>
        <w:rPr>
          <w:rFonts w:hint="eastAsia" w:ascii="宋体" w:hAnsi="宋体" w:cs="宋体"/>
          <w:sz w:val="24"/>
          <w:szCs w:val="24"/>
        </w:rPr>
        <w:t xml:space="preserve">从事特种作业人员无相应资质；使用未经检验合格的特种设备。</w:t>
      </w:r>
      <w:r/>
    </w:p>
    <w:p>
      <w:pPr>
        <w:ind w:firstLine="482"/>
        <w:spacing w:line="400" w:lineRule="exact"/>
        <w:rPr>
          <w:rFonts w:cs="宋体"/>
          <w:sz w:val="24"/>
          <w:szCs w:val="24"/>
        </w:rPr>
      </w:pPr>
      <w:r>
        <w:rPr>
          <w:rFonts w:hint="eastAsia" w:ascii="宋体" w:hAnsi="宋体" w:cs="宋体"/>
          <w:b/>
          <w:bCs/>
          <w:sz w:val="24"/>
          <w:szCs w:val="24"/>
        </w:rPr>
        <w:t xml:space="preserve">七、</w:t>
      </w:r>
      <w:r>
        <w:rPr>
          <w:rFonts w:hint="eastAsia" w:ascii="宋体" w:hAnsi="宋体" w:cs="宋体"/>
          <w:sz w:val="24"/>
          <w:szCs w:val="24"/>
        </w:rPr>
        <w:t xml:space="preserve">高风险作业未执行“六不开工”规定（危险源辨识不清；未制定完善的安全技术防范措施；安全技术防范措施准备执行不到位；安全技术措施交底不清；应到位人员未到位；未编制应急预案并进行培训、演练）。</w:t>
      </w:r>
      <w:r/>
    </w:p>
    <w:p>
      <w:pPr>
        <w:ind w:firstLine="482"/>
        <w:spacing w:line="400" w:lineRule="exact"/>
        <w:rPr>
          <w:rFonts w:cs="宋体"/>
          <w:sz w:val="24"/>
          <w:szCs w:val="24"/>
        </w:rPr>
      </w:pPr>
      <w:r>
        <w:rPr>
          <w:rFonts w:hint="eastAsia" w:ascii="宋体" w:hAnsi="宋体" w:cs="宋体"/>
          <w:b/>
          <w:bCs/>
          <w:sz w:val="24"/>
          <w:szCs w:val="24"/>
        </w:rPr>
        <w:t xml:space="preserve">八、</w:t>
      </w:r>
      <w:r>
        <w:rPr>
          <w:rFonts w:hint="eastAsia" w:ascii="宋体" w:hAnsi="宋体" w:cs="宋体"/>
          <w:sz w:val="24"/>
          <w:szCs w:val="24"/>
        </w:rPr>
        <w:t xml:space="preserve">使用未经验收合格的脚手架；未经许可搭拆、改动脚手架。</w:t>
      </w:r>
      <w:r/>
    </w:p>
    <w:p>
      <w:pPr>
        <w:ind w:firstLine="482"/>
        <w:spacing w:line="400" w:lineRule="exact"/>
        <w:widowControl/>
        <w:rPr>
          <w:rFonts w:cs="宋体"/>
          <w:sz w:val="24"/>
          <w:szCs w:val="24"/>
        </w:rPr>
      </w:pPr>
      <w:r>
        <w:rPr>
          <w:rFonts w:hint="eastAsia" w:ascii="宋体" w:hAnsi="宋体" w:cs="宋体"/>
          <w:b/>
          <w:bCs/>
          <w:sz w:val="24"/>
          <w:szCs w:val="24"/>
        </w:rPr>
        <w:t xml:space="preserve">九、</w:t>
      </w:r>
      <w:r>
        <w:rPr>
          <w:rFonts w:hint="eastAsia" w:ascii="宋体" w:hAnsi="宋体" w:cs="宋体"/>
          <w:sz w:val="24"/>
          <w:szCs w:val="24"/>
        </w:rPr>
        <w:t xml:space="preserve">作业、安全监护、现场巡点检期间玩手机。</w:t>
      </w:r>
      <w:r/>
    </w:p>
    <w:p>
      <w:pPr>
        <w:ind w:firstLine="482"/>
        <w:spacing w:line="400" w:lineRule="exact"/>
        <w:rPr>
          <w:rFonts w:cs="宋体"/>
          <w:sz w:val="24"/>
          <w:szCs w:val="24"/>
        </w:rPr>
      </w:pPr>
      <w:r>
        <w:rPr>
          <w:rFonts w:hint="eastAsia" w:ascii="宋体" w:hAnsi="宋体" w:cs="宋体"/>
          <w:b/>
          <w:bCs/>
          <w:sz w:val="24"/>
          <w:szCs w:val="24"/>
        </w:rPr>
        <w:t xml:space="preserve">十、</w:t>
      </w:r>
      <w:r>
        <w:rPr>
          <w:rFonts w:hint="eastAsia" w:ascii="宋体" w:hAnsi="宋体" w:cs="宋体"/>
          <w:sz w:val="24"/>
          <w:szCs w:val="24"/>
        </w:rPr>
        <w:t xml:space="preserve">危险废弃物未放置到专用地点。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一经发现立即停止作业。公司管理人员安全积分扣2分，并考核1000元；供应商人员清出作业现场，永久禁入并考核5000元。</w:t>
      </w:r>
      <w:r/>
    </w:p>
    <w:p>
      <w:pPr>
        <w:ind w:firstLine="480"/>
        <w:spacing w:line="400" w:lineRule="exact"/>
        <w:rPr>
          <w:rFonts w:hint="eastAsia" w:ascii="宋体" w:hAnsi="宋体" w:cs="宋体"/>
          <w:sz w:val="24"/>
          <w:szCs w:val="24"/>
        </w:rPr>
      </w:pPr>
      <w:r>
        <w:rPr>
          <w:rFonts w:hint="eastAsia" w:ascii="宋体" w:hAnsi="宋体" w:cs="宋体"/>
          <w:sz w:val="24"/>
          <w:szCs w:val="24"/>
        </w:rPr>
      </w:r>
      <w:r/>
    </w:p>
    <w:p>
      <w:pPr>
        <w:numPr>
          <w:ilvl w:val="0"/>
          <w:numId w:val="11"/>
        </w:numPr>
        <w:ind w:left="0" w:firstLine="562"/>
        <w:spacing w:line="360" w:lineRule="exact"/>
        <w:widowControl/>
        <w:rPr>
          <w:rFonts w:hint="eastAsia" w:ascii="宋体" w:hAnsi="宋体" w:cs="宋体"/>
          <w:bCs/>
          <w:color w:val="000000"/>
          <w:sz w:val="24"/>
          <w:szCs w:val="24"/>
        </w:rPr>
      </w:pPr>
      <w:r>
        <w:rPr>
          <w:rFonts w:hint="eastAsia" w:ascii="宋体" w:hAnsi="宋体" w:cs="宋体"/>
          <w:b/>
          <w:sz w:val="28"/>
          <w:szCs w:val="28"/>
          <w:lang w:bidi="ar"/>
        </w:rPr>
        <w:t xml:space="preserve">商务要求</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（一）质保及售后要求</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1.无人机巡检系统提供至少一年免费质保服务，提供无人机成套装置（含电池）终身免费技术支持服务，网络系统提供至少三年免费质保服务，质保期自</w:t>
      </w:r>
      <w:r>
        <w:rPr>
          <w:rFonts w:hint="eastAsia" w:ascii="宋体" w:hAnsi="宋体" w:cs="宋体"/>
          <w:b/>
          <w:sz w:val="24"/>
          <w:szCs w:val="24"/>
          <w:lang w:bidi="ar"/>
        </w:rPr>
        <w:t xml:space="preserve">完成用户系统联调验收合格之日</w:t>
      </w:r>
      <w:r>
        <w:rPr>
          <w:rFonts w:hint="eastAsia" w:ascii="宋体" w:hAnsi="宋体" w:cs="宋体"/>
          <w:bCs/>
          <w:sz w:val="24"/>
          <w:szCs w:val="24"/>
          <w:lang w:bidi="ar"/>
        </w:rPr>
        <w:t xml:space="preserve">起算。</w:t>
      </w:r>
      <w:r>
        <w:rPr>
          <w:rFonts w:hint="eastAsia" w:ascii="宋体" w:hAnsi="宋体" w:cs="宋体"/>
          <w:b/>
          <w:sz w:val="24"/>
          <w:szCs w:val="24"/>
          <w:lang w:bidi="ar"/>
        </w:rPr>
        <w:t xml:space="preserve">提供一年无人机保险服务，满足飞行服务方面的国家相关要求。系统整体上线试运行后12个月内提供专业化/智能模块现场服务不少于10次，服务标准以满足现场实际需求为准。</w:t>
      </w:r>
      <w:r>
        <w:rPr>
          <w:rFonts w:hint="eastAsia" w:ascii="宋体" w:hAnsi="宋体" w:cs="宋体"/>
          <w:b/>
          <w:sz w:val="24"/>
          <w:szCs w:val="24"/>
          <w:highlight w:val="none"/>
          <w:lang w:bidi="ar"/>
        </w:rPr>
        <w:t xml:space="preserve">供应商在投标文件中提供书面承诺函并加盖CA电子公章。</w:t>
      </w:r>
      <w:r>
        <w:rPr>
          <w:rFonts w:hint="eastAsia" w:ascii="宋体" w:hAnsi="宋体" w:cs="宋体"/>
          <w:bCs/>
          <w:sz w:val="24"/>
          <w:szCs w:val="24"/>
          <w:highlight w:val="none"/>
          <w:lang w:bidi="ar"/>
        </w:rPr>
        <w:t xml:space="preserve">所有</w:t>
      </w:r>
      <w:r>
        <w:rPr>
          <w:rFonts w:hint="eastAsia" w:ascii="宋体" w:hAnsi="宋体" w:cs="宋体"/>
          <w:bCs/>
          <w:sz w:val="24"/>
          <w:szCs w:val="24"/>
          <w:lang w:bidi="ar"/>
        </w:rPr>
        <w:t xml:space="preserve">产品及配件必须原厂整机出厂,不得在出厂后改配。格式自拟，内容须完全包含采购人要求的质保服务内容。</w:t>
      </w:r>
      <w:r/>
    </w:p>
    <w:p>
      <w:pPr>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t xml:space="preserve">2.在质保期内，免费维修或更换有缺陷的货物或部件的响应期限：设备发生故障后，供应商在收到用户服务信息后8小时内给与答复，并给予远程指导，如仍未解决问题，将于24小时内到现场处理。质保期内出现无法排除的故障，成交人免费为采购人更换同型号产品。</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3.质保期内发生的零部件不正常的磨损，或非人为原因而损坏、失效的零部件、电子元器件和易损件，发生上述情况但不限于上述情况时，供应商将免费提供服务，并免费更换上述零部件、电子元器件、备品备件和易损件。</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4.质保期后，成交人继续为采购人提供服务，服务仅收取零配件成本费，免人工费。供应商保证有充足的备件，保证提供的所有设备、部件均无假冒伪劣产品。</w:t>
      </w:r>
      <w:r/>
    </w:p>
    <w:p>
      <w:pPr>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t xml:space="preserve">5.供应商需配合采购人进行整体系统的现场组装和联调。对于产品在使用过程中所出现的使用、技术问题，双方及时交流，供应商需随时提供技术支持，直到技术问题解决。质保期内，对由于产品质量问题造成的损坏，供应商负责到现场免费维修并更换损坏的产品。新更换的零部件的质保期则从更换日起计。</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6.供应商中标后，在系统试运行期和项目质量保证期内，应持续提供本项目全部的软硬件产品（系统）服务，服务范围包括但不限于：在系统试运行期间负责承担用户技术支持、问题跟踪处理、系统优化完善等现场运维服务工作，在系统质量保证期内负责承担系统升级和功能完善等服务工作。</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7.供应商需每6个月配合采购人至项目现场对项目部署的网络信号进行全面测试，并出具评估报告。</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8.供应商在项目完成后须配合采购人完成相关标准编写、成果鉴定、性能试验及各种奖项申报。</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9.供应商在质保期内应无条件配合采购人完成相关系统优化等。</w:t>
      </w:r>
      <w:r/>
    </w:p>
    <w:p>
      <w:pPr>
        <w:ind w:firstLine="480"/>
        <w:spacing w:line="400" w:lineRule="exact"/>
        <w:rPr>
          <w:rFonts w:hint="eastAsia" w:ascii="宋体" w:hAnsi="宋体" w:cs="宋体"/>
          <w:bCs/>
          <w:sz w:val="24"/>
          <w:szCs w:val="24"/>
          <w:lang w:bidi="ar"/>
        </w:rPr>
      </w:pPr>
      <w:r>
        <w:rPr>
          <w:rFonts w:hint="eastAsia" w:ascii="宋体" w:hAnsi="宋体" w:cs="宋体"/>
          <w:bCs/>
          <w:sz w:val="24"/>
          <w:szCs w:val="24"/>
        </w:rPr>
        <w:t xml:space="preserve">10.中标后，供应商负责提供详细的售后服务方案，包括质保期内维修、维护服务内容以及售后服务方式、范围（产品、技术、模块、部件），明确针对本项目的售后服务机构。同时还需要说明质保期后的保修服务。</w:t>
      </w:r>
      <w:r/>
    </w:p>
    <w:p>
      <w:pPr>
        <w:ind w:firstLine="480"/>
        <w:spacing w:line="360" w:lineRule="exact"/>
        <w:rPr>
          <w:rFonts w:hint="eastAsia" w:ascii="宋体" w:hAnsi="宋体" w:cs="宋体"/>
          <w:bCs/>
          <w:sz w:val="24"/>
          <w:szCs w:val="24"/>
        </w:rPr>
      </w:pPr>
      <w:r>
        <w:rPr>
          <w:rFonts w:hint="eastAsia" w:ascii="宋体" w:hAnsi="宋体" w:cs="宋体"/>
          <w:bCs/>
          <w:color w:val="000000"/>
          <w:sz w:val="24"/>
          <w:szCs w:val="24"/>
          <w:lang w:bidi="ar"/>
        </w:rPr>
        <w:t xml:space="preserve">（二）验收标准（验收方式）</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按照该产品国家和行业技术标准、原厂或具备资质的计量机构出具的校准报告、合同、投标招标文件中的技术规格及投标过程中的有关材料，由采购人和成交人共同验收，验收所需的设备由成交人提供。</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1.货物到达现场后，由买方组织接收。货物以及配件的验收，应在货物到达现场30日内完成。</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2.仪器设备到货后，由采购人组织有关人员进行验收。验收人员必须严格按照响应文件、采购文件、合同书和产品技术手册、装箱清单逐一查验实物的数量和型号是否相符，配件、说明书及其它技术资料是否配套，质量、性能是否合格，外观有无缺陷，检查清点随机所带专用工具、易丢易损件数量并妥善保管。</w:t>
      </w:r>
      <w:r/>
    </w:p>
    <w:p>
      <w:pPr>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t xml:space="preserve">3.验收时发现不符合质量要求，供应商须无条件予以退换，采购人不接受维修方式。退换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执行。</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4.性能试验：性能试验验收要求在合同执行期间供应商必须对其所提供的设备（包括外购设备）和材料进行检验、试验，以确保其所提供的设备和材料符合相关规定的要求，试验费用包含在合同总价范围内；设备安装后的性能试验需经采购人认可，首次试验费用由供应商承担。如果由于供应商责任，需进行不止一次的试验，则后续试验费用仍都由乙方承担，直至试验合格并顺利使用12个月。</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5.系统不得选用国家已淘汰的产品或元件。若在交货的系统内含有国家已宣布淘汰的品名或元件，供应商应无条件作退货或及时免费更换，并承担甲方由此造成的包括工期延误的损失费用，并接受采购人按1000元/件的处罚决定；供应商提交违约金后，仍有义务向采购人提供技术帮助，采取各种措施以使设备达到各项指标。</w:t>
      </w:r>
      <w:r/>
    </w:p>
    <w:p>
      <w:pPr>
        <w:ind w:firstLine="480"/>
        <w:spacing w:line="360" w:lineRule="exact"/>
        <w:rPr>
          <w:rFonts w:hint="eastAsia" w:ascii="宋体" w:hAnsi="宋体" w:cs="宋体"/>
          <w:bCs/>
          <w:sz w:val="24"/>
          <w:szCs w:val="24"/>
        </w:rPr>
      </w:pPr>
      <w:r>
        <w:rPr>
          <w:rFonts w:hint="eastAsia" w:ascii="宋体" w:hAnsi="宋体" w:cs="宋体"/>
          <w:bCs/>
          <w:sz w:val="24"/>
          <w:szCs w:val="24"/>
          <w:lang w:bidi="ar"/>
        </w:rPr>
        <w:t xml:space="preserve">（三）交付（安装）要求</w:t>
      </w:r>
      <w:r/>
    </w:p>
    <w:p>
      <w:pPr>
        <w:ind w:firstLine="480"/>
        <w:spacing w:line="400" w:lineRule="exact"/>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1.交付时间（供货期）：自合同签订生效后30天内完成系统硬件部分安装，包括网络硬件设备及无人机设备供货安装，自合同签订生效后90天内完成软件部署及系统交付。</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供应商由于自身原因延迟合同规定的总工期时，采购人有权按每延迟一天考核1000元/天扣除合同额。</w:t>
      </w:r>
      <w:r/>
    </w:p>
    <w:p>
      <w:pPr>
        <w:ind w:firstLine="480"/>
        <w:spacing w:line="400" w:lineRule="exact"/>
        <w:rPr>
          <w:rFonts w:hint="eastAsia" w:ascii="宋体" w:hAnsi="宋体" w:cs="宋体"/>
          <w:bCs/>
          <w:sz w:val="24"/>
          <w:szCs w:val="24"/>
          <w:highlight w:val="none"/>
          <w:lang w:bidi="ar"/>
        </w:rPr>
      </w:pPr>
      <w:r>
        <w:rPr>
          <w:rFonts w:hint="eastAsia" w:ascii="宋体" w:hAnsi="宋体" w:cs="宋体"/>
          <w:bCs/>
          <w:sz w:val="24"/>
          <w:szCs w:val="24"/>
          <w:highlight w:val="none"/>
        </w:rPr>
        <w:t xml:space="preserve">供应商由于自身原因未按时交付合同规定的经双方确认属严重影响作业的关键技术资料、图纸、验收材料时，则每延迟一天，采购人有权按每延迟一天考核1000元/天扣除合同额；</w:t>
      </w:r>
      <w:r/>
    </w:p>
    <w:p>
      <w:pPr>
        <w:ind w:firstLine="480"/>
        <w:spacing w:line="400" w:lineRule="exact"/>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2.交付地点（供货地点）：招标人指定地点（宿迁市）。</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3.供应商负责网络设备、无人机及机库安装部署、调试、SMF/核心网联调、系统联调，并保证整个系统的正确运行。必要时在双方约定的场地、期限内提供现场指导，并由专业工程师现场提供所有设施设备及系统的使用培训服务，免费提供培训资料，直至采购方相关人员掌握使用要领、能够熟练使用为止。</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4.供应商应保证所提供产品的附属设备、资料均完整并随产品同步交付，如电源线、网线、串口线、用户手册、安装手册、合格证、质保证明，保证提供给采购人的是一套完整的设备。供应商确保其技术建议以及所提供的软、硬件设备的完整性和可用性，若因供应商失误，造成硬软件短缺或达不到原定性能指标，供应商将免费进行补充，直至满足要求。若出现由于供应商提供的软、硬件设备不满足要求或其所提供的技术支持和服务不全面而导致系统功能无法实现或不能完全实现，由供应商负全部责任并赔偿采购人由此造成的全部损失。</w:t>
      </w:r>
      <w:r/>
    </w:p>
    <w:p>
      <w:pPr>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t xml:space="preserve">5.供应商在交付验收时应同步提供详细的使用说明书和操作手册、软件安装光盘，提供安装和维护所需的专用工具。</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6.出于论文及专利创新的需要，供应商应配合采购人完成技术试验、数据采集等相关工作。验收前，供应商应提交完整的技术资料，包括但不限于：系统设计方案、试验/试飞方案、测试数据、数据分析报告、功能实现说明、关键技术方法及技术总结报告等，交付文档应真实、完整、规范。</w:t>
      </w:r>
      <w:r/>
    </w:p>
    <w:p>
      <w:pPr>
        <w:ind w:firstLine="480"/>
        <w:spacing w:line="400" w:lineRule="exact"/>
        <w:rPr>
          <w:rFonts w:hint="eastAsia" w:ascii="宋体" w:hAnsi="宋体" w:cs="宋体"/>
          <w:bCs/>
          <w:sz w:val="24"/>
          <w:szCs w:val="24"/>
        </w:rPr>
      </w:pPr>
      <w:r>
        <w:rPr>
          <w:rFonts w:hint="eastAsia" w:ascii="宋体" w:hAnsi="宋体" w:cs="宋体"/>
          <w:bCs/>
          <w:sz w:val="24"/>
          <w:szCs w:val="24"/>
          <w:highlight w:val="none"/>
          <w:lang w:bidi="ar"/>
        </w:rPr>
        <w:t xml:space="preserve">7.供应商所提供硬件设备/软件都是原厂原装，且产品是交付前最新生产并未被使用过的全新产品，同时具有在中国境内的</w:t>
      </w:r>
      <w:r>
        <w:rPr>
          <w:rFonts w:hint="eastAsia" w:ascii="宋体" w:hAnsi="宋体" w:cs="宋体"/>
          <w:bCs/>
          <w:sz w:val="24"/>
          <w:szCs w:val="24"/>
          <w:lang w:bidi="ar"/>
        </w:rPr>
        <w:t xml:space="preserve">合法使用权。</w:t>
      </w:r>
      <w:r/>
    </w:p>
    <w:p>
      <w:pPr>
        <w:ind w:firstLine="480"/>
        <w:spacing w:line="360" w:lineRule="exact"/>
        <w:rPr>
          <w:rFonts w:hint="eastAsia" w:ascii="宋体" w:hAnsi="宋体" w:cs="宋体"/>
          <w:bCs/>
          <w:sz w:val="24"/>
          <w:szCs w:val="24"/>
        </w:rPr>
      </w:pPr>
      <w:r>
        <w:rPr>
          <w:rFonts w:hint="eastAsia" w:ascii="宋体" w:hAnsi="宋体" w:cs="宋体"/>
          <w:bCs/>
          <w:sz w:val="24"/>
          <w:szCs w:val="24"/>
          <w:lang w:bidi="ar"/>
        </w:rPr>
        <w:t xml:space="preserve">（四）技术培训要求</w:t>
      </w:r>
      <w:r/>
    </w:p>
    <w:p>
      <w:pPr>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t xml:space="preserve">1.供应商为采购人提供完善的技术培训和技术售后支持，安排工程师对相关人员进行成交产品的基本使用的培训，让相关人员掌握产品的组建和启动操作方式。培训后相关人员使用成交产品的过程中有任何问题都可以咨询供应商的工程师，工程师提供远程电话指导，如果不能解决问题，24小时内会到现场进行现场指导。</w:t>
      </w:r>
      <w:r/>
    </w:p>
    <w:p>
      <w:pPr>
        <w:ind w:firstLine="482"/>
        <w:spacing w:line="400" w:lineRule="exact"/>
        <w:rPr>
          <w:rFonts w:hint="eastAsia" w:ascii="宋体" w:hAnsi="宋体" w:cs="宋体"/>
          <w:b/>
          <w:sz w:val="24"/>
          <w:szCs w:val="24"/>
          <w:lang w:bidi="ar"/>
        </w:rPr>
      </w:pPr>
      <w:r>
        <w:rPr>
          <w:rFonts w:hint="eastAsia" w:ascii="宋体" w:hAnsi="宋体" w:cs="宋体"/>
          <w:b/>
          <w:sz w:val="24"/>
          <w:szCs w:val="24"/>
          <w:lang w:bidi="ar"/>
        </w:rPr>
        <w:t xml:space="preserve">2.根据采购人要求，供应商负责培训6人取得无人机飞手证（CAAC证书）。</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3.供应商应针对项目组建和启动方式等方面对采购人进行培训，集中培训不少于两场次，培训场地由采购人提供。</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4.供应商提供培训资料。</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5.使用过程中供应商厂家工程师提供远程支持，如果不能解决问题，24小时内会到现场进行现场指导。</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6.所有培训相关费用均包含在供应商总报价中，采购人不再另行支付费用。</w:t>
      </w:r>
      <w:r/>
    </w:p>
    <w:p>
      <w:pPr>
        <w:ind w:firstLine="480"/>
        <w:spacing w:line="360" w:lineRule="exact"/>
        <w:rPr>
          <w:rFonts w:hint="eastAsia" w:ascii="宋体" w:hAnsi="宋体" w:cs="宋体"/>
          <w:bCs/>
          <w:sz w:val="24"/>
          <w:szCs w:val="24"/>
        </w:rPr>
      </w:pPr>
      <w:r>
        <w:rPr>
          <w:rFonts w:hint="eastAsia" w:ascii="宋体" w:hAnsi="宋体" w:cs="宋体"/>
          <w:bCs/>
          <w:sz w:val="24"/>
          <w:szCs w:val="24"/>
          <w:lang w:bidi="ar"/>
        </w:rPr>
        <w:t xml:space="preserve">（五）知识产权要求</w:t>
      </w:r>
      <w:r/>
    </w:p>
    <w:p>
      <w:pPr>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t xml:space="preserve">1.供应商应保证采购人及用户单位在使用其成交后的投标产品（包含相应服务）或其任何一部分时不受第三方提出侵犯其知识产权（如专利权、版权、商标权、著作权或其他权利）的主张或起诉。一旦出现被主张或认定侵权而引起的法律和经济纠纷，供应商应承担所有法律责任带来的全部最终不利后果。</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2.基于本项目开展的定制开发（包括但不限于智能分析平台的定制开发）所形成的技术创新成果及知识产权归采购人享有，投标人不得以任何方式向第三方提供或公开前述成果及知识产权的相关资料。</w:t>
      </w:r>
      <w:r/>
    </w:p>
    <w:p>
      <w:pPr>
        <w:ind w:firstLine="482"/>
        <w:spacing w:line="400" w:lineRule="exact"/>
        <w:rPr>
          <w:rFonts w:hint="eastAsia" w:ascii="宋体" w:hAnsi="宋体" w:cs="宋体"/>
          <w:bCs/>
          <w:sz w:val="24"/>
          <w:szCs w:val="24"/>
          <w:highlight w:val="none"/>
        </w:rPr>
      </w:pPr>
      <w:r>
        <w:rPr>
          <w:rFonts w:hint="eastAsia" w:ascii="宋体" w:hAnsi="宋体" w:cs="宋体"/>
          <w:b/>
          <w:sz w:val="24"/>
          <w:szCs w:val="24"/>
          <w:highlight w:val="none"/>
          <w:lang w:bidi="ar"/>
        </w:rPr>
        <w:t xml:space="preserve">3.供应商须提供承诺函原件并加盖CA电子公章，格式自拟。</w:t>
      </w:r>
      <w:r/>
    </w:p>
    <w:p>
      <w:pPr>
        <w:ind w:firstLine="480"/>
        <w:spacing w:line="360" w:lineRule="exact"/>
        <w:rPr>
          <w:rFonts w:hint="eastAsia" w:ascii="宋体" w:hAnsi="宋体" w:cs="宋体"/>
          <w:bCs/>
          <w:sz w:val="24"/>
          <w:szCs w:val="24"/>
        </w:rPr>
      </w:pPr>
      <w:r>
        <w:rPr>
          <w:rFonts w:hint="eastAsia" w:ascii="宋体" w:hAnsi="宋体" w:cs="宋体"/>
          <w:bCs/>
          <w:sz w:val="24"/>
          <w:szCs w:val="24"/>
          <w:lang w:bidi="ar"/>
        </w:rPr>
        <w:t xml:space="preserve">（六）付款方式</w:t>
      </w:r>
      <w:r/>
    </w:p>
    <w:p>
      <w:pPr>
        <w:ind w:firstLine="480"/>
        <w:spacing w:line="400" w:lineRule="exact"/>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合同签订后2周内支付合同价的10%；系统调试完毕，甲方验收合格且经用户单位认可后</w:t>
      </w:r>
      <w:bookmarkStart w:id="106" w:name="OLE_LINK21"/>
      <w:r>
        <w:rPr>
          <w:rFonts w:hint="eastAsia" w:ascii="宋体" w:hAnsi="宋体" w:cs="宋体"/>
          <w:bCs/>
          <w:sz w:val="24"/>
          <w:szCs w:val="24"/>
          <w:highlight w:val="none"/>
          <w:lang w:bidi="ar"/>
        </w:rPr>
        <w:t xml:space="preserve">乙方开具增值税专用发票，</w:t>
      </w:r>
      <w:bookmarkEnd w:id="106"/>
      <w:r>
        <w:rPr>
          <w:rFonts w:hint="eastAsia" w:ascii="宋体" w:hAnsi="宋体" w:cs="宋体"/>
          <w:bCs/>
          <w:sz w:val="24"/>
          <w:szCs w:val="24"/>
          <w:highlight w:val="none"/>
          <w:lang w:bidi="ar"/>
        </w:rPr>
        <w:t xml:space="preserve">甲方付至合同价60%；用户单位完成系统整体联调验收后，乙方开具增值税专用发票，甲方付至合同价97%，稳定运行一年后支付合同金额的3%。</w:t>
      </w:r>
      <w:r/>
    </w:p>
    <w:p>
      <w:pPr>
        <w:ind w:firstLine="480"/>
        <w:spacing w:line="360" w:lineRule="exact"/>
        <w:rPr>
          <w:rFonts w:hint="eastAsia" w:ascii="宋体" w:hAnsi="宋体" w:cs="宋体"/>
          <w:bCs/>
          <w:sz w:val="24"/>
          <w:szCs w:val="24"/>
          <w:highlight w:val="none"/>
        </w:rPr>
      </w:pPr>
      <w:r>
        <w:rPr>
          <w:rFonts w:hint="eastAsia" w:ascii="宋体" w:hAnsi="宋体" w:cs="宋体"/>
          <w:bCs/>
          <w:sz w:val="24"/>
          <w:szCs w:val="24"/>
          <w:highlight w:val="none"/>
          <w:lang w:bidi="ar"/>
        </w:rPr>
        <w:t xml:space="preserve">（七）项目实施要求</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lang w:bidi="ar"/>
        </w:rPr>
        <w:t xml:space="preserve">供应商完成本项目需具备相应的项目保障能力。供应商的投标文件中应提出明确的项目实施与调试方案保证采购人正常使用操作供应商所投产品需明确的相应内容。</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项目实施与调试方案：包含项目实施计划、网络规划方案、作业建设方案、项目质量保障措施、项目测试方案、验收方案等内容，方案应全面完整，科学合理，可操作性强，环节流程明确，措施保障有力，能保证项目顺利实施。</w:t>
      </w:r>
      <w:r/>
    </w:p>
    <w:p>
      <w:pPr>
        <w:ind w:firstLine="480"/>
        <w:spacing w:line="360" w:lineRule="exact"/>
        <w:rPr>
          <w:rFonts w:hint="eastAsia" w:ascii="宋体" w:hAnsi="宋体" w:cs="宋体"/>
          <w:bCs/>
          <w:sz w:val="24"/>
          <w:szCs w:val="24"/>
        </w:rPr>
      </w:pPr>
      <w:r>
        <w:rPr>
          <w:rFonts w:hint="eastAsia" w:ascii="宋体" w:hAnsi="宋体" w:cs="宋体"/>
          <w:bCs/>
          <w:sz w:val="24"/>
          <w:szCs w:val="24"/>
          <w:lang w:bidi="ar"/>
        </w:rPr>
        <w:t xml:space="preserve">（十）关于报价</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该项目以总价方式报价，项目预算为全口径预算，包含了本项目所需的产品制造或服务提供过程中可能发生的所有费用，包括但不限于所投产品全部费用、安装调试费、安装中的相关费用、国内运输（至招标人指定地点）及保险费用、运行维护费用、全部税金、培训、售后服务等各项相关费用。本次采购响应供应商的报价应包括为完成本项目发生的上述所有费用及采购代理服务费用，成交后招标人除按成交价格支付采购资金以外，不再另行支付任何费用。</w:t>
      </w:r>
      <w:r/>
    </w:p>
    <w:p>
      <w:pPr>
        <w:ind w:firstLine="480"/>
        <w:spacing w:line="360" w:lineRule="exact"/>
        <w:rPr>
          <w:rFonts w:hint="eastAsia" w:ascii="宋体" w:hAnsi="宋体" w:cs="宋体"/>
          <w:bCs/>
          <w:sz w:val="24"/>
          <w:szCs w:val="24"/>
        </w:rPr>
      </w:pPr>
      <w:r>
        <w:rPr>
          <w:rFonts w:hint="eastAsia" w:ascii="宋体" w:hAnsi="宋体" w:cs="宋体"/>
          <w:bCs/>
          <w:sz w:val="24"/>
          <w:szCs w:val="24"/>
          <w:lang w:bidi="ar"/>
        </w:rPr>
        <w:t xml:space="preserve">（十一）真实投标要求 </w:t>
      </w:r>
      <w:r/>
    </w:p>
    <w:p>
      <w:pPr>
        <w:ind w:firstLine="480"/>
        <w:spacing w:line="400" w:lineRule="exact"/>
        <w:widowControl/>
        <w:rPr>
          <w:rFonts w:hint="eastAsia" w:asciiTheme="minorEastAsia" w:hAnsiTheme="minorEastAsia" w:cstheme="minorEastAsia"/>
          <w:b/>
          <w:sz w:val="24"/>
          <w:szCs w:val="24"/>
          <w:highlight w:val="none"/>
          <w:lang w:bidi="ar"/>
        </w:rPr>
      </w:pPr>
      <w:r/>
      <w:bookmarkStart w:id="155" w:name="_GoBack"/>
      <w:r>
        <w:rPr>
          <w:rFonts w:hint="eastAsia" w:ascii="宋体" w:hAnsi="宋体" w:cs="宋体"/>
          <w:bCs/>
          <w:sz w:val="24"/>
          <w:szCs w:val="24"/>
          <w:highlight w:val="none"/>
          <w:lang w:bidi="ar"/>
        </w:rPr>
        <w:t xml:space="preserve">供应商承诺所有投标内容为真实有效投标，如供应商成交后经查发现虚假投标内容，取消供应商成交资格，并承担因供应商虚假投标造成的采购方损失。</w:t>
      </w:r>
      <w:r>
        <w:rPr>
          <w:rFonts w:hint="eastAsia" w:ascii="宋体" w:hAnsi="宋体" w:cs="宋体"/>
          <w:b/>
          <w:sz w:val="24"/>
          <w:szCs w:val="24"/>
          <w:highlight w:val="none"/>
          <w:lang w:bidi="ar"/>
        </w:rPr>
        <w:t xml:space="preserve">提供承诺函原件并加盖CA电子公章，格式自拟。</w:t>
      </w:r>
      <w:bookmarkEnd w:id="155"/>
      <w:r/>
      <w:r/>
    </w:p>
    <w:p>
      <w:pPr>
        <w:numPr>
          <w:ilvl w:val="0"/>
          <w:numId w:val="30"/>
        </w:numPr>
        <w:jc w:val="left"/>
        <w:widowControl/>
        <w:rPr>
          <w:rFonts w:ascii="宋体"/>
          <w:sz w:val="24"/>
          <w:szCs w:val="22"/>
          <w:lang w:bidi="ar"/>
        </w:rPr>
      </w:pPr>
      <w:r>
        <w:rPr>
          <w:lang w:bidi="ar"/>
        </w:rPr>
        <w:br w:type="page" w:clear="all"/>
      </w:r>
      <w:r/>
    </w:p>
    <w:p>
      <w:pPr>
        <w:pStyle w:val="1072"/>
        <w:ind w:firstLine="480"/>
        <w:rPr>
          <w:lang w:bidi="ar"/>
        </w:rPr>
      </w:pPr>
      <w:r>
        <w:rPr>
          <w:lang w:bidi="ar"/>
        </w:rPr>
      </w:r>
      <w:r/>
    </w:p>
    <w:p>
      <w:pPr>
        <w:pStyle w:val="1025"/>
        <w:rPr>
          <w:rFonts w:hint="eastAsia" w:ascii="宋体" w:hAnsi="宋体" w:eastAsia="宋体"/>
          <w:b/>
          <w:bCs/>
          <w:sz w:val="32"/>
          <w:szCs w:val="32"/>
        </w:rPr>
      </w:pPr>
      <w:r>
        <w:rPr>
          <w:rFonts w:hint="eastAsia" w:ascii="宋体" w:hAnsi="宋体" w:eastAsia="宋体"/>
          <w:b/>
          <w:bCs/>
          <w:sz w:val="32"/>
          <w:szCs w:val="32"/>
        </w:rPr>
        <w:t xml:space="preserve">第五章 合同主要条款</w:t>
      </w:r>
      <w:bookmarkEnd w:id="86"/>
      <w:r/>
      <w:bookmarkEnd w:id="79"/>
      <w:r/>
      <w:bookmarkEnd w:id="80"/>
      <w:r/>
      <w:bookmarkEnd w:id="81"/>
      <w:r/>
      <w:bookmarkEnd w:id="82"/>
      <w:r/>
      <w:bookmarkEnd w:id="83"/>
      <w:r/>
      <w:bookmarkEnd w:id="84"/>
      <w:r/>
      <w:r/>
    </w:p>
    <w:p>
      <w:pPr>
        <w:pStyle w:val="1060"/>
        <w:ind w:firstLine="420"/>
        <w:jc w:val="both"/>
        <w:spacing w:before="0" w:beforeAutospacing="0" w:after="0" w:afterAutospacing="0" w:line="360" w:lineRule="auto"/>
        <w:widowControl w:val="off"/>
        <w:rPr>
          <w:rFonts w:hint="eastAsia"/>
        </w:rPr>
      </w:pPr>
      <w:r>
        <w:rPr>
          <w:rFonts w:hint="eastAsia" w:cs="Times New Roman"/>
          <w:bCs/>
          <w:sz w:val="21"/>
          <w:szCs w:val="21"/>
          <w:lang w:bidi="ar"/>
        </w:rPr>
        <w:t xml:space="preserve">以下为成交后签定本项目合同的通用条款，成交供应商不得提出实质性的修改，关于专用条款将由采购人与成交供应商结合本项目具体情况协商后签订。</w:t>
      </w:r>
      <w:r/>
    </w:p>
    <w:p>
      <w:pPr>
        <w:jc w:val="left"/>
        <w:rPr>
          <w:rFonts w:ascii="宋体" w:cs="宋体"/>
          <w:color w:val="000000"/>
          <w:sz w:val="44"/>
          <w:szCs w:val="44"/>
        </w:rPr>
      </w:pPr>
      <w:r/>
      <w:bookmarkStart w:id="107" w:name="OLE_LINK3"/>
      <w:r>
        <w:rPr>
          <w:color w:val="000000"/>
          <w:sz w:val="24"/>
          <w:szCs w:val="24"/>
        </w:rPr>
        <mc:AlternateContent>
          <mc:Choice Requires="wpg">
            <w:drawing>
              <wp:inline xmlns:wp="http://schemas.openxmlformats.org/drawingml/2006/wordprocessingDrawing" distT="0" distB="0" distL="0" distR="0">
                <wp:extent cx="1202690" cy="471805"/>
                <wp:effectExtent l="0" t="0" r="0" b="4445"/>
                <wp:docPr id="5" name="图片 8"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说明: C:\Users\xulp\AppData\Local\Microsoft\Windows\INetCache\Content.Word\LOGO修改.jpg"/>
                        <pic:cNvPicPr>
                          <a:picLocks noChangeAspect="1"/>
                        </pic:cNvPicPr>
                        <pic:nvPr/>
                      </pic:nvPicPr>
                      <pic:blipFill>
                        <a:blip r:embed="rId22"/>
                        <a:srcRect l="0" t="0" r="3715" b="0"/>
                        <a:stretch/>
                      </pic:blipFill>
                      <pic:spPr bwMode="auto">
                        <a:xfrm>
                          <a:off x="0" y="0"/>
                          <a:ext cx="1202690" cy="471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4.7pt;height:37.1pt;mso-wrap-distance-left:0.0pt;mso-wrap-distance-top:0.0pt;mso-wrap-distance-right:0.0pt;mso-wrap-distance-bottom:0.0pt;" stroked="f">
                <v:path textboxrect="0,0,0,0"/>
                <v:imagedata r:id="rId22" o:title=""/>
              </v:shape>
            </w:pict>
          </mc:Fallback>
        </mc:AlternateContent>
      </w:r>
      <w:r/>
    </w:p>
    <w:p>
      <w:pPr>
        <w:jc w:val="right"/>
        <w:spacing w:line="360" w:lineRule="auto"/>
        <w:rPr>
          <w:rFonts w:hint="eastAsia" w:ascii="方正仿宋_GBK" w:hAnsi="方正仿宋_GBK" w:eastAsia="方正仿宋_GBK" w:cs="方正仿宋_GBK"/>
          <w:color w:val="000000"/>
        </w:rPr>
      </w:pPr>
      <w:r>
        <w:rPr>
          <w:rFonts w:hint="eastAsia" w:ascii="宋体" w:cs="宋体"/>
          <w:color w:val="000000"/>
          <w:sz w:val="44"/>
          <w:szCs w:val="44"/>
          <w:lang w:bidi="ar"/>
        </w:rPr>
        <w:tab/>
      </w:r>
      <w:r>
        <w:rPr>
          <w:color w:val="000000"/>
          <w:sz w:val="22"/>
          <w:szCs w:val="24"/>
          <w:lang w:bidi="ar"/>
        </w:rPr>
        <w:tab/>
      </w:r>
      <w:r>
        <w:rPr>
          <w:rFonts w:hint="eastAsia" w:ascii="方正仿宋_GBK" w:hAnsi="宋体" w:eastAsia="方正仿宋_GBK" w:cs="方正仿宋_GBK"/>
          <w:b/>
          <w:bCs/>
          <w:color w:val="000000"/>
          <w:sz w:val="32"/>
          <w:szCs w:val="28"/>
          <w:lang w:bidi="ar"/>
        </w:rPr>
        <w:t xml:space="preserve">协议编号：【 2026A**00** 】</w:t>
      </w:r>
      <w:r/>
    </w:p>
    <w:p>
      <w:pPr>
        <w:jc w:val="left"/>
        <w:tabs>
          <w:tab w:val="left" w:pos="7064" w:leader="none"/>
        </w:tabs>
        <w:rPr>
          <w:rFonts w:ascii="宋体" w:cs="宋体"/>
          <w:color w:val="000000"/>
          <w:sz w:val="44"/>
          <w:szCs w:val="44"/>
        </w:rPr>
      </w:pPr>
      <w:r>
        <w:rPr>
          <w:rFonts w:ascii="宋体" w:cs="宋体"/>
          <w:color w:val="000000"/>
          <w:sz w:val="44"/>
          <w:szCs w:val="44"/>
        </w:rPr>
      </w:r>
      <w:r/>
    </w:p>
    <w:p>
      <w:pPr>
        <w:jc w:val="center"/>
        <w:rPr>
          <w:rFonts w:ascii="宋体" w:cs="宋体"/>
          <w:color w:val="000000"/>
          <w:sz w:val="44"/>
          <w:szCs w:val="44"/>
        </w:rPr>
      </w:pPr>
      <w:r>
        <w:rPr>
          <w:rFonts w:ascii="宋体" w:cs="宋体"/>
          <w:color w:val="000000"/>
          <w:sz w:val="44"/>
          <w:szCs w:val="44"/>
        </w:rPr>
      </w:r>
      <w:bookmarkEnd w:id="107"/>
      <w:r/>
      <w:r/>
    </w:p>
    <w:p>
      <w:pPr>
        <w:jc w:val="center"/>
        <w:rPr>
          <w:rFonts w:hint="eastAsia" w:ascii="方正仿宋_GBK" w:hAnsi="宋体" w:eastAsia="方正仿宋_GBK" w:cs="方正仿宋_GBK"/>
          <w:color w:val="000000"/>
          <w:sz w:val="52"/>
          <w:szCs w:val="52"/>
        </w:rPr>
      </w:pPr>
      <w:r/>
      <w:bookmarkStart w:id="108" w:name="_Toc24962239"/>
      <w:r>
        <w:rPr>
          <w:rFonts w:hint="eastAsia" w:ascii="方正仿宋_GBK" w:hAnsi="宋体" w:eastAsia="方正仿宋_GBK" w:cs="方正仿宋_GBK"/>
          <w:color w:val="000000"/>
          <w:sz w:val="52"/>
          <w:szCs w:val="52"/>
          <w:lang w:bidi="ar"/>
        </w:rPr>
        <w:t xml:space="preserve">货</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jc w:val="center"/>
        <w:rPr>
          <w:rFonts w:hint="eastAsia" w:ascii="宋体" w:hAnsi="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rPr>
          <w:rFonts w:hint="eastAsia" w:ascii="宋体" w:hAnsi="宋体" w:cs="宋体"/>
          <w:color w:val="000000"/>
          <w:sz w:val="28"/>
          <w:szCs w:val="28"/>
        </w:rPr>
      </w:pPr>
      <w:r>
        <w:rPr>
          <w:rFonts w:hint="eastAsia" w:ascii="宋体" w:hAnsi="宋体" w:cs="宋体"/>
          <w:color w:val="000000"/>
          <w:sz w:val="28"/>
          <w:szCs w:val="28"/>
        </w:rPr>
      </w:r>
      <w:r/>
    </w:p>
    <w:p>
      <w:pPr>
        <w:ind w:firstLine="1120"/>
        <w:rPr>
          <w:rFonts w:hint="eastAsia" w:ascii="宋体" w:hAnsi="宋体" w:cs="宋体"/>
          <w:color w:val="000000"/>
          <w:sz w:val="28"/>
          <w:szCs w:val="28"/>
        </w:rPr>
      </w:pPr>
      <w:r>
        <w:rPr>
          <w:rFonts w:hint="eastAsia" w:ascii="宋体" w:hAnsi="宋体" w:cs="宋体"/>
          <w:color w:val="000000"/>
          <w:sz w:val="28"/>
          <w:szCs w:val="28"/>
        </w:rPr>
      </w:r>
      <w:r/>
    </w:p>
    <w:p>
      <w:pPr>
        <w:ind w:left="1400" w:hanging="1400"/>
        <w:rPr>
          <w:rFonts w:hint="eastAsia" w:ascii="宋体" w:hAnsi="宋体" w:cs="宋体"/>
          <w:color w:val="000000"/>
          <w:sz w:val="28"/>
          <w:szCs w:val="28"/>
          <w:u w:val="single"/>
        </w:rPr>
      </w:pPr>
      <w:r>
        <w:rPr>
          <w:rFonts w:hint="eastAsia" w:ascii="宋体" w:hAnsi="宋体" w:cs="宋体"/>
          <w:color w:val="000000"/>
          <w:sz w:val="28"/>
          <w:szCs w:val="28"/>
          <w:lang w:bidi="ar"/>
        </w:rPr>
        <w:t xml:space="preserve">项目名称：</w:t>
      </w:r>
      <w:r>
        <w:rPr>
          <w:rFonts w:hint="eastAsia" w:ascii="宋体" w:hAnsi="宋体" w:cs="宋体"/>
          <w:color w:val="000000"/>
          <w:sz w:val="28"/>
          <w:szCs w:val="28"/>
          <w:u w:val="single"/>
          <w:lang w:bidi="ar"/>
        </w:rPr>
        <w:t xml:space="preserve">   紫金山实验室基于超远距离通信网络的无人机巡检系统及网络配套采购项目  </w:t>
      </w:r>
      <w:r/>
    </w:p>
    <w:p>
      <w:pPr>
        <w:rPr>
          <w:rFonts w:hint="eastAsia" w:ascii="宋体" w:hAnsi="宋体" w:cs="宋体"/>
          <w:color w:val="000000"/>
          <w:sz w:val="28"/>
          <w:szCs w:val="28"/>
        </w:rPr>
      </w:pPr>
      <w:r>
        <w:rPr>
          <w:rFonts w:hint="eastAsia" w:ascii="宋体" w:hAnsi="宋体" w:cs="宋体"/>
          <w:color w:val="000000"/>
          <w:sz w:val="28"/>
          <w:szCs w:val="28"/>
          <w:lang w:bidi="ar"/>
        </w:rPr>
        <w:t xml:space="preserve">甲  方：</w:t>
      </w:r>
      <w:r>
        <w:rPr>
          <w:rFonts w:hint="eastAsia" w:ascii="宋体" w:hAnsi="宋体" w:cs="宋体"/>
          <w:color w:val="000000"/>
          <w:sz w:val="28"/>
          <w:szCs w:val="28"/>
          <w:u w:val="single"/>
          <w:lang w:bidi="ar"/>
        </w:rPr>
        <w:t xml:space="preserve">              紫金山实验室           </w:t>
      </w:r>
      <w:r>
        <w:rPr>
          <w:rFonts w:hint="eastAsia" w:ascii="宋体" w:hAnsi="宋体" w:cs="宋体"/>
          <w:color w:val="000000"/>
          <w:sz w:val="28"/>
          <w:szCs w:val="28"/>
          <w:lang w:bidi="ar"/>
        </w:rPr>
        <w:t xml:space="preserve">（采购人）</w:t>
      </w:r>
      <w:r/>
    </w:p>
    <w:p>
      <w:pPr>
        <w:rPr>
          <w:rFonts w:hint="eastAsia" w:ascii="宋体" w:hAnsi="宋体" w:cs="宋体"/>
          <w:color w:val="000000"/>
          <w:lang w:val="zh-CN"/>
        </w:rPr>
      </w:pPr>
      <w:r>
        <w:rPr>
          <w:rFonts w:hint="eastAsia" w:ascii="宋体" w:hAnsi="宋体" w:cs="宋体"/>
          <w:color w:val="000000"/>
          <w:sz w:val="28"/>
          <w:szCs w:val="28"/>
          <w:lang w:bidi="ar"/>
        </w:rPr>
        <w:t xml:space="preserve">乙  方：</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lang w:bidi="ar"/>
        </w:rPr>
        <w:t xml:space="preserve">（供应商）</w:t>
      </w:r>
      <w:r/>
    </w:p>
    <w:p>
      <w:pPr>
        <w:jc w:val="left"/>
        <w:rPr>
          <w:rFonts w:hint="eastAsia" w:ascii="宋体" w:hAnsi="宋体" w:cs="宋体"/>
          <w:color w:val="000000"/>
          <w:sz w:val="24"/>
          <w:szCs w:val="24"/>
          <w:lang w:val="zh-CN" w:bidi="ar"/>
        </w:rPr>
      </w:pPr>
      <w:r>
        <w:rPr>
          <w:rFonts w:hint="eastAsia" w:ascii="宋体" w:hAnsi="宋体" w:cs="宋体"/>
          <w:color w:val="000000"/>
          <w:sz w:val="24"/>
          <w:szCs w:val="24"/>
          <w:lang w:val="zh-CN" w:bidi="ar"/>
        </w:rPr>
        <w:br w:type="page" w:clear="all"/>
      </w:r>
      <w:r/>
    </w:p>
    <w:p>
      <w:pPr>
        <w:ind w:firstLine="480"/>
        <w:jc w:val="left"/>
        <w:spacing w:line="540" w:lineRule="exact"/>
        <w:rPr>
          <w:rFonts w:hint="eastAsia" w:ascii="宋体" w:hAnsi="宋体" w:cs="宋体"/>
          <w:color w:val="000000"/>
        </w:rPr>
      </w:pPr>
      <w:r>
        <w:rPr>
          <w:rFonts w:hint="eastAsia" w:ascii="宋体" w:hAnsi="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20"/>
        <w:spacing w:line="540" w:lineRule="exact"/>
        <w:rPr>
          <w:rFonts w:hint="eastAsia" w:ascii="宋体" w:hAnsi="宋体" w:cs="宋体"/>
          <w:color w:val="000000"/>
          <w:lang w:val="zh-CN"/>
        </w:rPr>
      </w:pPr>
      <w:r>
        <w:rPr>
          <w:rFonts w:hint="eastAsia" w:ascii="宋体" w:hAnsi="宋体" w:cs="宋体"/>
          <w:b/>
          <w:bCs/>
          <w:color w:val="000000"/>
          <w:sz w:val="24"/>
          <w:szCs w:val="24"/>
          <w:lang w:val="zh-CN" w:bidi="ar"/>
        </w:rPr>
        <w:t xml:space="preserve">第一条 合同标的</w:t>
      </w:r>
      <w:r>
        <w:rPr>
          <w:rFonts w:hint="eastAsia" w:ascii="宋体" w:hAnsi="宋体" w:cs="宋体"/>
          <w:color w:val="000000"/>
          <w:sz w:val="24"/>
          <w:szCs w:val="24"/>
          <w:lang w:val="zh-CN" w:bidi="ar"/>
        </w:rPr>
        <w:t xml:space="preserve">  </w:t>
      </w:r>
      <w:r/>
    </w:p>
    <w:p>
      <w:pPr>
        <w:ind w:firstLine="420"/>
        <w:spacing w:line="540" w:lineRule="exact"/>
        <w:rPr>
          <w:rFonts w:hint="eastAsia" w:ascii="宋体" w:hAnsi="宋体" w:cs="宋体"/>
          <w:color w:val="000000"/>
          <w:lang w:val="zh-CN"/>
        </w:rPr>
      </w:pPr>
      <w:r>
        <w:rPr>
          <w:rFonts w:hint="eastAsia" w:ascii="宋体" w:hAnsi="宋体" w:cs="宋体"/>
          <w:color w:val="000000"/>
          <w:lang w:val="zh-CN"/>
        </w:rPr>
      </w:r>
      <w:r/>
    </w:p>
    <w:p>
      <w:pPr>
        <w:ind w:firstLine="420"/>
        <w:spacing w:line="540" w:lineRule="exact"/>
        <w:rPr>
          <w:rFonts w:hint="eastAsia" w:ascii="宋体" w:hAnsi="宋体" w:cs="宋体"/>
          <w:color w:val="000000"/>
          <w:lang w:val="zh-CN"/>
        </w:rPr>
      </w:pPr>
      <w:r>
        <w:rPr>
          <w:rFonts w:hint="eastAsia" w:ascii="宋体" w:hAnsi="宋体" w:cs="宋体"/>
          <w:color w:val="000000"/>
          <w:lang w:val="zh-CN"/>
        </w:rPr>
      </w:r>
      <w:r/>
    </w:p>
    <w:p>
      <w:pPr>
        <w:ind w:firstLine="420"/>
        <w:jc w:val="left"/>
        <w:spacing w:line="540" w:lineRule="exact"/>
        <w:rPr>
          <w:rFonts w:hint="eastAsia" w:ascii="宋体" w:hAnsi="宋体" w:cs="宋体"/>
          <w:color w:val="000000"/>
          <w:lang w:val="zh-CN"/>
        </w:rPr>
      </w:pPr>
      <w:r>
        <w:rPr>
          <w:rFonts w:hint="eastAsia" w:ascii="宋体" w:hAnsi="宋体" w:cs="宋体"/>
          <w:b/>
          <w:bCs/>
          <w:color w:val="000000"/>
          <w:sz w:val="24"/>
          <w:szCs w:val="24"/>
          <w:lang w:val="zh-CN" w:bidi="ar"/>
        </w:rPr>
        <w:t xml:space="preserve">第二条 合同总价款</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本合同项下货物总价为</w:t>
      </w:r>
      <w:r>
        <w:rPr>
          <w:rFonts w:hint="eastAsia" w:ascii="宋体" w:hAnsi="宋体" w:cs="宋体"/>
          <w:sz w:val="24"/>
          <w:szCs w:val="24"/>
          <w:lang w:bidi="ar"/>
        </w:rPr>
        <w:t xml:space="preserve">人民币</w:t>
      </w:r>
      <w:r>
        <w:rPr>
          <w:rFonts w:hint="eastAsia" w:ascii="宋体" w:hAnsi="宋体" w:cs="宋体"/>
          <w:sz w:val="24"/>
          <w:szCs w:val="24"/>
          <w:u w:val="single"/>
          <w:lang w:bidi="ar"/>
        </w:rPr>
        <w:t xml:space="preserve">         元</w:t>
      </w:r>
      <w:r>
        <w:rPr>
          <w:rFonts w:hint="eastAsia" w:ascii="宋体" w:hAnsi="宋体" w:cs="宋体"/>
          <w:sz w:val="24"/>
          <w:szCs w:val="24"/>
          <w:lang w:bidi="ar"/>
        </w:rPr>
        <w:t xml:space="preserve">（大写）（¥   元）</w:t>
      </w:r>
      <w:r>
        <w:rPr>
          <w:rFonts w:hint="eastAsia" w:ascii="宋体" w:hAnsi="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hint="eastAsia" w:ascii="宋体" w:hAnsi="宋体" w:cs="宋体"/>
          <w:b/>
          <w:color w:val="000000"/>
        </w:rPr>
      </w:pPr>
      <w:r>
        <w:rPr>
          <w:rFonts w:hint="eastAsia" w:ascii="宋体" w:hAnsi="宋体" w:cs="宋体"/>
          <w:color w:val="000000"/>
          <w:sz w:val="24"/>
          <w:szCs w:val="24"/>
          <w:lang w:val="zh-CN" w:bidi="ar"/>
        </w:rPr>
        <w:t xml:space="preserve">本合同总价款是</w:t>
      </w:r>
      <w:r>
        <w:rPr>
          <w:rFonts w:hint="eastAsia" w:ascii="宋体" w:hAnsi="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sz w:val="24"/>
          <w:szCs w:val="24"/>
          <w:lang w:bidi="ar"/>
        </w:rPr>
        <w:t xml:space="preserve">，以</w:t>
      </w:r>
      <w:r>
        <w:rPr>
          <w:rFonts w:hint="eastAsia" w:ascii="宋体" w:hAnsi="宋体" w:cs="宋体"/>
          <w:color w:val="000000"/>
          <w:sz w:val="24"/>
          <w:szCs w:val="24"/>
          <w:lang w:bidi="ar"/>
        </w:rPr>
        <w:t xml:space="preserve">及供应商认为需要的其他费用等</w:t>
      </w:r>
      <w:r>
        <w:rPr>
          <w:rFonts w:hint="eastAsia" w:ascii="宋体" w:hAnsi="宋体" w:cs="宋体"/>
          <w:color w:val="000000"/>
          <w:sz w:val="24"/>
          <w:szCs w:val="24"/>
          <w:lang w:val="zh-CN" w:bidi="ar"/>
        </w:rPr>
        <w:t xml:space="preserve">。</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val="zh-CN" w:bidi="ar"/>
        </w:rPr>
        <w:t xml:space="preserve">本合同总价款还包含乙方应当提供的伴随服务/售后服务费用。</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本合同执行期间合同总价款不变。</w:t>
      </w:r>
      <w:r/>
    </w:p>
    <w:p>
      <w:pPr>
        <w:ind w:firstLine="472"/>
        <w:spacing w:line="540" w:lineRule="exact"/>
        <w:rPr>
          <w:rFonts w:hint="eastAsia" w:ascii="宋体" w:hAnsi="宋体" w:cs="宋体"/>
          <w:color w:val="000000"/>
          <w:lang w:val="zh-CN"/>
        </w:rPr>
      </w:pPr>
      <w:r>
        <w:rPr>
          <w:rFonts w:hint="eastAsia" w:ascii="宋体" w:hAnsi="宋体" w:cs="宋体"/>
          <w:b/>
          <w:bCs/>
          <w:color w:val="000000"/>
          <w:sz w:val="24"/>
          <w:szCs w:val="24"/>
          <w:lang w:val="zh-CN" w:bidi="ar"/>
        </w:rPr>
        <w:t xml:space="preserve">第三条 组成本合同的有关文件</w:t>
      </w:r>
      <w:r/>
    </w:p>
    <w:p>
      <w:pPr>
        <w:ind w:firstLine="470"/>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下列关于紫金山实验室</w:t>
      </w:r>
      <w:r>
        <w:rPr>
          <w:rFonts w:hint="eastAsia" w:ascii="宋体" w:hAnsi="宋体" w:cs="宋体"/>
          <w:color w:val="000000"/>
          <w:sz w:val="24"/>
          <w:szCs w:val="24"/>
          <w:u w:val="single"/>
          <w:lang w:val="zh-CN" w:bidi="ar"/>
        </w:rPr>
        <w:t xml:space="preserve">      </w:t>
      </w:r>
      <w:r>
        <w:rPr>
          <w:rFonts w:hint="eastAsia" w:ascii="宋体" w:hAnsi="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（1）乙方提供的响应文件和报价表；（2）函件；</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（3）分项报价表；              （4）项目实施方案与服务说明；</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（5）偏离表及说明；            （6）服务承诺；</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（7）中标通知书；              （8）甲乙双方商定的其他文件等。</w:t>
      </w:r>
      <w:r/>
    </w:p>
    <w:p>
      <w:pPr>
        <w:ind w:firstLine="420"/>
        <w:jc w:val="left"/>
        <w:spacing w:line="540" w:lineRule="exact"/>
        <w:rPr>
          <w:rFonts w:hint="eastAsia" w:ascii="宋体" w:hAnsi="宋体" w:cs="宋体"/>
          <w:b/>
          <w:bCs/>
          <w:color w:val="000000"/>
          <w:lang w:val="zh-CN"/>
        </w:rPr>
      </w:pPr>
      <w:r>
        <w:rPr>
          <w:rFonts w:hint="eastAsia" w:ascii="宋体" w:hAnsi="宋体" w:cs="宋体"/>
          <w:b/>
          <w:bCs/>
          <w:color w:val="000000"/>
          <w:sz w:val="24"/>
          <w:szCs w:val="24"/>
          <w:lang w:val="zh-CN" w:bidi="ar"/>
        </w:rPr>
        <w:t xml:space="preserve">第四条 权利保证</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20"/>
        <w:jc w:val="left"/>
        <w:spacing w:line="540" w:lineRule="exact"/>
        <w:rPr>
          <w:rFonts w:hint="eastAsia" w:ascii="宋体" w:hAnsi="宋体" w:cs="宋体"/>
          <w:b/>
          <w:bCs/>
          <w:color w:val="000000"/>
          <w:lang w:val="zh-CN"/>
        </w:rPr>
      </w:pPr>
      <w:r>
        <w:rPr>
          <w:rFonts w:hint="eastAsia" w:ascii="宋体" w:hAnsi="宋体" w:cs="宋体"/>
          <w:b/>
          <w:bCs/>
          <w:color w:val="000000"/>
          <w:sz w:val="24"/>
          <w:szCs w:val="24"/>
          <w:lang w:val="zh-CN" w:bidi="ar"/>
        </w:rPr>
        <w:t xml:space="preserve">第五条 质量保证</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20"/>
        <w:jc w:val="left"/>
        <w:spacing w:line="540" w:lineRule="exact"/>
        <w:rPr>
          <w:rFonts w:hint="eastAsia" w:ascii="宋体" w:hAnsi="宋体" w:cs="宋体"/>
          <w:b/>
          <w:bCs/>
          <w:color w:val="000000"/>
          <w:lang w:val="zh-CN"/>
        </w:rPr>
      </w:pPr>
      <w:r>
        <w:rPr>
          <w:rFonts w:hint="eastAsia" w:ascii="宋体" w:hAnsi="宋体" w:cs="宋体"/>
          <w:b/>
          <w:bCs/>
          <w:color w:val="000000"/>
          <w:sz w:val="24"/>
          <w:szCs w:val="24"/>
          <w:lang w:val="zh-CN" w:bidi="ar"/>
        </w:rPr>
        <w:t xml:space="preserve">第六条 包装要求</w:t>
      </w:r>
      <w:r/>
    </w:p>
    <w:p>
      <w:pPr>
        <w:ind w:firstLine="420"/>
        <w:jc w:val="left"/>
        <w:spacing w:line="540" w:lineRule="exact"/>
        <w:rPr>
          <w:rFonts w:hint="eastAsia" w:ascii="宋体" w:hAnsi="宋体" w:cs="宋体"/>
          <w:color w:val="000000"/>
          <w:lang w:val="zh-CN"/>
        </w:rPr>
      </w:pPr>
      <w:r/>
      <w:bookmarkStart w:id="109" w:name="_Hlk81813376"/>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每一包装单元内应附详细的装箱单和质量合格凭证。</w:t>
      </w:r>
      <w:bookmarkEnd w:id="109"/>
      <w:r/>
      <w:r/>
    </w:p>
    <w:p>
      <w:pPr>
        <w:ind w:firstLine="420"/>
        <w:jc w:val="left"/>
        <w:spacing w:line="540" w:lineRule="exact"/>
        <w:rPr>
          <w:rFonts w:hint="eastAsia" w:ascii="宋体" w:hAnsi="宋体" w:cs="宋体"/>
          <w:b/>
          <w:bCs/>
          <w:color w:val="000000"/>
          <w:lang w:val="zh-CN"/>
        </w:rPr>
      </w:pPr>
      <w:r>
        <w:rPr>
          <w:rFonts w:hint="eastAsia" w:ascii="宋体" w:hAnsi="宋体" w:cs="宋体"/>
          <w:b/>
          <w:bCs/>
          <w:color w:val="000000"/>
          <w:sz w:val="24"/>
          <w:szCs w:val="24"/>
          <w:lang w:val="zh-CN" w:bidi="ar"/>
        </w:rPr>
        <w:t xml:space="preserve">第七条 交货和验收</w:t>
      </w:r>
      <w:r/>
    </w:p>
    <w:p>
      <w:pPr>
        <w:ind w:firstLine="420"/>
        <w:jc w:val="left"/>
        <w:spacing w:line="540" w:lineRule="exact"/>
        <w:rPr>
          <w:rFonts w:hint="eastAsia" w:ascii="宋体" w:hAnsi="宋体" w:cs="宋体"/>
          <w:color w:val="000000"/>
          <w:u w:val="single"/>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乙方应当在</w:t>
      </w:r>
      <w:r>
        <w:rPr>
          <w:rFonts w:hint="eastAsia" w:ascii="宋体" w:hAnsi="宋体" w:cs="宋体"/>
          <w:b/>
          <w:color w:val="000000"/>
          <w:sz w:val="24"/>
          <w:szCs w:val="24"/>
          <w:lang w:val="zh-CN" w:bidi="ar"/>
        </w:rPr>
        <w:t xml:space="preserve">合同签订后</w:t>
      </w:r>
      <w:r>
        <w:rPr>
          <w:rFonts w:hint="eastAsia" w:ascii="宋体" w:hAnsi="宋体" w:cs="宋体"/>
          <w:b/>
          <w:color w:val="000000"/>
          <w:sz w:val="24"/>
          <w:szCs w:val="24"/>
          <w:u w:val="single"/>
          <w:lang w:val="zh-CN" w:bidi="ar"/>
        </w:rPr>
        <w:t xml:space="preserve">   </w:t>
      </w:r>
      <w:r>
        <w:rPr>
          <w:rFonts w:hint="eastAsia" w:ascii="宋体" w:hAnsi="宋体" w:cs="宋体"/>
          <w:b/>
          <w:color w:val="000000"/>
          <w:sz w:val="24"/>
          <w:szCs w:val="24"/>
          <w:lang w:val="zh-CN" w:bidi="ar"/>
        </w:rPr>
        <w:t xml:space="preserve">天内</w:t>
      </w:r>
      <w:r>
        <w:rPr>
          <w:rFonts w:hint="eastAsia" w:ascii="宋体" w:hAnsi="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乙方交付的货物应当完全符合本合同、招标文件和响应文件所规定的货物、数量和规格要求。乙方提供的货物不符合招标文件、响应文件和合同规定的，甲方有权拒收货物，由此引起的风险，由乙方承担。</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bidi="ar"/>
        </w:rPr>
        <w:t xml:space="preserve">4.</w:t>
      </w:r>
      <w:r>
        <w:rPr>
          <w:rFonts w:hint="eastAsia" w:ascii="宋体" w:hAnsi="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bidi="ar"/>
        </w:rPr>
        <w:t xml:space="preserve">5.</w:t>
      </w:r>
      <w:r>
        <w:rPr>
          <w:rFonts w:hint="eastAsia" w:ascii="宋体" w:hAnsi="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20"/>
        <w:jc w:val="left"/>
        <w:spacing w:line="540" w:lineRule="exact"/>
        <w:rPr>
          <w:rFonts w:hint="eastAsia" w:ascii="宋体" w:hAnsi="宋体" w:cs="宋体"/>
          <w:b/>
          <w:bCs/>
          <w:color w:val="000000"/>
          <w:lang w:val="zh-CN"/>
        </w:rPr>
      </w:pPr>
      <w:r>
        <w:rPr>
          <w:rFonts w:hint="eastAsia" w:ascii="宋体" w:hAnsi="宋体" w:cs="宋体"/>
          <w:b/>
          <w:bCs/>
          <w:color w:val="000000"/>
          <w:sz w:val="24"/>
          <w:szCs w:val="24"/>
          <w:lang w:val="zh-CN" w:bidi="ar"/>
        </w:rPr>
        <w:t xml:space="preserve">第八条 售后服务</w:t>
      </w:r>
      <w:r/>
    </w:p>
    <w:p>
      <w:pPr>
        <w:ind w:firstLine="420"/>
        <w:jc w:val="left"/>
        <w:spacing w:line="540" w:lineRule="exact"/>
        <w:tabs>
          <w:tab w:val="left" w:pos="1620" w:leader="none"/>
        </w:tabs>
        <w:rPr>
          <w:rFonts w:hint="eastAsia"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乙方应按照国家有关法律法规规章和以及合同所附的“服务承诺”提供服务。</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除前款规定外，乙方还应提供下列服务：</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（1）货物的现场安装、调试和/或启动监督；</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（2）就货物的安装、启动、运行及维护等对甲方人员进行免费培训。</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zh-CN" w:bidi="ar"/>
        </w:rPr>
        <w:t xml:space="preserve">售后服务的承诺，双方作如下约定：</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3.1 乙方应为甲方提供免费培训服务，并指派专人负责与甲方联系售后服务事宜。</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3.2 所购货物按乙方投标承诺</w:t>
      </w:r>
      <w:r>
        <w:rPr>
          <w:rFonts w:hint="eastAsia" w:ascii="宋体" w:hAnsi="宋体" w:cs="宋体"/>
          <w:color w:val="000000"/>
          <w:sz w:val="24"/>
          <w:szCs w:val="24"/>
          <w:lang w:bidi="ar"/>
        </w:rPr>
        <w:t xml:space="preserve">自货物交付验收合格之日起</w:t>
      </w:r>
      <w:r>
        <w:rPr>
          <w:rFonts w:hint="eastAsia" w:ascii="宋体" w:hAnsi="宋体" w:cs="宋体"/>
          <w:color w:val="000000"/>
          <w:sz w:val="24"/>
          <w:szCs w:val="24"/>
          <w:lang w:val="zh-CN" w:bidi="ar"/>
        </w:rPr>
        <w:t xml:space="preserve">提供</w:t>
      </w:r>
      <w:r>
        <w:rPr>
          <w:rFonts w:hint="eastAsia" w:ascii="宋体" w:hAnsi="宋体" w:cs="宋体"/>
          <w:b/>
          <w:color w:val="000000"/>
          <w:sz w:val="24"/>
          <w:szCs w:val="24"/>
          <w:u w:val="single"/>
          <w:lang w:val="zh-CN" w:bidi="ar"/>
        </w:rPr>
        <w:t xml:space="preserve">   </w:t>
      </w:r>
      <w:r>
        <w:rPr>
          <w:rFonts w:hint="eastAsia" w:ascii="宋体" w:hAnsi="宋体" w:cs="宋体"/>
          <w:b/>
          <w:color w:val="000000"/>
          <w:sz w:val="24"/>
          <w:szCs w:val="24"/>
          <w:lang w:val="zh-CN" w:bidi="ar"/>
        </w:rPr>
        <w:t xml:space="preserve">年</w:t>
      </w:r>
      <w:r>
        <w:rPr>
          <w:rFonts w:hint="eastAsia" w:ascii="宋体" w:hAnsi="宋体" w:cs="宋体"/>
          <w:color w:val="000000"/>
          <w:sz w:val="24"/>
          <w:szCs w:val="24"/>
          <w:lang w:val="zh-CN" w:bidi="ar"/>
        </w:rPr>
        <w:t xml:space="preserve">免费质保服务，该费用计入总价。</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3.4 货物故障报修的响应时间按乙方投标响应文件承诺执行。</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3.7 保修期后的货物维护由双方协商再定。</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cs="宋体"/>
          <w:color w:val="000000"/>
          <w:sz w:val="24"/>
          <w:szCs w:val="24"/>
          <w:lang w:bidi="ar"/>
        </w:rPr>
        <w:t xml:space="preserve">或乙方另行支付甲方</w:t>
      </w:r>
      <w:r>
        <w:rPr>
          <w:rFonts w:hint="eastAsia" w:ascii="宋体" w:hAnsi="宋体" w:cs="宋体"/>
          <w:color w:val="000000"/>
          <w:sz w:val="24"/>
          <w:szCs w:val="24"/>
          <w:lang w:val="zh-CN" w:bidi="ar"/>
        </w:rPr>
        <w:t xml:space="preserve">。</w:t>
      </w:r>
      <w:r/>
    </w:p>
    <w:p>
      <w:pPr>
        <w:ind w:firstLine="420"/>
        <w:jc w:val="left"/>
        <w:spacing w:line="540" w:lineRule="exact"/>
        <w:rPr>
          <w:rFonts w:hint="eastAsia" w:ascii="宋体" w:hAnsi="宋体" w:cs="宋体"/>
          <w:b/>
          <w:bCs/>
          <w:i/>
          <w:iCs/>
          <w:color w:val="000000"/>
          <w:lang w:val="zh-CN"/>
        </w:rPr>
      </w:pPr>
      <w:r>
        <w:rPr>
          <w:rFonts w:hint="eastAsia" w:ascii="宋体" w:hAnsi="宋体" w:cs="宋体"/>
          <w:b/>
          <w:bCs/>
          <w:color w:val="000000"/>
          <w:sz w:val="24"/>
          <w:szCs w:val="24"/>
          <w:lang w:val="zh-CN" w:bidi="ar"/>
        </w:rPr>
        <w:t xml:space="preserve">第九条 合同款支付</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本合同项下所有款项均以人民币支付。</w:t>
      </w:r>
      <w:r/>
    </w:p>
    <w:p>
      <w:pPr>
        <w:ind w:firstLine="420"/>
        <w:jc w:val="left"/>
        <w:spacing w:line="540" w:lineRule="exact"/>
        <w:rPr>
          <w:rFonts w:hint="eastAsia"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20"/>
        <w:jc w:val="left"/>
        <w:spacing w:line="540" w:lineRule="exact"/>
        <w:rPr>
          <w:rFonts w:hint="eastAsia" w:ascii="宋体" w:hAnsi="宋体" w:cs="宋体"/>
          <w:b/>
          <w:color w:val="000000"/>
        </w:rPr>
      </w:pPr>
      <w:r>
        <w:rPr>
          <w:rFonts w:hint="eastAsia" w:ascii="宋体" w:hAnsi="宋体" w:cs="宋体"/>
          <w:b/>
          <w:color w:val="000000"/>
          <w:sz w:val="24"/>
          <w:szCs w:val="24"/>
          <w:lang w:bidi="ar"/>
        </w:rPr>
        <w:t xml:space="preserve">3.</w:t>
      </w:r>
      <w:r>
        <w:rPr>
          <w:rFonts w:hint="eastAsia" w:ascii="宋体" w:hAnsi="宋体" w:cs="宋体"/>
          <w:b/>
          <w:color w:val="000000"/>
          <w:sz w:val="24"/>
          <w:szCs w:val="24"/>
          <w:lang w:val="zh-CN" w:bidi="ar"/>
        </w:rPr>
        <w:t xml:space="preserve">付款方式：</w:t>
      </w:r>
      <w:r>
        <w:rPr>
          <w:rFonts w:hint="eastAsia" w:ascii="宋体" w:hAnsi="宋体" w:cs="宋体"/>
          <w:b/>
          <w:color w:val="000000"/>
          <w:sz w:val="24"/>
          <w:szCs w:val="24"/>
          <w:lang w:bidi="ar"/>
        </w:rPr>
        <w:t xml:space="preserve"> </w:t>
      </w:r>
      <w:r/>
    </w:p>
    <w:p>
      <w:pPr>
        <w:ind w:firstLine="420"/>
        <w:jc w:val="left"/>
        <w:spacing w:line="54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合同签订后2周内支付合同价的10%；系统调试完毕，甲方验收合格且经用户单位认可后乙方开具增值税专用发票，甲方付至合同价60%；用户单位完成系统整体联调验收后，乙方开具增值税专用发票，甲方付至合同价97%，稳定运行一年后支付合同金额的3%。</w:t>
      </w:r>
      <w:r/>
    </w:p>
    <w:p>
      <w:pPr>
        <w:ind w:firstLine="420"/>
        <w:jc w:val="left"/>
        <w:spacing w:line="540" w:lineRule="exact"/>
        <w:rPr>
          <w:rFonts w:hint="eastAsia" w:ascii="宋体" w:hAnsi="宋体" w:cs="宋体"/>
          <w:b/>
          <w:color w:val="000000"/>
          <w:lang w:val="zh-CN"/>
        </w:rPr>
      </w:pPr>
      <w:r>
        <w:rPr>
          <w:rFonts w:hint="eastAsia" w:ascii="宋体" w:hAnsi="宋体" w:cs="宋体"/>
          <w:b/>
          <w:color w:val="000000"/>
          <w:sz w:val="24"/>
          <w:szCs w:val="24"/>
          <w:lang w:bidi="ar"/>
        </w:rPr>
        <w:t xml:space="preserve">4.</w:t>
      </w:r>
      <w:r>
        <w:rPr>
          <w:rFonts w:hint="eastAsia" w:ascii="宋体" w:hAnsi="宋体" w:cs="宋体"/>
          <w:b/>
          <w:color w:val="000000"/>
          <w:sz w:val="24"/>
          <w:szCs w:val="24"/>
          <w:lang w:val="zh-CN" w:bidi="ar"/>
        </w:rPr>
        <w:t xml:space="preserve">甲方开票信息：</w:t>
      </w:r>
      <w:r/>
    </w:p>
    <w:p>
      <w:pPr>
        <w:ind w:firstLine="480"/>
        <w:spacing w:line="540" w:lineRule="exact"/>
        <w:rPr>
          <w:rFonts w:hint="eastAsia" w:ascii="宋体" w:hAnsi="宋体" w:cs="宋体"/>
        </w:rPr>
      </w:pPr>
      <w:r>
        <w:rPr>
          <w:rFonts w:hint="eastAsia" w:ascii="宋体" w:hAnsi="宋体" w:cs="宋体"/>
          <w:sz w:val="24"/>
          <w:szCs w:val="24"/>
          <w:lang w:bidi="ar"/>
        </w:rPr>
        <w:t xml:space="preserve">单位名称：紫金山实验室</w:t>
      </w:r>
      <w:r/>
    </w:p>
    <w:p>
      <w:pPr>
        <w:ind w:firstLine="480"/>
        <w:spacing w:line="540" w:lineRule="exact"/>
        <w:rPr>
          <w:rFonts w:hint="eastAsia" w:ascii="宋体" w:hAnsi="宋体" w:cs="宋体"/>
        </w:rPr>
      </w:pPr>
      <w:r>
        <w:rPr>
          <w:rFonts w:hint="eastAsia" w:ascii="宋体" w:hAnsi="宋体" w:cs="宋体"/>
          <w:sz w:val="24"/>
          <w:szCs w:val="24"/>
          <w:lang w:bidi="ar"/>
        </w:rPr>
        <w:t xml:space="preserve">纳税人识别号：12320100MB19771475</w:t>
      </w:r>
      <w:r/>
    </w:p>
    <w:p>
      <w:pPr>
        <w:ind w:firstLine="480"/>
        <w:spacing w:line="540" w:lineRule="exact"/>
        <w:rPr>
          <w:rFonts w:hint="eastAsia" w:ascii="宋体" w:hAnsi="宋体" w:cs="宋体"/>
        </w:rPr>
      </w:pPr>
      <w:r>
        <w:rPr>
          <w:rFonts w:hint="eastAsia" w:ascii="宋体" w:hAnsi="宋体" w:cs="宋体"/>
          <w:sz w:val="24"/>
          <w:szCs w:val="24"/>
          <w:lang w:bidi="ar"/>
        </w:rPr>
        <w:t xml:space="preserve">开户银行：中国建设银行股份有限公司南京九龙湖支行</w:t>
      </w:r>
      <w:r/>
    </w:p>
    <w:p>
      <w:pPr>
        <w:ind w:firstLine="480"/>
        <w:spacing w:line="540" w:lineRule="exact"/>
        <w:rPr>
          <w:rFonts w:hint="eastAsia" w:ascii="宋体" w:hAnsi="宋体" w:cs="宋体"/>
        </w:rPr>
      </w:pPr>
      <w:r>
        <w:rPr>
          <w:rFonts w:hint="eastAsia" w:ascii="宋体" w:hAnsi="宋体" w:cs="宋体"/>
          <w:sz w:val="24"/>
          <w:szCs w:val="24"/>
          <w:lang w:bidi="ar"/>
        </w:rPr>
        <w:t xml:space="preserve">银行账号：32050159604400000585</w:t>
      </w:r>
      <w:r/>
    </w:p>
    <w:p>
      <w:pPr>
        <w:ind w:firstLine="480"/>
        <w:spacing w:line="540" w:lineRule="exact"/>
        <w:rPr>
          <w:rFonts w:hint="eastAsia" w:ascii="宋体" w:hAnsi="宋体" w:cs="宋体"/>
        </w:rPr>
      </w:pPr>
      <w:r>
        <w:rPr>
          <w:rFonts w:hint="eastAsia" w:ascii="宋体" w:hAnsi="宋体" w:cs="宋体"/>
          <w:sz w:val="24"/>
          <w:szCs w:val="24"/>
          <w:lang w:bidi="ar"/>
        </w:rPr>
        <w:t xml:space="preserve">联行号：105301001090</w:t>
      </w:r>
      <w:r/>
    </w:p>
    <w:p>
      <w:pPr>
        <w:ind w:firstLine="480"/>
        <w:spacing w:line="540" w:lineRule="exact"/>
        <w:rPr>
          <w:rFonts w:hint="eastAsia" w:ascii="宋体" w:hAnsi="宋体" w:cs="宋体"/>
        </w:rPr>
      </w:pPr>
      <w:r>
        <w:rPr>
          <w:rFonts w:hint="eastAsia" w:ascii="宋体" w:hAnsi="宋体" w:cs="宋体"/>
          <w:sz w:val="24"/>
          <w:szCs w:val="24"/>
          <w:lang w:bidi="ar"/>
        </w:rPr>
        <w:t xml:space="preserve">单位地址：南京市江宁区秣周东路9号</w:t>
      </w:r>
      <w:r/>
    </w:p>
    <w:p>
      <w:pPr>
        <w:ind w:firstLine="480"/>
        <w:spacing w:line="540" w:lineRule="exact"/>
        <w:rPr>
          <w:rFonts w:hint="eastAsia" w:ascii="宋体" w:hAnsi="宋体" w:cs="宋体"/>
        </w:rPr>
      </w:pPr>
      <w:r>
        <w:rPr>
          <w:rFonts w:hint="eastAsia" w:ascii="宋体" w:hAnsi="宋体" w:cs="宋体"/>
          <w:sz w:val="24"/>
          <w:szCs w:val="24"/>
          <w:lang w:bidi="ar"/>
        </w:rPr>
        <w:t xml:space="preserve">单位电话：025-52091570</w:t>
      </w:r>
      <w:r/>
    </w:p>
    <w:p>
      <w:pPr>
        <w:ind w:firstLine="420"/>
        <w:jc w:val="left"/>
        <w:spacing w:line="540" w:lineRule="exact"/>
        <w:rPr>
          <w:rFonts w:hint="eastAsia" w:ascii="宋体" w:hAnsi="宋体" w:cs="宋体"/>
          <w:b/>
          <w:color w:val="000000"/>
          <w:lang w:val="zh-CN"/>
        </w:rPr>
      </w:pPr>
      <w:r>
        <w:rPr>
          <w:rFonts w:hint="eastAsia" w:ascii="宋体" w:hAnsi="宋体" w:cs="宋体"/>
          <w:b/>
          <w:color w:val="000000"/>
          <w:sz w:val="24"/>
          <w:szCs w:val="24"/>
          <w:lang w:bidi="ar"/>
        </w:rPr>
        <w:t xml:space="preserve">5.</w:t>
      </w:r>
      <w:r>
        <w:rPr>
          <w:rFonts w:hint="eastAsia" w:ascii="宋体" w:hAnsi="宋体" w:cs="宋体"/>
          <w:b/>
          <w:color w:val="000000"/>
          <w:sz w:val="24"/>
          <w:szCs w:val="24"/>
          <w:lang w:val="zh-CN" w:bidi="ar"/>
        </w:rPr>
        <w:t xml:space="preserve">乙方账户信息：</w:t>
      </w:r>
      <w:r/>
    </w:p>
    <w:p>
      <w:pPr>
        <w:ind w:firstLine="480"/>
        <w:spacing w:line="540" w:lineRule="exact"/>
        <w:rPr>
          <w:rFonts w:hint="eastAsia" w:ascii="宋体" w:hAnsi="宋体" w:cs="宋体"/>
        </w:rPr>
      </w:pPr>
      <w:r>
        <w:rPr>
          <w:rFonts w:hint="eastAsia" w:ascii="宋体" w:hAnsi="宋体" w:cs="宋体"/>
          <w:sz w:val="24"/>
          <w:szCs w:val="24"/>
          <w:lang w:bidi="ar"/>
        </w:rPr>
        <w:t xml:space="preserve">开户名： </w:t>
      </w:r>
      <w:r/>
    </w:p>
    <w:p>
      <w:pPr>
        <w:ind w:firstLine="480"/>
        <w:spacing w:line="540" w:lineRule="exact"/>
        <w:rPr>
          <w:rFonts w:hint="eastAsia" w:ascii="宋体" w:hAnsi="宋体" w:cs="宋体"/>
        </w:rPr>
      </w:pPr>
      <w:r>
        <w:rPr>
          <w:rFonts w:hint="eastAsia" w:ascii="宋体" w:hAnsi="宋体" w:cs="宋体"/>
          <w:sz w:val="24"/>
          <w:szCs w:val="24"/>
          <w:lang w:bidi="ar"/>
        </w:rPr>
        <w:t xml:space="preserve">开户行：</w:t>
      </w:r>
      <w:r/>
    </w:p>
    <w:p>
      <w:pPr>
        <w:ind w:firstLine="480"/>
        <w:spacing w:line="540" w:lineRule="exact"/>
        <w:rPr>
          <w:rFonts w:hint="eastAsia" w:ascii="宋体" w:hAnsi="宋体" w:cs="宋体"/>
        </w:rPr>
      </w:pPr>
      <w:r>
        <w:rPr>
          <w:rFonts w:hint="eastAsia" w:ascii="宋体" w:hAnsi="宋体" w:cs="宋体"/>
          <w:sz w:val="24"/>
          <w:szCs w:val="24"/>
          <w:lang w:bidi="ar"/>
        </w:rPr>
        <w:t xml:space="preserve">账  号：</w:t>
      </w:r>
      <w:r/>
    </w:p>
    <w:p>
      <w:pPr>
        <w:ind w:firstLine="480"/>
        <w:spacing w:line="540" w:lineRule="exact"/>
        <w:rPr>
          <w:rFonts w:hint="eastAsia" w:ascii="宋体" w:hAnsi="宋体" w:cs="宋体"/>
        </w:rPr>
      </w:pPr>
      <w:r>
        <w:rPr>
          <w:rFonts w:hint="eastAsia" w:ascii="宋体" w:hAnsi="宋体" w:cs="宋体"/>
          <w:sz w:val="24"/>
          <w:szCs w:val="24"/>
          <w:lang w:bidi="ar"/>
        </w:rPr>
        <w:t xml:space="preserve">税  号：</w:t>
      </w:r>
      <w:r/>
    </w:p>
    <w:p>
      <w:pPr>
        <w:pStyle w:val="1060"/>
        <w:contextualSpacing/>
        <w:ind w:left="451" w:hanging="241"/>
        <w:jc w:val="both"/>
        <w:spacing w:before="0" w:beforeAutospacing="0" w:after="0" w:afterAutospacing="0" w:line="540" w:lineRule="exact"/>
        <w:widowControl w:val="off"/>
        <w:rPr>
          <w:rFonts w:hint="eastAsia"/>
          <w:b/>
          <w:bCs/>
          <w:color w:val="000000"/>
          <w:lang w:val="zh-CN"/>
        </w:rPr>
      </w:pPr>
      <w:r>
        <w:rPr>
          <w:b/>
          <w:bCs/>
          <w:color w:val="000000"/>
          <w:lang w:val="zh-CN" w:bidi="ar"/>
        </w:rPr>
        <w:t xml:space="preserve">第十条 违约责任</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甲方无正当理由拒收货物、拒付货物款的，甲方向乙方偿付合同总价的5%违约金。</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甲方未按合同规定的期限向乙方支付货款的，每逾期1天甲方向乙方按照同期贷款市场报价利率标准支付滞纳金，但累计滞纳金总额不超过欠款总额的5%。</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zh-CN" w:bidi="ar"/>
        </w:rPr>
        <w:t xml:space="preserve">如乙方不能交付货物、完成安装调试的，甲方有权要求乙方支付合同总价5%的违约金。</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4.</w:t>
      </w:r>
      <w:r>
        <w:rPr>
          <w:rFonts w:hint="eastAsia" w:ascii="宋体" w:hAnsi="宋体" w:cs="宋体"/>
          <w:color w:val="000000"/>
          <w:sz w:val="24"/>
          <w:szCs w:val="24"/>
          <w:lang w:val="zh-CN" w:bidi="ar"/>
        </w:rPr>
        <w:t xml:space="preserve">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5.</w:t>
      </w:r>
      <w:r>
        <w:rPr>
          <w:rFonts w:hint="eastAsia" w:ascii="宋体" w:hAnsi="宋体" w:cs="宋体"/>
          <w:color w:val="000000"/>
          <w:sz w:val="24"/>
          <w:szCs w:val="24"/>
          <w:lang w:val="zh-CN" w:bidi="ar"/>
        </w:rPr>
        <w:t xml:space="preserve">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6.</w:t>
      </w:r>
      <w:r>
        <w:rPr>
          <w:rFonts w:hint="eastAsia" w:ascii="宋体" w:hAnsi="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7.</w:t>
      </w:r>
      <w:r>
        <w:rPr>
          <w:rFonts w:hint="eastAsia" w:ascii="宋体" w:hAnsi="宋体" w:cs="宋体"/>
          <w:color w:val="000000"/>
          <w:sz w:val="24"/>
          <w:szCs w:val="24"/>
          <w:lang w:val="zh-CN" w:bidi="ar"/>
        </w:rPr>
        <w:t xml:space="preserve">乙方未按本合同的规定和“服务承诺”提供售后服务的，应按合同总价款的10%向甲方承担违约责任。</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8.</w:t>
      </w:r>
      <w:r>
        <w:rPr>
          <w:rFonts w:hint="eastAsia" w:ascii="宋体" w:hAnsi="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9.</w:t>
      </w:r>
      <w:r>
        <w:rPr>
          <w:rFonts w:hint="eastAsia" w:ascii="宋体" w:hAnsi="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20"/>
        <w:jc w:val="left"/>
        <w:spacing w:line="540" w:lineRule="exact"/>
        <w:widowControl/>
        <w:rPr>
          <w:rFonts w:hint="eastAsia" w:ascii="宋体" w:hAnsi="宋体" w:cs="宋体"/>
          <w:b/>
          <w:bCs/>
          <w:color w:val="000000"/>
          <w:lang w:val="zh-CN"/>
        </w:rPr>
      </w:pPr>
      <w:r>
        <w:rPr>
          <w:rFonts w:hint="eastAsia" w:ascii="宋体" w:hAnsi="宋体" w:cs="宋体"/>
          <w:b/>
          <w:bCs/>
          <w:color w:val="000000"/>
          <w:sz w:val="24"/>
          <w:szCs w:val="24"/>
          <w:lang w:val="zh-CN" w:bidi="ar"/>
        </w:rPr>
        <w:t xml:space="preserve">第十</w:t>
      </w:r>
      <w:r>
        <w:rPr>
          <w:rFonts w:hint="eastAsia" w:ascii="宋体" w:hAnsi="宋体" w:cs="宋体"/>
          <w:b/>
          <w:bCs/>
          <w:color w:val="000000"/>
          <w:sz w:val="24"/>
          <w:szCs w:val="24"/>
          <w:lang w:bidi="ar"/>
        </w:rPr>
        <w:t xml:space="preserve">一</w:t>
      </w:r>
      <w:r>
        <w:rPr>
          <w:rFonts w:hint="eastAsia" w:ascii="宋体" w:hAnsi="宋体" w:cs="宋体"/>
          <w:b/>
          <w:bCs/>
          <w:color w:val="000000"/>
          <w:sz w:val="24"/>
          <w:szCs w:val="24"/>
          <w:lang w:val="zh-CN" w:bidi="ar"/>
        </w:rPr>
        <w:t xml:space="preserve">条 合同的变更和终止</w:t>
      </w:r>
      <w:r/>
    </w:p>
    <w:p>
      <w:pPr>
        <w:ind w:firstLine="48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20"/>
        <w:jc w:val="left"/>
        <w:spacing w:line="540" w:lineRule="exact"/>
        <w:widowControl/>
        <w:rPr>
          <w:rFonts w:hint="eastAsia" w:ascii="宋体" w:hAnsi="宋体" w:cs="宋体"/>
          <w:b/>
          <w:bCs/>
          <w:color w:val="000000"/>
          <w:lang w:val="zh-CN"/>
        </w:rPr>
      </w:pPr>
      <w:r>
        <w:rPr>
          <w:rFonts w:hint="eastAsia" w:ascii="宋体" w:hAnsi="宋体" w:cs="宋体"/>
          <w:b/>
          <w:bCs/>
          <w:color w:val="000000"/>
          <w:sz w:val="24"/>
          <w:szCs w:val="24"/>
          <w:lang w:val="zh-CN" w:bidi="ar"/>
        </w:rPr>
        <w:t xml:space="preserve">第十</w:t>
      </w:r>
      <w:r>
        <w:rPr>
          <w:rFonts w:hint="eastAsia" w:ascii="宋体" w:hAnsi="宋体" w:cs="宋体"/>
          <w:b/>
          <w:bCs/>
          <w:color w:val="000000"/>
          <w:sz w:val="24"/>
          <w:szCs w:val="24"/>
          <w:lang w:bidi="ar"/>
        </w:rPr>
        <w:t xml:space="preserve">二</w:t>
      </w:r>
      <w:r>
        <w:rPr>
          <w:rFonts w:hint="eastAsia" w:ascii="宋体" w:hAnsi="宋体" w:cs="宋体"/>
          <w:b/>
          <w:bCs/>
          <w:color w:val="000000"/>
          <w:sz w:val="24"/>
          <w:szCs w:val="24"/>
          <w:lang w:val="zh-CN" w:bidi="ar"/>
        </w:rPr>
        <w:t xml:space="preserve">条 合同的转让</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val="zh-CN" w:bidi="ar"/>
        </w:rPr>
        <w:t xml:space="preserve">乙方不得部分或全部转让其应履行的合同义务或其享有的合同权利。</w:t>
      </w:r>
      <w:r/>
    </w:p>
    <w:p>
      <w:pPr>
        <w:ind w:firstLine="420"/>
        <w:jc w:val="left"/>
        <w:spacing w:line="540" w:lineRule="exact"/>
        <w:widowControl/>
        <w:rPr>
          <w:rFonts w:hint="eastAsia" w:ascii="宋体" w:hAnsi="宋体" w:cs="宋体"/>
          <w:b/>
          <w:bCs/>
          <w:color w:val="000000"/>
          <w:lang w:val="zh-CN"/>
        </w:rPr>
      </w:pPr>
      <w:r>
        <w:rPr>
          <w:rFonts w:hint="eastAsia" w:ascii="宋体" w:hAnsi="宋体" w:cs="宋体"/>
          <w:b/>
          <w:bCs/>
          <w:color w:val="000000"/>
          <w:sz w:val="24"/>
          <w:szCs w:val="24"/>
          <w:lang w:val="zh-CN" w:bidi="ar"/>
        </w:rPr>
        <w:t xml:space="preserve">第十</w:t>
      </w:r>
      <w:r>
        <w:rPr>
          <w:rFonts w:hint="eastAsia" w:ascii="宋体" w:hAnsi="宋体" w:cs="宋体"/>
          <w:b/>
          <w:bCs/>
          <w:color w:val="000000"/>
          <w:sz w:val="24"/>
          <w:szCs w:val="24"/>
          <w:lang w:bidi="ar"/>
        </w:rPr>
        <w:t xml:space="preserve">三</w:t>
      </w:r>
      <w:r>
        <w:rPr>
          <w:rFonts w:hint="eastAsia" w:ascii="宋体" w:hAnsi="宋体" w:cs="宋体"/>
          <w:b/>
          <w:bCs/>
          <w:color w:val="000000"/>
          <w:sz w:val="24"/>
          <w:szCs w:val="24"/>
          <w:lang w:val="zh-CN" w:bidi="ar"/>
        </w:rPr>
        <w:t xml:space="preserve">条 争议的解决</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zh-CN" w:bidi="ar"/>
        </w:rPr>
        <w:t xml:space="preserve">在诉讼或仲裁期间，本合同应继续履行。</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4.</w:t>
      </w:r>
      <w:r>
        <w:rPr>
          <w:rFonts w:hint="eastAsia" w:ascii="宋体" w:hAnsi="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widowControl/>
        <w:rPr>
          <w:rFonts w:hint="eastAsia" w:ascii="宋体" w:hAnsi="宋体" w:cs="宋体"/>
          <w:b/>
          <w:bCs/>
          <w:color w:val="000000"/>
          <w:lang w:val="zh-CN"/>
        </w:rPr>
      </w:pPr>
      <w:r>
        <w:rPr>
          <w:rFonts w:hint="eastAsia" w:ascii="宋体" w:hAnsi="宋体" w:cs="宋体"/>
          <w:b/>
          <w:bCs/>
          <w:color w:val="000000"/>
          <w:sz w:val="24"/>
          <w:szCs w:val="24"/>
          <w:lang w:val="zh-CN" w:bidi="ar"/>
        </w:rPr>
        <w:t xml:space="preserve">第十</w:t>
      </w:r>
      <w:r>
        <w:rPr>
          <w:rFonts w:hint="eastAsia" w:ascii="宋体" w:hAnsi="宋体" w:cs="宋体"/>
          <w:b/>
          <w:bCs/>
          <w:color w:val="000000"/>
          <w:sz w:val="24"/>
          <w:szCs w:val="24"/>
          <w:lang w:bidi="ar"/>
        </w:rPr>
        <w:t xml:space="preserve">四</w:t>
      </w:r>
      <w:r>
        <w:rPr>
          <w:rFonts w:hint="eastAsia" w:ascii="宋体" w:hAnsi="宋体" w:cs="宋体"/>
          <w:b/>
          <w:bCs/>
          <w:color w:val="000000"/>
          <w:sz w:val="24"/>
          <w:szCs w:val="24"/>
          <w:lang w:val="zh-CN" w:bidi="ar"/>
        </w:rPr>
        <w:t xml:space="preserve">条 诚实信用 </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20"/>
        <w:jc w:val="left"/>
        <w:spacing w:line="540" w:lineRule="exact"/>
        <w:widowControl/>
        <w:rPr>
          <w:rFonts w:hint="eastAsia" w:ascii="宋体" w:hAnsi="宋体" w:cs="宋体"/>
          <w:b/>
          <w:bCs/>
          <w:color w:val="000000"/>
          <w:lang w:val="zh-CN"/>
        </w:rPr>
      </w:pPr>
      <w:r>
        <w:rPr>
          <w:rFonts w:hint="eastAsia" w:ascii="宋体" w:hAnsi="宋体" w:cs="宋体"/>
          <w:b/>
          <w:bCs/>
          <w:color w:val="000000"/>
          <w:sz w:val="24"/>
          <w:szCs w:val="24"/>
          <w:lang w:val="zh-CN" w:bidi="ar"/>
        </w:rPr>
        <w:t xml:space="preserve">第十</w:t>
      </w:r>
      <w:r>
        <w:rPr>
          <w:rFonts w:hint="eastAsia" w:ascii="宋体" w:hAnsi="宋体" w:cs="宋体"/>
          <w:b/>
          <w:bCs/>
          <w:color w:val="000000"/>
          <w:sz w:val="24"/>
          <w:szCs w:val="24"/>
          <w:lang w:bidi="ar"/>
        </w:rPr>
        <w:t xml:space="preserve">五</w:t>
      </w:r>
      <w:r>
        <w:rPr>
          <w:rFonts w:hint="eastAsia" w:ascii="宋体" w:hAnsi="宋体" w:cs="宋体"/>
          <w:b/>
          <w:bCs/>
          <w:color w:val="000000"/>
          <w:sz w:val="24"/>
          <w:szCs w:val="24"/>
          <w:lang w:val="zh-CN" w:bidi="ar"/>
        </w:rPr>
        <w:t xml:space="preserve">条 合同生效及其他</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本合同自双方盖章之日起生效。</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本合同一式</w:t>
      </w:r>
      <w:r>
        <w:rPr>
          <w:rFonts w:hint="eastAsia" w:ascii="宋体" w:hAnsi="宋体" w:cs="宋体"/>
          <w:color w:val="000000"/>
          <w:sz w:val="24"/>
          <w:szCs w:val="24"/>
          <w:u w:val="single"/>
          <w:lang w:val="zh-CN" w:bidi="ar"/>
        </w:rPr>
        <w:t xml:space="preserve">   </w:t>
      </w:r>
      <w:r>
        <w:rPr>
          <w:rFonts w:hint="eastAsia" w:ascii="宋体" w:hAnsi="宋体" w:cs="宋体"/>
          <w:color w:val="000000"/>
          <w:sz w:val="24"/>
          <w:szCs w:val="24"/>
          <w:lang w:val="zh-CN" w:bidi="ar"/>
        </w:rPr>
        <w:t xml:space="preserve">份，甲方执肆份，乙方执</w:t>
      </w:r>
      <w:r>
        <w:rPr>
          <w:rFonts w:hint="eastAsia" w:ascii="宋体" w:hAnsi="宋体" w:cs="宋体"/>
          <w:color w:val="000000"/>
          <w:sz w:val="24"/>
          <w:szCs w:val="24"/>
          <w:u w:val="single"/>
          <w:lang w:val="zh-CN" w:bidi="ar"/>
        </w:rPr>
        <w:t xml:space="preserve">    </w:t>
      </w:r>
      <w:r>
        <w:rPr>
          <w:rFonts w:hint="eastAsia" w:ascii="宋体" w:hAnsi="宋体" w:cs="宋体"/>
          <w:color w:val="000000"/>
          <w:sz w:val="24"/>
          <w:szCs w:val="24"/>
          <w:lang w:val="zh-CN" w:bidi="ar"/>
        </w:rPr>
        <w:t xml:space="preserve">份，招标公司执壹份，具有同等法律效力。</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zh-CN" w:bidi="ar"/>
        </w:rPr>
        <w:t xml:space="preserve">本合同应按照中华人民共和国大陆地区现行有效的法律进行解释。</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sz w:val="24"/>
          <w:szCs w:val="24"/>
          <w:lang w:val="zh-CN" w:bidi="ar"/>
        </w:rPr>
        <w:t xml:space="preserve">（以下无正文）</w:t>
      </w:r>
      <w:r/>
    </w:p>
    <w:p>
      <w:pPr>
        <w:ind w:firstLine="420"/>
        <w:jc w:val="left"/>
        <w:spacing w:line="540" w:lineRule="exact"/>
        <w:widowControl/>
        <w:rPr>
          <w:rFonts w:hint="eastAsia" w:ascii="宋体" w:hAnsi="宋体" w:cs="宋体"/>
          <w:color w:val="000000"/>
          <w:lang w:val="zh-CN"/>
        </w:rPr>
      </w:pPr>
      <w:r>
        <w:rPr>
          <w:rFonts w:hint="eastAsia" w:ascii="宋体" w:hAnsi="宋体" w:cs="宋体"/>
          <w:color w:val="000000"/>
          <w:lang w:val="zh-CN"/>
        </w:rPr>
      </w:r>
      <w:r/>
    </w:p>
    <w:p>
      <w:pPr>
        <w:jc w:val="left"/>
        <w:widowControl/>
        <w:rPr>
          <w:rFonts w:hint="eastAsia" w:ascii="宋体" w:hAnsi="宋体" w:cs="宋体"/>
          <w:color w:val="000000"/>
          <w:lang w:val="zh-CN"/>
        </w:rPr>
      </w:pPr>
      <w:r>
        <w:rPr>
          <w:rFonts w:hint="eastAsia" w:ascii="宋体" w:hAnsi="宋体" w:cs="宋体"/>
          <w:color w:val="000000"/>
          <w:sz w:val="24"/>
          <w:szCs w:val="24"/>
          <w:lang w:val="zh-CN" w:bidi="ar"/>
        </w:rPr>
        <w:br w:type="page" w:clear="all"/>
      </w:r>
      <w:r/>
    </w:p>
    <w:p>
      <w:pPr>
        <w:jc w:val="center"/>
        <w:spacing w:line="480" w:lineRule="auto"/>
        <w:widowControl/>
        <w:rPr>
          <w:rFonts w:hint="eastAsia" w:ascii="宋体" w:hAnsi="宋体" w:cs="宋体"/>
          <w:color w:val="000000"/>
          <w:lang w:val="zh-CN"/>
        </w:rPr>
      </w:pPr>
      <w:r>
        <w:rPr>
          <w:rFonts w:hint="eastAsia" w:ascii="宋体" w:hAnsi="宋体" w:cs="宋体"/>
          <w:color w:val="000000"/>
          <w:sz w:val="24"/>
          <w:szCs w:val="24"/>
          <w:lang w:val="zh-CN" w:bidi="ar"/>
        </w:rPr>
        <w:t xml:space="preserve">（本页系编号    《货物采购合同》签署页，无正文）</w:t>
      </w:r>
      <w:r/>
    </w:p>
    <w:tbl>
      <w:tblPr>
        <w:tblStyle w:val="10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41"/>
        <w:gridCol w:w="4742"/>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cs="宋体"/>
              </w:rPr>
            </w:pPr>
            <w:r>
              <w:rPr>
                <w:rFonts w:hint="eastAsia" w:ascii="宋体" w:hAnsi="宋体" w:cs="宋体"/>
                <w:sz w:val="24"/>
                <w:szCs w:val="24"/>
                <w:lang w:bidi="ar"/>
              </w:rPr>
              <w:t xml:space="preserve">甲    方：紫金山实验室   </w:t>
            </w:r>
            <w:r/>
          </w:p>
          <w:p>
            <w:pPr>
              <w:rPr>
                <w:rFonts w:hint="eastAsia" w:ascii="宋体" w:hAnsi="宋体" w:cs="宋体"/>
              </w:rPr>
            </w:pPr>
            <w:r>
              <w:rPr>
                <w:rFonts w:hint="eastAsia" w:ascii="宋体" w:hAnsi="宋体" w:cs="宋体"/>
                <w:sz w:val="24"/>
                <w:szCs w:val="24"/>
                <w:lang w:bidi="ar"/>
              </w:rPr>
              <w:t xml:space="preserve">（盖章）</w:t>
            </w:r>
            <w:r/>
          </w:p>
          <w:p>
            <w:pPr>
              <w:rPr>
                <w:rFonts w:hint="eastAsia" w:ascii="宋体" w:hAnsi="宋体" w:cs="宋体"/>
              </w:rPr>
            </w:pPr>
            <w:r>
              <w:rPr>
                <w:rFonts w:hint="eastAsia" w:ascii="宋体" w:hAnsi="宋体" w:cs="宋体"/>
                <w:sz w:val="24"/>
                <w:szCs w:val="24"/>
                <w:lang w:bidi="ar"/>
              </w:rPr>
              <w:t xml:space="preserve">法人代表:尤肖虎</w:t>
            </w:r>
            <w:r/>
          </w:p>
          <w:p>
            <w:pPr>
              <w:rPr>
                <w:rFonts w:hint="eastAsia" w:ascii="宋体" w:hAnsi="宋体" w:cs="宋体"/>
              </w:rPr>
            </w:pPr>
            <w:r>
              <w:rPr>
                <w:rFonts w:hint="eastAsia" w:ascii="宋体" w:hAnsi="宋体" w:cs="宋体"/>
                <w:sz w:val="24"/>
                <w:szCs w:val="24"/>
                <w:lang w:bidi="ar"/>
              </w:rPr>
              <w:t xml:space="preserve">地址:南京市江宁区秣周东路9号</w:t>
            </w:r>
            <w:r/>
          </w:p>
          <w:p>
            <w:pPr>
              <w:rPr>
                <w:rFonts w:hint="eastAsia" w:ascii="宋体" w:hAnsi="宋体" w:cs="宋体"/>
              </w:rPr>
            </w:pPr>
            <w:r>
              <w:rPr>
                <w:rFonts w:hint="eastAsia" w:ascii="宋体" w:hAnsi="宋体" w:cs="宋体"/>
                <w:sz w:val="24"/>
                <w:szCs w:val="24"/>
                <w:lang w:bidi="ar"/>
              </w:rPr>
              <w:t xml:space="preserve">邮编:         </w:t>
            </w:r>
            <w:r/>
          </w:p>
          <w:p>
            <w:pPr>
              <w:rPr>
                <w:rFonts w:hint="eastAsia" w:ascii="宋体" w:hAnsi="宋体" w:cs="宋体"/>
              </w:rPr>
            </w:pPr>
            <w:r>
              <w:rPr>
                <w:rFonts w:hint="eastAsia" w:ascii="宋体" w:hAnsi="宋体" w:cs="宋体"/>
                <w:sz w:val="24"/>
                <w:szCs w:val="24"/>
                <w:lang w:bidi="ar"/>
              </w:rPr>
              <w:t xml:space="preserve">电话:</w:t>
            </w:r>
            <w:r/>
          </w:p>
          <w:p>
            <w:pPr>
              <w:rPr>
                <w:rFonts w:hint="eastAsia" w:ascii="宋体" w:hAnsi="宋体" w:cs="宋体"/>
              </w:rPr>
            </w:pPr>
            <w:r>
              <w:rPr>
                <w:rFonts w:hint="eastAsia" w:ascii="宋体" w:hAnsi="宋体" w:cs="宋体"/>
                <w:sz w:val="24"/>
                <w:szCs w:val="24"/>
                <w:lang w:bidi="ar"/>
              </w:rPr>
              <w:t xml:space="preserve">授权代表（签字）:</w:t>
            </w:r>
            <w:r/>
          </w:p>
          <w:p>
            <w:pPr>
              <w:rPr>
                <w:rFonts w:hint="eastAsia" w:ascii="宋体" w:hAnsi="宋体" w:cs="宋体"/>
              </w:rPr>
            </w:pPr>
            <w:r>
              <w:rPr>
                <w:rFonts w:hint="eastAsia" w:ascii="宋体" w:hAnsi="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cs="宋体"/>
              </w:rPr>
            </w:pPr>
            <w:r>
              <w:rPr>
                <w:rFonts w:hint="eastAsia" w:ascii="宋体" w:hAnsi="宋体" w:cs="宋体"/>
                <w:sz w:val="24"/>
                <w:szCs w:val="24"/>
                <w:lang w:bidi="ar"/>
              </w:rPr>
              <w:t xml:space="preserve">乙    方：   </w:t>
            </w:r>
            <w:r/>
          </w:p>
          <w:p>
            <w:pPr>
              <w:rPr>
                <w:rFonts w:hint="eastAsia" w:ascii="宋体" w:hAnsi="宋体" w:cs="宋体"/>
              </w:rPr>
            </w:pPr>
            <w:r>
              <w:rPr>
                <w:rFonts w:hint="eastAsia" w:ascii="宋体" w:hAnsi="宋体" w:cs="宋体"/>
                <w:sz w:val="24"/>
                <w:szCs w:val="24"/>
                <w:lang w:bidi="ar"/>
              </w:rPr>
              <w:t xml:space="preserve">（盖章）</w:t>
            </w:r>
            <w:r/>
          </w:p>
          <w:p>
            <w:pPr>
              <w:rPr>
                <w:rFonts w:hint="eastAsia" w:ascii="宋体" w:hAnsi="宋体" w:cs="宋体"/>
              </w:rPr>
            </w:pPr>
            <w:r>
              <w:rPr>
                <w:rFonts w:hint="eastAsia" w:ascii="宋体" w:hAnsi="宋体" w:cs="宋体"/>
                <w:sz w:val="24"/>
                <w:szCs w:val="24"/>
                <w:lang w:bidi="ar"/>
              </w:rPr>
              <w:t xml:space="preserve">法人代表:</w:t>
            </w:r>
            <w:r/>
          </w:p>
          <w:p>
            <w:pPr>
              <w:rPr>
                <w:rFonts w:hint="eastAsia" w:ascii="宋体" w:hAnsi="宋体" w:cs="宋体"/>
              </w:rPr>
            </w:pPr>
            <w:r>
              <w:rPr>
                <w:rFonts w:hint="eastAsia" w:ascii="宋体" w:hAnsi="宋体" w:cs="宋体"/>
                <w:sz w:val="24"/>
                <w:szCs w:val="24"/>
                <w:lang w:bidi="ar"/>
              </w:rPr>
              <w:t xml:space="preserve">地址:</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sz w:val="24"/>
                <w:szCs w:val="24"/>
                <w:lang w:bidi="ar"/>
              </w:rPr>
              <w:t xml:space="preserve">邮编:</w:t>
            </w:r>
            <w:r/>
          </w:p>
          <w:p>
            <w:pPr>
              <w:rPr>
                <w:rFonts w:hint="eastAsia" w:ascii="宋体" w:hAnsi="宋体" w:cs="宋体"/>
              </w:rPr>
            </w:pPr>
            <w:r>
              <w:rPr>
                <w:rFonts w:hint="eastAsia" w:ascii="宋体" w:hAnsi="宋体" w:cs="宋体"/>
                <w:sz w:val="24"/>
                <w:szCs w:val="24"/>
                <w:lang w:bidi="ar"/>
              </w:rPr>
              <w:t xml:space="preserve">电话:</w:t>
            </w:r>
            <w:r/>
          </w:p>
          <w:p>
            <w:pPr>
              <w:rPr>
                <w:rFonts w:hint="eastAsia" w:ascii="宋体" w:hAnsi="宋体" w:cs="宋体"/>
              </w:rPr>
            </w:pPr>
            <w:r>
              <w:rPr>
                <w:rFonts w:hint="eastAsia" w:ascii="宋体" w:hAnsi="宋体" w:cs="宋体"/>
                <w:sz w:val="24"/>
                <w:szCs w:val="24"/>
                <w:lang w:bidi="ar"/>
              </w:rPr>
              <w:t xml:space="preserve">授权代表（签字）：</w:t>
            </w:r>
            <w:r/>
          </w:p>
          <w:p>
            <w:pPr>
              <w:rPr>
                <w:rFonts w:hint="eastAsia" w:ascii="宋体" w:hAnsi="宋体" w:cs="宋体"/>
                <w:highlight w:val="yellow"/>
              </w:rPr>
            </w:pPr>
            <w:r>
              <w:rPr>
                <w:rFonts w:hint="eastAsia" w:ascii="宋体" w:hAnsi="宋体" w:cs="宋体"/>
                <w:sz w:val="24"/>
                <w:szCs w:val="24"/>
                <w:lang w:bidi="ar"/>
              </w:rPr>
              <w:t xml:space="preserve">签订日期：     年   月  日</w:t>
            </w:r>
            <w:r/>
          </w:p>
        </w:tc>
      </w:tr>
    </w:tbl>
    <w:p>
      <w:pPr>
        <w:rPr>
          <w:rFonts w:hint="eastAsia" w:ascii="宋体" w:hAnsi="宋体"/>
          <w:b/>
          <w:bCs/>
          <w:sz w:val="32"/>
          <w:szCs w:val="32"/>
        </w:rPr>
      </w:pPr>
      <w:r>
        <w:rPr>
          <w:rFonts w:hint="eastAsia" w:ascii="宋体" w:hAnsi="宋体"/>
          <w:b/>
          <w:bCs/>
          <w:sz w:val="32"/>
          <w:szCs w:val="32"/>
        </w:rPr>
        <w:br w:type="page" w:clear="all"/>
      </w:r>
      <w:r/>
    </w:p>
    <w:p>
      <w:pPr>
        <w:pStyle w:val="1025"/>
        <w:rPr>
          <w:rFonts w:ascii="黑体" w:eastAsia="黑体"/>
          <w:bCs/>
          <w:sz w:val="44"/>
        </w:rPr>
      </w:pPr>
      <w:r>
        <w:rPr>
          <w:rFonts w:hint="eastAsia" w:ascii="宋体" w:hAnsi="宋体" w:eastAsia="宋体"/>
          <w:b/>
          <w:bCs/>
          <w:sz w:val="32"/>
          <w:szCs w:val="32"/>
        </w:rPr>
        <w:t xml:space="preserve">第六章 竞争性谈判响应文件格式</w:t>
      </w:r>
      <w:bookmarkEnd w:id="108"/>
      <w:r/>
      <w:r/>
    </w:p>
    <w:p>
      <w:pPr>
        <w:pStyle w:val="1043"/>
        <w:rPr>
          <w:sz w:val="20"/>
          <w:szCs w:val="20"/>
        </w:rPr>
      </w:pPr>
      <w:r/>
      <w:bookmarkStart w:id="110" w:name="_Hlt26955039"/>
      <w:r/>
      <w:bookmarkEnd w:id="110"/>
      <w:r/>
      <w:bookmarkStart w:id="111" w:name="_Hlt26671244"/>
      <w:r/>
      <w:bookmarkEnd w:id="111"/>
      <w:r/>
      <w:bookmarkStart w:id="112" w:name="_Toc120614282"/>
      <w:r/>
      <w:bookmarkStart w:id="113" w:name="_Toc49090576"/>
      <w:r/>
      <w:bookmarkStart w:id="114" w:name="_Toc26554094"/>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4608830</wp:posOffset>
                </wp:positionH>
                <wp:positionV relativeFrom="paragraph">
                  <wp:posOffset>476250</wp:posOffset>
                </wp:positionV>
                <wp:extent cx="1129030" cy="445135"/>
                <wp:effectExtent l="0" t="0" r="13970" b="12065"/>
                <wp:wrapNone/>
                <wp:docPr id="6" name="矩形 2"/>
                <wp:cNvGraphicFramePr/>
                <a:graphic xmlns:a="http://schemas.openxmlformats.org/drawingml/2006/main">
                  <a:graphicData uri="http://schemas.microsoft.com/office/word/2010/wordprocessingShape">
                    <wps:wsp>
                      <wps:cNvPr id="0" name=""/>
                      <wps:cNvSpPr>
                        <a:spLocks noChangeArrowheads="1"/>
                      </wps:cNvSpPr>
                      <wps:spPr bwMode="auto">
                        <a:xfrm>
                          <a:off x="0" y="0"/>
                          <a:ext cx="1129030" cy="445135"/>
                        </a:xfrm>
                        <a:prstGeom prst="rect">
                          <a:avLst/>
                        </a:prstGeom>
                        <a:gradFill rotWithShape="0">
                          <a:gsLst>
                            <a:gs pos="0">
                              <a:srgbClr val="FFFFFF"/>
                            </a:gs>
                            <a:gs pos="100000">
                              <a:srgbClr val="FFFFFF"/>
                            </a:gs>
                          </a:gsLst>
                          <a:lin ang="0" scaled="1"/>
                        </a:gradFill>
                        <a:ln w="15875">
                          <a:solidFill>
                            <a:srgbClr val="739CC3"/>
                          </a:solidFill>
                          <a:miter lim="800000"/>
                        </a:ln>
                      </wps:spPr>
                      <wps:txbx>
                        <w:txbxContent>
                          <w:p>
                            <w:pPr>
                              <w:rPr>
                                <w:rFonts w:hint="eastAsia" w:ascii="黑体" w:hAnsi="黑体" w:eastAsia="黑体"/>
                                <w:b/>
                                <w:sz w:val="28"/>
                              </w:rPr>
                            </w:pPr>
                            <w:r>
                              <w:rPr>
                                <w:rFonts w:hint="eastAsia" w:ascii="黑体" w:hAnsi="黑体" w:eastAsia="黑体"/>
                                <w:b/>
                                <w:sz w:val="28"/>
                              </w:rPr>
                              <w:t xml:space="preserve">正本/副本</w:t>
                            </w:r>
                            <w:r/>
                          </w:p>
                        </w:txbxContent>
                      </wps:txbx>
                      <wps:bodyPr rot="0" vert="horz" wrap="square" lIns="91440" tIns="45720" rIns="91440" bIns="45720" anchor="t" anchorCtr="0" upright="1">
                        <a:noAutofit/>
                      </wps:bodyPr>
                    </wps:wsp>
                  </a:graphicData>
                </a:graphic>
              </wp:anchor>
            </w:drawing>
          </mc:Choice>
          <mc:Fallback>
            <w:pict>
              <v:shape id="shape 5" o:spid="_x0000_s5" o:spt="1" type="#_x0000_t1" style="position:absolute;z-index:251660288;o:allowoverlap:true;o:allowincell:true;mso-position-horizontal-relative:text;margin-left:362.9pt;mso-position-horizontal:absolute;mso-position-vertical-relative:text;margin-top:37.5pt;mso-position-vertical:absolute;width:88.9pt;height:35.0pt;mso-wrap-distance-left:9.0pt;mso-wrap-distance-top:0.0pt;mso-wrap-distance-right:9.0pt;mso-wrap-distance-bottom:0.0pt;v-text-anchor:top;visibility:visible;" fillcolor="#FFFFFF" strokecolor="#739CC3" strokeweight="1.25pt">
                <v:textbox inset="0,0,0,0">
                  <w:txbxContent>
                    <w:p>
                      <w:pPr>
                        <w:rPr>
                          <w:rFonts w:hint="eastAsia" w:ascii="黑体" w:hAnsi="黑体" w:eastAsia="黑体"/>
                          <w:b/>
                          <w:sz w:val="28"/>
                        </w:rPr>
                      </w:pPr>
                      <w:r>
                        <w:rPr>
                          <w:rFonts w:hint="eastAsia" w:ascii="黑体" w:hAnsi="黑体" w:eastAsia="黑体"/>
                          <w:b/>
                          <w:sz w:val="28"/>
                        </w:rPr>
                        <w:t xml:space="preserve">正本/副本</w:t>
                      </w:r>
                      <w:r/>
                    </w:p>
                  </w:txbxContent>
                </v:textbox>
              </v:shape>
            </w:pict>
          </mc:Fallback>
        </mc:AlternateContent>
      </w:r>
      <w:r/>
    </w:p>
    <w:p>
      <w:pPr>
        <w:pStyle w:val="1043"/>
      </w:pPr>
      <w:r>
        <w:t xml:space="preserve"> </w:t>
      </w:r>
      <w:r/>
    </w:p>
    <w:p>
      <w:pPr>
        <w:pStyle w:val="1043"/>
      </w:pPr>
      <w:r>
        <w:t xml:space="preserve"> </w:t>
      </w:r>
      <w:r/>
    </w:p>
    <w:p>
      <w:pPr>
        <w:pStyle w:val="1043"/>
      </w:pPr>
      <w:r>
        <w:t xml:space="preserve"> </w:t>
      </w:r>
      <w:r/>
    </w:p>
    <w:p>
      <w:pPr>
        <w:pStyle w:val="1043"/>
      </w:pPr>
      <w:r>
        <w:t xml:space="preserve"> </w:t>
      </w:r>
      <w:r/>
    </w:p>
    <w:p>
      <w:pPr>
        <w:pStyle w:val="1043"/>
      </w:pPr>
      <w:r/>
      <w:r/>
    </w:p>
    <w:p>
      <w:pPr>
        <w:pStyle w:val="1043"/>
      </w:pPr>
      <w:r>
        <w:t xml:space="preserve"> </w:t>
      </w:r>
      <w:r/>
    </w:p>
    <w:p>
      <w:pPr>
        <w:pStyle w:val="1043"/>
      </w:pPr>
      <w:r/>
      <w:r/>
    </w:p>
    <w:p>
      <w:pPr>
        <w:pStyle w:val="1043"/>
      </w:pPr>
      <w:r>
        <w:t xml:space="preserve"> </w:t>
      </w:r>
      <w:r/>
    </w:p>
    <w:p>
      <w:pPr>
        <w:pStyle w:val="1043"/>
      </w:pPr>
      <w:r>
        <w:t xml:space="preserve">竞争性</w:t>
      </w:r>
      <w:r>
        <w:rPr>
          <w:rFonts w:hint="eastAsia"/>
        </w:rPr>
        <w:t xml:space="preserve">谈判</w:t>
      </w:r>
      <w:r>
        <w:t xml:space="preserve">响应文件</w:t>
      </w:r>
      <w:r/>
    </w:p>
    <w:p>
      <w:pPr>
        <w:pStyle w:val="1043"/>
      </w:pPr>
      <w:r/>
      <w:r/>
    </w:p>
    <w:p>
      <w:pPr>
        <w:pStyle w:val="1043"/>
      </w:pPr>
      <w:r>
        <w:t xml:space="preserve">项目名称</w:t>
      </w:r>
      <w:r>
        <w:rPr>
          <w:rFonts w:hint="eastAsia"/>
        </w:rPr>
        <w:t xml:space="preserve">：紫金山实验室</w:t>
      </w:r>
      <w:r/>
    </w:p>
    <w:p>
      <w:pPr>
        <w:pStyle w:val="1043"/>
      </w:pPr>
      <w:r>
        <w:rPr>
          <w:rFonts w:hint="eastAsia"/>
        </w:rPr>
        <w:t xml:space="preserve">基于超远距离通信网络的无人机巡检系统及网络配套采购项目</w:t>
      </w:r>
      <w:r/>
    </w:p>
    <w:p>
      <w:pPr>
        <w:pStyle w:val="1043"/>
      </w:pPr>
      <w:r/>
      <w:r/>
    </w:p>
    <w:p>
      <w:pPr>
        <w:pStyle w:val="1043"/>
      </w:pPr>
      <w:r/>
      <w:r/>
    </w:p>
    <w:p>
      <w:pPr>
        <w:pStyle w:val="1043"/>
      </w:pPr>
      <w:r/>
      <w:r/>
    </w:p>
    <w:p>
      <w:pPr>
        <w:pStyle w:val="1043"/>
      </w:pPr>
      <w:r/>
      <w:r/>
    </w:p>
    <w:p>
      <w:pPr>
        <w:pStyle w:val="1043"/>
        <w:jc w:val="both"/>
      </w:pPr>
      <w:r/>
      <w:r/>
    </w:p>
    <w:p>
      <w:pPr>
        <w:pStyle w:val="1043"/>
      </w:pPr>
      <w:r/>
      <w:r/>
    </w:p>
    <w:p>
      <w:pPr>
        <w:pStyle w:val="1043"/>
      </w:pPr>
      <w:r>
        <w:t xml:space="preserve">供应商：（盖单位章） </w:t>
      </w:r>
      <w:r/>
    </w:p>
    <w:p>
      <w:pPr>
        <w:pStyle w:val="1043"/>
      </w:pPr>
      <w:r>
        <w:t xml:space="preserve">法定代表人或其委托代理人：（签字） </w:t>
      </w:r>
      <w:r/>
    </w:p>
    <w:p>
      <w:pPr>
        <w:pStyle w:val="1043"/>
      </w:pPr>
      <w:r>
        <w:t xml:space="preserve">年 </w:t>
      </w:r>
      <w:r>
        <w:rPr>
          <w:spacing w:val="-3"/>
        </w:rPr>
        <w:t xml:space="preserve">月</w:t>
      </w:r>
      <w:r>
        <w:rPr>
          <w:spacing w:val="3"/>
        </w:rPr>
        <w:t xml:space="preserve"> </w:t>
      </w:r>
      <w:r>
        <w:t xml:space="preserve">日</w:t>
      </w:r>
      <w:bookmarkEnd w:id="112"/>
      <w:r/>
      <w:bookmarkEnd w:id="113"/>
      <w:r/>
      <w:bookmarkEnd w:id="114"/>
      <w:r/>
      <w:r/>
    </w:p>
    <w:p>
      <w:pPr>
        <w:rPr>
          <w:rFonts w:hint="eastAsia" w:ascii="宋体" w:hAnsi="宋体"/>
          <w:b/>
          <w:bCs/>
          <w:sz w:val="32"/>
          <w:szCs w:val="32"/>
        </w:rPr>
      </w:pPr>
      <w:r>
        <w:rPr>
          <w:rFonts w:hint="eastAsia"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目录</w:t>
      </w:r>
      <w:r/>
    </w:p>
    <w:p>
      <w:pPr>
        <w:pStyle w:val="1043"/>
      </w:pPr>
      <w:r>
        <w:rPr>
          <w:rFonts w:hint="eastAsia"/>
        </w:rPr>
        <w:t xml:space="preserve">（注：供应商根据附件顺序编制谈判响应文件并制作目录（须生成页码））</w:t>
      </w:r>
      <w:r/>
    </w:p>
    <w:p>
      <w:pPr>
        <w:pStyle w:val="1043"/>
      </w:pPr>
      <w:r/>
      <w:r/>
    </w:p>
    <w:p>
      <w:pPr>
        <w:pStyle w:val="1026"/>
        <w:jc w:val="left"/>
        <w:spacing w:before="145" w:after="145" w:line="360" w:lineRule="auto"/>
        <w:rPr>
          <w:b w:val="0"/>
          <w:sz w:val="32"/>
          <w:szCs w:val="32"/>
        </w:rPr>
      </w:pPr>
      <w:r>
        <w:rPr>
          <w:rFonts w:ascii="宋体" w:hAnsi="宋体"/>
          <w:b w:val="0"/>
          <w:sz w:val="32"/>
          <w:szCs w:val="32"/>
        </w:rPr>
        <w:br w:type="page" w:clear="all"/>
      </w:r>
      <w:bookmarkStart w:id="115" w:name="_Toc21781755"/>
      <w:r/>
      <w:bookmarkStart w:id="116" w:name="_Toc24962240"/>
      <w:r>
        <w:rPr>
          <w:rFonts w:hint="eastAsia" w:ascii="宋体" w:hAnsi="宋体" w:eastAsia="宋体"/>
          <w:sz w:val="28"/>
          <w:szCs w:val="28"/>
        </w:rPr>
        <w:t xml:space="preserve">附件一、</w:t>
      </w:r>
      <w:bookmarkStart w:id="117" w:name="_Hlk21784954"/>
      <w:r>
        <w:rPr>
          <w:rFonts w:hint="eastAsia" w:ascii="宋体" w:hAnsi="宋体" w:eastAsia="宋体"/>
          <w:sz w:val="28"/>
          <w:szCs w:val="28"/>
        </w:rPr>
        <w:t xml:space="preserve">竞争性谈判申请及声明</w:t>
      </w:r>
      <w:bookmarkEnd w:id="115"/>
      <w:r/>
      <w:bookmarkEnd w:id="116"/>
      <w:r/>
      <w:bookmarkEnd w:id="117"/>
      <w:r/>
      <w:r/>
    </w:p>
    <w:p>
      <w:pPr>
        <w:pStyle w:val="1198"/>
        <w:ind w:firstLine="0"/>
        <w:jc w:val="center"/>
        <w:spacing w:before="0" w:after="0" w:line="400" w:lineRule="exact"/>
        <w:rPr>
          <w:rFonts w:ascii="Times New Roman" w:hAnsi="Times New Roman"/>
          <w:b/>
          <w:bCs/>
          <w:sz w:val="28"/>
          <w:szCs w:val="22"/>
        </w:rPr>
      </w:pPr>
      <w:r/>
      <w:bookmarkStart w:id="118" w:name="OLE_LINK4"/>
      <w:r/>
      <w:bookmarkStart w:id="119" w:name="OLE_LINK5"/>
      <w:r>
        <w:rPr>
          <w:rFonts w:hint="eastAsia" w:ascii="Times New Roman" w:hAnsi="Times New Roman"/>
          <w:b/>
          <w:bCs/>
          <w:sz w:val="28"/>
          <w:szCs w:val="22"/>
        </w:rPr>
        <w:t xml:space="preserve">竞争性谈判申请及声明</w:t>
      </w:r>
      <w:bookmarkEnd w:id="118"/>
      <w:r/>
      <w:r/>
    </w:p>
    <w:p>
      <w:pPr>
        <w:pStyle w:val="1198"/>
        <w:ind w:firstLine="0"/>
        <w:jc w:val="center"/>
        <w:spacing w:before="0" w:after="0" w:line="400" w:lineRule="exact"/>
        <w:rPr>
          <w:rFonts w:ascii="Times New Roman" w:hAnsi="Times New Roman"/>
          <w:b/>
          <w:bCs/>
          <w:sz w:val="28"/>
          <w:szCs w:val="22"/>
        </w:rPr>
      </w:pPr>
      <w:r>
        <w:rPr>
          <w:rFonts w:ascii="Times New Roman" w:hAnsi="Times New Roman"/>
          <w:b/>
          <w:bCs/>
          <w:sz w:val="28"/>
          <w:szCs w:val="22"/>
        </w:rPr>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致：紫金山实验室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根据贵方</w:t>
      </w:r>
      <w:r>
        <w:rPr>
          <w:rFonts w:hint="eastAsia" w:ascii="Times New Roman" w:hAnsi="Times New Roman"/>
          <w:szCs w:val="21"/>
          <w:u w:val="single"/>
        </w:rPr>
        <w:t xml:space="preserve">                            </w:t>
      </w:r>
      <w:r>
        <w:rPr>
          <w:rFonts w:hint="eastAsia" w:ascii="Times New Roman" w:hAnsi="Times New Roman"/>
          <w:szCs w:val="21"/>
        </w:rPr>
        <w:t xml:space="preserve">（项目名称）</w:t>
      </w:r>
      <w:r>
        <w:rPr>
          <w:rFonts w:hint="eastAsia" w:ascii="Times New Roman" w:hAnsi="Times New Roman"/>
          <w:szCs w:val="21"/>
          <w:u w:val="single"/>
        </w:rPr>
        <w:t xml:space="preserve">           </w:t>
      </w:r>
      <w:r>
        <w:rPr>
          <w:rFonts w:hint="eastAsia" w:ascii="Times New Roman" w:hAnsi="Times New Roman"/>
          <w:szCs w:val="21"/>
        </w:rPr>
        <w:t xml:space="preserve">（项目编号）竞争性谈判公告，正式授权下述签字人</w:t>
      </w:r>
      <w:r>
        <w:rPr>
          <w:rFonts w:hint="eastAsia" w:ascii="Times New Roman" w:hAnsi="Times New Roman"/>
          <w:szCs w:val="21"/>
          <w:u w:val="single"/>
        </w:rPr>
        <w:t xml:space="preserve">                 </w:t>
      </w:r>
      <w:r>
        <w:rPr>
          <w:rFonts w:hint="eastAsia" w:ascii="Times New Roman" w:hAnsi="Times New Roman"/>
          <w:szCs w:val="21"/>
        </w:rPr>
        <w:t xml:space="preserve"> （姓名和职务）代表</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rPr>
        <w:t xml:space="preserve">（供应商名称），提交响应性文件并参加谈判。据此函，签字人兹宣布同意如下：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1、我们的资格条件完全符合政府采购法和本次采购要求，我们同意并向贵方提供了与本次采购活动有关的所有证据和资料。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2、总报价为（大写）             元。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3、我们的报价产品中    （有或无）进口产品（服务）。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4、我们已详细阅读全部谈判文件及其有效补充文件，我们放弃对谈判文件任何误解的 权利，提交响应文件后，不对谈判文件本身提出质疑。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5、一旦我方成交，我方将根据谈判文件的规定，严格履行合同，保证于承诺的时间内 完成货物的启动、调试等服务，并交付采购人验收、使用。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6、我方决不提供虚假材料谋取成交、决不采取不正当手段诋毁、排挤其他供应商、决 不与采购人、其它供应商或者采购代理机构恶意串通、决不向采购人、采购代理机构工作人 员和谈判小组进行商业贿赂、决不拒绝有关部门监督检查或提供虚假情况，如有违反，无条件接受贵方及相关管理部门的处罚。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7、我方正式通讯方式为：</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地     址：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电     话：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8、我方正式开户银行和账号为：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开户银行：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账    号：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供应商授权代表姓名（签字或签章）：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供应商名称（公章）：                  </w:t>
      </w:r>
      <w:r/>
    </w:p>
    <w:p>
      <w:pPr>
        <w:pStyle w:val="1198"/>
        <w:ind w:firstLine="482"/>
        <w:spacing w:before="0" w:after="0" w:line="400" w:lineRule="exact"/>
        <w:rPr>
          <w:rFonts w:ascii="Times New Roman" w:hAnsi="Times New Roman"/>
          <w:szCs w:val="21"/>
        </w:rPr>
      </w:pPr>
      <w:r>
        <w:rPr>
          <w:rFonts w:hint="eastAsia" w:ascii="Times New Roman" w:hAnsi="Times New Roman"/>
          <w:szCs w:val="21"/>
        </w:rPr>
        <w:t xml:space="preserve">日    期：       年    月   日</w:t>
      </w:r>
      <w:bookmarkEnd w:id="119"/>
      <w:r/>
      <w:r/>
    </w:p>
    <w:p>
      <w:pPr>
        <w:pStyle w:val="1026"/>
        <w:jc w:val="left"/>
        <w:spacing w:before="145" w:after="145" w:line="360" w:lineRule="auto"/>
        <w:rPr>
          <w:rFonts w:hint="eastAsia" w:ascii="宋体" w:hAnsi="宋体" w:eastAsia="宋体"/>
          <w:sz w:val="32"/>
          <w:szCs w:val="32"/>
        </w:rPr>
      </w:pPr>
      <w:r>
        <w:rPr>
          <w:rFonts w:ascii="宋体" w:hAnsi="宋体"/>
          <w:b w:val="0"/>
          <w:sz w:val="32"/>
          <w:szCs w:val="32"/>
        </w:rPr>
        <w:br w:type="page" w:clear="all"/>
      </w:r>
      <w:bookmarkStart w:id="120" w:name="_Toc21781756"/>
      <w:r/>
      <w:bookmarkStart w:id="121" w:name="_Toc24962241"/>
      <w:r>
        <w:rPr>
          <w:rFonts w:hint="eastAsia" w:ascii="宋体" w:hAnsi="宋体" w:eastAsia="宋体"/>
          <w:sz w:val="28"/>
          <w:szCs w:val="28"/>
        </w:rPr>
        <w:t xml:space="preserve">附件二、</w:t>
      </w:r>
      <w:bookmarkStart w:id="122" w:name="OLE_LINK6"/>
      <w:r>
        <w:rPr>
          <w:rFonts w:hint="eastAsia" w:ascii="宋体" w:hAnsi="宋体" w:eastAsia="宋体"/>
          <w:sz w:val="28"/>
          <w:szCs w:val="28"/>
        </w:rPr>
        <w:t xml:space="preserve">法定代表人授权书及身份证</w:t>
      </w:r>
      <w:bookmarkEnd w:id="120"/>
      <w:r>
        <w:rPr>
          <w:rFonts w:hint="eastAsia" w:ascii="宋体" w:hAnsi="宋体" w:eastAsia="宋体"/>
          <w:sz w:val="28"/>
          <w:szCs w:val="28"/>
        </w:rPr>
        <w:t xml:space="preserve">复印件</w:t>
      </w:r>
      <w:bookmarkEnd w:id="121"/>
      <w:r/>
      <w:bookmarkEnd w:id="122"/>
      <w:r/>
      <w:r/>
    </w:p>
    <w:p>
      <w:pPr>
        <w:jc w:val="center"/>
        <w:spacing w:line="400" w:lineRule="exact"/>
        <w:rPr>
          <w:rFonts w:hint="eastAsia" w:ascii="宋体" w:hAnsi="宋体"/>
          <w:b/>
          <w:bCs/>
          <w:sz w:val="28"/>
          <w:szCs w:val="28"/>
        </w:rPr>
      </w:pPr>
      <w:r/>
      <w:bookmarkStart w:id="123" w:name="OLE_LINK7"/>
      <w:r>
        <w:rPr>
          <w:rFonts w:hint="eastAsia" w:ascii="宋体" w:hAnsi="宋体"/>
          <w:b/>
          <w:bCs/>
          <w:sz w:val="28"/>
          <w:szCs w:val="28"/>
        </w:rPr>
        <w:t xml:space="preserve">法定代表人授权书</w:t>
      </w:r>
      <w:r/>
    </w:p>
    <w:p>
      <w:pPr>
        <w:spacing w:line="400" w:lineRule="exact"/>
        <w:rPr>
          <w:rFonts w:hint="eastAsia" w:ascii="宋体" w:hAnsi="宋体"/>
          <w:sz w:val="24"/>
          <w:szCs w:val="24"/>
        </w:rPr>
      </w:pPr>
      <w:r>
        <w:rPr>
          <w:rFonts w:ascii="宋体" w:hAnsi="宋体"/>
          <w:sz w:val="24"/>
          <w:szCs w:val="24"/>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本授权书声明： 注册于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（供应商住址） 的</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（供应商名称）法定代表人</w:t>
      </w:r>
      <w:r>
        <w:rPr>
          <w:rFonts w:hint="eastAsia" w:ascii="宋体" w:hAnsi="宋体"/>
          <w:sz w:val="24"/>
          <w:szCs w:val="24"/>
          <w:u w:val="single"/>
        </w:rPr>
        <w:t xml:space="preserve">        </w:t>
      </w:r>
      <w:r>
        <w:rPr>
          <w:rFonts w:hint="eastAsia" w:ascii="宋体" w:hAnsi="宋体"/>
          <w:sz w:val="24"/>
          <w:szCs w:val="24"/>
        </w:rPr>
        <w:t xml:space="preserve">（法定代表人姓名、职务）代表本公司授权在下面签字的</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（供应商代表姓名、职务）为本公司的合法代理人，就贵方组织的</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（项目名称</w:t>
      </w:r>
      <w:r>
        <w:rPr>
          <w:rFonts w:ascii="宋体" w:hAnsi="宋体"/>
          <w:sz w:val="24"/>
          <w:szCs w:val="24"/>
        </w:rPr>
        <w:t xml:space="preserve">）</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 进行竞争性谈判，以本公司名义处理一切与之有关的事务。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本授权书于 </w:t>
      </w:r>
      <w:r>
        <w:rPr>
          <w:rFonts w:ascii="宋体" w:hAnsi="宋体"/>
          <w:sz w:val="24"/>
          <w:szCs w:val="24"/>
        </w:rPr>
        <w:t xml:space="preserve"> </w:t>
      </w:r>
      <w:r>
        <w:rPr>
          <w:rFonts w:hint="eastAsia" w:ascii="宋体" w:hAnsi="宋体"/>
          <w:sz w:val="24"/>
          <w:szCs w:val="24"/>
        </w:rPr>
        <w:t xml:space="preserve"> 年 </w:t>
      </w:r>
      <w:r>
        <w:rPr>
          <w:rFonts w:ascii="宋体" w:hAnsi="宋体"/>
          <w:sz w:val="24"/>
          <w:szCs w:val="24"/>
        </w:rPr>
        <w:t xml:space="preserve"> </w:t>
      </w:r>
      <w:r>
        <w:rPr>
          <w:rFonts w:hint="eastAsia" w:ascii="宋体" w:hAnsi="宋体"/>
          <w:sz w:val="24"/>
          <w:szCs w:val="24"/>
        </w:rPr>
        <w:t xml:space="preserve">月  日签字或签章生效，特此声明。 </w:t>
      </w:r>
      <w:r/>
    </w:p>
    <w:p>
      <w:pPr>
        <w:ind w:firstLine="480"/>
        <w:spacing w:line="400" w:lineRule="exact"/>
        <w:rPr>
          <w:rFonts w:hint="eastAsia" w:ascii="宋体" w:hAnsi="宋体"/>
          <w:sz w:val="24"/>
          <w:szCs w:val="24"/>
        </w:rPr>
      </w:pPr>
      <w:r>
        <w:rPr>
          <w:rFonts w:hint="eastAsia" w:ascii="宋体" w:hAnsi="宋体"/>
          <w:sz w:val="24"/>
          <w:szCs w:val="24"/>
        </w:rPr>
        <w:t xml:space="preserve">法定代表人签字或签章： </w:t>
      </w:r>
      <w:r/>
    </w:p>
    <w:p>
      <w:pPr>
        <w:ind w:firstLine="480"/>
        <w:spacing w:line="400" w:lineRule="exact"/>
        <w:rPr>
          <w:rFonts w:hint="eastAsia" w:ascii="宋体" w:hAnsi="宋体"/>
          <w:sz w:val="24"/>
          <w:szCs w:val="24"/>
        </w:rPr>
      </w:pPr>
      <w:r>
        <w:rPr>
          <w:rFonts w:hint="eastAsia" w:ascii="宋体" w:hAnsi="宋体"/>
          <w:sz w:val="24"/>
          <w:szCs w:val="24"/>
        </w:rPr>
        <w:t xml:space="preserve">被授权人签字：     </w:t>
      </w:r>
      <w:r/>
    </w:p>
    <w:p>
      <w:pPr>
        <w:ind w:firstLine="480"/>
        <w:spacing w:line="400" w:lineRule="exact"/>
        <w:rPr>
          <w:rFonts w:hint="eastAsia" w:ascii="宋体" w:hAnsi="宋体"/>
          <w:sz w:val="24"/>
          <w:szCs w:val="24"/>
        </w:rPr>
      </w:pPr>
      <w:r>
        <w:rPr>
          <w:rFonts w:hint="eastAsia" w:ascii="宋体" w:hAnsi="宋体"/>
          <w:sz w:val="24"/>
          <w:szCs w:val="24"/>
        </w:rPr>
        <w:t xml:space="preserve">供应商盖章：                 </w:t>
      </w:r>
      <w:r/>
    </w:p>
    <w:p>
      <w:pPr>
        <w:ind w:firstLine="480"/>
        <w:spacing w:line="400" w:lineRule="exact"/>
        <w:rPr>
          <w:rFonts w:hint="eastAsia" w:ascii="宋体" w:hAnsi="宋体"/>
          <w:sz w:val="24"/>
          <w:szCs w:val="24"/>
        </w:rPr>
      </w:pPr>
      <w:r>
        <w:rPr>
          <w:rFonts w:hint="eastAsia" w:ascii="宋体" w:hAnsi="宋体"/>
          <w:sz w:val="24"/>
          <w:szCs w:val="24"/>
        </w:rPr>
        <w:t xml:space="preserve">日        期：        年    月    日 </w:t>
      </w:r>
      <w:r/>
    </w:p>
    <w:p>
      <w:pPr>
        <w:spacing w:line="400" w:lineRule="exact"/>
        <w:rPr>
          <w:rFonts w:hint="eastAsia" w:ascii="宋体" w:hAnsi="宋体"/>
          <w:sz w:val="24"/>
          <w:szCs w:val="24"/>
        </w:rPr>
      </w:pPr>
      <w:r>
        <w:rPr>
          <w:rFonts w:ascii="宋体" w:hAnsi="宋体"/>
          <w:sz w:val="24"/>
          <w:szCs w:val="24"/>
        </w:rPr>
        <w:t xml:space="preserve"> </w:t>
      </w:r>
      <w:r/>
    </w:p>
    <w:p>
      <w:pPr>
        <w:spacing w:line="400" w:lineRule="exact"/>
        <w:rPr>
          <w:rFonts w:hint="eastAsia" w:ascii="宋体" w:hAnsi="宋体"/>
          <w:b/>
          <w:bCs/>
          <w:sz w:val="24"/>
          <w:szCs w:val="24"/>
        </w:rPr>
      </w:pPr>
      <w:r>
        <w:rPr>
          <w:rFonts w:hint="eastAsia" w:ascii="宋体" w:hAnsi="宋体"/>
          <w:b/>
          <w:bCs/>
          <w:sz w:val="24"/>
          <w:szCs w:val="24"/>
        </w:rPr>
      </w:r>
      <w:r/>
    </w:p>
    <w:p>
      <w:pPr>
        <w:spacing w:line="400" w:lineRule="exact"/>
        <w:rPr>
          <w:rFonts w:hint="eastAsia" w:ascii="宋体" w:hAnsi="宋体"/>
          <w:b/>
          <w:bCs/>
          <w:sz w:val="24"/>
          <w:szCs w:val="24"/>
        </w:rPr>
      </w:pPr>
      <w:r>
        <w:rPr>
          <w:rFonts w:hint="eastAsia" w:ascii="宋体" w:hAnsi="宋体"/>
          <w:b/>
          <w:bCs/>
          <w:sz w:val="24"/>
          <w:szCs w:val="24"/>
        </w:rPr>
        <w:t xml:space="preserve">法定代表人、被授权人的身份证明文件的复印件：</w:t>
      </w:r>
      <w:r/>
    </w:p>
    <w:p>
      <w:pPr>
        <w:spacing w:line="360" w:lineRule="auto"/>
        <w:rPr>
          <w:rFonts w:hint="eastAsia" w:ascii="宋体" w:hAnsi="宋体" w:eastAsia="PMingLiU"/>
          <w:color w:val="000000"/>
          <w:sz w:val="24"/>
          <w:szCs w:val="24"/>
        </w:rPr>
      </w:pPr>
      <w:r>
        <w:rPr>
          <w:rFonts w:hint="eastAsia" w:ascii="宋体" w:hAnsi="宋体"/>
          <w:color w:val="000000"/>
          <w:sz w:val="24"/>
          <w:szCs w:val="24"/>
        </w:rPr>
        <w:t xml:space="preserve">附：</w:t>
      </w:r>
      <w:r>
        <w:rPr>
          <w:rFonts w:ascii="宋体" w:hAnsi="宋体"/>
          <w:bCs/>
          <w:color w:val="000000"/>
          <w:sz w:val="24"/>
          <w:szCs w:val="24"/>
        </w:rPr>
        <w:t xml:space="preserve">法人</w:t>
      </w:r>
      <w:r>
        <w:rPr>
          <w:rFonts w:hint="eastAsia" w:ascii="宋体" w:hAnsi="宋体"/>
          <w:color w:val="000000"/>
          <w:sz w:val="24"/>
          <w:szCs w:val="24"/>
        </w:rPr>
        <w:t xml:space="preserve">身份证复印件（需同时提供正面及背面）</w:t>
      </w:r>
      <w:r/>
    </w:p>
    <w:tbl>
      <w:tblPr>
        <w:tblStyle w:val="1035"/>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jc w:val="center"/>
              <w:rPr>
                <w:rFonts w:hint="eastAsia" w:ascii="宋体" w:hAnsi="宋体"/>
                <w:color w:val="000000"/>
                <w:sz w:val="24"/>
                <w:szCs w:val="24"/>
              </w:rPr>
            </w:pPr>
            <w:r>
              <w:rPr>
                <w:rFonts w:ascii="宋体" w:hAnsi="宋体"/>
                <w:bCs/>
                <w:color w:val="000000"/>
                <w:sz w:val="24"/>
                <w:szCs w:val="24"/>
              </w:rPr>
              <w:t xml:space="preserve">法人</w:t>
            </w:r>
            <w:r>
              <w:rPr>
                <w:rFonts w:hint="eastAsia" w:ascii="宋体" w:hAnsi="宋体"/>
                <w:color w:val="000000"/>
                <w:sz w:val="24"/>
                <w:szCs w:val="24"/>
              </w:rPr>
              <w:t xml:space="preserve">身份证复印件正面</w:t>
            </w:r>
            <w:r/>
          </w:p>
        </w:tc>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jc w:val="center"/>
              <w:rPr>
                <w:rFonts w:hint="eastAsia" w:ascii="宋体" w:hAnsi="宋体"/>
                <w:color w:val="000000"/>
                <w:sz w:val="24"/>
                <w:szCs w:val="24"/>
              </w:rPr>
            </w:pPr>
            <w:r>
              <w:rPr>
                <w:rFonts w:ascii="宋体" w:hAnsi="宋体"/>
                <w:bCs/>
                <w:color w:val="000000"/>
                <w:sz w:val="24"/>
                <w:szCs w:val="24"/>
              </w:rPr>
              <w:t xml:space="preserve">法人</w:t>
            </w:r>
            <w:r>
              <w:rPr>
                <w:rFonts w:hint="eastAsia" w:ascii="宋体" w:hAnsi="宋体"/>
                <w:color w:val="000000"/>
                <w:sz w:val="24"/>
                <w:szCs w:val="24"/>
              </w:rPr>
              <w:t xml:space="preserve">身份证复印件背面</w:t>
            </w:r>
            <w:r/>
          </w:p>
        </w:tc>
      </w:tr>
    </w:tbl>
    <w:p>
      <w:pPr>
        <w:ind w:firstLine="482"/>
        <w:spacing w:line="360" w:lineRule="auto"/>
        <w:rPr>
          <w:rFonts w:hint="eastAsia" w:ascii="宋体" w:hAnsi="宋体" w:eastAsia="PMingLiU"/>
          <w:color w:val="000000"/>
          <w:sz w:val="24"/>
          <w:szCs w:val="24"/>
        </w:rPr>
      </w:pPr>
      <w:r>
        <w:rPr>
          <w:rFonts w:hint="eastAsia" w:ascii="宋体" w:hAnsi="宋体" w:eastAsia="PMingLiU"/>
          <w:color w:val="000000"/>
          <w:sz w:val="24"/>
          <w:szCs w:val="24"/>
        </w:rPr>
        <w:t xml:space="preserve"> </w:t>
      </w:r>
      <w:r/>
    </w:p>
    <w:p>
      <w:pPr>
        <w:ind w:firstLine="482"/>
        <w:spacing w:line="360" w:lineRule="auto"/>
        <w:rPr>
          <w:rFonts w:hint="eastAsia" w:ascii="宋体" w:hAnsi="宋体" w:eastAsia="PMingLiU"/>
          <w:color w:val="000000"/>
          <w:sz w:val="24"/>
          <w:szCs w:val="24"/>
        </w:rPr>
      </w:pPr>
      <w:r>
        <w:rPr>
          <w:rFonts w:hint="eastAsia" w:ascii="宋体" w:hAnsi="宋体" w:eastAsia="PMingLiU"/>
          <w:color w:val="000000"/>
          <w:sz w:val="24"/>
          <w:szCs w:val="24"/>
        </w:rPr>
        <w:t xml:space="preserve"> </w:t>
      </w:r>
      <w:r/>
    </w:p>
    <w:p>
      <w:pPr>
        <w:spacing w:line="360" w:lineRule="auto"/>
        <w:rPr>
          <w:rFonts w:hint="eastAsia" w:ascii="宋体" w:hAnsi="宋体" w:eastAsia="PMingLiU"/>
          <w:color w:val="000000"/>
          <w:sz w:val="24"/>
          <w:szCs w:val="24"/>
        </w:rPr>
      </w:pPr>
      <w:r>
        <w:rPr>
          <w:rFonts w:hint="eastAsia" w:ascii="宋体" w:hAnsi="宋体"/>
          <w:color w:val="000000"/>
          <w:sz w:val="24"/>
          <w:szCs w:val="24"/>
        </w:rPr>
        <w:t xml:space="preserve">附：委托代理人身份证复印件（需同时提供正面及背面）</w:t>
      </w:r>
      <w:r/>
    </w:p>
    <w:tbl>
      <w:tblPr>
        <w:tblStyle w:val="1035"/>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代理人身份证复印件正面</w:t>
            </w:r>
            <w:r/>
          </w:p>
        </w:tc>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代理人身份证复印件背面</w:t>
            </w:r>
            <w:bookmarkEnd w:id="123"/>
            <w:r/>
            <w:r/>
          </w:p>
        </w:tc>
      </w:tr>
    </w:tbl>
    <w:p>
      <w:pPr>
        <w:pStyle w:val="1026"/>
        <w:jc w:val="left"/>
        <w:spacing w:before="145" w:after="145" w:line="360" w:lineRule="auto"/>
        <w:rPr>
          <w:rFonts w:hint="eastAsia" w:ascii="宋体" w:hAnsi="宋体" w:eastAsia="宋体"/>
          <w:sz w:val="28"/>
          <w:szCs w:val="28"/>
        </w:rPr>
      </w:pPr>
      <w:r/>
      <w:bookmarkStart w:id="124" w:name="_Toc21781757"/>
      <w:r/>
      <w:bookmarkStart w:id="125" w:name="_Toc24962242"/>
      <w:r/>
      <w:bookmarkStart w:id="126" w:name="_Toc21781758"/>
      <w:r/>
      <w:bookmarkStart w:id="127" w:name="_Toc24962243"/>
      <w:r>
        <w:rPr>
          <w:rFonts w:hint="eastAsia" w:ascii="宋体" w:hAnsi="宋体" w:eastAsia="宋体"/>
          <w:sz w:val="28"/>
          <w:szCs w:val="28"/>
        </w:rPr>
        <w:t xml:space="preserve">附件三、营业执照</w:t>
      </w:r>
      <w:bookmarkEnd w:id="124"/>
      <w:r/>
      <w:bookmarkStart w:id="128" w:name="_Toc231787673"/>
      <w:r/>
      <w:bookmarkEnd w:id="128"/>
      <w:r/>
      <w:bookmarkStart w:id="129" w:name="_Toc164497044"/>
      <w:r/>
      <w:bookmarkEnd w:id="129"/>
      <w:r/>
      <w:bookmarkStart w:id="130" w:name="_Toc322444605"/>
      <w:r/>
      <w:bookmarkEnd w:id="130"/>
      <w:r/>
      <w:bookmarkStart w:id="131" w:name="_Toc264974211"/>
      <w:r/>
      <w:bookmarkEnd w:id="131"/>
      <w:r>
        <w:rPr>
          <w:rFonts w:hint="eastAsia" w:ascii="宋体" w:hAnsi="宋体" w:eastAsia="宋体"/>
          <w:sz w:val="28"/>
          <w:szCs w:val="28"/>
        </w:rPr>
        <w:t xml:space="preserve">复印件</w:t>
      </w:r>
      <w:bookmarkEnd w:id="125"/>
      <w:r/>
      <w:r/>
    </w:p>
    <w:p>
      <w:pPr>
        <w:pStyle w:val="1274"/>
        <w:rPr>
          <w:rFonts w:eastAsia="宋体"/>
        </w:rPr>
      </w:pPr>
      <w:r>
        <w:rPr>
          <w:rFonts w:eastAsia="宋体"/>
        </w:rPr>
      </w:r>
      <w:r/>
    </w:p>
    <w:p>
      <w:pPr>
        <w:pStyle w:val="1274"/>
        <w:rPr>
          <w:rFonts w:eastAsia="宋体"/>
        </w:rPr>
      </w:pPr>
      <w:r>
        <w:rPr>
          <w:rFonts w:eastAsia="宋体"/>
        </w:rPr>
      </w:r>
      <w:r/>
    </w:p>
    <w:p>
      <w:pPr>
        <w:pStyle w:val="1274"/>
        <w:rPr>
          <w:rFonts w:eastAsia="宋体"/>
        </w:rPr>
      </w:pPr>
      <w:r>
        <w:rPr>
          <w:rFonts w:eastAsia="宋体"/>
        </w:rPr>
      </w:r>
      <w:r/>
    </w:p>
    <w:p>
      <w:pPr>
        <w:pStyle w:val="1274"/>
        <w:rPr>
          <w:rFonts w:hint="eastAsia" w:ascii="宋体" w:hAnsi="宋体" w:eastAsia="宋体"/>
          <w:sz w:val="28"/>
          <w:szCs w:val="28"/>
        </w:rPr>
      </w:pPr>
      <w:r>
        <w:rPr>
          <w:rFonts w:hint="eastAsia" w:ascii="宋体" w:hAnsi="宋体" w:eastAsia="宋体"/>
          <w:sz w:val="28"/>
          <w:szCs w:val="28"/>
        </w:rPr>
      </w:r>
      <w:r/>
    </w:p>
    <w:p>
      <w:r/>
      <w:r/>
    </w:p>
    <w:p>
      <w:r/>
      <w:r/>
    </w:p>
    <w:p>
      <w:r/>
      <w:r/>
    </w:p>
    <w:p>
      <w:pPr>
        <w:pStyle w:val="1026"/>
        <w:jc w:val="left"/>
        <w:spacing w:before="145" w:after="145" w:line="360" w:lineRule="auto"/>
        <w:rPr>
          <w:rFonts w:hint="eastAsia" w:ascii="宋体" w:hAnsi="宋体" w:eastAsia="宋体"/>
          <w:sz w:val="28"/>
          <w:szCs w:val="28"/>
        </w:rPr>
      </w:pPr>
      <w:r>
        <w:rPr>
          <w:rFonts w:ascii="宋体" w:hAnsi="宋体" w:eastAsia="宋体"/>
          <w:sz w:val="28"/>
          <w:szCs w:val="28"/>
        </w:rPr>
        <w:br w:type="page" w:clear="all"/>
      </w:r>
      <w:r>
        <w:rPr>
          <w:rFonts w:hint="eastAsia" w:ascii="宋体" w:hAnsi="宋体" w:eastAsia="宋体"/>
          <w:sz w:val="28"/>
          <w:szCs w:val="28"/>
        </w:rPr>
        <w:t xml:space="preserve">附件四、资格资信证明文件</w:t>
      </w:r>
      <w:bookmarkEnd w:id="126"/>
      <w:r/>
      <w:bookmarkEnd w:id="127"/>
      <w:r/>
      <w:r/>
    </w:p>
    <w:p>
      <w:pPr>
        <w:pStyle w:val="1026"/>
        <w:jc w:val="left"/>
        <w:spacing w:before="145" w:after="145" w:line="360" w:lineRule="auto"/>
        <w:rPr>
          <w:rFonts w:hint="eastAsia" w:ascii="宋体" w:hAnsi="宋体" w:eastAsia="宋体"/>
          <w:sz w:val="28"/>
          <w:szCs w:val="28"/>
        </w:rPr>
      </w:pPr>
      <w:r/>
      <w:bookmarkStart w:id="132" w:name="_Toc24962248"/>
      <w:r/>
      <w:bookmarkStart w:id="133" w:name="_Toc21781763"/>
      <w:r/>
      <w:bookmarkStart w:id="134" w:name="_Toc49090577"/>
      <w:r/>
      <w:bookmarkStart w:id="135" w:name="_Toc26554095"/>
      <w:r/>
      <w:bookmarkStart w:id="136" w:name="_Toc513029276"/>
      <w:r/>
      <w:bookmarkStart w:id="137" w:name="_Toc120614283"/>
      <w:r/>
      <w:bookmarkStart w:id="138" w:name="_Toc22356580"/>
      <w:r/>
      <w:bookmarkStart w:id="139" w:name="_Toc23828478"/>
      <w:r/>
      <w:bookmarkStart w:id="140" w:name="_Toc460901585"/>
      <w:r>
        <w:rPr>
          <w:rFonts w:ascii="宋体" w:hAnsi="宋体" w:eastAsia="宋体"/>
          <w:sz w:val="28"/>
          <w:szCs w:val="28"/>
        </w:rPr>
        <w:br w:type="page" w:clear="all"/>
      </w:r>
      <w:r>
        <w:rPr>
          <w:rFonts w:hint="eastAsia" w:ascii="宋体" w:hAnsi="宋体" w:eastAsia="宋体"/>
          <w:sz w:val="28"/>
          <w:szCs w:val="28"/>
        </w:rPr>
        <w:t xml:space="preserve">附件五、无重大违法记录声明格式</w:t>
      </w:r>
      <w:r/>
    </w:p>
    <w:p>
      <w:pPr>
        <w:pStyle w:val="1043"/>
      </w:pPr>
      <w:r>
        <w:rPr>
          <w:rFonts w:hint="eastAsia"/>
        </w:rPr>
        <w:t xml:space="preserve">无重大违法记录声明</w:t>
      </w:r>
      <w:r/>
    </w:p>
    <w:p>
      <w:pPr>
        <w:pStyle w:val="1043"/>
      </w:pPr>
      <w:r/>
      <w:r/>
    </w:p>
    <w:p>
      <w:pPr>
        <w:pStyle w:val="1043"/>
      </w:pPr>
      <w:r/>
      <w:r/>
    </w:p>
    <w:p>
      <w:pPr>
        <w:pStyle w:val="1043"/>
      </w:pPr>
      <w:r>
        <w:rPr>
          <w:rFonts w:hint="eastAsia"/>
        </w:rPr>
        <w:t xml:space="preserve">我单位（供应商名称）宣布声明和承诺如下：</w:t>
      </w:r>
      <w:r>
        <w:t xml:space="preserve"> </w:t>
      </w:r>
      <w:r/>
    </w:p>
    <w:p>
      <w:pPr>
        <w:ind w:firstLine="480"/>
        <w:spacing w:line="400" w:lineRule="exact"/>
        <w:rPr>
          <w:rFonts w:hint="eastAsia" w:ascii="宋体" w:hAnsi="宋体"/>
          <w:b/>
          <w:bCs/>
          <w:sz w:val="24"/>
          <w:szCs w:val="24"/>
        </w:rPr>
      </w:pPr>
      <w:r>
        <w:rPr>
          <w:rFonts w:hint="eastAsia" w:ascii="宋体" w:hAnsi="宋体"/>
          <w:sz w:val="24"/>
          <w:szCs w:val="24"/>
        </w:rPr>
        <w:t xml:space="preserve">我单位参加本次采购活动前</w:t>
      </w:r>
      <w:r>
        <w:rPr>
          <w:rFonts w:ascii="宋体" w:hAnsi="宋体"/>
          <w:sz w:val="24"/>
          <w:szCs w:val="24"/>
        </w:rPr>
        <w:t xml:space="preserve"> 3</w:t>
      </w:r>
      <w:r>
        <w:rPr>
          <w:rFonts w:ascii="宋体" w:hAnsi="宋体"/>
          <w:spacing w:val="-16"/>
          <w:sz w:val="24"/>
          <w:szCs w:val="24"/>
        </w:rPr>
        <w:t xml:space="preserve"> </w:t>
      </w:r>
      <w:r>
        <w:rPr>
          <w:rFonts w:hint="eastAsia" w:ascii="宋体" w:hAnsi="宋体"/>
          <w:sz w:val="24"/>
          <w:szCs w:val="24"/>
        </w:rPr>
        <w:t xml:space="preserve">年内在经营活动中没有重大违法记录，且不是失信被执</w:t>
      </w:r>
      <w:r>
        <w:rPr>
          <w:rFonts w:ascii="宋体" w:hAnsi="宋体"/>
          <w:sz w:val="24"/>
          <w:szCs w:val="24"/>
        </w:rPr>
        <w:t xml:space="preserve"> </w:t>
      </w:r>
      <w:r>
        <w:rPr>
          <w:rFonts w:hint="eastAsia" w:ascii="宋体" w:hAnsi="宋体"/>
          <w:sz w:val="24"/>
          <w:szCs w:val="24"/>
        </w:rPr>
        <w:t xml:space="preserve">行人、重大税收违法案件当事人名单、政府采购严重违法失信行为记录名单的供应商。</w:t>
      </w:r>
      <w:r>
        <w:rPr>
          <w:rFonts w:ascii="宋体" w:hAnsi="宋体"/>
          <w:sz w:val="24"/>
          <w:szCs w:val="24"/>
        </w:rPr>
        <w:t xml:space="preserve"> </w:t>
      </w:r>
      <w:r/>
    </w:p>
    <w:p>
      <w:pPr>
        <w:pStyle w:val="1043"/>
      </w:pPr>
      <w:r>
        <w:rPr>
          <w:rFonts w:hint="eastAsia"/>
          <w:spacing w:val="-1"/>
        </w:rPr>
        <w:t xml:space="preserve">（说明：政府采购法第二十二条第一款第五项所称重大违法记录，是指供应商因违法经</w:t>
      </w:r>
      <w:r>
        <w:t xml:space="preserve"> </w:t>
      </w:r>
      <w:r>
        <w:rPr>
          <w:rFonts w:hint="eastAsia"/>
        </w:rPr>
        <w:t xml:space="preserve">营受到刑事处罚或者责令停产停业、吊销许可证或者执照、较大数额罚款等行政处罚。）</w:t>
      </w:r>
      <w:r>
        <w:t xml:space="preserve"> </w:t>
      </w:r>
      <w:r/>
    </w:p>
    <w:p>
      <w:pPr>
        <w:pStyle w:val="1043"/>
      </w:pPr>
      <w:r>
        <w:t xml:space="preserve"> </w:t>
      </w:r>
      <w:r/>
    </w:p>
    <w:p>
      <w:pPr>
        <w:pStyle w:val="1043"/>
      </w:pPr>
      <w:r/>
      <w:r/>
    </w:p>
    <w:p>
      <w:pPr>
        <w:pStyle w:val="1043"/>
      </w:pPr>
      <w:r/>
      <w:r/>
    </w:p>
    <w:p>
      <w:pPr>
        <w:pStyle w:val="1043"/>
      </w:pPr>
      <w:r/>
      <w:r/>
    </w:p>
    <w:p>
      <w:pPr>
        <w:pStyle w:val="1043"/>
      </w:pPr>
      <w:r>
        <w:rPr>
          <w:rFonts w:hint="eastAsia"/>
        </w:rPr>
        <w:t xml:space="preserve">声明人：（公章）</w:t>
      </w:r>
      <w:r>
        <w:t xml:space="preserve"> </w:t>
      </w:r>
      <w:r/>
    </w:p>
    <w:p>
      <w:pPr>
        <w:pStyle w:val="1043"/>
      </w:pPr>
      <w:r>
        <w:rPr>
          <w:rFonts w:hint="eastAsia"/>
        </w:rPr>
        <w:t xml:space="preserve">日期：</w:t>
      </w:r>
      <w:r>
        <w:tab/>
      </w:r>
      <w:r>
        <w:rPr>
          <w:rFonts w:hint="eastAsia"/>
        </w:rPr>
        <w:t xml:space="preserve">年</w:t>
      </w:r>
      <w:r>
        <w:tab/>
      </w:r>
      <w:r>
        <w:rPr>
          <w:rFonts w:hint="eastAsia"/>
        </w:rPr>
        <w:t xml:space="preserve">月 </w:t>
      </w:r>
      <w:r>
        <w:t xml:space="preserve">  </w:t>
      </w:r>
      <w:r>
        <w:rPr>
          <w:rFonts w:hint="eastAsia"/>
        </w:rPr>
        <w:t xml:space="preserve">日</w:t>
      </w:r>
      <w:r/>
    </w:p>
    <w:p>
      <w:pPr>
        <w:pStyle w:val="1036"/>
      </w:pPr>
      <w:r/>
      <w:r/>
    </w:p>
    <w:p>
      <w:pPr>
        <w:pStyle w:val="1026"/>
        <w:jc w:val="left"/>
        <w:spacing w:before="145" w:after="145" w:line="360" w:lineRule="auto"/>
        <w:rPr>
          <w:rFonts w:hint="eastAsia" w:ascii="宋体" w:hAnsi="宋体" w:eastAsia="宋体"/>
          <w:sz w:val="28"/>
          <w:szCs w:val="28"/>
        </w:rPr>
      </w:pPr>
      <w:r>
        <w:rPr>
          <w:rFonts w:ascii="宋体" w:hAnsi="宋体" w:eastAsia="宋体"/>
          <w:b w:val="0"/>
          <w:bCs w:val="0"/>
          <w:sz w:val="28"/>
          <w:szCs w:val="28"/>
        </w:rPr>
        <w:br w:type="page" w:clear="all"/>
      </w:r>
      <w:r>
        <w:rPr>
          <w:rFonts w:hint="eastAsia" w:ascii="宋体" w:hAnsi="宋体" w:eastAsia="宋体"/>
          <w:sz w:val="28"/>
          <w:szCs w:val="28"/>
        </w:rPr>
        <w:t xml:space="preserve">附件六、商务条款偏离表</w:t>
      </w:r>
      <w:bookmarkEnd w:id="132"/>
      <w:r>
        <w:rPr>
          <w:rFonts w:hint="eastAsia" w:ascii="宋体" w:hAnsi="宋体" w:eastAsia="宋体"/>
          <w:sz w:val="28"/>
          <w:szCs w:val="28"/>
        </w:rPr>
        <w:t xml:space="preserve"> </w:t>
      </w:r>
      <w:r/>
    </w:p>
    <w:p>
      <w:pPr>
        <w:pStyle w:val="1241"/>
        <w:ind w:firstLine="0"/>
        <w:jc w:val="center"/>
        <w:spacing w:before="290" w:after="290"/>
        <w:rPr>
          <w:b/>
          <w:bCs/>
          <w:sz w:val="32"/>
          <w:szCs w:val="24"/>
        </w:rPr>
      </w:pPr>
      <w:r/>
      <w:bookmarkStart w:id="141" w:name="OLE_LINK8"/>
      <w:r>
        <w:rPr>
          <w:rFonts w:hint="eastAsia"/>
          <w:b/>
          <w:bCs/>
          <w:sz w:val="32"/>
          <w:szCs w:val="24"/>
        </w:rPr>
        <w:t xml:space="preserve">商务条款偏离表</w:t>
      </w:r>
      <w:r/>
    </w:p>
    <w:p>
      <w:pPr>
        <w:pStyle w:val="1043"/>
        <w:rPr>
          <w:rFonts w:hint="eastAsia" w:hAnsi="宋体"/>
          <w:spacing w:val="-1"/>
        </w:rPr>
      </w:pPr>
      <w:r>
        <w:rPr>
          <w:rFonts w:hint="eastAsia"/>
        </w:rPr>
        <w:t xml:space="preserve">项目名称：</w:t>
      </w:r>
      <w:r>
        <w:tab/>
      </w:r>
      <w:r>
        <w:t xml:space="preserve">                          </w:t>
      </w:r>
      <w:r>
        <w:rPr>
          <w:rFonts w:hint="eastAsia"/>
        </w:rPr>
        <w:t xml:space="preserve">项目编号</w:t>
      </w:r>
      <w:r>
        <w:rPr>
          <w:rFonts w:hint="eastAsia" w:hAnsi="宋体"/>
          <w:spacing w:val="-1"/>
        </w:rPr>
        <w:t xml:space="preserve">： </w:t>
      </w:r>
      <w:r>
        <w:rPr>
          <w:rFonts w:hAnsi="宋体"/>
          <w:spacing w:val="-1"/>
        </w:rPr>
        <w:t xml:space="preserve">                          </w:t>
      </w:r>
      <w:r/>
    </w:p>
    <w:p>
      <w:pPr>
        <w:pStyle w:val="1241"/>
        <w:ind w:firstLine="0"/>
        <w:spacing w:line="400" w:lineRule="exact"/>
        <w:rPr>
          <w:rFonts w:hint="eastAsia" w:ascii="宋体" w:hAnsi="宋体" w:cs="宋体"/>
        </w:rPr>
      </w:pPr>
      <w:r>
        <w:rPr>
          <w:rFonts w:hint="eastAsia" w:ascii="宋体" w:hAnsi="宋体" w:cs="宋体"/>
        </w:rPr>
        <w:t xml:space="preserve"> </w:t>
      </w:r>
      <w:r>
        <w:rPr>
          <w:rFonts w:ascii="宋体" w:hAnsi="宋体" w:cs="宋体"/>
        </w:rPr>
        <w:t xml:space="preserve">               </w:t>
      </w:r>
      <w:r/>
    </w:p>
    <w:p>
      <w:pPr>
        <w:pStyle w:val="1043"/>
      </w:pPr>
      <w:r/>
      <w:r/>
    </w:p>
    <w:tbl>
      <w:tblPr>
        <w:tblStyle w:val="1035"/>
        <w:tblW w:w="9415" w:type="dxa"/>
        <w:jc w:val="center"/>
        <w:tblLayout w:type="fixed"/>
        <w:tblCellMar>
          <w:left w:w="0" w:type="dxa"/>
          <w:top w:w="0" w:type="dxa"/>
          <w:right w:w="0" w:type="dxa"/>
          <w:bottom w:w="0" w:type="dxa"/>
        </w:tblCellMar>
        <w:tblLook w:val="04A0" w:firstRow="1" w:lastRow="0" w:firstColumn="1" w:lastColumn="0" w:noHBand="0" w:noVBand="1"/>
      </w:tblPr>
      <w:tblGrid>
        <w:gridCol w:w="665"/>
        <w:gridCol w:w="1785"/>
        <w:gridCol w:w="2977"/>
        <w:gridCol w:w="2948"/>
        <w:gridCol w:w="1040"/>
      </w:tblGrid>
      <w:tr>
        <w:trPr>
          <w:jc w:val="center"/>
          <w:trHeight w:val="503"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261"/>
              <w:ind w:left="115"/>
              <w:jc w:val="center"/>
              <w:rPr>
                <w:sz w:val="24"/>
              </w:rPr>
            </w:pPr>
            <w:r>
              <w:rPr>
                <w:rFonts w:hint="eastAsia" w:asci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261"/>
              <w:ind w:left="83" w:right="-20"/>
              <w:jc w:val="center"/>
              <w:rPr>
                <w:sz w:val="24"/>
              </w:rPr>
            </w:pPr>
            <w:r>
              <w:rPr>
                <w:rFonts w:hint="eastAsia" w:ascii="宋体" w:cs="宋体"/>
                <w:sz w:val="24"/>
              </w:rPr>
              <w:t xml:space="preserve">采购文件条目号</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261"/>
              <w:ind w:left="216"/>
              <w:jc w:val="center"/>
              <w:rPr>
                <w:sz w:val="24"/>
              </w:rPr>
            </w:pPr>
            <w:r>
              <w:rPr>
                <w:rFonts w:hint="eastAsia" w:ascii="宋体" w:cs="宋体"/>
                <w:sz w:val="24"/>
              </w:rPr>
              <w:t xml:space="preserve">采购文件要求的商务条款</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261"/>
              <w:ind w:left="100"/>
              <w:jc w:val="center"/>
              <w:rPr>
                <w:sz w:val="24"/>
              </w:rPr>
            </w:pPr>
            <w:r>
              <w:rPr>
                <w:rFonts w:hint="eastAsia" w:ascii="宋体" w:cs="宋体"/>
                <w:sz w:val="24"/>
              </w:rPr>
              <w:t xml:space="preserve">谈判响应</w:t>
            </w:r>
            <w:r>
              <w:rPr>
                <w:rFonts w:hint="eastAsia" w:ascii="宋体" w:hAnsi="宋体" w:cs="宋体"/>
                <w:sz w:val="24"/>
              </w:rPr>
              <w:t xml:space="preserve">偏离情况</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261"/>
              <w:ind w:left="91" w:right="-13"/>
              <w:jc w:val="center"/>
              <w:rPr>
                <w:sz w:val="24"/>
              </w:rPr>
            </w:pPr>
            <w:r>
              <w:rPr>
                <w:rFonts w:hint="eastAsia" w:ascii="宋体" w:cs="宋体"/>
                <w:sz w:val="24"/>
              </w:rPr>
              <w:t xml:space="preserve">说明</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261"/>
              <w:ind w:left="103"/>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261"/>
              <w:ind w:left="105"/>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261"/>
              <w:ind w:left="101"/>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261"/>
              <w:ind w:left="100"/>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261"/>
              <w:ind w:left="103"/>
              <w:jc w:val="center"/>
              <w:rPr>
                <w:sz w:val="24"/>
              </w:rPr>
            </w:pPr>
            <w:r>
              <w:rPr>
                <w:rFonts w:ascii="宋体" w:cs="宋体"/>
                <w:sz w:val="24"/>
              </w:rPr>
              <w:t xml:space="preserve"> </w:t>
            </w:r>
            <w:r/>
          </w:p>
        </w:tc>
      </w:tr>
      <w:tr>
        <w:trPr>
          <w:jc w:val="center"/>
          <w:trHeight w:val="572"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261"/>
              <w:ind w:left="103"/>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261"/>
              <w:ind w:left="105"/>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261"/>
              <w:ind w:left="101"/>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261"/>
              <w:ind w:left="100"/>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261"/>
              <w:ind w:left="103"/>
              <w:jc w:val="center"/>
              <w:rPr>
                <w:sz w:val="24"/>
              </w:rPr>
            </w:pPr>
            <w:r>
              <w:rPr>
                <w:rFonts w:ascii="宋体" w:cs="宋体"/>
                <w:sz w:val="24"/>
              </w:rPr>
              <w:t xml:space="preserve"> </w:t>
            </w:r>
            <w:r/>
          </w:p>
        </w:tc>
      </w:tr>
      <w:tr>
        <w:trPr>
          <w:jc w:val="center"/>
          <w:trHeight w:val="569"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261"/>
              <w:ind w:left="103"/>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261"/>
              <w:ind w:left="105"/>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261"/>
              <w:ind w:left="101"/>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261"/>
              <w:ind w:left="100"/>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261"/>
              <w:ind w:left="103"/>
              <w:jc w:val="center"/>
              <w:rPr>
                <w:sz w:val="24"/>
              </w:rPr>
            </w:pPr>
            <w:r>
              <w:rPr>
                <w:rFonts w:ascii="宋体" w:cs="宋体"/>
                <w:sz w:val="24"/>
              </w:rPr>
              <w:t xml:space="preserve"> </w:t>
            </w:r>
            <w:r/>
          </w:p>
        </w:tc>
      </w:tr>
      <w:tr>
        <w:trPr>
          <w:jc w:val="center"/>
          <w:trHeight w:val="563"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261"/>
              <w:ind w:left="103"/>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261"/>
              <w:ind w:left="105"/>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261"/>
              <w:ind w:left="101"/>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261"/>
              <w:ind w:left="100"/>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261"/>
              <w:ind w:left="103"/>
              <w:jc w:val="center"/>
              <w:rPr>
                <w:sz w:val="24"/>
              </w:rPr>
            </w:pPr>
            <w:r>
              <w:rPr>
                <w:rFonts w:ascii="宋体" w:cs="宋体"/>
                <w:sz w:val="24"/>
              </w:rPr>
              <w:t xml:space="preserve"> </w:t>
            </w:r>
            <w:r/>
          </w:p>
        </w:tc>
      </w:tr>
      <w:tr>
        <w:trPr>
          <w:jc w:val="center"/>
          <w:trHeight w:val="571"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261"/>
              <w:ind w:left="103"/>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261"/>
              <w:ind w:left="105"/>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261"/>
              <w:ind w:left="101"/>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261"/>
              <w:ind w:left="100"/>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261"/>
              <w:ind w:left="103"/>
              <w:jc w:val="center"/>
              <w:rPr>
                <w:sz w:val="24"/>
              </w:rPr>
            </w:pPr>
            <w:r>
              <w:rPr>
                <w:rFonts w:ascii="宋体" w:cs="宋体"/>
                <w:sz w:val="24"/>
              </w:rPr>
              <w:t xml:space="preserve"> </w:t>
            </w:r>
            <w:r/>
          </w:p>
        </w:tc>
      </w:tr>
    </w:tbl>
    <w:p>
      <w:pPr>
        <w:pStyle w:val="1043"/>
      </w:pPr>
      <w:r>
        <w:t xml:space="preserve"> </w:t>
      </w:r>
      <w:r>
        <w:rPr>
          <w:rFonts w:hint="eastAsia"/>
        </w:rPr>
        <w:t xml:space="preserve">注：仅填写有偏离的条款，如本表为空，则代表全部响应。</w:t>
      </w:r>
      <w:r/>
    </w:p>
    <w:p>
      <w:pPr>
        <w:pStyle w:val="1043"/>
      </w:pPr>
      <w:r/>
      <w:r/>
    </w:p>
    <w:p>
      <w:pPr>
        <w:jc w:val="right"/>
        <w:spacing w:line="400" w:lineRule="exact"/>
        <w:rPr>
          <w:rFonts w:hint="eastAsia" w:ascii="宋体" w:hAnsi="宋体" w:cs="宋体"/>
          <w:sz w:val="24"/>
          <w:szCs w:val="24"/>
        </w:rPr>
      </w:pPr>
      <w:r>
        <w:rPr>
          <w:rFonts w:hint="eastAsia" w:ascii="宋体" w:hAnsi="宋体" w:cs="宋体"/>
          <w:sz w:val="24"/>
          <w:szCs w:val="24"/>
        </w:rPr>
      </w:r>
      <w:r/>
    </w:p>
    <w:p>
      <w:pPr>
        <w:jc w:val="right"/>
        <w:spacing w:line="400" w:lineRule="exact"/>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（盖单位公章）</w:t>
      </w:r>
      <w:r/>
    </w:p>
    <w:p>
      <w:pPr>
        <w:ind w:firstLine="1231"/>
        <w:jc w:val="right"/>
        <w:spacing w:line="400" w:lineRule="exact"/>
        <w:widowControl/>
        <w:rPr>
          <w:rFonts w:hint="eastAsia" w:ascii="宋体" w:hAnsi="宋体" w:cs="宋体"/>
          <w:sz w:val="24"/>
          <w:szCs w:val="24"/>
        </w:rPr>
      </w:pPr>
      <w:r>
        <w:rPr>
          <w:rFonts w:hint="eastAsia" w:ascii="宋体" w:hAnsi="宋体" w:cs="宋体"/>
          <w:sz w:val="24"/>
          <w:szCs w:val="24"/>
        </w:rPr>
        <w:t xml:space="preserve">   法定代表人或者其委托代理人：</w:t>
      </w:r>
      <w:r>
        <w:rPr>
          <w:rFonts w:hint="eastAsia" w:ascii="宋体" w:hAnsi="宋体" w:cs="宋体"/>
          <w:sz w:val="24"/>
          <w:szCs w:val="24"/>
          <w:u w:val="single"/>
        </w:rPr>
        <w:t xml:space="preserve">                 </w:t>
      </w:r>
      <w:r>
        <w:rPr>
          <w:rFonts w:hint="eastAsia" w:ascii="宋体" w:hAnsi="宋体" w:cs="宋体"/>
          <w:sz w:val="24"/>
          <w:szCs w:val="24"/>
        </w:rPr>
        <w:t xml:space="preserve">（签字）</w:t>
      </w:r>
      <w:r/>
    </w:p>
    <w:p>
      <w:pPr>
        <w:jc w:val="right"/>
        <w:spacing w:line="40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End w:id="141"/>
      <w:r/>
      <w:r/>
    </w:p>
    <w:p>
      <w:pPr>
        <w:pStyle w:val="1026"/>
        <w:jc w:val="left"/>
        <w:spacing w:before="145" w:after="145" w:line="360" w:lineRule="auto"/>
        <w:rPr>
          <w:rFonts w:hint="eastAsia" w:ascii="宋体" w:hAnsi="宋体" w:eastAsia="宋体"/>
          <w:sz w:val="32"/>
          <w:szCs w:val="32"/>
        </w:rPr>
      </w:pPr>
      <w:r/>
      <w:bookmarkStart w:id="142" w:name="_Toc21781765"/>
      <w:r>
        <w:rPr>
          <w:rFonts w:ascii="宋体" w:hAnsi="宋体" w:eastAsia="宋体"/>
          <w:sz w:val="28"/>
          <w:szCs w:val="28"/>
        </w:rPr>
        <w:br w:type="page" w:clear="all"/>
      </w:r>
      <w:bookmarkStart w:id="143" w:name="_Toc24962249"/>
      <w:r>
        <w:rPr>
          <w:rFonts w:hint="eastAsia" w:ascii="宋体" w:hAnsi="宋体" w:eastAsia="宋体"/>
          <w:sz w:val="28"/>
          <w:szCs w:val="28"/>
        </w:rPr>
        <w:t xml:space="preserve">附件七、合同条款偏离表</w:t>
      </w:r>
      <w:bookmarkEnd w:id="142"/>
      <w:r/>
      <w:bookmarkEnd w:id="143"/>
      <w:r/>
      <w:r/>
    </w:p>
    <w:p>
      <w:pPr>
        <w:pStyle w:val="1241"/>
        <w:ind w:firstLine="0"/>
        <w:jc w:val="center"/>
        <w:spacing w:before="290" w:after="290"/>
        <w:rPr>
          <w:b/>
          <w:bCs/>
          <w:sz w:val="32"/>
          <w:szCs w:val="24"/>
        </w:rPr>
      </w:pPr>
      <w:r>
        <w:rPr>
          <w:rFonts w:hint="eastAsia"/>
          <w:b/>
          <w:bCs/>
          <w:sz w:val="32"/>
          <w:szCs w:val="24"/>
        </w:rPr>
        <w:t xml:space="preserve">合同条款偏离表</w:t>
      </w:r>
      <w:r/>
    </w:p>
    <w:p>
      <w:pPr>
        <w:spacing w:before="145" w:after="29" w:line="360" w:lineRule="auto"/>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                 </w:t>
      </w:r>
      <w:r>
        <w:rPr>
          <w:rFonts w:ascii="宋体" w:hAnsi="宋体" w:cs="宋体"/>
          <w:u w:val="single"/>
        </w:rPr>
        <w:t xml:space="preserve">  </w:t>
      </w:r>
      <w:r>
        <w:rPr>
          <w:rFonts w:hint="eastAsia" w:ascii="宋体" w:hAnsi="宋体" w:cs="宋体"/>
          <w:sz w:val="24"/>
          <w:u w:val="single"/>
        </w:rPr>
        <w:t xml:space="preserve">  </w:t>
      </w:r>
      <w:r>
        <w:rPr>
          <w:rFonts w:ascii="宋体" w:hAnsi="宋体" w:cs="宋体"/>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p>
    <w:p>
      <w:pPr>
        <w:pStyle w:val="1241"/>
        <w:ind w:firstLine="0"/>
        <w:spacing w:line="400" w:lineRule="exact"/>
        <w:rPr>
          <w:rFonts w:hint="eastAsia" w:ascii="宋体" w:hAnsi="宋体" w:cs="宋体"/>
        </w:rPr>
      </w:pPr>
      <w:r>
        <w:rPr>
          <w:rFonts w:hint="eastAsia" w:ascii="宋体" w:hAnsi="宋体" w:cs="宋体"/>
        </w:rPr>
      </w:r>
      <w:r/>
    </w:p>
    <w:tbl>
      <w:tblPr>
        <w:tblStyle w:val="1035"/>
        <w:tblW w:w="0" w:type="auto"/>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872"/>
        <w:gridCol w:w="2551"/>
        <w:gridCol w:w="2410"/>
        <w:gridCol w:w="1276"/>
      </w:tblGrid>
      <w:tr>
        <w:trPr>
          <w:jc w:val="center"/>
        </w:trPr>
        <w:tc>
          <w:tcPr>
            <w:tcW w:w="867" w:type="dxa"/>
            <w:vAlign w:val="center"/>
            <w:textDirection w:val="lrTb"/>
            <w:noWrap w:val="false"/>
          </w:tcPr>
          <w:p>
            <w:pPr>
              <w:jc w:val="center"/>
              <w:spacing w:before="87" w:after="87"/>
              <w:rPr>
                <w:rFonts w:hint="eastAsia" w:ascii="宋体" w:hAnsi="宋体" w:cs="宋体"/>
                <w:sz w:val="24"/>
              </w:rPr>
            </w:pPr>
            <w:r>
              <w:rPr>
                <w:rFonts w:hint="eastAsia" w:ascii="宋体" w:hAnsi="宋体" w:cs="宋体"/>
                <w:sz w:val="24"/>
              </w:rPr>
              <w:t xml:space="preserve">序号</w:t>
            </w:r>
            <w:r/>
          </w:p>
        </w:tc>
        <w:tc>
          <w:tcPr>
            <w:tcW w:w="1872" w:type="dxa"/>
            <w:vAlign w:val="center"/>
            <w:textDirection w:val="lrTb"/>
            <w:noWrap w:val="false"/>
          </w:tcPr>
          <w:p>
            <w:pPr>
              <w:jc w:val="center"/>
              <w:spacing w:before="87" w:after="87"/>
              <w:rPr>
                <w:rFonts w:hint="eastAsia" w:ascii="宋体" w:hAnsi="宋体" w:cs="宋体"/>
                <w:sz w:val="24"/>
              </w:rPr>
            </w:pPr>
            <w:r>
              <w:rPr>
                <w:rFonts w:hint="eastAsia" w:ascii="宋体" w:cs="宋体"/>
              </w:rPr>
              <w:t xml:space="preserve">采购</w:t>
            </w:r>
            <w:r>
              <w:rPr>
                <w:rFonts w:hint="eastAsia" w:ascii="宋体" w:hAnsi="宋体" w:cs="宋体"/>
                <w:sz w:val="24"/>
              </w:rPr>
              <w:t xml:space="preserve">文件条目号</w:t>
            </w:r>
            <w:r/>
          </w:p>
        </w:tc>
        <w:tc>
          <w:tcPr>
            <w:tcW w:w="2551" w:type="dxa"/>
            <w:vAlign w:val="center"/>
            <w:textDirection w:val="lrTb"/>
            <w:noWrap w:val="false"/>
          </w:tcPr>
          <w:p>
            <w:pPr>
              <w:jc w:val="center"/>
              <w:spacing w:before="87" w:after="87"/>
              <w:rPr>
                <w:rFonts w:hint="eastAsia" w:ascii="宋体" w:hAnsi="宋体" w:cs="宋体"/>
                <w:sz w:val="24"/>
              </w:rPr>
            </w:pPr>
            <w:r>
              <w:rPr>
                <w:rFonts w:hint="eastAsia" w:ascii="宋体" w:cs="宋体"/>
              </w:rPr>
              <w:t xml:space="preserve">采购</w:t>
            </w:r>
            <w:r>
              <w:rPr>
                <w:rFonts w:hint="eastAsia" w:ascii="宋体" w:hAnsi="宋体" w:cs="宋体"/>
                <w:sz w:val="24"/>
              </w:rPr>
              <w:t xml:space="preserve">文件的合同条款</w:t>
            </w:r>
            <w:r/>
          </w:p>
        </w:tc>
        <w:tc>
          <w:tcPr>
            <w:tcW w:w="2410" w:type="dxa"/>
            <w:vAlign w:val="center"/>
            <w:textDirection w:val="lrTb"/>
            <w:noWrap w:val="false"/>
          </w:tcPr>
          <w:p>
            <w:pPr>
              <w:jc w:val="center"/>
              <w:spacing w:before="87" w:after="87"/>
              <w:rPr>
                <w:rFonts w:hint="eastAsia" w:ascii="宋体" w:hAnsi="宋体" w:cs="宋体"/>
                <w:sz w:val="24"/>
              </w:rPr>
            </w:pPr>
            <w:r>
              <w:rPr>
                <w:rFonts w:hint="eastAsia" w:ascii="宋体" w:hAnsi="宋体" w:cs="宋体"/>
              </w:rPr>
              <w:t xml:space="preserve">响应</w:t>
            </w:r>
            <w:r>
              <w:rPr>
                <w:rFonts w:hint="eastAsia" w:ascii="宋体" w:hAnsi="宋体" w:cs="宋体"/>
                <w:sz w:val="24"/>
              </w:rPr>
              <w:t xml:space="preserve">文件偏离情况</w:t>
            </w:r>
            <w:r/>
          </w:p>
        </w:tc>
        <w:tc>
          <w:tcPr>
            <w:tcW w:w="1276" w:type="dxa"/>
            <w:vAlign w:val="center"/>
            <w:textDirection w:val="lrTb"/>
            <w:noWrap w:val="false"/>
          </w:tcPr>
          <w:p>
            <w:pPr>
              <w:jc w:val="center"/>
              <w:spacing w:before="87" w:after="87"/>
              <w:rPr>
                <w:rFonts w:hint="eastAsia" w:ascii="宋体" w:hAnsi="宋体" w:cs="宋体"/>
                <w:sz w:val="24"/>
              </w:rPr>
            </w:pPr>
            <w:r>
              <w:rPr>
                <w:rFonts w:hint="eastAsia" w:ascii="宋体" w:hAnsi="宋体" w:cs="宋体"/>
                <w:sz w:val="24"/>
              </w:rPr>
              <w:t xml:space="preserve">说明</w:t>
            </w:r>
            <w:r/>
          </w:p>
        </w:tc>
      </w:tr>
      <w:tr>
        <w:trPr>
          <w:jc w:val="center"/>
        </w:trPr>
        <w:tc>
          <w:tcPr>
            <w:tcW w:w="867"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1872"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2551"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2410"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r>
      <w:tr>
        <w:trPr>
          <w:jc w:val="center"/>
        </w:trPr>
        <w:tc>
          <w:tcPr>
            <w:tcW w:w="867"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1872"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2551"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2410"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r>
      <w:tr>
        <w:trPr>
          <w:jc w:val="center"/>
        </w:trPr>
        <w:tc>
          <w:tcPr>
            <w:tcW w:w="867"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1872"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2551"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2410"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r>
      <w:tr>
        <w:trPr>
          <w:jc w:val="center"/>
        </w:trPr>
        <w:tc>
          <w:tcPr>
            <w:tcW w:w="867"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1872"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2551"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2410"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r>
      <w:tr>
        <w:trPr>
          <w:jc w:val="center"/>
        </w:trPr>
        <w:tc>
          <w:tcPr>
            <w:tcW w:w="867"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1872"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2551"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2410"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r>
      <w:tr>
        <w:trPr>
          <w:jc w:val="center"/>
        </w:trPr>
        <w:tc>
          <w:tcPr>
            <w:tcW w:w="867"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1872"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2551"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2410"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before="87" w:after="87"/>
              <w:rPr>
                <w:rFonts w:hint="eastAsia" w:ascii="宋体" w:hAnsi="宋体" w:cs="宋体"/>
                <w:sz w:val="24"/>
              </w:rPr>
            </w:pPr>
            <w:r>
              <w:rPr>
                <w:rFonts w:hint="eastAsia" w:ascii="宋体" w:hAnsi="宋体" w:cs="宋体"/>
                <w:sz w:val="24"/>
              </w:rPr>
            </w:r>
            <w:r/>
          </w:p>
        </w:tc>
      </w:tr>
    </w:tbl>
    <w:p>
      <w:pPr>
        <w:ind w:left="792" w:hanging="792"/>
        <w:spacing w:line="400" w:lineRule="exact"/>
        <w:rPr>
          <w:rFonts w:hint="eastAsia" w:ascii="宋体" w:hAnsi="宋体" w:cs="宋体"/>
          <w:sz w:val="24"/>
        </w:rPr>
      </w:pPr>
      <w:r>
        <w:rPr>
          <w:rFonts w:hint="eastAsia" w:ascii="宋体" w:hAnsi="宋体" w:cs="宋体"/>
          <w:sz w:val="24"/>
        </w:rPr>
        <w:t xml:space="preserve">注：</w:t>
      </w:r>
      <w:r/>
    </w:p>
    <w:p>
      <w:pPr>
        <w:pStyle w:val="1241"/>
        <w:ind w:firstLine="480"/>
        <w:spacing w:line="400" w:lineRule="exact"/>
        <w:rPr>
          <w:rFonts w:hint="eastAsia" w:ascii="宋体" w:hAnsi="宋体" w:cs="宋体"/>
          <w:szCs w:val="24"/>
        </w:rPr>
      </w:pPr>
      <w:r>
        <w:rPr>
          <w:rFonts w:hint="eastAsia" w:ascii="宋体" w:hAnsi="宋体" w:cs="宋体"/>
          <w:szCs w:val="24"/>
        </w:rPr>
        <w:t xml:space="preserve">1．</w:t>
      </w:r>
      <w:r>
        <w:rPr>
          <w:rFonts w:hint="eastAsia" w:ascii="宋体" w:hAnsi="宋体" w:cs="宋体"/>
        </w:rPr>
        <w:t xml:space="preserve">供应商</w:t>
      </w:r>
      <w:r>
        <w:rPr>
          <w:rFonts w:hint="eastAsia" w:ascii="宋体" w:hAnsi="宋体" w:cs="宋体"/>
          <w:szCs w:val="24"/>
        </w:rPr>
        <w:t xml:space="preserve">应当逐条对照采购文件合同条款，就响应文件对合同条款存在的偏差与例外逐条做出说明；</w:t>
      </w:r>
      <w:r/>
    </w:p>
    <w:p>
      <w:pPr>
        <w:pStyle w:val="1241"/>
        <w:ind w:firstLine="480"/>
        <w:spacing w:line="400" w:lineRule="exact"/>
        <w:rPr>
          <w:rFonts w:hint="eastAsia" w:ascii="宋体" w:hAnsi="宋体" w:cs="宋体"/>
          <w:szCs w:val="24"/>
        </w:rPr>
      </w:pPr>
      <w:r>
        <w:rPr>
          <w:rFonts w:hint="eastAsia" w:ascii="宋体" w:hAnsi="宋体" w:cs="宋体"/>
          <w:szCs w:val="24"/>
        </w:rPr>
        <w:t xml:space="preserve">2．如响应文件对合同条款无任何偏差，</w:t>
      </w:r>
      <w:r>
        <w:rPr>
          <w:rFonts w:hint="eastAsia" w:ascii="宋体" w:hAnsi="宋体" w:cs="宋体"/>
        </w:rPr>
        <w:t xml:space="preserve">供应商</w:t>
      </w:r>
      <w:r>
        <w:rPr>
          <w:rFonts w:hint="eastAsia" w:ascii="宋体" w:hAnsi="宋体" w:cs="宋体"/>
          <w:szCs w:val="24"/>
        </w:rPr>
        <w:t xml:space="preserve">仅需在本偏离表中填写“无偏离”即可。</w:t>
      </w:r>
      <w:r/>
    </w:p>
    <w:p>
      <w:pPr>
        <w:pStyle w:val="1241"/>
        <w:ind w:firstLine="480"/>
        <w:spacing w:line="400" w:lineRule="exact"/>
        <w:rPr>
          <w:rFonts w:hint="eastAsia" w:ascii="宋体" w:hAnsi="宋体" w:cs="宋体"/>
          <w:szCs w:val="24"/>
        </w:rPr>
      </w:pPr>
      <w:r>
        <w:rPr>
          <w:rFonts w:hint="eastAsia" w:ascii="宋体" w:hAnsi="宋体" w:cs="宋体"/>
        </w:rPr>
        <w:t xml:space="preserve">3. 供应商未填写该表则表示完全满足谈判文件合同条款要求。</w:t>
      </w:r>
      <w:r/>
    </w:p>
    <w:p>
      <w:pPr>
        <w:ind w:left="432" w:hanging="432"/>
        <w:spacing w:after="120" w:line="440" w:lineRule="exact"/>
        <w:rPr>
          <w:rFonts w:hint="eastAsia" w:ascii="宋体" w:hAnsi="宋体" w:cs="宋体"/>
          <w:sz w:val="24"/>
        </w:rPr>
      </w:pPr>
      <w:r>
        <w:rPr>
          <w:rFonts w:hint="eastAsia" w:ascii="宋体" w:hAnsi="宋体" w:cs="宋体"/>
          <w:sz w:val="24"/>
        </w:rPr>
      </w:r>
      <w:r/>
    </w:p>
    <w:p>
      <w:pPr>
        <w:jc w:val="right"/>
        <w:spacing w:line="400" w:lineRule="exact"/>
        <w:rPr>
          <w:rFonts w:hint="eastAsia" w:ascii="宋体" w:hAnsi="宋体" w:cs="宋体"/>
          <w:sz w:val="24"/>
          <w:szCs w:val="24"/>
        </w:rPr>
      </w:pPr>
      <w:r>
        <w:rPr>
          <w:rFonts w:hint="eastAsia" w:ascii="宋体" w:hAnsi="宋体" w:cs="宋体"/>
          <w:sz w:val="24"/>
        </w:rPr>
        <w:t xml:space="preserve">             </w:t>
      </w: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（盖单位公章）</w:t>
      </w:r>
      <w:r/>
    </w:p>
    <w:p>
      <w:pPr>
        <w:ind w:firstLine="1231"/>
        <w:jc w:val="right"/>
        <w:spacing w:line="400" w:lineRule="exact"/>
        <w:widowControl/>
        <w:rPr>
          <w:rFonts w:hint="eastAsia" w:ascii="宋体" w:hAnsi="宋体" w:cs="宋体"/>
          <w:sz w:val="24"/>
          <w:szCs w:val="24"/>
        </w:rPr>
      </w:pPr>
      <w:r>
        <w:rPr>
          <w:rFonts w:hint="eastAsia" w:ascii="宋体" w:hAnsi="宋体" w:cs="宋体"/>
          <w:sz w:val="24"/>
          <w:szCs w:val="24"/>
        </w:rPr>
        <w:t xml:space="preserve">   法定代表人或者其委托代理人：</w:t>
      </w:r>
      <w:r>
        <w:rPr>
          <w:rFonts w:hint="eastAsia" w:ascii="宋体" w:hAnsi="宋体" w:cs="宋体"/>
          <w:sz w:val="24"/>
          <w:szCs w:val="24"/>
          <w:u w:val="single"/>
        </w:rPr>
        <w:t xml:space="preserve">                 </w:t>
      </w:r>
      <w:r>
        <w:rPr>
          <w:rFonts w:hint="eastAsia" w:ascii="宋体" w:hAnsi="宋体" w:cs="宋体"/>
          <w:sz w:val="24"/>
          <w:szCs w:val="24"/>
        </w:rPr>
        <w:t xml:space="preserve">（签字）</w:t>
      </w:r>
      <w:r/>
    </w:p>
    <w:p>
      <w:pPr>
        <w:jc w:val="right"/>
        <w:spacing w:line="40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1026"/>
        <w:jc w:val="left"/>
        <w:spacing w:before="145" w:after="145" w:line="360" w:lineRule="auto"/>
        <w:rPr>
          <w:rFonts w:hint="eastAsia" w:ascii="宋体" w:hAnsi="宋体" w:eastAsia="宋体"/>
          <w:sz w:val="32"/>
          <w:szCs w:val="32"/>
        </w:rPr>
      </w:pPr>
      <w:r/>
      <w:bookmarkStart w:id="144" w:name="_Toc21781762"/>
      <w:r>
        <w:rPr>
          <w:rFonts w:ascii="宋体" w:hAnsi="宋体" w:eastAsia="宋体"/>
          <w:sz w:val="28"/>
          <w:szCs w:val="28"/>
        </w:rPr>
        <w:br w:type="page" w:clear="all"/>
      </w:r>
      <w:bookmarkStart w:id="145" w:name="_Toc24962247"/>
      <w:r/>
      <w:bookmarkStart w:id="146" w:name="_Toc24962250"/>
      <w:r>
        <w:rPr>
          <w:rFonts w:hint="eastAsia" w:ascii="宋体" w:hAnsi="宋体" w:eastAsia="宋体"/>
          <w:sz w:val="28"/>
          <w:szCs w:val="28"/>
        </w:rPr>
        <w:t xml:space="preserve">附件八、供应商类似业绩情况表</w:t>
      </w:r>
      <w:bookmarkEnd w:id="145"/>
      <w:r/>
      <w:r/>
    </w:p>
    <w:p>
      <w:pPr>
        <w:jc w:val="center"/>
        <w:spacing w:after="120" w:line="440" w:lineRule="exact"/>
        <w:rPr>
          <w:rFonts w:hint="eastAsia" w:ascii="宋体" w:hAnsi="宋体" w:cs="宋体"/>
          <w:b/>
          <w:bCs/>
          <w:sz w:val="28"/>
          <w:szCs w:val="22"/>
        </w:rPr>
      </w:pPr>
      <w:r>
        <w:rPr>
          <w:rFonts w:hint="eastAsia" w:ascii="宋体" w:hAnsi="宋体" w:cs="宋体"/>
          <w:b/>
          <w:bCs/>
          <w:sz w:val="28"/>
          <w:szCs w:val="22"/>
        </w:rPr>
        <w:t xml:space="preserve">供应商类似业绩情况表</w:t>
      </w:r>
      <w:r/>
    </w:p>
    <w:tbl>
      <w:tblPr>
        <w:tblStyle w:val="10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1591"/>
        <w:gridCol w:w="1333"/>
        <w:gridCol w:w="1720"/>
        <w:gridCol w:w="1720"/>
        <w:gridCol w:w="1205"/>
        <w:gridCol w:w="997"/>
      </w:tblGrid>
      <w:tr>
        <w:trPr>
          <w:jc w:val="center"/>
          <w:trHeight w:val="613"/>
        </w:trPr>
        <w:tc>
          <w:tcPr>
            <w:tcW w:w="959" w:type="dxa"/>
            <w:vAlign w:val="center"/>
            <w:textDirection w:val="lrTb"/>
            <w:noWrap w:val="false"/>
          </w:tcPr>
          <w:p>
            <w:pPr>
              <w:pStyle w:val="1043"/>
            </w:pPr>
            <w:r>
              <w:rPr>
                <w:rFonts w:hint="eastAsia"/>
              </w:rPr>
              <w:t xml:space="preserve">序号</w:t>
            </w:r>
            <w:r/>
          </w:p>
        </w:tc>
        <w:tc>
          <w:tcPr>
            <w:tcW w:w="1701" w:type="dxa"/>
            <w:vAlign w:val="center"/>
            <w:textDirection w:val="lrTb"/>
            <w:noWrap w:val="false"/>
          </w:tcPr>
          <w:p>
            <w:pPr>
              <w:pStyle w:val="1043"/>
            </w:pPr>
            <w:r>
              <w:rPr>
                <w:rFonts w:hint="eastAsia"/>
              </w:rPr>
              <w:t xml:space="preserve">项目名称</w:t>
            </w:r>
            <w:r/>
          </w:p>
        </w:tc>
        <w:tc>
          <w:tcPr>
            <w:tcW w:w="1417" w:type="dxa"/>
            <w:vAlign w:val="center"/>
            <w:textDirection w:val="lrTb"/>
            <w:noWrap w:val="false"/>
          </w:tcPr>
          <w:p>
            <w:pPr>
              <w:pStyle w:val="1043"/>
            </w:pPr>
            <w:r>
              <w:rPr>
                <w:rFonts w:hint="eastAsia"/>
              </w:rPr>
              <w:t xml:space="preserve">业主单位</w:t>
            </w:r>
            <w:r/>
          </w:p>
        </w:tc>
        <w:tc>
          <w:tcPr>
            <w:tcW w:w="1843" w:type="dxa"/>
            <w:vAlign w:val="center"/>
            <w:textDirection w:val="lrTb"/>
            <w:noWrap w:val="false"/>
          </w:tcPr>
          <w:p>
            <w:pPr>
              <w:pStyle w:val="1043"/>
            </w:pPr>
            <w:r>
              <w:rPr>
                <w:rFonts w:hint="eastAsia"/>
              </w:rPr>
              <w:t xml:space="preserve">业主联系方式</w:t>
            </w:r>
            <w:r/>
          </w:p>
        </w:tc>
        <w:tc>
          <w:tcPr>
            <w:tcW w:w="1843" w:type="dxa"/>
            <w:vAlign w:val="center"/>
            <w:textDirection w:val="lrTb"/>
            <w:noWrap w:val="false"/>
          </w:tcPr>
          <w:p>
            <w:pPr>
              <w:pStyle w:val="1043"/>
            </w:pPr>
            <w:r>
              <w:rPr>
                <w:rFonts w:hint="eastAsia"/>
              </w:rPr>
              <w:t xml:space="preserve">工作主要内容</w:t>
            </w:r>
            <w:r/>
          </w:p>
        </w:tc>
        <w:tc>
          <w:tcPr>
            <w:tcW w:w="1276" w:type="dxa"/>
            <w:vAlign w:val="center"/>
            <w:textDirection w:val="lrTb"/>
            <w:noWrap w:val="false"/>
          </w:tcPr>
          <w:p>
            <w:pPr>
              <w:pStyle w:val="1043"/>
            </w:pPr>
            <w:r>
              <w:rPr>
                <w:rFonts w:hint="eastAsia"/>
              </w:rPr>
              <w:t xml:space="preserve">合同金额</w:t>
            </w:r>
            <w:r/>
          </w:p>
        </w:tc>
        <w:tc>
          <w:tcPr>
            <w:tcW w:w="1047" w:type="dxa"/>
            <w:vAlign w:val="center"/>
            <w:textDirection w:val="lrTb"/>
            <w:noWrap w:val="false"/>
          </w:tcPr>
          <w:p>
            <w:pPr>
              <w:pStyle w:val="1043"/>
            </w:pPr>
            <w:r>
              <w:rPr>
                <w:rFonts w:hint="eastAsia"/>
              </w:rPr>
              <w:t xml:space="preserve">备注</w:t>
            </w:r>
            <w:r/>
          </w:p>
        </w:tc>
      </w:tr>
      <w:tr>
        <w:trPr>
          <w:jc w:val="center"/>
        </w:trPr>
        <w:tc>
          <w:tcPr>
            <w:tcW w:w="959" w:type="dxa"/>
            <w:textDirection w:val="lrTb"/>
            <w:noWrap w:val="false"/>
          </w:tcPr>
          <w:p>
            <w:pPr>
              <w:pStyle w:val="1043"/>
            </w:pPr>
            <w:r/>
            <w:r/>
          </w:p>
        </w:tc>
        <w:tc>
          <w:tcPr>
            <w:tcW w:w="1701" w:type="dxa"/>
            <w:textDirection w:val="lrTb"/>
            <w:noWrap w:val="false"/>
          </w:tcPr>
          <w:p>
            <w:pPr>
              <w:pStyle w:val="1043"/>
            </w:pPr>
            <w:r/>
            <w:r/>
          </w:p>
        </w:tc>
        <w:tc>
          <w:tcPr>
            <w:tcW w:w="1417" w:type="dxa"/>
            <w:textDirection w:val="lrTb"/>
            <w:noWrap w:val="false"/>
          </w:tcPr>
          <w:p>
            <w:pPr>
              <w:pStyle w:val="1043"/>
            </w:pPr>
            <w:r/>
            <w:r/>
          </w:p>
        </w:tc>
        <w:tc>
          <w:tcPr>
            <w:tcW w:w="1843" w:type="dxa"/>
            <w:textDirection w:val="lrTb"/>
            <w:noWrap w:val="false"/>
          </w:tcPr>
          <w:p>
            <w:pPr>
              <w:pStyle w:val="1043"/>
            </w:pPr>
            <w:r/>
            <w:r/>
          </w:p>
        </w:tc>
        <w:tc>
          <w:tcPr>
            <w:tcW w:w="1843" w:type="dxa"/>
            <w:textDirection w:val="lrTb"/>
            <w:noWrap w:val="false"/>
          </w:tcPr>
          <w:p>
            <w:pPr>
              <w:pStyle w:val="1043"/>
            </w:pPr>
            <w:r/>
            <w:r/>
          </w:p>
        </w:tc>
        <w:tc>
          <w:tcPr>
            <w:tcW w:w="1276" w:type="dxa"/>
            <w:textDirection w:val="lrTb"/>
            <w:noWrap w:val="false"/>
          </w:tcPr>
          <w:p>
            <w:pPr>
              <w:pStyle w:val="1043"/>
            </w:pPr>
            <w:r/>
            <w:r/>
          </w:p>
        </w:tc>
        <w:tc>
          <w:tcPr>
            <w:tcW w:w="1047" w:type="dxa"/>
            <w:textDirection w:val="lrTb"/>
            <w:noWrap w:val="false"/>
          </w:tcPr>
          <w:p>
            <w:pPr>
              <w:pStyle w:val="1043"/>
            </w:pPr>
            <w:r/>
            <w:r/>
          </w:p>
        </w:tc>
      </w:tr>
      <w:tr>
        <w:trPr>
          <w:jc w:val="center"/>
        </w:trPr>
        <w:tc>
          <w:tcPr>
            <w:tcW w:w="959" w:type="dxa"/>
            <w:textDirection w:val="lrTb"/>
            <w:noWrap w:val="false"/>
          </w:tcPr>
          <w:p>
            <w:pPr>
              <w:pStyle w:val="1043"/>
            </w:pPr>
            <w:r/>
            <w:r/>
          </w:p>
        </w:tc>
        <w:tc>
          <w:tcPr>
            <w:tcW w:w="1701" w:type="dxa"/>
            <w:textDirection w:val="lrTb"/>
            <w:noWrap w:val="false"/>
          </w:tcPr>
          <w:p>
            <w:pPr>
              <w:pStyle w:val="1043"/>
            </w:pPr>
            <w:r/>
            <w:r/>
          </w:p>
        </w:tc>
        <w:tc>
          <w:tcPr>
            <w:tcW w:w="1417" w:type="dxa"/>
            <w:textDirection w:val="lrTb"/>
            <w:noWrap w:val="false"/>
          </w:tcPr>
          <w:p>
            <w:pPr>
              <w:pStyle w:val="1043"/>
            </w:pPr>
            <w:r/>
            <w:r/>
          </w:p>
        </w:tc>
        <w:tc>
          <w:tcPr>
            <w:tcW w:w="1843" w:type="dxa"/>
            <w:textDirection w:val="lrTb"/>
            <w:noWrap w:val="false"/>
          </w:tcPr>
          <w:p>
            <w:pPr>
              <w:pStyle w:val="1043"/>
            </w:pPr>
            <w:r/>
            <w:r/>
          </w:p>
        </w:tc>
        <w:tc>
          <w:tcPr>
            <w:tcW w:w="1843" w:type="dxa"/>
            <w:textDirection w:val="lrTb"/>
            <w:noWrap w:val="false"/>
          </w:tcPr>
          <w:p>
            <w:pPr>
              <w:pStyle w:val="1043"/>
            </w:pPr>
            <w:r/>
            <w:r/>
          </w:p>
        </w:tc>
        <w:tc>
          <w:tcPr>
            <w:tcW w:w="1276" w:type="dxa"/>
            <w:textDirection w:val="lrTb"/>
            <w:noWrap w:val="false"/>
          </w:tcPr>
          <w:p>
            <w:pPr>
              <w:pStyle w:val="1043"/>
            </w:pPr>
            <w:r/>
            <w:r/>
          </w:p>
        </w:tc>
        <w:tc>
          <w:tcPr>
            <w:tcW w:w="1047" w:type="dxa"/>
            <w:textDirection w:val="lrTb"/>
            <w:noWrap w:val="false"/>
          </w:tcPr>
          <w:p>
            <w:pPr>
              <w:pStyle w:val="1043"/>
            </w:pPr>
            <w:r/>
            <w:r/>
          </w:p>
        </w:tc>
      </w:tr>
      <w:tr>
        <w:trPr>
          <w:jc w:val="center"/>
        </w:trPr>
        <w:tc>
          <w:tcPr>
            <w:tcW w:w="959" w:type="dxa"/>
            <w:textDirection w:val="lrTb"/>
            <w:noWrap w:val="false"/>
          </w:tcPr>
          <w:p>
            <w:pPr>
              <w:pStyle w:val="1043"/>
            </w:pPr>
            <w:r/>
            <w:r/>
          </w:p>
        </w:tc>
        <w:tc>
          <w:tcPr>
            <w:tcW w:w="1701" w:type="dxa"/>
            <w:textDirection w:val="lrTb"/>
            <w:noWrap w:val="false"/>
          </w:tcPr>
          <w:p>
            <w:pPr>
              <w:pStyle w:val="1043"/>
            </w:pPr>
            <w:r/>
            <w:r/>
          </w:p>
        </w:tc>
        <w:tc>
          <w:tcPr>
            <w:tcW w:w="1417" w:type="dxa"/>
            <w:textDirection w:val="lrTb"/>
            <w:noWrap w:val="false"/>
          </w:tcPr>
          <w:p>
            <w:pPr>
              <w:pStyle w:val="1043"/>
            </w:pPr>
            <w:r/>
            <w:r/>
          </w:p>
        </w:tc>
        <w:tc>
          <w:tcPr>
            <w:tcW w:w="1843" w:type="dxa"/>
            <w:textDirection w:val="lrTb"/>
            <w:noWrap w:val="false"/>
          </w:tcPr>
          <w:p>
            <w:pPr>
              <w:pStyle w:val="1043"/>
            </w:pPr>
            <w:r/>
            <w:r/>
          </w:p>
        </w:tc>
        <w:tc>
          <w:tcPr>
            <w:tcW w:w="1843" w:type="dxa"/>
            <w:textDirection w:val="lrTb"/>
            <w:noWrap w:val="false"/>
          </w:tcPr>
          <w:p>
            <w:pPr>
              <w:pStyle w:val="1043"/>
            </w:pPr>
            <w:r/>
            <w:r/>
          </w:p>
        </w:tc>
        <w:tc>
          <w:tcPr>
            <w:tcW w:w="1276" w:type="dxa"/>
            <w:textDirection w:val="lrTb"/>
            <w:noWrap w:val="false"/>
          </w:tcPr>
          <w:p>
            <w:pPr>
              <w:pStyle w:val="1043"/>
            </w:pPr>
            <w:r/>
            <w:r/>
          </w:p>
        </w:tc>
        <w:tc>
          <w:tcPr>
            <w:tcW w:w="1047" w:type="dxa"/>
            <w:textDirection w:val="lrTb"/>
            <w:noWrap w:val="false"/>
          </w:tcPr>
          <w:p>
            <w:pPr>
              <w:pStyle w:val="1043"/>
            </w:pPr>
            <w:r/>
            <w:r/>
          </w:p>
        </w:tc>
      </w:tr>
      <w:tr>
        <w:trPr>
          <w:jc w:val="center"/>
        </w:trPr>
        <w:tc>
          <w:tcPr>
            <w:tcW w:w="959" w:type="dxa"/>
            <w:textDirection w:val="lrTb"/>
            <w:noWrap w:val="false"/>
          </w:tcPr>
          <w:p>
            <w:pPr>
              <w:pStyle w:val="1043"/>
            </w:pPr>
            <w:r/>
            <w:r/>
          </w:p>
        </w:tc>
        <w:tc>
          <w:tcPr>
            <w:tcW w:w="1701" w:type="dxa"/>
            <w:textDirection w:val="lrTb"/>
            <w:noWrap w:val="false"/>
          </w:tcPr>
          <w:p>
            <w:pPr>
              <w:pStyle w:val="1043"/>
            </w:pPr>
            <w:r/>
            <w:r/>
          </w:p>
        </w:tc>
        <w:tc>
          <w:tcPr>
            <w:tcW w:w="1417" w:type="dxa"/>
            <w:textDirection w:val="lrTb"/>
            <w:noWrap w:val="false"/>
          </w:tcPr>
          <w:p>
            <w:pPr>
              <w:pStyle w:val="1043"/>
            </w:pPr>
            <w:r/>
            <w:r/>
          </w:p>
        </w:tc>
        <w:tc>
          <w:tcPr>
            <w:tcW w:w="1843" w:type="dxa"/>
            <w:textDirection w:val="lrTb"/>
            <w:noWrap w:val="false"/>
          </w:tcPr>
          <w:p>
            <w:pPr>
              <w:pStyle w:val="1043"/>
            </w:pPr>
            <w:r/>
            <w:r/>
          </w:p>
        </w:tc>
        <w:tc>
          <w:tcPr>
            <w:tcW w:w="1843" w:type="dxa"/>
            <w:textDirection w:val="lrTb"/>
            <w:noWrap w:val="false"/>
          </w:tcPr>
          <w:p>
            <w:pPr>
              <w:pStyle w:val="1043"/>
            </w:pPr>
            <w:r/>
            <w:r/>
          </w:p>
        </w:tc>
        <w:tc>
          <w:tcPr>
            <w:tcW w:w="1276" w:type="dxa"/>
            <w:textDirection w:val="lrTb"/>
            <w:noWrap w:val="false"/>
          </w:tcPr>
          <w:p>
            <w:pPr>
              <w:pStyle w:val="1043"/>
            </w:pPr>
            <w:r/>
            <w:r/>
          </w:p>
        </w:tc>
        <w:tc>
          <w:tcPr>
            <w:tcW w:w="1047" w:type="dxa"/>
            <w:textDirection w:val="lrTb"/>
            <w:noWrap w:val="false"/>
          </w:tcPr>
          <w:p>
            <w:pPr>
              <w:pStyle w:val="1043"/>
            </w:pPr>
            <w:r/>
            <w:r/>
          </w:p>
        </w:tc>
      </w:tr>
      <w:tr>
        <w:trPr>
          <w:jc w:val="center"/>
        </w:trPr>
        <w:tc>
          <w:tcPr>
            <w:tcW w:w="959" w:type="dxa"/>
            <w:textDirection w:val="lrTb"/>
            <w:noWrap w:val="false"/>
          </w:tcPr>
          <w:p>
            <w:pPr>
              <w:pStyle w:val="1043"/>
            </w:pPr>
            <w:r/>
            <w:r/>
          </w:p>
        </w:tc>
        <w:tc>
          <w:tcPr>
            <w:tcW w:w="1701" w:type="dxa"/>
            <w:textDirection w:val="lrTb"/>
            <w:noWrap w:val="false"/>
          </w:tcPr>
          <w:p>
            <w:pPr>
              <w:pStyle w:val="1043"/>
            </w:pPr>
            <w:r/>
            <w:r/>
          </w:p>
        </w:tc>
        <w:tc>
          <w:tcPr>
            <w:tcW w:w="1417" w:type="dxa"/>
            <w:textDirection w:val="lrTb"/>
            <w:noWrap w:val="false"/>
          </w:tcPr>
          <w:p>
            <w:pPr>
              <w:pStyle w:val="1043"/>
            </w:pPr>
            <w:r/>
            <w:r/>
          </w:p>
        </w:tc>
        <w:tc>
          <w:tcPr>
            <w:tcW w:w="1843" w:type="dxa"/>
            <w:textDirection w:val="lrTb"/>
            <w:noWrap w:val="false"/>
          </w:tcPr>
          <w:p>
            <w:pPr>
              <w:pStyle w:val="1043"/>
            </w:pPr>
            <w:r/>
            <w:r/>
          </w:p>
        </w:tc>
        <w:tc>
          <w:tcPr>
            <w:tcW w:w="1843" w:type="dxa"/>
            <w:textDirection w:val="lrTb"/>
            <w:noWrap w:val="false"/>
          </w:tcPr>
          <w:p>
            <w:pPr>
              <w:pStyle w:val="1043"/>
            </w:pPr>
            <w:r/>
            <w:r/>
          </w:p>
        </w:tc>
        <w:tc>
          <w:tcPr>
            <w:tcW w:w="1276" w:type="dxa"/>
            <w:textDirection w:val="lrTb"/>
            <w:noWrap w:val="false"/>
          </w:tcPr>
          <w:p>
            <w:pPr>
              <w:pStyle w:val="1043"/>
            </w:pPr>
            <w:r/>
            <w:r/>
          </w:p>
        </w:tc>
        <w:tc>
          <w:tcPr>
            <w:tcW w:w="1047" w:type="dxa"/>
            <w:textDirection w:val="lrTb"/>
            <w:noWrap w:val="false"/>
          </w:tcPr>
          <w:p>
            <w:pPr>
              <w:pStyle w:val="1043"/>
            </w:pPr>
            <w:r/>
            <w:r/>
          </w:p>
        </w:tc>
      </w:tr>
    </w:tbl>
    <w:p>
      <w:pPr>
        <w:ind w:left="792" w:hanging="792"/>
        <w:spacing w:after="120" w:line="440" w:lineRule="exact"/>
        <w:rPr>
          <w:rFonts w:hint="eastAsia" w:ascii="宋体" w:hAnsi="宋体" w:cs="宋体"/>
          <w:sz w:val="24"/>
        </w:rPr>
      </w:pPr>
      <w:r>
        <w:rPr>
          <w:rFonts w:hint="eastAsia" w:ascii="宋体" w:hAnsi="宋体" w:cs="宋体"/>
          <w:sz w:val="24"/>
        </w:rPr>
      </w:r>
      <w:r/>
    </w:p>
    <w:p>
      <w:pPr>
        <w:spacing w:after="120" w:line="400" w:lineRule="exact"/>
        <w:rPr>
          <w:rFonts w:hint="eastAsia" w:ascii="宋体" w:hAnsi="宋体" w:cs="宋体"/>
          <w:sz w:val="24"/>
        </w:rPr>
      </w:pPr>
      <w:r>
        <w:rPr>
          <w:rFonts w:hint="eastAsia" w:ascii="宋体" w:hAnsi="宋体" w:cs="宋体"/>
          <w:sz w:val="24"/>
        </w:rPr>
        <w:t xml:space="preserve">注：在本表后附相关合同关键页（须包括合同服务内容、实施时间、合同金额、合同签页如果提供的是框架合同，需提供对应框架合同结算的发票或订单或结算单据)的复印件（加盖CA电子公章）</w:t>
      </w:r>
      <w:r/>
    </w:p>
    <w:p>
      <w:pPr>
        <w:ind w:left="792" w:hanging="792"/>
        <w:spacing w:after="120" w:line="440" w:lineRule="exact"/>
        <w:rPr>
          <w:rFonts w:hint="eastAsia" w:ascii="宋体" w:hAnsi="宋体" w:cs="宋体"/>
          <w:sz w:val="24"/>
        </w:rPr>
      </w:pPr>
      <w:r>
        <w:rPr>
          <w:rFonts w:hint="eastAsia" w:ascii="宋体" w:hAnsi="宋体" w:cs="宋体"/>
          <w:sz w:val="24"/>
        </w:rPr>
      </w:r>
      <w:r/>
    </w:p>
    <w:p>
      <w:pPr>
        <w:ind w:left="792" w:hanging="792"/>
        <w:spacing w:after="120" w:line="440" w:lineRule="exact"/>
        <w:rPr>
          <w:rFonts w:hint="eastAsia" w:ascii="宋体" w:hAnsi="宋体" w:cs="宋体"/>
          <w:sz w:val="24"/>
        </w:rPr>
      </w:pPr>
      <w:r>
        <w:rPr>
          <w:rFonts w:hint="eastAsia" w:ascii="宋体" w:hAnsi="宋体" w:cs="宋体"/>
          <w:sz w:val="24"/>
        </w:rPr>
      </w:r>
      <w:r/>
    </w:p>
    <w:p>
      <w:pPr>
        <w:ind w:left="792" w:hanging="792"/>
        <w:jc w:val="left"/>
        <w:spacing w:after="120" w:line="440" w:lineRule="exact"/>
        <w:rPr>
          <w:rFonts w:hint="eastAsia" w:ascii="宋体" w:hAnsi="宋体" w:cs="宋体"/>
          <w:sz w:val="24"/>
        </w:rPr>
      </w:pPr>
      <w:r>
        <w:rPr>
          <w:rFonts w:hint="eastAsia" w:ascii="宋体" w:hAnsi="宋体" w:cs="宋体"/>
          <w:sz w:val="24"/>
        </w:rPr>
        <w:t xml:space="preserve">供应商（盖章）：</w:t>
      </w:r>
      <w:r>
        <w:rPr>
          <w:rFonts w:hint="eastAsia" w:ascii="宋体" w:hAnsi="宋体" w:cs="宋体"/>
          <w:sz w:val="24"/>
          <w:u w:val="single"/>
        </w:rPr>
        <w:t xml:space="preserve">                       </w:t>
      </w:r>
      <w:r/>
    </w:p>
    <w:p>
      <w:pPr>
        <w:ind w:left="792" w:hanging="792"/>
        <w:jc w:val="left"/>
        <w:spacing w:after="120" w:line="440" w:lineRule="exact"/>
        <w:rPr>
          <w:rFonts w:hint="eastAsia" w:ascii="宋体" w:hAnsi="宋体" w:cs="宋体"/>
          <w:sz w:val="24"/>
        </w:rPr>
      </w:pPr>
      <w:r>
        <w:rPr>
          <w:rFonts w:hint="eastAsia" w:ascii="宋体" w:hAnsi="宋体" w:cs="宋体"/>
          <w:sz w:val="24"/>
        </w:rPr>
        <w:t xml:space="preserve">授权代表（签字）：</w:t>
      </w:r>
      <w:r>
        <w:rPr>
          <w:rFonts w:hint="eastAsia" w:ascii="宋体" w:hAnsi="宋体" w:cs="宋体"/>
          <w:sz w:val="24"/>
          <w:u w:val="single"/>
        </w:rPr>
        <w:t xml:space="preserve">                     </w:t>
      </w:r>
      <w:r>
        <w:rPr>
          <w:rFonts w:hint="eastAsia" w:ascii="宋体" w:hAnsi="宋体" w:cs="宋体"/>
          <w:sz w:val="24"/>
        </w:rPr>
        <w:t xml:space="preserve"> </w:t>
      </w:r>
      <w:r/>
    </w:p>
    <w:p>
      <w:pPr>
        <w:ind w:left="792" w:hanging="792"/>
        <w:jc w:val="left"/>
        <w:spacing w:after="120" w:line="440" w:lineRule="exact"/>
        <w:rPr>
          <w:rFonts w:hint="eastAsia" w:ascii="宋体" w:hAnsi="宋体" w:cs="宋体"/>
          <w:sz w:val="24"/>
        </w:rPr>
      </w:pPr>
      <w:r>
        <w:rPr>
          <w:rFonts w:hint="eastAsia" w:ascii="宋体" w:hAnsi="宋体" w:cs="宋体"/>
          <w:sz w:val="24"/>
        </w:rPr>
        <w:t xml:space="preserve">日    期：   年    月   日 </w:t>
      </w:r>
      <w:r/>
    </w:p>
    <w:p>
      <w:pPr>
        <w:pStyle w:val="1026"/>
        <w:jc w:val="left"/>
        <w:spacing w:before="145" w:after="145" w:line="360" w:lineRule="auto"/>
        <w:rPr>
          <w:rFonts w:hint="eastAsia" w:ascii="宋体" w:hAnsi="宋体" w:eastAsia="宋体"/>
          <w:sz w:val="28"/>
          <w:szCs w:val="28"/>
        </w:rPr>
      </w:pPr>
      <w:r>
        <w:rPr>
          <w:rFonts w:ascii="宋体" w:hAnsi="宋体" w:eastAsia="宋体"/>
          <w:sz w:val="28"/>
          <w:szCs w:val="28"/>
        </w:rPr>
        <w:br w:type="page" w:clear="all"/>
      </w:r>
      <w:r>
        <w:rPr>
          <w:rFonts w:hint="eastAsia" w:ascii="宋体" w:hAnsi="宋体" w:eastAsia="宋体"/>
          <w:sz w:val="28"/>
          <w:szCs w:val="28"/>
        </w:rPr>
        <w:t xml:space="preserve">附件九、</w:t>
      </w:r>
      <w:bookmarkEnd w:id="144"/>
      <w:r/>
      <w:bookmarkEnd w:id="146"/>
      <w:r>
        <w:rPr>
          <w:rFonts w:hint="eastAsia" w:ascii="宋体" w:hAnsi="宋体" w:eastAsia="宋体"/>
          <w:sz w:val="28"/>
          <w:szCs w:val="28"/>
        </w:rPr>
        <w:t xml:space="preserve">企业声明函格式</w:t>
      </w:r>
      <w:r/>
    </w:p>
    <w:p>
      <w:pPr>
        <w:pStyle w:val="1060"/>
        <w:ind w:right="14"/>
        <w:jc w:val="center"/>
        <w:spacing w:before="0" w:beforeAutospacing="0" w:after="120" w:afterAutospacing="0" w:line="460" w:lineRule="exact"/>
        <w:widowControl w:val="off"/>
        <w:rPr>
          <w:rFonts w:hint="eastAsia"/>
        </w:rPr>
      </w:pPr>
      <w:r>
        <w:rPr>
          <w:b/>
          <w:sz w:val="28"/>
          <w:szCs w:val="28"/>
          <w:lang w:bidi="ar"/>
        </w:rPr>
        <w:t xml:space="preserve">中小企业声明函（货物）</w:t>
      </w:r>
      <w:r/>
    </w:p>
    <w:p>
      <w:pPr>
        <w:pStyle w:val="106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106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106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106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w:t>
      </w:r>
      <w:r/>
    </w:p>
    <w:p>
      <w:pPr>
        <w:pStyle w:val="106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以上企业，不属于大企业的分支机构，不存在控股股东为大企业的情形，也不存在与大企业的负责人为同一人的情形。</w:t>
      </w:r>
      <w:r/>
    </w:p>
    <w:p>
      <w:pPr>
        <w:pStyle w:val="106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本企业对上述声明内容的真实性负责。如有虚假，将依法承担相应责任。</w:t>
      </w:r>
      <w:r/>
    </w:p>
    <w:p>
      <w:pPr>
        <w:pStyle w:val="106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rFonts w:hint="eastAsia"/>
          <w:spacing w:val="-5"/>
        </w:rPr>
      </w:r>
      <w:r/>
    </w:p>
    <w:p>
      <w:pPr>
        <w:pStyle w:val="1060"/>
        <w:ind w:right="208" w:firstLine="552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企业名称（盖章）：</w:t>
      </w:r>
      <w:r/>
    </w:p>
    <w:p>
      <w:pPr>
        <w:ind w:firstLine="5980"/>
        <w:jc w:val="left"/>
        <w:widowControl/>
      </w:pPr>
      <w:r>
        <w:rPr>
          <w:rFonts w:hint="eastAsia" w:ascii="宋体" w:hAnsi="宋体"/>
          <w:spacing w:val="-5"/>
          <w:sz w:val="24"/>
          <w:szCs w:val="24"/>
          <w:lang w:bidi="ar"/>
        </w:rPr>
        <w:t xml:space="preserve">日期：</w:t>
      </w:r>
      <w:r/>
    </w:p>
    <w:p>
      <w:pPr>
        <w:jc w:val="left"/>
        <w:widowControl/>
        <w:rPr>
          <w:b/>
          <w:bCs/>
          <w:sz w:val="28"/>
          <w:szCs w:val="28"/>
        </w:rPr>
      </w:pPr>
      <w:r>
        <w:rPr>
          <w:b/>
          <w:bCs/>
          <w:sz w:val="28"/>
          <w:szCs w:val="28"/>
        </w:rPr>
        <w:br w:type="page" w:clear="all"/>
      </w:r>
      <w:r/>
    </w:p>
    <w:p>
      <w:pPr>
        <w:jc w:val="center"/>
        <w:rPr>
          <w:b/>
          <w:bCs/>
          <w:sz w:val="28"/>
          <w:szCs w:val="28"/>
        </w:rPr>
      </w:pPr>
      <w:r>
        <w:rPr>
          <w:rFonts w:hint="eastAsia"/>
          <w:b/>
          <w:bCs/>
          <w:sz w:val="28"/>
          <w:szCs w:val="28"/>
        </w:rPr>
        <w:t xml:space="preserve">残疾人福利性单位声明函</w:t>
      </w:r>
      <w:r/>
    </w:p>
    <w:p>
      <w:pPr>
        <w:pStyle w:val="1043"/>
      </w:pPr>
      <w:r/>
      <w:r/>
    </w:p>
    <w:p>
      <w:pPr>
        <w:pStyle w:val="1043"/>
        <w:rPr>
          <w:spacing w:val="-5"/>
        </w:rPr>
      </w:pPr>
      <w:r>
        <w:rPr>
          <w:rFonts w:hint="eastAsia"/>
          <w:spacing w:val="-8"/>
        </w:rPr>
        <w:t xml:space="preserve">本单位郑重声明，根据《财政部</w:t>
      </w:r>
      <w:r>
        <w:rPr>
          <w:spacing w:val="-8"/>
        </w:rPr>
        <w:t xml:space="preserve"> </w:t>
      </w:r>
      <w:r>
        <w:rPr>
          <w:rFonts w:hint="eastAsia"/>
        </w:rPr>
        <w:t xml:space="preserve">民政部</w:t>
      </w:r>
      <w:r>
        <w:rPr>
          <w:spacing w:val="17"/>
        </w:rPr>
        <w:t xml:space="preserve"> </w:t>
      </w:r>
      <w:r>
        <w:rPr>
          <w:rFonts w:hint="eastAsia"/>
        </w:rPr>
        <w:t xml:space="preserve">中国残疾人联合会关于促进残疾人就业政府采</w:t>
      </w:r>
      <w:r>
        <w:t xml:space="preserve"> </w:t>
      </w:r>
      <w:r>
        <w:rPr>
          <w:rFonts w:hint="eastAsia"/>
          <w:spacing w:val="-3"/>
        </w:rPr>
        <w:t xml:space="preserve">购政策的通知》（财库〔</w:t>
      </w:r>
      <w:r>
        <w:rPr>
          <w:spacing w:val="-3"/>
        </w:rPr>
        <w:t xml:space="preserve">2017</w:t>
      </w:r>
      <w:r>
        <w:rPr>
          <w:rFonts w:hint="eastAsia"/>
          <w:spacing w:val="-3"/>
        </w:rPr>
        <w:t xml:space="preserve">〕</w:t>
      </w:r>
      <w:r>
        <w:rPr>
          <w:spacing w:val="-3"/>
        </w:rPr>
        <w:t xml:space="preserve"> </w:t>
      </w:r>
      <w:r>
        <w:t xml:space="preserve">141</w:t>
      </w:r>
      <w:r>
        <w:rPr>
          <w:spacing w:val="-48"/>
        </w:rPr>
        <w:t xml:space="preserve"> </w:t>
      </w:r>
      <w:r>
        <w:rPr>
          <w:rFonts w:hint="eastAsia"/>
        </w:rPr>
        <w:t xml:space="preserve">号）的规定，本单位为符合条件的残疾人福利性单位，</w:t>
      </w:r>
      <w:r>
        <w:t xml:space="preserve"> </w:t>
      </w:r>
      <w:r>
        <w:rPr>
          <w:rFonts w:hint="eastAsia"/>
          <w:spacing w:val="-2"/>
        </w:rPr>
        <w:t xml:space="preserve">且本单位参加</w:t>
      </w:r>
      <w:r>
        <w:rPr>
          <w:spacing w:val="-2"/>
          <w:u w:val="single"/>
        </w:rPr>
        <w:tab/>
      </w:r>
      <w:r>
        <w:rPr>
          <w:rFonts w:hint="eastAsia"/>
          <w:spacing w:val="-1"/>
        </w:rPr>
        <w:t xml:space="preserve">单位的</w:t>
      </w:r>
      <w:r>
        <w:rPr>
          <w:spacing w:val="-1"/>
          <w:u w:val="single"/>
        </w:rPr>
        <w:tab/>
      </w:r>
      <w:r>
        <w:rPr>
          <w:rFonts w:hint="eastAsia"/>
          <w:spacing w:val="-5"/>
        </w:rPr>
        <w:t xml:space="preserve">项目采购活动提供本单位制造的货物（由本单位承担工程</w:t>
      </w:r>
      <w:r/>
    </w:p>
    <w:p>
      <w:pPr>
        <w:pStyle w:val="1043"/>
      </w:pPr>
      <w:r>
        <w:t xml:space="preserve">/</w:t>
      </w:r>
      <w:r>
        <w:rPr>
          <w:rFonts w:hint="eastAsia"/>
        </w:rPr>
        <w:t xml:space="preserve">提供服务），或者提供其他残疾人福利性单位制造的货物（不包括使用非残疾人福利性单</w:t>
      </w:r>
      <w:r>
        <w:rPr>
          <w:spacing w:val="-32"/>
        </w:rPr>
        <w:t xml:space="preserve"> </w:t>
      </w:r>
      <w:r>
        <w:rPr>
          <w:rFonts w:hint="eastAsia"/>
        </w:rPr>
        <w:t xml:space="preserve">位注册商标的货物）。</w:t>
      </w:r>
      <w:r>
        <w:t xml:space="preserve"> </w:t>
      </w:r>
      <w:r/>
    </w:p>
    <w:p>
      <w:pPr>
        <w:pStyle w:val="1043"/>
      </w:pPr>
      <w:r>
        <w:rPr>
          <w:rFonts w:hint="eastAsia"/>
        </w:rPr>
        <w:t xml:space="preserve">本单位对上述声明的真实性负责。如有虚假，将依法承担相应责任。</w:t>
      </w:r>
      <w:r>
        <w:t xml:space="preserve"> </w:t>
      </w:r>
      <w:r/>
    </w:p>
    <w:p>
      <w:pPr>
        <w:pStyle w:val="1043"/>
      </w:pPr>
      <w:r/>
      <w:r/>
    </w:p>
    <w:p>
      <w:pPr>
        <w:pStyle w:val="1043"/>
      </w:pPr>
      <w:r>
        <w:rPr>
          <w:rFonts w:hint="eastAsia"/>
        </w:rPr>
        <w:t xml:space="preserve">供应商（盖章）</w:t>
      </w:r>
      <w:r>
        <w:t xml:space="preserve">: </w:t>
      </w:r>
      <w:r>
        <w:rPr>
          <w:spacing w:val="-3"/>
        </w:rPr>
        <w:t xml:space="preserve"> </w:t>
      </w:r>
      <w:r>
        <w:t xml:space="preserve">   </w:t>
      </w:r>
      <w:r>
        <w:rPr>
          <w:spacing w:val="-3"/>
        </w:rPr>
        <w:t xml:space="preserve"> </w:t>
      </w:r>
      <w:r>
        <w:t xml:space="preserve"> </w:t>
      </w:r>
      <w:r>
        <w:rPr>
          <w:spacing w:val="-3"/>
        </w:rPr>
        <w:t xml:space="preserve"> </w:t>
      </w:r>
      <w:r>
        <w:t xml:space="preserve">     </w:t>
      </w:r>
      <w:r>
        <w:rPr>
          <w:spacing w:val="-3"/>
        </w:rPr>
        <w:t xml:space="preserve"> </w:t>
      </w:r>
      <w:r>
        <w:t xml:space="preserve">   </w:t>
      </w:r>
      <w:r>
        <w:rPr>
          <w:spacing w:val="-3"/>
        </w:rPr>
        <w:t xml:space="preserve"> </w:t>
      </w:r>
      <w:r>
        <w:t xml:space="preserve">   </w:t>
      </w:r>
      <w:r>
        <w:rPr>
          <w:spacing w:val="-3"/>
        </w:rPr>
        <w:t xml:space="preserve">  </w:t>
      </w:r>
      <w:r>
        <w:t xml:space="preserve"> </w:t>
      </w:r>
      <w:r/>
    </w:p>
    <w:p>
      <w:pPr>
        <w:pStyle w:val="1043"/>
      </w:pPr>
      <w:r>
        <w:rPr>
          <w:rFonts w:hint="eastAsia"/>
        </w:rPr>
        <w:t xml:space="preserve">日</w:t>
      </w:r>
      <w:r>
        <w:t xml:space="preserve">    </w:t>
      </w:r>
      <w:r>
        <w:rPr>
          <w:rFonts w:hint="eastAsia"/>
        </w:rPr>
        <w:t xml:space="preserve">期：</w:t>
      </w:r>
      <w:r>
        <w:t xml:space="preserve">   </w:t>
      </w:r>
      <w:r>
        <w:rPr>
          <w:rFonts w:hint="eastAsia"/>
        </w:rPr>
        <w:t xml:space="preserve">年</w:t>
      </w:r>
      <w:r>
        <w:t xml:space="preserve">    </w:t>
      </w:r>
      <w:r>
        <w:rPr>
          <w:rFonts w:hint="eastAsia"/>
        </w:rPr>
        <w:t xml:space="preserve">月</w:t>
      </w:r>
      <w:r>
        <w:t xml:space="preserve">  </w:t>
      </w:r>
      <w:r>
        <w:rPr>
          <w:spacing w:val="102"/>
        </w:rPr>
        <w:t xml:space="preserve"> </w:t>
      </w:r>
      <w:r>
        <w:rPr>
          <w:rFonts w:hint="eastAsia"/>
          <w:spacing w:val="-3"/>
        </w:rPr>
        <w:t xml:space="preserve">日</w:t>
      </w:r>
      <w:r>
        <w:rPr>
          <w:b/>
          <w:bCs/>
        </w:rPr>
        <w:t xml:space="preserve"> </w:t>
      </w:r>
      <w:r/>
    </w:p>
    <w:p>
      <w:pPr>
        <w:jc w:val="center"/>
        <w:rPr>
          <w:b/>
          <w:bCs/>
          <w:sz w:val="28"/>
          <w:szCs w:val="28"/>
        </w:rPr>
      </w:pPr>
      <w:r>
        <w:rPr>
          <w:b/>
          <w:bCs/>
          <w:sz w:val="28"/>
          <w:szCs w:val="28"/>
        </w:rPr>
        <w:br w:type="page" w:clear="all"/>
      </w:r>
      <w:r>
        <w:rPr>
          <w:rFonts w:hint="eastAsia"/>
          <w:b/>
          <w:bCs/>
          <w:sz w:val="28"/>
          <w:szCs w:val="28"/>
        </w:rPr>
        <w:t xml:space="preserve">属于监狱企业的证明文件</w:t>
      </w:r>
      <w:r/>
    </w:p>
    <w:p>
      <w:pPr>
        <w:pStyle w:val="1043"/>
      </w:pPr>
      <w:r>
        <w:rPr>
          <w:rFonts w:hint="eastAsia"/>
        </w:rPr>
        <w:t xml:space="preserve">（提供由省级以上监狱管理局、戒毒管理局</w:t>
      </w:r>
      <w:r>
        <w:t xml:space="preserve">(</w:t>
      </w:r>
      <w:r>
        <w:rPr>
          <w:rFonts w:hint="eastAsia"/>
        </w:rPr>
        <w:t xml:space="preserve">含新疆生产建设兵团</w:t>
      </w:r>
      <w:r>
        <w:t xml:space="preserve">)</w:t>
      </w:r>
      <w:r>
        <w:rPr>
          <w:rFonts w:hint="eastAsia"/>
        </w:rPr>
        <w:t xml:space="preserve">出具的属于监狱企业的证</w:t>
      </w:r>
      <w:r>
        <w:t xml:space="preserve"> </w:t>
      </w:r>
      <w:r>
        <w:rPr>
          <w:rFonts w:hint="eastAsia"/>
        </w:rPr>
        <w:t xml:space="preserve">明文件）</w:t>
      </w:r>
      <w:r>
        <w:t xml:space="preserve"> </w:t>
      </w:r>
      <w:r/>
    </w:p>
    <w:p>
      <w:pPr>
        <w:pStyle w:val="1043"/>
      </w:pPr>
      <w:r/>
      <w:r/>
    </w:p>
    <w:p>
      <w:pPr>
        <w:pStyle w:val="1043"/>
      </w:pPr>
      <w:r/>
      <w:r/>
    </w:p>
    <w:p>
      <w:pPr>
        <w:jc w:val="center"/>
        <w:rPr>
          <w:sz w:val="28"/>
          <w:szCs w:val="28"/>
        </w:rPr>
      </w:pPr>
      <w:r>
        <w:rPr>
          <w:rFonts w:hint="eastAsia"/>
          <w:b/>
          <w:bCs/>
          <w:sz w:val="28"/>
          <w:szCs w:val="28"/>
        </w:rPr>
        <w:t xml:space="preserve">节能产品认证文件</w:t>
      </w:r>
      <w:r>
        <w:rPr>
          <w:sz w:val="28"/>
          <w:szCs w:val="28"/>
        </w:rPr>
        <w:t xml:space="preserve"> </w:t>
      </w:r>
      <w:r/>
    </w:p>
    <w:p>
      <w:pPr>
        <w:pStyle w:val="1043"/>
      </w:pPr>
      <w:r>
        <w:rPr>
          <w:rFonts w:hint="eastAsia"/>
        </w:rPr>
        <w:t xml:space="preserve">（提供产品在《节能产品政府采购清单》中相应的页面）</w:t>
      </w:r>
      <w:r>
        <w:t xml:space="preserve"> </w:t>
      </w:r>
      <w:r/>
    </w:p>
    <w:p>
      <w:pPr>
        <w:jc w:val="center"/>
      </w:pPr>
      <w:r/>
      <w:r/>
    </w:p>
    <w:p>
      <w:pPr>
        <w:jc w:val="center"/>
      </w:pPr>
      <w:r/>
      <w:r/>
    </w:p>
    <w:p>
      <w:pPr>
        <w:jc w:val="center"/>
      </w:pPr>
      <w:r/>
      <w:r/>
    </w:p>
    <w:p>
      <w:pPr>
        <w:jc w:val="center"/>
      </w:pPr>
      <w:r/>
      <w:r/>
    </w:p>
    <w:p>
      <w:pPr>
        <w:jc w:val="center"/>
      </w:pPr>
      <w:r/>
      <w:r/>
    </w:p>
    <w:p>
      <w:pPr>
        <w:jc w:val="center"/>
        <w:rPr>
          <w:b/>
          <w:bCs/>
          <w:sz w:val="28"/>
          <w:szCs w:val="28"/>
        </w:rPr>
      </w:pPr>
      <w:r>
        <w:rPr>
          <w:rFonts w:hint="eastAsia"/>
          <w:b/>
          <w:bCs/>
          <w:sz w:val="28"/>
          <w:szCs w:val="28"/>
        </w:rPr>
        <w:t xml:space="preserve">环境标志产品认证文件</w:t>
      </w:r>
      <w:r>
        <w:rPr>
          <w:b/>
          <w:bCs/>
          <w:sz w:val="28"/>
          <w:szCs w:val="28"/>
        </w:rPr>
        <w:t xml:space="preserve"> </w:t>
      </w:r>
      <w:r/>
    </w:p>
    <w:p>
      <w:pPr>
        <w:pStyle w:val="1043"/>
      </w:pPr>
      <w:r>
        <w:rPr>
          <w:rFonts w:hint="eastAsia"/>
        </w:rPr>
        <w:t xml:space="preserve">（提供产品在《环境标志产品政府采购清单》中相应的页面）</w:t>
      </w:r>
      <w:r>
        <w:t xml:space="preserve"> </w:t>
      </w:r>
      <w:r/>
    </w:p>
    <w:p>
      <w:r>
        <w:t xml:space="preserve"> </w:t>
      </w:r>
      <w:r/>
    </w:p>
    <w:p>
      <w:pPr>
        <w:pStyle w:val="1043"/>
      </w:pPr>
      <w:r>
        <w:t xml:space="preserve"> </w:t>
      </w:r>
      <w:r/>
    </w:p>
    <w:p>
      <w:pPr>
        <w:pStyle w:val="1043"/>
      </w:pPr>
      <w:r>
        <w:t xml:space="preserve"> </w:t>
      </w:r>
      <w:r/>
    </w:p>
    <w:p>
      <w:pPr>
        <w:pStyle w:val="1043"/>
      </w:pPr>
      <w:r>
        <w:t xml:space="preserve"> </w:t>
      </w:r>
      <w:r/>
    </w:p>
    <w:p>
      <w:pPr>
        <w:rPr>
          <w:b/>
          <w:bCs/>
          <w:sz w:val="28"/>
          <w:szCs w:val="28"/>
        </w:rPr>
      </w:pPr>
      <w:r>
        <w:rPr>
          <w:rFonts w:hint="eastAsia"/>
          <w:b/>
          <w:bCs/>
          <w:sz w:val="28"/>
          <w:szCs w:val="28"/>
        </w:rPr>
        <w:br w:type="page" w:clear="all"/>
      </w:r>
      <w:r/>
    </w:p>
    <w:p>
      <w:pPr>
        <w:jc w:val="center"/>
        <w:rPr>
          <w:rFonts w:hint="eastAsia" w:ascii="方正魏碑_GBK" w:hAnsi="方正魏碑_GBK" w:eastAsia="方正魏碑_GBK" w:cs="方正魏碑_GBK"/>
          <w:sz w:val="24"/>
          <w:szCs w:val="24"/>
        </w:rPr>
      </w:pPr>
      <w:r>
        <w:rPr>
          <w:rFonts w:hint="eastAsia"/>
          <w:b/>
          <w:bCs/>
          <w:sz w:val="28"/>
          <w:szCs w:val="28"/>
        </w:rPr>
        <w:t xml:space="preserve">关于符合本国产品标准的声明函</w:t>
      </w:r>
      <w:r/>
    </w:p>
    <w:p>
      <w:pPr>
        <w:pStyle w:val="106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06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7"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8" name="直接箭头连接符 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3"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1069"/>
          <w:rFonts w:hint="eastAsia" w:ascii="方正魏碑_GBK" w:hAnsi="方正魏碑_GBK" w:eastAsia="方正魏碑_GBK" w:cs="方正魏碑_GBK"/>
          <w:u w:val="single"/>
          <w:shd w:val="clear" w:color="auto" w:fill="ffffff"/>
        </w:rPr>
        <w:t xml:space="preserve">（产品名称1）</w:t>
      </w:r>
      <w:r>
        <w:rPr>
          <w:rStyle w:val="1069"/>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069"/>
          <w:rFonts w:hint="eastAsia" w:ascii="方正魏碑_GBK" w:hAnsi="方正魏碑_GBK" w:eastAsia="方正魏碑_GBK" w:cs="方正魏碑_GBK"/>
          <w:u w:val="single"/>
          <w:shd w:val="clear" w:color="auto" w:fill="ffffff"/>
        </w:rPr>
        <w:t xml:space="preserve">（厂名）</w:t>
      </w:r>
      <w:r>
        <w:rPr>
          <w:rStyle w:val="1069"/>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069"/>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069"/>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069"/>
          <w:rFonts w:hint="eastAsia" w:ascii="方正魏碑_GBK" w:hAnsi="方正魏碑_GBK" w:eastAsia="方正魏碑_GBK" w:cs="方正魏碑_GBK"/>
          <w:u w:val="single"/>
          <w:shd w:val="clear" w:color="auto" w:fill="ffffff"/>
        </w:rPr>
        <w:t xml:space="preserve">（规定</w:t>
      </w:r>
      <w:r>
        <w:rPr>
          <w:rStyle w:val="1069"/>
          <w:rFonts w:ascii="方正魏碑_GBK" w:hAnsi="方正魏碑_GBK" w:eastAsia="方正魏碑_GBK" w:cs="方正魏碑_GBK"/>
          <w:u w:val="single"/>
          <w:shd w:val="clear" w:color="auto" w:fill="ffffff"/>
        </w:rPr>
        <w:t xml:space="preserve">比例</w:t>
      </w:r>
      <w:r>
        <w:rPr>
          <w:rStyle w:val="1069"/>
          <w:rFonts w:hint="eastAsia" w:ascii="方正魏碑_GBK" w:hAnsi="方正魏碑_GBK" w:eastAsia="方正魏碑_GBK" w:cs="方正魏碑_GBK"/>
          <w:u w:val="single"/>
          <w:shd w:val="clear" w:color="auto" w:fill="ffffff"/>
        </w:rPr>
        <w:t xml:space="preserve">）</w:t>
      </w:r>
      <w:r>
        <w:rPr>
          <w:rStyle w:val="1069"/>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069"/>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069"/>
          <w:rFonts w:hint="eastAsia" w:ascii="方正魏碑_GBK" w:hAnsi="方正魏碑_GBK" w:eastAsia="方正魏碑_GBK" w:cs="方正魏碑_GBK"/>
          <w:u w:val="single"/>
          <w:shd w:val="clear" w:color="auto" w:fill="ffffff"/>
        </w:rPr>
        <w:t xml:space="preserve">（关键</w:t>
      </w:r>
      <w:r>
        <w:rPr>
          <w:rStyle w:val="1069"/>
          <w:rFonts w:ascii="方正魏碑_GBK" w:hAnsi="方正魏碑_GBK" w:eastAsia="方正魏碑_GBK" w:cs="方正魏碑_GBK"/>
          <w:u w:val="single"/>
          <w:shd w:val="clear" w:color="auto" w:fill="ffffff"/>
        </w:rPr>
        <w:t xml:space="preserve">组件</w:t>
      </w:r>
      <w:r>
        <w:rPr>
          <w:rStyle w:val="1069"/>
          <w:rFonts w:hint="eastAsia" w:ascii="方正魏碑_GBK" w:hAnsi="方正魏碑_GBK" w:eastAsia="方正魏碑_GBK" w:cs="方正魏碑_GBK"/>
          <w:u w:val="single"/>
          <w:shd w:val="clear" w:color="auto" w:fill="ffffff"/>
        </w:rPr>
        <w:t xml:space="preserve">）</w:t>
      </w:r>
      <w:r>
        <w:rPr>
          <w:rStyle w:val="1069"/>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069"/>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069"/>
          <w:rFonts w:hint="eastAsia" w:ascii="方正魏碑_GBK" w:hAnsi="方正魏碑_GBK" w:eastAsia="方正魏碑_GBK" w:cs="方正魏碑_GBK"/>
          <w:u w:val="single"/>
          <w:shd w:val="clear" w:color="auto" w:fill="ffffff"/>
        </w:rPr>
        <w:t xml:space="preserve">（关键工序）</w:t>
      </w:r>
      <w:r>
        <w:rPr>
          <w:rStyle w:val="1069"/>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106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8"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9"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20"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1"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22" name="直接箭头连接符 1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1069"/>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069"/>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069"/>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069"/>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069"/>
          <w:rFonts w:hint="eastAsia" w:ascii="方正魏碑_GBK" w:hAnsi="方正魏碑_GBK" w:eastAsia="方正魏碑_GBK" w:cs="方正魏碑_GBK"/>
          <w:u w:val="single"/>
          <w:shd w:val="clear" w:color="auto" w:fill="ffffff"/>
        </w:rPr>
        <w:t xml:space="preserve">（规定</w:t>
      </w:r>
      <w:r>
        <w:rPr>
          <w:rStyle w:val="1069"/>
          <w:rFonts w:ascii="方正魏碑_GBK" w:hAnsi="方正魏碑_GBK" w:eastAsia="方正魏碑_GBK" w:cs="方正魏碑_GBK"/>
          <w:u w:val="single"/>
          <w:shd w:val="clear" w:color="auto" w:fill="ffffff"/>
        </w:rPr>
        <w:t xml:space="preserve">比例</w:t>
      </w:r>
      <w:r>
        <w:rPr>
          <w:rStyle w:val="1069"/>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069"/>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069"/>
          <w:rFonts w:hint="eastAsia" w:ascii="方正魏碑_GBK" w:hAnsi="方正魏碑_GBK" w:eastAsia="方正魏碑_GBK" w:cs="方正魏碑_GBK"/>
          <w:u w:val="single"/>
          <w:shd w:val="clear" w:color="auto" w:fill="ffffff"/>
        </w:rPr>
        <w:t xml:space="preserve">（关键</w:t>
      </w:r>
      <w:r>
        <w:rPr>
          <w:rStyle w:val="1069"/>
          <w:rFonts w:ascii="方正魏碑_GBK" w:hAnsi="方正魏碑_GBK" w:eastAsia="方正魏碑_GBK" w:cs="方正魏碑_GBK"/>
          <w:u w:val="single"/>
          <w:shd w:val="clear" w:color="auto" w:fill="ffffff"/>
        </w:rPr>
        <w:t xml:space="preserve">组件</w:t>
      </w:r>
      <w:r>
        <w:rPr>
          <w:rStyle w:val="1069"/>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069"/>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069"/>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106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106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106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060"/>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1060"/>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106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106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106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106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106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1060"/>
        <w:spacing w:before="30" w:beforeAutospacing="0" w:after="30"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1060"/>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1036"/>
        <w:ind w:firstLine="0"/>
      </w:pPr>
      <w:r/>
      <w:r/>
    </w:p>
    <w:p>
      <w:pPr>
        <w:pStyle w:val="1026"/>
        <w:jc w:val="left"/>
        <w:spacing w:before="145" w:after="145" w:line="360" w:lineRule="auto"/>
        <w:rPr>
          <w:rFonts w:hint="eastAsia" w:ascii="宋体" w:hAnsi="宋体" w:eastAsia="宋体"/>
          <w:sz w:val="32"/>
          <w:szCs w:val="32"/>
        </w:rPr>
      </w:pPr>
      <w:r>
        <w:rPr>
          <w:rFonts w:ascii="宋体" w:hAnsi="宋体" w:eastAsia="宋体"/>
          <w:sz w:val="28"/>
          <w:szCs w:val="28"/>
        </w:rPr>
        <w:br w:type="page" w:clear="all"/>
      </w:r>
      <w:bookmarkStart w:id="147" w:name="_Toc24962251"/>
      <w:r>
        <w:rPr>
          <w:rFonts w:hint="eastAsia" w:ascii="宋体" w:hAnsi="宋体" w:eastAsia="宋体"/>
          <w:sz w:val="28"/>
          <w:szCs w:val="28"/>
        </w:rPr>
        <w:t xml:space="preserve">附件十、技术规范偏离表</w:t>
      </w:r>
      <w:bookmarkEnd w:id="147"/>
      <w:r/>
      <w:r/>
    </w:p>
    <w:p>
      <w:pPr>
        <w:pStyle w:val="1043"/>
      </w:pPr>
      <w:r>
        <w:rPr>
          <w:rFonts w:hint="eastAsia"/>
        </w:rPr>
        <w:t xml:space="preserve">技术规范偏离表</w:t>
      </w:r>
      <w:r/>
    </w:p>
    <w:p>
      <w:pPr>
        <w:spacing w:line="360" w:lineRule="auto"/>
        <w:rPr>
          <w:rFonts w:hint="eastAsia" w:ascii="宋体" w:hAnsi="宋体"/>
          <w:spacing w:val="-1"/>
          <w:sz w:val="24"/>
          <w:szCs w:val="24"/>
        </w:rPr>
      </w:pPr>
      <w:r>
        <w:rPr>
          <w:rFonts w:hint="eastAsia" w:ascii="宋体" w:hAnsi="宋体"/>
          <w:spacing w:val="-2"/>
          <w:sz w:val="24"/>
          <w:szCs w:val="24"/>
        </w:rPr>
        <w:t xml:space="preserve">项目名称：</w:t>
      </w:r>
      <w:r>
        <w:rPr>
          <w:rFonts w:ascii="宋体" w:hAnsi="宋体"/>
          <w:spacing w:val="-2"/>
          <w:sz w:val="24"/>
          <w:szCs w:val="24"/>
          <w:u w:val="single"/>
        </w:rPr>
        <w:tab/>
      </w:r>
      <w:r>
        <w:rPr>
          <w:rFonts w:ascii="宋体" w:hAnsi="宋体"/>
          <w:spacing w:val="-2"/>
          <w:sz w:val="24"/>
          <w:szCs w:val="24"/>
          <w:u w:val="single"/>
        </w:rPr>
        <w:t xml:space="preserve">                                    </w:t>
      </w:r>
      <w:r>
        <w:rPr>
          <w:rFonts w:ascii="宋体" w:hAnsi="宋体"/>
          <w:spacing w:val="-2"/>
          <w:sz w:val="24"/>
          <w:szCs w:val="24"/>
        </w:rPr>
        <w:t xml:space="preserve">   </w:t>
      </w:r>
      <w:r>
        <w:rPr>
          <w:rFonts w:hint="eastAsia" w:ascii="宋体" w:hAnsi="宋体"/>
          <w:spacing w:val="-1"/>
          <w:sz w:val="24"/>
          <w:szCs w:val="24"/>
        </w:rPr>
        <w:t xml:space="preserve">项目编号：</w:t>
      </w:r>
      <w:r>
        <w:rPr>
          <w:rFonts w:hint="eastAsia" w:ascii="宋体" w:hAnsi="宋体"/>
          <w:spacing w:val="-1"/>
          <w:sz w:val="24"/>
          <w:szCs w:val="24"/>
          <w:u w:val="single"/>
        </w:rPr>
        <w:t xml:space="preserve"> </w:t>
      </w:r>
      <w:r>
        <w:rPr>
          <w:rFonts w:ascii="宋体" w:hAnsi="宋体"/>
          <w:spacing w:val="-1"/>
          <w:sz w:val="24"/>
          <w:szCs w:val="24"/>
          <w:u w:val="single"/>
        </w:rPr>
        <w:t xml:space="preserve">                 </w:t>
      </w:r>
      <w:r>
        <w:rPr>
          <w:rFonts w:ascii="宋体" w:hAnsi="宋体"/>
          <w:spacing w:val="-1"/>
          <w:sz w:val="24"/>
          <w:szCs w:val="24"/>
        </w:rPr>
        <w:t xml:space="preserve">  </w:t>
      </w:r>
      <w:r/>
    </w:p>
    <w:p>
      <w:pPr>
        <w:pStyle w:val="1241"/>
        <w:ind w:firstLine="0"/>
        <w:spacing w:line="400" w:lineRule="exact"/>
        <w:rPr>
          <w:rFonts w:hint="eastAsia" w:ascii="宋体" w:hAnsi="宋体" w:cs="宋体"/>
        </w:rPr>
      </w:pPr>
      <w:r>
        <w:rPr>
          <w:rFonts w:hint="eastAsia" w:ascii="宋体" w:hAnsi="宋体" w:cs="宋体"/>
        </w:rPr>
      </w:r>
      <w:r/>
    </w:p>
    <w:tbl>
      <w:tblPr>
        <w:tblStyle w:val="1035"/>
        <w:tblW w:w="9112" w:type="dxa"/>
        <w:tblInd w:w="97" w:type="dxa"/>
        <w:tblLayout w:type="fixed"/>
        <w:tblCellMar>
          <w:left w:w="0" w:type="dxa"/>
          <w:top w:w="0" w:type="dxa"/>
          <w:right w:w="0" w:type="dxa"/>
          <w:bottom w:w="0" w:type="dxa"/>
        </w:tblCellMar>
        <w:tblLook w:val="04A0" w:firstRow="1" w:lastRow="0" w:firstColumn="1" w:lastColumn="0" w:noHBand="0" w:noVBand="1"/>
      </w:tblPr>
      <w:tblGrid>
        <w:gridCol w:w="686"/>
        <w:gridCol w:w="2047"/>
        <w:gridCol w:w="3544"/>
        <w:gridCol w:w="1418"/>
        <w:gridCol w:w="1417"/>
      </w:tblGrid>
      <w:tr>
        <w:trPr>
          <w:trHeight w:val="475" w:hRule="exact"/>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261"/>
              <w:jc w:val="center"/>
              <w:spacing w:line="248" w:lineRule="exact"/>
              <w:rPr>
                <w:rFonts w:hint="eastAsia" w:ascii="宋体" w:hAnsi="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1261"/>
              <w:jc w:val="center"/>
              <w:spacing w:line="248" w:lineRule="exact"/>
              <w:rPr>
                <w:rFonts w:hint="eastAsia" w:ascii="宋体" w:hAnsi="宋体"/>
                <w:sz w:val="24"/>
              </w:rPr>
            </w:pPr>
            <w:r>
              <w:rPr>
                <w:rFonts w:hint="eastAsia" w:ascii="宋体" w:hAnsi="宋体" w:cs="宋体"/>
                <w:sz w:val="24"/>
              </w:rPr>
              <w:t xml:space="preserve">采购文件条目号</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261"/>
              <w:ind w:left="35"/>
              <w:jc w:val="center"/>
              <w:spacing w:line="248" w:lineRule="exact"/>
              <w:rPr>
                <w:rFonts w:hint="eastAsia" w:ascii="宋体" w:hAnsi="宋体"/>
                <w:sz w:val="24"/>
              </w:rPr>
            </w:pPr>
            <w:r>
              <w:rPr>
                <w:rFonts w:hint="eastAsia" w:ascii="宋体" w:hAnsi="宋体" w:cs="宋体"/>
                <w:sz w:val="24"/>
              </w:rPr>
              <w:t xml:space="preserve">采购文件要求的技术规范条款</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261"/>
              <w:jc w:val="center"/>
              <w:spacing w:line="248" w:lineRule="exact"/>
              <w:rPr>
                <w:rFonts w:hint="eastAsia" w:ascii="宋体" w:hAnsi="宋体"/>
                <w:sz w:val="24"/>
              </w:rPr>
            </w:pPr>
            <w:r>
              <w:rPr>
                <w:rFonts w:hint="eastAsia" w:ascii="宋体" w:hAnsi="宋体" w:cs="宋体"/>
                <w:sz w:val="24"/>
              </w:rPr>
              <w:t xml:space="preserve">谈判响应</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261"/>
              <w:ind w:left="91" w:right="-13"/>
              <w:jc w:val="center"/>
              <w:spacing w:line="248" w:lineRule="exact"/>
              <w:rPr>
                <w:rFonts w:hint="eastAsia" w:ascii="宋体" w:hAnsi="宋体"/>
                <w:sz w:val="24"/>
              </w:rPr>
            </w:pPr>
            <w:r>
              <w:rPr>
                <w:rFonts w:hint="eastAsia" w:ascii="宋体" w:hAnsi="宋体" w:cs="宋体"/>
                <w:sz w:val="24"/>
              </w:rPr>
              <w:t xml:space="preserve">偏离说明</w:t>
            </w:r>
            <w:r/>
          </w:p>
        </w:tc>
      </w:tr>
      <w:tr>
        <w:trPr>
          <w:trHeight w:val="472"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261"/>
              <w:ind w:left="103"/>
              <w:jc w:val="center"/>
              <w:spacing w:line="248" w:lineRule="exact"/>
              <w:rPr>
                <w:rFonts w:hint="eastAsia"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1261"/>
              <w:ind w:left="104"/>
              <w:jc w:val="center"/>
              <w:spacing w:line="248" w:lineRule="exac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261"/>
              <w:ind w:left="102"/>
              <w:jc w:val="center"/>
              <w:spacing w:line="248" w:lineRule="exac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261"/>
              <w:ind w:left="102"/>
              <w:jc w:val="center"/>
              <w:spacing w:line="248" w:lineRule="exact"/>
              <w:rPr>
                <w:rFonts w:hint="eastAsia"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261"/>
              <w:ind w:left="103"/>
              <w:jc w:val="center"/>
              <w:spacing w:line="248" w:lineRule="exact"/>
              <w:rPr>
                <w:rFonts w:hint="eastAsia" w:ascii="宋体" w:hAnsi="宋体"/>
                <w:sz w:val="24"/>
              </w:rPr>
            </w:pPr>
            <w:r>
              <w:rPr>
                <w:rFonts w:ascii="宋体" w:hAnsi="宋体" w:cs="宋体"/>
                <w:sz w:val="24"/>
              </w:rPr>
              <w:t xml:space="preserve"> </w:t>
            </w:r>
            <w:r/>
          </w:p>
        </w:tc>
      </w:tr>
      <w:tr>
        <w:trPr>
          <w:trHeight w:val="475"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261"/>
              <w:ind w:left="103"/>
              <w:jc w:val="center"/>
              <w:spacing w:line="248" w:lineRule="exact"/>
              <w:rPr>
                <w:rFonts w:hint="eastAsia"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1261"/>
              <w:ind w:left="104"/>
              <w:jc w:val="center"/>
              <w:spacing w:line="248" w:lineRule="exac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261"/>
              <w:ind w:left="102"/>
              <w:jc w:val="center"/>
              <w:spacing w:line="248" w:lineRule="exac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261"/>
              <w:ind w:left="102"/>
              <w:jc w:val="center"/>
              <w:spacing w:line="248" w:lineRule="exact"/>
              <w:rPr>
                <w:rFonts w:hint="eastAsia"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261"/>
              <w:ind w:left="103"/>
              <w:jc w:val="center"/>
              <w:spacing w:line="248" w:lineRule="exact"/>
              <w:rPr>
                <w:rFonts w:hint="eastAsia" w:ascii="宋体" w:hAnsi="宋体"/>
                <w:sz w:val="24"/>
              </w:rPr>
            </w:pPr>
            <w:r>
              <w:rPr>
                <w:rFonts w:ascii="宋体" w:hAnsi="宋体" w:cs="宋体"/>
                <w:sz w:val="24"/>
              </w:rPr>
              <w:t xml:space="preserve"> </w:t>
            </w:r>
            <w:r/>
          </w:p>
        </w:tc>
      </w:tr>
      <w:tr>
        <w:trPr>
          <w:trHeight w:val="477"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261"/>
              <w:ind w:left="103"/>
              <w:jc w:val="center"/>
              <w:spacing w:line="248" w:lineRule="exact"/>
              <w:rPr>
                <w:rFonts w:hint="eastAsia"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1261"/>
              <w:ind w:left="104"/>
              <w:jc w:val="center"/>
              <w:spacing w:line="248" w:lineRule="exac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261"/>
              <w:ind w:left="102"/>
              <w:jc w:val="center"/>
              <w:spacing w:line="248" w:lineRule="exac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261"/>
              <w:ind w:left="102"/>
              <w:jc w:val="center"/>
              <w:spacing w:line="248" w:lineRule="exact"/>
              <w:rPr>
                <w:rFonts w:hint="eastAsia"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261"/>
              <w:ind w:left="103"/>
              <w:jc w:val="center"/>
              <w:spacing w:line="248" w:lineRule="exact"/>
              <w:rPr>
                <w:rFonts w:hint="eastAsia" w:ascii="宋体" w:hAnsi="宋体"/>
                <w:sz w:val="24"/>
              </w:rPr>
            </w:pPr>
            <w:r>
              <w:rPr>
                <w:rFonts w:ascii="宋体" w:hAnsi="宋体" w:cs="宋体"/>
                <w:sz w:val="24"/>
              </w:rPr>
              <w:t xml:space="preserve"> </w:t>
            </w:r>
            <w:r/>
          </w:p>
        </w:tc>
      </w:tr>
      <w:tr>
        <w:trPr>
          <w:trHeight w:val="472"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261"/>
              <w:ind w:left="103"/>
              <w:jc w:val="center"/>
              <w:spacing w:line="246" w:lineRule="exact"/>
              <w:rPr>
                <w:rFonts w:hint="eastAsia"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1261"/>
              <w:ind w:left="104"/>
              <w:jc w:val="center"/>
              <w:spacing w:line="246" w:lineRule="exac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261"/>
              <w:ind w:left="102"/>
              <w:jc w:val="center"/>
              <w:spacing w:line="246" w:lineRule="exac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261"/>
              <w:ind w:left="102"/>
              <w:jc w:val="center"/>
              <w:spacing w:line="246" w:lineRule="exact"/>
              <w:rPr>
                <w:rFonts w:hint="eastAsia"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261"/>
              <w:ind w:left="103"/>
              <w:jc w:val="center"/>
              <w:spacing w:line="246" w:lineRule="exact"/>
              <w:rPr>
                <w:rFonts w:hint="eastAsia" w:ascii="宋体" w:hAnsi="宋体"/>
                <w:sz w:val="24"/>
              </w:rPr>
            </w:pPr>
            <w:r>
              <w:rPr>
                <w:rFonts w:ascii="宋体" w:hAnsi="宋体" w:cs="宋体"/>
                <w:sz w:val="24"/>
              </w:rPr>
              <w:t xml:space="preserve"> </w:t>
            </w:r>
            <w:r/>
          </w:p>
        </w:tc>
      </w:tr>
      <w:tr>
        <w:trPr>
          <w:trHeight w:val="475"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261"/>
              <w:ind w:left="103"/>
              <w:jc w:val="center"/>
              <w:spacing w:line="248" w:lineRule="exact"/>
              <w:rPr>
                <w:rFonts w:hint="eastAsia"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1261"/>
              <w:ind w:left="104"/>
              <w:jc w:val="center"/>
              <w:spacing w:line="248" w:lineRule="exac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261"/>
              <w:ind w:left="102"/>
              <w:jc w:val="center"/>
              <w:spacing w:line="248" w:lineRule="exac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261"/>
              <w:ind w:left="102"/>
              <w:jc w:val="center"/>
              <w:spacing w:line="248" w:lineRule="exact"/>
              <w:rPr>
                <w:rFonts w:hint="eastAsia"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261"/>
              <w:ind w:left="103"/>
              <w:jc w:val="center"/>
              <w:spacing w:line="248" w:lineRule="exact"/>
              <w:rPr>
                <w:rFonts w:hint="eastAsia" w:ascii="宋体" w:hAnsi="宋体"/>
                <w:sz w:val="24"/>
              </w:rPr>
            </w:pPr>
            <w:r>
              <w:rPr>
                <w:rFonts w:ascii="宋体" w:hAnsi="宋体" w:cs="宋体"/>
                <w:sz w:val="24"/>
              </w:rPr>
              <w:t xml:space="preserve"> </w:t>
            </w:r>
            <w:r/>
          </w:p>
        </w:tc>
      </w:tr>
      <w:tr>
        <w:trPr>
          <w:trHeight w:val="475"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261"/>
              <w:ind w:left="103"/>
              <w:jc w:val="center"/>
              <w:spacing w:line="248"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1261"/>
              <w:ind w:left="104"/>
              <w:jc w:val="center"/>
              <w:spacing w:line="248" w:lineRule="exact"/>
              <w:rPr>
                <w:rFonts w:hint="eastAsia" w:ascii="仿宋_GB2312" w:hAnsi="黑体" w:eastAsia="仿宋_GB2312"/>
                <w:sz w:val="24"/>
              </w:rPr>
            </w:pPr>
            <w:r>
              <w:rPr>
                <w:rFonts w:hint="eastAsia" w:ascii="仿宋_GB2312" w:hAnsi="黑体" w:eastAsia="仿宋_GB2312"/>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261"/>
              <w:ind w:left="102"/>
              <w:jc w:val="center"/>
              <w:spacing w:line="248" w:lineRule="exact"/>
              <w:rPr>
                <w:rFonts w:hint="eastAsia" w:ascii="仿宋_GB2312" w:hAnsi="黑体" w:eastAsia="仿宋_GB2312"/>
                <w:sz w:val="24"/>
              </w:rPr>
            </w:pPr>
            <w:r>
              <w:rPr>
                <w:rFonts w:hint="eastAsia" w:ascii="仿宋_GB2312" w:hAnsi="黑体" w:eastAsia="仿宋_GB2312"/>
                <w:sz w:val="24"/>
              </w:rPr>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261"/>
              <w:ind w:left="102"/>
              <w:jc w:val="center"/>
              <w:spacing w:line="248"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261"/>
              <w:ind w:left="103"/>
              <w:jc w:val="center"/>
              <w:spacing w:line="248" w:lineRule="exact"/>
              <w:rPr>
                <w:rFonts w:hint="eastAsia" w:ascii="宋体" w:hAnsi="宋体" w:cs="宋体"/>
                <w:sz w:val="24"/>
              </w:rPr>
            </w:pPr>
            <w:r>
              <w:rPr>
                <w:rFonts w:hint="eastAsia" w:ascii="宋体" w:hAnsi="宋体" w:cs="宋体"/>
                <w:sz w:val="24"/>
              </w:rPr>
            </w:r>
            <w:r/>
          </w:p>
        </w:tc>
      </w:tr>
      <w:tr>
        <w:trPr>
          <w:trHeight w:val="475"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261"/>
              <w:ind w:left="103"/>
              <w:jc w:val="center"/>
              <w:spacing w:line="248"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1261"/>
              <w:ind w:left="104"/>
              <w:jc w:val="center"/>
              <w:spacing w:line="248" w:lineRule="exact"/>
              <w:rPr>
                <w:rFonts w:hint="eastAsia" w:ascii="仿宋_GB2312" w:hAnsi="黑体" w:eastAsia="仿宋_GB2312"/>
                <w:sz w:val="24"/>
              </w:rPr>
            </w:pPr>
            <w:r>
              <w:rPr>
                <w:rFonts w:hint="eastAsia" w:ascii="仿宋_GB2312" w:hAnsi="黑体" w:eastAsia="仿宋_GB2312"/>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261"/>
              <w:ind w:left="102"/>
              <w:jc w:val="center"/>
              <w:spacing w:line="248" w:lineRule="exact"/>
              <w:rPr>
                <w:rFonts w:hint="eastAsia" w:ascii="仿宋_GB2312" w:hAnsi="黑体" w:eastAsia="仿宋_GB2312"/>
                <w:sz w:val="24"/>
              </w:rPr>
            </w:pPr>
            <w:r>
              <w:rPr>
                <w:rFonts w:hint="eastAsia" w:ascii="仿宋_GB2312" w:hAnsi="黑体" w:eastAsia="仿宋_GB2312"/>
                <w:sz w:val="24"/>
              </w:rPr>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261"/>
              <w:ind w:left="102"/>
              <w:jc w:val="center"/>
              <w:spacing w:line="248"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261"/>
              <w:ind w:left="103"/>
              <w:jc w:val="center"/>
              <w:spacing w:line="248" w:lineRule="exact"/>
              <w:rPr>
                <w:rFonts w:hint="eastAsia" w:ascii="宋体" w:hAnsi="宋体" w:cs="宋体"/>
                <w:sz w:val="24"/>
              </w:rPr>
            </w:pPr>
            <w:r>
              <w:rPr>
                <w:rFonts w:hint="eastAsia" w:ascii="宋体" w:hAnsi="宋体" w:cs="宋体"/>
                <w:sz w:val="24"/>
              </w:rPr>
            </w:r>
            <w:r/>
          </w:p>
        </w:tc>
      </w:tr>
      <w:tr>
        <w:trPr>
          <w:trHeight w:val="475"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261"/>
              <w:ind w:left="103"/>
              <w:jc w:val="center"/>
              <w:spacing w:line="248"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1261"/>
              <w:ind w:left="104"/>
              <w:jc w:val="center"/>
              <w:spacing w:line="248" w:lineRule="exact"/>
              <w:rPr>
                <w:rFonts w:hint="eastAsia" w:ascii="仿宋_GB2312" w:hAnsi="黑体" w:eastAsia="仿宋_GB2312"/>
                <w:sz w:val="24"/>
              </w:rPr>
            </w:pPr>
            <w:r>
              <w:rPr>
                <w:rFonts w:hint="eastAsia" w:ascii="仿宋_GB2312" w:hAnsi="黑体" w:eastAsia="仿宋_GB2312"/>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261"/>
              <w:ind w:left="102"/>
              <w:jc w:val="center"/>
              <w:spacing w:line="248" w:lineRule="exact"/>
              <w:rPr>
                <w:rFonts w:hint="eastAsia" w:ascii="仿宋_GB2312" w:hAnsi="黑体" w:eastAsia="仿宋_GB2312"/>
                <w:sz w:val="24"/>
              </w:rPr>
            </w:pPr>
            <w:r>
              <w:rPr>
                <w:rFonts w:hint="eastAsia" w:ascii="仿宋_GB2312" w:hAnsi="黑体" w:eastAsia="仿宋_GB2312"/>
                <w:sz w:val="24"/>
              </w:rPr>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261"/>
              <w:ind w:left="102"/>
              <w:jc w:val="center"/>
              <w:spacing w:line="248"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261"/>
              <w:ind w:left="103"/>
              <w:jc w:val="center"/>
              <w:spacing w:line="248" w:lineRule="exact"/>
              <w:rPr>
                <w:rFonts w:hint="eastAsia" w:ascii="宋体" w:hAnsi="宋体" w:cs="宋体"/>
                <w:sz w:val="24"/>
              </w:rPr>
            </w:pPr>
            <w:r>
              <w:rPr>
                <w:rFonts w:hint="eastAsia" w:ascii="宋体" w:hAnsi="宋体" w:cs="宋体"/>
                <w:sz w:val="24"/>
              </w:rPr>
            </w:r>
            <w:r/>
          </w:p>
        </w:tc>
      </w:tr>
    </w:tbl>
    <w:p>
      <w:pPr>
        <w:pStyle w:val="1043"/>
      </w:pPr>
      <w:r>
        <w:rPr>
          <w:rFonts w:hint="eastAsia"/>
        </w:rPr>
        <w:t xml:space="preserve">注：仅填写有偏离的条款，如本表为空，则代表全部响应。</w:t>
      </w:r>
      <w:r/>
    </w:p>
    <w:p>
      <w:pPr>
        <w:pStyle w:val="1043"/>
      </w:pPr>
      <w:r/>
      <w:r/>
    </w:p>
    <w:p>
      <w:pPr>
        <w:pStyle w:val="1043"/>
      </w:pPr>
      <w:r/>
      <w:r/>
    </w:p>
    <w:p>
      <w:pPr>
        <w:pStyle w:val="1043"/>
      </w:pPr>
      <w:r>
        <w:rPr>
          <w:rFonts w:hint="eastAsia"/>
        </w:rPr>
        <w:t xml:space="preserve">供应商（盖章）</w:t>
      </w:r>
      <w:r>
        <w:t xml:space="preserve">: </w:t>
      </w:r>
      <w:r>
        <w:rPr>
          <w:spacing w:val="-3"/>
        </w:rPr>
        <w:t xml:space="preserve"> </w:t>
      </w:r>
      <w:r>
        <w:t xml:space="preserve">   </w:t>
      </w:r>
      <w:r>
        <w:rPr>
          <w:spacing w:val="-2"/>
        </w:rPr>
        <w:t xml:space="preserve"> </w:t>
      </w:r>
      <w:r>
        <w:t xml:space="preserve"> </w:t>
      </w:r>
      <w:r>
        <w:rPr>
          <w:spacing w:val="-3"/>
        </w:rPr>
        <w:t xml:space="preserve"> </w:t>
      </w:r>
      <w:r>
        <w:t xml:space="preserve">     </w:t>
      </w:r>
      <w:r>
        <w:rPr>
          <w:spacing w:val="-3"/>
        </w:rPr>
        <w:t xml:space="preserve"> </w:t>
      </w:r>
      <w:r>
        <w:t xml:space="preserve">   </w:t>
      </w:r>
      <w:r>
        <w:rPr>
          <w:spacing w:val="-3"/>
        </w:rPr>
        <w:t xml:space="preserve"> </w:t>
      </w:r>
      <w:r>
        <w:t xml:space="preserve">   </w:t>
      </w:r>
      <w:r>
        <w:rPr>
          <w:spacing w:val="-3"/>
        </w:rPr>
        <w:t xml:space="preserve">  </w:t>
      </w:r>
      <w:r>
        <w:t xml:space="preserve"> </w:t>
      </w:r>
      <w:r/>
    </w:p>
    <w:p>
      <w:pPr>
        <w:pStyle w:val="1043"/>
      </w:pPr>
      <w:r>
        <w:rPr>
          <w:rFonts w:hint="eastAsia"/>
        </w:rPr>
        <w:t xml:space="preserve">授权代表（签字）：</w:t>
      </w:r>
      <w:r>
        <w:t xml:space="preserve">   </w:t>
      </w:r>
      <w:r>
        <w:rPr>
          <w:spacing w:val="-3"/>
        </w:rPr>
        <w:t xml:space="preserve"> </w:t>
      </w:r>
      <w:r>
        <w:t xml:space="preserve">     </w:t>
      </w:r>
      <w:r>
        <w:rPr>
          <w:spacing w:val="-3"/>
        </w:rPr>
        <w:t xml:space="preserve"> </w:t>
      </w:r>
      <w:r>
        <w:t xml:space="preserve">   </w:t>
      </w:r>
      <w:r>
        <w:rPr>
          <w:spacing w:val="-3"/>
        </w:rPr>
        <w:t xml:space="preserve"> </w:t>
      </w:r>
      <w:r>
        <w:t xml:space="preserve">    </w:t>
      </w:r>
      <w:r>
        <w:rPr>
          <w:spacing w:val="-3"/>
        </w:rPr>
        <w:t xml:space="preserve"> </w:t>
      </w:r>
      <w:r>
        <w:t xml:space="preserve"> </w:t>
      </w:r>
      <w:r>
        <w:rPr>
          <w:spacing w:val="-2"/>
        </w:rPr>
        <w:t xml:space="preserve"> </w:t>
      </w:r>
      <w:r/>
    </w:p>
    <w:p>
      <w:pPr>
        <w:pStyle w:val="1043"/>
        <w:rPr>
          <w:spacing w:val="-3"/>
        </w:rPr>
      </w:pPr>
      <w:r>
        <w:rPr>
          <w:rFonts w:hint="eastAsia"/>
        </w:rPr>
        <w:t xml:space="preserve">日</w:t>
      </w:r>
      <w:r>
        <w:t xml:space="preserve">    </w:t>
      </w:r>
      <w:r>
        <w:rPr>
          <w:rFonts w:hint="eastAsia"/>
        </w:rPr>
        <w:t xml:space="preserve">期：</w:t>
      </w:r>
      <w:r>
        <w:t xml:space="preserve">   </w:t>
      </w:r>
      <w:r>
        <w:rPr>
          <w:rFonts w:hint="eastAsia"/>
        </w:rPr>
        <w:t xml:space="preserve">年</w:t>
      </w:r>
      <w:r>
        <w:t xml:space="preserve">    </w:t>
      </w:r>
      <w:r>
        <w:rPr>
          <w:rFonts w:hint="eastAsia"/>
        </w:rPr>
        <w:t xml:space="preserve">月</w:t>
      </w:r>
      <w:r>
        <w:t xml:space="preserve">  </w:t>
      </w:r>
      <w:r>
        <w:rPr>
          <w:spacing w:val="100"/>
        </w:rPr>
        <w:t xml:space="preserve"> </w:t>
      </w:r>
      <w:r>
        <w:rPr>
          <w:rFonts w:hint="eastAsia"/>
          <w:spacing w:val="-3"/>
        </w:rPr>
        <w:t xml:space="preserve">日</w:t>
      </w:r>
      <w:r/>
    </w:p>
    <w:p>
      <w:pPr>
        <w:pStyle w:val="1026"/>
        <w:jc w:val="left"/>
        <w:spacing w:before="145" w:after="145" w:line="360" w:lineRule="auto"/>
        <w:rPr>
          <w:rFonts w:hint="eastAsia" w:ascii="宋体" w:hAnsi="宋体" w:eastAsia="宋体"/>
          <w:sz w:val="32"/>
          <w:szCs w:val="32"/>
        </w:rPr>
      </w:pPr>
      <w:r>
        <w:rPr>
          <w:rFonts w:ascii="宋体" w:hAnsi="宋体" w:eastAsia="宋体"/>
          <w:sz w:val="28"/>
          <w:szCs w:val="28"/>
        </w:rPr>
        <w:br w:type="page" w:clear="all"/>
      </w:r>
      <w:bookmarkStart w:id="148" w:name="_Toc24962252"/>
      <w:r>
        <w:rPr>
          <w:rFonts w:hint="eastAsia" w:ascii="宋体" w:hAnsi="宋体" w:eastAsia="宋体"/>
          <w:sz w:val="28"/>
          <w:szCs w:val="28"/>
        </w:rPr>
        <w:t xml:space="preserve">附件十一、</w:t>
      </w:r>
      <w:bookmarkEnd w:id="148"/>
      <w:r>
        <w:rPr>
          <w:rFonts w:hint="eastAsia" w:ascii="宋体" w:hAnsi="宋体" w:eastAsia="宋体"/>
          <w:sz w:val="28"/>
          <w:szCs w:val="28"/>
        </w:rPr>
        <w:t xml:space="preserve">项目技术说明或实施方案</w:t>
      </w:r>
      <w:r/>
    </w:p>
    <w:p>
      <w:pPr>
        <w:pStyle w:val="1026"/>
        <w:jc w:val="left"/>
        <w:spacing w:before="145" w:after="145" w:line="360" w:lineRule="auto"/>
        <w:rPr>
          <w:rFonts w:hint="eastAsia" w:ascii="宋体" w:hAnsi="宋体" w:eastAsia="宋体"/>
          <w:sz w:val="32"/>
          <w:szCs w:val="32"/>
        </w:rPr>
      </w:pPr>
      <w:r>
        <w:rPr>
          <w:rFonts w:ascii="宋体" w:hAnsi="宋体" w:eastAsia="宋体"/>
          <w:sz w:val="28"/>
          <w:szCs w:val="28"/>
        </w:rPr>
        <w:br w:type="page" w:clear="all"/>
      </w:r>
      <w:bookmarkStart w:id="149" w:name="_Toc24962253"/>
      <w:r/>
      <w:bookmarkStart w:id="150" w:name="_Toc21781768"/>
      <w:r>
        <w:rPr>
          <w:rFonts w:hint="eastAsia" w:ascii="宋体" w:hAnsi="宋体" w:eastAsia="宋体"/>
          <w:sz w:val="28"/>
          <w:szCs w:val="28"/>
        </w:rPr>
        <w:t xml:space="preserve">附件十二、报价表</w:t>
      </w:r>
      <w:r/>
    </w:p>
    <w:p>
      <w:pPr>
        <w:pStyle w:val="1241"/>
        <w:ind w:firstLine="0"/>
        <w:jc w:val="center"/>
        <w:spacing w:line="400" w:lineRule="exact"/>
        <w:rPr>
          <w:rFonts w:hint="eastAsia" w:ascii="宋体" w:hAnsi="宋体" w:cs="宋体"/>
          <w:b/>
          <w:bCs/>
          <w:sz w:val="28"/>
          <w:szCs w:val="22"/>
        </w:rPr>
      </w:pPr>
      <w:r>
        <w:rPr>
          <w:rFonts w:hint="eastAsia" w:ascii="宋体" w:hAnsi="宋体" w:cs="宋体"/>
          <w:b/>
          <w:bCs/>
          <w:sz w:val="28"/>
          <w:szCs w:val="22"/>
        </w:rPr>
        <w:t xml:space="preserve">报价表</w:t>
      </w:r>
      <w:r/>
    </w:p>
    <w:p>
      <w:pPr>
        <w:pStyle w:val="1241"/>
        <w:ind w:firstLine="0"/>
        <w:spacing w:line="400" w:lineRule="exact"/>
        <w:rPr>
          <w:rFonts w:hint="eastAsia" w:ascii="宋体" w:hAnsi="宋体" w:cs="宋体"/>
        </w:rPr>
      </w:pPr>
      <w:r>
        <w:rPr>
          <w:rFonts w:hint="eastAsia" w:ascii="宋体" w:hAnsi="宋体" w:cs="宋体"/>
        </w:rPr>
        <w:t xml:space="preserve">项目名称：                                             项目编号：</w:t>
      </w:r>
      <w:r/>
    </w:p>
    <w:tbl>
      <w:tblPr>
        <w:tblStyle w:val="1035"/>
        <w:tblW w:w="4998" w:type="pct"/>
        <w:jc w:val="center"/>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065"/>
        <w:gridCol w:w="842"/>
        <w:gridCol w:w="4273"/>
        <w:gridCol w:w="2093"/>
      </w:tblGrid>
      <w:tr>
        <w:trPr>
          <w:jc w:val="center"/>
          <w:trHeight w:val="1042" w:hRule="exact"/>
        </w:trPr>
        <w:tc>
          <w:tcPr>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pStyle w:val="1060"/>
              <w:jc w:val="both"/>
              <w:spacing w:before="0" w:beforeAutospacing="0" w:after="0" w:afterAutospacing="0" w:line="400" w:lineRule="exact"/>
              <w:widowControl w:val="off"/>
              <w:rPr>
                <w:rFonts w:hint="eastAsia"/>
                <w:szCs w:val="32"/>
              </w:rPr>
            </w:pPr>
            <w:r>
              <w:rPr>
                <w:rFonts w:hint="eastAsia" w:hAnsi="Calibri"/>
                <w:szCs w:val="32"/>
                <w:lang w:bidi="ar"/>
              </w:rPr>
              <w:t xml:space="preserve">总报价</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pStyle w:val="1060"/>
              <w:jc w:val="both"/>
              <w:spacing w:before="0" w:beforeAutospacing="0" w:after="0" w:afterAutospacing="0" w:line="400" w:lineRule="exact"/>
              <w:widowControl w:val="off"/>
              <w:rPr>
                <w:rFonts w:hint="eastAsia"/>
                <w:szCs w:val="32"/>
              </w:rPr>
            </w:pPr>
            <w:r>
              <w:rPr>
                <w:rFonts w:hint="eastAsia" w:hAnsi="Calibri"/>
                <w:szCs w:val="32"/>
                <w:lang w:bidi="ar"/>
              </w:rPr>
              <w:t xml:space="preserve">合计</w:t>
            </w:r>
            <w:r/>
          </w:p>
        </w:tc>
        <w:tc>
          <w:tcPr>
            <w:tcBorders>
              <w:top w:val="single" w:color="000000" w:sz="4" w:space="0"/>
              <w:left w:val="single" w:color="000000" w:sz="4" w:space="0"/>
              <w:bottom w:val="single" w:color="000000" w:sz="4" w:space="0"/>
              <w:right w:val="single" w:color="000000" w:sz="4" w:space="0"/>
            </w:tcBorders>
            <w:tcW w:w="2302" w:type="pct"/>
            <w:vAlign w:val="center"/>
            <w:textDirection w:val="lrTb"/>
            <w:noWrap w:val="false"/>
          </w:tcPr>
          <w:p>
            <w:pPr>
              <w:pStyle w:val="1060"/>
              <w:ind w:left="103"/>
              <w:jc w:val="both"/>
              <w:spacing w:before="0" w:beforeAutospacing="0" w:after="0" w:afterAutospacing="0" w:line="400" w:lineRule="exact"/>
              <w:widowControl w:val="off"/>
              <w:rPr>
                <w:rFonts w:hAnsi="Calibri"/>
                <w:szCs w:val="32"/>
              </w:rPr>
            </w:pPr>
            <w:r>
              <w:rPr>
                <w:rFonts w:hint="eastAsia" w:hAnsi="Calibri"/>
                <w:szCs w:val="32"/>
                <w:lang w:bidi="ar"/>
              </w:rPr>
              <w:t xml:space="preserve">小写： 人民币</w:t>
            </w:r>
            <w:r/>
          </w:p>
          <w:p>
            <w:pPr>
              <w:pStyle w:val="1060"/>
              <w:ind w:left="103"/>
              <w:jc w:val="both"/>
              <w:spacing w:before="0" w:beforeAutospacing="0" w:after="0" w:afterAutospacing="0" w:line="400" w:lineRule="exact"/>
              <w:widowControl w:val="off"/>
              <w:rPr>
                <w:rFonts w:hint="eastAsia"/>
                <w:szCs w:val="32"/>
              </w:rPr>
            </w:pPr>
            <w:r>
              <w:rPr>
                <w:rFonts w:hint="eastAsia" w:hAnsi="Calibri"/>
                <w:szCs w:val="32"/>
                <w:lang w:bidi="ar"/>
              </w:rPr>
              <w:t xml:space="preserve">大写： 人民币 </w:t>
            </w:r>
            <w:r>
              <w:rPr>
                <w:rFonts w:hint="eastAsia" w:hAnsi="Calibri"/>
                <w:spacing w:val="-3"/>
                <w:szCs w:val="32"/>
                <w:lang w:bidi="ar"/>
              </w:rPr>
              <w:t xml:space="preserve"> </w:t>
            </w:r>
            <w:r>
              <w:rPr>
                <w:rFonts w:hint="eastAsia" w:hAnsi="Calibri"/>
                <w:szCs w:val="32"/>
                <w:lang w:bidi="ar"/>
              </w:rPr>
              <w:t xml:space="preserve">   </w:t>
            </w:r>
            <w:r>
              <w:rPr>
                <w:rFonts w:hint="eastAsia" w:hAnsi="Calibri"/>
                <w:spacing w:val="-3"/>
                <w:szCs w:val="32"/>
                <w:lang w:bidi="ar"/>
              </w:rPr>
              <w:t xml:space="preserve"> </w:t>
            </w:r>
            <w:r>
              <w:rPr>
                <w:rFonts w:hint="eastAsia" w:hAnsi="Calibri"/>
                <w:szCs w:val="32"/>
                <w:lang w:bidi="ar"/>
              </w:rPr>
              <w:t xml:space="preserve">   </w:t>
            </w:r>
            <w:r>
              <w:rPr>
                <w:rFonts w:hint="eastAsia" w:hAnsi="Calibri"/>
                <w:spacing w:val="-3"/>
                <w:szCs w:val="32"/>
                <w:lang w:bidi="ar"/>
              </w:rPr>
              <w:t xml:space="preserve">  </w:t>
            </w:r>
            <w:r>
              <w:rPr>
                <w:rFonts w:hint="eastAsia" w:hAnsi="Calibri"/>
                <w:szCs w:val="32"/>
                <w:lang w:bidi="ar"/>
              </w:rPr>
              <w:t xml:space="preserve">     </w:t>
            </w:r>
            <w:r>
              <w:rPr>
                <w:rFonts w:hint="eastAsia" w:hAnsi="Calibri"/>
                <w:spacing w:val="-3"/>
                <w:szCs w:val="32"/>
                <w:lang w:bidi="ar"/>
              </w:rPr>
              <w:t xml:space="preserve"> </w:t>
            </w:r>
            <w:r>
              <w:rPr>
                <w:rFonts w:hint="eastAsia" w:hAnsi="Calibri"/>
                <w:szCs w:val="32"/>
                <w:lang w:bidi="ar"/>
              </w:rPr>
              <w:t xml:space="preserve">   </w:t>
            </w:r>
            <w:r>
              <w:rPr>
                <w:rFonts w:hint="eastAsia" w:hAnsi="Calibri"/>
                <w:spacing w:val="-3"/>
                <w:szCs w:val="32"/>
                <w:lang w:bidi="ar"/>
              </w:rPr>
              <w:t xml:space="preserve"> </w:t>
            </w:r>
            <w:r>
              <w:rPr>
                <w:rFonts w:hint="eastAsia" w:hAnsi="Calibri"/>
                <w:szCs w:val="32"/>
                <w:lang w:bidi="ar"/>
              </w:rPr>
              <w:t xml:space="preserve"> </w:t>
            </w:r>
            <w:r/>
          </w:p>
        </w:tc>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pStyle w:val="1060"/>
              <w:jc w:val="both"/>
              <w:spacing w:before="0" w:beforeAutospacing="0" w:after="0" w:afterAutospacing="0" w:line="400" w:lineRule="exact"/>
              <w:widowControl w:val="off"/>
              <w:rPr>
                <w:rFonts w:hAnsi="Calibri"/>
                <w:szCs w:val="32"/>
              </w:rPr>
            </w:pPr>
            <w:r>
              <w:rPr>
                <w:rFonts w:hAnsi="Calibri"/>
                <w:szCs w:val="32"/>
              </w:rPr>
            </w:r>
            <w:r/>
          </w:p>
          <w:p>
            <w:pPr>
              <w:pStyle w:val="1060"/>
              <w:ind w:left="103"/>
              <w:jc w:val="both"/>
              <w:spacing w:before="0" w:beforeAutospacing="0" w:after="0" w:afterAutospacing="0" w:line="400" w:lineRule="exact"/>
              <w:widowControl w:val="off"/>
              <w:rPr>
                <w:rFonts w:hAnsi="Calibri"/>
                <w:szCs w:val="32"/>
              </w:rPr>
            </w:pPr>
            <w:r>
              <w:rPr>
                <w:rFonts w:hint="eastAsia" w:hAnsi="Calibri"/>
                <w:szCs w:val="32"/>
                <w:lang w:bidi="ar"/>
              </w:rPr>
              <w:t xml:space="preserve"> </w:t>
            </w:r>
            <w:r/>
          </w:p>
          <w:p>
            <w:pPr>
              <w:pStyle w:val="1060"/>
              <w:ind w:left="103"/>
              <w:jc w:val="both"/>
              <w:spacing w:before="0" w:beforeAutospacing="0" w:after="0" w:afterAutospacing="0" w:line="400" w:lineRule="exact"/>
              <w:widowControl w:val="off"/>
              <w:rPr>
                <w:rFonts w:hint="eastAsia"/>
                <w:szCs w:val="32"/>
              </w:rPr>
            </w:pPr>
            <w:r>
              <w:rPr>
                <w:rFonts w:hint="eastAsia" w:hAnsi="Calibri"/>
                <w:szCs w:val="32"/>
                <w:lang w:bidi="ar"/>
              </w:rPr>
              <w:t xml:space="preserve"> </w:t>
            </w:r>
            <w:r/>
          </w:p>
        </w:tc>
      </w:tr>
      <w:tr>
        <w:trPr>
          <w:jc w:val="center"/>
          <w:trHeight w:val="890" w:hRule="exact"/>
        </w:trPr>
        <w:tc>
          <w:tcPr>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pStyle w:val="1060"/>
              <w:jc w:val="both"/>
              <w:spacing w:before="0" w:beforeAutospacing="0" w:after="0" w:afterAutospacing="0" w:line="400" w:lineRule="exact"/>
              <w:widowControl w:val="off"/>
              <w:rPr>
                <w:rFonts w:hint="eastAsia"/>
                <w:szCs w:val="32"/>
              </w:rPr>
            </w:pPr>
            <w:r>
              <w:rPr>
                <w:rFonts w:hint="eastAsia" w:hAnsi="Calibri"/>
                <w:szCs w:val="32"/>
                <w:lang w:bidi="ar"/>
              </w:rPr>
              <w:t xml:space="preserve">服务时间</w:t>
            </w:r>
            <w:r/>
          </w:p>
        </w:tc>
        <w:tc>
          <w:tcPr>
            <w:gridSpan w:val="2"/>
            <w:tcBorders>
              <w:top w:val="single" w:color="000000" w:sz="4" w:space="0"/>
              <w:left w:val="single" w:color="000000" w:sz="4" w:space="0"/>
              <w:bottom w:val="single" w:color="000000" w:sz="4" w:space="0"/>
              <w:right w:val="single" w:color="000000" w:sz="4" w:space="0"/>
            </w:tcBorders>
            <w:tcW w:w="2757" w:type="pct"/>
            <w:vAlign w:val="center"/>
            <w:textDirection w:val="lrTb"/>
            <w:noWrap w:val="false"/>
          </w:tcPr>
          <w:p>
            <w:pPr>
              <w:pStyle w:val="1060"/>
              <w:jc w:val="center"/>
              <w:spacing w:before="0" w:beforeAutospacing="0" w:after="0" w:afterAutospacing="0" w:line="400" w:lineRule="exact"/>
              <w:widowControl w:val="off"/>
              <w:rPr>
                <w:rFonts w:hint="eastAsia"/>
                <w:szCs w:val="32"/>
              </w:rPr>
            </w:pPr>
            <w:r>
              <w:rPr>
                <w:rFonts w:hint="eastAsia" w:hAnsi="Calibri"/>
                <w:szCs w:val="32"/>
                <w:u w:val="single"/>
                <w:lang w:bidi="ar"/>
              </w:rPr>
              <w:t xml:space="preserve">满足谈判文件要求。</w:t>
            </w:r>
            <w:r/>
          </w:p>
        </w:tc>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pStyle w:val="1060"/>
              <w:ind w:right="369"/>
              <w:jc w:val="center"/>
              <w:spacing w:before="0" w:beforeAutospacing="0" w:after="0" w:afterAutospacing="0" w:line="400" w:lineRule="exact"/>
              <w:widowControl w:val="off"/>
              <w:rPr>
                <w:rFonts w:hAnsi="Calibri"/>
                <w:szCs w:val="32"/>
              </w:rPr>
            </w:pPr>
            <w:r>
              <w:rPr>
                <w:rFonts w:hint="eastAsia" w:hAnsi="Calibri"/>
                <w:szCs w:val="32"/>
                <w:lang w:bidi="ar"/>
              </w:rPr>
              <w:t xml:space="preserve"> </w:t>
            </w:r>
            <w:r/>
          </w:p>
        </w:tc>
      </w:tr>
      <w:tr>
        <w:trPr>
          <w:jc w:val="center"/>
          <w:trHeight w:val="890" w:hRule="exact"/>
        </w:trPr>
        <w:tc>
          <w:tcPr>
            <w:tcBorders>
              <w:top w:val="single" w:color="000000" w:sz="4" w:space="0"/>
              <w:left w:val="single" w:color="000000" w:sz="4" w:space="0"/>
              <w:bottom w:val="single" w:color="auto" w:sz="4" w:space="0"/>
              <w:right w:val="single" w:color="000000" w:sz="4" w:space="0"/>
            </w:tcBorders>
            <w:tcW w:w="1113" w:type="pct"/>
            <w:vAlign w:val="center"/>
            <w:textDirection w:val="lrTb"/>
            <w:noWrap w:val="false"/>
          </w:tcPr>
          <w:p>
            <w:pPr>
              <w:pStyle w:val="1060"/>
              <w:jc w:val="both"/>
              <w:spacing w:before="0" w:beforeAutospacing="0" w:after="0" w:afterAutospacing="0" w:line="400" w:lineRule="exact"/>
              <w:widowControl w:val="off"/>
              <w:rPr>
                <w:rFonts w:hAnsi="Calibri"/>
                <w:szCs w:val="32"/>
              </w:rPr>
            </w:pPr>
            <w:r>
              <w:rPr>
                <w:rFonts w:hint="eastAsia" w:hAnsi="Calibri"/>
                <w:szCs w:val="32"/>
                <w:lang w:bidi="ar"/>
              </w:rPr>
              <w:t xml:space="preserve">供应商是否属于小微型企业</w:t>
            </w:r>
            <w:r/>
          </w:p>
        </w:tc>
        <w:tc>
          <w:tcPr>
            <w:gridSpan w:val="2"/>
            <w:tcBorders>
              <w:top w:val="single" w:color="000000" w:sz="4" w:space="0"/>
              <w:left w:val="single" w:color="000000" w:sz="4" w:space="0"/>
              <w:bottom w:val="single" w:color="auto" w:sz="4" w:space="0"/>
              <w:right w:val="single" w:color="000000" w:sz="4" w:space="0"/>
            </w:tcBorders>
            <w:tcW w:w="2757" w:type="pct"/>
            <w:vAlign w:val="center"/>
            <w:textDirection w:val="lrTb"/>
            <w:noWrap w:val="false"/>
          </w:tcPr>
          <w:p>
            <w:pPr>
              <w:pStyle w:val="1060"/>
              <w:jc w:val="center"/>
              <w:spacing w:before="0" w:beforeAutospacing="0" w:after="0" w:afterAutospacing="0" w:line="400" w:lineRule="exact"/>
              <w:widowControl w:val="off"/>
              <w:rPr>
                <w:rFonts w:hAnsi="Calibri"/>
                <w:szCs w:val="32"/>
              </w:rPr>
            </w:pPr>
            <w:r>
              <w:rPr>
                <w:rFonts w:hint="eastAsia" w:hAnsi="Calibri"/>
                <w:szCs w:val="32"/>
                <w:u w:val="single"/>
                <w:lang w:bidi="ar"/>
              </w:rPr>
              <w:t xml:space="preserve">                    </w:t>
            </w:r>
            <w:r>
              <w:rPr>
                <w:rFonts w:hint="eastAsia" w:hAnsi="Calibri"/>
                <w:szCs w:val="32"/>
                <w:lang w:bidi="ar"/>
              </w:rPr>
              <w:t xml:space="preserve">（填写“是”或“否”）</w:t>
            </w:r>
            <w:r/>
          </w:p>
        </w:tc>
        <w:tc>
          <w:tcPr>
            <w:tcBorders>
              <w:top w:val="single" w:color="000000" w:sz="4" w:space="0"/>
              <w:left w:val="single" w:color="000000" w:sz="4" w:space="0"/>
              <w:bottom w:val="single" w:color="auto" w:sz="4" w:space="0"/>
              <w:right w:val="single" w:color="000000" w:sz="4" w:space="0"/>
            </w:tcBorders>
            <w:tcW w:w="1128" w:type="pct"/>
            <w:vAlign w:val="center"/>
            <w:textDirection w:val="lrTb"/>
            <w:noWrap w:val="false"/>
          </w:tcPr>
          <w:p>
            <w:pPr>
              <w:pStyle w:val="1060"/>
              <w:ind w:right="369"/>
              <w:jc w:val="center"/>
              <w:spacing w:before="0" w:beforeAutospacing="0" w:after="0" w:afterAutospacing="0" w:line="400" w:lineRule="exact"/>
              <w:widowControl w:val="off"/>
              <w:rPr>
                <w:rFonts w:hAnsi="Calibri"/>
                <w:szCs w:val="32"/>
              </w:rPr>
            </w:pPr>
            <w:r>
              <w:rPr>
                <w:rFonts w:hAnsi="Calibri"/>
                <w:szCs w:val="32"/>
              </w:rPr>
            </w:r>
            <w:r/>
          </w:p>
        </w:tc>
      </w:tr>
    </w:tbl>
    <w:p>
      <w:pPr>
        <w:pStyle w:val="1241"/>
        <w:ind w:firstLine="480"/>
        <w:spacing w:line="400" w:lineRule="exact"/>
        <w:rPr>
          <w:rFonts w:hint="eastAsia" w:ascii="宋体" w:hAnsi="宋体" w:cs="宋体"/>
        </w:rPr>
      </w:pPr>
      <w:r>
        <w:rPr>
          <w:rFonts w:hint="eastAsia" w:ascii="宋体" w:hAnsi="宋体" w:cs="宋体"/>
        </w:rPr>
      </w:r>
      <w:r/>
    </w:p>
    <w:p>
      <w:pPr>
        <w:pStyle w:val="1241"/>
        <w:ind w:firstLine="480"/>
        <w:spacing w:line="400" w:lineRule="exact"/>
        <w:rPr>
          <w:rFonts w:hint="eastAsia" w:ascii="宋体" w:hAnsi="宋体" w:cs="宋体"/>
        </w:rPr>
      </w:pPr>
      <w:r>
        <w:rPr>
          <w:rFonts w:hint="eastAsia" w:ascii="宋体" w:hAnsi="宋体" w:cs="宋体"/>
        </w:rPr>
        <w:t xml:space="preserve">供应商（盖章）:                        授权代表（签字）：               </w:t>
      </w:r>
      <w:r/>
    </w:p>
    <w:p>
      <w:pPr>
        <w:pStyle w:val="1241"/>
        <w:ind w:firstLine="480"/>
        <w:spacing w:line="400" w:lineRule="exact"/>
        <w:rPr>
          <w:rFonts w:hint="eastAsia" w:ascii="宋体" w:hAnsi="宋体" w:cs="宋体"/>
        </w:rPr>
      </w:pPr>
      <w:r>
        <w:rPr>
          <w:rFonts w:hint="eastAsia" w:ascii="宋体" w:hAnsi="宋体" w:cs="宋体"/>
        </w:rPr>
        <w:t xml:space="preserve">日    期：   年    月   日</w:t>
      </w:r>
      <w:r/>
    </w:p>
    <w:p>
      <w:pPr>
        <w:pStyle w:val="1241"/>
        <w:ind w:firstLine="480"/>
        <w:spacing w:line="400" w:lineRule="exact"/>
        <w:rPr>
          <w:rFonts w:hint="eastAsia" w:ascii="宋体" w:hAnsi="宋体" w:cs="宋体"/>
        </w:rPr>
      </w:pPr>
      <w:r>
        <w:rPr>
          <w:rFonts w:hint="eastAsia" w:ascii="宋体" w:hAnsi="宋体" w:cs="宋体"/>
        </w:rPr>
      </w:r>
      <w:r/>
    </w:p>
    <w:p>
      <w:pPr>
        <w:pStyle w:val="1241"/>
        <w:ind w:firstLine="480"/>
        <w:spacing w:line="400" w:lineRule="exact"/>
        <w:rPr>
          <w:rFonts w:hint="eastAsia" w:ascii="宋体" w:hAnsi="宋体" w:cs="宋体"/>
        </w:rPr>
      </w:pPr>
      <w:r/>
      <w:bookmarkStart w:id="151" w:name="_Hlk28422665"/>
      <w:r>
        <w:rPr>
          <w:rFonts w:hint="eastAsia" w:ascii="宋体" w:hAnsi="宋体" w:cs="宋体"/>
        </w:rPr>
        <w:t xml:space="preserve">说明： </w:t>
      </w:r>
      <w:r/>
    </w:p>
    <w:p>
      <w:pPr>
        <w:pStyle w:val="1241"/>
        <w:ind w:firstLine="480"/>
        <w:spacing w:line="400" w:lineRule="exact"/>
        <w:rPr>
          <w:rFonts w:hint="eastAsia" w:ascii="宋体" w:hAnsi="宋体" w:cs="宋体"/>
          <w:b/>
          <w:bCs/>
        </w:rPr>
      </w:pPr>
      <w:r>
        <w:rPr>
          <w:rFonts w:hint="eastAsia" w:ascii="宋体" w:hAnsi="宋体" w:cs="宋体"/>
        </w:rPr>
        <w:t xml:space="preserve">1、本项目仅接受一个价格，不得填报有选择性报价方案。若有优惠条款须注明，但不得影响报价，影响产品整体功能。 </w:t>
      </w:r>
      <w:r/>
    </w:p>
    <w:p>
      <w:pPr>
        <w:pStyle w:val="1241"/>
        <w:ind w:firstLine="480"/>
        <w:spacing w:line="400" w:lineRule="exact"/>
        <w:rPr>
          <w:rFonts w:hint="eastAsia" w:ascii="宋体" w:hAnsi="宋体" w:cs="宋体"/>
        </w:rPr>
      </w:pPr>
      <w:r>
        <w:rPr>
          <w:rFonts w:hint="eastAsia" w:ascii="宋体" w:hAnsi="宋体" w:cs="宋体"/>
        </w:rPr>
        <w:t xml:space="preserve">2、“供应商是否属于小微型企业”栏内填写“是”或“否”。如填写“是”，供应商需提供《中小企业声明函》、《残疾人福利性单位声明函》、《属于监狱企业的证明文件》。 </w:t>
      </w:r>
      <w:bookmarkEnd w:id="151"/>
      <w:r/>
      <w:r/>
    </w:p>
    <w:p>
      <w:pPr>
        <w:pStyle w:val="1241"/>
        <w:ind w:firstLine="480"/>
        <w:spacing w:line="400" w:lineRule="exact"/>
        <w:rPr>
          <w:rFonts w:hint="eastAsia" w:ascii="宋体" w:hAnsi="宋体"/>
          <w:sz w:val="28"/>
          <w:szCs w:val="28"/>
        </w:rPr>
      </w:pPr>
      <w:r>
        <w:rPr>
          <w:rFonts w:hint="eastAsia" w:ascii="宋体" w:hAnsi="宋体" w:cs="宋体"/>
        </w:rPr>
        <w:t xml:space="preserve">3、 谈判结束后，谈判小组将要求所有实质性响应的供应商在规定时间内提交最后报价。</w:t>
      </w:r>
      <w:r/>
    </w:p>
    <w:p>
      <w:pPr>
        <w:pStyle w:val="1026"/>
        <w:jc w:val="left"/>
        <w:spacing w:before="145" w:after="145" w:line="360" w:lineRule="auto"/>
        <w:rPr>
          <w:rFonts w:hint="eastAsia" w:ascii="宋体" w:hAnsi="宋体" w:eastAsia="宋体"/>
          <w:sz w:val="28"/>
          <w:szCs w:val="28"/>
        </w:rPr>
      </w:pPr>
      <w:r>
        <w:rPr>
          <w:rFonts w:ascii="宋体" w:hAnsi="宋体"/>
          <w:b w:val="0"/>
          <w:bCs w:val="0"/>
          <w:sz w:val="28"/>
          <w:szCs w:val="28"/>
        </w:rPr>
        <w:br w:type="page" w:clear="all"/>
      </w:r>
      <w:r>
        <w:rPr>
          <w:rFonts w:hint="eastAsia" w:ascii="宋体" w:hAnsi="宋体" w:eastAsia="宋体"/>
          <w:sz w:val="28"/>
          <w:szCs w:val="28"/>
        </w:rPr>
        <w:t xml:space="preserve">附件十三、分项报价表</w:t>
      </w:r>
      <w:r/>
    </w:p>
    <w:p>
      <w:pPr>
        <w:jc w:val="left"/>
        <w:spacing w:before="145" w:after="145" w:line="360" w:lineRule="auto"/>
        <w:rPr>
          <w:b/>
          <w:sz w:val="32"/>
          <w:szCs w:val="32"/>
        </w:rPr>
      </w:pPr>
      <w:r>
        <w:rPr>
          <w:b/>
          <w:sz w:val="32"/>
          <w:szCs w:val="32"/>
        </w:rPr>
      </w:r>
      <w:r/>
    </w:p>
    <w:p>
      <w:pPr>
        <w:pStyle w:val="1026"/>
        <w:jc w:val="left"/>
        <w:spacing w:before="145" w:after="145" w:line="360" w:lineRule="auto"/>
        <w:rPr>
          <w:rFonts w:hint="eastAsia" w:ascii="宋体" w:hAnsi="宋体" w:eastAsia="宋体"/>
          <w:sz w:val="28"/>
          <w:szCs w:val="28"/>
        </w:rPr>
      </w:pPr>
      <w:r>
        <w:rPr>
          <w:rFonts w:ascii="宋体" w:hAnsi="宋体" w:eastAsia="宋体"/>
          <w:sz w:val="28"/>
          <w:szCs w:val="28"/>
        </w:rPr>
        <w:br w:type="page" w:clear="all"/>
      </w:r>
      <w:bookmarkStart w:id="152" w:name="_Toc21781761"/>
      <w:r/>
      <w:bookmarkStart w:id="153" w:name="_Toc24962244"/>
      <w:r>
        <w:rPr>
          <w:rFonts w:hint="eastAsia" w:ascii="宋体" w:hAnsi="宋体" w:eastAsia="宋体"/>
          <w:sz w:val="28"/>
          <w:szCs w:val="28"/>
        </w:rPr>
        <w:t xml:space="preserve">附件十四、</w:t>
      </w:r>
      <w:bookmarkEnd w:id="152"/>
      <w:r/>
      <w:bookmarkEnd w:id="153"/>
      <w:r>
        <w:rPr>
          <w:rFonts w:hint="eastAsia" w:ascii="宋体" w:hAnsi="宋体" w:eastAsia="宋体"/>
          <w:sz w:val="28"/>
          <w:szCs w:val="28"/>
        </w:rPr>
        <w:t xml:space="preserve">其他证明文件</w:t>
      </w:r>
      <w:bookmarkEnd w:id="0"/>
      <w:r/>
      <w:bookmarkEnd w:id="133"/>
      <w:r/>
      <w:bookmarkEnd w:id="134"/>
      <w:r/>
      <w:bookmarkEnd w:id="135"/>
      <w:r/>
      <w:bookmarkEnd w:id="136"/>
      <w:r/>
      <w:bookmarkEnd w:id="137"/>
      <w:r/>
      <w:bookmarkEnd w:id="138"/>
      <w:r/>
      <w:bookmarkEnd w:id="139"/>
      <w:r/>
      <w:bookmarkEnd w:id="140"/>
      <w:r/>
      <w:bookmarkEnd w:id="149"/>
      <w:r/>
      <w:bookmarkEnd w:id="150"/>
      <w:r/>
      <w:bookmarkStart w:id="154" w:name="_Toc197181362"/>
      <w:r/>
      <w:bookmarkEnd w:id="154"/>
      <w:r/>
      <w:r/>
    </w:p>
    <w:p>
      <w:pPr>
        <w:pStyle w:val="1036"/>
        <w:rPr>
          <w:sz w:val="24"/>
          <w:szCs w:val="24"/>
        </w:rPr>
      </w:pPr>
      <w:r>
        <w:rPr>
          <w:sz w:val="24"/>
          <w:szCs w:val="24"/>
        </w:rPr>
      </w:r>
      <w:r/>
    </w:p>
    <w:sectPr>
      <w:headerReference w:type="default" r:id="rId11"/>
      <w:headerReference w:type="first" r:id="rId12"/>
      <w:footerReference w:type="default" r:id="rId16"/>
      <w:footerReference w:type="first" r:id="rId17"/>
      <w:footnotePr/>
      <w:endnotePr/>
      <w:type w:val="nextPage"/>
      <w:pgSz w:w="11906" w:h="16838" w:orient="portrait"/>
      <w:pgMar w:top="1418" w:right="1274" w:bottom="1418" w:left="1365" w:header="907"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PMingLiU">
    <w:panose1 w:val="02020500000000000000"/>
  </w:font>
  <w:font w:name="Book Antiqua">
    <w:panose1 w:val="02040602050305030304"/>
  </w:font>
  <w:font w:name="Tahoma">
    <w:panose1 w:val="020B0604030504040204"/>
  </w:font>
  <w:font w:name="Univers 57 Condensed">
    <w:panose1 w:val="020B0503020202020204"/>
  </w:font>
  <w:font w:name="等线">
    <w:panose1 w:val="02010600030101010101"/>
  </w:font>
  <w:font w:name="等线 Light">
    <w:panose1 w:val="02010600030101010101"/>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fldChar w:fldCharType="begin"/>
    </w:r>
    <w:r>
      <w:instrText xml:space="preserve">PAGE   \* MERGEFORMAT</w:instrText>
    </w:r>
    <w:r>
      <w:fldChar w:fldCharType="separate"/>
    </w:r>
    <w:r>
      <w:rPr>
        <w:rFonts w:hint="eastAsia"/>
        <w:lang w:val="zh-CN"/>
      </w:rPr>
      <w:t xml:space="preserve">１</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rStyle w:val="1067"/>
      </w:rPr>
      <w:framePr w:wrap="around" w:vAnchor="text" w:hAnchor="margin" w:xAlign="center" w:y="1"/>
    </w:pPr>
    <w:r>
      <w:fldChar w:fldCharType="begin"/>
    </w:r>
    <w:r>
      <w:rPr>
        <w:rStyle w:val="1067"/>
      </w:rPr>
      <w:instrText xml:space="preserve">PAGE  </w:instrText>
    </w:r>
    <w:r>
      <w:fldChar w:fldCharType="separate"/>
    </w:r>
    <w:r>
      <w:rPr>
        <w:rStyle w:val="1067"/>
      </w:rPr>
      <w:t xml:space="preserve">1</w:t>
    </w:r>
    <w:r>
      <w:fldChar w:fldCharType="end"/>
    </w:r>
    <w:r/>
  </w:p>
  <w:p>
    <w:pPr>
      <w:pStyle w:val="1052"/>
    </w:pPr>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r/>
  </w:p>
  <w:p>
    <w:pPr>
      <w:pStyle w:val="10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2"/>
                          </w:pPr>
                          <w:r>
                            <w:t xml:space="preserve">第 </w:t>
                          </w:r>
                          <w:r>
                            <w:fldChar w:fldCharType="begin"/>
                          </w:r>
                          <w:r>
                            <w:instrText xml:space="preserve"> PAGE  \* MERGEFORMAT </w:instrText>
                          </w:r>
                          <w:r>
                            <w:fldChar w:fldCharType="separate"/>
                          </w:r>
                          <w:r>
                            <w:t xml:space="preserve">19</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2"/>
                    </w:pPr>
                    <w:r>
                      <w:t xml:space="preserve">第 </w:t>
                    </w:r>
                    <w:r>
                      <w:fldChar w:fldCharType="begin"/>
                    </w:r>
                    <w:r>
                      <w:instrText xml:space="preserve"> PAGE  \* MERGEFORMAT </w:instrText>
                    </w:r>
                    <w:r>
                      <w:fldChar w:fldCharType="separate"/>
                    </w:r>
                    <w:r>
                      <w:t xml:space="preserve">19</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right="9030"/>
      <w:jc w:val="both"/>
      <w:rPr>
        <w:sz w:val="21"/>
      </w:rPr>
    </w:pPr>
    <w:r>
      <w:rPr>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right"/>
    </w:pPr>
    <w:r>
      <w:rPr>
        <w:rFonts w:hint="eastAsia"/>
        <w:sz w:val="21"/>
      </w:rPr>
      <w:t xml:space="preserve">紫金山实验室基于超远距离通信网络的无人机巡检系统及网络配套采购项目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right"/>
      <w:rPr>
        <w:sz w:val="21"/>
      </w:rPr>
      <w:pBdr>
        <w:bottom w:val="single" w:color="auto" w:sz="4" w:space="1"/>
      </w:pBdr>
    </w:pPr>
    <w:r>
      <w:rPr>
        <w:rFonts w:hint="eastAsia"/>
        <w:sz w:val="21"/>
      </w:rPr>
      <w:t xml:space="preserve"> 紫金山实验室基于超远距离通信网络的无人机巡检系统及网络配套采购项目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409"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7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nothing"/>
      <w:lvlText w:val="%1、"/>
      <w:lvlJc w:val="left"/>
      <w:pPr>
        <w:ind w:left="420" w:hanging="420"/>
      </w:pPr>
      <w:rPr>
        <w:rFonts w:hint="eastAsia"/>
        <w:b/>
        <w:bCs/>
        <w:sz w:val="28"/>
        <w:szCs w:val="28"/>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7">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8">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9">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0">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1">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2">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3">
    <w:multiLevelType w:val="hybridMultilevel"/>
    <w:lvl w:ilvl="0">
      <w:start w:val="1"/>
      <w:numFmt w:val="upperLetter"/>
      <w:pStyle w:val="11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5">
    <w:multiLevelType w:val="hybridMultilevel"/>
    <w:lvl w:ilvl="0">
      <w:start w:val="1"/>
      <w:numFmt w:val="decimal"/>
      <w:isLgl w:val="false"/>
      <w:suff w:val="nothing"/>
      <w:lvlText w:val="%1 "/>
      <w:lvlJc w:val="left"/>
      <w:pPr>
        <w:ind w:left="0" w:firstLine="0"/>
      </w:pPr>
      <w:rPr>
        <w:rFonts w:hint="default" w:ascii="Book Antiqua" w:hAnsi="Book Antiqua" w:eastAsia="黑体" w:cs="Book Antiqua"/>
        <w:b/>
        <w:bCs/>
        <w:i w:val="0"/>
        <w:iCs w:val="0"/>
        <w:caps w:val="0"/>
        <w:strike w:val="0"/>
        <w:vanish w:val="0"/>
        <w:color w:val="000000"/>
        <w:sz w:val="144"/>
        <w:szCs w:val="144"/>
        <w:vertAlign w:val="baseline"/>
      </w:rPr>
    </w:lvl>
    <w:lvl w:ilvl="1">
      <w:start w:val="1"/>
      <w:numFmt w:val="decimal"/>
      <w:isLgl w:val="false"/>
      <w:suff w:val="nothing"/>
      <w:lvlText w:val="%1.%2 "/>
      <w:lvlJc w:val="left"/>
      <w:pPr>
        <w:ind w:left="568" w:firstLine="0"/>
      </w:pPr>
      <w:rPr>
        <w:rFonts w:hint="default" w:ascii="Book Antiqua" w:hAnsi="Book Antiqua" w:eastAsia="黑体" w:cs="Book Antiqua"/>
        <w:b w:val="0"/>
        <w:bCs/>
        <w:i w:val="0"/>
        <w:iCs w:val="0"/>
        <w:caps w:val="0"/>
        <w:strike w:val="0"/>
        <w:vanish w:val="0"/>
        <w:spacing w:val="0"/>
        <w:sz w:val="36"/>
        <w:szCs w:val="36"/>
        <w:vertAlign w:val="baseline"/>
      </w:rPr>
    </w:lvl>
    <w:lvl w:ilvl="2">
      <w:start w:val="1"/>
      <w:numFmt w:val="decimal"/>
      <w:isLgl w:val="false"/>
      <w:suff w:val="nothing"/>
      <w:lvlText w:val="%1.%2.%3 "/>
      <w:lvlJc w:val="left"/>
      <w:pPr>
        <w:ind w:left="142" w:firstLine="0"/>
      </w:pPr>
      <w:rPr>
        <w:rFonts w:hint="default" w:ascii="Book Antiqua" w:hAnsi="Book Antiqua" w:eastAsia="黑体" w:cs="Book Antiqua"/>
        <w:b w:val="0"/>
        <w:bCs/>
        <w:i w:val="0"/>
        <w:iCs w:val="0"/>
        <w:caps w:val="0"/>
        <w:strike w:val="0"/>
        <w:vanish w:val="0"/>
        <w:color w:val="auto"/>
        <w:sz w:val="32"/>
        <w:szCs w:val="32"/>
        <w:vertAlign w:val="baseline"/>
      </w:rPr>
    </w:lvl>
    <w:lvl w:ilvl="3">
      <w:start w:val="1"/>
      <w:numFmt w:val="none"/>
      <w:lvlRestart w:val="0"/>
      <w:isLgl w:val="false"/>
      <w:suff w:val="nothing"/>
      <w:lvlText w:val=""/>
      <w:lvlJc w:val="left"/>
      <w:pPr>
        <w:ind w:left="0" w:firstLine="0"/>
      </w:pPr>
      <w:rPr>
        <w:rFonts w:hint="default" w:ascii="Arial" w:hAnsi="Arial" w:cs="Arial"/>
        <w:b/>
        <w:bCs/>
        <w:i w:val="0"/>
        <w:iCs w:val="0"/>
        <w:caps w:val="0"/>
        <w:strike w:val="0"/>
        <w:vanish w:val="0"/>
        <w:sz w:val="20"/>
        <w:szCs w:val="20"/>
        <w:vertAlign w:val="baseline"/>
      </w:rPr>
    </w:lvl>
    <w:lvl w:ilvl="4">
      <w:start w:val="1"/>
      <w:numFmt w:val="upperRoman"/>
      <w:isLgl w:val="false"/>
      <w:suff w:val="nothing"/>
      <w:lvlText w:val="%5. "/>
      <w:lvlJc w:val="left"/>
      <w:pPr>
        <w:ind w:left="1702" w:hanging="227"/>
      </w:pPr>
      <w:rPr>
        <w:rFonts w:hint="default" w:ascii="Times New Roman" w:hAnsi="Times New Roman" w:eastAsia="黑体" w:cs="Times New Roman"/>
        <w:b/>
        <w:bCs/>
        <w:i w:val="0"/>
        <w:iCs w:val="0"/>
        <w:sz w:val="24"/>
        <w:szCs w:val="24"/>
        <w:u w:val="none"/>
      </w:rPr>
    </w:lvl>
    <w:lvl w:ilvl="5">
      <w:start w:val="1"/>
      <w:numFmt w:val="bullet"/>
      <w:isLgl w:val="false"/>
      <w:suff w:val="tab"/>
      <w:lvlText w:val=""/>
      <w:lvlJc w:val="left"/>
      <w:pPr>
        <w:ind w:left="1701" w:hanging="159"/>
        <w:tabs>
          <w:tab w:val="left" w:pos="1701" w:leader="none"/>
        </w:tabs>
      </w:pPr>
      <w:rPr>
        <w:rFonts w:hint="default" w:ascii="Wingdings" w:hAnsi="Wingdings"/>
        <w:b w:val="0"/>
        <w:bCs/>
        <w:i w:val="0"/>
        <w:iCs w:val="0"/>
        <w:color w:val="auto"/>
        <w:sz w:val="21"/>
        <w:szCs w:val="21"/>
      </w:rPr>
    </w:lvl>
    <w:lvl w:ilvl="6">
      <w:start w:val="1"/>
      <w:numFmt w:val="lowerLetter"/>
      <w:isLgl w:val="false"/>
      <w:suff w:val="tab"/>
      <w:lvlText w:val="%7."/>
      <w:lvlJc w:val="left"/>
      <w:pPr>
        <w:ind w:left="2126" w:hanging="425"/>
        <w:tabs>
          <w:tab w:val="left" w:pos="2126" w:leader="none"/>
        </w:tabs>
      </w:pPr>
      <w:rPr>
        <w:rFonts w:hint="default" w:ascii="Times New Roman" w:hAnsi="Times New Roman" w:cs="Book Antiqua"/>
        <w:b w:val="0"/>
        <w:bCs/>
        <w:i w:val="0"/>
        <w:iCs w:val="0"/>
        <w:sz w:val="21"/>
        <w:szCs w:val="21"/>
        <w:u w:val="none"/>
      </w:rPr>
    </w:lvl>
    <w:lvl w:ilvl="7">
      <w:start w:val="1"/>
      <w:numFmt w:val="decimal"/>
      <w:lvlRestart w:val="1"/>
      <w:pStyle w:val="1267"/>
      <w:isLgl w:val="false"/>
      <w:suff w:val="space"/>
      <w:lvlText w:val="图%1-%8"/>
      <w:lvlJc w:val="left"/>
      <w:pPr>
        <w:ind w:left="1702" w:firstLine="0"/>
      </w:pPr>
      <w:rPr>
        <w:rFonts w:hint="default" w:ascii="Times New Roman" w:hAnsi="Times New Roman" w:eastAsia="黑体" w:cs="Book Antiqua"/>
        <w:b w:val="0"/>
        <w:bCs/>
        <w:i w:val="0"/>
        <w:iCs w:val="0"/>
        <w:strike w:val="0"/>
        <w:color w:val="auto"/>
        <w:sz w:val="21"/>
        <w:szCs w:val="21"/>
        <w:vertAlign w:val="baseline"/>
        <w:lang w:val="en-US"/>
      </w:rPr>
    </w:lvl>
    <w:lvl w:ilvl="8">
      <w:start w:val="1"/>
      <w:numFmt w:val="decimal"/>
      <w:lvlRestart w:val="1"/>
      <w:pStyle w:val="1249"/>
      <w:isLgl w:val="false"/>
      <w:suff w:val="space"/>
      <w:lvlText w:val="表%1-%9"/>
      <w:lvlJc w:val="left"/>
      <w:pPr>
        <w:ind w:left="1701" w:firstLine="0"/>
      </w:pPr>
      <w:rPr>
        <w:rFonts w:hint="default" w:ascii="Times New Roman" w:hAnsi="Times New Roman" w:eastAsia="黑体"/>
        <w:b w:val="0"/>
        <w:bCs/>
        <w:i w:val="0"/>
        <w:iCs w:val="0"/>
        <w:color w:val="auto"/>
        <w:sz w:val="21"/>
        <w:szCs w:val="21"/>
      </w:rPr>
    </w:lvl>
  </w:abstractNum>
  <w:abstractNum w:abstractNumId="16">
    <w:multiLevelType w:val="hybridMultilevel"/>
    <w:lvl w:ilvl="0">
      <w:start w:val="1"/>
      <w:numFmt w:val="bullet"/>
      <w:pStyle w:val="1194"/>
      <w:isLgl w:val="false"/>
      <w:suff w:val="tab"/>
      <w:lvlText w:val=""/>
      <w:lvlJc w:val="left"/>
      <w:pPr>
        <w:ind w:left="2126" w:hanging="425"/>
        <w:tabs>
          <w:tab w:val="left" w:pos="2126" w:leader="none"/>
        </w:tabs>
      </w:pPr>
      <w:rPr>
        <w:rFonts w:hint="default" w:ascii="Wingdings" w:hAnsi="Wingdings" w:cs="Wingdings"/>
        <w:b w:val="0"/>
        <w:bCs w:val="0"/>
        <w:i w:val="0"/>
        <w:iCs w:val="0"/>
        <w:caps w:val="0"/>
        <w:strike w:val="0"/>
        <w:vanish w:val="0"/>
        <w:spacing w:val="0"/>
        <w:position w:val="2"/>
        <w:sz w:val="16"/>
        <w:szCs w:val="16"/>
        <w:vertAlign w:val="baseli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3"/>
      <w:numFmt w:val="decimal"/>
      <w:pStyle w:val="1271"/>
      <w:isLgl w:val="false"/>
      <w:suff w:val="tab"/>
      <w:lvlText w:val="%1)"/>
      <w:lvlJc w:val="left"/>
      <w:pPr>
        <w:ind w:left="830" w:hanging="405"/>
        <w:tabs>
          <w:tab w:val="left" w:pos="830" w:leader="none"/>
        </w:tabs>
      </w:pPr>
      <w:rPr>
        <w:rFonts w:hint="eastAsia"/>
      </w:rPr>
    </w:lvl>
    <w:lvl w:ilvl="1">
      <w:start w:val="1"/>
      <w:numFmt w:val="lowerLetter"/>
      <w:isLgl w:val="false"/>
      <w:suff w:val="tab"/>
      <w:lvlText w:val="%2)"/>
      <w:lvlJc w:val="left"/>
      <w:pPr>
        <w:ind w:left="1265" w:hanging="420"/>
        <w:tabs>
          <w:tab w:val="left" w:pos="1265" w:leader="none"/>
        </w:tabs>
      </w:pPr>
    </w:lvl>
    <w:lvl w:ilvl="2">
      <w:start w:val="1"/>
      <w:numFmt w:val="lowerRoman"/>
      <w:isLgl w:val="false"/>
      <w:suff w:val="tab"/>
      <w:lvlText w:val="%3."/>
      <w:lvlJc w:val="right"/>
      <w:pPr>
        <w:ind w:left="1685" w:hanging="420"/>
        <w:tabs>
          <w:tab w:val="left" w:pos="1685" w:leader="none"/>
        </w:tabs>
      </w:pPr>
    </w:lvl>
    <w:lvl w:ilvl="3">
      <w:start w:val="1"/>
      <w:numFmt w:val="decimal"/>
      <w:isLgl w:val="false"/>
      <w:suff w:val="tab"/>
      <w:lvlText w:val="%4."/>
      <w:lvlJc w:val="left"/>
      <w:pPr>
        <w:ind w:left="2105" w:hanging="420"/>
        <w:tabs>
          <w:tab w:val="left" w:pos="2105" w:leader="none"/>
        </w:tabs>
      </w:pPr>
    </w:lvl>
    <w:lvl w:ilvl="4">
      <w:start w:val="1"/>
      <w:numFmt w:val="lowerLetter"/>
      <w:isLgl w:val="false"/>
      <w:suff w:val="tab"/>
      <w:lvlText w:val="%5)"/>
      <w:lvlJc w:val="left"/>
      <w:pPr>
        <w:ind w:left="2525" w:hanging="420"/>
        <w:tabs>
          <w:tab w:val="left" w:pos="2525" w:leader="none"/>
        </w:tabs>
      </w:pPr>
    </w:lvl>
    <w:lvl w:ilvl="5">
      <w:start w:val="1"/>
      <w:numFmt w:val="lowerRoman"/>
      <w:isLgl w:val="false"/>
      <w:suff w:val="tab"/>
      <w:lvlText w:val="%6."/>
      <w:lvlJc w:val="right"/>
      <w:pPr>
        <w:ind w:left="2945" w:hanging="420"/>
        <w:tabs>
          <w:tab w:val="left" w:pos="2945" w:leader="none"/>
        </w:tabs>
      </w:pPr>
    </w:lvl>
    <w:lvl w:ilvl="6">
      <w:start w:val="1"/>
      <w:numFmt w:val="decimal"/>
      <w:isLgl w:val="false"/>
      <w:suff w:val="tab"/>
      <w:lvlText w:val="%7."/>
      <w:lvlJc w:val="left"/>
      <w:pPr>
        <w:ind w:left="3365" w:hanging="420"/>
        <w:tabs>
          <w:tab w:val="left" w:pos="3365" w:leader="none"/>
        </w:tabs>
      </w:pPr>
    </w:lvl>
    <w:lvl w:ilvl="7">
      <w:start w:val="1"/>
      <w:numFmt w:val="lowerLetter"/>
      <w:isLgl w:val="false"/>
      <w:suff w:val="tab"/>
      <w:lvlText w:val="%8)"/>
      <w:lvlJc w:val="left"/>
      <w:pPr>
        <w:ind w:left="3785" w:hanging="420"/>
        <w:tabs>
          <w:tab w:val="left" w:pos="3785" w:leader="none"/>
        </w:tabs>
      </w:pPr>
    </w:lvl>
    <w:lvl w:ilvl="8">
      <w:start w:val="1"/>
      <w:numFmt w:val="lowerRoman"/>
      <w:isLgl w:val="false"/>
      <w:suff w:val="tab"/>
      <w:lvlText w:val="%9."/>
      <w:lvlJc w:val="right"/>
      <w:pPr>
        <w:ind w:left="4205" w:hanging="420"/>
        <w:tabs>
          <w:tab w:val="left" w:pos="4205" w:leader="none"/>
        </w:tabs>
      </w:pPr>
    </w:lvl>
  </w:abstractNum>
  <w:abstractNum w:abstractNumId="18">
    <w:multiLevelType w:val="hybridMultilevel"/>
    <w:lvl w:ilvl="0">
      <w:start w:val="1"/>
      <w:numFmt w:val="lowerLetter"/>
      <w:isLgl w:val="false"/>
      <w:suff w:val="tab"/>
      <w:lvlText w:val="%1)"/>
      <w:lvlJc w:val="left"/>
      <w:pPr>
        <w:ind w:left="1360" w:hanging="440"/>
      </w:pPr>
    </w:lvl>
    <w:lvl w:ilvl="1">
      <w:start w:val="1"/>
      <w:numFmt w:val="lowerLetter"/>
      <w:isLgl w:val="false"/>
      <w:suff w:val="tab"/>
      <w:lvlText w:val="%2)"/>
      <w:lvlJc w:val="left"/>
      <w:pPr>
        <w:ind w:left="1800" w:hanging="440"/>
      </w:pPr>
    </w:lvl>
    <w:lvl w:ilvl="2">
      <w:start w:val="1"/>
      <w:numFmt w:val="lowerRoman"/>
      <w:isLgl w:val="false"/>
      <w:suff w:val="tab"/>
      <w:lvlText w:val="%3."/>
      <w:lvlJc w:val="right"/>
      <w:pPr>
        <w:ind w:left="2240" w:hanging="440"/>
      </w:pPr>
    </w:lvl>
    <w:lvl w:ilvl="3">
      <w:start w:val="1"/>
      <w:numFmt w:val="decimal"/>
      <w:isLgl w:val="false"/>
      <w:suff w:val="tab"/>
      <w:lvlText w:val="%4."/>
      <w:lvlJc w:val="left"/>
      <w:pPr>
        <w:ind w:left="2680" w:hanging="440"/>
      </w:pPr>
    </w:lvl>
    <w:lvl w:ilvl="4">
      <w:start w:val="1"/>
      <w:numFmt w:val="lowerLetter"/>
      <w:isLgl w:val="false"/>
      <w:suff w:val="tab"/>
      <w:lvlText w:val="%5)"/>
      <w:lvlJc w:val="left"/>
      <w:pPr>
        <w:ind w:left="3120" w:hanging="440"/>
      </w:pPr>
    </w:lvl>
    <w:lvl w:ilvl="5">
      <w:start w:val="1"/>
      <w:numFmt w:val="lowerRoman"/>
      <w:isLgl w:val="false"/>
      <w:suff w:val="tab"/>
      <w:lvlText w:val="%6."/>
      <w:lvlJc w:val="right"/>
      <w:pPr>
        <w:ind w:left="3560" w:hanging="440"/>
      </w:pPr>
    </w:lvl>
    <w:lvl w:ilvl="6">
      <w:start w:val="1"/>
      <w:numFmt w:val="decimal"/>
      <w:isLgl w:val="false"/>
      <w:suff w:val="tab"/>
      <w:lvlText w:val="%7."/>
      <w:lvlJc w:val="left"/>
      <w:pPr>
        <w:ind w:left="4000" w:hanging="440"/>
      </w:pPr>
    </w:lvl>
    <w:lvl w:ilvl="7">
      <w:start w:val="1"/>
      <w:numFmt w:val="lowerLetter"/>
      <w:isLgl w:val="false"/>
      <w:suff w:val="tab"/>
      <w:lvlText w:val="%8)"/>
      <w:lvlJc w:val="left"/>
      <w:pPr>
        <w:ind w:left="4440" w:hanging="440"/>
      </w:pPr>
    </w:lvl>
    <w:lvl w:ilvl="8">
      <w:start w:val="1"/>
      <w:numFmt w:val="lowerRoman"/>
      <w:isLgl w:val="false"/>
      <w:suff w:val="tab"/>
      <w:lvlText w:val="%9."/>
      <w:lvlJc w:val="right"/>
      <w:pPr>
        <w:ind w:left="4880" w:hanging="440"/>
      </w:pPr>
    </w:lvl>
  </w:abstractNum>
  <w:abstractNum w:abstractNumId="19">
    <w:multiLevelType w:val="hybridMultilevel"/>
    <w:lvl w:ilvl="0">
      <w:start w:val="1"/>
      <w:numFmt w:val="lowerLetter"/>
      <w:isLgl w:val="false"/>
      <w:suff w:val="tab"/>
      <w:lvlText w:val="%1)"/>
      <w:lvlJc w:val="left"/>
      <w:pPr>
        <w:ind w:left="1360" w:hanging="440"/>
      </w:pPr>
    </w:lvl>
    <w:lvl w:ilvl="1">
      <w:start w:val="1"/>
      <w:numFmt w:val="lowerLetter"/>
      <w:isLgl w:val="false"/>
      <w:suff w:val="tab"/>
      <w:lvlText w:val="%2)"/>
      <w:lvlJc w:val="left"/>
      <w:pPr>
        <w:ind w:left="1800" w:hanging="440"/>
      </w:pPr>
    </w:lvl>
    <w:lvl w:ilvl="2">
      <w:start w:val="1"/>
      <w:numFmt w:val="lowerRoman"/>
      <w:isLgl w:val="false"/>
      <w:suff w:val="tab"/>
      <w:lvlText w:val="%3."/>
      <w:lvlJc w:val="right"/>
      <w:pPr>
        <w:ind w:left="2240" w:hanging="440"/>
      </w:pPr>
    </w:lvl>
    <w:lvl w:ilvl="3">
      <w:start w:val="1"/>
      <w:numFmt w:val="decimal"/>
      <w:isLgl w:val="false"/>
      <w:suff w:val="tab"/>
      <w:lvlText w:val="%4."/>
      <w:lvlJc w:val="left"/>
      <w:pPr>
        <w:ind w:left="2680" w:hanging="440"/>
      </w:pPr>
    </w:lvl>
    <w:lvl w:ilvl="4">
      <w:start w:val="1"/>
      <w:numFmt w:val="lowerLetter"/>
      <w:isLgl w:val="false"/>
      <w:suff w:val="tab"/>
      <w:lvlText w:val="%5)"/>
      <w:lvlJc w:val="left"/>
      <w:pPr>
        <w:ind w:left="3120" w:hanging="440"/>
      </w:pPr>
    </w:lvl>
    <w:lvl w:ilvl="5">
      <w:start w:val="1"/>
      <w:numFmt w:val="lowerRoman"/>
      <w:isLgl w:val="false"/>
      <w:suff w:val="tab"/>
      <w:lvlText w:val="%6."/>
      <w:lvlJc w:val="right"/>
      <w:pPr>
        <w:ind w:left="3560" w:hanging="440"/>
      </w:pPr>
    </w:lvl>
    <w:lvl w:ilvl="6">
      <w:start w:val="1"/>
      <w:numFmt w:val="decimal"/>
      <w:isLgl w:val="false"/>
      <w:suff w:val="tab"/>
      <w:lvlText w:val="%7."/>
      <w:lvlJc w:val="left"/>
      <w:pPr>
        <w:ind w:left="4000" w:hanging="440"/>
      </w:pPr>
    </w:lvl>
    <w:lvl w:ilvl="7">
      <w:start w:val="1"/>
      <w:numFmt w:val="lowerLetter"/>
      <w:isLgl w:val="false"/>
      <w:suff w:val="tab"/>
      <w:lvlText w:val="%8)"/>
      <w:lvlJc w:val="left"/>
      <w:pPr>
        <w:ind w:left="4440" w:hanging="440"/>
      </w:pPr>
    </w:lvl>
    <w:lvl w:ilvl="8">
      <w:start w:val="1"/>
      <w:numFmt w:val="lowerRoman"/>
      <w:isLgl w:val="false"/>
      <w:suff w:val="tab"/>
      <w:lvlText w:val="%9."/>
      <w:lvlJc w:val="right"/>
      <w:pPr>
        <w:ind w:left="4880" w:hanging="440"/>
      </w:pPr>
    </w:lvl>
  </w:abstractNum>
  <w:abstractNum w:abstractNumId="2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2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lowerLetter"/>
      <w:isLgl w:val="false"/>
      <w:suff w:val="tab"/>
      <w:lvlText w:val="%1)"/>
      <w:lvlJc w:val="left"/>
      <w:pPr>
        <w:ind w:left="1360" w:hanging="440"/>
      </w:pPr>
    </w:lvl>
    <w:lvl w:ilvl="1">
      <w:start w:val="1"/>
      <w:numFmt w:val="lowerLetter"/>
      <w:isLgl w:val="false"/>
      <w:suff w:val="tab"/>
      <w:lvlText w:val="%2)"/>
      <w:lvlJc w:val="left"/>
      <w:pPr>
        <w:ind w:left="1800" w:hanging="440"/>
      </w:pPr>
    </w:lvl>
    <w:lvl w:ilvl="2">
      <w:start w:val="1"/>
      <w:numFmt w:val="lowerRoman"/>
      <w:isLgl w:val="false"/>
      <w:suff w:val="tab"/>
      <w:lvlText w:val="%3."/>
      <w:lvlJc w:val="right"/>
      <w:pPr>
        <w:ind w:left="2240" w:hanging="440"/>
      </w:pPr>
    </w:lvl>
    <w:lvl w:ilvl="3">
      <w:start w:val="1"/>
      <w:numFmt w:val="decimal"/>
      <w:isLgl w:val="false"/>
      <w:suff w:val="tab"/>
      <w:lvlText w:val="%4."/>
      <w:lvlJc w:val="left"/>
      <w:pPr>
        <w:ind w:left="2680" w:hanging="440"/>
      </w:pPr>
    </w:lvl>
    <w:lvl w:ilvl="4">
      <w:start w:val="1"/>
      <w:numFmt w:val="lowerLetter"/>
      <w:isLgl w:val="false"/>
      <w:suff w:val="tab"/>
      <w:lvlText w:val="%5)"/>
      <w:lvlJc w:val="left"/>
      <w:pPr>
        <w:ind w:left="3120" w:hanging="440"/>
      </w:pPr>
    </w:lvl>
    <w:lvl w:ilvl="5">
      <w:start w:val="1"/>
      <w:numFmt w:val="lowerRoman"/>
      <w:isLgl w:val="false"/>
      <w:suff w:val="tab"/>
      <w:lvlText w:val="%6."/>
      <w:lvlJc w:val="right"/>
      <w:pPr>
        <w:ind w:left="3560" w:hanging="440"/>
      </w:pPr>
    </w:lvl>
    <w:lvl w:ilvl="6">
      <w:start w:val="1"/>
      <w:numFmt w:val="decimal"/>
      <w:isLgl w:val="false"/>
      <w:suff w:val="tab"/>
      <w:lvlText w:val="%7."/>
      <w:lvlJc w:val="left"/>
      <w:pPr>
        <w:ind w:left="4000" w:hanging="440"/>
      </w:pPr>
    </w:lvl>
    <w:lvl w:ilvl="7">
      <w:start w:val="1"/>
      <w:numFmt w:val="lowerLetter"/>
      <w:isLgl w:val="false"/>
      <w:suff w:val="tab"/>
      <w:lvlText w:val="%8)"/>
      <w:lvlJc w:val="left"/>
      <w:pPr>
        <w:ind w:left="4440" w:hanging="440"/>
      </w:pPr>
    </w:lvl>
    <w:lvl w:ilvl="8">
      <w:start w:val="1"/>
      <w:numFmt w:val="lowerRoman"/>
      <w:isLgl w:val="false"/>
      <w:suff w:val="tab"/>
      <w:lvlText w:val="%9."/>
      <w:lvlJc w:val="right"/>
      <w:pPr>
        <w:ind w:left="4880" w:hanging="440"/>
      </w:pPr>
    </w:lvl>
  </w:abstractNum>
  <w:abstractNum w:abstractNumId="24">
    <w:multiLevelType w:val="hybridMultilevel"/>
    <w:lvl w:ilvl="0">
      <w:start w:val="2"/>
      <w:numFmt w:val="chineseCounting"/>
      <w:isLgl w:val="false"/>
      <w:suff w:val="nothing"/>
      <w:lvlText w:val="%1、"/>
      <w:lvlJc w:val="left"/>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1560" w:hanging="720"/>
      </w:pPr>
      <w:rPr>
        <w:rFonts w:hint="default"/>
      </w:rPr>
    </w:lvl>
    <w:lvl w:ilvl="1">
      <w:start w:val="1"/>
      <w:numFmt w:val="lowerLetter"/>
      <w:isLgl w:val="false"/>
      <w:suff w:val="tab"/>
      <w:lvlText w:val="%2)"/>
      <w:lvlJc w:val="left"/>
      <w:pPr>
        <w:ind w:left="1720" w:hanging="440"/>
      </w:pPr>
    </w:lvl>
    <w:lvl w:ilvl="2">
      <w:start w:val="1"/>
      <w:numFmt w:val="lowerRoman"/>
      <w:isLgl w:val="false"/>
      <w:suff w:val="tab"/>
      <w:lvlText w:val="%3."/>
      <w:lvlJc w:val="right"/>
      <w:pPr>
        <w:ind w:left="2160" w:hanging="440"/>
      </w:pPr>
    </w:lvl>
    <w:lvl w:ilvl="3">
      <w:start w:val="1"/>
      <w:numFmt w:val="decimal"/>
      <w:isLgl w:val="false"/>
      <w:suff w:val="tab"/>
      <w:lvlText w:val="%4."/>
      <w:lvlJc w:val="left"/>
      <w:pPr>
        <w:ind w:left="2600" w:hanging="440"/>
      </w:pPr>
    </w:lvl>
    <w:lvl w:ilvl="4">
      <w:start w:val="1"/>
      <w:numFmt w:val="lowerLetter"/>
      <w:isLgl w:val="false"/>
      <w:suff w:val="tab"/>
      <w:lvlText w:val="%5)"/>
      <w:lvlJc w:val="left"/>
      <w:pPr>
        <w:ind w:left="3040" w:hanging="440"/>
      </w:pPr>
    </w:lvl>
    <w:lvl w:ilvl="5">
      <w:start w:val="1"/>
      <w:numFmt w:val="lowerRoman"/>
      <w:isLgl w:val="false"/>
      <w:suff w:val="tab"/>
      <w:lvlText w:val="%6."/>
      <w:lvlJc w:val="right"/>
      <w:pPr>
        <w:ind w:left="3480" w:hanging="440"/>
      </w:pPr>
    </w:lvl>
    <w:lvl w:ilvl="6">
      <w:start w:val="1"/>
      <w:numFmt w:val="decimal"/>
      <w:isLgl w:val="false"/>
      <w:suff w:val="tab"/>
      <w:lvlText w:val="%7."/>
      <w:lvlJc w:val="left"/>
      <w:pPr>
        <w:ind w:left="3920" w:hanging="440"/>
      </w:pPr>
    </w:lvl>
    <w:lvl w:ilvl="7">
      <w:start w:val="1"/>
      <w:numFmt w:val="lowerLetter"/>
      <w:isLgl w:val="false"/>
      <w:suff w:val="tab"/>
      <w:lvlText w:val="%8)"/>
      <w:lvlJc w:val="left"/>
      <w:pPr>
        <w:ind w:left="4360" w:hanging="440"/>
      </w:pPr>
    </w:lvl>
    <w:lvl w:ilvl="8">
      <w:start w:val="1"/>
      <w:numFmt w:val="lowerRoman"/>
      <w:isLgl w:val="false"/>
      <w:suff w:val="tab"/>
      <w:lvlText w:val="%9."/>
      <w:lvlJc w:val="right"/>
      <w:pPr>
        <w:ind w:left="4800" w:hanging="440"/>
      </w:pPr>
    </w:lvl>
  </w:abstractNum>
  <w:abstractNum w:abstractNumId="26">
    <w:multiLevelType w:val="hybridMultilevel"/>
    <w:lvl w:ilvl="0">
      <w:start w:val="1"/>
      <w:numFmt w:val="bullet"/>
      <w:pStyle w:val="1273"/>
      <w:isLgl w:val="false"/>
      <w:suff w:val="tab"/>
      <w:lvlText w:val=""/>
      <w:lvlJc w:val="left"/>
      <w:pPr>
        <w:ind w:left="851" w:hanging="426"/>
        <w:tabs>
          <w:tab w:val="left" w:pos="851"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030"/>
      <w:isLgl w:val="false"/>
      <w:suff w:val="nothing"/>
      <w:lvlText w:val=""/>
      <w:lvlJc w:val="left"/>
      <w:pPr>
        <w:ind w:left="0" w:firstLine="0"/>
      </w:pPr>
      <w:rPr>
        <w:rFonts w:hint="eastAsia"/>
      </w:rPr>
    </w:lvl>
    <w:lvl w:ilvl="6">
      <w:start w:val="1"/>
      <w:numFmt w:val="none"/>
      <w:pStyle w:val="1031"/>
      <w:isLgl w:val="false"/>
      <w:suff w:val="nothing"/>
      <w:lvlText w:val=""/>
      <w:lvlJc w:val="left"/>
      <w:pPr>
        <w:ind w:left="0" w:firstLine="0"/>
      </w:pPr>
      <w:rPr>
        <w:rFonts w:hint="eastAsia"/>
      </w:rPr>
    </w:lvl>
    <w:lvl w:ilvl="7">
      <w:start w:val="1"/>
      <w:numFmt w:val="none"/>
      <w:pStyle w:val="1032"/>
      <w:isLgl w:val="false"/>
      <w:suff w:val="nothing"/>
      <w:lvlText w:val=""/>
      <w:lvlJc w:val="left"/>
      <w:pPr>
        <w:ind w:left="0" w:firstLine="0"/>
      </w:pPr>
      <w:rPr>
        <w:rFonts w:hint="eastAsia"/>
      </w:rPr>
    </w:lvl>
    <w:lvl w:ilvl="8">
      <w:start w:val="1"/>
      <w:numFmt w:val="none"/>
      <w:pStyle w:val="1033"/>
      <w:isLgl w:val="false"/>
      <w:suff w:val="nothing"/>
      <w:lvlText w:val=""/>
      <w:lvlJc w:val="left"/>
      <w:pPr>
        <w:ind w:left="0" w:firstLine="0"/>
      </w:pPr>
      <w:rPr>
        <w:rFonts w:hint="eastAsia"/>
      </w:rPr>
    </w:lvl>
  </w:abstractNum>
  <w:abstractNum w:abstractNumId="28">
    <w:multiLevelType w:val="hybridMultilevel"/>
    <w:lvl w:ilvl="0">
      <w:start w:val="1"/>
      <w:numFmt w:val="lowerLetter"/>
      <w:isLgl w:val="false"/>
      <w:suff w:val="tab"/>
      <w:lvlText w:val="%1)"/>
      <w:lvlJc w:val="left"/>
      <w:pPr>
        <w:ind w:left="1360" w:hanging="440"/>
      </w:pPr>
    </w:lvl>
    <w:lvl w:ilvl="1">
      <w:start w:val="1"/>
      <w:numFmt w:val="lowerLetter"/>
      <w:isLgl w:val="false"/>
      <w:suff w:val="tab"/>
      <w:lvlText w:val="%2)"/>
      <w:lvlJc w:val="left"/>
      <w:pPr>
        <w:ind w:left="1800" w:hanging="440"/>
      </w:pPr>
    </w:lvl>
    <w:lvl w:ilvl="2">
      <w:start w:val="1"/>
      <w:numFmt w:val="lowerRoman"/>
      <w:isLgl w:val="false"/>
      <w:suff w:val="tab"/>
      <w:lvlText w:val="%3."/>
      <w:lvlJc w:val="right"/>
      <w:pPr>
        <w:ind w:left="2240" w:hanging="440"/>
      </w:pPr>
    </w:lvl>
    <w:lvl w:ilvl="3">
      <w:start w:val="1"/>
      <w:numFmt w:val="decimal"/>
      <w:isLgl w:val="false"/>
      <w:suff w:val="tab"/>
      <w:lvlText w:val="%4."/>
      <w:lvlJc w:val="left"/>
      <w:pPr>
        <w:ind w:left="2680" w:hanging="440"/>
      </w:pPr>
    </w:lvl>
    <w:lvl w:ilvl="4">
      <w:start w:val="1"/>
      <w:numFmt w:val="lowerLetter"/>
      <w:isLgl w:val="false"/>
      <w:suff w:val="tab"/>
      <w:lvlText w:val="%5)"/>
      <w:lvlJc w:val="left"/>
      <w:pPr>
        <w:ind w:left="3120" w:hanging="440"/>
      </w:pPr>
    </w:lvl>
    <w:lvl w:ilvl="5">
      <w:start w:val="1"/>
      <w:numFmt w:val="lowerRoman"/>
      <w:isLgl w:val="false"/>
      <w:suff w:val="tab"/>
      <w:lvlText w:val="%6."/>
      <w:lvlJc w:val="right"/>
      <w:pPr>
        <w:ind w:left="3560" w:hanging="440"/>
      </w:pPr>
    </w:lvl>
    <w:lvl w:ilvl="6">
      <w:start w:val="1"/>
      <w:numFmt w:val="decimal"/>
      <w:isLgl w:val="false"/>
      <w:suff w:val="tab"/>
      <w:lvlText w:val="%7."/>
      <w:lvlJc w:val="left"/>
      <w:pPr>
        <w:ind w:left="4000" w:hanging="440"/>
      </w:pPr>
    </w:lvl>
    <w:lvl w:ilvl="7">
      <w:start w:val="1"/>
      <w:numFmt w:val="lowerLetter"/>
      <w:isLgl w:val="false"/>
      <w:suff w:val="tab"/>
      <w:lvlText w:val="%8)"/>
      <w:lvlJc w:val="left"/>
      <w:pPr>
        <w:ind w:left="4440" w:hanging="440"/>
      </w:pPr>
    </w:lvl>
    <w:lvl w:ilvl="8">
      <w:start w:val="1"/>
      <w:numFmt w:val="lowerRoman"/>
      <w:isLgl w:val="false"/>
      <w:suff w:val="tab"/>
      <w:lvlText w:val="%9."/>
      <w:lvlJc w:val="right"/>
      <w:pPr>
        <w:ind w:left="4880" w:hanging="440"/>
      </w:pPr>
    </w:lvl>
  </w:abstractNum>
  <w:num w:numId="1">
    <w:abstractNumId w:val="27"/>
  </w:num>
  <w:num w:numId="2">
    <w:abstractNumId w:val="13"/>
  </w:num>
  <w:num w:numId="3">
    <w:abstractNumId w:val="16"/>
  </w:num>
  <w:num w:numId="4">
    <w:abstractNumId w:val="21"/>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3"/>
    </w:lvlOverride>
  </w:num>
  <w:num w:numId="7">
    <w:abstractNumId w:val="26"/>
  </w:num>
  <w:num w:numId="8">
    <w:abstractNumId w:val="22"/>
  </w:num>
  <w:num w:numId="9">
    <w:abstractNumId w:val="3"/>
  </w:num>
  <w:num w:numId="10">
    <w:abstractNumId w:val="5"/>
  </w:num>
  <w:num w:numId="11">
    <w:abstractNumId w:val="6"/>
  </w:num>
  <w:num w:numId="12">
    <w:abstractNumId w:val="0"/>
  </w:num>
  <w:num w:numId="13">
    <w:abstractNumId w:val="2"/>
  </w:num>
  <w:num w:numId="14">
    <w:abstractNumId w:val="4"/>
  </w:num>
  <w:num w:numId="15">
    <w:abstractNumId w:val="25"/>
  </w:num>
  <w:num w:numId="16">
    <w:abstractNumId w:val="14"/>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8"/>
  </w:num>
  <w:num w:numId="22">
    <w:abstractNumId w:val="1"/>
  </w:num>
  <w:num w:numId="23">
    <w:abstractNumId w:val="11"/>
  </w:num>
  <w:num w:numId="24">
    <w:abstractNumId w:val="10"/>
  </w:num>
  <w:num w:numId="25">
    <w:abstractNumId w:val="9"/>
  </w:num>
  <w:num w:numId="26">
    <w:abstractNumId w:val="20"/>
  </w:num>
  <w:num w:numId="27">
    <w:abstractNumId w:val="8"/>
  </w:num>
  <w:num w:numId="28">
    <w:abstractNumId w:val="12"/>
  </w:num>
  <w:num w:numId="29">
    <w:abstractNumId w:val="7"/>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5">
    <w:name w:val="Heading 1 Char"/>
    <w:basedOn w:val="1034"/>
    <w:link w:val="1025"/>
    <w:uiPriority w:val="9"/>
    <w:rPr>
      <w:rFonts w:ascii="Arial" w:hAnsi="Arial" w:eastAsia="Arial" w:cs="Arial"/>
      <w:sz w:val="40"/>
      <w:szCs w:val="40"/>
    </w:rPr>
  </w:style>
  <w:style w:type="character" w:styleId="866">
    <w:name w:val="Heading 2 Char"/>
    <w:basedOn w:val="1034"/>
    <w:link w:val="1026"/>
    <w:uiPriority w:val="9"/>
    <w:rPr>
      <w:rFonts w:ascii="Arial" w:hAnsi="Arial" w:eastAsia="Arial" w:cs="Arial"/>
      <w:sz w:val="34"/>
    </w:rPr>
  </w:style>
  <w:style w:type="character" w:styleId="867">
    <w:name w:val="Heading 3 Char"/>
    <w:basedOn w:val="1034"/>
    <w:link w:val="1027"/>
    <w:uiPriority w:val="9"/>
    <w:rPr>
      <w:rFonts w:ascii="Arial" w:hAnsi="Arial" w:eastAsia="Arial" w:cs="Arial"/>
      <w:sz w:val="30"/>
      <w:szCs w:val="30"/>
    </w:rPr>
  </w:style>
  <w:style w:type="character" w:styleId="868">
    <w:name w:val="Heading 4 Char"/>
    <w:basedOn w:val="1034"/>
    <w:link w:val="1028"/>
    <w:uiPriority w:val="9"/>
    <w:rPr>
      <w:rFonts w:ascii="Arial" w:hAnsi="Arial" w:eastAsia="Arial" w:cs="Arial"/>
      <w:b/>
      <w:bCs/>
      <w:sz w:val="26"/>
      <w:szCs w:val="26"/>
    </w:rPr>
  </w:style>
  <w:style w:type="character" w:styleId="869">
    <w:name w:val="Heading 5 Char"/>
    <w:basedOn w:val="1034"/>
    <w:link w:val="1029"/>
    <w:uiPriority w:val="9"/>
    <w:rPr>
      <w:rFonts w:ascii="Arial" w:hAnsi="Arial" w:eastAsia="Arial" w:cs="Arial"/>
      <w:b/>
      <w:bCs/>
      <w:sz w:val="24"/>
      <w:szCs w:val="24"/>
    </w:rPr>
  </w:style>
  <w:style w:type="character" w:styleId="870">
    <w:name w:val="Heading 6 Char"/>
    <w:basedOn w:val="1034"/>
    <w:link w:val="1030"/>
    <w:uiPriority w:val="9"/>
    <w:rPr>
      <w:rFonts w:ascii="Arial" w:hAnsi="Arial" w:eastAsia="Arial" w:cs="Arial"/>
      <w:b/>
      <w:bCs/>
      <w:sz w:val="22"/>
      <w:szCs w:val="22"/>
    </w:rPr>
  </w:style>
  <w:style w:type="character" w:styleId="871">
    <w:name w:val="Heading 7 Char"/>
    <w:basedOn w:val="1034"/>
    <w:link w:val="1031"/>
    <w:uiPriority w:val="9"/>
    <w:rPr>
      <w:rFonts w:ascii="Arial" w:hAnsi="Arial" w:eastAsia="Arial" w:cs="Arial"/>
      <w:b/>
      <w:bCs/>
      <w:i/>
      <w:iCs/>
      <w:sz w:val="22"/>
      <w:szCs w:val="22"/>
    </w:rPr>
  </w:style>
  <w:style w:type="character" w:styleId="872">
    <w:name w:val="Heading 8 Char"/>
    <w:basedOn w:val="1034"/>
    <w:link w:val="1032"/>
    <w:uiPriority w:val="9"/>
    <w:rPr>
      <w:rFonts w:ascii="Arial" w:hAnsi="Arial" w:eastAsia="Arial" w:cs="Arial"/>
      <w:i/>
      <w:iCs/>
      <w:sz w:val="22"/>
      <w:szCs w:val="22"/>
    </w:rPr>
  </w:style>
  <w:style w:type="character" w:styleId="873">
    <w:name w:val="Heading 9 Char"/>
    <w:basedOn w:val="1034"/>
    <w:link w:val="1033"/>
    <w:uiPriority w:val="9"/>
    <w:rPr>
      <w:rFonts w:ascii="Arial" w:hAnsi="Arial" w:eastAsia="Arial" w:cs="Arial"/>
      <w:i/>
      <w:iCs/>
      <w:sz w:val="21"/>
      <w:szCs w:val="21"/>
    </w:rPr>
  </w:style>
  <w:style w:type="paragraph" w:styleId="874">
    <w:name w:val="No Spacing"/>
    <w:uiPriority w:val="1"/>
    <w:qFormat/>
    <w:pPr>
      <w:spacing w:before="0" w:after="0" w:line="240" w:lineRule="auto"/>
    </w:pPr>
  </w:style>
  <w:style w:type="character" w:styleId="875">
    <w:name w:val="Title Char"/>
    <w:basedOn w:val="1034"/>
    <w:link w:val="1061"/>
    <w:uiPriority w:val="10"/>
    <w:rPr>
      <w:sz w:val="48"/>
      <w:szCs w:val="48"/>
    </w:rPr>
  </w:style>
  <w:style w:type="paragraph" w:styleId="876">
    <w:name w:val="Subtitle"/>
    <w:basedOn w:val="1024"/>
    <w:next w:val="1024"/>
    <w:link w:val="877"/>
    <w:uiPriority w:val="11"/>
    <w:qFormat/>
    <w:pPr>
      <w:spacing w:before="200" w:after="200"/>
    </w:pPr>
    <w:rPr>
      <w:sz w:val="24"/>
      <w:szCs w:val="24"/>
    </w:rPr>
  </w:style>
  <w:style w:type="character" w:styleId="877">
    <w:name w:val="Subtitle Char"/>
    <w:basedOn w:val="1034"/>
    <w:link w:val="876"/>
    <w:uiPriority w:val="11"/>
    <w:rPr>
      <w:sz w:val="24"/>
      <w:szCs w:val="24"/>
    </w:rPr>
  </w:style>
  <w:style w:type="paragraph" w:styleId="878">
    <w:name w:val="Quote"/>
    <w:basedOn w:val="1024"/>
    <w:next w:val="1024"/>
    <w:link w:val="879"/>
    <w:uiPriority w:val="29"/>
    <w:qFormat/>
    <w:pPr>
      <w:ind w:left="720" w:right="720"/>
    </w:pPr>
    <w:rPr>
      <w:i/>
    </w:rPr>
  </w:style>
  <w:style w:type="character" w:styleId="879">
    <w:name w:val="Quote Char"/>
    <w:link w:val="878"/>
    <w:uiPriority w:val="29"/>
    <w:rPr>
      <w:i/>
    </w:rPr>
  </w:style>
  <w:style w:type="paragraph" w:styleId="880">
    <w:name w:val="Intense Quote"/>
    <w:basedOn w:val="1024"/>
    <w:next w:val="1024"/>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Intense Quote Char"/>
    <w:link w:val="880"/>
    <w:uiPriority w:val="30"/>
    <w:rPr>
      <w:i/>
    </w:rPr>
  </w:style>
  <w:style w:type="character" w:styleId="882">
    <w:name w:val="Header Char"/>
    <w:basedOn w:val="1034"/>
    <w:link w:val="1053"/>
    <w:uiPriority w:val="99"/>
  </w:style>
  <w:style w:type="character" w:styleId="883">
    <w:name w:val="Footer Char"/>
    <w:basedOn w:val="1034"/>
    <w:link w:val="1052"/>
    <w:uiPriority w:val="99"/>
  </w:style>
  <w:style w:type="character" w:styleId="884">
    <w:name w:val="Caption Char"/>
    <w:basedOn w:val="1038"/>
    <w:link w:val="1052"/>
    <w:uiPriority w:val="99"/>
  </w:style>
  <w:style w:type="table" w:styleId="885">
    <w:name w:val="Table Grid Light"/>
    <w:basedOn w:val="10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6">
    <w:name w:val="Plain Table 1"/>
    <w:basedOn w:val="10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basedOn w:val="10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basedOn w:val="10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1 Light - Accent 1"/>
    <w:basedOn w:val="10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3">
    <w:name w:val="Grid Table 1 Light - Accent 2"/>
    <w:basedOn w:val="10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4">
    <w:name w:val="Grid Table 1 Light - Accent 3"/>
    <w:basedOn w:val="10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5">
    <w:name w:val="Grid Table 1 Light - Accent 4"/>
    <w:basedOn w:val="10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6">
    <w:name w:val="Grid Table 1 Light - Accent 5"/>
    <w:basedOn w:val="10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7">
    <w:name w:val="Grid Table 1 Light - Accent 6"/>
    <w:basedOn w:val="10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8">
    <w:name w:val="Grid Table 2"/>
    <w:basedOn w:val="10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9">
    <w:name w:val="Grid Table 2 - Accent 1"/>
    <w:basedOn w:val="10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0">
    <w:name w:val="Grid Table 2 - Accent 2"/>
    <w:basedOn w:val="10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2 - Accent 3"/>
    <w:basedOn w:val="10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2 - Accent 4"/>
    <w:basedOn w:val="10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2 - Accent 5"/>
    <w:basedOn w:val="10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4">
    <w:name w:val="Grid Table 2 - Accent 6"/>
    <w:basedOn w:val="10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5">
    <w:name w:val="Grid Table 3"/>
    <w:basedOn w:val="10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1"/>
    <w:basedOn w:val="10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2"/>
    <w:basedOn w:val="10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3"/>
    <w:basedOn w:val="10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4"/>
    <w:basedOn w:val="10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5"/>
    <w:basedOn w:val="10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6"/>
    <w:basedOn w:val="10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basedOn w:val="10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4 - Accent 1"/>
    <w:basedOn w:val="10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4">
    <w:name w:val="Grid Table 4 - Accent 2"/>
    <w:basedOn w:val="10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5">
    <w:name w:val="Grid Table 4 - Accent 3"/>
    <w:basedOn w:val="10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6">
    <w:name w:val="Grid Table 4 - Accent 4"/>
    <w:basedOn w:val="10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7">
    <w:name w:val="Grid Table 4 - Accent 5"/>
    <w:basedOn w:val="10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8">
    <w:name w:val="Grid Table 4 - Accent 6"/>
    <w:basedOn w:val="10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9">
    <w:name w:val="Grid Table 5 Dark"/>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5 Dark- Accent 1"/>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21">
    <w:name w:val="Grid Table 5 Dark - Accent 2"/>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22">
    <w:name w:val="Grid Table 5 Dark - Accent 3"/>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23">
    <w:name w:val="Grid Table 5 Dark- Accent 4"/>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24">
    <w:name w:val="Grid Table 5 Dark - Accent 5"/>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25">
    <w:name w:val="Grid Table 5 Dark - Accent 6"/>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26">
    <w:name w:val="Grid Table 6 Colorful"/>
    <w:basedOn w:val="10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7">
    <w:name w:val="Grid Table 6 Colorful - Accent 1"/>
    <w:basedOn w:val="10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28">
    <w:name w:val="Grid Table 6 Colorful - Accent 2"/>
    <w:basedOn w:val="10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9">
    <w:name w:val="Grid Table 6 Colorful - Accent 3"/>
    <w:basedOn w:val="10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0">
    <w:name w:val="Grid Table 6 Colorful - Accent 4"/>
    <w:basedOn w:val="10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31">
    <w:name w:val="Grid Table 6 Colorful - Accent 5"/>
    <w:basedOn w:val="10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32">
    <w:name w:val="Grid Table 6 Colorful - Accent 6"/>
    <w:basedOn w:val="10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33">
    <w:name w:val="Grid Table 7 Colorful"/>
    <w:basedOn w:val="10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4">
    <w:name w:val="Grid Table 7 Colorful - Accent 1"/>
    <w:basedOn w:val="10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5">
    <w:name w:val="Grid Table 7 Colorful - Accent 2"/>
    <w:basedOn w:val="10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7 Colorful - Accent 3"/>
    <w:basedOn w:val="10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7 Colorful - Accent 4"/>
    <w:basedOn w:val="10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7 Colorful - Accent 5"/>
    <w:basedOn w:val="10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9">
    <w:name w:val="Grid Table 7 Colorful - Accent 6"/>
    <w:basedOn w:val="10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0">
    <w:name w:val="List Table 1 Light"/>
    <w:basedOn w:val="10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1 Light - Accent 1"/>
    <w:basedOn w:val="10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2">
    <w:name w:val="List Table 1 Light - Accent 2"/>
    <w:basedOn w:val="10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3">
    <w:name w:val="List Table 1 Light - Accent 3"/>
    <w:basedOn w:val="10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4">
    <w:name w:val="List Table 1 Light - Accent 4"/>
    <w:basedOn w:val="10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5">
    <w:name w:val="List Table 1 Light - Accent 5"/>
    <w:basedOn w:val="10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6">
    <w:name w:val="List Table 1 Light - Accent 6"/>
    <w:basedOn w:val="10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7">
    <w:name w:val="List Table 2"/>
    <w:basedOn w:val="10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8">
    <w:name w:val="List Table 2 - Accent 1"/>
    <w:basedOn w:val="10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9">
    <w:name w:val="List Table 2 - Accent 2"/>
    <w:basedOn w:val="10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0">
    <w:name w:val="List Table 2 - Accent 3"/>
    <w:basedOn w:val="10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1">
    <w:name w:val="List Table 2 - Accent 4"/>
    <w:basedOn w:val="10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2">
    <w:name w:val="List Table 2 - Accent 5"/>
    <w:basedOn w:val="10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3">
    <w:name w:val="List Table 2 - Accent 6"/>
    <w:basedOn w:val="10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4">
    <w:name w:val="List Table 3"/>
    <w:basedOn w:val="10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3 - Accent 1"/>
    <w:basedOn w:val="10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6">
    <w:name w:val="List Table 3 - Accent 2"/>
    <w:basedOn w:val="10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57">
    <w:name w:val="List Table 3 - Accent 3"/>
    <w:basedOn w:val="10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58">
    <w:name w:val="List Table 3 - Accent 4"/>
    <w:basedOn w:val="10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9">
    <w:name w:val="List Table 3 - Accent 5"/>
    <w:basedOn w:val="10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60">
    <w:name w:val="List Table 3 - Accent 6"/>
    <w:basedOn w:val="10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61">
    <w:name w:val="List Table 4"/>
    <w:basedOn w:val="10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4 - Accent 1"/>
    <w:basedOn w:val="10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63">
    <w:name w:val="List Table 4 - Accent 2"/>
    <w:basedOn w:val="10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64">
    <w:name w:val="List Table 4 - Accent 3"/>
    <w:basedOn w:val="10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65">
    <w:name w:val="List Table 4 - Accent 4"/>
    <w:basedOn w:val="10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66">
    <w:name w:val="List Table 4 - Accent 5"/>
    <w:basedOn w:val="10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67">
    <w:name w:val="List Table 4 - Accent 6"/>
    <w:basedOn w:val="10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68">
    <w:name w:val="List Table 5 Dark"/>
    <w:basedOn w:val="10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1"/>
    <w:basedOn w:val="10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2"/>
    <w:basedOn w:val="10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3"/>
    <w:basedOn w:val="10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4"/>
    <w:basedOn w:val="10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5"/>
    <w:basedOn w:val="10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6"/>
    <w:basedOn w:val="10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6 Colorful"/>
    <w:basedOn w:val="10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6">
    <w:name w:val="List Table 6 Colorful - Accent 1"/>
    <w:basedOn w:val="10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77">
    <w:name w:val="List Table 6 Colorful - Accent 2"/>
    <w:basedOn w:val="10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78">
    <w:name w:val="List Table 6 Colorful - Accent 3"/>
    <w:basedOn w:val="10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9">
    <w:name w:val="List Table 6 Colorful - Accent 4"/>
    <w:basedOn w:val="10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80">
    <w:name w:val="List Table 6 Colorful - Accent 5"/>
    <w:basedOn w:val="10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81">
    <w:name w:val="List Table 6 Colorful - Accent 6"/>
    <w:basedOn w:val="10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82">
    <w:name w:val="List Table 7 Colorful"/>
    <w:basedOn w:val="10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3">
    <w:name w:val="List Table 7 Colorful - Accent 1"/>
    <w:basedOn w:val="10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84">
    <w:name w:val="List Table 7 Colorful - Accent 2"/>
    <w:basedOn w:val="10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85">
    <w:name w:val="List Table 7 Colorful - Accent 3"/>
    <w:basedOn w:val="10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86">
    <w:name w:val="List Table 7 Colorful - Accent 4"/>
    <w:basedOn w:val="10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87">
    <w:name w:val="List Table 7 Colorful - Accent 5"/>
    <w:basedOn w:val="10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88">
    <w:name w:val="List Table 7 Colorful - Accent 6"/>
    <w:basedOn w:val="10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9">
    <w:name w:val="Lined - Accent"/>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Lined - Accent 1"/>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91">
    <w:name w:val="Lined - Accent 2"/>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2">
    <w:name w:val="Lined - Accent 3"/>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3">
    <w:name w:val="Lined - Accent 4"/>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4">
    <w:name w:val="Lined - Accent 5"/>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5">
    <w:name w:val="Lined - Accent 6"/>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6">
    <w:name w:val="Bordered &amp; Lined - Accent"/>
    <w:basedOn w:val="10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Bordered &amp; Lined - Accent 1"/>
    <w:basedOn w:val="10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98">
    <w:name w:val="Bordered &amp; Lined - Accent 2"/>
    <w:basedOn w:val="10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9">
    <w:name w:val="Bordered &amp; Lined - Accent 3"/>
    <w:basedOn w:val="10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0">
    <w:name w:val="Bordered &amp; Lined - Accent 4"/>
    <w:basedOn w:val="10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1">
    <w:name w:val="Bordered &amp; Lined - Accent 5"/>
    <w:basedOn w:val="10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02">
    <w:name w:val="Bordered &amp; Lined - Accent 6"/>
    <w:basedOn w:val="10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3">
    <w:name w:val="Bordered"/>
    <w:basedOn w:val="10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4">
    <w:name w:val="Bordered - Accent 1"/>
    <w:basedOn w:val="10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5">
    <w:name w:val="Bordered - Accent 2"/>
    <w:basedOn w:val="10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6">
    <w:name w:val="Bordered - Accent 3"/>
    <w:basedOn w:val="10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7">
    <w:name w:val="Bordered - Accent 4"/>
    <w:basedOn w:val="10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8">
    <w:name w:val="Bordered - Accent 5"/>
    <w:basedOn w:val="10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9">
    <w:name w:val="Bordered - Accent 6"/>
    <w:basedOn w:val="10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0">
    <w:name w:val="footnote text"/>
    <w:basedOn w:val="1024"/>
    <w:link w:val="1011"/>
    <w:uiPriority w:val="99"/>
    <w:semiHidden/>
    <w:unhideWhenUsed/>
    <w:pPr>
      <w:spacing w:after="40" w:line="240" w:lineRule="auto"/>
    </w:pPr>
    <w:rPr>
      <w:sz w:val="18"/>
    </w:rPr>
  </w:style>
  <w:style w:type="character" w:styleId="1011">
    <w:name w:val="Footnote Text Char"/>
    <w:link w:val="1010"/>
    <w:uiPriority w:val="99"/>
    <w:rPr>
      <w:sz w:val="18"/>
    </w:rPr>
  </w:style>
  <w:style w:type="character" w:styleId="1012">
    <w:name w:val="footnote reference"/>
    <w:basedOn w:val="1034"/>
    <w:uiPriority w:val="99"/>
    <w:unhideWhenUsed/>
    <w:rPr>
      <w:vertAlign w:val="superscript"/>
    </w:rPr>
  </w:style>
  <w:style w:type="paragraph" w:styleId="1013">
    <w:name w:val="endnote text"/>
    <w:basedOn w:val="1024"/>
    <w:link w:val="1014"/>
    <w:uiPriority w:val="99"/>
    <w:semiHidden/>
    <w:unhideWhenUsed/>
    <w:pPr>
      <w:spacing w:after="0" w:line="240" w:lineRule="auto"/>
    </w:pPr>
    <w:rPr>
      <w:sz w:val="20"/>
    </w:rPr>
  </w:style>
  <w:style w:type="character" w:styleId="1014">
    <w:name w:val="Endnote Text Char"/>
    <w:link w:val="1013"/>
    <w:uiPriority w:val="99"/>
    <w:rPr>
      <w:sz w:val="20"/>
    </w:rPr>
  </w:style>
  <w:style w:type="character" w:styleId="1015">
    <w:name w:val="endnote reference"/>
    <w:basedOn w:val="1034"/>
    <w:uiPriority w:val="99"/>
    <w:semiHidden/>
    <w:unhideWhenUsed/>
    <w:rPr>
      <w:vertAlign w:val="superscript"/>
    </w:rPr>
  </w:style>
  <w:style w:type="paragraph" w:styleId="1016">
    <w:name w:val="toc 4"/>
    <w:basedOn w:val="1024"/>
    <w:next w:val="1024"/>
    <w:uiPriority w:val="39"/>
    <w:unhideWhenUsed/>
    <w:pPr>
      <w:ind w:left="850" w:right="0" w:firstLine="0"/>
      <w:spacing w:after="57"/>
    </w:pPr>
  </w:style>
  <w:style w:type="paragraph" w:styleId="1017">
    <w:name w:val="toc 5"/>
    <w:basedOn w:val="1024"/>
    <w:next w:val="1024"/>
    <w:uiPriority w:val="39"/>
    <w:unhideWhenUsed/>
    <w:pPr>
      <w:ind w:left="1134" w:right="0" w:firstLine="0"/>
      <w:spacing w:after="57"/>
    </w:pPr>
  </w:style>
  <w:style w:type="paragraph" w:styleId="1018">
    <w:name w:val="toc 6"/>
    <w:basedOn w:val="1024"/>
    <w:next w:val="1024"/>
    <w:uiPriority w:val="39"/>
    <w:unhideWhenUsed/>
    <w:pPr>
      <w:ind w:left="1417" w:right="0" w:firstLine="0"/>
      <w:spacing w:after="57"/>
    </w:pPr>
  </w:style>
  <w:style w:type="paragraph" w:styleId="1019">
    <w:name w:val="toc 7"/>
    <w:basedOn w:val="1024"/>
    <w:next w:val="1024"/>
    <w:uiPriority w:val="39"/>
    <w:unhideWhenUsed/>
    <w:pPr>
      <w:ind w:left="1701" w:right="0" w:firstLine="0"/>
      <w:spacing w:after="57"/>
    </w:pPr>
  </w:style>
  <w:style w:type="paragraph" w:styleId="1020">
    <w:name w:val="toc 8"/>
    <w:basedOn w:val="1024"/>
    <w:next w:val="1024"/>
    <w:uiPriority w:val="39"/>
    <w:unhideWhenUsed/>
    <w:pPr>
      <w:ind w:left="1984" w:right="0" w:firstLine="0"/>
      <w:spacing w:after="57"/>
    </w:pPr>
  </w:style>
  <w:style w:type="paragraph" w:styleId="1021">
    <w:name w:val="toc 9"/>
    <w:basedOn w:val="1024"/>
    <w:next w:val="1024"/>
    <w:uiPriority w:val="39"/>
    <w:unhideWhenUsed/>
    <w:pPr>
      <w:ind w:left="2268" w:right="0" w:firstLine="0"/>
      <w:spacing w:after="57"/>
    </w:pPr>
  </w:style>
  <w:style w:type="paragraph" w:styleId="1022">
    <w:name w:val="TOC Heading"/>
    <w:uiPriority w:val="39"/>
    <w:unhideWhenUsed/>
  </w:style>
  <w:style w:type="paragraph" w:styleId="1023">
    <w:name w:val="table of figures"/>
    <w:basedOn w:val="1024"/>
    <w:next w:val="1024"/>
    <w:uiPriority w:val="99"/>
    <w:unhideWhenUsed/>
    <w:pPr>
      <w:spacing w:after="0" w:afterAutospacing="0"/>
    </w:pPr>
  </w:style>
  <w:style w:type="paragraph" w:styleId="102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1025">
    <w:name w:val="Heading 1"/>
    <w:basedOn w:val="1024"/>
    <w:next w:val="1024"/>
    <w:link w:val="1073"/>
    <w:uiPriority w:val="0"/>
    <w:qFormat/>
    <w:pPr>
      <w:jc w:val="center"/>
      <w:keepNext/>
      <w:outlineLvl w:val="0"/>
    </w:pPr>
    <w:rPr>
      <w:rFonts w:ascii="楷体_GB2312" w:eastAsia="楷体_GB2312"/>
      <w:sz w:val="28"/>
      <w:szCs w:val="28"/>
    </w:rPr>
  </w:style>
  <w:style w:type="paragraph" w:styleId="1026">
    <w:name w:val="Heading 2"/>
    <w:basedOn w:val="1024"/>
    <w:next w:val="1024"/>
    <w:link w:val="10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7">
    <w:name w:val="Heading 3"/>
    <w:basedOn w:val="1024"/>
    <w:next w:val="1036"/>
    <w:link w:val="1075"/>
    <w:uiPriority w:val="0"/>
    <w:qFormat/>
    <w:pPr>
      <w:keepLines/>
      <w:keepNext/>
      <w:spacing w:before="260" w:after="260" w:line="416" w:lineRule="auto"/>
      <w:outlineLvl w:val="2"/>
    </w:pPr>
    <w:rPr>
      <w:b/>
      <w:bCs/>
      <w:sz w:val="32"/>
      <w:szCs w:val="32"/>
    </w:rPr>
  </w:style>
  <w:style w:type="paragraph" w:styleId="1028">
    <w:name w:val="Heading 4"/>
    <w:basedOn w:val="1024"/>
    <w:next w:val="1036"/>
    <w:link w:val="1077"/>
    <w:uiPriority w:val="0"/>
    <w:qFormat/>
    <w:pPr>
      <w:keepLines/>
      <w:keepNext/>
      <w:spacing w:before="280" w:after="290" w:line="376" w:lineRule="auto"/>
      <w:outlineLvl w:val="3"/>
    </w:pPr>
    <w:rPr>
      <w:rFonts w:ascii="Arial" w:hAnsi="Arial" w:eastAsia="黑体" w:cs="Arial"/>
      <w:b/>
      <w:bCs/>
      <w:sz w:val="28"/>
      <w:szCs w:val="28"/>
    </w:rPr>
  </w:style>
  <w:style w:type="paragraph" w:styleId="1029">
    <w:name w:val="Heading 5"/>
    <w:basedOn w:val="1024"/>
    <w:next w:val="1036"/>
    <w:link w:val="1078"/>
    <w:uiPriority w:val="0"/>
    <w:qFormat/>
    <w:pPr>
      <w:keepNext/>
      <w:outlineLvl w:val="4"/>
    </w:pPr>
    <w:rPr>
      <w:rFonts w:ascii="宋体"/>
      <w:color w:val="000000"/>
      <w:sz w:val="28"/>
      <w:szCs w:val="28"/>
    </w:rPr>
  </w:style>
  <w:style w:type="paragraph" w:styleId="1030">
    <w:name w:val="Heading 6"/>
    <w:basedOn w:val="1024"/>
    <w:next w:val="1024"/>
    <w:link w:val="107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1">
    <w:name w:val="Heading 7"/>
    <w:basedOn w:val="1024"/>
    <w:next w:val="1024"/>
    <w:link w:val="1080"/>
    <w:uiPriority w:val="0"/>
    <w:qFormat/>
    <w:pPr>
      <w:numPr>
        <w:ilvl w:val="6"/>
        <w:numId w:val="1"/>
      </w:numPr>
      <w:keepLines/>
      <w:keepNext/>
      <w:spacing w:before="240" w:after="64" w:line="320" w:lineRule="auto"/>
      <w:outlineLvl w:val="6"/>
    </w:pPr>
    <w:rPr>
      <w:b/>
      <w:bCs/>
      <w:sz w:val="24"/>
      <w:szCs w:val="24"/>
    </w:rPr>
  </w:style>
  <w:style w:type="paragraph" w:styleId="1032">
    <w:name w:val="Heading 8"/>
    <w:basedOn w:val="1024"/>
    <w:next w:val="1024"/>
    <w:link w:val="108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33">
    <w:name w:val="Heading 9"/>
    <w:basedOn w:val="1024"/>
    <w:next w:val="1024"/>
    <w:link w:val="1082"/>
    <w:uiPriority w:val="0"/>
    <w:qFormat/>
    <w:pPr>
      <w:numPr>
        <w:ilvl w:val="8"/>
        <w:numId w:val="1"/>
      </w:numPr>
      <w:keepLines/>
      <w:keepNext/>
      <w:spacing w:before="240" w:after="64" w:line="320" w:lineRule="auto"/>
      <w:outlineLvl w:val="8"/>
    </w:pPr>
    <w:rPr>
      <w:rFonts w:ascii="Arial" w:hAnsi="Arial" w:eastAsia="黑体"/>
    </w:rPr>
  </w:style>
  <w:style w:type="character" w:styleId="1034" w:default="1">
    <w:name w:val="Default Paragraph Font"/>
    <w:uiPriority w:val="1"/>
    <w:semiHidden/>
    <w:unhideWhenUsed/>
    <w:qFormat/>
  </w:style>
  <w:style w:type="table" w:styleId="1035" w:default="1">
    <w:name w:val="Normal Table"/>
    <w:uiPriority w:val="99"/>
    <w:semiHidden/>
    <w:unhideWhenUsed/>
    <w:qFormat/>
    <w:tblPr>
      <w:tblCellMar>
        <w:left w:w="108" w:type="dxa"/>
        <w:top w:w="0" w:type="dxa"/>
        <w:right w:w="108" w:type="dxa"/>
        <w:bottom w:w="0" w:type="dxa"/>
      </w:tblCellMar>
    </w:tblPr>
  </w:style>
  <w:style w:type="paragraph" w:styleId="1036">
    <w:name w:val="Normal Indent"/>
    <w:basedOn w:val="1024"/>
    <w:link w:val="1076"/>
    <w:uiPriority w:val="0"/>
    <w:qFormat/>
    <w:pPr>
      <w:ind w:firstLine="420"/>
    </w:pPr>
  </w:style>
  <w:style w:type="paragraph" w:styleId="1037">
    <w:name w:val="List 3"/>
    <w:basedOn w:val="1024"/>
    <w:uiPriority w:val="0"/>
    <w:qFormat/>
    <w:pPr>
      <w:ind w:left="100" w:hanging="200"/>
    </w:pPr>
  </w:style>
  <w:style w:type="paragraph" w:styleId="1038">
    <w:name w:val="Caption"/>
    <w:basedOn w:val="1024"/>
    <w:next w:val="1024"/>
    <w:uiPriority w:val="0"/>
    <w:unhideWhenUsed/>
    <w:qFormat/>
    <w:rPr>
      <w:rFonts w:ascii="Arial" w:hAnsi="Arial" w:eastAsia="黑体"/>
      <w:sz w:val="20"/>
    </w:rPr>
  </w:style>
  <w:style w:type="paragraph" w:styleId="1039">
    <w:name w:val="Document Map"/>
    <w:basedOn w:val="1024"/>
    <w:link w:val="1083"/>
    <w:uiPriority w:val="0"/>
    <w:semiHidden/>
    <w:qFormat/>
    <w:pPr>
      <w:shd w:val="clear" w:color="auto" w:fill="000080"/>
    </w:pPr>
  </w:style>
  <w:style w:type="paragraph" w:styleId="1040">
    <w:name w:val="annotation text"/>
    <w:basedOn w:val="1024"/>
    <w:link w:val="1084"/>
    <w:uiPriority w:val="0"/>
    <w:qFormat/>
    <w:pPr>
      <w:jc w:val="left"/>
    </w:pPr>
    <w:rPr>
      <w:rFonts w:ascii="Calibri" w:hAnsi="Calibri"/>
      <w:szCs w:val="24"/>
    </w:rPr>
  </w:style>
  <w:style w:type="paragraph" w:styleId="1041">
    <w:name w:val="Salutation"/>
    <w:basedOn w:val="1024"/>
    <w:next w:val="1024"/>
    <w:link w:val="1085"/>
    <w:uiPriority w:val="0"/>
    <w:qFormat/>
    <w:rPr>
      <w:szCs w:val="20"/>
    </w:rPr>
  </w:style>
  <w:style w:type="paragraph" w:styleId="1042">
    <w:name w:val="Body Text 3"/>
    <w:basedOn w:val="1024"/>
    <w:uiPriority w:val="0"/>
    <w:qFormat/>
    <w:rPr>
      <w:rFonts w:ascii="仿宋_GB2312" w:hAnsi="Arial" w:eastAsia="仿宋_GB2312"/>
      <w:sz w:val="32"/>
      <w:szCs w:val="32"/>
    </w:rPr>
  </w:style>
  <w:style w:type="paragraph" w:styleId="1043">
    <w:name w:val="Body Text"/>
    <w:basedOn w:val="1024"/>
    <w:next w:val="1024"/>
    <w:link w:val="1086"/>
    <w:uiPriority w:val="0"/>
    <w:qFormat/>
    <w:pPr>
      <w:jc w:val="center"/>
    </w:pPr>
    <w:rPr>
      <w:rFonts w:ascii="楷体_GB2312" w:hAnsi="Arial" w:eastAsia="楷体_GB2312"/>
      <w:sz w:val="28"/>
      <w:szCs w:val="28"/>
    </w:rPr>
  </w:style>
  <w:style w:type="paragraph" w:styleId="1044">
    <w:name w:val="Body Text Indent"/>
    <w:basedOn w:val="1024"/>
    <w:link w:val="1087"/>
    <w:uiPriority w:val="0"/>
    <w:qFormat/>
    <w:pPr>
      <w:ind w:firstLine="645"/>
    </w:pPr>
    <w:rPr>
      <w:rFonts w:ascii="楷体_GB2312" w:eastAsia="楷体_GB2312"/>
      <w:sz w:val="32"/>
      <w:szCs w:val="32"/>
    </w:rPr>
  </w:style>
  <w:style w:type="paragraph" w:styleId="1045">
    <w:name w:val="List 2"/>
    <w:basedOn w:val="1024"/>
    <w:uiPriority w:val="0"/>
    <w:qFormat/>
    <w:pPr>
      <w:ind w:left="100" w:hanging="200"/>
    </w:pPr>
  </w:style>
  <w:style w:type="paragraph" w:styleId="1046">
    <w:name w:val="Block Text"/>
    <w:basedOn w:val="1024"/>
    <w:uiPriority w:val="0"/>
    <w:qFormat/>
    <w:pPr>
      <w:ind w:left="3600" w:right="-288" w:hanging="2880"/>
      <w:spacing w:after="100"/>
      <w:tabs>
        <w:tab w:val="left" w:pos="1440" w:leader="none"/>
      </w:tabs>
    </w:pPr>
    <w:rPr>
      <w:sz w:val="22"/>
      <w:szCs w:val="20"/>
      <w:lang w:eastAsia="en-US"/>
    </w:rPr>
  </w:style>
  <w:style w:type="paragraph" w:styleId="1047">
    <w:name w:val="toc 3"/>
    <w:basedOn w:val="1024"/>
    <w:next w:val="1024"/>
    <w:uiPriority w:val="39"/>
    <w:qFormat/>
    <w:pPr>
      <w:ind w:left="840"/>
    </w:pPr>
  </w:style>
  <w:style w:type="paragraph" w:styleId="1048">
    <w:name w:val="Plain Text"/>
    <w:basedOn w:val="1024"/>
    <w:link w:val="1088"/>
    <w:uiPriority w:val="0"/>
    <w:qFormat/>
    <w:rPr>
      <w:rFonts w:ascii="宋体" w:hAnsi="Courier New" w:cs="Courier New"/>
    </w:rPr>
  </w:style>
  <w:style w:type="paragraph" w:styleId="1049">
    <w:name w:val="Date"/>
    <w:basedOn w:val="1024"/>
    <w:next w:val="1024"/>
    <w:link w:val="1089"/>
    <w:uiPriority w:val="0"/>
    <w:qFormat/>
    <w:rPr>
      <w:sz w:val="24"/>
      <w:szCs w:val="24"/>
    </w:rPr>
  </w:style>
  <w:style w:type="paragraph" w:styleId="1050">
    <w:name w:val="Body Text Indent 2"/>
    <w:basedOn w:val="1024"/>
    <w:uiPriority w:val="0"/>
    <w:qFormat/>
    <w:pPr>
      <w:ind w:left="630" w:firstLine="645"/>
    </w:pPr>
    <w:rPr>
      <w:rFonts w:ascii="Arial" w:hAnsi="Arial" w:eastAsia="仿宋_GB2312" w:cs="Arial"/>
      <w:sz w:val="32"/>
      <w:szCs w:val="32"/>
    </w:rPr>
  </w:style>
  <w:style w:type="paragraph" w:styleId="1051">
    <w:name w:val="Balloon Text"/>
    <w:basedOn w:val="1024"/>
    <w:link w:val="1090"/>
    <w:uiPriority w:val="0"/>
    <w:qFormat/>
    <w:rPr>
      <w:sz w:val="18"/>
      <w:szCs w:val="18"/>
    </w:rPr>
  </w:style>
  <w:style w:type="paragraph" w:styleId="1052">
    <w:name w:val="Footer"/>
    <w:basedOn w:val="1024"/>
    <w:link w:val="1091"/>
    <w:uiPriority w:val="99"/>
    <w:qFormat/>
    <w:pPr>
      <w:jc w:val="left"/>
      <w:tabs>
        <w:tab w:val="center" w:pos="4153" w:leader="none"/>
        <w:tab w:val="right" w:pos="8306" w:leader="none"/>
      </w:tabs>
    </w:pPr>
    <w:rPr>
      <w:sz w:val="18"/>
      <w:szCs w:val="18"/>
    </w:rPr>
  </w:style>
  <w:style w:type="paragraph" w:styleId="1053">
    <w:name w:val="Header"/>
    <w:basedOn w:val="1024"/>
    <w:link w:val="1092"/>
    <w:uiPriority w:val="99"/>
    <w:qFormat/>
    <w:pPr>
      <w:jc w:val="center"/>
      <w:tabs>
        <w:tab w:val="center" w:pos="4153" w:leader="none"/>
        <w:tab w:val="right" w:pos="8306" w:leader="none"/>
      </w:tabs>
      <w:pBdr>
        <w:bottom w:val="single" w:color="auto" w:sz="6" w:space="1"/>
      </w:pBdr>
    </w:pPr>
    <w:rPr>
      <w:sz w:val="18"/>
      <w:szCs w:val="18"/>
    </w:rPr>
  </w:style>
  <w:style w:type="paragraph" w:styleId="1054">
    <w:name w:val="toc 1"/>
    <w:basedOn w:val="1024"/>
    <w:next w:val="1024"/>
    <w:uiPriority w:val="39"/>
    <w:qFormat/>
    <w:pPr>
      <w:tabs>
        <w:tab w:val="right" w:pos="8296" w:leader="dot"/>
      </w:tabs>
    </w:pPr>
    <w:rPr>
      <w:rFonts w:eastAsia="黑体"/>
      <w:sz w:val="24"/>
      <w:szCs w:val="24"/>
    </w:rPr>
  </w:style>
  <w:style w:type="paragraph" w:styleId="1055">
    <w:name w:val="List"/>
    <w:basedOn w:val="1024"/>
    <w:uiPriority w:val="0"/>
    <w:qFormat/>
    <w:pPr>
      <w:ind w:left="200" w:hanging="200"/>
    </w:pPr>
  </w:style>
  <w:style w:type="paragraph" w:styleId="1056">
    <w:name w:val="Body Text Indent 3"/>
    <w:basedOn w:val="1024"/>
    <w:uiPriority w:val="0"/>
    <w:qFormat/>
    <w:pPr>
      <w:ind w:left="645" w:firstLine="645"/>
    </w:pPr>
    <w:rPr>
      <w:rFonts w:ascii="Arial" w:hAnsi="Arial" w:eastAsia="仿宋_GB2312" w:cs="Arial"/>
      <w:color w:val="ffff00"/>
      <w:sz w:val="32"/>
      <w:szCs w:val="32"/>
    </w:rPr>
  </w:style>
  <w:style w:type="paragraph" w:styleId="1057">
    <w:name w:val="toc 2"/>
    <w:basedOn w:val="1024"/>
    <w:next w:val="1024"/>
    <w:uiPriority w:val="39"/>
    <w:qFormat/>
    <w:pPr>
      <w:jc w:val="left"/>
      <w:spacing w:line="360" w:lineRule="auto"/>
      <w:tabs>
        <w:tab w:val="left" w:pos="840" w:leader="none"/>
        <w:tab w:val="right" w:pos="8494" w:leader="dot"/>
      </w:tabs>
    </w:pPr>
    <w:rPr>
      <w:smallCaps/>
      <w:sz w:val="20"/>
      <w:szCs w:val="20"/>
    </w:rPr>
  </w:style>
  <w:style w:type="paragraph" w:styleId="1058">
    <w:name w:val="Body Text 2"/>
    <w:basedOn w:val="1024"/>
    <w:uiPriority w:val="0"/>
    <w:qFormat/>
    <w:pPr>
      <w:jc w:val="center"/>
      <w:widowControl/>
    </w:pPr>
    <w:rPr>
      <w:rFonts w:ascii="楷体_GB2312" w:eastAsia="楷体_GB2312"/>
      <w:sz w:val="28"/>
      <w:szCs w:val="28"/>
    </w:rPr>
  </w:style>
  <w:style w:type="paragraph" w:styleId="1059">
    <w:name w:val="HTML Preformatted"/>
    <w:basedOn w:val="1024"/>
    <w:link w:val="109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060">
    <w:name w:val="Normal (Web)"/>
    <w:basedOn w:val="1024"/>
    <w:uiPriority w:val="0"/>
    <w:qFormat/>
    <w:pPr>
      <w:jc w:val="left"/>
      <w:spacing w:before="100" w:beforeAutospacing="1" w:after="100" w:afterAutospacing="1"/>
      <w:widowControl/>
    </w:pPr>
    <w:rPr>
      <w:rFonts w:ascii="宋体" w:hAnsi="宋体" w:cs="宋体"/>
      <w:sz w:val="24"/>
      <w:szCs w:val="24"/>
    </w:rPr>
  </w:style>
  <w:style w:type="paragraph" w:styleId="1061">
    <w:name w:val="Title"/>
    <w:basedOn w:val="1024"/>
    <w:link w:val="1094"/>
    <w:uiPriority w:val="0"/>
    <w:qFormat/>
    <w:pPr>
      <w:jc w:val="center"/>
    </w:pPr>
    <w:rPr>
      <w:sz w:val="30"/>
      <w:szCs w:val="24"/>
    </w:rPr>
  </w:style>
  <w:style w:type="paragraph" w:styleId="1062">
    <w:name w:val="annotation subject"/>
    <w:basedOn w:val="1040"/>
    <w:next w:val="1040"/>
    <w:link w:val="1095"/>
    <w:uiPriority w:val="0"/>
    <w:qFormat/>
    <w:rPr>
      <w:b/>
      <w:bCs/>
      <w:szCs w:val="21"/>
    </w:rPr>
  </w:style>
  <w:style w:type="paragraph" w:styleId="1063">
    <w:name w:val="Body Text First Indent"/>
    <w:basedOn w:val="1043"/>
    <w:uiPriority w:val="0"/>
    <w:qFormat/>
    <w:pPr>
      <w:ind w:firstLine="200"/>
      <w:spacing w:line="360" w:lineRule="auto"/>
    </w:pPr>
    <w:rPr>
      <w:rFonts w:ascii="仿宋_GB2312" w:eastAsia="仿宋_GB2312"/>
      <w:sz w:val="30"/>
      <w:szCs w:val="30"/>
    </w:rPr>
  </w:style>
  <w:style w:type="paragraph" w:styleId="1064">
    <w:name w:val="Body Text First Indent 2"/>
    <w:basedOn w:val="1044"/>
    <w:uiPriority w:val="0"/>
    <w:qFormat/>
    <w:pPr>
      <w:ind w:firstLine="420"/>
      <w:spacing w:line="360" w:lineRule="auto"/>
    </w:pPr>
    <w:rPr>
      <w:rFonts w:ascii="宋体" w:hAnsi="宋体" w:eastAsia="宋体"/>
      <w:sz w:val="21"/>
      <w:szCs w:val="20"/>
    </w:rPr>
  </w:style>
  <w:style w:type="table" w:styleId="1065">
    <w:name w:val="Table Grid"/>
    <w:basedOn w:val="103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6">
    <w:name w:val="Strong"/>
    <w:uiPriority w:val="0"/>
    <w:qFormat/>
    <w:rPr>
      <w:b/>
      <w:bCs/>
    </w:rPr>
  </w:style>
  <w:style w:type="character" w:styleId="1067">
    <w:name w:val="page number"/>
    <w:uiPriority w:val="0"/>
    <w:qFormat/>
  </w:style>
  <w:style w:type="character" w:styleId="1068">
    <w:name w:val="FollowedHyperlink"/>
    <w:uiPriority w:val="99"/>
    <w:qFormat/>
    <w:rPr>
      <w:color w:val="954f72"/>
      <w:u w:val="single"/>
    </w:rPr>
  </w:style>
  <w:style w:type="character" w:styleId="1069">
    <w:name w:val="Emphasis"/>
    <w:basedOn w:val="1034"/>
    <w:uiPriority w:val="0"/>
    <w:qFormat/>
    <w:rPr>
      <w:rFonts w:cs="Times New Roman"/>
      <w:i/>
    </w:rPr>
  </w:style>
  <w:style w:type="character" w:styleId="1070">
    <w:name w:val="Hyperlink"/>
    <w:uiPriority w:val="99"/>
    <w:qFormat/>
    <w:rPr>
      <w:color w:val="0000ff"/>
      <w:u w:val="single"/>
    </w:rPr>
  </w:style>
  <w:style w:type="character" w:styleId="1071">
    <w:name w:val="annotation reference"/>
    <w:uiPriority w:val="0"/>
    <w:qFormat/>
    <w:rPr>
      <w:sz w:val="21"/>
      <w:szCs w:val="21"/>
    </w:rPr>
  </w:style>
  <w:style w:type="paragraph" w:styleId="1072" w:customStyle="1">
    <w:name w:val="段"/>
    <w:next w:val="1024"/>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073" w:customStyle="1">
    <w:name w:val="标题 1 字符"/>
    <w:link w:val="1025"/>
    <w:uiPriority w:val="0"/>
    <w:qFormat/>
    <w:rPr>
      <w:rFonts w:ascii="楷体_GB2312" w:eastAsia="楷体_GB2312"/>
      <w:sz w:val="28"/>
      <w:szCs w:val="28"/>
    </w:rPr>
  </w:style>
  <w:style w:type="character" w:styleId="1074" w:customStyle="1">
    <w:name w:val="标题 2 字符1"/>
    <w:link w:val="1026"/>
    <w:uiPriority w:val="0"/>
    <w:qFormat/>
    <w:rPr>
      <w:rFonts w:ascii="Arial" w:hAnsi="Arial" w:eastAsia="幼圆" w:cs="Arial"/>
      <w:b/>
      <w:bCs/>
      <w:sz w:val="44"/>
      <w:szCs w:val="44"/>
      <w:lang w:val="en-US" w:eastAsia="zh-CN" w:bidi="ar-SA"/>
    </w:rPr>
  </w:style>
  <w:style w:type="character" w:styleId="1075" w:customStyle="1">
    <w:name w:val="标题 3 字符1"/>
    <w:link w:val="1027"/>
    <w:uiPriority w:val="0"/>
    <w:qFormat/>
    <w:rPr>
      <w:b/>
      <w:bCs/>
      <w:sz w:val="32"/>
      <w:szCs w:val="32"/>
    </w:rPr>
  </w:style>
  <w:style w:type="character" w:styleId="1076" w:customStyle="1">
    <w:name w:val="正文缩进 字符"/>
    <w:link w:val="1036"/>
    <w:uiPriority w:val="0"/>
    <w:qFormat/>
    <w:rPr>
      <w:sz w:val="21"/>
      <w:szCs w:val="21"/>
    </w:rPr>
  </w:style>
  <w:style w:type="character" w:styleId="1077" w:customStyle="1">
    <w:name w:val="标题 4 字符"/>
    <w:link w:val="1028"/>
    <w:uiPriority w:val="0"/>
    <w:qFormat/>
    <w:rPr>
      <w:b/>
      <w:bCs/>
      <w:sz w:val="24"/>
      <w:szCs w:val="28"/>
    </w:rPr>
  </w:style>
  <w:style w:type="character" w:styleId="1078" w:customStyle="1">
    <w:name w:val="标题 5 字符"/>
    <w:link w:val="1029"/>
    <w:uiPriority w:val="0"/>
    <w:qFormat/>
    <w:rPr>
      <w:b/>
      <w:bCs/>
      <w:sz w:val="24"/>
      <w:szCs w:val="28"/>
    </w:rPr>
  </w:style>
  <w:style w:type="character" w:styleId="1079" w:customStyle="1">
    <w:name w:val="标题 6 字符"/>
    <w:link w:val="1030"/>
    <w:uiPriority w:val="0"/>
    <w:qFormat/>
    <w:rPr>
      <w:b/>
      <w:bCs/>
      <w:sz w:val="24"/>
      <w:szCs w:val="24"/>
    </w:rPr>
  </w:style>
  <w:style w:type="character" w:styleId="1080" w:customStyle="1">
    <w:name w:val="标题 7 字符"/>
    <w:link w:val="1031"/>
    <w:uiPriority w:val="0"/>
    <w:qFormat/>
    <w:rPr>
      <w:b/>
      <w:bCs/>
      <w:sz w:val="24"/>
      <w:szCs w:val="24"/>
    </w:rPr>
  </w:style>
  <w:style w:type="character" w:styleId="1081" w:customStyle="1">
    <w:name w:val="标题 8 字符"/>
    <w:link w:val="1032"/>
    <w:uiPriority w:val="0"/>
    <w:qFormat/>
    <w:rPr>
      <w:rFonts w:ascii="Arial" w:hAnsi="Arial" w:eastAsia="黑体" w:cs="Arial"/>
      <w:sz w:val="24"/>
      <w:szCs w:val="24"/>
    </w:rPr>
  </w:style>
  <w:style w:type="character" w:styleId="1082" w:customStyle="1">
    <w:name w:val="标题 9 字符"/>
    <w:link w:val="1033"/>
    <w:uiPriority w:val="0"/>
    <w:qFormat/>
    <w:rPr>
      <w:rFonts w:hint="default" w:ascii="Arial" w:hAnsi="Arial" w:eastAsia="黑体" w:cs="Arial"/>
      <w:sz w:val="24"/>
      <w:szCs w:val="21"/>
    </w:rPr>
  </w:style>
  <w:style w:type="character" w:styleId="1083" w:customStyle="1">
    <w:name w:val="文档结构图 字符"/>
    <w:link w:val="1039"/>
    <w:uiPriority w:val="0"/>
    <w:qFormat/>
    <w:rPr>
      <w:sz w:val="24"/>
      <w:szCs w:val="24"/>
      <w:shd w:val="clear" w:color="auto" w:fill="000080"/>
    </w:rPr>
  </w:style>
  <w:style w:type="character" w:styleId="1084" w:customStyle="1">
    <w:name w:val="批注文字 字符2"/>
    <w:link w:val="1040"/>
    <w:uiPriority w:val="0"/>
    <w:qFormat/>
    <w:rPr>
      <w:sz w:val="21"/>
    </w:rPr>
  </w:style>
  <w:style w:type="character" w:styleId="1085" w:customStyle="1">
    <w:name w:val="称呼 字符"/>
    <w:link w:val="1041"/>
    <w:uiPriority w:val="0"/>
    <w:qFormat/>
    <w:rPr>
      <w:sz w:val="21"/>
    </w:rPr>
  </w:style>
  <w:style w:type="character" w:styleId="1086" w:customStyle="1">
    <w:name w:val="正文文本 字符"/>
    <w:link w:val="1043"/>
    <w:uiPriority w:val="0"/>
    <w:qFormat/>
    <w:rPr>
      <w:rFonts w:ascii="楷体_GB2312" w:hAnsi="Arial" w:eastAsia="楷体_GB2312" w:cs="Times New Roman"/>
      <w:sz w:val="28"/>
      <w:szCs w:val="28"/>
    </w:rPr>
  </w:style>
  <w:style w:type="character" w:styleId="1087" w:customStyle="1">
    <w:name w:val="正文文本缩进 字符"/>
    <w:link w:val="1044"/>
    <w:uiPriority w:val="0"/>
    <w:qFormat/>
    <w:rPr>
      <w:sz w:val="24"/>
      <w:szCs w:val="24"/>
    </w:rPr>
  </w:style>
  <w:style w:type="character" w:styleId="1088" w:customStyle="1">
    <w:name w:val="纯文本 字符1"/>
    <w:link w:val="1048"/>
    <w:uiPriority w:val="0"/>
    <w:qFormat/>
    <w:rPr>
      <w:rFonts w:ascii="宋体" w:hAnsi="Courier New" w:eastAsia="宋体" w:cs="Courier New"/>
      <w:sz w:val="21"/>
      <w:szCs w:val="21"/>
      <w:lang w:val="en-US" w:eastAsia="zh-CN" w:bidi="ar-SA"/>
    </w:rPr>
  </w:style>
  <w:style w:type="character" w:styleId="1089" w:customStyle="1">
    <w:name w:val="日期 字符"/>
    <w:link w:val="1049"/>
    <w:uiPriority w:val="0"/>
    <w:qFormat/>
    <w:rPr>
      <w:sz w:val="24"/>
      <w:szCs w:val="24"/>
    </w:rPr>
  </w:style>
  <w:style w:type="character" w:styleId="1090" w:customStyle="1">
    <w:name w:val="批注框文本 字符"/>
    <w:link w:val="1051"/>
    <w:uiPriority w:val="0"/>
    <w:qFormat/>
    <w:rPr>
      <w:sz w:val="18"/>
      <w:szCs w:val="18"/>
    </w:rPr>
  </w:style>
  <w:style w:type="character" w:styleId="1091" w:customStyle="1">
    <w:name w:val="页脚 字符"/>
    <w:link w:val="1052"/>
    <w:uiPriority w:val="99"/>
    <w:qFormat/>
    <w:rPr>
      <w:rFonts w:eastAsia="宋体"/>
      <w:sz w:val="18"/>
      <w:szCs w:val="18"/>
      <w:lang w:val="en-US" w:eastAsia="zh-CN" w:bidi="ar-SA"/>
    </w:rPr>
  </w:style>
  <w:style w:type="character" w:styleId="1092" w:customStyle="1">
    <w:name w:val="页眉 字符"/>
    <w:link w:val="1053"/>
    <w:uiPriority w:val="99"/>
    <w:qFormat/>
    <w:rPr>
      <w:sz w:val="18"/>
      <w:szCs w:val="18"/>
    </w:rPr>
  </w:style>
  <w:style w:type="character" w:styleId="1093" w:customStyle="1">
    <w:name w:val="HTML 预设格式 字符"/>
    <w:link w:val="1059"/>
    <w:uiPriority w:val="99"/>
    <w:qFormat/>
    <w:rPr>
      <w:rFonts w:ascii="宋体" w:hAnsi="宋体" w:cs="宋体"/>
      <w:sz w:val="24"/>
      <w:szCs w:val="24"/>
    </w:rPr>
  </w:style>
  <w:style w:type="character" w:styleId="1094" w:customStyle="1">
    <w:name w:val="标题 字符"/>
    <w:link w:val="1061"/>
    <w:uiPriority w:val="0"/>
    <w:qFormat/>
    <w:rPr>
      <w:rFonts w:hint="eastAsia" w:ascii="等线 Light" w:hAnsi="等线 Light" w:eastAsia="等线 Light" w:cs="等线 Light"/>
      <w:b/>
      <w:bCs/>
      <w:sz w:val="32"/>
      <w:szCs w:val="32"/>
    </w:rPr>
  </w:style>
  <w:style w:type="character" w:styleId="1095" w:customStyle="1">
    <w:name w:val="批注主题 字符"/>
    <w:link w:val="1062"/>
    <w:uiPriority w:val="0"/>
    <w:qFormat/>
    <w:rPr>
      <w:b/>
      <w:bCs/>
      <w:sz w:val="21"/>
      <w:szCs w:val="21"/>
    </w:rPr>
  </w:style>
  <w:style w:type="character" w:styleId="1096" w:customStyle="1">
    <w:name w:val="批注文字 字符1"/>
    <w:uiPriority w:val="0"/>
    <w:qFormat/>
    <w:rPr>
      <w:sz w:val="21"/>
    </w:rPr>
  </w:style>
  <w:style w:type="character" w:styleId="1097" w:customStyle="1">
    <w:name w:val="标题 3 字符"/>
    <w:uiPriority w:val="0"/>
    <w:qFormat/>
    <w:rPr>
      <w:b/>
      <w:bCs/>
      <w:sz w:val="32"/>
      <w:szCs w:val="32"/>
    </w:rPr>
  </w:style>
  <w:style w:type="character" w:styleId="1098" w:customStyle="1">
    <w:name w:val="z-窗体底端 Char1"/>
    <w:uiPriority w:val="99"/>
    <w:semiHidden/>
    <w:qFormat/>
    <w:rPr>
      <w:rFonts w:ascii="Arial" w:hAnsi="Arial" w:cs="Arial"/>
      <w:vanish/>
      <w:sz w:val="16"/>
      <w:szCs w:val="16"/>
    </w:rPr>
  </w:style>
  <w:style w:type="character" w:styleId="1099" w:customStyle="1">
    <w:name w:val="ca-20"/>
    <w:uiPriority w:val="0"/>
    <w:qFormat/>
  </w:style>
  <w:style w:type="character" w:styleId="1100" w:customStyle="1">
    <w:name w:val="font5 Char"/>
    <w:uiPriority w:val="0"/>
    <w:qFormat/>
    <w:rPr>
      <w:rFonts w:ascii="宋体" w:hAnsi="宋体" w:eastAsia="宋体"/>
      <w:sz w:val="28"/>
      <w:szCs w:val="28"/>
      <w:lang w:val="en-US" w:eastAsia="zh-CN" w:bidi="ar-SA"/>
    </w:rPr>
  </w:style>
  <w:style w:type="character" w:styleId="1101" w:customStyle="1">
    <w:name w:val="font21"/>
    <w:uiPriority w:val="0"/>
    <w:qFormat/>
    <w:rPr>
      <w:rFonts w:hint="eastAsia" w:ascii="宋体" w:hAnsi="宋体" w:eastAsia="宋体" w:cs="宋体"/>
      <w:color w:val="000000"/>
      <w:sz w:val="20"/>
      <w:szCs w:val="20"/>
      <w:u w:val="none"/>
    </w:rPr>
  </w:style>
  <w:style w:type="character" w:styleId="1102" w:customStyle="1">
    <w:name w:val="ca-0"/>
    <w:uiPriority w:val="0"/>
    <w:qFormat/>
  </w:style>
  <w:style w:type="character" w:styleId="1103" w:customStyle="1">
    <w:name w:val="z-窗体底端 Char"/>
    <w:link w:val="1104"/>
    <w:uiPriority w:val="0"/>
    <w:qFormat/>
    <w:rPr>
      <w:rFonts w:ascii="Arial" w:hAnsi="Arial" w:cs="Arial"/>
      <w:vanish/>
      <w:sz w:val="16"/>
      <w:szCs w:val="16"/>
    </w:rPr>
  </w:style>
  <w:style w:type="paragraph" w:styleId="1104" w:customStyle="1">
    <w:name w:val="z-窗体底端1"/>
    <w:basedOn w:val="1024"/>
    <w:next w:val="1024"/>
    <w:link w:val="1103"/>
    <w:uiPriority w:val="0"/>
    <w:unhideWhenUsed/>
    <w:qFormat/>
    <w:pPr>
      <w:jc w:val="center"/>
      <w:widowControl/>
      <w:pBdr>
        <w:top w:val="single" w:color="auto" w:sz="6" w:space="1"/>
      </w:pBdr>
    </w:pPr>
    <w:rPr>
      <w:rFonts w:ascii="Arial" w:hAnsi="Arial"/>
      <w:vanish/>
      <w:sz w:val="16"/>
      <w:szCs w:val="16"/>
    </w:rPr>
  </w:style>
  <w:style w:type="character" w:styleId="1105" w:customStyle="1">
    <w:name w:val="ca-7"/>
    <w:uiPriority w:val="0"/>
    <w:qFormat/>
  </w:style>
  <w:style w:type="character" w:styleId="1106" w:customStyle="1">
    <w:name w:val="ca-5"/>
    <w:uiPriority w:val="0"/>
    <w:qFormat/>
  </w:style>
  <w:style w:type="character" w:styleId="1107" w:customStyle="1">
    <w:name w:val="A4"/>
    <w:uiPriority w:val="99"/>
    <w:qFormat/>
    <w:rPr>
      <w:rFonts w:cs="Univers 57 Condensed"/>
      <w:color w:val="221e1f"/>
      <w:sz w:val="12"/>
      <w:szCs w:val="12"/>
    </w:rPr>
  </w:style>
  <w:style w:type="character" w:styleId="1108" w:customStyle="1">
    <w:name w:val="ca-38"/>
    <w:uiPriority w:val="0"/>
    <w:qFormat/>
  </w:style>
  <w:style w:type="character" w:styleId="1109" w:customStyle="1">
    <w:name w:val="ca-1"/>
    <w:uiPriority w:val="0"/>
    <w:qFormat/>
  </w:style>
  <w:style w:type="character" w:styleId="1110" w:customStyle="1">
    <w:name w:val="ca-26"/>
    <w:uiPriority w:val="0"/>
    <w:qFormat/>
  </w:style>
  <w:style w:type="character" w:styleId="1111" w:customStyle="1">
    <w:name w:val="ca-10"/>
    <w:uiPriority w:val="0"/>
    <w:qFormat/>
  </w:style>
  <w:style w:type="character" w:styleId="1112" w:customStyle="1">
    <w:name w:val="ca-2"/>
    <w:uiPriority w:val="0"/>
    <w:qFormat/>
  </w:style>
  <w:style w:type="character" w:styleId="1113" w:customStyle="1">
    <w:name w:val="纯文本 字符"/>
    <w:uiPriority w:val="0"/>
    <w:qFormat/>
    <w:rPr>
      <w:rFonts w:ascii="宋体" w:hAnsi="Courier New" w:eastAsia="宋体" w:cs="Courier New"/>
      <w:sz w:val="21"/>
      <w:szCs w:val="21"/>
      <w:lang w:val="en-US" w:eastAsia="zh-CN" w:bidi="ar-SA"/>
    </w:rPr>
  </w:style>
  <w:style w:type="character" w:styleId="1114" w:customStyle="1">
    <w:name w:val="font51"/>
    <w:uiPriority w:val="0"/>
    <w:qFormat/>
    <w:rPr>
      <w:rFonts w:hint="eastAsia" w:ascii="宋体" w:hAnsi="宋体" w:eastAsia="宋体" w:cs="宋体"/>
      <w:color w:val="ff0000"/>
      <w:sz w:val="24"/>
      <w:szCs w:val="24"/>
      <w:u w:val="none"/>
    </w:rPr>
  </w:style>
  <w:style w:type="character" w:styleId="1115" w:customStyle="1">
    <w:name w:val="font71"/>
    <w:uiPriority w:val="0"/>
    <w:qFormat/>
    <w:rPr>
      <w:rFonts w:hint="eastAsia" w:ascii="宋体" w:hAnsi="宋体" w:eastAsia="宋体" w:cs="宋体"/>
      <w:color w:val="000000"/>
      <w:sz w:val="24"/>
      <w:szCs w:val="24"/>
      <w:u w:val="none"/>
    </w:rPr>
  </w:style>
  <w:style w:type="character" w:styleId="1116" w:customStyle="1">
    <w:name w:val="font41"/>
    <w:uiPriority w:val="0"/>
    <w:qFormat/>
    <w:rPr>
      <w:rFonts w:hint="default" w:ascii="Times New Roman" w:hAnsi="Times New Roman" w:cs="Times New Roman"/>
      <w:color w:val="000000"/>
      <w:sz w:val="20"/>
      <w:szCs w:val="20"/>
      <w:u w:val="none"/>
    </w:rPr>
  </w:style>
  <w:style w:type="character" w:styleId="1117" w:customStyle="1">
    <w:name w:val="font101"/>
    <w:uiPriority w:val="0"/>
    <w:qFormat/>
    <w:rPr>
      <w:rFonts w:hint="eastAsia" w:ascii="宋体" w:hAnsi="宋体" w:eastAsia="宋体" w:cs="宋体"/>
      <w:color w:val="000000"/>
      <w:sz w:val="24"/>
      <w:szCs w:val="24"/>
      <w:u w:val="none"/>
    </w:rPr>
  </w:style>
  <w:style w:type="character" w:styleId="1118" w:customStyle="1">
    <w:name w:val="ca-4"/>
    <w:uiPriority w:val="0"/>
    <w:qFormat/>
  </w:style>
  <w:style w:type="character" w:styleId="1119" w:customStyle="1">
    <w:name w:val="ca-8"/>
    <w:uiPriority w:val="0"/>
    <w:qFormat/>
  </w:style>
  <w:style w:type="character" w:styleId="1120" w:customStyle="1">
    <w:name w:val="ca-6"/>
    <w:uiPriority w:val="0"/>
    <w:qFormat/>
  </w:style>
  <w:style w:type="character" w:styleId="1121" w:customStyle="1">
    <w:name w:val="ca-21"/>
    <w:uiPriority w:val="0"/>
    <w:qFormat/>
    <w:rPr>
      <w:rFonts w:hint="eastAsia" w:ascii="楷体_GB2312" w:eastAsia="楷体_GB2312"/>
      <w:b/>
      <w:bCs/>
      <w:spacing w:val="-20"/>
      <w:sz w:val="24"/>
      <w:szCs w:val="24"/>
    </w:rPr>
  </w:style>
  <w:style w:type="character" w:styleId="1122" w:customStyle="1">
    <w:name w:val="h"/>
    <w:uiPriority w:val="0"/>
    <w:qFormat/>
  </w:style>
  <w:style w:type="character" w:styleId="1123" w:customStyle="1">
    <w:name w:val="ca-3"/>
    <w:uiPriority w:val="0"/>
    <w:qFormat/>
  </w:style>
  <w:style w:type="character" w:styleId="1124" w:customStyle="1">
    <w:name w:val="ca-11"/>
    <w:uiPriority w:val="0"/>
    <w:qFormat/>
    <w:rPr>
      <w:rFonts w:hint="eastAsia" w:ascii="宋体" w:hAnsi="宋体" w:eastAsia="宋体"/>
      <w:sz w:val="24"/>
      <w:szCs w:val="24"/>
    </w:rPr>
  </w:style>
  <w:style w:type="character" w:styleId="1125" w:customStyle="1">
    <w:name w:val="ca-18"/>
    <w:uiPriority w:val="0"/>
    <w:qFormat/>
  </w:style>
  <w:style w:type="character" w:styleId="1126" w:customStyle="1">
    <w:name w:val="页脚 Char"/>
    <w:uiPriority w:val="99"/>
    <w:qFormat/>
  </w:style>
  <w:style w:type="character" w:styleId="1127" w:customStyle="1">
    <w:name w:val="ca-36"/>
    <w:uiPriority w:val="0"/>
    <w:qFormat/>
  </w:style>
  <w:style w:type="character" w:styleId="1128" w:customStyle="1">
    <w:name w:val="标题 2 Char"/>
    <w:uiPriority w:val="0"/>
    <w:qFormat/>
    <w:rPr>
      <w:rFonts w:ascii="Arial" w:hAnsi="Arial" w:eastAsia="幼圆" w:cs="Arial"/>
      <w:b/>
      <w:bCs/>
      <w:sz w:val="44"/>
      <w:szCs w:val="44"/>
      <w:lang w:val="en-US" w:eastAsia="zh-CN" w:bidi="ar-SA"/>
    </w:rPr>
  </w:style>
  <w:style w:type="character" w:styleId="1129" w:customStyle="1">
    <w:name w:val="apple-converted-space"/>
    <w:uiPriority w:val="0"/>
    <w:qFormat/>
  </w:style>
  <w:style w:type="character" w:styleId="1130" w:customStyle="1">
    <w:name w:val="ca-37"/>
    <w:uiPriority w:val="0"/>
    <w:qFormat/>
  </w:style>
  <w:style w:type="character" w:styleId="1131" w:customStyle="1">
    <w:name w:val="正文文本 Char"/>
    <w:uiPriority w:val="99"/>
    <w:qFormat/>
    <w:rPr>
      <w:rFonts w:ascii="楷体_GB2312" w:hAnsi="Arial" w:eastAsia="楷体_GB2312"/>
      <w:sz w:val="28"/>
      <w:szCs w:val="28"/>
      <w:lang w:val="en-US" w:eastAsia="zh-CN" w:bidi="ar-SA"/>
    </w:rPr>
  </w:style>
  <w:style w:type="character" w:styleId="1132" w:customStyle="1">
    <w:name w:val="font81"/>
    <w:uiPriority w:val="0"/>
    <w:qFormat/>
    <w:rPr>
      <w:rFonts w:hint="eastAsia" w:ascii="宋体" w:hAnsi="宋体" w:eastAsia="宋体" w:cs="宋体"/>
      <w:color w:val="000000"/>
      <w:sz w:val="24"/>
      <w:szCs w:val="24"/>
      <w:u w:val="none"/>
    </w:rPr>
  </w:style>
  <w:style w:type="character" w:styleId="1133" w:customStyle="1">
    <w:name w:val="标题 2 字符"/>
    <w:uiPriority w:val="0"/>
    <w:qFormat/>
    <w:rPr>
      <w:rFonts w:ascii="Arial" w:hAnsi="Arial" w:eastAsia="幼圆" w:cs="Arial"/>
      <w:b/>
      <w:bCs/>
      <w:sz w:val="44"/>
      <w:szCs w:val="44"/>
      <w:lang w:val="en-US" w:eastAsia="zh-CN" w:bidi="ar-SA"/>
    </w:rPr>
  </w:style>
  <w:style w:type="character" w:styleId="1134" w:customStyle="1">
    <w:name w:val="ca-01"/>
    <w:uiPriority w:val="0"/>
    <w:qFormat/>
    <w:rPr>
      <w:rFonts w:hint="default" w:ascii="Times New Roman" w:hAnsi="Times New Roman" w:cs="Times New Roman"/>
      <w:sz w:val="24"/>
      <w:szCs w:val="24"/>
    </w:rPr>
  </w:style>
  <w:style w:type="character" w:styleId="1135" w:customStyle="1">
    <w:name w:val="ca-9"/>
    <w:uiPriority w:val="0"/>
    <w:qFormat/>
  </w:style>
  <w:style w:type="character" w:styleId="1136" w:customStyle="1">
    <w:name w:val="font91"/>
    <w:uiPriority w:val="0"/>
    <w:qFormat/>
    <w:rPr>
      <w:rFonts w:hint="eastAsia" w:ascii="宋体" w:hAnsi="宋体" w:eastAsia="宋体" w:cs="宋体"/>
      <w:color w:val="000000"/>
      <w:sz w:val="24"/>
      <w:szCs w:val="24"/>
      <w:u w:val="none"/>
    </w:rPr>
  </w:style>
  <w:style w:type="character" w:styleId="1137" w:customStyle="1">
    <w:name w:val="纯文本 Char1"/>
    <w:uiPriority w:val="99"/>
    <w:qFormat/>
    <w:rPr>
      <w:rFonts w:ascii="宋体" w:hAnsi="Courier New" w:cs="Courier New"/>
      <w:sz w:val="21"/>
      <w:szCs w:val="21"/>
    </w:rPr>
  </w:style>
  <w:style w:type="character" w:styleId="1138" w:customStyle="1">
    <w:name w:val="正文缩进 Char1"/>
    <w:uiPriority w:val="0"/>
    <w:qFormat/>
    <w:rPr>
      <w:rFonts w:eastAsia="宋体"/>
      <w:sz w:val="24"/>
      <w:lang w:val="en-US" w:eastAsia="zh-CN" w:bidi="ar-SA"/>
    </w:rPr>
  </w:style>
  <w:style w:type="character" w:styleId="1139" w:customStyle="1">
    <w:name w:val="批注文字 Char1"/>
    <w:uiPriority w:val="0"/>
    <w:qFormat/>
    <w:rPr>
      <w:sz w:val="21"/>
      <w:szCs w:val="21"/>
    </w:rPr>
  </w:style>
  <w:style w:type="character" w:styleId="1140" w:customStyle="1">
    <w:name w:val="Variable"/>
    <w:uiPriority w:val="0"/>
    <w:qFormat/>
    <w:rPr>
      <w:i/>
    </w:rPr>
  </w:style>
  <w:style w:type="character" w:styleId="1141" w:customStyle="1">
    <w:name w:val="批注文字 字符"/>
    <w:uiPriority w:val="0"/>
    <w:qFormat/>
    <w:rPr>
      <w:sz w:val="21"/>
    </w:rPr>
  </w:style>
  <w:style w:type="character" w:styleId="1142" w:customStyle="1">
    <w:name w:val="style41"/>
    <w:uiPriority w:val="0"/>
    <w:qFormat/>
    <w:rPr>
      <w:color w:val="404040"/>
    </w:rPr>
  </w:style>
  <w:style w:type="character" w:styleId="1143" w:customStyle="1">
    <w:name w:val="sh141"/>
    <w:uiPriority w:val="0"/>
    <w:qFormat/>
    <w:rPr>
      <w:color w:val="2b2b2b"/>
      <w:sz w:val="21"/>
      <w:szCs w:val="21"/>
    </w:rPr>
  </w:style>
  <w:style w:type="character" w:styleId="1144" w:customStyle="1">
    <w:name w:val="high-light-bg4"/>
    <w:uiPriority w:val="0"/>
    <w:qFormat/>
  </w:style>
  <w:style w:type="character" w:styleId="1145" w:customStyle="1">
    <w:name w:val="apple-style-span"/>
    <w:uiPriority w:val="0"/>
    <w:qFormat/>
  </w:style>
  <w:style w:type="character" w:styleId="1146" w:customStyle="1">
    <w:name w:val="标题 3 Char"/>
    <w:uiPriority w:val="0"/>
    <w:qFormat/>
    <w:rPr>
      <w:b/>
      <w:bCs/>
      <w:sz w:val="32"/>
      <w:szCs w:val="32"/>
    </w:rPr>
  </w:style>
  <w:style w:type="paragraph" w:styleId="1147" w:customStyle="1">
    <w:name w:val="p0"/>
    <w:basedOn w:val="1024"/>
    <w:uiPriority w:val="0"/>
    <w:qFormat/>
    <w:pPr>
      <w:widowControl/>
    </w:pPr>
  </w:style>
  <w:style w:type="paragraph" w:styleId="1148" w:customStyle="1">
    <w:name w:val="Char Char Char Char"/>
    <w:basedOn w:val="1039"/>
    <w:uiPriority w:val="0"/>
    <w:qFormat/>
    <w:pPr>
      <w:spacing w:line="360" w:lineRule="auto"/>
    </w:pPr>
    <w:rPr>
      <w:rFonts w:ascii="Tahoma" w:hAnsi="Tahoma"/>
      <w:sz w:val="24"/>
      <w:szCs w:val="24"/>
    </w:rPr>
  </w:style>
  <w:style w:type="paragraph" w:styleId="1149" w:customStyle="1">
    <w:name w:val="pa-11"/>
    <w:basedOn w:val="1024"/>
    <w:uiPriority w:val="0"/>
    <w:qFormat/>
    <w:pPr>
      <w:jc w:val="left"/>
      <w:spacing w:before="150" w:after="150"/>
      <w:widowControl/>
    </w:pPr>
    <w:rPr>
      <w:rFonts w:ascii="宋体" w:hAnsi="宋体" w:cs="宋体"/>
      <w:sz w:val="24"/>
      <w:szCs w:val="24"/>
    </w:rPr>
  </w:style>
  <w:style w:type="paragraph" w:styleId="1150" w:customStyle="1">
    <w:name w:val="Char Char Char Char Char Char Char Char"/>
    <w:basedOn w:val="1024"/>
    <w:uiPriority w:val="0"/>
    <w:qFormat/>
    <w:pPr>
      <w:jc w:val="left"/>
      <w:spacing w:after="160" w:line="240" w:lineRule="exact"/>
      <w:widowControl/>
    </w:pPr>
    <w:rPr>
      <w:rFonts w:ascii="Verdana" w:hAnsi="Verdana"/>
      <w:sz w:val="20"/>
      <w:szCs w:val="20"/>
      <w:lang w:eastAsia="en-US"/>
    </w:rPr>
  </w:style>
  <w:style w:type="paragraph" w:styleId="1151" w:customStyle="1">
    <w:name w:val="Char1"/>
    <w:basedOn w:val="1024"/>
    <w:uiPriority w:val="0"/>
    <w:qFormat/>
    <w:pPr>
      <w:tabs>
        <w:tab w:val="left" w:pos="360" w:leader="none"/>
      </w:tabs>
    </w:pPr>
    <w:rPr>
      <w:sz w:val="24"/>
      <w:szCs w:val="24"/>
    </w:rPr>
  </w:style>
  <w:style w:type="paragraph" w:styleId="1152" w:customStyle="1">
    <w:name w:val="xl74"/>
    <w:basedOn w:val="102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6"/>
      <w:szCs w:val="16"/>
    </w:rPr>
  </w:style>
  <w:style w:type="paragraph" w:styleId="1153" w:customStyle="1">
    <w:name w:val="xl97"/>
    <w:basedOn w:val="1024"/>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宋体" w:hAnsi="宋体" w:cs="宋体"/>
      <w:sz w:val="16"/>
      <w:szCs w:val="16"/>
    </w:rPr>
  </w:style>
  <w:style w:type="paragraph" w:styleId="1154" w:customStyle="1">
    <w:name w:val="pa-13"/>
    <w:basedOn w:val="1024"/>
    <w:uiPriority w:val="0"/>
    <w:qFormat/>
    <w:pPr>
      <w:jc w:val="left"/>
      <w:spacing w:before="150" w:after="150"/>
      <w:widowControl/>
    </w:pPr>
    <w:rPr>
      <w:rFonts w:ascii="宋体" w:hAnsi="宋体" w:cs="宋体"/>
      <w:sz w:val="24"/>
      <w:szCs w:val="24"/>
    </w:rPr>
  </w:style>
  <w:style w:type="paragraph" w:styleId="1155" w:customStyle="1">
    <w:name w:val="xl28"/>
    <w:basedOn w:val="102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56" w:customStyle="1">
    <w:name w:val="Default"/>
    <w:uiPriority w:val="0"/>
    <w:qFormat/>
    <w:rPr>
      <w:rFonts w:ascii="宋体" w:hAnsi="Times New Roman" w:eastAsia="宋体" w:cs="宋体"/>
      <w:color w:val="000000"/>
      <w:sz w:val="24"/>
      <w:szCs w:val="24"/>
      <w:lang w:val="en-US" w:eastAsia="zh-CN" w:bidi="ar-SA"/>
    </w:rPr>
  </w:style>
  <w:style w:type="paragraph" w:styleId="1157" w:customStyle="1">
    <w:name w:val="List Paragraph2"/>
    <w:basedOn w:val="1024"/>
    <w:uiPriority w:val="0"/>
    <w:qFormat/>
    <w:pPr>
      <w:ind w:left="480"/>
      <w:jc w:val="left"/>
    </w:pPr>
    <w:rPr>
      <w:rFonts w:ascii="Calibri" w:hAnsi="Calibri" w:eastAsia="PMingLiU"/>
      <w:sz w:val="24"/>
      <w:szCs w:val="22"/>
      <w:lang w:eastAsia="zh-TW"/>
    </w:rPr>
  </w:style>
  <w:style w:type="paragraph" w:styleId="1158" w:customStyle="1">
    <w:name w:val="Address"/>
    <w:basedOn w:val="1024"/>
    <w:next w:val="1024"/>
    <w:uiPriority w:val="0"/>
    <w:qFormat/>
    <w:pPr>
      <w:jc w:val="left"/>
    </w:pPr>
    <w:rPr>
      <w:i/>
      <w:sz w:val="24"/>
      <w:szCs w:val="20"/>
    </w:rPr>
  </w:style>
  <w:style w:type="paragraph" w:styleId="1159" w:customStyle="1">
    <w:name w:val="xl72"/>
    <w:basedOn w:val="10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60" w:customStyle="1">
    <w:name w:val="table_lines"/>
    <w:basedOn w:val="1024"/>
    <w:uiPriority w:val="0"/>
    <w:qFormat/>
    <w:pPr>
      <w:jc w:val="left"/>
      <w:widowControl/>
    </w:pPr>
    <w:rPr>
      <w:sz w:val="20"/>
      <w:szCs w:val="20"/>
      <w:lang w:val="de-DE" w:eastAsia="de-DE"/>
    </w:rPr>
  </w:style>
  <w:style w:type="paragraph" w:styleId="1161" w:customStyle="1">
    <w:name w:val="pa-67"/>
    <w:basedOn w:val="1024"/>
    <w:uiPriority w:val="0"/>
    <w:qFormat/>
    <w:pPr>
      <w:jc w:val="left"/>
      <w:spacing w:before="150" w:after="150"/>
      <w:widowControl/>
    </w:pPr>
    <w:rPr>
      <w:rFonts w:ascii="宋体" w:hAnsi="宋体" w:cs="宋体"/>
      <w:sz w:val="24"/>
      <w:szCs w:val="24"/>
    </w:rPr>
  </w:style>
  <w:style w:type="paragraph" w:styleId="1162" w:customStyle="1">
    <w:name w:val="xl70"/>
    <w:basedOn w:val="10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63" w:customStyle="1">
    <w:name w:val="xl91"/>
    <w:basedOn w:val="1024"/>
    <w:uiPriority w:val="0"/>
    <w:qFormat/>
    <w:pPr>
      <w:jc w:val="center"/>
      <w:spacing w:before="100" w:beforeAutospacing="1" w:after="100" w:afterAutospacing="1"/>
      <w:shd w:val="clear" w:color="000000" w:fill="ffffff"/>
      <w:widowControl/>
    </w:pPr>
    <w:rPr>
      <w:rFonts w:ascii="宋体" w:hAnsi="宋体" w:cs="宋体"/>
      <w:sz w:val="16"/>
      <w:szCs w:val="16"/>
    </w:rPr>
  </w:style>
  <w:style w:type="paragraph" w:styleId="1164" w:customStyle="1">
    <w:name w:val="font5"/>
    <w:basedOn w:val="1024"/>
    <w:uiPriority w:val="0"/>
    <w:qFormat/>
    <w:pPr>
      <w:jc w:val="left"/>
      <w:spacing w:before="100" w:beforeAutospacing="1" w:after="100" w:afterAutospacing="1"/>
      <w:widowControl/>
    </w:pPr>
    <w:rPr>
      <w:rFonts w:hint="eastAsia" w:ascii="宋体" w:hAnsi="宋体"/>
      <w:sz w:val="28"/>
      <w:szCs w:val="28"/>
    </w:rPr>
  </w:style>
  <w:style w:type="paragraph" w:styleId="1165" w:customStyle="1">
    <w:name w:val="pa-8"/>
    <w:basedOn w:val="1024"/>
    <w:uiPriority w:val="0"/>
    <w:qFormat/>
    <w:pPr>
      <w:jc w:val="left"/>
      <w:spacing w:before="150" w:after="150"/>
      <w:widowControl/>
    </w:pPr>
    <w:rPr>
      <w:rFonts w:ascii="宋体" w:hAnsi="宋体" w:cs="宋体"/>
      <w:sz w:val="24"/>
      <w:szCs w:val="24"/>
    </w:rPr>
  </w:style>
  <w:style w:type="paragraph" w:styleId="116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67" w:customStyle="1">
    <w:name w:val="Char Char Char Char Char Char Char Char1"/>
    <w:basedOn w:val="1024"/>
    <w:uiPriority w:val="0"/>
    <w:qFormat/>
    <w:pPr>
      <w:jc w:val="left"/>
      <w:spacing w:after="160" w:line="240" w:lineRule="exact"/>
      <w:widowControl/>
    </w:pPr>
    <w:rPr>
      <w:rFonts w:ascii="Verdana" w:hAnsi="Verdana"/>
      <w:sz w:val="20"/>
      <w:szCs w:val="20"/>
      <w:lang w:eastAsia="en-US"/>
    </w:rPr>
  </w:style>
  <w:style w:type="paragraph" w:styleId="1168" w:customStyle="1">
    <w:name w:val="默认段落字体 Para Char Char Char Char"/>
    <w:basedOn w:val="1024"/>
    <w:uiPriority w:val="0"/>
    <w:qFormat/>
    <w:rPr>
      <w:szCs w:val="24"/>
    </w:rPr>
  </w:style>
  <w:style w:type="paragraph" w:styleId="1169" w:customStyle="1">
    <w:name w:val="xl25"/>
    <w:basedOn w:val="10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0" w:customStyle="1">
    <w:name w:val="pa-1"/>
    <w:basedOn w:val="1024"/>
    <w:uiPriority w:val="0"/>
    <w:qFormat/>
    <w:pPr>
      <w:jc w:val="left"/>
      <w:spacing w:before="150" w:after="150"/>
      <w:widowControl/>
    </w:pPr>
    <w:rPr>
      <w:rFonts w:ascii="宋体" w:hAnsi="宋体" w:cs="宋体"/>
      <w:sz w:val="24"/>
      <w:szCs w:val="24"/>
    </w:rPr>
  </w:style>
  <w:style w:type="paragraph" w:styleId="1171" w:customStyle="1">
    <w:name w:val="普通 (Web)"/>
    <w:basedOn w:val="1024"/>
    <w:uiPriority w:val="0"/>
    <w:qFormat/>
    <w:pPr>
      <w:jc w:val="left"/>
      <w:spacing w:before="100" w:beforeAutospacing="1" w:after="100" w:afterAutospacing="1"/>
      <w:widowControl/>
    </w:pPr>
    <w:rPr>
      <w:rFonts w:ascii="宋体" w:hAnsi="宋体"/>
      <w:sz w:val="24"/>
      <w:szCs w:val="24"/>
    </w:rPr>
  </w:style>
  <w:style w:type="paragraph" w:styleId="1172" w:customStyle="1">
    <w:name w:val="SADPOINT"/>
    <w:basedOn w:val="1024"/>
    <w:uiPriority w:val="0"/>
    <w:qFormat/>
    <w:pPr>
      <w:ind w:left="1702" w:right="1418" w:hanging="284"/>
      <w:spacing w:line="240" w:lineRule="exact"/>
      <w:widowControl/>
      <w:tabs>
        <w:tab w:val="right" w:pos="7655" w:leader="none"/>
        <w:tab w:val="right" w:pos="8222" w:leader="none"/>
      </w:tabs>
    </w:pPr>
    <w:rPr>
      <w:rFonts w:ascii="Arial" w:hAnsi="Arial"/>
      <w:sz w:val="22"/>
      <w:szCs w:val="20"/>
      <w:lang w:val="de-DE"/>
    </w:rPr>
  </w:style>
  <w:style w:type="paragraph" w:styleId="1173" w:customStyle="1">
    <w:name w:val="default"/>
    <w:basedOn w:val="1024"/>
    <w:uiPriority w:val="0"/>
    <w:qFormat/>
    <w:pPr>
      <w:jc w:val="left"/>
      <w:spacing w:before="100" w:beforeAutospacing="1" w:after="100" w:afterAutospacing="1"/>
      <w:widowControl/>
    </w:pPr>
    <w:rPr>
      <w:rFonts w:ascii="宋体" w:hAnsi="宋体" w:cs="宋体"/>
      <w:sz w:val="24"/>
      <w:szCs w:val="24"/>
    </w:rPr>
  </w:style>
  <w:style w:type="paragraph" w:styleId="1174" w:customStyle="1">
    <w:name w:val="xl90"/>
    <w:basedOn w:val="1024"/>
    <w:uiPriority w:val="0"/>
    <w:qFormat/>
    <w:pPr>
      <w:jc w:val="left"/>
      <w:spacing w:before="100" w:beforeAutospacing="1" w:after="100" w:afterAutospacing="1"/>
      <w:shd w:val="clear" w:color="000000" w:fill="ffffff"/>
      <w:widowControl/>
    </w:pPr>
    <w:rPr>
      <w:rFonts w:ascii="宋体" w:hAnsi="宋体" w:cs="宋体"/>
      <w:sz w:val="16"/>
      <w:szCs w:val="16"/>
    </w:rPr>
  </w:style>
  <w:style w:type="paragraph" w:styleId="1175" w:customStyle="1">
    <w:name w:val="列出段落2"/>
    <w:basedOn w:val="1024"/>
    <w:uiPriority w:val="0"/>
    <w:qFormat/>
    <w:pPr>
      <w:ind w:firstLine="420"/>
      <w:jc w:val="left"/>
      <w:widowControl/>
    </w:pPr>
    <w:rPr>
      <w:rFonts w:eastAsia="PMingLiU"/>
      <w:sz w:val="24"/>
      <w:szCs w:val="20"/>
    </w:rPr>
  </w:style>
  <w:style w:type="paragraph" w:styleId="1176" w:customStyle="1">
    <w:name w:val="xl67"/>
    <w:basedOn w:val="10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77" w:customStyle="1">
    <w:name w:val="pa-69"/>
    <w:basedOn w:val="1024"/>
    <w:uiPriority w:val="0"/>
    <w:qFormat/>
    <w:pPr>
      <w:jc w:val="left"/>
      <w:spacing w:before="150" w:after="150"/>
      <w:widowControl/>
    </w:pPr>
    <w:rPr>
      <w:rFonts w:ascii="宋体" w:hAnsi="宋体" w:cs="宋体"/>
      <w:sz w:val="24"/>
      <w:szCs w:val="24"/>
    </w:rPr>
  </w:style>
  <w:style w:type="paragraph" w:styleId="1178" w:customStyle="1">
    <w:name w:val="p15"/>
    <w:basedOn w:val="1024"/>
    <w:uiPriority w:val="0"/>
    <w:qFormat/>
    <w:pPr>
      <w:jc w:val="left"/>
      <w:widowControl/>
    </w:pPr>
    <w:rPr>
      <w:sz w:val="20"/>
      <w:szCs w:val="20"/>
    </w:rPr>
  </w:style>
  <w:style w:type="paragraph" w:styleId="1179" w:customStyle="1">
    <w:name w:val="pa-7"/>
    <w:basedOn w:val="1024"/>
    <w:uiPriority w:val="0"/>
    <w:qFormat/>
    <w:pPr>
      <w:spacing w:before="150" w:after="150" w:line="300" w:lineRule="atLeast"/>
      <w:widowControl/>
    </w:pPr>
    <w:rPr>
      <w:rFonts w:ascii="宋体" w:hAnsi="宋体" w:cs="宋体"/>
      <w:sz w:val="24"/>
      <w:szCs w:val="24"/>
    </w:rPr>
  </w:style>
  <w:style w:type="paragraph" w:styleId="1180" w:customStyle="1">
    <w:name w:val="Char Char Char Char1"/>
    <w:basedOn w:val="1039"/>
    <w:uiPriority w:val="0"/>
    <w:qFormat/>
    <w:pPr>
      <w:spacing w:line="360" w:lineRule="auto"/>
    </w:pPr>
    <w:rPr>
      <w:rFonts w:ascii="Tahoma" w:hAnsi="Tahoma"/>
      <w:sz w:val="24"/>
      <w:szCs w:val="24"/>
    </w:rPr>
  </w:style>
  <w:style w:type="paragraph" w:styleId="1181" w:customStyle="1">
    <w:name w:val="4"/>
    <w:basedOn w:val="1024"/>
    <w:next w:val="1056"/>
    <w:uiPriority w:val="0"/>
    <w:qFormat/>
    <w:pPr>
      <w:ind w:firstLine="420"/>
      <w:spacing w:line="360" w:lineRule="auto"/>
    </w:pPr>
    <w:rPr>
      <w:color w:val="ff0000"/>
      <w:sz w:val="24"/>
      <w:szCs w:val="24"/>
    </w:rPr>
  </w:style>
  <w:style w:type="paragraph" w:styleId="1182" w:customStyle="1">
    <w:name w:val="pa-70"/>
    <w:basedOn w:val="1024"/>
    <w:uiPriority w:val="0"/>
    <w:qFormat/>
    <w:pPr>
      <w:jc w:val="left"/>
      <w:spacing w:before="150" w:after="150"/>
      <w:widowControl/>
    </w:pPr>
    <w:rPr>
      <w:rFonts w:ascii="宋体" w:hAnsi="宋体" w:cs="宋体"/>
      <w:sz w:val="24"/>
      <w:szCs w:val="24"/>
    </w:rPr>
  </w:style>
  <w:style w:type="paragraph" w:styleId="1183" w:customStyle="1">
    <w:name w:val="Char Char1"/>
    <w:basedOn w:val="1024"/>
    <w:uiPriority w:val="0"/>
    <w:qFormat/>
    <w:pPr>
      <w:jc w:val="left"/>
      <w:spacing w:after="160" w:line="240" w:lineRule="exact"/>
      <w:widowControl/>
    </w:pPr>
    <w:rPr>
      <w:szCs w:val="20"/>
    </w:rPr>
  </w:style>
  <w:style w:type="paragraph" w:styleId="1184">
    <w:name w:val="List Paragraph"/>
    <w:basedOn w:val="1024"/>
    <w:uiPriority w:val="99"/>
    <w:qFormat/>
    <w:pPr>
      <w:ind w:firstLine="420"/>
    </w:pPr>
  </w:style>
  <w:style w:type="paragraph" w:styleId="1185" w:customStyle="1">
    <w:name w:val="普通(网站)1"/>
    <w:basedOn w:val="1024"/>
    <w:uiPriority w:val="0"/>
    <w:qFormat/>
    <w:pPr>
      <w:jc w:val="left"/>
      <w:spacing w:before="100" w:beforeAutospacing="1" w:after="100" w:afterAutospacing="1"/>
      <w:widowControl/>
    </w:pPr>
    <w:rPr>
      <w:sz w:val="24"/>
      <w:szCs w:val="24"/>
    </w:rPr>
  </w:style>
  <w:style w:type="paragraph" w:styleId="1186" w:customStyle="1">
    <w:name w:val="xl103"/>
    <w:basedOn w:val="1024"/>
    <w:uiPriority w:val="0"/>
    <w:qFormat/>
    <w:pPr>
      <w:jc w:val="center"/>
      <w:spacing w:before="100" w:beforeAutospacing="1" w:after="100" w:afterAutospacing="1"/>
      <w:shd w:val="clear" w:color="000000" w:fill="ffffff"/>
      <w:widowControl/>
      <w:pBdr>
        <w:bottom w:val="single" w:color="auto" w:sz="4" w:space="0"/>
        <w:right w:val="single" w:color="auto" w:sz="4" w:space="0"/>
      </w:pBdr>
    </w:pPr>
    <w:rPr>
      <w:rFonts w:ascii="宋体" w:hAnsi="宋体" w:cs="宋体"/>
      <w:sz w:val="16"/>
      <w:szCs w:val="16"/>
    </w:rPr>
  </w:style>
  <w:style w:type="paragraph" w:styleId="1187" w:customStyle="1">
    <w:name w:val="pa-12"/>
    <w:basedOn w:val="1024"/>
    <w:uiPriority w:val="0"/>
    <w:qFormat/>
    <w:pPr>
      <w:jc w:val="left"/>
      <w:spacing w:before="150" w:after="150"/>
      <w:widowControl/>
    </w:pPr>
    <w:rPr>
      <w:rFonts w:ascii="宋体" w:hAnsi="宋体" w:cs="宋体"/>
      <w:sz w:val="24"/>
      <w:szCs w:val="24"/>
    </w:rPr>
  </w:style>
  <w:style w:type="paragraph" w:styleId="1188" w:customStyle="1">
    <w:name w:val="pa-68"/>
    <w:basedOn w:val="1024"/>
    <w:uiPriority w:val="0"/>
    <w:qFormat/>
    <w:pPr>
      <w:jc w:val="left"/>
      <w:spacing w:before="150" w:after="150"/>
      <w:widowControl/>
    </w:pPr>
    <w:rPr>
      <w:rFonts w:ascii="宋体" w:hAnsi="宋体" w:cs="宋体"/>
      <w:sz w:val="24"/>
      <w:szCs w:val="24"/>
    </w:rPr>
  </w:style>
  <w:style w:type="paragraph" w:styleId="1189" w:customStyle="1">
    <w:name w:val="Body Text(ch)"/>
    <w:basedOn w:val="1024"/>
    <w:next w:val="1043"/>
    <w:uiPriority w:val="0"/>
    <w:qFormat/>
    <w:pPr>
      <w:spacing w:after="120"/>
    </w:pPr>
    <w:rPr>
      <w:rFonts w:ascii="宋体" w:hAnsi="Arial"/>
      <w:bCs/>
      <w:iCs/>
      <w:szCs w:val="24"/>
    </w:rPr>
  </w:style>
  <w:style w:type="paragraph" w:styleId="1190" w:customStyle="1">
    <w:name w:val="Char"/>
    <w:basedOn w:val="1039"/>
    <w:uiPriority w:val="0"/>
    <w:qFormat/>
    <w:rPr>
      <w:rFonts w:ascii="Tahoma" w:hAnsi="Tahoma"/>
      <w:sz w:val="24"/>
      <w:szCs w:val="24"/>
    </w:rPr>
  </w:style>
  <w:style w:type="paragraph" w:styleId="1191" w:customStyle="1">
    <w:name w:val="xl92"/>
    <w:basedOn w:val="10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92" w:customStyle="1">
    <w:name w:val="标题3"/>
    <w:basedOn w:val="1024"/>
    <w:next w:val="1024"/>
    <w:uiPriority w:val="0"/>
    <w:qFormat/>
    <w:pPr>
      <w:ind w:firstLine="624"/>
      <w:spacing w:line="590" w:lineRule="atLeast"/>
    </w:pPr>
    <w:rPr>
      <w:rFonts w:ascii="方正黑体_GBK" w:eastAsia="方正黑体_GBK"/>
      <w:sz w:val="32"/>
      <w:szCs w:val="32"/>
    </w:rPr>
  </w:style>
  <w:style w:type="paragraph" w:styleId="1193" w:customStyle="1">
    <w:name w:val="xl66"/>
    <w:basedOn w:val="10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94" w:customStyle="1">
    <w:name w:val="Item List"/>
    <w:uiPriority w:val="0"/>
    <w:qFormat/>
    <w:pPr>
      <w:numPr>
        <w:ilvl w:val="0"/>
        <w:numId w:val="3"/>
      </w:numPr>
      <w:spacing w:before="80" w:after="80" w:line="240" w:lineRule="atLeast"/>
    </w:pPr>
    <w:rPr>
      <w:rFonts w:ascii="Times New Roman" w:hAnsi="Times New Roman" w:eastAsia="宋体" w:cs="Arial"/>
      <w:sz w:val="21"/>
      <w:szCs w:val="21"/>
      <w:lang w:val="en-US" w:eastAsia="zh-CN" w:bidi="ar-SA"/>
    </w:rPr>
  </w:style>
  <w:style w:type="paragraph" w:styleId="1195" w:customStyle="1">
    <w:name w:val="Char Char Char"/>
    <w:basedOn w:val="1039"/>
    <w:uiPriority w:val="0"/>
    <w:qFormat/>
    <w:pPr>
      <w:spacing w:line="436" w:lineRule="exact"/>
    </w:pPr>
    <w:rPr>
      <w:rFonts w:ascii="Tahoma" w:hAnsi="Tahoma"/>
      <w:sz w:val="24"/>
      <w:szCs w:val="20"/>
    </w:rPr>
  </w:style>
  <w:style w:type="paragraph" w:styleId="1196" w:customStyle="1">
    <w:name w:val="Char Char Char Char Char Char Char Char Char Char"/>
    <w:basedOn w:val="1024"/>
    <w:uiPriority w:val="0"/>
    <w:qFormat/>
    <w:pPr>
      <w:spacing w:line="360" w:lineRule="auto"/>
    </w:pPr>
    <w:rPr>
      <w:sz w:val="24"/>
      <w:szCs w:val="20"/>
    </w:rPr>
  </w:style>
  <w:style w:type="paragraph" w:styleId="1197" w:customStyle="1">
    <w:name w:val="Table Text"/>
    <w:basedOn w:val="1024"/>
    <w:uiPriority w:val="0"/>
    <w:qFormat/>
    <w:pPr>
      <w:spacing w:before="80" w:after="80"/>
    </w:pPr>
    <w:rPr>
      <w:szCs w:val="24"/>
    </w:rPr>
  </w:style>
  <w:style w:type="paragraph" w:styleId="1198" w:customStyle="1">
    <w:name w:val="普通正文"/>
    <w:basedOn w:val="1024"/>
    <w:uiPriority w:val="0"/>
    <w:qFormat/>
    <w:pPr>
      <w:ind w:firstLine="480"/>
      <w:jc w:val="left"/>
      <w:spacing w:before="120" w:after="120" w:line="360" w:lineRule="auto"/>
    </w:pPr>
    <w:rPr>
      <w:rFonts w:ascii="Arial" w:hAnsi="Arial"/>
      <w:sz w:val="24"/>
      <w:szCs w:val="24"/>
    </w:rPr>
  </w:style>
  <w:style w:type="paragraph" w:styleId="1199" w:customStyle="1">
    <w:name w:val="图标"/>
    <w:basedOn w:val="1024"/>
    <w:next w:val="10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00" w:customStyle="1">
    <w:name w:val="TOC 标题1"/>
    <w:basedOn w:val="1025"/>
    <w:next w:val="102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201" w:customStyle="1">
    <w:name w:val="xl101"/>
    <w:basedOn w:val="102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16"/>
      <w:szCs w:val="16"/>
    </w:rPr>
  </w:style>
  <w:style w:type="paragraph" w:styleId="1202" w:customStyle="1">
    <w:name w:val="pa-0"/>
    <w:basedOn w:val="1024"/>
    <w:uiPriority w:val="0"/>
    <w:qFormat/>
    <w:pPr>
      <w:jc w:val="left"/>
      <w:spacing w:before="150" w:after="150"/>
      <w:widowControl/>
    </w:pPr>
    <w:rPr>
      <w:rFonts w:ascii="宋体" w:hAnsi="宋体" w:cs="宋体"/>
      <w:sz w:val="24"/>
      <w:szCs w:val="24"/>
    </w:rPr>
  </w:style>
  <w:style w:type="paragraph" w:styleId="1203" w:customStyle="1">
    <w:name w:val="Table Heading"/>
    <w:basedOn w:val="1024"/>
    <w:uiPriority w:val="0"/>
    <w:qFormat/>
    <w:pPr>
      <w:jc w:val="left"/>
      <w:keepNext/>
      <w:spacing w:before="80" w:after="80" w:line="240" w:lineRule="atLeast"/>
    </w:pPr>
    <w:rPr>
      <w:rFonts w:ascii="Book Antiqua" w:hAnsi="Book Antiqua" w:eastAsia="黑体" w:cs="Book Antiqua"/>
      <w:bCs/>
    </w:rPr>
  </w:style>
  <w:style w:type="paragraph" w:styleId="1204" w:customStyle="1">
    <w:name w:val="Char11"/>
    <w:basedOn w:val="1024"/>
    <w:uiPriority w:val="0"/>
    <w:qFormat/>
    <w:rPr>
      <w:rFonts w:ascii="仿宋_GB2312" w:eastAsia="仿宋_GB2312"/>
      <w:b/>
      <w:sz w:val="32"/>
      <w:szCs w:val="32"/>
    </w:rPr>
  </w:style>
  <w:style w:type="paragraph" w:styleId="1205" w:customStyle="1">
    <w:name w:val="Pa3"/>
    <w:basedOn w:val="1024"/>
    <w:next w:val="1024"/>
    <w:uiPriority w:val="99"/>
    <w:qFormat/>
    <w:pPr>
      <w:jc w:val="left"/>
      <w:spacing w:line="141" w:lineRule="atLeast"/>
      <w:widowControl/>
    </w:pPr>
    <w:rPr>
      <w:rFonts w:ascii="Univers 57 Condensed" w:eastAsia="Univers 57 Condensed"/>
      <w:sz w:val="24"/>
      <w:szCs w:val="24"/>
    </w:rPr>
  </w:style>
  <w:style w:type="paragraph" w:styleId="1206" w:customStyle="1">
    <w:name w:val="pa-23"/>
    <w:basedOn w:val="1024"/>
    <w:uiPriority w:val="0"/>
    <w:qFormat/>
    <w:pPr>
      <w:jc w:val="left"/>
      <w:spacing w:before="150" w:after="150"/>
      <w:widowControl/>
    </w:pPr>
    <w:rPr>
      <w:rFonts w:ascii="宋体" w:hAnsi="宋体" w:cs="宋体"/>
      <w:sz w:val="24"/>
      <w:szCs w:val="24"/>
    </w:rPr>
  </w:style>
  <w:style w:type="paragraph" w:styleId="1207" w:customStyle="1">
    <w:name w:val="xl84"/>
    <w:basedOn w:val="102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208" w:customStyle="1">
    <w:name w:val="xl86"/>
    <w:basedOn w:val="102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16"/>
      <w:szCs w:val="16"/>
    </w:rPr>
  </w:style>
  <w:style w:type="paragraph" w:styleId="1209" w:customStyle="1">
    <w:name w:val="xl100"/>
    <w:basedOn w:val="1024"/>
    <w:uiPriority w:val="0"/>
    <w:qFormat/>
    <w:pPr>
      <w:jc w:val="center"/>
      <w:spacing w:before="100" w:beforeAutospacing="1" w:after="100" w:afterAutospacing="1"/>
      <w:shd w:val="clear" w:color="000000" w:fill="ffffff"/>
      <w:widowControl/>
      <w:pBdr>
        <w:right w:val="single" w:color="auto" w:sz="4" w:space="0"/>
      </w:pBdr>
    </w:pPr>
    <w:rPr>
      <w:rFonts w:ascii="宋体" w:hAnsi="宋体" w:cs="宋体"/>
      <w:sz w:val="16"/>
      <w:szCs w:val="16"/>
    </w:rPr>
  </w:style>
  <w:style w:type="paragraph" w:styleId="1210" w:customStyle="1">
    <w:name w:val="Normal Paragraph"/>
    <w:basedOn w:val="1024"/>
    <w:uiPriority w:val="0"/>
    <w:qFormat/>
    <w:pPr>
      <w:ind w:firstLine="425"/>
      <w:spacing w:before="120"/>
      <w:widowControl/>
    </w:pPr>
    <w:rPr>
      <w:rFonts w:ascii="Verdana" w:hAnsi="Verdana"/>
    </w:rPr>
  </w:style>
  <w:style w:type="paragraph" w:styleId="1211" w:customStyle="1">
    <w:name w:val="pa-14"/>
    <w:basedOn w:val="1024"/>
    <w:uiPriority w:val="0"/>
    <w:qFormat/>
    <w:pPr>
      <w:jc w:val="left"/>
      <w:spacing w:before="150" w:after="150"/>
      <w:widowControl/>
    </w:pPr>
    <w:rPr>
      <w:rFonts w:ascii="宋体" w:hAnsi="宋体" w:cs="宋体"/>
      <w:sz w:val="24"/>
      <w:szCs w:val="24"/>
    </w:rPr>
  </w:style>
  <w:style w:type="paragraph" w:styleId="1212" w:customStyle="1">
    <w:name w:val="xl96"/>
    <w:basedOn w:val="1024"/>
    <w:uiPriority w:val="0"/>
    <w:qFormat/>
    <w:pPr>
      <w:jc w:val="center"/>
      <w:spacing w:before="100" w:beforeAutospacing="1" w:after="100" w:afterAutospacing="1"/>
      <w:shd w:val="clear" w:color="000000" w:fill="ffffff"/>
      <w:widowControl/>
      <w:pBdr>
        <w:top w:val="single" w:color="auto" w:sz="4" w:space="0"/>
        <w:left w:val="single" w:color="auto" w:sz="4" w:space="0"/>
      </w:pBdr>
    </w:pPr>
    <w:rPr>
      <w:rFonts w:ascii="宋体" w:hAnsi="宋体" w:cs="宋体"/>
      <w:sz w:val="16"/>
      <w:szCs w:val="16"/>
    </w:rPr>
  </w:style>
  <w:style w:type="paragraph" w:styleId="1213" w:customStyle="1">
    <w:name w:val="xl24"/>
    <w:basedOn w:val="102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14" w:customStyle="1">
    <w:name w:val="xl98"/>
    <w:basedOn w:val="102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215" w:customStyle="1">
    <w:name w:val="font6"/>
    <w:basedOn w:val="1024"/>
    <w:uiPriority w:val="0"/>
    <w:qFormat/>
    <w:pPr>
      <w:jc w:val="left"/>
      <w:spacing w:before="100" w:beforeAutospacing="1" w:after="100" w:afterAutospacing="1"/>
      <w:widowControl/>
    </w:pPr>
    <w:rPr>
      <w:rFonts w:hint="eastAsia" w:ascii="宋体" w:hAnsi="宋体"/>
      <w:sz w:val="28"/>
      <w:szCs w:val="28"/>
      <w:u w:val="single"/>
    </w:rPr>
  </w:style>
  <w:style w:type="paragraph" w:styleId="1216" w:customStyle="1">
    <w:name w:val="xl69"/>
    <w:basedOn w:val="10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217" w:customStyle="1">
    <w:name w:val="xl26"/>
    <w:basedOn w:val="10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18" w:customStyle="1">
    <w:name w:val="xl75"/>
    <w:basedOn w:val="1024"/>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16"/>
      <w:szCs w:val="16"/>
    </w:rPr>
  </w:style>
  <w:style w:type="paragraph" w:styleId="1219" w:customStyle="1">
    <w:name w:val="pa-5"/>
    <w:basedOn w:val="1024"/>
    <w:uiPriority w:val="0"/>
    <w:qFormat/>
    <w:pPr>
      <w:jc w:val="left"/>
      <w:spacing w:before="150" w:after="150" w:line="280" w:lineRule="atLeast"/>
      <w:widowControl/>
    </w:pPr>
    <w:rPr>
      <w:rFonts w:ascii="宋体" w:hAnsi="宋体" w:cs="宋体"/>
      <w:sz w:val="24"/>
      <w:szCs w:val="24"/>
    </w:rPr>
  </w:style>
  <w:style w:type="paragraph" w:styleId="1220" w:customStyle="1">
    <w:name w:val="xl87"/>
    <w:basedOn w:val="10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221" w:customStyle="1">
    <w:name w:val="彩色列表 - 着色 11"/>
    <w:basedOn w:val="1024"/>
    <w:uiPriority w:val="99"/>
    <w:qFormat/>
    <w:pPr>
      <w:contextualSpacing/>
      <w:ind w:left="720"/>
      <w:jc w:val="left"/>
      <w:widowControl/>
    </w:pPr>
    <w:rPr>
      <w:rFonts w:ascii="Calibri" w:hAnsi="Calibri"/>
      <w:sz w:val="24"/>
      <w:szCs w:val="24"/>
      <w:lang w:eastAsia="en-US" w:bidi="en-US"/>
    </w:rPr>
  </w:style>
  <w:style w:type="paragraph" w:styleId="1222" w:customStyle="1">
    <w:name w:val="xl95"/>
    <w:basedOn w:val="102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223" w:customStyle="1">
    <w:name w:val="pa-6"/>
    <w:basedOn w:val="1024"/>
    <w:uiPriority w:val="0"/>
    <w:qFormat/>
    <w:pPr>
      <w:jc w:val="left"/>
      <w:spacing w:before="150" w:after="150" w:line="360" w:lineRule="atLeast"/>
      <w:widowControl/>
    </w:pPr>
    <w:rPr>
      <w:rFonts w:ascii="宋体" w:hAnsi="宋体" w:cs="宋体"/>
      <w:sz w:val="24"/>
      <w:szCs w:val="24"/>
    </w:rPr>
  </w:style>
  <w:style w:type="paragraph" w:styleId="1224" w:customStyle="1">
    <w:name w:val="yiv410645557msonormal"/>
    <w:basedOn w:val="1024"/>
    <w:uiPriority w:val="0"/>
    <w:qFormat/>
    <w:pPr>
      <w:jc w:val="left"/>
      <w:spacing w:before="100" w:beforeAutospacing="1" w:after="100" w:afterAutospacing="1"/>
      <w:widowControl/>
    </w:pPr>
    <w:rPr>
      <w:rFonts w:ascii="宋体" w:hAnsi="宋体" w:cs="宋体"/>
      <w:sz w:val="24"/>
      <w:szCs w:val="24"/>
    </w:rPr>
  </w:style>
  <w:style w:type="paragraph" w:styleId="1225" w:customStyle="1">
    <w:name w:val="xl29"/>
    <w:basedOn w:val="102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226" w:customStyle="1">
    <w:name w:val="标题1"/>
    <w:basedOn w:val="1024"/>
    <w:next w:val="10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7" w:customStyle="1">
    <w:name w:val="xl76"/>
    <w:basedOn w:val="102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6"/>
      <w:szCs w:val="16"/>
    </w:rPr>
  </w:style>
  <w:style w:type="paragraph" w:styleId="1228" w:customStyle="1">
    <w:name w:val="pa-64"/>
    <w:basedOn w:val="1024"/>
    <w:uiPriority w:val="0"/>
    <w:qFormat/>
    <w:pPr>
      <w:jc w:val="left"/>
      <w:spacing w:before="150" w:after="150"/>
      <w:widowControl/>
    </w:pPr>
    <w:rPr>
      <w:rFonts w:ascii="宋体" w:hAnsi="宋体" w:cs="宋体"/>
      <w:sz w:val="24"/>
      <w:szCs w:val="24"/>
    </w:rPr>
  </w:style>
  <w:style w:type="paragraph" w:styleId="1229" w:customStyle="1">
    <w:name w:val="彩色列表1"/>
    <w:basedOn w:val="1024"/>
    <w:uiPriority w:val="34"/>
    <w:qFormat/>
    <w:pPr>
      <w:ind w:firstLine="420"/>
    </w:pPr>
  </w:style>
  <w:style w:type="paragraph" w:styleId="1230" w:customStyle="1">
    <w:name w:val="List Paragraph1"/>
    <w:basedOn w:val="1024"/>
    <w:uiPriority w:val="0"/>
    <w:qFormat/>
    <w:pPr>
      <w:ind w:left="480"/>
      <w:jc w:val="left"/>
    </w:pPr>
    <w:rPr>
      <w:rFonts w:ascii="Calibri" w:hAnsi="Calibri" w:eastAsia="PMingLiU" w:cs="Calibri"/>
      <w:sz w:val="24"/>
      <w:szCs w:val="24"/>
      <w:lang w:eastAsia="zh-TW"/>
    </w:rPr>
  </w:style>
  <w:style w:type="paragraph" w:styleId="1231" w:customStyle="1">
    <w:name w:val="xl81"/>
    <w:basedOn w:val="102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232" w:customStyle="1">
    <w:name w:val="默认段落字体 Para Char Char Char Char Char Char Char"/>
    <w:basedOn w:val="1039"/>
    <w:uiPriority w:val="0"/>
    <w:qFormat/>
    <w:pPr>
      <w:ind w:left="357"/>
      <w:jc w:val="left"/>
      <w:spacing w:before="50" w:after="50" w:line="360" w:lineRule="auto"/>
      <w:outlineLvl w:val="3"/>
    </w:pPr>
    <w:rPr>
      <w:rFonts w:ascii="Tahoma" w:hAnsi="Tahoma"/>
      <w:b/>
      <w:sz w:val="24"/>
      <w:szCs w:val="24"/>
    </w:rPr>
  </w:style>
  <w:style w:type="paragraph" w:styleId="1233" w:customStyle="1">
    <w:name w:val="table_1stline"/>
    <w:basedOn w:val="1024"/>
    <w:uiPriority w:val="0"/>
    <w:qFormat/>
    <w:pPr>
      <w:jc w:val="left"/>
      <w:spacing w:before="120"/>
      <w:widowControl/>
    </w:pPr>
    <w:rPr>
      <w:bCs/>
      <w:sz w:val="20"/>
      <w:szCs w:val="20"/>
      <w:lang w:val="de-DE" w:eastAsia="de-DE"/>
    </w:rPr>
  </w:style>
  <w:style w:type="paragraph" w:styleId="1234" w:customStyle="1">
    <w:name w:val="xl27"/>
    <w:basedOn w:val="102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35" w:customStyle="1">
    <w:name w:val="xl82"/>
    <w:basedOn w:val="102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236" w:customStyle="1">
    <w:name w:val="xl104"/>
    <w:basedOn w:val="1024"/>
    <w:uiPriority w:val="0"/>
    <w:qFormat/>
    <w:pPr>
      <w:jc w:val="center"/>
      <w:spacing w:before="100" w:beforeAutospacing="1" w:after="100" w:afterAutospacing="1"/>
      <w:shd w:val="clear" w:color="000000" w:fill="ffffff"/>
      <w:widowControl/>
    </w:pPr>
    <w:rPr>
      <w:rFonts w:ascii="宋体" w:hAnsi="宋体" w:cs="宋体"/>
      <w:sz w:val="16"/>
      <w:szCs w:val="16"/>
    </w:rPr>
  </w:style>
  <w:style w:type="paragraph" w:styleId="1237" w:customStyle="1">
    <w:name w:val="pa-10"/>
    <w:basedOn w:val="1024"/>
    <w:uiPriority w:val="0"/>
    <w:qFormat/>
    <w:pPr>
      <w:jc w:val="left"/>
      <w:spacing w:before="150" w:after="150"/>
      <w:widowControl/>
    </w:pPr>
    <w:rPr>
      <w:rFonts w:ascii="宋体" w:hAnsi="宋体" w:cs="宋体"/>
      <w:sz w:val="24"/>
      <w:szCs w:val="24"/>
    </w:rPr>
  </w:style>
  <w:style w:type="paragraph" w:styleId="1238" w:customStyle="1">
    <w:name w:val="xl88"/>
    <w:basedOn w:val="102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16"/>
      <w:szCs w:val="16"/>
    </w:rPr>
  </w:style>
  <w:style w:type="paragraph" w:styleId="1239" w:customStyle="1">
    <w:name w:val="样式1"/>
    <w:basedOn w:val="1024"/>
    <w:uiPriority w:val="0"/>
    <w:qFormat/>
    <w:pPr>
      <w:numPr>
        <w:ilvl w:val="0"/>
        <w:numId w:val="4"/>
      </w:numPr>
    </w:pPr>
    <w:rPr>
      <w:rFonts w:ascii="宋体" w:hAnsi="宋体"/>
    </w:rPr>
  </w:style>
  <w:style w:type="paragraph" w:styleId="1240" w:customStyle="1">
    <w:name w:val="xl89"/>
    <w:basedOn w:val="1024"/>
    <w:uiPriority w:val="0"/>
    <w:qFormat/>
    <w:pPr>
      <w:jc w:val="center"/>
      <w:spacing w:before="100" w:beforeAutospacing="1" w:after="100" w:afterAutospacing="1"/>
      <w:widowControl/>
    </w:pPr>
    <w:rPr>
      <w:rFonts w:ascii="宋体" w:hAnsi="宋体" w:cs="宋体"/>
      <w:sz w:val="16"/>
      <w:szCs w:val="16"/>
    </w:rPr>
  </w:style>
  <w:style w:type="paragraph" w:styleId="1241" w:customStyle="1">
    <w:name w:val="正文00"/>
    <w:basedOn w:val="1024"/>
    <w:uiPriority w:val="0"/>
    <w:qFormat/>
    <w:pPr>
      <w:ind w:firstLine="200"/>
      <w:spacing w:line="360" w:lineRule="auto"/>
    </w:pPr>
    <w:rPr>
      <w:sz w:val="24"/>
    </w:rPr>
  </w:style>
  <w:style w:type="paragraph" w:styleId="1242" w:customStyle="1">
    <w:name w:val="pa-15"/>
    <w:basedOn w:val="1024"/>
    <w:uiPriority w:val="0"/>
    <w:qFormat/>
    <w:pPr>
      <w:jc w:val="left"/>
      <w:spacing w:before="150" w:after="150"/>
      <w:widowControl/>
    </w:pPr>
    <w:rPr>
      <w:rFonts w:ascii="宋体" w:hAnsi="宋体" w:cs="宋体"/>
      <w:sz w:val="24"/>
      <w:szCs w:val="24"/>
    </w:rPr>
  </w:style>
  <w:style w:type="paragraph" w:styleId="1243" w:customStyle="1">
    <w:name w:val="xl99"/>
    <w:basedOn w:val="1024"/>
    <w:uiPriority w:val="0"/>
    <w:qFormat/>
    <w:pPr>
      <w:jc w:val="center"/>
      <w:spacing w:before="100" w:beforeAutospacing="1" w:after="100" w:afterAutospacing="1"/>
      <w:shd w:val="clear" w:color="000000" w:fill="ffffff"/>
      <w:widowControl/>
      <w:pBdr>
        <w:left w:val="single" w:color="auto" w:sz="4" w:space="0"/>
      </w:pBdr>
    </w:pPr>
    <w:rPr>
      <w:rFonts w:ascii="宋体" w:hAnsi="宋体" w:cs="宋体"/>
      <w:sz w:val="16"/>
      <w:szCs w:val="16"/>
    </w:rPr>
  </w:style>
  <w:style w:type="paragraph" w:styleId="1244" w:customStyle="1">
    <w:name w:val="pa-66"/>
    <w:basedOn w:val="1024"/>
    <w:uiPriority w:val="0"/>
    <w:qFormat/>
    <w:pPr>
      <w:jc w:val="left"/>
      <w:spacing w:before="150" w:after="150"/>
      <w:widowControl/>
    </w:pPr>
    <w:rPr>
      <w:rFonts w:ascii="宋体" w:hAnsi="宋体" w:cs="宋体"/>
      <w:sz w:val="24"/>
      <w:szCs w:val="24"/>
    </w:rPr>
  </w:style>
  <w:style w:type="paragraph" w:styleId="1245" w:customStyle="1">
    <w:name w:val="xl83"/>
    <w:basedOn w:val="10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16"/>
      <w:szCs w:val="16"/>
    </w:rPr>
  </w:style>
  <w:style w:type="paragraph" w:styleId="1246" w:customStyle="1">
    <w:name w:val="pa-3"/>
    <w:basedOn w:val="1024"/>
    <w:uiPriority w:val="0"/>
    <w:qFormat/>
    <w:pPr>
      <w:ind w:firstLine="420"/>
      <w:spacing w:before="150" w:after="150" w:line="360" w:lineRule="atLeast"/>
      <w:widowControl/>
    </w:pPr>
    <w:rPr>
      <w:rFonts w:ascii="宋体" w:hAnsi="宋体" w:cs="宋体"/>
      <w:sz w:val="24"/>
      <w:szCs w:val="24"/>
    </w:rPr>
  </w:style>
  <w:style w:type="paragraph" w:styleId="1247" w:customStyle="1">
    <w:name w:val="pa-2"/>
    <w:basedOn w:val="1024"/>
    <w:uiPriority w:val="0"/>
    <w:qFormat/>
    <w:pPr>
      <w:ind w:firstLine="480"/>
      <w:spacing w:before="150" w:after="150" w:line="360" w:lineRule="atLeast"/>
      <w:widowControl/>
    </w:pPr>
    <w:rPr>
      <w:rFonts w:ascii="宋体" w:hAnsi="宋体" w:cs="宋体"/>
      <w:sz w:val="24"/>
      <w:szCs w:val="24"/>
    </w:rPr>
  </w:style>
  <w:style w:type="paragraph" w:styleId="1248" w:customStyle="1">
    <w:name w:val="xl93"/>
    <w:basedOn w:val="10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16"/>
      <w:szCs w:val="16"/>
    </w:rPr>
  </w:style>
  <w:style w:type="paragraph" w:styleId="1249" w:customStyle="1">
    <w:name w:val="Table Description"/>
    <w:basedOn w:val="1024"/>
    <w:next w:val="1024"/>
    <w:uiPriority w:val="0"/>
    <w:qFormat/>
    <w:pPr>
      <w:numPr>
        <w:ilvl w:val="8"/>
        <w:numId w:val="5"/>
      </w:numPr>
      <w:jc w:val="left"/>
      <w:keepNext/>
      <w:spacing w:before="320" w:after="80" w:line="240" w:lineRule="atLeast"/>
      <w:widowControl/>
    </w:pPr>
    <w:rPr>
      <w:rFonts w:eastAsia="黑体" w:cs="Arial"/>
      <w:spacing w:val="-4"/>
    </w:rPr>
  </w:style>
  <w:style w:type="paragraph" w:styleId="1250" w:customStyle="1">
    <w:name w:val="xl105"/>
    <w:basedOn w:val="1024"/>
    <w:uiPriority w:val="0"/>
    <w:qFormat/>
    <w:pPr>
      <w:jc w:val="center"/>
      <w:spacing w:before="100" w:beforeAutospacing="1" w:after="100" w:afterAutospacing="1"/>
      <w:shd w:val="clear" w:color="000000" w:fill="ffffff"/>
      <w:widowControl/>
    </w:pPr>
    <w:rPr>
      <w:rFonts w:ascii="宋体" w:hAnsi="宋体" w:cs="宋体"/>
      <w:sz w:val="16"/>
      <w:szCs w:val="16"/>
    </w:rPr>
  </w:style>
  <w:style w:type="paragraph" w:styleId="1251" w:customStyle="1">
    <w:name w:val="xl73"/>
    <w:basedOn w:val="10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252" w:customStyle="1">
    <w:name w:val="pa-25"/>
    <w:basedOn w:val="1024"/>
    <w:uiPriority w:val="0"/>
    <w:qFormat/>
    <w:pPr>
      <w:jc w:val="left"/>
      <w:spacing w:before="150" w:after="150"/>
      <w:widowControl/>
    </w:pPr>
    <w:rPr>
      <w:rFonts w:ascii="宋体" w:hAnsi="宋体" w:cs="宋体"/>
      <w:sz w:val="24"/>
      <w:szCs w:val="24"/>
    </w:rPr>
  </w:style>
  <w:style w:type="paragraph" w:styleId="1253" w:customStyle="1">
    <w:name w:val="xl71"/>
    <w:basedOn w:val="10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254" w:customStyle="1">
    <w:name w:val="xl80"/>
    <w:basedOn w:val="10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255" w:customStyle="1">
    <w:name w:val="pa-4"/>
    <w:basedOn w:val="1024"/>
    <w:uiPriority w:val="0"/>
    <w:qFormat/>
    <w:pPr>
      <w:jc w:val="left"/>
      <w:spacing w:before="150" w:after="150"/>
      <w:widowControl/>
    </w:pPr>
    <w:rPr>
      <w:rFonts w:ascii="宋体" w:hAnsi="宋体" w:cs="宋体"/>
      <w:sz w:val="24"/>
      <w:szCs w:val="24"/>
    </w:rPr>
  </w:style>
  <w:style w:type="paragraph" w:styleId="1256" w:customStyle="1">
    <w:name w:val="pa-9"/>
    <w:basedOn w:val="1024"/>
    <w:uiPriority w:val="0"/>
    <w:qFormat/>
    <w:pPr>
      <w:jc w:val="left"/>
      <w:spacing w:before="150" w:after="150"/>
      <w:widowControl/>
    </w:pPr>
    <w:rPr>
      <w:rFonts w:ascii="宋体" w:hAnsi="宋体" w:cs="宋体"/>
      <w:sz w:val="24"/>
      <w:szCs w:val="24"/>
    </w:rPr>
  </w:style>
  <w:style w:type="paragraph" w:styleId="1257" w:customStyle="1">
    <w:name w:val="fix161"/>
    <w:basedOn w:val="1024"/>
    <w:uiPriority w:val="0"/>
    <w:qFormat/>
    <w:pPr>
      <w:jc w:val="left"/>
      <w:spacing w:before="100" w:beforeAutospacing="1" w:after="100" w:afterAutospacing="1"/>
      <w:widowControl/>
    </w:pPr>
    <w:rPr>
      <w:rFonts w:ascii="宋体" w:hAnsi="宋体" w:cs="宋体"/>
      <w:sz w:val="24"/>
      <w:szCs w:val="24"/>
    </w:rPr>
  </w:style>
  <w:style w:type="paragraph" w:styleId="1258" w:customStyle="1">
    <w:name w:val="xl85"/>
    <w:basedOn w:val="102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259" w:customStyle="1">
    <w:name w:val="xl79"/>
    <w:basedOn w:val="10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260" w:customStyle="1">
    <w:name w:val="xl94"/>
    <w:basedOn w:val="102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6"/>
      <w:szCs w:val="16"/>
    </w:rPr>
  </w:style>
  <w:style w:type="paragraph" w:styleId="1261" w:customStyle="1">
    <w:name w:val="Table Paragraph"/>
    <w:basedOn w:val="1024"/>
    <w:uiPriority w:val="1"/>
    <w:qFormat/>
    <w:rPr>
      <w:rFonts w:ascii="Calibri" w:hAnsi="Calibri"/>
      <w:szCs w:val="24"/>
    </w:rPr>
  </w:style>
  <w:style w:type="paragraph" w:styleId="1262" w:customStyle="1">
    <w:name w:val="xl68"/>
    <w:basedOn w:val="10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263" w:customStyle="1">
    <w:name w:val="xl102"/>
    <w:basedOn w:val="1024"/>
    <w:uiPriority w:val="0"/>
    <w:qFormat/>
    <w:pPr>
      <w:jc w:val="center"/>
      <w:spacing w:before="100" w:beforeAutospacing="1" w:after="100" w:afterAutospacing="1"/>
      <w:shd w:val="clear" w:color="000000" w:fill="ffffff"/>
      <w:widowControl/>
      <w:pBdr>
        <w:left w:val="single" w:color="auto" w:sz="4" w:space="0"/>
        <w:bottom w:val="single" w:color="auto" w:sz="4" w:space="0"/>
      </w:pBdr>
    </w:pPr>
    <w:rPr>
      <w:rFonts w:ascii="宋体" w:hAnsi="宋体" w:cs="宋体"/>
      <w:sz w:val="16"/>
      <w:szCs w:val="16"/>
    </w:rPr>
  </w:style>
  <w:style w:type="paragraph" w:styleId="1264" w:customStyle="1">
    <w:name w:val="Char Char Char Char Char Char Char Char Char Char Char Char Char"/>
    <w:basedOn w:val="1039"/>
    <w:uiPriority w:val="0"/>
    <w:qFormat/>
    <w:rPr>
      <w:rFonts w:ascii="Tahoma" w:hAnsi="Tahoma"/>
      <w:sz w:val="24"/>
      <w:szCs w:val="24"/>
    </w:rPr>
  </w:style>
  <w:style w:type="paragraph" w:styleId="1265" w:customStyle="1">
    <w:name w:val="Char2"/>
    <w:basedOn w:val="1024"/>
    <w:uiPriority w:val="0"/>
    <w:qFormat/>
    <w:pPr>
      <w:tabs>
        <w:tab w:val="left" w:pos="360" w:leader="none"/>
      </w:tabs>
    </w:pPr>
    <w:rPr>
      <w:sz w:val="24"/>
      <w:szCs w:val="24"/>
    </w:rPr>
  </w:style>
  <w:style w:type="paragraph" w:styleId="1266" w:customStyle="1">
    <w:name w:val="xl65"/>
    <w:basedOn w:val="10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267" w:customStyle="1">
    <w:name w:val="Figure Description"/>
    <w:next w:val="1024"/>
    <w:uiPriority w:val="0"/>
    <w:qFormat/>
    <w:pPr>
      <w:numPr>
        <w:ilvl w:val="7"/>
        <w:numId w:val="5"/>
      </w:numPr>
      <w:keepNext/>
      <w:spacing w:before="320" w:after="80" w:line="240" w:lineRule="atLeast"/>
    </w:pPr>
    <w:rPr>
      <w:rFonts w:ascii="Times New Roman" w:hAnsi="Times New Roman" w:eastAsia="黑体" w:cs="Arial"/>
      <w:spacing w:val="-4"/>
      <w:sz w:val="21"/>
      <w:szCs w:val="21"/>
      <w:lang w:val="en-US" w:eastAsia="zh-CN" w:bidi="ar-SA"/>
    </w:rPr>
  </w:style>
  <w:style w:type="paragraph" w:styleId="1268" w:customStyle="1">
    <w:name w:val="font7"/>
    <w:basedOn w:val="1024"/>
    <w:uiPriority w:val="0"/>
    <w:qFormat/>
    <w:pPr>
      <w:jc w:val="left"/>
      <w:spacing w:before="100" w:beforeAutospacing="1" w:after="100" w:afterAutospacing="1"/>
      <w:widowControl/>
    </w:pPr>
    <w:rPr>
      <w:rFonts w:hint="eastAsia" w:ascii="宋体" w:hAnsi="宋体"/>
      <w:sz w:val="18"/>
      <w:szCs w:val="18"/>
    </w:rPr>
  </w:style>
  <w:style w:type="paragraph" w:styleId="1269" w:customStyle="1">
    <w:name w:val="xl30"/>
    <w:basedOn w:val="1024"/>
    <w:uiPriority w:val="0"/>
    <w:qFormat/>
    <w:pPr>
      <w:jc w:val="center"/>
      <w:spacing w:before="100" w:beforeAutospacing="1" w:after="100" w:afterAutospacing="1"/>
      <w:widowControl/>
    </w:pPr>
    <w:rPr>
      <w:rFonts w:ascii="宋体" w:hAnsi="宋体"/>
      <w:b/>
      <w:bCs/>
      <w:sz w:val="36"/>
      <w:szCs w:val="36"/>
    </w:rPr>
  </w:style>
  <w:style w:type="paragraph" w:styleId="1270" w:customStyle="1">
    <w:name w:val="表身（左）"/>
    <w:uiPriority w:val="0"/>
    <w:qFormat/>
    <w:pPr>
      <w:spacing w:line="300" w:lineRule="auto"/>
    </w:pPr>
    <w:rPr>
      <w:rFonts w:ascii="Times New Roman" w:hAnsi="Times New Roman" w:eastAsia="宋体" w:cs="Times New Roman"/>
      <w:sz w:val="16"/>
      <w:szCs w:val="22"/>
      <w:lang w:val="en-US" w:eastAsia="zh-CN" w:bidi="ar-SA"/>
    </w:rPr>
  </w:style>
  <w:style w:type="paragraph" w:styleId="1271" w:customStyle="1">
    <w:name w:val="符号正文文字缩进"/>
    <w:basedOn w:val="1024"/>
    <w:uiPriority w:val="0"/>
    <w:qFormat/>
    <w:pPr>
      <w:numPr>
        <w:ilvl w:val="0"/>
        <w:numId w:val="6"/>
      </w:numPr>
      <w:ind w:right="210"/>
      <w:spacing w:after="120" w:line="288" w:lineRule="auto"/>
    </w:pPr>
    <w:rPr>
      <w:szCs w:val="20"/>
    </w:rPr>
  </w:style>
  <w:style w:type="paragraph" w:styleId="1272" w:customStyle="1">
    <w:name w:val="列出段落1"/>
    <w:basedOn w:val="1024"/>
    <w:uiPriority w:val="0"/>
    <w:qFormat/>
    <w:pPr>
      <w:ind w:left="200"/>
      <w:jc w:val="left"/>
    </w:pPr>
    <w:rPr>
      <w:rFonts w:ascii="Calibri" w:hAnsi="Calibri" w:eastAsia="PMingLiU" w:cs="宋体"/>
      <w:sz w:val="24"/>
      <w:szCs w:val="22"/>
      <w:lang w:eastAsia="zh-TW"/>
    </w:rPr>
  </w:style>
  <w:style w:type="paragraph" w:styleId="1273" w:customStyle="1">
    <w:name w:val="符号正文文字缩进3"/>
    <w:basedOn w:val="1024"/>
    <w:uiPriority w:val="0"/>
    <w:qFormat/>
    <w:pPr>
      <w:numPr>
        <w:ilvl w:val="0"/>
        <w:numId w:val="7"/>
      </w:numPr>
      <w:spacing w:after="120" w:line="360" w:lineRule="auto"/>
    </w:pPr>
    <w:rPr>
      <w:b/>
      <w:color w:val="008000"/>
      <w:szCs w:val="20"/>
    </w:rPr>
  </w:style>
  <w:style w:type="paragraph" w:styleId="1274" w:customStyle="1">
    <w:name w:val="正文 A"/>
    <w:next w:val="1024"/>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75" w:customStyle="1">
    <w:name w:val="p16"/>
    <w:basedOn w:val="1024"/>
    <w:uiPriority w:val="0"/>
    <w:qFormat/>
    <w:pPr>
      <w:spacing w:line="360" w:lineRule="auto"/>
      <w:widowControl/>
    </w:pPr>
    <w:rPr>
      <w:b/>
      <w:bCs/>
      <w:color w:val="000000"/>
      <w:sz w:val="24"/>
    </w:rPr>
  </w:style>
  <w:style w:type="paragraph" w:styleId="1276" w:customStyle="1">
    <w:name w:val="xl106"/>
    <w:basedOn w:val="1024"/>
    <w:uiPriority w:val="0"/>
    <w:qFormat/>
    <w:pPr>
      <w:jc w:val="left"/>
      <w:spacing w:before="100" w:beforeAutospacing="1" w:after="100" w:afterAutospacing="1"/>
      <w:shd w:val="clear" w:color="000000" w:fill="ffffff"/>
      <w:widowControl/>
    </w:pPr>
    <w:rPr>
      <w:rFonts w:ascii="宋体" w:hAnsi="宋体" w:cs="宋体"/>
      <w:sz w:val="16"/>
      <w:szCs w:val="16"/>
    </w:rPr>
  </w:style>
  <w:style w:type="paragraph" w:styleId="1277" w:customStyle="1">
    <w:name w:val="xl77"/>
    <w:basedOn w:val="10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278" w:customStyle="1">
    <w:name w:val="xl78"/>
    <w:basedOn w:val="102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6"/>
      <w:szCs w:val="16"/>
    </w:rPr>
  </w:style>
  <w:style w:type="paragraph" w:styleId="1279" w:customStyle="1">
    <w:name w:val="正文首行缩进 21"/>
    <w:basedOn w:val="1024"/>
    <w:next w:val="1024"/>
    <w:uiPriority w:val="0"/>
    <w:qFormat/>
    <w:pPr>
      <w:ind w:firstLine="420"/>
    </w:pPr>
  </w:style>
  <w:style w:type="character" w:styleId="1280" w:customStyle="1">
    <w:name w:val="font01"/>
    <w:uiPriority w:val="0"/>
    <w:qFormat/>
    <w:rPr>
      <w:rFonts w:hint="eastAsia" w:ascii="等线" w:hAnsi="等线" w:eastAsia="等线"/>
      <w:color w:val="000000"/>
      <w:sz w:val="22"/>
      <w:szCs w:val="22"/>
      <w:u w:val="none"/>
    </w:rPr>
  </w:style>
  <w:style w:type="character" w:styleId="1281" w:customStyle="1">
    <w:name w:val="font11"/>
    <w:uiPriority w:val="0"/>
    <w:qFormat/>
    <w:rPr>
      <w:rFonts w:hint="eastAsia" w:ascii="等线" w:hAnsi="等线" w:eastAsia="等线"/>
      <w:color w:val="000000"/>
      <w:sz w:val="22"/>
      <w:szCs w:val="22"/>
      <w:u w:val="none"/>
      <w:vertAlign w:val="superscript"/>
    </w:rPr>
  </w:style>
  <w:style w:type="table" w:styleId="1282" w:customStyle="1">
    <w:name w:val="Table Normal1"/>
    <w:basedOn w:val="1035"/>
    <w:uiPriority w:val="0"/>
    <w:semiHidden/>
    <w:qFormat/>
    <w:tblPr>
      <w:tblCellMar>
        <w:left w:w="0" w:type="dxa"/>
        <w:right w:w="0" w:type="dxa"/>
      </w:tblCellMar>
    </w:tblPr>
  </w:style>
  <w:style w:type="paragraph" w:styleId="1283" w:customStyle="1">
    <w:name w:val="msolistparagraph"/>
    <w:basedOn w:val="1024"/>
    <w:uiPriority w:val="0"/>
    <w:qFormat/>
    <w:pPr>
      <w:ind w:left="721" w:hanging="602"/>
      <w:jc w:val="left"/>
      <w:spacing w:before="161"/>
    </w:pPr>
    <w:rPr>
      <w:rFonts w:hint="eastAsia" w:ascii="宋体" w:hAnsi="宋体"/>
      <w:sz w:val="22"/>
      <w:szCs w:val="22"/>
    </w:rPr>
  </w:style>
  <w:style w:type="character" w:styleId="1284" w:customStyle="1">
    <w:name w:val="msoplaceholdertext"/>
    <w:uiPriority w:val="0"/>
    <w:qFormat/>
    <w:rPr>
      <w:color w:val="808080"/>
    </w:rPr>
  </w:style>
  <w:style w:type="character" w:styleId="1285" w:customStyle="1">
    <w:name w:val="idp-ltr-html-tablenumber"/>
    <w:uiPriority w:val="0"/>
    <w:qFormat/>
  </w:style>
  <w:style w:type="character" w:styleId="1286" w:customStyle="1">
    <w:name w:val="idp-ltr-html-cmdname"/>
    <w:uiPriority w:val="0"/>
    <w:qFormat/>
  </w:style>
  <w:style w:type="character" w:styleId="1287" w:customStyle="1">
    <w:name w:val="idp-ltr-html-keyword"/>
    <w:uiPriority w:val="0"/>
    <w:qFormat/>
  </w:style>
  <w:style w:type="character" w:styleId="1288" w:customStyle="1">
    <w:name w:val="font61"/>
    <w:uiPriority w:val="0"/>
    <w:qFormat/>
    <w:rPr>
      <w:rFonts w:hint="eastAsia" w:ascii="微软雅黑" w:hAnsi="微软雅黑" w:eastAsia="微软雅黑" w:cs="微软雅黑"/>
      <w:color w:val="000000"/>
      <w:sz w:val="24"/>
      <w:szCs w:val="24"/>
      <w:u w:val="none"/>
    </w:rPr>
  </w:style>
  <w:style w:type="character" w:styleId="1289" w:customStyle="1">
    <w:name w:val="idp-ltr-html-tablecap"/>
    <w:uiPriority w:val="0"/>
    <w:qFormat/>
  </w:style>
  <w:style w:type="character" w:styleId="1290" w:customStyle="1">
    <w:name w:val="idp-ltr-html-varname"/>
    <w:uiPriority w:val="0"/>
    <w:qFormat/>
  </w:style>
  <w:style w:type="character" w:styleId="1291" w:customStyle="1">
    <w:name w:val="cm-string"/>
    <w:uiPriority w:val="0"/>
    <w:qFormat/>
  </w:style>
  <w:style w:type="character" w:styleId="1292" w:customStyle="1">
    <w:name w:val="cm-number"/>
    <w:uiPriority w:val="0"/>
    <w:qFormat/>
  </w:style>
  <w:style w:type="character" w:styleId="1293" w:customStyle="1">
    <w:name w:val="未处理的提及1"/>
    <w:uiPriority w:val="0"/>
    <w:qFormat/>
    <w:rPr>
      <w:color w:val="605e5c"/>
      <w:shd w:val="clear" w:color="auto" w:fill="e1dfdd"/>
    </w:rPr>
  </w:style>
  <w:style w:type="character" w:styleId="1294" w:customStyle="1">
    <w:name w:val="无间隔 字符"/>
    <w:uiPriority w:val="0"/>
    <w:qFormat/>
    <w:rPr>
      <w:rFonts w:hint="eastAsia" w:ascii="等线" w:hAnsi="等线" w:eastAsia="等线" w:cs="等线"/>
      <w:sz w:val="22"/>
      <w:szCs w:val="22"/>
    </w:rPr>
  </w:style>
  <w:style w:type="character" w:styleId="1295" w:customStyle="1">
    <w:name w:val="明显强调1"/>
    <w:uiPriority w:val="0"/>
    <w:qFormat/>
    <w:rPr>
      <w:i/>
      <w:iCs/>
      <w:color w:val="4472c4"/>
    </w:rPr>
  </w:style>
  <w:style w:type="character" w:styleId="1296" w:customStyle="1">
    <w:name w:val="15"/>
    <w:uiPriority w:val="0"/>
    <w:qFormat/>
    <w:rPr>
      <w:rFonts w:hint="default" w:ascii="Calibri" w:hAnsi="Calibri" w:cs="Calibri"/>
      <w:sz w:val="16"/>
      <w:szCs w:val="16"/>
    </w:rPr>
  </w:style>
  <w:style w:type="character" w:styleId="1297" w:customStyle="1">
    <w:name w:val="10"/>
    <w:uiPriority w:val="0"/>
    <w:qFormat/>
    <w:rPr>
      <w:rFonts w:hint="default" w:ascii="Calibri" w:hAnsi="Calibri" w:cs="Calibri"/>
    </w:rPr>
  </w:style>
  <w:style w:type="paragraph" w:styleId="1298" w:customStyle="1">
    <w:name w:val="修订1"/>
    <w:uiPriority w:val="99"/>
    <w:unhideWhenUsed/>
    <w:qFormat/>
    <w:rPr>
      <w:rFonts w:ascii="Times New Roman" w:hAnsi="Times New Roman" w:eastAsia="宋体" w:cs="Times New Roman"/>
      <w:sz w:val="21"/>
      <w:szCs w:val="21"/>
      <w:lang w:val="en-US" w:eastAsia="zh-CN" w:bidi="ar-SA"/>
    </w:rPr>
  </w:style>
  <w:style w:type="character" w:styleId="1299" w:customStyle="1">
    <w:name w:val="正文文本首行缩进 2 字符"/>
    <w:uiPriority w:val="0"/>
    <w:qFormat/>
    <w:rPr>
      <w:sz w:val="24"/>
      <w:szCs w:val="24"/>
    </w:rPr>
  </w:style>
  <w:style w:type="paragraph" w:styleId="1300" w:customStyle="1">
    <w:name w:val="修订2"/>
    <w:hidden/>
    <w:uiPriority w:val="99"/>
    <w:semiHidden/>
    <w:qFormat/>
    <w:rPr>
      <w:rFonts w:ascii="Times New Roman" w:hAnsi="Times New Roman" w:eastAsia="宋体" w:cs="Times New Roman"/>
      <w:sz w:val="21"/>
      <w:szCs w:val="21"/>
      <w:lang w:val="en-US" w:eastAsia="zh-CN" w:bidi="ar-SA"/>
    </w:rPr>
  </w:style>
  <w:style w:type="paragraph" w:styleId="1301" w:customStyle="1">
    <w:name w:val="修订3"/>
    <w:hidden/>
    <w:uiPriority w:val="99"/>
    <w:semiHidden/>
    <w:qFormat/>
    <w:rPr>
      <w:rFonts w:ascii="Times New Roman" w:hAnsi="Times New Roman" w:eastAsia="宋体" w:cs="Times New Roman"/>
      <w:sz w:val="21"/>
      <w:szCs w:val="21"/>
      <w:lang w:val="en-US" w:eastAsia="zh-CN" w:bidi="ar-SA"/>
    </w:rPr>
  </w:style>
  <w:style w:type="character" w:styleId="1302" w:customStyle="1">
    <w:name w:val="列表段落 字符"/>
    <w:basedOn w:val="1034"/>
    <w:uiPriority w:val="0"/>
    <w:qFormat/>
    <w:rPr>
      <w:sz w:val="21"/>
      <w:szCs w:val="22"/>
    </w:rPr>
  </w:style>
  <w:style w:type="paragraph" w:styleId="1303" w:customStyle="1">
    <w:name w:val="列表段落1"/>
    <w:basedOn w:val="1024"/>
    <w:uiPriority w:val="34"/>
    <w:qFormat/>
    <w:pPr>
      <w:ind w:firstLine="420"/>
    </w:pPr>
    <w:rPr>
      <w:szCs w:val="20"/>
    </w:rPr>
  </w:style>
  <w:style w:type="paragraph" w:styleId="1304" w:customStyle="1">
    <w:name w:val="修订4"/>
    <w:hidden/>
    <w:uiPriority w:val="99"/>
    <w:unhideWhenUsed/>
    <w:qFormat/>
    <w:rPr>
      <w:rFonts w:ascii="Times New Roman" w:hAnsi="Times New Roman" w:eastAsia="宋体" w:cs="Times New Roman"/>
      <w:sz w:val="21"/>
      <w:szCs w:val="21"/>
      <w:lang w:val="en-US" w:eastAsia="zh-CN" w:bidi="ar-SA"/>
    </w:rPr>
  </w:style>
  <w:style w:type="paragraph" w:styleId="1305" w:customStyle="1">
    <w:name w:val="修订5"/>
    <w:hidden/>
    <w:uiPriority w:val="99"/>
    <w:unhideWhenUsed/>
    <w:qFormat/>
    <w:rPr>
      <w:rFonts w:ascii="Times New Roman" w:hAnsi="Times New Roman" w:eastAsia="宋体" w:cs="Times New Roman"/>
      <w:sz w:val="21"/>
      <w:szCs w:val="21"/>
      <w:lang w:val="en-US" w:eastAsia="zh-CN" w:bidi="ar-SA"/>
    </w:rPr>
  </w:style>
  <w:style w:type="paragraph" w:styleId="1306" w:customStyle="1">
    <w:name w:val="修订6"/>
    <w:hidden/>
    <w:uiPriority w:val="99"/>
    <w:unhideWhenUsed/>
    <w:qFormat/>
    <w:rPr>
      <w:rFonts w:ascii="Times New Roman" w:hAnsi="Times New Roman" w:eastAsia="宋体" w:cs="Times New Roman"/>
      <w:sz w:val="21"/>
      <w:szCs w:val="21"/>
      <w:lang w:val="en-US" w:eastAsia="zh-CN" w:bidi="ar-SA"/>
    </w:rPr>
  </w:style>
  <w:style w:type="paragraph" w:styleId="1307" w:customStyle="1">
    <w:name w:val="修订7"/>
    <w:hidden/>
    <w:uiPriority w:val="99"/>
    <w:semiHidden/>
    <w:qFormat/>
    <w:rPr>
      <w:rFonts w:ascii="Times New Roman" w:hAnsi="Times New Roman" w:eastAsia="宋体" w:cs="Times New Roman"/>
      <w:sz w:val="21"/>
      <w:szCs w:val="21"/>
      <w:lang w:val="en-US" w:eastAsia="zh-CN" w:bidi="ar-SA"/>
    </w:rPr>
  </w:style>
  <w:style w:type="paragraph" w:styleId="1308" w:customStyle="1">
    <w:name w:val="修订8"/>
    <w:hidden/>
    <w:uiPriority w:val="99"/>
    <w:unhideWhenUsed/>
    <w:qFormat/>
    <w:rPr>
      <w:rFonts w:ascii="Times New Roman" w:hAnsi="Times New Roman" w:eastAsia="宋体" w:cs="Times New Roman"/>
      <w:sz w:val="21"/>
      <w:szCs w:val="21"/>
      <w:lang w:val="en-US" w:eastAsia="zh-CN" w:bidi="ar-SA"/>
    </w:rPr>
  </w:style>
  <w:style w:type="paragraph" w:styleId="1309" w:customStyle="1">
    <w:name w:val="textDataStyle"/>
    <w:basedOn w:val="1024"/>
    <w:uiPriority w:val="0"/>
    <w:qFormat/>
    <w:pPr>
      <w:ind w:firstLine="500"/>
      <w:spacing w:line="315" w:lineRule="exact"/>
      <w:widowControl/>
    </w:pPr>
    <w:rPr>
      <w:rFonts w:ascii="仿宋_GB2312" w:hAnsi="仿宋_GB2312" w:eastAsia="仿宋_GB2312" w:cs="仿宋_GB2312"/>
      <w:sz w:val="32"/>
      <w:lang w:eastAsia="en-US"/>
    </w:rPr>
  </w:style>
  <w:style w:type="paragraph" w:styleId="1310" w:customStyle="1">
    <w:name w:val="修订9"/>
    <w:hidden/>
    <w:uiPriority w:val="99"/>
    <w:unhideWhenUsed/>
    <w:rPr>
      <w:rFonts w:ascii="Times New Roman" w:hAnsi="Times New Roman" w:eastAsia="宋体" w:cs="Times New Roman"/>
      <w:sz w:val="21"/>
      <w:szCs w:val="21"/>
      <w:lang w:val="en-US" w:eastAsia="zh-CN" w:bidi="ar-SA"/>
    </w:rPr>
  </w:style>
  <w:style w:type="paragraph" w:styleId="1311" w:customStyle="1">
    <w:name w:val="Revision"/>
    <w:hidden/>
    <w:uiPriority w:val="99"/>
    <w:unhideWhenUsed/>
    <w:rPr>
      <w:rFonts w:ascii="Times New Roman" w:hAnsi="Times New Roman" w:eastAsia="宋体" w:cs="Times New Roman"/>
      <w:sz w:val="21"/>
      <w:szCs w:val="21"/>
      <w:lang w:val="en-US" w:eastAsia="zh-CN" w:bidi="ar-SA"/>
    </w:rPr>
  </w:style>
  <w:style w:type="numbering" w:styleId="13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 Id="rId21" Type="http://schemas.openxmlformats.org/officeDocument/2006/relationships/image" Target="media/image2.pn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DB4C427-2456-45FC-AE77-16FCAD60788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微软用户</dc:creator>
  <cp:lastModifiedBy>陈沭</cp:lastModifiedBy>
  <cp:revision>27</cp:revision>
  <dcterms:created xsi:type="dcterms:W3CDTF">2026-03-16T08:34:00Z</dcterms:created>
  <dcterms:modified xsi:type="dcterms:W3CDTF">2026-03-17T05:42:18Z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C2916F6921424BA8BC8B05A0B45C5513_13</vt:lpwstr>
  </property>
  <property fmtid="{D5CDD505-2E9C-101B-9397-08002B2CF9AE}" pid="4" name="KSOTemplateDocerSaveRecord">
    <vt:lpwstr>eyJoZGlkIjoiNTE3ODBhODAwYWZlYmM2Zjk2MjA5ZjdiYTk1Y2U0OTQiLCJ1c2VySWQiOiI5NTc1NDY5NDYifQ==</vt:lpwstr>
  </property>
</Properties>
</file>