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DCE44">
      <w:pPr>
        <w:pStyle w:val="5"/>
        <w:jc w:val="center"/>
        <w:outlineLvl w:val="1"/>
      </w:pPr>
      <w:r>
        <w:rPr>
          <w:rFonts w:hint="eastAsia" w:ascii="仿宋_GB2312" w:hAnsi="仿宋_GB2312" w:eastAsia="仿宋_GB2312" w:cs="仿宋_GB2312"/>
          <w:b/>
          <w:sz w:val="36"/>
          <w:lang w:eastAsia="zh-CN"/>
        </w:rPr>
        <w:t>采购</w:t>
      </w:r>
      <w:r>
        <w:rPr>
          <w:rFonts w:ascii="仿宋_GB2312" w:hAnsi="仿宋_GB2312" w:eastAsia="仿宋_GB2312" w:cs="仿宋_GB2312"/>
          <w:b/>
          <w:sz w:val="36"/>
        </w:rPr>
        <w:t>要求</w:t>
      </w:r>
    </w:p>
    <w:p w14:paraId="080DF227">
      <w:pPr>
        <w:pStyle w:val="5"/>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105BB6D6">
      <w:pPr>
        <w:pStyle w:val="5"/>
        <w:jc w:val="left"/>
        <w:outlineLvl w:val="2"/>
      </w:pPr>
      <w:r>
        <w:rPr>
          <w:rFonts w:ascii="仿宋_GB2312" w:hAnsi="仿宋_GB2312" w:eastAsia="仿宋_GB2312" w:cs="仿宋_GB2312"/>
          <w:b/>
          <w:sz w:val="28"/>
        </w:rPr>
        <w:t>3.1.采购内容</w:t>
      </w:r>
    </w:p>
    <w:p w14:paraId="0BFA2DB7">
      <w:pPr>
        <w:pStyle w:val="5"/>
        <w:jc w:val="left"/>
      </w:pPr>
      <w:r>
        <w:rPr>
          <w:rFonts w:ascii="仿宋_GB2312" w:hAnsi="仿宋_GB2312" w:eastAsia="仿宋_GB2312" w:cs="仿宋_GB2312"/>
        </w:rPr>
        <w:t>采购包1：</w:t>
      </w:r>
    </w:p>
    <w:p w14:paraId="00E0D203">
      <w:pPr>
        <w:pStyle w:val="5"/>
        <w:jc w:val="left"/>
      </w:pPr>
      <w:r>
        <w:rPr>
          <w:rFonts w:ascii="仿宋_GB2312" w:hAnsi="仿宋_GB2312" w:eastAsia="仿宋_GB2312" w:cs="仿宋_GB2312"/>
        </w:rPr>
        <w:t>采购包预算金额（元）: 556,800.00</w:t>
      </w:r>
    </w:p>
    <w:p w14:paraId="0BC8DDAF">
      <w:pPr>
        <w:pStyle w:val="5"/>
        <w:jc w:val="left"/>
      </w:pPr>
      <w:r>
        <w:rPr>
          <w:rFonts w:ascii="仿宋_GB2312" w:hAnsi="仿宋_GB2312" w:eastAsia="仿宋_GB2312" w:cs="仿宋_GB2312"/>
        </w:rPr>
        <w:t>采购包最高限价（元）: 556,800.00</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2"/>
        <w:gridCol w:w="1289"/>
        <w:gridCol w:w="886"/>
        <w:gridCol w:w="819"/>
        <w:gridCol w:w="1251"/>
        <w:gridCol w:w="678"/>
        <w:gridCol w:w="678"/>
        <w:gridCol w:w="678"/>
        <w:gridCol w:w="678"/>
        <w:gridCol w:w="561"/>
        <w:gridCol w:w="562"/>
      </w:tblGrid>
      <w:tr w14:paraId="296FC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0E7721B">
            <w:pPr>
              <w:pStyle w:val="5"/>
              <w:jc w:val="center"/>
            </w:pPr>
            <w:r>
              <w:rPr>
                <w:rFonts w:ascii="仿宋_GB2312" w:hAnsi="仿宋_GB2312" w:eastAsia="仿宋_GB2312" w:cs="仿宋_GB2312"/>
              </w:rPr>
              <w:t>序号</w:t>
            </w:r>
          </w:p>
        </w:tc>
        <w:tc>
          <w:tcPr>
            <w:tcW w:w="821" w:type="dxa"/>
          </w:tcPr>
          <w:p w14:paraId="7065CC1D">
            <w:pPr>
              <w:pStyle w:val="5"/>
              <w:jc w:val="center"/>
            </w:pPr>
            <w:r>
              <w:rPr>
                <w:rFonts w:ascii="仿宋_GB2312" w:hAnsi="仿宋_GB2312" w:eastAsia="仿宋_GB2312" w:cs="仿宋_GB2312"/>
              </w:rPr>
              <w:t>采购品目名称</w:t>
            </w:r>
          </w:p>
        </w:tc>
        <w:tc>
          <w:tcPr>
            <w:tcW w:w="821" w:type="dxa"/>
          </w:tcPr>
          <w:p w14:paraId="15031B85">
            <w:pPr>
              <w:pStyle w:val="5"/>
              <w:jc w:val="center"/>
            </w:pPr>
            <w:r>
              <w:rPr>
                <w:rFonts w:ascii="仿宋_GB2312" w:hAnsi="仿宋_GB2312" w:eastAsia="仿宋_GB2312" w:cs="仿宋_GB2312"/>
              </w:rPr>
              <w:t>标的名称</w:t>
            </w:r>
          </w:p>
        </w:tc>
        <w:tc>
          <w:tcPr>
            <w:tcW w:w="821" w:type="dxa"/>
          </w:tcPr>
          <w:p w14:paraId="4975461E">
            <w:pPr>
              <w:pStyle w:val="5"/>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2B6D26F0">
            <w:pPr>
              <w:pStyle w:val="5"/>
              <w:jc w:val="center"/>
            </w:pPr>
            <w:r>
              <w:rPr>
                <w:rFonts w:ascii="仿宋_GB2312" w:hAnsi="仿宋_GB2312" w:eastAsia="仿宋_GB2312" w:cs="仿宋_GB2312"/>
              </w:rPr>
              <w:t>标的金额 （元）</w:t>
            </w:r>
          </w:p>
        </w:tc>
        <w:tc>
          <w:tcPr>
            <w:tcW w:w="821" w:type="dxa"/>
          </w:tcPr>
          <w:p w14:paraId="2990C278">
            <w:pPr>
              <w:pStyle w:val="5"/>
              <w:jc w:val="center"/>
            </w:pPr>
            <w:r>
              <w:rPr>
                <w:rFonts w:ascii="仿宋_GB2312" w:hAnsi="仿宋_GB2312" w:eastAsia="仿宋_GB2312" w:cs="仿宋_GB2312"/>
              </w:rPr>
              <w:t>所属行业</w:t>
            </w:r>
          </w:p>
        </w:tc>
        <w:tc>
          <w:tcPr>
            <w:tcW w:w="821" w:type="dxa"/>
          </w:tcPr>
          <w:p w14:paraId="675922B9">
            <w:pPr>
              <w:pStyle w:val="5"/>
              <w:jc w:val="center"/>
            </w:pPr>
            <w:r>
              <w:rPr>
                <w:rFonts w:ascii="仿宋_GB2312" w:hAnsi="仿宋_GB2312" w:eastAsia="仿宋_GB2312" w:cs="仿宋_GB2312"/>
              </w:rPr>
              <w:t>是否涉及核心产品</w:t>
            </w:r>
          </w:p>
        </w:tc>
        <w:tc>
          <w:tcPr>
            <w:tcW w:w="821" w:type="dxa"/>
          </w:tcPr>
          <w:p w14:paraId="06047C43">
            <w:pPr>
              <w:pStyle w:val="5"/>
              <w:jc w:val="center"/>
            </w:pPr>
            <w:r>
              <w:rPr>
                <w:rFonts w:ascii="仿宋_GB2312" w:hAnsi="仿宋_GB2312" w:eastAsia="仿宋_GB2312" w:cs="仿宋_GB2312"/>
              </w:rPr>
              <w:t>是否涉及采购进口产品</w:t>
            </w:r>
          </w:p>
        </w:tc>
        <w:tc>
          <w:tcPr>
            <w:tcW w:w="821" w:type="dxa"/>
          </w:tcPr>
          <w:p w14:paraId="032094F1">
            <w:pPr>
              <w:pStyle w:val="5"/>
              <w:jc w:val="center"/>
            </w:pPr>
            <w:r>
              <w:rPr>
                <w:rFonts w:ascii="仿宋_GB2312" w:hAnsi="仿宋_GB2312" w:eastAsia="仿宋_GB2312" w:cs="仿宋_GB2312"/>
              </w:rPr>
              <w:t>是否涉及强制采购节能产品</w:t>
            </w:r>
          </w:p>
        </w:tc>
        <w:tc>
          <w:tcPr>
            <w:tcW w:w="639" w:type="dxa"/>
          </w:tcPr>
          <w:p w14:paraId="4B919C60">
            <w:pPr>
              <w:pStyle w:val="5"/>
              <w:jc w:val="center"/>
            </w:pPr>
            <w:r>
              <w:rPr>
                <w:rFonts w:ascii="仿宋_GB2312" w:hAnsi="仿宋_GB2312" w:eastAsia="仿宋_GB2312" w:cs="仿宋_GB2312"/>
              </w:rPr>
              <w:t>是否涉及优先采购节能产品</w:t>
            </w:r>
          </w:p>
        </w:tc>
        <w:tc>
          <w:tcPr>
            <w:tcW w:w="639" w:type="dxa"/>
          </w:tcPr>
          <w:p w14:paraId="7C9E8AAB">
            <w:pPr>
              <w:pStyle w:val="5"/>
              <w:jc w:val="center"/>
            </w:pPr>
            <w:r>
              <w:rPr>
                <w:rFonts w:ascii="仿宋_GB2312" w:hAnsi="仿宋_GB2312" w:eastAsia="仿宋_GB2312" w:cs="仿宋_GB2312"/>
              </w:rPr>
              <w:t>是否涉及优先采购环境标志产品</w:t>
            </w:r>
          </w:p>
        </w:tc>
      </w:tr>
      <w:tr w14:paraId="06F77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1D84BA8">
            <w:pPr>
              <w:pStyle w:val="5"/>
              <w:jc w:val="left"/>
            </w:pPr>
            <w:r>
              <w:rPr>
                <w:rFonts w:ascii="仿宋_GB2312" w:hAnsi="仿宋_GB2312" w:eastAsia="仿宋_GB2312" w:cs="仿宋_GB2312"/>
              </w:rPr>
              <w:t>1</w:t>
            </w:r>
          </w:p>
        </w:tc>
        <w:tc>
          <w:tcPr>
            <w:tcW w:w="821" w:type="dxa"/>
          </w:tcPr>
          <w:p w14:paraId="66A87F58">
            <w:pPr>
              <w:pStyle w:val="5"/>
              <w:jc w:val="left"/>
            </w:pPr>
            <w:r>
              <w:rPr>
                <w:rFonts w:ascii="仿宋_GB2312" w:hAnsi="仿宋_GB2312" w:eastAsia="仿宋_GB2312" w:cs="仿宋_GB2312"/>
              </w:rPr>
              <w:t>C13010000 区域规划和设计服务</w:t>
            </w:r>
          </w:p>
        </w:tc>
        <w:tc>
          <w:tcPr>
            <w:tcW w:w="821" w:type="dxa"/>
          </w:tcPr>
          <w:p w14:paraId="63DE897B">
            <w:pPr>
              <w:pStyle w:val="5"/>
              <w:jc w:val="left"/>
            </w:pPr>
            <w:r>
              <w:rPr>
                <w:rFonts w:ascii="仿宋_GB2312" w:hAnsi="仿宋_GB2312" w:eastAsia="仿宋_GB2312" w:cs="仿宋_GB2312"/>
              </w:rPr>
              <w:t>新津区2024年度规划实施体检（2025年新规）服务</w:t>
            </w:r>
          </w:p>
        </w:tc>
        <w:tc>
          <w:tcPr>
            <w:tcW w:w="821" w:type="dxa"/>
          </w:tcPr>
          <w:p w14:paraId="39D6C706">
            <w:pPr>
              <w:pStyle w:val="5"/>
              <w:jc w:val="right"/>
            </w:pPr>
            <w:r>
              <w:rPr>
                <w:rFonts w:ascii="仿宋_GB2312" w:hAnsi="仿宋_GB2312" w:eastAsia="仿宋_GB2312" w:cs="仿宋_GB2312"/>
              </w:rPr>
              <w:t>1.00（项）</w:t>
            </w:r>
          </w:p>
        </w:tc>
        <w:tc>
          <w:tcPr>
            <w:tcW w:w="821" w:type="dxa"/>
          </w:tcPr>
          <w:p w14:paraId="6A7381B1">
            <w:pPr>
              <w:pStyle w:val="5"/>
              <w:jc w:val="right"/>
            </w:pPr>
            <w:r>
              <w:rPr>
                <w:rFonts w:ascii="仿宋_GB2312" w:hAnsi="仿宋_GB2312" w:eastAsia="仿宋_GB2312" w:cs="仿宋_GB2312"/>
              </w:rPr>
              <w:t>556,800.00</w:t>
            </w:r>
          </w:p>
        </w:tc>
        <w:tc>
          <w:tcPr>
            <w:tcW w:w="821" w:type="dxa"/>
          </w:tcPr>
          <w:p w14:paraId="216BB14F">
            <w:pPr>
              <w:pStyle w:val="5"/>
              <w:jc w:val="left"/>
            </w:pPr>
            <w:r>
              <w:rPr>
                <w:rFonts w:ascii="仿宋_GB2312" w:hAnsi="仿宋_GB2312" w:eastAsia="仿宋_GB2312" w:cs="仿宋_GB2312"/>
              </w:rPr>
              <w:t>其他未列明行业</w:t>
            </w:r>
          </w:p>
        </w:tc>
        <w:tc>
          <w:tcPr>
            <w:tcW w:w="821" w:type="dxa"/>
          </w:tcPr>
          <w:p w14:paraId="65C620F4">
            <w:pPr>
              <w:pStyle w:val="5"/>
              <w:jc w:val="left"/>
            </w:pPr>
            <w:r>
              <w:rPr>
                <w:rFonts w:ascii="仿宋_GB2312" w:hAnsi="仿宋_GB2312" w:eastAsia="仿宋_GB2312" w:cs="仿宋_GB2312"/>
              </w:rPr>
              <w:t>否</w:t>
            </w:r>
          </w:p>
        </w:tc>
        <w:tc>
          <w:tcPr>
            <w:tcW w:w="821" w:type="dxa"/>
          </w:tcPr>
          <w:p w14:paraId="0E1D9721">
            <w:pPr>
              <w:pStyle w:val="5"/>
              <w:jc w:val="left"/>
            </w:pPr>
            <w:r>
              <w:rPr>
                <w:rFonts w:ascii="仿宋_GB2312" w:hAnsi="仿宋_GB2312" w:eastAsia="仿宋_GB2312" w:cs="仿宋_GB2312"/>
              </w:rPr>
              <w:t>否</w:t>
            </w:r>
          </w:p>
        </w:tc>
        <w:tc>
          <w:tcPr>
            <w:tcW w:w="821" w:type="dxa"/>
          </w:tcPr>
          <w:p w14:paraId="29883F6C">
            <w:pPr>
              <w:pStyle w:val="5"/>
              <w:jc w:val="left"/>
            </w:pPr>
            <w:r>
              <w:rPr>
                <w:rFonts w:ascii="仿宋_GB2312" w:hAnsi="仿宋_GB2312" w:eastAsia="仿宋_GB2312" w:cs="仿宋_GB2312"/>
              </w:rPr>
              <w:t>否</w:t>
            </w:r>
          </w:p>
        </w:tc>
        <w:tc>
          <w:tcPr>
            <w:tcW w:w="639" w:type="dxa"/>
          </w:tcPr>
          <w:p w14:paraId="2445EBE6">
            <w:pPr>
              <w:pStyle w:val="5"/>
              <w:jc w:val="left"/>
            </w:pPr>
            <w:r>
              <w:rPr>
                <w:rFonts w:ascii="仿宋_GB2312" w:hAnsi="仿宋_GB2312" w:eastAsia="仿宋_GB2312" w:cs="仿宋_GB2312"/>
              </w:rPr>
              <w:t>否</w:t>
            </w:r>
          </w:p>
        </w:tc>
        <w:tc>
          <w:tcPr>
            <w:tcW w:w="639" w:type="dxa"/>
          </w:tcPr>
          <w:p w14:paraId="4C343FD9">
            <w:pPr>
              <w:pStyle w:val="5"/>
              <w:jc w:val="left"/>
            </w:pPr>
            <w:r>
              <w:rPr>
                <w:rFonts w:ascii="仿宋_GB2312" w:hAnsi="仿宋_GB2312" w:eastAsia="仿宋_GB2312" w:cs="仿宋_GB2312"/>
              </w:rPr>
              <w:t>否</w:t>
            </w:r>
          </w:p>
        </w:tc>
      </w:tr>
    </w:tbl>
    <w:p w14:paraId="2476C4AD">
      <w:pPr>
        <w:pStyle w:val="5"/>
        <w:jc w:val="left"/>
        <w:outlineLvl w:val="3"/>
      </w:pPr>
      <w:r>
        <w:rPr>
          <w:rFonts w:ascii="仿宋_GB2312" w:hAnsi="仿宋_GB2312" w:eastAsia="仿宋_GB2312" w:cs="仿宋_GB2312"/>
          <w:b/>
          <w:sz w:val="24"/>
        </w:rPr>
        <w:t>报价要求</w:t>
      </w:r>
    </w:p>
    <w:p w14:paraId="13636343">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4765A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A8D5304">
            <w:pPr>
              <w:pStyle w:val="5"/>
              <w:jc w:val="center"/>
            </w:pPr>
            <w:r>
              <w:rPr>
                <w:rFonts w:ascii="仿宋_GB2312" w:hAnsi="仿宋_GB2312" w:eastAsia="仿宋_GB2312" w:cs="仿宋_GB2312"/>
              </w:rPr>
              <w:t>序号</w:t>
            </w:r>
          </w:p>
        </w:tc>
        <w:tc>
          <w:tcPr>
            <w:tcW w:w="1707" w:type="dxa"/>
          </w:tcPr>
          <w:p w14:paraId="4F486D17">
            <w:pPr>
              <w:pStyle w:val="5"/>
              <w:jc w:val="center"/>
            </w:pPr>
            <w:r>
              <w:rPr>
                <w:rFonts w:ascii="仿宋_GB2312" w:hAnsi="仿宋_GB2312" w:eastAsia="仿宋_GB2312" w:cs="仿宋_GB2312"/>
              </w:rPr>
              <w:t>报价内容</w:t>
            </w:r>
          </w:p>
        </w:tc>
        <w:tc>
          <w:tcPr>
            <w:tcW w:w="1138" w:type="dxa"/>
          </w:tcPr>
          <w:p w14:paraId="7A3DBA52">
            <w:pPr>
              <w:pStyle w:val="5"/>
              <w:jc w:val="center"/>
            </w:pPr>
            <w:r>
              <w:rPr>
                <w:rFonts w:ascii="仿宋_GB2312" w:hAnsi="仿宋_GB2312" w:eastAsia="仿宋_GB2312" w:cs="仿宋_GB2312"/>
              </w:rPr>
              <w:t>数量（计量单位）</w:t>
            </w:r>
          </w:p>
        </w:tc>
        <w:tc>
          <w:tcPr>
            <w:tcW w:w="1365" w:type="dxa"/>
          </w:tcPr>
          <w:p w14:paraId="2082D8E0">
            <w:pPr>
              <w:pStyle w:val="5"/>
              <w:jc w:val="center"/>
            </w:pPr>
            <w:r>
              <w:rPr>
                <w:rFonts w:ascii="仿宋_GB2312" w:hAnsi="仿宋_GB2312" w:eastAsia="仿宋_GB2312" w:cs="仿宋_GB2312"/>
              </w:rPr>
              <w:t>最高限价</w:t>
            </w:r>
          </w:p>
        </w:tc>
        <w:tc>
          <w:tcPr>
            <w:tcW w:w="1138" w:type="dxa"/>
          </w:tcPr>
          <w:p w14:paraId="55571098">
            <w:pPr>
              <w:pStyle w:val="5"/>
              <w:jc w:val="center"/>
            </w:pPr>
            <w:r>
              <w:rPr>
                <w:rFonts w:ascii="仿宋_GB2312" w:hAnsi="仿宋_GB2312" w:eastAsia="仿宋_GB2312" w:cs="仿宋_GB2312"/>
              </w:rPr>
              <w:t>价款形式</w:t>
            </w:r>
          </w:p>
        </w:tc>
        <w:tc>
          <w:tcPr>
            <w:tcW w:w="1934" w:type="dxa"/>
          </w:tcPr>
          <w:p w14:paraId="315A752A">
            <w:pPr>
              <w:pStyle w:val="5"/>
              <w:jc w:val="center"/>
            </w:pPr>
            <w:r>
              <w:rPr>
                <w:rFonts w:ascii="仿宋_GB2312" w:hAnsi="仿宋_GB2312" w:eastAsia="仿宋_GB2312" w:cs="仿宋_GB2312"/>
              </w:rPr>
              <w:t>报价说明</w:t>
            </w:r>
          </w:p>
        </w:tc>
      </w:tr>
      <w:tr w14:paraId="087CC3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C6A7133">
            <w:pPr>
              <w:pStyle w:val="5"/>
              <w:jc w:val="center"/>
            </w:pPr>
            <w:r>
              <w:rPr>
                <w:rFonts w:ascii="仿宋_GB2312" w:hAnsi="仿宋_GB2312" w:eastAsia="仿宋_GB2312" w:cs="仿宋_GB2312"/>
              </w:rPr>
              <w:t>1</w:t>
            </w:r>
          </w:p>
        </w:tc>
        <w:tc>
          <w:tcPr>
            <w:tcW w:w="1707" w:type="dxa"/>
          </w:tcPr>
          <w:p w14:paraId="2A84CD3D">
            <w:pPr>
              <w:pStyle w:val="5"/>
              <w:jc w:val="center"/>
            </w:pPr>
            <w:r>
              <w:rPr>
                <w:rFonts w:ascii="仿宋_GB2312" w:hAnsi="仿宋_GB2312" w:eastAsia="仿宋_GB2312" w:cs="仿宋_GB2312"/>
              </w:rPr>
              <w:t>新津区2024年度规划实施体检（2025年新规）服务</w:t>
            </w:r>
          </w:p>
        </w:tc>
        <w:tc>
          <w:tcPr>
            <w:tcW w:w="1138" w:type="dxa"/>
          </w:tcPr>
          <w:p w14:paraId="193C6329">
            <w:pPr>
              <w:pStyle w:val="5"/>
              <w:jc w:val="center"/>
            </w:pPr>
            <w:r>
              <w:rPr>
                <w:rFonts w:ascii="仿宋_GB2312" w:hAnsi="仿宋_GB2312" w:eastAsia="仿宋_GB2312" w:cs="仿宋_GB2312"/>
              </w:rPr>
              <w:t>1.00（项）</w:t>
            </w:r>
          </w:p>
        </w:tc>
        <w:tc>
          <w:tcPr>
            <w:tcW w:w="1365" w:type="dxa"/>
          </w:tcPr>
          <w:p w14:paraId="12F167CB">
            <w:pPr>
              <w:pStyle w:val="5"/>
              <w:jc w:val="center"/>
            </w:pPr>
            <w:r>
              <w:rPr>
                <w:rFonts w:ascii="仿宋_GB2312" w:hAnsi="仿宋_GB2312" w:eastAsia="仿宋_GB2312" w:cs="仿宋_GB2312"/>
              </w:rPr>
              <w:t>556,800.00</w:t>
            </w:r>
          </w:p>
        </w:tc>
        <w:tc>
          <w:tcPr>
            <w:tcW w:w="1138" w:type="dxa"/>
          </w:tcPr>
          <w:p w14:paraId="318EF7E9">
            <w:pPr>
              <w:pStyle w:val="5"/>
              <w:jc w:val="center"/>
            </w:pPr>
            <w:r>
              <w:rPr>
                <w:rFonts w:ascii="仿宋_GB2312" w:hAnsi="仿宋_GB2312" w:eastAsia="仿宋_GB2312" w:cs="仿宋_GB2312"/>
              </w:rPr>
              <w:t>总价</w:t>
            </w:r>
          </w:p>
        </w:tc>
        <w:tc>
          <w:tcPr>
            <w:tcW w:w="1934" w:type="dxa"/>
          </w:tcPr>
          <w:p w14:paraId="69F07BCD">
            <w:pPr>
              <w:pStyle w:val="5"/>
              <w:jc w:val="left"/>
            </w:pPr>
            <w:r>
              <w:rPr>
                <w:rFonts w:ascii="仿宋_GB2312" w:hAnsi="仿宋_GB2312" w:eastAsia="仿宋_GB2312" w:cs="仿宋_GB2312"/>
              </w:rPr>
              <w:t>无</w:t>
            </w:r>
          </w:p>
        </w:tc>
      </w:tr>
    </w:tbl>
    <w:p w14:paraId="46E5CF7A">
      <w:pPr>
        <w:pStyle w:val="5"/>
        <w:ind w:firstLine="480"/>
        <w:jc w:val="left"/>
      </w:pPr>
      <w:r>
        <w:rPr>
          <w:rFonts w:ascii="仿宋_GB2312" w:hAnsi="仿宋_GB2312" w:eastAsia="仿宋_GB2312" w:cs="仿宋_GB2312"/>
        </w:rPr>
        <w:t>★注：采购包涉及采购货物的，投标人响应产品应当明确品牌和规格型号并指向唯一产品，不能指向唯一产品的，应通过报价表唯一产品说明栏补充说明。</w:t>
      </w:r>
    </w:p>
    <w:p w14:paraId="089BE8CF">
      <w:pPr>
        <w:pStyle w:val="5"/>
        <w:jc w:val="left"/>
      </w:pPr>
      <w:r>
        <w:rPr>
          <w:rFonts w:ascii="仿宋_GB2312" w:hAnsi="仿宋_GB2312" w:eastAsia="仿宋_GB2312" w:cs="仿宋_GB2312"/>
          <w:b/>
        </w:rPr>
        <w:t>本项目涉及核心产品：</w:t>
      </w:r>
    </w:p>
    <w:p w14:paraId="51D03C46">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E30A3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3EB9D0C">
            <w:pPr>
              <w:pStyle w:val="5"/>
              <w:jc w:val="center"/>
            </w:pPr>
            <w:r>
              <w:rPr>
                <w:rFonts w:ascii="仿宋_GB2312" w:hAnsi="仿宋_GB2312" w:eastAsia="仿宋_GB2312" w:cs="仿宋_GB2312"/>
              </w:rPr>
              <w:t>序号</w:t>
            </w:r>
          </w:p>
        </w:tc>
        <w:tc>
          <w:tcPr>
            <w:tcW w:w="2492" w:type="dxa"/>
          </w:tcPr>
          <w:p w14:paraId="485E898A">
            <w:pPr>
              <w:pStyle w:val="5"/>
              <w:jc w:val="center"/>
            </w:pPr>
            <w:r>
              <w:rPr>
                <w:rFonts w:ascii="仿宋_GB2312" w:hAnsi="仿宋_GB2312" w:eastAsia="仿宋_GB2312" w:cs="仿宋_GB2312"/>
              </w:rPr>
              <w:t>采购品目名称</w:t>
            </w:r>
          </w:p>
        </w:tc>
        <w:tc>
          <w:tcPr>
            <w:tcW w:w="2492" w:type="dxa"/>
          </w:tcPr>
          <w:p w14:paraId="017A42BA">
            <w:pPr>
              <w:pStyle w:val="5"/>
              <w:jc w:val="center"/>
            </w:pPr>
            <w:r>
              <w:rPr>
                <w:rFonts w:ascii="仿宋_GB2312" w:hAnsi="仿宋_GB2312" w:eastAsia="仿宋_GB2312" w:cs="仿宋_GB2312"/>
              </w:rPr>
              <w:t>标的名称</w:t>
            </w:r>
          </w:p>
        </w:tc>
        <w:tc>
          <w:tcPr>
            <w:tcW w:w="2492" w:type="dxa"/>
          </w:tcPr>
          <w:p w14:paraId="399B58DA">
            <w:pPr>
              <w:pStyle w:val="5"/>
              <w:jc w:val="center"/>
            </w:pPr>
            <w:r>
              <w:rPr>
                <w:rFonts w:ascii="仿宋_GB2312" w:hAnsi="仿宋_GB2312" w:eastAsia="仿宋_GB2312" w:cs="仿宋_GB2312"/>
              </w:rPr>
              <w:t>产品名称</w:t>
            </w:r>
          </w:p>
        </w:tc>
      </w:tr>
      <w:tr w14:paraId="6CF1F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C4F6CDE">
            <w:pPr>
              <w:pStyle w:val="5"/>
              <w:jc w:val="center"/>
            </w:pPr>
            <w:r>
              <w:rPr>
                <w:rFonts w:ascii="仿宋_GB2312" w:hAnsi="仿宋_GB2312" w:eastAsia="仿宋_GB2312" w:cs="仿宋_GB2312"/>
              </w:rPr>
              <w:t>不涉及</w:t>
            </w:r>
          </w:p>
        </w:tc>
      </w:tr>
    </w:tbl>
    <w:p w14:paraId="79400555">
      <w:pPr>
        <w:pStyle w:val="5"/>
        <w:ind w:firstLine="480"/>
        <w:jc w:val="left"/>
      </w:pPr>
      <w:r>
        <w:rPr>
          <w:rFonts w:ascii="仿宋_GB2312" w:hAnsi="仿宋_GB2312" w:eastAsia="仿宋_GB2312" w:cs="仿宋_GB2312"/>
        </w:rPr>
        <w:t>注：涉及核心产品的，具体评审规定见第五章。</w:t>
      </w:r>
    </w:p>
    <w:p w14:paraId="220FC2AC">
      <w:pPr>
        <w:pStyle w:val="5"/>
        <w:jc w:val="left"/>
        <w:outlineLvl w:val="3"/>
      </w:pPr>
      <w:r>
        <w:rPr>
          <w:rFonts w:ascii="仿宋_GB2312" w:hAnsi="仿宋_GB2312" w:eastAsia="仿宋_GB2312" w:cs="仿宋_GB2312"/>
          <w:b/>
          <w:sz w:val="24"/>
        </w:rPr>
        <w:t>本项目涉及采购进口产品：</w:t>
      </w:r>
    </w:p>
    <w:p w14:paraId="2A291CFD">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8D9C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AE9A395">
            <w:pPr>
              <w:pStyle w:val="5"/>
              <w:jc w:val="center"/>
            </w:pPr>
            <w:r>
              <w:rPr>
                <w:rFonts w:ascii="仿宋_GB2312" w:hAnsi="仿宋_GB2312" w:eastAsia="仿宋_GB2312" w:cs="仿宋_GB2312"/>
              </w:rPr>
              <w:t>序号</w:t>
            </w:r>
          </w:p>
        </w:tc>
        <w:tc>
          <w:tcPr>
            <w:tcW w:w="2492" w:type="dxa"/>
          </w:tcPr>
          <w:p w14:paraId="3F1CD3B4">
            <w:pPr>
              <w:pStyle w:val="5"/>
              <w:jc w:val="center"/>
            </w:pPr>
            <w:r>
              <w:rPr>
                <w:rFonts w:ascii="仿宋_GB2312" w:hAnsi="仿宋_GB2312" w:eastAsia="仿宋_GB2312" w:cs="仿宋_GB2312"/>
              </w:rPr>
              <w:t>采购品目名称</w:t>
            </w:r>
          </w:p>
        </w:tc>
        <w:tc>
          <w:tcPr>
            <w:tcW w:w="2492" w:type="dxa"/>
          </w:tcPr>
          <w:p w14:paraId="233CE46A">
            <w:pPr>
              <w:pStyle w:val="5"/>
              <w:jc w:val="center"/>
            </w:pPr>
            <w:r>
              <w:rPr>
                <w:rFonts w:ascii="仿宋_GB2312" w:hAnsi="仿宋_GB2312" w:eastAsia="仿宋_GB2312" w:cs="仿宋_GB2312"/>
              </w:rPr>
              <w:t>标的名称</w:t>
            </w:r>
          </w:p>
        </w:tc>
        <w:tc>
          <w:tcPr>
            <w:tcW w:w="2492" w:type="dxa"/>
          </w:tcPr>
          <w:p w14:paraId="609EEF63">
            <w:pPr>
              <w:pStyle w:val="5"/>
              <w:jc w:val="center"/>
            </w:pPr>
            <w:r>
              <w:rPr>
                <w:rFonts w:ascii="仿宋_GB2312" w:hAnsi="仿宋_GB2312" w:eastAsia="仿宋_GB2312" w:cs="仿宋_GB2312"/>
              </w:rPr>
              <w:t>产品名称</w:t>
            </w:r>
          </w:p>
        </w:tc>
      </w:tr>
      <w:tr w14:paraId="3A787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5752759">
            <w:pPr>
              <w:pStyle w:val="5"/>
              <w:jc w:val="center"/>
            </w:pPr>
            <w:r>
              <w:rPr>
                <w:rFonts w:ascii="仿宋_GB2312" w:hAnsi="仿宋_GB2312" w:eastAsia="仿宋_GB2312" w:cs="仿宋_GB2312"/>
              </w:rPr>
              <w:t>不涉及</w:t>
            </w:r>
          </w:p>
        </w:tc>
      </w:tr>
    </w:tbl>
    <w:p w14:paraId="196C1DE5">
      <w:pPr>
        <w:pStyle w:val="5"/>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24F86AD3">
      <w:pPr>
        <w:pStyle w:val="5"/>
        <w:jc w:val="left"/>
        <w:outlineLvl w:val="3"/>
      </w:pPr>
      <w:r>
        <w:rPr>
          <w:rFonts w:ascii="仿宋_GB2312" w:hAnsi="仿宋_GB2312" w:eastAsia="仿宋_GB2312" w:cs="仿宋_GB2312"/>
          <w:b/>
          <w:sz w:val="24"/>
        </w:rPr>
        <w:t>本项目涉及强制采购节能产品：</w:t>
      </w:r>
    </w:p>
    <w:p w14:paraId="264F2F51">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34566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9EBEEE6">
            <w:pPr>
              <w:pStyle w:val="5"/>
              <w:jc w:val="center"/>
            </w:pPr>
            <w:r>
              <w:rPr>
                <w:rFonts w:ascii="仿宋_GB2312" w:hAnsi="仿宋_GB2312" w:eastAsia="仿宋_GB2312" w:cs="仿宋_GB2312"/>
              </w:rPr>
              <w:t>序号</w:t>
            </w:r>
          </w:p>
        </w:tc>
        <w:tc>
          <w:tcPr>
            <w:tcW w:w="2492" w:type="dxa"/>
          </w:tcPr>
          <w:p w14:paraId="37B9FE3B">
            <w:pPr>
              <w:pStyle w:val="5"/>
              <w:jc w:val="center"/>
            </w:pPr>
            <w:r>
              <w:rPr>
                <w:rFonts w:ascii="仿宋_GB2312" w:hAnsi="仿宋_GB2312" w:eastAsia="仿宋_GB2312" w:cs="仿宋_GB2312"/>
              </w:rPr>
              <w:t>采购品目名称</w:t>
            </w:r>
          </w:p>
        </w:tc>
        <w:tc>
          <w:tcPr>
            <w:tcW w:w="2492" w:type="dxa"/>
          </w:tcPr>
          <w:p w14:paraId="1E1956FB">
            <w:pPr>
              <w:pStyle w:val="5"/>
              <w:jc w:val="center"/>
            </w:pPr>
            <w:r>
              <w:rPr>
                <w:rFonts w:ascii="仿宋_GB2312" w:hAnsi="仿宋_GB2312" w:eastAsia="仿宋_GB2312" w:cs="仿宋_GB2312"/>
              </w:rPr>
              <w:t>标的名称</w:t>
            </w:r>
          </w:p>
        </w:tc>
        <w:tc>
          <w:tcPr>
            <w:tcW w:w="2492" w:type="dxa"/>
          </w:tcPr>
          <w:p w14:paraId="4C259874">
            <w:pPr>
              <w:pStyle w:val="5"/>
              <w:jc w:val="center"/>
            </w:pPr>
            <w:r>
              <w:rPr>
                <w:rFonts w:ascii="仿宋_GB2312" w:hAnsi="仿宋_GB2312" w:eastAsia="仿宋_GB2312" w:cs="仿宋_GB2312"/>
              </w:rPr>
              <w:t>产品名称</w:t>
            </w:r>
          </w:p>
        </w:tc>
      </w:tr>
      <w:tr w14:paraId="265B4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D1410E1">
            <w:pPr>
              <w:pStyle w:val="5"/>
              <w:jc w:val="center"/>
            </w:pPr>
            <w:r>
              <w:rPr>
                <w:rFonts w:ascii="仿宋_GB2312" w:hAnsi="仿宋_GB2312" w:eastAsia="仿宋_GB2312" w:cs="仿宋_GB2312"/>
              </w:rPr>
              <w:t>不涉及</w:t>
            </w:r>
          </w:p>
        </w:tc>
      </w:tr>
    </w:tbl>
    <w:p w14:paraId="3091272B">
      <w:pPr>
        <w:pStyle w:val="5"/>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25B3688C">
      <w:pPr>
        <w:pStyle w:val="5"/>
        <w:jc w:val="left"/>
      </w:pPr>
      <w:r>
        <w:rPr>
          <w:rFonts w:ascii="仿宋_GB2312" w:hAnsi="仿宋_GB2312" w:eastAsia="仿宋_GB2312" w:cs="仿宋_GB2312"/>
          <w:b/>
        </w:rPr>
        <w:t>本项目涉及优先采购节能产品：</w:t>
      </w:r>
    </w:p>
    <w:p w14:paraId="4F539D25">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1C711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212A608">
            <w:pPr>
              <w:pStyle w:val="5"/>
              <w:jc w:val="center"/>
            </w:pPr>
            <w:r>
              <w:rPr>
                <w:rFonts w:ascii="仿宋_GB2312" w:hAnsi="仿宋_GB2312" w:eastAsia="仿宋_GB2312" w:cs="仿宋_GB2312"/>
              </w:rPr>
              <w:t>序号</w:t>
            </w:r>
          </w:p>
        </w:tc>
        <w:tc>
          <w:tcPr>
            <w:tcW w:w="2492" w:type="dxa"/>
          </w:tcPr>
          <w:p w14:paraId="47B6E982">
            <w:pPr>
              <w:pStyle w:val="5"/>
              <w:jc w:val="center"/>
            </w:pPr>
            <w:r>
              <w:rPr>
                <w:rFonts w:ascii="仿宋_GB2312" w:hAnsi="仿宋_GB2312" w:eastAsia="仿宋_GB2312" w:cs="仿宋_GB2312"/>
              </w:rPr>
              <w:t>采购品目名称</w:t>
            </w:r>
          </w:p>
        </w:tc>
        <w:tc>
          <w:tcPr>
            <w:tcW w:w="2492" w:type="dxa"/>
          </w:tcPr>
          <w:p w14:paraId="0B6AA403">
            <w:pPr>
              <w:pStyle w:val="5"/>
              <w:jc w:val="center"/>
            </w:pPr>
            <w:r>
              <w:rPr>
                <w:rFonts w:ascii="仿宋_GB2312" w:hAnsi="仿宋_GB2312" w:eastAsia="仿宋_GB2312" w:cs="仿宋_GB2312"/>
              </w:rPr>
              <w:t>标的名称</w:t>
            </w:r>
          </w:p>
        </w:tc>
        <w:tc>
          <w:tcPr>
            <w:tcW w:w="2492" w:type="dxa"/>
          </w:tcPr>
          <w:p w14:paraId="7F6492F9">
            <w:pPr>
              <w:pStyle w:val="5"/>
              <w:jc w:val="center"/>
            </w:pPr>
            <w:r>
              <w:rPr>
                <w:rFonts w:ascii="仿宋_GB2312" w:hAnsi="仿宋_GB2312" w:eastAsia="仿宋_GB2312" w:cs="仿宋_GB2312"/>
              </w:rPr>
              <w:t>产品名称</w:t>
            </w:r>
          </w:p>
        </w:tc>
      </w:tr>
      <w:tr w14:paraId="0EB9D1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6438261">
            <w:pPr>
              <w:pStyle w:val="5"/>
              <w:jc w:val="center"/>
            </w:pPr>
            <w:r>
              <w:rPr>
                <w:rFonts w:ascii="仿宋_GB2312" w:hAnsi="仿宋_GB2312" w:eastAsia="仿宋_GB2312" w:cs="仿宋_GB2312"/>
              </w:rPr>
              <w:t>不涉及</w:t>
            </w:r>
          </w:p>
        </w:tc>
      </w:tr>
    </w:tbl>
    <w:p w14:paraId="54B83EE0">
      <w:pPr>
        <w:pStyle w:val="5"/>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0D7B7978">
      <w:pPr>
        <w:pStyle w:val="5"/>
        <w:jc w:val="left"/>
        <w:outlineLvl w:val="3"/>
      </w:pPr>
      <w:r>
        <w:rPr>
          <w:rFonts w:ascii="仿宋_GB2312" w:hAnsi="仿宋_GB2312" w:eastAsia="仿宋_GB2312" w:cs="仿宋_GB2312"/>
          <w:b/>
          <w:sz w:val="24"/>
        </w:rPr>
        <w:t>本项目涉及优先采购环境标志产品：</w:t>
      </w:r>
    </w:p>
    <w:p w14:paraId="21EFC5CC">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9758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C85CBB9">
            <w:pPr>
              <w:pStyle w:val="5"/>
              <w:jc w:val="center"/>
            </w:pPr>
            <w:r>
              <w:rPr>
                <w:rFonts w:ascii="仿宋_GB2312" w:hAnsi="仿宋_GB2312" w:eastAsia="仿宋_GB2312" w:cs="仿宋_GB2312"/>
              </w:rPr>
              <w:t>序号</w:t>
            </w:r>
          </w:p>
        </w:tc>
        <w:tc>
          <w:tcPr>
            <w:tcW w:w="2492" w:type="dxa"/>
          </w:tcPr>
          <w:p w14:paraId="75585F61">
            <w:pPr>
              <w:pStyle w:val="5"/>
              <w:jc w:val="center"/>
            </w:pPr>
            <w:r>
              <w:rPr>
                <w:rFonts w:ascii="仿宋_GB2312" w:hAnsi="仿宋_GB2312" w:eastAsia="仿宋_GB2312" w:cs="仿宋_GB2312"/>
              </w:rPr>
              <w:t>采购品目名称</w:t>
            </w:r>
          </w:p>
        </w:tc>
        <w:tc>
          <w:tcPr>
            <w:tcW w:w="2492" w:type="dxa"/>
          </w:tcPr>
          <w:p w14:paraId="41655B56">
            <w:pPr>
              <w:pStyle w:val="5"/>
              <w:jc w:val="center"/>
            </w:pPr>
            <w:r>
              <w:rPr>
                <w:rFonts w:ascii="仿宋_GB2312" w:hAnsi="仿宋_GB2312" w:eastAsia="仿宋_GB2312" w:cs="仿宋_GB2312"/>
              </w:rPr>
              <w:t>标的名称</w:t>
            </w:r>
          </w:p>
        </w:tc>
        <w:tc>
          <w:tcPr>
            <w:tcW w:w="2492" w:type="dxa"/>
          </w:tcPr>
          <w:p w14:paraId="06421D14">
            <w:pPr>
              <w:pStyle w:val="5"/>
              <w:jc w:val="center"/>
            </w:pPr>
            <w:r>
              <w:rPr>
                <w:rFonts w:ascii="仿宋_GB2312" w:hAnsi="仿宋_GB2312" w:eastAsia="仿宋_GB2312" w:cs="仿宋_GB2312"/>
              </w:rPr>
              <w:t>产品名称</w:t>
            </w:r>
          </w:p>
        </w:tc>
      </w:tr>
      <w:tr w14:paraId="46A76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64E7640">
            <w:pPr>
              <w:pStyle w:val="5"/>
              <w:jc w:val="center"/>
            </w:pPr>
            <w:r>
              <w:rPr>
                <w:rFonts w:ascii="仿宋_GB2312" w:hAnsi="仿宋_GB2312" w:eastAsia="仿宋_GB2312" w:cs="仿宋_GB2312"/>
              </w:rPr>
              <w:t>不涉及</w:t>
            </w:r>
          </w:p>
        </w:tc>
      </w:tr>
    </w:tbl>
    <w:p w14:paraId="692ACED4">
      <w:pPr>
        <w:pStyle w:val="5"/>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01AF7A6C">
      <w:pPr>
        <w:pStyle w:val="5"/>
        <w:jc w:val="left"/>
        <w:outlineLvl w:val="2"/>
      </w:pPr>
      <w:r>
        <w:rPr>
          <w:rFonts w:ascii="仿宋_GB2312" w:hAnsi="仿宋_GB2312" w:eastAsia="仿宋_GB2312" w:cs="仿宋_GB2312"/>
          <w:b/>
          <w:sz w:val="28"/>
        </w:rPr>
        <w:t>3.2.技术要求</w:t>
      </w:r>
    </w:p>
    <w:p w14:paraId="242342CB">
      <w:pPr>
        <w:pStyle w:val="5"/>
        <w:jc w:val="left"/>
      </w:pPr>
      <w:r>
        <w:rPr>
          <w:rFonts w:ascii="仿宋_GB2312" w:hAnsi="仿宋_GB2312" w:eastAsia="仿宋_GB2312" w:cs="仿宋_GB2312"/>
        </w:rPr>
        <w:t>采购包1：</w:t>
      </w:r>
    </w:p>
    <w:p w14:paraId="5D925FB7">
      <w:pPr>
        <w:pStyle w:val="5"/>
        <w:jc w:val="left"/>
      </w:pPr>
      <w:r>
        <w:rPr>
          <w:rFonts w:ascii="仿宋_GB2312" w:hAnsi="仿宋_GB2312" w:eastAsia="仿宋_GB2312" w:cs="仿宋_GB2312"/>
        </w:rPr>
        <w:t>标的名称：新津区2024年度规划实施体检（2025年新规）服务</w:t>
      </w:r>
    </w:p>
    <w:tbl>
      <w:tblPr>
        <w:tblStyle w:val="3"/>
        <w:tblW w:w="923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6740"/>
      </w:tblGrid>
      <w:tr w14:paraId="6D1BE3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6" w:type="dxa"/>
          </w:tcPr>
          <w:p w14:paraId="73B8F8C9">
            <w:pPr>
              <w:pStyle w:val="5"/>
              <w:jc w:val="center"/>
            </w:pPr>
            <w:r>
              <w:rPr>
                <w:rFonts w:ascii="仿宋_GB2312" w:hAnsi="仿宋_GB2312" w:eastAsia="仿宋_GB2312" w:cs="仿宋_GB2312"/>
              </w:rPr>
              <w:t>序号</w:t>
            </w:r>
          </w:p>
        </w:tc>
        <w:tc>
          <w:tcPr>
            <w:tcW w:w="581" w:type="dxa"/>
          </w:tcPr>
          <w:p w14:paraId="771CA0DD">
            <w:pPr>
              <w:pStyle w:val="5"/>
              <w:jc w:val="center"/>
            </w:pPr>
            <w:r>
              <w:rPr>
                <w:rFonts w:ascii="仿宋_GB2312" w:hAnsi="仿宋_GB2312" w:eastAsia="仿宋_GB2312" w:cs="仿宋_GB2312"/>
              </w:rPr>
              <w:t>符号标识</w:t>
            </w:r>
          </w:p>
        </w:tc>
        <w:tc>
          <w:tcPr>
            <w:tcW w:w="1495" w:type="dxa"/>
          </w:tcPr>
          <w:p w14:paraId="4053122D">
            <w:pPr>
              <w:pStyle w:val="5"/>
              <w:jc w:val="center"/>
            </w:pPr>
            <w:r>
              <w:rPr>
                <w:rFonts w:ascii="仿宋_GB2312" w:hAnsi="仿宋_GB2312" w:eastAsia="仿宋_GB2312" w:cs="仿宋_GB2312"/>
              </w:rPr>
              <w:t>技术要求名称</w:t>
            </w:r>
          </w:p>
        </w:tc>
        <w:tc>
          <w:tcPr>
            <w:tcW w:w="6740" w:type="dxa"/>
          </w:tcPr>
          <w:p w14:paraId="7177A16A">
            <w:pPr>
              <w:pStyle w:val="5"/>
              <w:jc w:val="center"/>
              <w:rPr>
                <w:sz w:val="20"/>
                <w:szCs w:val="20"/>
              </w:rPr>
            </w:pPr>
            <w:r>
              <w:rPr>
                <w:rFonts w:ascii="仿宋_GB2312" w:hAnsi="仿宋_GB2312" w:eastAsia="仿宋_GB2312" w:cs="仿宋_GB2312"/>
                <w:sz w:val="20"/>
                <w:szCs w:val="20"/>
              </w:rPr>
              <w:t>技术参数与性能指标</w:t>
            </w:r>
          </w:p>
        </w:tc>
      </w:tr>
      <w:tr w14:paraId="3370E6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6" w:type="dxa"/>
          </w:tcPr>
          <w:p w14:paraId="5898B60C">
            <w:pPr>
              <w:pStyle w:val="5"/>
              <w:jc w:val="center"/>
            </w:pPr>
            <w:r>
              <w:rPr>
                <w:rFonts w:ascii="仿宋_GB2312" w:hAnsi="仿宋_GB2312" w:eastAsia="仿宋_GB2312" w:cs="仿宋_GB2312"/>
              </w:rPr>
              <w:t>1</w:t>
            </w:r>
          </w:p>
        </w:tc>
        <w:tc>
          <w:tcPr>
            <w:tcW w:w="581" w:type="dxa"/>
          </w:tcPr>
          <w:p w14:paraId="1DE61416">
            <w:pPr>
              <w:pStyle w:val="5"/>
              <w:jc w:val="center"/>
            </w:pPr>
            <w:r>
              <w:rPr>
                <w:rFonts w:ascii="仿宋_GB2312" w:hAnsi="仿宋_GB2312" w:eastAsia="仿宋_GB2312" w:cs="仿宋_GB2312"/>
              </w:rPr>
              <w:t>★</w:t>
            </w:r>
          </w:p>
        </w:tc>
        <w:tc>
          <w:tcPr>
            <w:tcW w:w="1495" w:type="dxa"/>
          </w:tcPr>
          <w:p w14:paraId="6FAD07C9">
            <w:pPr>
              <w:pStyle w:val="5"/>
              <w:jc w:val="left"/>
            </w:pPr>
            <w:r>
              <w:rPr>
                <w:rFonts w:ascii="仿宋_GB2312" w:hAnsi="仿宋_GB2312" w:eastAsia="仿宋_GB2312" w:cs="仿宋_GB2312"/>
              </w:rPr>
              <w:t>服务范围</w:t>
            </w:r>
          </w:p>
        </w:tc>
        <w:tc>
          <w:tcPr>
            <w:tcW w:w="6740" w:type="dxa"/>
          </w:tcPr>
          <w:p w14:paraId="7961F9FE">
            <w:pPr>
              <w:pStyle w:val="5"/>
              <w:jc w:val="both"/>
              <w:rPr>
                <w:sz w:val="20"/>
                <w:szCs w:val="20"/>
              </w:rPr>
            </w:pPr>
            <w:r>
              <w:rPr>
                <w:rFonts w:ascii="仿宋_GB2312" w:hAnsi="仿宋_GB2312" w:eastAsia="仿宋_GB2312" w:cs="仿宋_GB2312"/>
                <w:sz w:val="20"/>
                <w:szCs w:val="20"/>
              </w:rPr>
              <w:t>工作范围为新津区全域，总面积为329.03平方千米。</w:t>
            </w:r>
          </w:p>
        </w:tc>
      </w:tr>
      <w:tr w14:paraId="51E4E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6" w:type="dxa"/>
          </w:tcPr>
          <w:p w14:paraId="5CC711F9">
            <w:pPr>
              <w:pStyle w:val="5"/>
              <w:jc w:val="center"/>
            </w:pPr>
            <w:r>
              <w:rPr>
                <w:rFonts w:ascii="仿宋_GB2312" w:hAnsi="仿宋_GB2312" w:eastAsia="仿宋_GB2312" w:cs="仿宋_GB2312"/>
              </w:rPr>
              <w:t>2</w:t>
            </w:r>
          </w:p>
        </w:tc>
        <w:tc>
          <w:tcPr>
            <w:tcW w:w="581" w:type="dxa"/>
          </w:tcPr>
          <w:p w14:paraId="47F9E717">
            <w:pPr>
              <w:pStyle w:val="5"/>
              <w:jc w:val="center"/>
            </w:pPr>
            <w:r>
              <w:rPr>
                <w:rFonts w:ascii="仿宋_GB2312" w:hAnsi="仿宋_GB2312" w:eastAsia="仿宋_GB2312" w:cs="仿宋_GB2312"/>
              </w:rPr>
              <w:t>★</w:t>
            </w:r>
          </w:p>
        </w:tc>
        <w:tc>
          <w:tcPr>
            <w:tcW w:w="1495" w:type="dxa"/>
          </w:tcPr>
          <w:p w14:paraId="78870F0D">
            <w:pPr>
              <w:pStyle w:val="5"/>
              <w:jc w:val="left"/>
            </w:pPr>
            <w:r>
              <w:rPr>
                <w:rFonts w:ascii="仿宋_GB2312" w:hAnsi="仿宋_GB2312" w:eastAsia="仿宋_GB2312" w:cs="仿宋_GB2312"/>
              </w:rPr>
              <w:t>服务要求</w:t>
            </w:r>
          </w:p>
        </w:tc>
        <w:tc>
          <w:tcPr>
            <w:tcW w:w="6740" w:type="dxa"/>
          </w:tcPr>
          <w:p w14:paraId="10CD05D5">
            <w:pPr>
              <w:pStyle w:val="5"/>
              <w:ind w:firstLine="640"/>
              <w:jc w:val="left"/>
              <w:rPr>
                <w:sz w:val="20"/>
                <w:szCs w:val="20"/>
              </w:rPr>
            </w:pPr>
            <w:r>
              <w:rPr>
                <w:rFonts w:ascii="仿宋_GB2312" w:hAnsi="仿宋_GB2312" w:eastAsia="仿宋_GB2312" w:cs="仿宋_GB2312"/>
                <w:sz w:val="20"/>
                <w:szCs w:val="20"/>
              </w:rPr>
              <w:t>依照自然资源部关于开展城市体检评估以及《国土空间规划城市体检评估规程（2025年修订版）》的相关要求明确本次工作服务内容。</w:t>
            </w:r>
          </w:p>
          <w:p w14:paraId="6AF38EE5">
            <w:pPr>
              <w:pStyle w:val="5"/>
              <w:ind w:firstLine="640"/>
              <w:jc w:val="left"/>
              <w:rPr>
                <w:sz w:val="20"/>
                <w:szCs w:val="20"/>
              </w:rPr>
            </w:pPr>
            <w:r>
              <w:rPr>
                <w:rFonts w:ascii="仿宋_GB2312" w:hAnsi="仿宋_GB2312" w:eastAsia="仿宋_GB2312" w:cs="仿宋_GB2312"/>
                <w:sz w:val="20"/>
                <w:szCs w:val="20"/>
              </w:rPr>
              <w:t>总体上要求围绕战略定位、底线管控、规模结构、空间布局、支撑体系、实施保障等六个方面的评估内容，采取全局数据与典型案例结合、纵向比较与横向比较结合、客观评估与主观评价结合等分析方法，对各项指标现状年与基期年、目标年或未来预期进行比照，分析规划实施率等进展情况。同时结合政府重点工作实施情况、自然资源保护和开发利用、相关政策执行和实施效果、外部发展环境及对规划实施影响等，开展成效、问题、原因及对策分析。并基于六个方面的内容分析，聚焦年度规划实施中的关键变量和核心任务，总结当年城市运行和规划实施中存在的问题和难点，从年度实施计划、规划应对措施、配套政策机制等方面有针对性地提出建议。</w:t>
            </w:r>
          </w:p>
          <w:p w14:paraId="69CE2D3F">
            <w:pPr>
              <w:pStyle w:val="5"/>
              <w:ind w:firstLine="640"/>
              <w:jc w:val="left"/>
              <w:rPr>
                <w:sz w:val="20"/>
                <w:szCs w:val="20"/>
              </w:rPr>
            </w:pPr>
            <w:r>
              <w:rPr>
                <w:rFonts w:ascii="仿宋_GB2312" w:hAnsi="仿宋_GB2312" w:eastAsia="仿宋_GB2312" w:cs="仿宋_GB2312"/>
                <w:sz w:val="20"/>
                <w:szCs w:val="20"/>
              </w:rPr>
              <w:t>（1）战略定位</w:t>
            </w:r>
          </w:p>
          <w:p w14:paraId="354EB95D">
            <w:pPr>
              <w:pStyle w:val="5"/>
              <w:ind w:firstLine="640"/>
              <w:jc w:val="left"/>
              <w:rPr>
                <w:sz w:val="20"/>
                <w:szCs w:val="20"/>
              </w:rPr>
            </w:pPr>
            <w:r>
              <w:rPr>
                <w:rFonts w:ascii="仿宋_GB2312" w:hAnsi="仿宋_GB2312" w:eastAsia="仿宋_GB2312" w:cs="仿宋_GB2312"/>
                <w:sz w:val="20"/>
                <w:szCs w:val="20"/>
              </w:rPr>
              <w:t>分析实施国家和区域重大战略、落实城市发展目标、强化城市主要职能、优化调整城市功能等方面的成效及问题。分析区域协调发展战略、区域重大战略、主体功能区战略的叠加效应对城市发展的带动效果，以及部分城市在保障国家战略腹地和关键产业备份中的工作成效。</w:t>
            </w:r>
          </w:p>
          <w:p w14:paraId="36225870">
            <w:pPr>
              <w:pStyle w:val="5"/>
              <w:ind w:firstLine="640"/>
              <w:jc w:val="left"/>
              <w:rPr>
                <w:sz w:val="20"/>
                <w:szCs w:val="20"/>
              </w:rPr>
            </w:pPr>
            <w:r>
              <w:rPr>
                <w:rFonts w:ascii="仿宋_GB2312" w:hAnsi="仿宋_GB2312" w:eastAsia="仿宋_GB2312" w:cs="仿宋_GB2312"/>
                <w:sz w:val="20"/>
                <w:szCs w:val="20"/>
              </w:rPr>
              <w:t>（2）底线管控</w:t>
            </w:r>
          </w:p>
          <w:p w14:paraId="11836656">
            <w:pPr>
              <w:pStyle w:val="5"/>
              <w:ind w:firstLine="640"/>
              <w:jc w:val="left"/>
              <w:rPr>
                <w:sz w:val="20"/>
                <w:szCs w:val="20"/>
              </w:rPr>
            </w:pPr>
            <w:r>
              <w:rPr>
                <w:rFonts w:ascii="仿宋_GB2312" w:hAnsi="仿宋_GB2312" w:eastAsia="仿宋_GB2312" w:cs="仿宋_GB2312"/>
                <w:sz w:val="20"/>
                <w:szCs w:val="20"/>
              </w:rPr>
              <w:t>分析耕地和永久基本农田、生态保护红线、城镇开发边界、洪涝灾害、地质灾害、历史文化遗产保护等底线管控，以及全域约束性自然资源保护（包含山水林田湖草沙海全要素）目标落实等方面的成效及问题。分析耕地、林地、草地、园地空间管控存在冲突的区域、情形及数量，以及其他在国土空间安排上的矛盾冲突，将矛盾冲突图斑等信息纳入国土空间规划“一张图”实施监督信息系统。分析“三区三线”需要优化的区域、情形及理由，作为局部正向优化的依据。</w:t>
            </w:r>
          </w:p>
          <w:p w14:paraId="3D9BB1CF">
            <w:pPr>
              <w:pStyle w:val="5"/>
              <w:ind w:firstLine="640"/>
              <w:jc w:val="left"/>
              <w:rPr>
                <w:sz w:val="20"/>
                <w:szCs w:val="20"/>
              </w:rPr>
            </w:pPr>
            <w:r>
              <w:rPr>
                <w:rFonts w:ascii="仿宋_GB2312" w:hAnsi="仿宋_GB2312" w:eastAsia="仿宋_GB2312" w:cs="仿宋_GB2312"/>
                <w:sz w:val="20"/>
                <w:szCs w:val="20"/>
              </w:rPr>
              <w:t>（3）规模结构</w:t>
            </w:r>
          </w:p>
          <w:p w14:paraId="52288277">
            <w:pPr>
              <w:pStyle w:val="5"/>
              <w:ind w:firstLine="640"/>
              <w:jc w:val="left"/>
              <w:rPr>
                <w:sz w:val="20"/>
                <w:szCs w:val="20"/>
              </w:rPr>
            </w:pPr>
            <w:r>
              <w:rPr>
                <w:rFonts w:ascii="仿宋_GB2312" w:hAnsi="仿宋_GB2312" w:eastAsia="仿宋_GB2312" w:cs="仿宋_GB2312"/>
                <w:sz w:val="20"/>
                <w:szCs w:val="20"/>
              </w:rPr>
              <w:t>分析优化人口、就业、用地和建筑的规模、结构和布局，提升土地使用效益，推进城市更新等工作的成效及问题。丰富细化体检评估内容，对存量土地规模、结构、效益，商办空置情况等进行分析，对照城市国土空间总体规划确定的空间结构和空间布局优化目标，明确存量空间盘活利用的要求和潜力。</w:t>
            </w:r>
          </w:p>
          <w:p w14:paraId="2EBB9C64">
            <w:pPr>
              <w:pStyle w:val="5"/>
              <w:ind w:firstLine="640"/>
              <w:jc w:val="left"/>
              <w:rPr>
                <w:sz w:val="20"/>
                <w:szCs w:val="20"/>
              </w:rPr>
            </w:pPr>
            <w:r>
              <w:rPr>
                <w:rFonts w:ascii="仿宋_GB2312" w:hAnsi="仿宋_GB2312" w:eastAsia="仿宋_GB2312" w:cs="仿宋_GB2312"/>
                <w:sz w:val="20"/>
                <w:szCs w:val="20"/>
              </w:rPr>
              <w:t>（4）空间布局</w:t>
            </w:r>
          </w:p>
          <w:p w14:paraId="37F7C63B">
            <w:pPr>
              <w:pStyle w:val="5"/>
              <w:ind w:firstLine="640"/>
              <w:jc w:val="left"/>
              <w:rPr>
                <w:sz w:val="20"/>
                <w:szCs w:val="20"/>
              </w:rPr>
            </w:pPr>
            <w:r>
              <w:rPr>
                <w:rFonts w:ascii="仿宋_GB2312" w:hAnsi="仿宋_GB2312" w:eastAsia="仿宋_GB2312" w:cs="仿宋_GB2312"/>
                <w:sz w:val="20"/>
                <w:szCs w:val="20"/>
              </w:rPr>
              <w:t>分析区域协同、城乡统筹、产城融合、分区发展、重点和薄弱地区建设等空间优化调整方面的成效及问题。对城市空间支撑发展新质生产力、提振消费、促进文化旅游业发展、提高生态产品价值等重点工作进行分析评估。</w:t>
            </w:r>
          </w:p>
          <w:p w14:paraId="7FB36A65">
            <w:pPr>
              <w:pStyle w:val="5"/>
              <w:ind w:firstLine="640"/>
              <w:jc w:val="left"/>
              <w:rPr>
                <w:sz w:val="20"/>
                <w:szCs w:val="20"/>
              </w:rPr>
            </w:pPr>
            <w:r>
              <w:rPr>
                <w:rFonts w:ascii="仿宋_GB2312" w:hAnsi="仿宋_GB2312" w:eastAsia="仿宋_GB2312" w:cs="仿宋_GB2312"/>
                <w:sz w:val="20"/>
                <w:szCs w:val="20"/>
              </w:rPr>
              <w:t>（5）支撑体系</w:t>
            </w:r>
          </w:p>
          <w:p w14:paraId="4FABFC1E">
            <w:pPr>
              <w:pStyle w:val="5"/>
              <w:ind w:firstLine="640"/>
              <w:jc w:val="left"/>
              <w:rPr>
                <w:sz w:val="20"/>
                <w:szCs w:val="20"/>
              </w:rPr>
            </w:pPr>
            <w:r>
              <w:rPr>
                <w:rFonts w:ascii="仿宋_GB2312" w:hAnsi="仿宋_GB2312" w:eastAsia="仿宋_GB2312" w:cs="仿宋_GB2312"/>
                <w:sz w:val="20"/>
                <w:szCs w:val="20"/>
              </w:rPr>
              <w:t>分析生态环境、住房保障、公共服务、综合交通、市政公用设施、城市安全韧性、城市空间品质、城市设计等方面的成效及问题。结合城市治理重点，对老旧燃气管网改造进度及管道安全距离控制、电动自行车停车场所空间保障、建筑垃圾处置场地设施空间保障等重点任务推进情况进行分析评估。</w:t>
            </w:r>
          </w:p>
          <w:p w14:paraId="0416A4BF">
            <w:pPr>
              <w:pStyle w:val="5"/>
              <w:ind w:firstLine="640"/>
              <w:jc w:val="left"/>
              <w:rPr>
                <w:sz w:val="20"/>
                <w:szCs w:val="20"/>
              </w:rPr>
            </w:pPr>
            <w:r>
              <w:rPr>
                <w:rFonts w:ascii="仿宋_GB2312" w:hAnsi="仿宋_GB2312" w:eastAsia="仿宋_GB2312" w:cs="仿宋_GB2312"/>
                <w:sz w:val="20"/>
                <w:szCs w:val="20"/>
              </w:rPr>
              <w:t>（6）实施保障</w:t>
            </w:r>
          </w:p>
          <w:p w14:paraId="54A32B20">
            <w:pPr>
              <w:pStyle w:val="5"/>
              <w:jc w:val="both"/>
              <w:rPr>
                <w:sz w:val="20"/>
                <w:szCs w:val="20"/>
              </w:rPr>
            </w:pPr>
            <w:r>
              <w:rPr>
                <w:rFonts w:ascii="仿宋_GB2312" w:hAnsi="仿宋_GB2312" w:eastAsia="仿宋_GB2312" w:cs="仿宋_GB2312"/>
                <w:sz w:val="20"/>
                <w:szCs w:val="20"/>
              </w:rPr>
              <w:t xml:space="preserve">  分析实施总体规划所开展的行动计划、执法督察、政策机制保障、信息化平台建设，以及落实总体规划的详细规划、相关专项规划及总体规划的编制、实施等方面的成效及问题。</w:t>
            </w:r>
          </w:p>
        </w:tc>
      </w:tr>
      <w:tr w14:paraId="692AC6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6" w:type="dxa"/>
          </w:tcPr>
          <w:p w14:paraId="5236AC0D">
            <w:pPr>
              <w:pStyle w:val="5"/>
              <w:jc w:val="center"/>
            </w:pPr>
            <w:r>
              <w:rPr>
                <w:rFonts w:ascii="仿宋_GB2312" w:hAnsi="仿宋_GB2312" w:eastAsia="仿宋_GB2312" w:cs="仿宋_GB2312"/>
              </w:rPr>
              <w:t>3</w:t>
            </w:r>
          </w:p>
        </w:tc>
        <w:tc>
          <w:tcPr>
            <w:tcW w:w="581" w:type="dxa"/>
          </w:tcPr>
          <w:p w14:paraId="4FF707B5">
            <w:pPr>
              <w:pStyle w:val="5"/>
              <w:jc w:val="center"/>
            </w:pPr>
            <w:r>
              <w:rPr>
                <w:rFonts w:ascii="仿宋_GB2312" w:hAnsi="仿宋_GB2312" w:eastAsia="仿宋_GB2312" w:cs="仿宋_GB2312"/>
              </w:rPr>
              <w:t>★</w:t>
            </w:r>
          </w:p>
        </w:tc>
        <w:tc>
          <w:tcPr>
            <w:tcW w:w="1495" w:type="dxa"/>
          </w:tcPr>
          <w:p w14:paraId="516DAB06">
            <w:pPr>
              <w:pStyle w:val="5"/>
              <w:jc w:val="left"/>
            </w:pPr>
            <w:r>
              <w:rPr>
                <w:rFonts w:ascii="仿宋_GB2312" w:hAnsi="仿宋_GB2312" w:eastAsia="仿宋_GB2312" w:cs="仿宋_GB2312"/>
              </w:rPr>
              <w:t>成果要求</w:t>
            </w:r>
          </w:p>
        </w:tc>
        <w:tc>
          <w:tcPr>
            <w:tcW w:w="6740" w:type="dxa"/>
          </w:tcPr>
          <w:p w14:paraId="546B1F9B">
            <w:pPr>
              <w:pStyle w:val="5"/>
              <w:ind w:firstLine="420"/>
              <w:jc w:val="left"/>
              <w:rPr>
                <w:sz w:val="20"/>
                <w:szCs w:val="20"/>
              </w:rPr>
            </w:pPr>
            <w:r>
              <w:rPr>
                <w:rFonts w:ascii="仿宋_GB2312" w:hAnsi="仿宋_GB2312" w:eastAsia="仿宋_GB2312" w:cs="仿宋_GB2312"/>
                <w:sz w:val="20"/>
                <w:szCs w:val="20"/>
              </w:rPr>
              <w:t>（1）成果内容：年度体检报告主要包括总体结论，规划实施成效、存在问题及原因分析，对策建议等。体检成果要对上一年体检发现问题的整改情况进行说明。附件包括城市体检指标表（必选项）、年度重点任务完成清单（自选项）、年度规划实施分析图（必选项）、年度专题评价报告（自选项）、年度规划实施社会满意度评价报告（自选项）、年度体检基础数据库建设情况说明（必选项）等，成果内容按照《国土空间规划城市体检评估规程（2025年修订版）》要求编制。</w:t>
            </w:r>
          </w:p>
          <w:p w14:paraId="73F6B7D5">
            <w:pPr>
              <w:pStyle w:val="5"/>
              <w:ind w:firstLine="420"/>
              <w:jc w:val="both"/>
              <w:rPr>
                <w:sz w:val="20"/>
                <w:szCs w:val="20"/>
              </w:rPr>
            </w:pPr>
            <w:r>
              <w:rPr>
                <w:rFonts w:ascii="仿宋_GB2312" w:hAnsi="仿宋_GB2312" w:eastAsia="仿宋_GB2312" w:cs="仿宋_GB2312"/>
                <w:sz w:val="20"/>
                <w:szCs w:val="20"/>
              </w:rPr>
              <w:t>（2）交付形式：纸质评估报告及附件一式四份，评估报告及附件刻录光盘两张。</w:t>
            </w:r>
          </w:p>
        </w:tc>
      </w:tr>
      <w:tr w14:paraId="40A63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6" w:type="dxa"/>
          </w:tcPr>
          <w:p w14:paraId="70F00768">
            <w:pPr>
              <w:pStyle w:val="5"/>
              <w:jc w:val="center"/>
            </w:pPr>
            <w:r>
              <w:rPr>
                <w:rFonts w:ascii="仿宋_GB2312" w:hAnsi="仿宋_GB2312" w:eastAsia="仿宋_GB2312" w:cs="仿宋_GB2312"/>
              </w:rPr>
              <w:t>4</w:t>
            </w:r>
          </w:p>
        </w:tc>
        <w:tc>
          <w:tcPr>
            <w:tcW w:w="581" w:type="dxa"/>
          </w:tcPr>
          <w:p w14:paraId="5BAAE775">
            <w:pPr>
              <w:pStyle w:val="5"/>
              <w:jc w:val="center"/>
            </w:pPr>
            <w:r>
              <w:rPr>
                <w:rFonts w:ascii="仿宋_GB2312" w:hAnsi="仿宋_GB2312" w:eastAsia="仿宋_GB2312" w:cs="仿宋_GB2312"/>
              </w:rPr>
              <w:t>★</w:t>
            </w:r>
          </w:p>
        </w:tc>
        <w:tc>
          <w:tcPr>
            <w:tcW w:w="1495" w:type="dxa"/>
          </w:tcPr>
          <w:p w14:paraId="2DB67B05">
            <w:pPr>
              <w:pStyle w:val="5"/>
              <w:jc w:val="left"/>
            </w:pPr>
            <w:r>
              <w:rPr>
                <w:rFonts w:ascii="仿宋_GB2312" w:hAnsi="仿宋_GB2312" w:eastAsia="仿宋_GB2312" w:cs="仿宋_GB2312"/>
              </w:rPr>
              <w:t>保密要求</w:t>
            </w:r>
          </w:p>
        </w:tc>
        <w:tc>
          <w:tcPr>
            <w:tcW w:w="6740" w:type="dxa"/>
          </w:tcPr>
          <w:p w14:paraId="52594107">
            <w:pPr>
              <w:pStyle w:val="5"/>
              <w:jc w:val="both"/>
              <w:rPr>
                <w:sz w:val="20"/>
                <w:szCs w:val="20"/>
              </w:rPr>
            </w:pPr>
            <w:r>
              <w:rPr>
                <w:rFonts w:ascii="仿宋_GB2312" w:hAnsi="仿宋_GB2312" w:eastAsia="仿宋_GB2312" w:cs="仿宋_GB2312"/>
                <w:sz w:val="20"/>
                <w:szCs w:val="20"/>
              </w:rPr>
              <w:t>在服务期限，采购人提供的基础资料、商业秘密、尚未公开的保密信息以及服务成果内容中标人负有保密义务，严格按照国家有关保密规定，中标人应认真做好涉密数据及载体等的管控，防止出现遗失泄密问题，禁止向任何第三方泄露。</w:t>
            </w:r>
          </w:p>
        </w:tc>
      </w:tr>
    </w:tbl>
    <w:p w14:paraId="49B27A42">
      <w:pPr>
        <w:pStyle w:val="5"/>
        <w:jc w:val="left"/>
        <w:outlineLvl w:val="2"/>
      </w:pPr>
      <w:r>
        <w:rPr>
          <w:rFonts w:ascii="仿宋_GB2312" w:hAnsi="仿宋_GB2312" w:eastAsia="仿宋_GB2312" w:cs="仿宋_GB2312"/>
          <w:b/>
          <w:sz w:val="28"/>
        </w:rPr>
        <w:t>3.3.服务要求</w:t>
      </w:r>
    </w:p>
    <w:p w14:paraId="3376DDE9">
      <w:pPr>
        <w:pStyle w:val="5"/>
        <w:jc w:val="left"/>
        <w:outlineLvl w:val="3"/>
      </w:pPr>
      <w:r>
        <w:rPr>
          <w:rFonts w:ascii="仿宋_GB2312" w:hAnsi="仿宋_GB2312" w:eastAsia="仿宋_GB2312" w:cs="仿宋_GB2312"/>
          <w:b/>
          <w:sz w:val="24"/>
        </w:rPr>
        <w:t>3.3.1.服务内容要求</w:t>
      </w:r>
    </w:p>
    <w:p w14:paraId="6FC6BFA3">
      <w:pPr>
        <w:pStyle w:val="5"/>
        <w:jc w:val="left"/>
      </w:pPr>
      <w:r>
        <w:rPr>
          <w:rFonts w:ascii="仿宋_GB2312" w:hAnsi="仿宋_GB2312" w:eastAsia="仿宋_GB2312" w:cs="仿宋_GB2312"/>
        </w:rPr>
        <w:t>采购包1：</w:t>
      </w:r>
    </w:p>
    <w:tbl>
      <w:tblPr>
        <w:tblStyle w:val="3"/>
        <w:tblW w:w="917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6682"/>
      </w:tblGrid>
      <w:tr w14:paraId="213DB0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6" w:type="dxa"/>
          </w:tcPr>
          <w:p w14:paraId="2A3976C4">
            <w:pPr>
              <w:pStyle w:val="5"/>
              <w:jc w:val="center"/>
            </w:pPr>
            <w:r>
              <w:rPr>
                <w:rFonts w:ascii="仿宋_GB2312" w:hAnsi="仿宋_GB2312" w:eastAsia="仿宋_GB2312" w:cs="仿宋_GB2312"/>
              </w:rPr>
              <w:t xml:space="preserve"> 序号</w:t>
            </w:r>
          </w:p>
        </w:tc>
        <w:tc>
          <w:tcPr>
            <w:tcW w:w="581" w:type="dxa"/>
          </w:tcPr>
          <w:p w14:paraId="0F98F73A">
            <w:pPr>
              <w:pStyle w:val="5"/>
              <w:jc w:val="center"/>
            </w:pPr>
            <w:r>
              <w:rPr>
                <w:rFonts w:ascii="仿宋_GB2312" w:hAnsi="仿宋_GB2312" w:eastAsia="仿宋_GB2312" w:cs="仿宋_GB2312"/>
              </w:rPr>
              <w:t xml:space="preserve"> 符号标识</w:t>
            </w:r>
          </w:p>
        </w:tc>
        <w:tc>
          <w:tcPr>
            <w:tcW w:w="1495" w:type="dxa"/>
          </w:tcPr>
          <w:p w14:paraId="4E27EAED">
            <w:pPr>
              <w:pStyle w:val="5"/>
              <w:jc w:val="center"/>
            </w:pPr>
            <w:r>
              <w:rPr>
                <w:rFonts w:ascii="仿宋_GB2312" w:hAnsi="仿宋_GB2312" w:eastAsia="仿宋_GB2312" w:cs="仿宋_GB2312"/>
              </w:rPr>
              <w:t xml:space="preserve"> 服务要求名称</w:t>
            </w:r>
          </w:p>
        </w:tc>
        <w:tc>
          <w:tcPr>
            <w:tcW w:w="6682" w:type="dxa"/>
          </w:tcPr>
          <w:p w14:paraId="55F892DE">
            <w:pPr>
              <w:pStyle w:val="5"/>
              <w:jc w:val="center"/>
              <w:rPr>
                <w:sz w:val="20"/>
                <w:szCs w:val="20"/>
              </w:rPr>
            </w:pPr>
            <w:r>
              <w:rPr>
                <w:rFonts w:ascii="仿宋_GB2312" w:hAnsi="仿宋_GB2312" w:eastAsia="仿宋_GB2312" w:cs="仿宋_GB2312"/>
                <w:sz w:val="20"/>
                <w:szCs w:val="20"/>
              </w:rPr>
              <w:t xml:space="preserve"> 服务要求内容</w:t>
            </w:r>
          </w:p>
        </w:tc>
      </w:tr>
      <w:tr w14:paraId="3E5AB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6" w:type="dxa"/>
          </w:tcPr>
          <w:p w14:paraId="784CB12A">
            <w:pPr>
              <w:pStyle w:val="5"/>
              <w:jc w:val="center"/>
            </w:pPr>
            <w:r>
              <w:rPr>
                <w:rFonts w:ascii="仿宋_GB2312" w:hAnsi="仿宋_GB2312" w:eastAsia="仿宋_GB2312" w:cs="仿宋_GB2312"/>
              </w:rPr>
              <w:t>1</w:t>
            </w:r>
          </w:p>
        </w:tc>
        <w:tc>
          <w:tcPr>
            <w:tcW w:w="581" w:type="dxa"/>
          </w:tcPr>
          <w:p w14:paraId="74B62D75"/>
        </w:tc>
        <w:tc>
          <w:tcPr>
            <w:tcW w:w="1495" w:type="dxa"/>
          </w:tcPr>
          <w:p w14:paraId="2F38E745">
            <w:pPr>
              <w:pStyle w:val="5"/>
              <w:jc w:val="left"/>
            </w:pPr>
            <w:r>
              <w:rPr>
                <w:rFonts w:ascii="仿宋_GB2312" w:hAnsi="仿宋_GB2312" w:eastAsia="仿宋_GB2312" w:cs="仿宋_GB2312"/>
              </w:rPr>
              <w:t>服务方案编制</w:t>
            </w:r>
          </w:p>
        </w:tc>
        <w:tc>
          <w:tcPr>
            <w:tcW w:w="6682" w:type="dxa"/>
          </w:tcPr>
          <w:p w14:paraId="13B08D49">
            <w:pPr>
              <w:pStyle w:val="5"/>
              <w:jc w:val="both"/>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项目理解认识：根据投标人对本项目所提供的项目理解认识，包括：①工作原则；②评估方法；③评估内容。2.初步方案的规划评估思路：根据投标人对本项目所提供的初步方案的规划评估思路，包括：①战略定位评估思路；②底线管控评估思路；③规模结构评估思路；④空间布局评估思路；⑤支撑体系评估思路；⑥实施保障评估思路。3.进度安排：根据投标人对本项目所提供的进度安排，包</w:t>
            </w:r>
            <w:bookmarkStart w:id="0" w:name="_GoBack"/>
            <w:bookmarkEnd w:id="0"/>
            <w:r>
              <w:rPr>
                <w:rFonts w:ascii="仿宋_GB2312" w:hAnsi="仿宋_GB2312" w:eastAsia="仿宋_GB2312" w:cs="仿宋_GB2312"/>
                <w:color w:val="000000"/>
                <w:sz w:val="20"/>
                <w:szCs w:val="20"/>
              </w:rPr>
              <w:t xml:space="preserve">括：①工作任务完成时限；②进度计划安排；③质量保证计划。 </w:t>
            </w:r>
          </w:p>
        </w:tc>
      </w:tr>
      <w:tr w14:paraId="1A500A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6" w:type="dxa"/>
          </w:tcPr>
          <w:p w14:paraId="649A2883">
            <w:pPr>
              <w:pStyle w:val="5"/>
              <w:jc w:val="center"/>
            </w:pPr>
            <w:r>
              <w:rPr>
                <w:rFonts w:ascii="仿宋_GB2312" w:hAnsi="仿宋_GB2312" w:eastAsia="仿宋_GB2312" w:cs="仿宋_GB2312"/>
              </w:rPr>
              <w:t>2</w:t>
            </w:r>
          </w:p>
        </w:tc>
        <w:tc>
          <w:tcPr>
            <w:tcW w:w="581" w:type="dxa"/>
          </w:tcPr>
          <w:p w14:paraId="2215F84B"/>
        </w:tc>
        <w:tc>
          <w:tcPr>
            <w:tcW w:w="1495" w:type="dxa"/>
          </w:tcPr>
          <w:p w14:paraId="244CC0CD">
            <w:pPr>
              <w:pStyle w:val="5"/>
              <w:jc w:val="left"/>
            </w:pPr>
            <w:r>
              <w:rPr>
                <w:rFonts w:ascii="仿宋_GB2312" w:hAnsi="仿宋_GB2312" w:eastAsia="仿宋_GB2312" w:cs="仿宋_GB2312"/>
              </w:rPr>
              <w:t>售后服务方案编制</w:t>
            </w:r>
          </w:p>
        </w:tc>
        <w:tc>
          <w:tcPr>
            <w:tcW w:w="6682" w:type="dxa"/>
          </w:tcPr>
          <w:p w14:paraId="4F02DAA5">
            <w:pPr>
              <w:pStyle w:val="5"/>
              <w:jc w:val="both"/>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根据投标人对本项目所提供的售后服务方案，包括：①响应时间；②售后服务人员配置；③售后服务保障。</w:t>
            </w:r>
          </w:p>
        </w:tc>
      </w:tr>
      <w:tr w14:paraId="2E4C5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6" w:type="dxa"/>
          </w:tcPr>
          <w:p w14:paraId="6155F8B3">
            <w:pPr>
              <w:pStyle w:val="5"/>
              <w:jc w:val="center"/>
            </w:pPr>
            <w:r>
              <w:rPr>
                <w:rFonts w:ascii="仿宋_GB2312" w:hAnsi="仿宋_GB2312" w:eastAsia="仿宋_GB2312" w:cs="仿宋_GB2312"/>
              </w:rPr>
              <w:t>3</w:t>
            </w:r>
          </w:p>
        </w:tc>
        <w:tc>
          <w:tcPr>
            <w:tcW w:w="581" w:type="dxa"/>
          </w:tcPr>
          <w:p w14:paraId="20E0ED7E"/>
        </w:tc>
        <w:tc>
          <w:tcPr>
            <w:tcW w:w="1495" w:type="dxa"/>
          </w:tcPr>
          <w:p w14:paraId="22097534">
            <w:pPr>
              <w:pStyle w:val="5"/>
              <w:jc w:val="left"/>
            </w:pPr>
            <w:r>
              <w:rPr>
                <w:rFonts w:ascii="仿宋_GB2312" w:hAnsi="仿宋_GB2312" w:eastAsia="仿宋_GB2312" w:cs="仿宋_GB2312"/>
              </w:rPr>
              <w:t>履约能力</w:t>
            </w:r>
          </w:p>
        </w:tc>
        <w:tc>
          <w:tcPr>
            <w:tcW w:w="6682" w:type="dxa"/>
          </w:tcPr>
          <w:p w14:paraId="4B3515CF">
            <w:pPr>
              <w:pStyle w:val="5"/>
              <w:jc w:val="both"/>
              <w:rPr>
                <w:sz w:val="20"/>
                <w:szCs w:val="20"/>
              </w:rPr>
            </w:pPr>
            <w:r>
              <w:rPr>
                <w:rFonts w:ascii="仿宋_GB2312" w:hAnsi="仿宋_GB2312" w:eastAsia="仿宋_GB2312" w:cs="仿宋_GB2312"/>
                <w:color w:val="000000"/>
                <w:sz w:val="20"/>
                <w:szCs w:val="20"/>
              </w:rPr>
              <w:t>投标人根据本项目实际情况提供专业的团队服务人员，并提供相关证明材料。</w:t>
            </w:r>
          </w:p>
        </w:tc>
      </w:tr>
      <w:tr w14:paraId="76C5D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6" w:type="dxa"/>
          </w:tcPr>
          <w:p w14:paraId="16BAAD26">
            <w:pPr>
              <w:pStyle w:val="5"/>
              <w:jc w:val="center"/>
            </w:pPr>
            <w:r>
              <w:rPr>
                <w:rFonts w:ascii="仿宋_GB2312" w:hAnsi="仿宋_GB2312" w:eastAsia="仿宋_GB2312" w:cs="仿宋_GB2312"/>
              </w:rPr>
              <w:t>4</w:t>
            </w:r>
          </w:p>
        </w:tc>
        <w:tc>
          <w:tcPr>
            <w:tcW w:w="581" w:type="dxa"/>
          </w:tcPr>
          <w:p w14:paraId="306476C2"/>
        </w:tc>
        <w:tc>
          <w:tcPr>
            <w:tcW w:w="1495" w:type="dxa"/>
          </w:tcPr>
          <w:p w14:paraId="365249CA">
            <w:pPr>
              <w:pStyle w:val="5"/>
              <w:jc w:val="left"/>
            </w:pPr>
            <w:r>
              <w:rPr>
                <w:rFonts w:ascii="仿宋_GB2312" w:hAnsi="仿宋_GB2312" w:eastAsia="仿宋_GB2312" w:cs="仿宋_GB2312"/>
              </w:rPr>
              <w:t>履约经验</w:t>
            </w:r>
          </w:p>
        </w:tc>
        <w:tc>
          <w:tcPr>
            <w:tcW w:w="6682" w:type="dxa"/>
          </w:tcPr>
          <w:p w14:paraId="48B1BED2">
            <w:pPr>
              <w:pStyle w:val="5"/>
              <w:jc w:val="left"/>
              <w:rPr>
                <w:sz w:val="20"/>
                <w:szCs w:val="20"/>
              </w:rPr>
            </w:pPr>
            <w:r>
              <w:rPr>
                <w:rFonts w:ascii="仿宋_GB2312" w:hAnsi="仿宋_GB2312" w:eastAsia="仿宋_GB2312" w:cs="仿宋_GB2312"/>
                <w:color w:val="000000"/>
                <w:sz w:val="20"/>
                <w:szCs w:val="20"/>
              </w:rPr>
              <w:t>为保障后期顺利实施开展项目，投标人具有贴合本项目要求的履约经验，并提供相关证明材料。</w:t>
            </w:r>
          </w:p>
        </w:tc>
      </w:tr>
    </w:tbl>
    <w:p w14:paraId="7202CBDC">
      <w:pPr>
        <w:pStyle w:val="5"/>
        <w:jc w:val="left"/>
        <w:outlineLvl w:val="3"/>
      </w:pPr>
      <w:r>
        <w:rPr>
          <w:rFonts w:ascii="仿宋_GB2312" w:hAnsi="仿宋_GB2312" w:eastAsia="仿宋_GB2312" w:cs="仿宋_GB2312"/>
          <w:b/>
          <w:sz w:val="24"/>
        </w:rPr>
        <w:t>3.3.2.商务要求</w:t>
      </w:r>
    </w:p>
    <w:p w14:paraId="65934A50">
      <w:pPr>
        <w:pStyle w:val="5"/>
        <w:jc w:val="left"/>
      </w:pPr>
      <w:r>
        <w:rPr>
          <w:rFonts w:ascii="仿宋_GB2312" w:hAnsi="仿宋_GB2312" w:eastAsia="仿宋_GB2312" w:cs="仿宋_GB2312"/>
        </w:rPr>
        <w:t>采购包1：</w:t>
      </w:r>
    </w:p>
    <w:tbl>
      <w:tblPr>
        <w:tblStyle w:val="3"/>
        <w:tblW w:w="909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6607"/>
      </w:tblGrid>
      <w:tr w14:paraId="381B0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6" w:type="dxa"/>
          </w:tcPr>
          <w:p w14:paraId="78125703">
            <w:pPr>
              <w:pStyle w:val="5"/>
              <w:jc w:val="center"/>
            </w:pPr>
            <w:r>
              <w:rPr>
                <w:rFonts w:ascii="仿宋_GB2312" w:hAnsi="仿宋_GB2312" w:eastAsia="仿宋_GB2312" w:cs="仿宋_GB2312"/>
              </w:rPr>
              <w:t>序号</w:t>
            </w:r>
          </w:p>
        </w:tc>
        <w:tc>
          <w:tcPr>
            <w:tcW w:w="581" w:type="dxa"/>
          </w:tcPr>
          <w:p w14:paraId="37B91EF7">
            <w:pPr>
              <w:pStyle w:val="5"/>
              <w:jc w:val="center"/>
            </w:pPr>
            <w:r>
              <w:rPr>
                <w:rFonts w:ascii="仿宋_GB2312" w:hAnsi="仿宋_GB2312" w:eastAsia="仿宋_GB2312" w:cs="仿宋_GB2312"/>
              </w:rPr>
              <w:t>符号标识</w:t>
            </w:r>
          </w:p>
        </w:tc>
        <w:tc>
          <w:tcPr>
            <w:tcW w:w="1495" w:type="dxa"/>
          </w:tcPr>
          <w:p w14:paraId="742606CD">
            <w:pPr>
              <w:pStyle w:val="5"/>
              <w:jc w:val="center"/>
            </w:pPr>
            <w:r>
              <w:rPr>
                <w:rFonts w:ascii="仿宋_GB2312" w:hAnsi="仿宋_GB2312" w:eastAsia="仿宋_GB2312" w:cs="仿宋_GB2312"/>
              </w:rPr>
              <w:t>商务要求名称</w:t>
            </w:r>
          </w:p>
        </w:tc>
        <w:tc>
          <w:tcPr>
            <w:tcW w:w="6607" w:type="dxa"/>
          </w:tcPr>
          <w:p w14:paraId="7E4B4F6D">
            <w:pPr>
              <w:pStyle w:val="5"/>
              <w:jc w:val="center"/>
            </w:pPr>
            <w:r>
              <w:rPr>
                <w:rFonts w:ascii="仿宋_GB2312" w:hAnsi="仿宋_GB2312" w:eastAsia="仿宋_GB2312" w:cs="仿宋_GB2312"/>
              </w:rPr>
              <w:t>商务要求内容</w:t>
            </w:r>
          </w:p>
        </w:tc>
      </w:tr>
      <w:tr w14:paraId="06E47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6" w:type="dxa"/>
          </w:tcPr>
          <w:p w14:paraId="72D10C85">
            <w:pPr>
              <w:pStyle w:val="5"/>
              <w:jc w:val="center"/>
            </w:pPr>
            <w:r>
              <w:rPr>
                <w:rFonts w:ascii="仿宋_GB2312" w:hAnsi="仿宋_GB2312" w:eastAsia="仿宋_GB2312" w:cs="仿宋_GB2312"/>
              </w:rPr>
              <w:t>1</w:t>
            </w:r>
          </w:p>
        </w:tc>
        <w:tc>
          <w:tcPr>
            <w:tcW w:w="581" w:type="dxa"/>
          </w:tcPr>
          <w:p w14:paraId="46103643">
            <w:pPr>
              <w:pStyle w:val="5"/>
              <w:jc w:val="center"/>
            </w:pPr>
            <w:r>
              <w:rPr>
                <w:rFonts w:ascii="仿宋_GB2312" w:hAnsi="仿宋_GB2312" w:eastAsia="仿宋_GB2312" w:cs="仿宋_GB2312"/>
              </w:rPr>
              <w:t>★</w:t>
            </w:r>
          </w:p>
        </w:tc>
        <w:tc>
          <w:tcPr>
            <w:tcW w:w="1495" w:type="dxa"/>
          </w:tcPr>
          <w:p w14:paraId="41E93A50">
            <w:pPr>
              <w:pStyle w:val="5"/>
              <w:jc w:val="left"/>
            </w:pPr>
            <w:r>
              <w:rPr>
                <w:rFonts w:ascii="仿宋_GB2312" w:hAnsi="仿宋_GB2312" w:eastAsia="仿宋_GB2312" w:cs="仿宋_GB2312"/>
              </w:rPr>
              <w:t>服务期限</w:t>
            </w:r>
          </w:p>
        </w:tc>
        <w:tc>
          <w:tcPr>
            <w:tcW w:w="6607" w:type="dxa"/>
          </w:tcPr>
          <w:p w14:paraId="2D458413">
            <w:pPr>
              <w:pStyle w:val="5"/>
              <w:jc w:val="left"/>
            </w:pPr>
            <w:r>
              <w:rPr>
                <w:rFonts w:ascii="仿宋_GB2312" w:hAnsi="仿宋_GB2312" w:eastAsia="仿宋_GB2312" w:cs="仿宋_GB2312"/>
              </w:rPr>
              <w:t>自合同签订后240天内中标人完成正式成果。其中，合同签订后1个月内完成送审成果，最终正式审查并收到审查纪要后1个月内完成正式成果。上述进度安排，如上级部门或相关文件另行规定时间，则以其为准。</w:t>
            </w:r>
          </w:p>
        </w:tc>
      </w:tr>
      <w:tr w14:paraId="7C8F2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6" w:type="dxa"/>
          </w:tcPr>
          <w:p w14:paraId="4870E909">
            <w:pPr>
              <w:pStyle w:val="5"/>
              <w:jc w:val="center"/>
            </w:pPr>
            <w:r>
              <w:rPr>
                <w:rFonts w:ascii="仿宋_GB2312" w:hAnsi="仿宋_GB2312" w:eastAsia="仿宋_GB2312" w:cs="仿宋_GB2312"/>
              </w:rPr>
              <w:t>2</w:t>
            </w:r>
          </w:p>
        </w:tc>
        <w:tc>
          <w:tcPr>
            <w:tcW w:w="581" w:type="dxa"/>
          </w:tcPr>
          <w:p w14:paraId="285ECAE1">
            <w:pPr>
              <w:pStyle w:val="5"/>
              <w:jc w:val="center"/>
            </w:pPr>
            <w:r>
              <w:rPr>
                <w:rFonts w:ascii="仿宋_GB2312" w:hAnsi="仿宋_GB2312" w:eastAsia="仿宋_GB2312" w:cs="仿宋_GB2312"/>
              </w:rPr>
              <w:t>★</w:t>
            </w:r>
          </w:p>
        </w:tc>
        <w:tc>
          <w:tcPr>
            <w:tcW w:w="1495" w:type="dxa"/>
          </w:tcPr>
          <w:p w14:paraId="7A4EDEEA">
            <w:pPr>
              <w:pStyle w:val="5"/>
              <w:jc w:val="left"/>
            </w:pPr>
            <w:r>
              <w:rPr>
                <w:rFonts w:ascii="仿宋_GB2312" w:hAnsi="仿宋_GB2312" w:eastAsia="仿宋_GB2312" w:cs="仿宋_GB2312"/>
              </w:rPr>
              <w:t>服务地点</w:t>
            </w:r>
          </w:p>
        </w:tc>
        <w:tc>
          <w:tcPr>
            <w:tcW w:w="6607" w:type="dxa"/>
          </w:tcPr>
          <w:p w14:paraId="28F3F410">
            <w:pPr>
              <w:pStyle w:val="5"/>
              <w:jc w:val="left"/>
            </w:pPr>
            <w:r>
              <w:rPr>
                <w:rFonts w:ascii="仿宋_GB2312" w:hAnsi="仿宋_GB2312" w:eastAsia="仿宋_GB2312" w:cs="仿宋_GB2312"/>
              </w:rPr>
              <w:t>成都市新津区范围内，具体地点由采购人指定。</w:t>
            </w:r>
          </w:p>
        </w:tc>
      </w:tr>
      <w:tr w14:paraId="6176EF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6" w:type="dxa"/>
          </w:tcPr>
          <w:p w14:paraId="7BD94D55">
            <w:pPr>
              <w:pStyle w:val="5"/>
              <w:jc w:val="center"/>
            </w:pPr>
            <w:r>
              <w:rPr>
                <w:rFonts w:ascii="仿宋_GB2312" w:hAnsi="仿宋_GB2312" w:eastAsia="仿宋_GB2312" w:cs="仿宋_GB2312"/>
              </w:rPr>
              <w:t>3</w:t>
            </w:r>
          </w:p>
        </w:tc>
        <w:tc>
          <w:tcPr>
            <w:tcW w:w="581" w:type="dxa"/>
          </w:tcPr>
          <w:p w14:paraId="3575538A">
            <w:pPr>
              <w:pStyle w:val="5"/>
              <w:jc w:val="center"/>
            </w:pPr>
            <w:r>
              <w:rPr>
                <w:rFonts w:ascii="仿宋_GB2312" w:hAnsi="仿宋_GB2312" w:eastAsia="仿宋_GB2312" w:cs="仿宋_GB2312"/>
              </w:rPr>
              <w:t>★</w:t>
            </w:r>
          </w:p>
        </w:tc>
        <w:tc>
          <w:tcPr>
            <w:tcW w:w="1495" w:type="dxa"/>
          </w:tcPr>
          <w:p w14:paraId="4F5A5A8B">
            <w:pPr>
              <w:pStyle w:val="5"/>
              <w:jc w:val="left"/>
            </w:pPr>
            <w:r>
              <w:rPr>
                <w:rFonts w:ascii="仿宋_GB2312" w:hAnsi="仿宋_GB2312" w:eastAsia="仿宋_GB2312" w:cs="仿宋_GB2312"/>
              </w:rPr>
              <w:t>验收、交付标准和方法</w:t>
            </w:r>
          </w:p>
        </w:tc>
        <w:tc>
          <w:tcPr>
            <w:tcW w:w="6607" w:type="dxa"/>
          </w:tcPr>
          <w:p w14:paraId="790C4052">
            <w:pPr>
              <w:pStyle w:val="5"/>
              <w:jc w:val="left"/>
            </w:pPr>
            <w:r>
              <w:rPr>
                <w:rFonts w:ascii="仿宋_GB2312" w:hAnsi="仿宋_GB2312" w:eastAsia="仿宋_GB2312" w:cs="仿宋_GB2312"/>
              </w:rPr>
              <w:t>①验收主体：由采购人自行组织对项目进行验收。 ②采购人在接到中标人申请通知后的10日内组织验收；中标人按照验收要求提交相关验收资料。 ③验收标准：按《财政部关于印发〈政府采购需求管理办法〉的通知》（财库〔2021〕22 号）等规定以及招标文件的要求、中标人的投标文件及承诺与项目合同约定标准进行验收。 ④采购人无故不进行验收工作并已使用项目履约成果的，视同验收合格。</w:t>
            </w:r>
          </w:p>
        </w:tc>
      </w:tr>
      <w:tr w14:paraId="18478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6" w:type="dxa"/>
          </w:tcPr>
          <w:p w14:paraId="44C57AB1">
            <w:pPr>
              <w:pStyle w:val="5"/>
              <w:jc w:val="center"/>
            </w:pPr>
            <w:r>
              <w:rPr>
                <w:rFonts w:ascii="仿宋_GB2312" w:hAnsi="仿宋_GB2312" w:eastAsia="仿宋_GB2312" w:cs="仿宋_GB2312"/>
              </w:rPr>
              <w:t>4</w:t>
            </w:r>
          </w:p>
        </w:tc>
        <w:tc>
          <w:tcPr>
            <w:tcW w:w="581" w:type="dxa"/>
          </w:tcPr>
          <w:p w14:paraId="5CB74F1C">
            <w:pPr>
              <w:pStyle w:val="5"/>
              <w:jc w:val="center"/>
            </w:pPr>
            <w:r>
              <w:rPr>
                <w:rFonts w:ascii="仿宋_GB2312" w:hAnsi="仿宋_GB2312" w:eastAsia="仿宋_GB2312" w:cs="仿宋_GB2312"/>
              </w:rPr>
              <w:t>★</w:t>
            </w:r>
          </w:p>
        </w:tc>
        <w:tc>
          <w:tcPr>
            <w:tcW w:w="1495" w:type="dxa"/>
          </w:tcPr>
          <w:p w14:paraId="3FDC1EF2">
            <w:pPr>
              <w:pStyle w:val="5"/>
              <w:jc w:val="left"/>
            </w:pPr>
            <w:r>
              <w:rPr>
                <w:rFonts w:ascii="仿宋_GB2312" w:hAnsi="仿宋_GB2312" w:eastAsia="仿宋_GB2312" w:cs="仿宋_GB2312"/>
              </w:rPr>
              <w:t>支付方式</w:t>
            </w:r>
          </w:p>
        </w:tc>
        <w:tc>
          <w:tcPr>
            <w:tcW w:w="6607" w:type="dxa"/>
          </w:tcPr>
          <w:p w14:paraId="63F92B9B">
            <w:pPr>
              <w:pStyle w:val="5"/>
              <w:jc w:val="left"/>
            </w:pPr>
            <w:r>
              <w:rPr>
                <w:rFonts w:ascii="仿宋_GB2312" w:hAnsi="仿宋_GB2312" w:eastAsia="仿宋_GB2312" w:cs="仿宋_GB2312"/>
              </w:rPr>
              <w:t>分期付款</w:t>
            </w:r>
          </w:p>
        </w:tc>
      </w:tr>
      <w:tr w14:paraId="09309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6" w:type="dxa"/>
          </w:tcPr>
          <w:p w14:paraId="5AD411D1">
            <w:pPr>
              <w:pStyle w:val="5"/>
              <w:jc w:val="center"/>
            </w:pPr>
            <w:r>
              <w:rPr>
                <w:rFonts w:ascii="仿宋_GB2312" w:hAnsi="仿宋_GB2312" w:eastAsia="仿宋_GB2312" w:cs="仿宋_GB2312"/>
              </w:rPr>
              <w:t>5</w:t>
            </w:r>
          </w:p>
        </w:tc>
        <w:tc>
          <w:tcPr>
            <w:tcW w:w="581" w:type="dxa"/>
          </w:tcPr>
          <w:p w14:paraId="67D43A76">
            <w:pPr>
              <w:pStyle w:val="5"/>
              <w:jc w:val="center"/>
            </w:pPr>
            <w:r>
              <w:rPr>
                <w:rFonts w:ascii="仿宋_GB2312" w:hAnsi="仿宋_GB2312" w:eastAsia="仿宋_GB2312" w:cs="仿宋_GB2312"/>
              </w:rPr>
              <w:t>★</w:t>
            </w:r>
          </w:p>
        </w:tc>
        <w:tc>
          <w:tcPr>
            <w:tcW w:w="1495" w:type="dxa"/>
          </w:tcPr>
          <w:p w14:paraId="681751C7">
            <w:pPr>
              <w:pStyle w:val="5"/>
              <w:jc w:val="left"/>
            </w:pPr>
            <w:r>
              <w:rPr>
                <w:rFonts w:ascii="仿宋_GB2312" w:hAnsi="仿宋_GB2312" w:eastAsia="仿宋_GB2312" w:cs="仿宋_GB2312"/>
              </w:rPr>
              <w:t>付款进度安排</w:t>
            </w:r>
          </w:p>
        </w:tc>
        <w:tc>
          <w:tcPr>
            <w:tcW w:w="6607" w:type="dxa"/>
          </w:tcPr>
          <w:p w14:paraId="041FF0F7">
            <w:pPr>
              <w:pStyle w:val="5"/>
              <w:jc w:val="left"/>
            </w:pPr>
            <w:r>
              <w:rPr>
                <w:rFonts w:ascii="仿宋_GB2312" w:hAnsi="仿宋_GB2312" w:eastAsia="仿宋_GB2312" w:cs="仿宋_GB2312"/>
              </w:rPr>
              <w:t>1、签订合同后、采购人收到中标人开具的正规等额增值税发票后10个工作日内，达到付款条件起10日内，支付合同总金额的40.00%</w:t>
            </w:r>
          </w:p>
          <w:p w14:paraId="225175E5">
            <w:pPr>
              <w:pStyle w:val="5"/>
              <w:jc w:val="left"/>
            </w:pPr>
            <w:r>
              <w:rPr>
                <w:rFonts w:ascii="仿宋_GB2312" w:hAnsi="仿宋_GB2312" w:eastAsia="仿宋_GB2312" w:cs="仿宋_GB2312"/>
              </w:rPr>
              <w:t>2、中标人提交送审资料并经采购人核验后、采购人收到中标人开具的正规等额增值税发票后10个工作日内，达到付款条件起10日内，支付合同总金额的40.00%</w:t>
            </w:r>
          </w:p>
          <w:p w14:paraId="27BB52F8">
            <w:pPr>
              <w:pStyle w:val="5"/>
              <w:jc w:val="left"/>
            </w:pPr>
            <w:r>
              <w:rPr>
                <w:rFonts w:ascii="仿宋_GB2312" w:hAnsi="仿宋_GB2312" w:eastAsia="仿宋_GB2312" w:cs="仿宋_GB2312"/>
              </w:rPr>
              <w:t>3、中标人提交正式成果并经采购人履约验收合格后采购人收到中标人开具的正规等额增值税发票后10个工作日内，达到付款条件起10日内，支付合同总金额的20.00%</w:t>
            </w:r>
          </w:p>
        </w:tc>
      </w:tr>
      <w:tr w14:paraId="7D1CE2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6" w:type="dxa"/>
          </w:tcPr>
          <w:p w14:paraId="49686EC3">
            <w:pPr>
              <w:pStyle w:val="5"/>
              <w:jc w:val="center"/>
            </w:pPr>
            <w:r>
              <w:rPr>
                <w:rFonts w:ascii="仿宋_GB2312" w:hAnsi="仿宋_GB2312" w:eastAsia="仿宋_GB2312" w:cs="仿宋_GB2312"/>
              </w:rPr>
              <w:t>6</w:t>
            </w:r>
          </w:p>
        </w:tc>
        <w:tc>
          <w:tcPr>
            <w:tcW w:w="581" w:type="dxa"/>
          </w:tcPr>
          <w:p w14:paraId="083FF95C">
            <w:pPr>
              <w:pStyle w:val="5"/>
              <w:jc w:val="center"/>
            </w:pPr>
            <w:r>
              <w:rPr>
                <w:rFonts w:ascii="仿宋_GB2312" w:hAnsi="仿宋_GB2312" w:eastAsia="仿宋_GB2312" w:cs="仿宋_GB2312"/>
              </w:rPr>
              <w:t>★</w:t>
            </w:r>
          </w:p>
        </w:tc>
        <w:tc>
          <w:tcPr>
            <w:tcW w:w="1495" w:type="dxa"/>
          </w:tcPr>
          <w:p w14:paraId="0D2D32C9">
            <w:pPr>
              <w:pStyle w:val="5"/>
              <w:jc w:val="left"/>
            </w:pPr>
            <w:r>
              <w:rPr>
                <w:rFonts w:ascii="仿宋_GB2312" w:hAnsi="仿宋_GB2312" w:eastAsia="仿宋_GB2312" w:cs="仿宋_GB2312"/>
              </w:rPr>
              <w:t>违约责任与解决争议的方法</w:t>
            </w:r>
          </w:p>
        </w:tc>
        <w:tc>
          <w:tcPr>
            <w:tcW w:w="6607" w:type="dxa"/>
          </w:tcPr>
          <w:p w14:paraId="786E95D1">
            <w:pPr>
              <w:pStyle w:val="5"/>
              <w:jc w:val="left"/>
            </w:pPr>
            <w:r>
              <w:rPr>
                <w:rFonts w:ascii="仿宋_GB2312" w:hAnsi="仿宋_GB2312" w:eastAsia="仿宋_GB2312" w:cs="仿宋_GB2312"/>
              </w:rPr>
              <w:t>违约责任条款： （1）如因中标人在履行职务过程中的疏忽、失职、过错等故意或者过失原因给采购人造成损失或侵害，包括但不限于采购人本身的财产损失、由此而导致的采购人对任何第三方的法律责任等，中标人对此均应承担全部的赔偿责任。 （2）中标人提供的服务不符合采购文件、响应文件或合同规定的，每出现一次违约（合同涉及“日期”和“天数”的，每逾期一天或少一天，视为一次违约），中标人须向采购人支付合同总价1%的违约金并且按采购人要求进行整改，出现违约3次以上或未按采购人要求整改的，采购人有权无条件解除合同并要求中标人退还已收取的费用。 （3）中标人在服务过程中发生下列事由，中标人不承担责任： ①因不可抗拒因素导致服务中断的； ②中标人未按技术服务要求造成损害的，中标人应按过错大小程度相应赔偿。同时采购人有权解除合同。 ③ 采购人因政策或不可抗拒因素导致无法继续履行合同，不承担责任。④采购人无正当确切理由，致使中标人不能履行合同的，应当承担相应赔偿责任。 解决争议的方法：在执行合同中发生的或与本合同有关的争端，双方应通过友好协商解决，经协商在30天内不能达成协议时，应选择以下解决方式：向采购人所在地有管辖权的法院提起诉讼，诉讼产生相应的费用应由败诉方负担。 在法院审理和仲裁期间，除有争议部分外，合同其他部分可以履行的仍应按合同条款继续履行。</w:t>
            </w:r>
          </w:p>
        </w:tc>
      </w:tr>
    </w:tbl>
    <w:p w14:paraId="3EC723B1">
      <w:pPr>
        <w:pStyle w:val="5"/>
        <w:jc w:val="left"/>
        <w:outlineLvl w:val="2"/>
      </w:pPr>
      <w:r>
        <w:rPr>
          <w:rFonts w:ascii="仿宋_GB2312" w:hAnsi="仿宋_GB2312" w:eastAsia="仿宋_GB2312" w:cs="仿宋_GB2312"/>
          <w:b/>
          <w:sz w:val="28"/>
        </w:rPr>
        <w:t>3.4.其他要求</w:t>
      </w:r>
    </w:p>
    <w:p w14:paraId="3925384C">
      <w:pPr>
        <w:pStyle w:val="5"/>
        <w:ind w:firstLine="480"/>
        <w:jc w:val="left"/>
      </w:pPr>
      <w:r>
        <w:rPr>
          <w:rFonts w:ascii="仿宋_GB2312" w:hAnsi="仿宋_GB2312" w:eastAsia="仿宋_GB2312" w:cs="仿宋_GB2312"/>
        </w:rPr>
        <w:t>采购包1：</w:t>
      </w:r>
    </w:p>
    <w:p w14:paraId="76DBFD09">
      <w:pPr>
        <w:pStyle w:val="5"/>
        <w:jc w:val="left"/>
      </w:pPr>
      <w:r>
        <w:rPr>
          <w:rFonts w:ascii="仿宋_GB2312" w:hAnsi="仿宋_GB2312" w:eastAsia="仿宋_GB2312" w:cs="仿宋_GB2312"/>
        </w:rPr>
        <w:t>因系统固化无法调整，采购人和中标人签订合同时约定：“签订合同后、采购人收到中标人开具的正规等额增值税发票后10个工作日内支付合同金额的40%；中标人提交送审资料并经采购人核验后、采购人收到中标人开具的正规等额增值税发票后10个工作日内支付合同金额的40%；中标人提交正式成果并经采购人履约验收合格后采购人收到中标人开具的正规等额增值税发票后10个工作日内支付合同金额的20%。 注：若中标人未及时提交增值税发票，采购人付款时间顺延且对此不承担任何责任。”</w:t>
      </w:r>
    </w:p>
    <w:p w14:paraId="5A372CD3">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672EAA"/>
    <w:rsid w:val="11A2469B"/>
    <w:rsid w:val="22672EAA"/>
    <w:rsid w:val="35002E80"/>
    <w:rsid w:val="667E5B82"/>
    <w:rsid w:val="7F020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left"/>
      <w:outlineLvl w:val="0"/>
    </w:pPr>
    <w:rPr>
      <w:rFonts w:eastAsia="仿宋" w:asciiTheme="minorAscii" w:hAnsiTheme="minorAscii"/>
      <w:b/>
      <w:kern w:val="44"/>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2025-09-29T01:45:00Z</dcterms:created>
  <dc:creator>Administrator</dc:creator>
  <cp:lastModifiedBy>Administrator</cp:lastModifiedBy>
  <dcterms:modified xsi:type="dcterms:W3CDTF">2025-09-29T01:50:05Z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AE966880FDA8441ABE9908BBF9BC70AA_11</vt:lpwstr>
  </property>
  <property fmtid="{D5CDD505-2E9C-101B-9397-08002B2CF9AE}" pid="4" name="KSOTemplateDocerSaveRecord">
    <vt:lpwstr>eyJoZGlkIjoiNjdjN2Q0YTliYmY0NTM0OTk0NThhZWFkZTNjOGUzODUiLCJ1c2VySWQiOiI0NDM0MjQ4MzkifQ==</vt:lpwstr>
  </property>
</Properties>
</file>