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版本号：N510188202500010620250718001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世运会竞赛场馆盒饭配送服务采购项目(二次)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N5101882025000106</w:t>
      </w:r>
    </w:p>
    <w:p>
      <w:pPr>
        <w:pStyle w:val="null3"/>
        <w:jc w:val="left"/>
        <w:outlineLvl w:val="2"/>
      </w:pPr>
      <w:r>
        <w:rPr>
          <w:rFonts w:ascii="仿宋_GB2312" w:hAnsi="仿宋_GB2312" w:cs="仿宋_GB2312" w:eastAsia="仿宋_GB2312"/>
          <w:sz w:val="28"/>
          <w:b/>
        </w:rPr>
        <w:t>成都市公安局天府新区分局</w:t>
      </w:r>
    </w:p>
    <w:p>
      <w:pPr>
        <w:pStyle w:val="null3"/>
        <w:jc w:val="center"/>
        <w:outlineLvl w:val="2"/>
      </w:pPr>
      <w:r>
        <w:rPr>
          <w:rFonts w:ascii="仿宋_GB2312" w:hAnsi="仿宋_GB2312" w:cs="仿宋_GB2312" w:eastAsia="仿宋_GB2312"/>
          <w:sz w:val="28"/>
          <w:b/>
        </w:rPr>
        <w:t>四川翌成招投标代理有限公司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四川翌成招投标代理有限公司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成都市公安局天府新区分局</w:t>
      </w:r>
      <w:r>
        <w:rPr>
          <w:rFonts w:ascii="仿宋_GB2312" w:hAnsi="仿宋_GB2312" w:cs="仿宋_GB2312" w:eastAsia="仿宋_GB2312"/>
        </w:rPr>
        <w:t xml:space="preserve"> 委托，拟对 </w:t>
      </w:r>
      <w:r>
        <w:rPr>
          <w:rFonts w:ascii="仿宋_GB2312" w:hAnsi="仿宋_GB2312" w:cs="仿宋_GB2312" w:eastAsia="仿宋_GB2312"/>
        </w:rPr>
        <w:t>世运会竞赛场馆盒饭配送服务采购项目(二次)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成都市天府新区成都片区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N5101882025000106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世运会竞赛场馆盒饭配送服务采购项目(二次)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成都市公安局天府新区分局拟采购分局世运会盒饭配送服务一项，为世运会天府新区赛区三个赛事场馆（湖滨场馆、沙滩场馆和天府公园场馆）的公安警力及群防群治力量提供餐饮保障服务。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1、供应商须具有有效《食品经营许可证》，且许可项目包含集体用餐配送（描述：供应商须具有有效《食品经营许可证》，且许可项目包含集体用餐配送。（提供证书））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成都市公安局天府新区分局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四川省成都市天府新区万安街道天津路东段1111号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610213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028-86409512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四川翌成招投标代理有限公司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成都市高新区天府大道北段1700号环球中心（N1）3-3-713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028-68360871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采购包1：847,445.00元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代理服务费收费标准：以成本加合理利润原则，按预算金额*1.5%收取。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成都市公安局天府新区分局</w:t>
      </w:r>
      <w:r>
        <w:rPr>
          <w:rFonts w:ascii="仿宋_GB2312" w:hAnsi="仿宋_GB2312" w:cs="仿宋_GB2312" w:eastAsia="仿宋_GB2312"/>
        </w:rPr>
        <w:t xml:space="preserve"> 和 </w:t>
      </w:r>
      <w:r>
        <w:rPr>
          <w:rFonts w:ascii="仿宋_GB2312" w:hAnsi="仿宋_GB2312" w:cs="仿宋_GB2312" w:eastAsia="仿宋_GB2312"/>
        </w:rPr>
        <w:t>四川翌成招投标代理有限公司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成都市公安局天府新区分局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四川翌成招投标代理有限公司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委托代理机构验收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按照本项目采购文件中“技术要求”及成交供应商响应文件内容进行验收。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按照本项目采购文件中“商务要求”及成交供应商响应文件内容进行验收。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政府采购相关法律法规及相关部门关于履约验收的最新规定和按国家有关规定、本项目采购文件的服务要求、成交供应商的响应文件及承诺等，严格按照政府采购相关法律法规以及《财政部关于进一步加强政府采购需求和履约验收管理的指导意见》（财库[2016]205号）相关要求、采购合同以及考核办法要求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成都市公安局天府新区分局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四川翌成招投标代理有限公司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四川翌成招投标代理有限公司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联系人：吴老师</w:t>
      </w:r>
    </w:p>
    <w:p>
      <w:pPr>
        <w:pStyle w:val="null3"/>
        <w:jc w:val="left"/>
      </w:pPr>
      <w:r>
        <w:rPr>
          <w:rFonts w:ascii="仿宋_GB2312" w:hAnsi="仿宋_GB2312" w:cs="仿宋_GB2312" w:eastAsia="仿宋_GB2312"/>
        </w:rPr>
        <w:t>联系电话：028-86409512</w:t>
      </w:r>
    </w:p>
    <w:p>
      <w:pPr>
        <w:pStyle w:val="null3"/>
        <w:jc w:val="left"/>
      </w:pPr>
      <w:r>
        <w:rPr>
          <w:rFonts w:ascii="仿宋_GB2312" w:hAnsi="仿宋_GB2312" w:cs="仿宋_GB2312" w:eastAsia="仿宋_GB2312"/>
        </w:rPr>
        <w:t>地址：四川省成都市天府新区万安街道天津路东段1111号</w:t>
      </w:r>
    </w:p>
    <w:p>
      <w:pPr>
        <w:pStyle w:val="null3"/>
        <w:jc w:val="left"/>
      </w:pPr>
      <w:r>
        <w:rPr>
          <w:rFonts w:ascii="仿宋_GB2312" w:hAnsi="仿宋_GB2312" w:cs="仿宋_GB2312" w:eastAsia="仿宋_GB2312"/>
        </w:rPr>
        <w:t>邮编：610213</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联系人：廖老师</w:t>
      </w:r>
    </w:p>
    <w:p>
      <w:pPr>
        <w:pStyle w:val="null3"/>
        <w:jc w:val="left"/>
      </w:pPr>
      <w:r>
        <w:rPr>
          <w:rFonts w:ascii="仿宋_GB2312" w:hAnsi="仿宋_GB2312" w:cs="仿宋_GB2312" w:eastAsia="仿宋_GB2312"/>
        </w:rPr>
        <w:t>联系电话：028-68360871</w:t>
      </w:r>
    </w:p>
    <w:p>
      <w:pPr>
        <w:pStyle w:val="null3"/>
        <w:jc w:val="left"/>
      </w:pPr>
      <w:r>
        <w:rPr>
          <w:rFonts w:ascii="仿宋_GB2312" w:hAnsi="仿宋_GB2312" w:cs="仿宋_GB2312" w:eastAsia="仿宋_GB2312"/>
        </w:rPr>
        <w:t>地址：成都市高新区天府大道北段1700号环球中心（N1）3-3-713</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847,445.00</w:t>
      </w:r>
    </w:p>
    <w:p>
      <w:pPr>
        <w:pStyle w:val="null3"/>
        <w:jc w:val="left"/>
      </w:pPr>
      <w:r>
        <w:rPr>
          <w:rFonts w:ascii="仿宋_GB2312" w:hAnsi="仿宋_GB2312" w:cs="仿宋_GB2312" w:eastAsia="仿宋_GB2312"/>
        </w:rPr>
        <w:t>采购包最高限价（元）: 847,445.00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2025年世运盒饭配送服务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847,445.00</w:t>
            </w:r>
          </w:p>
        </w:tc>
        <w:tc>
          <w:tcPr>
            <w:tcW w:type="dxa" w:w="821"/>
          </w:tcPr>
          <w:p>
            <w:pPr>
              <w:pStyle w:val="null3"/>
              <w:jc w:val="left"/>
            </w:pPr>
            <w:r>
              <w:rPr>
                <w:rFonts w:ascii="仿宋_GB2312" w:hAnsi="仿宋_GB2312" w:cs="仿宋_GB2312" w:eastAsia="仿宋_GB2312"/>
              </w:rPr>
              <w:t>餐饮业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2025年世运盒饭配送服务</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结算率</w:t>
            </w:r>
          </w:p>
        </w:tc>
        <w:tc>
          <w:tcPr>
            <w:tcW w:type="dxa" w:w="1466"/>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标的名称：2025年世运盒饭配送服务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spacing w:before="165" w:after="75"/>
              <w:jc w:val="both"/>
              <w:outlineLvl w:val="1"/>
            </w:pPr>
            <w:r>
              <w:rPr>
                <w:rFonts w:ascii="仿宋_GB2312" w:hAnsi="仿宋_GB2312" w:cs="仿宋_GB2312" w:eastAsia="仿宋_GB2312"/>
                <w:sz w:val="32"/>
                <w:b/>
                <w:color w:val="2F5496"/>
              </w:rPr>
              <w:t>（一）供餐要求</w:t>
            </w:r>
          </w:p>
          <w:p>
            <w:pPr>
              <w:pStyle w:val="null3"/>
              <w:ind w:left="420"/>
              <w:jc w:val="both"/>
            </w:pPr>
            <w:r>
              <w:rPr>
                <w:rFonts w:ascii="仿宋_GB2312" w:hAnsi="仿宋_GB2312" w:cs="仿宋_GB2312" w:eastAsia="仿宋_GB2312"/>
                <w:sz w:val="32"/>
                <w:b/>
              </w:rPr>
              <w:t>1.</w:t>
            </w:r>
            <w:r>
              <w:rPr>
                <w:rFonts w:ascii="仿宋_GB2312" w:hAnsi="仿宋_GB2312" w:cs="仿宋_GB2312" w:eastAsia="仿宋_GB2312"/>
                <w:sz w:val="32"/>
                <w:b/>
              </w:rPr>
              <w:t>供餐标准及</w:t>
            </w:r>
            <w:r>
              <w:rPr>
                <w:rFonts w:ascii="仿宋_GB2312" w:hAnsi="仿宋_GB2312" w:cs="仿宋_GB2312" w:eastAsia="仿宋_GB2312"/>
                <w:sz w:val="32"/>
                <w:b/>
              </w:rPr>
              <w:t>菜单</w:t>
            </w:r>
            <w:r>
              <w:rPr>
                <w:rFonts w:ascii="仿宋_GB2312" w:hAnsi="仿宋_GB2312" w:cs="仿宋_GB2312" w:eastAsia="仿宋_GB2312"/>
                <w:sz w:val="32"/>
                <w:b/>
              </w:rPr>
              <w:t>要求</w:t>
            </w:r>
          </w:p>
          <w:p>
            <w:pPr>
              <w:pStyle w:val="null3"/>
              <w:jc w:val="both"/>
            </w:pPr>
            <w:r>
              <w:rPr>
                <w:rFonts w:ascii="仿宋_GB2312" w:hAnsi="仿宋_GB2312" w:cs="仿宋_GB2312" w:eastAsia="仿宋_GB2312"/>
                <w:sz w:val="32"/>
                <w:b/>
              </w:rPr>
              <w:t xml:space="preserve">  1.1 </w:t>
            </w:r>
            <w:r>
              <w:rPr>
                <w:rFonts w:ascii="仿宋_GB2312" w:hAnsi="仿宋_GB2312" w:cs="仿宋_GB2312" w:eastAsia="仿宋_GB2312"/>
                <w:sz w:val="32"/>
                <w:b/>
              </w:rPr>
              <w:t>午餐、晚餐菜品配置标准</w:t>
            </w:r>
          </w:p>
          <w:p>
            <w:pPr>
              <w:pStyle w:val="null3"/>
              <w:ind w:firstLine="643"/>
              <w:jc w:val="both"/>
            </w:pPr>
            <w:r>
              <w:rPr>
                <w:rFonts w:ascii="仿宋_GB2312" w:hAnsi="仿宋_GB2312" w:cs="仿宋_GB2312" w:eastAsia="仿宋_GB2312"/>
                <w:sz w:val="32"/>
                <w:b/>
              </w:rPr>
              <w:t>1.1.1</w:t>
            </w:r>
            <w:r>
              <w:rPr>
                <w:rFonts w:ascii="仿宋_GB2312" w:hAnsi="仿宋_GB2312" w:cs="仿宋_GB2312" w:eastAsia="仿宋_GB2312"/>
                <w:sz w:val="32"/>
                <w:b/>
              </w:rPr>
              <w:t>热餐标准</w:t>
            </w:r>
          </w:p>
          <w:p>
            <w:pPr>
              <w:pStyle w:val="null3"/>
              <w:ind w:firstLine="640"/>
              <w:jc w:val="both"/>
            </w:pPr>
            <w:r>
              <w:rPr>
                <w:rFonts w:ascii="仿宋_GB2312" w:hAnsi="仿宋_GB2312" w:cs="仿宋_GB2312" w:eastAsia="仿宋_GB2312"/>
                <w:sz w:val="32"/>
              </w:rPr>
              <w:t>热菜：其中全荤1种、荤素搭配（半荤）2种、热素菜1种；</w:t>
            </w:r>
          </w:p>
          <w:p>
            <w:pPr>
              <w:pStyle w:val="null3"/>
              <w:ind w:firstLine="640"/>
              <w:jc w:val="both"/>
            </w:pPr>
            <w:r>
              <w:rPr>
                <w:rFonts w:ascii="仿宋_GB2312" w:hAnsi="仿宋_GB2312" w:cs="仿宋_GB2312" w:eastAsia="仿宋_GB2312"/>
                <w:sz w:val="32"/>
              </w:rPr>
              <w:t>小菜/酱菜：1种；</w:t>
            </w:r>
          </w:p>
          <w:p>
            <w:pPr>
              <w:pStyle w:val="null3"/>
              <w:ind w:firstLine="640"/>
              <w:jc w:val="both"/>
            </w:pPr>
            <w:r>
              <w:rPr>
                <w:rFonts w:ascii="仿宋_GB2312" w:hAnsi="仿宋_GB2312" w:cs="仿宋_GB2312" w:eastAsia="仿宋_GB2312"/>
                <w:sz w:val="32"/>
              </w:rPr>
              <w:t>主食：中餐配米饭或面食；</w:t>
            </w:r>
          </w:p>
          <w:p>
            <w:pPr>
              <w:pStyle w:val="null3"/>
              <w:ind w:firstLine="640"/>
              <w:jc w:val="both"/>
            </w:pPr>
            <w:r>
              <w:rPr>
                <w:rFonts w:ascii="仿宋_GB2312" w:hAnsi="仿宋_GB2312" w:cs="仿宋_GB2312" w:eastAsia="仿宋_GB2312"/>
                <w:sz w:val="32"/>
              </w:rPr>
              <w:t>汤/瓶装饮料：一例/一瓶，配中式/西式热汤或降温解暑汤，或瓶装饮料；</w:t>
            </w:r>
          </w:p>
          <w:p>
            <w:pPr>
              <w:pStyle w:val="null3"/>
              <w:ind w:firstLine="640"/>
              <w:jc w:val="both"/>
            </w:pPr>
            <w:r>
              <w:rPr>
                <w:rFonts w:ascii="仿宋_GB2312" w:hAnsi="仿宋_GB2312" w:cs="仿宋_GB2312" w:eastAsia="仿宋_GB2312"/>
                <w:sz w:val="32"/>
              </w:rPr>
              <w:t>搭配：整只即食水果一个，符合食品安全和环保标准的一次性餐具一套（包括筷子、汤匙、牙签和餐巾纸。同时，供应商须现场准备一次性刀、叉供有需求的就餐者使用 ) 。</w:t>
            </w:r>
          </w:p>
          <w:p>
            <w:pPr>
              <w:pStyle w:val="null3"/>
              <w:ind w:firstLine="640"/>
              <w:jc w:val="both"/>
            </w:pPr>
            <w:r>
              <w:rPr>
                <w:rFonts w:ascii="仿宋_GB2312" w:hAnsi="仿宋_GB2312" w:cs="仿宋_GB2312" w:eastAsia="仿宋_GB2312"/>
                <w:sz w:val="32"/>
              </w:rPr>
              <w:t>其中，全荤、荤素搭配菜执行14天一循环政策；汤/瓶装饮料执行7天一循环政策，水果执行不低于2天一循环政策。每份盒饭在不包括汤、水果和奶制品的情况下，每份盒饭菜品纯肉类（成品）不少于200克[淀粉含量超过40%的丸子、肉含量低于50%的肠、合成肉类（如蟹足棒）不得作为肉类食材]；蔬菜（成品）不少于200克；主食（独立包装，每份包装净重约100克）不限量供应；水果应当标注单个/根的重量；应有清真菜品。</w:t>
            </w:r>
          </w:p>
          <w:p>
            <w:pPr>
              <w:pStyle w:val="null3"/>
              <w:ind w:firstLine="643"/>
              <w:jc w:val="both"/>
            </w:pPr>
            <w:r>
              <w:rPr>
                <w:rFonts w:ascii="仿宋_GB2312" w:hAnsi="仿宋_GB2312" w:cs="仿宋_GB2312" w:eastAsia="仿宋_GB2312"/>
                <w:sz w:val="32"/>
                <w:b/>
              </w:rPr>
              <w:t xml:space="preserve">1.1.2 </w:t>
            </w:r>
            <w:r>
              <w:rPr>
                <w:rFonts w:ascii="仿宋_GB2312" w:hAnsi="仿宋_GB2312" w:cs="仿宋_GB2312" w:eastAsia="仿宋_GB2312"/>
                <w:sz w:val="32"/>
              </w:rPr>
              <w:t>冷餐标准（当竞赛场馆不允许配送热餐时，根据采购人要求采用冷餐形式保障）</w:t>
            </w:r>
          </w:p>
          <w:p>
            <w:pPr>
              <w:pStyle w:val="null3"/>
              <w:ind w:firstLine="640"/>
              <w:jc w:val="both"/>
            </w:pPr>
            <w:r>
              <w:rPr>
                <w:rFonts w:ascii="仿宋_GB2312" w:hAnsi="仿宋_GB2312" w:cs="仿宋_GB2312" w:eastAsia="仿宋_GB2312"/>
                <w:sz w:val="32"/>
              </w:rPr>
              <w:t>主食：双层肉类汉堡、炸鸡腿；</w:t>
            </w:r>
          </w:p>
          <w:p>
            <w:pPr>
              <w:pStyle w:val="null3"/>
              <w:ind w:firstLine="640"/>
              <w:jc w:val="both"/>
            </w:pPr>
            <w:r>
              <w:rPr>
                <w:rFonts w:ascii="仿宋_GB2312" w:hAnsi="仿宋_GB2312" w:cs="仿宋_GB2312" w:eastAsia="仿宋_GB2312"/>
                <w:sz w:val="32"/>
              </w:rPr>
              <w:t>瓶装饮料：1瓶，瓶装饮料（采购人指定的品种和口味）或奶制品；</w:t>
            </w:r>
          </w:p>
          <w:p>
            <w:pPr>
              <w:pStyle w:val="null3"/>
              <w:ind w:firstLine="640"/>
              <w:jc w:val="both"/>
            </w:pPr>
            <w:r>
              <w:rPr>
                <w:rFonts w:ascii="仿宋_GB2312" w:hAnsi="仿宋_GB2312" w:cs="仿宋_GB2312" w:eastAsia="仿宋_GB2312"/>
                <w:sz w:val="32"/>
              </w:rPr>
              <w:t>搭配：整只即食水果一个，符合食品安全和环保标准的一次性餐具一套（包括筷子、汤匙、牙签和餐巾纸。同时，供应商须现场准备一次性刀、叉供有需求的就餐者使用 ) 。</w:t>
            </w:r>
          </w:p>
          <w:p>
            <w:pPr>
              <w:pStyle w:val="null3"/>
              <w:ind w:firstLine="640"/>
              <w:jc w:val="both"/>
            </w:pPr>
            <w:r>
              <w:rPr>
                <w:rFonts w:ascii="仿宋_GB2312" w:hAnsi="仿宋_GB2312" w:cs="仿宋_GB2312" w:eastAsia="仿宋_GB2312"/>
                <w:sz w:val="32"/>
              </w:rPr>
              <w:t>其中每份冷餐(成品不少于300克、独立包装)汉堡肉饼2块，每块不少于100克、面包不少于80克、蔬菜不少于20克；炸鸡腿不少于150克。水果应当标注单个/根的重量；奶制品不少于200克或毫升；应有清真菜品。</w:t>
            </w:r>
          </w:p>
          <w:p>
            <w:pPr>
              <w:pStyle w:val="null3"/>
              <w:jc w:val="both"/>
            </w:pPr>
            <w:r>
              <w:rPr>
                <w:rFonts w:ascii="仿宋_GB2312" w:hAnsi="仿宋_GB2312" w:cs="仿宋_GB2312" w:eastAsia="仿宋_GB2312"/>
                <w:sz w:val="32"/>
                <w:b/>
              </w:rPr>
              <w:t>1.2</w:t>
            </w:r>
            <w:r>
              <w:rPr>
                <w:rFonts w:ascii="仿宋_GB2312" w:hAnsi="仿宋_GB2312" w:cs="仿宋_GB2312" w:eastAsia="仿宋_GB2312"/>
                <w:sz w:val="32"/>
                <w:b/>
              </w:rPr>
              <w:t>早餐、夜餐盒饭菜品配置标准</w:t>
            </w:r>
          </w:p>
          <w:p>
            <w:pPr>
              <w:pStyle w:val="null3"/>
              <w:ind w:firstLine="640"/>
              <w:jc w:val="both"/>
            </w:pPr>
            <w:r>
              <w:rPr>
                <w:rFonts w:ascii="仿宋_GB2312" w:hAnsi="仿宋_GB2312" w:cs="仿宋_GB2312" w:eastAsia="仿宋_GB2312"/>
                <w:sz w:val="32"/>
              </w:rPr>
              <w:t>主食：例如面包、粉面类、炒饭类、成都小吃等；</w:t>
            </w:r>
          </w:p>
          <w:p>
            <w:pPr>
              <w:pStyle w:val="null3"/>
              <w:ind w:firstLine="640"/>
              <w:jc w:val="both"/>
            </w:pPr>
            <w:r>
              <w:rPr>
                <w:rFonts w:ascii="仿宋_GB2312" w:hAnsi="仿宋_GB2312" w:cs="仿宋_GB2312" w:eastAsia="仿宋_GB2312"/>
                <w:sz w:val="32"/>
              </w:rPr>
              <w:t>搭配：蛋类1种（白煮蛋或卤蛋）或肉类1种（可包括含肉量不低于50%的肠类），小菜1种，独立包装奶制品1种，符合食品安全和环保标准的一次性餐具一套（包括筷子、汤匙、牙签和餐巾纸。同时，供应商须现场准备一次性刀、叉供有需求的就餐者使用）。</w:t>
            </w:r>
          </w:p>
          <w:p>
            <w:pPr>
              <w:pStyle w:val="null3"/>
              <w:ind w:firstLine="640"/>
              <w:jc w:val="both"/>
            </w:pPr>
            <w:r>
              <w:rPr>
                <w:rFonts w:ascii="仿宋_GB2312" w:hAnsi="仿宋_GB2312" w:cs="仿宋_GB2312" w:eastAsia="仿宋_GB2312"/>
                <w:sz w:val="32"/>
              </w:rPr>
              <w:t>早餐、夜餐每份的总重量不得少于500克[其中主食不少于100克，蛋类或肉类（成品）合计不少于100克，奶制品不少于100克或毫升] ，应有清真菜品。</w:t>
            </w:r>
          </w:p>
          <w:p>
            <w:pPr>
              <w:pStyle w:val="null3"/>
              <w:jc w:val="both"/>
            </w:pPr>
            <w:r>
              <w:rPr>
                <w:rFonts w:ascii="仿宋_GB2312" w:hAnsi="仿宋_GB2312" w:cs="仿宋_GB2312" w:eastAsia="仿宋_GB2312"/>
                <w:sz w:val="32"/>
                <w:b/>
              </w:rPr>
              <w:t>1.3</w:t>
            </w:r>
            <w:r>
              <w:rPr>
                <w:rFonts w:ascii="仿宋_GB2312" w:hAnsi="仿宋_GB2312" w:cs="仿宋_GB2312" w:eastAsia="仿宋_GB2312"/>
                <w:sz w:val="32"/>
                <w:b/>
              </w:rPr>
              <w:t>配置安全要求</w:t>
            </w:r>
          </w:p>
          <w:p>
            <w:pPr>
              <w:pStyle w:val="null3"/>
              <w:ind w:firstLine="640"/>
              <w:jc w:val="both"/>
            </w:pPr>
            <w:r>
              <w:rPr>
                <w:rFonts w:ascii="仿宋_GB2312" w:hAnsi="仿宋_GB2312" w:cs="仿宋_GB2312" w:eastAsia="仿宋_GB2312"/>
                <w:sz w:val="32"/>
              </w:rPr>
              <w:t>为确保食品供应安全，菜单中不应包含野生菌、野菜、生拌菜、生食海（水）产品、四季豆、沙拉等易引发食物中毒的食品。</w:t>
            </w:r>
          </w:p>
          <w:p>
            <w:pPr>
              <w:pStyle w:val="null3"/>
              <w:ind w:left="420"/>
              <w:jc w:val="both"/>
            </w:pPr>
            <w:r>
              <w:rPr>
                <w:rFonts w:ascii="仿宋_GB2312" w:hAnsi="仿宋_GB2312" w:cs="仿宋_GB2312" w:eastAsia="仿宋_GB2312"/>
                <w:sz w:val="32"/>
                <w:b/>
              </w:rPr>
              <w:t>2.</w:t>
            </w:r>
            <w:r>
              <w:rPr>
                <w:rFonts w:ascii="仿宋_GB2312" w:hAnsi="仿宋_GB2312" w:cs="仿宋_GB2312" w:eastAsia="仿宋_GB2312"/>
                <w:sz w:val="32"/>
                <w:b/>
              </w:rPr>
              <w:t>食材要求</w:t>
            </w:r>
          </w:p>
          <w:p>
            <w:pPr>
              <w:pStyle w:val="null3"/>
              <w:ind w:firstLine="640"/>
              <w:jc w:val="both"/>
            </w:pPr>
            <w:r>
              <w:rPr>
                <w:rFonts w:ascii="仿宋_GB2312" w:hAnsi="仿宋_GB2312" w:cs="仿宋_GB2312" w:eastAsia="仿宋_GB2312"/>
                <w:sz w:val="32"/>
              </w:rPr>
              <w:t>供应商须承诺所使用的食材必须符合国家的相关标准与要求，不得提供转基因食品或利用转基因食品原料加工的成品，供应商所供产品须达到相关食品卫生安全规定，国家有出台新的更高标准的，以新的更高标准为准，保证所使用食材的质量、卫生和安全</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3.</w:t>
            </w:r>
            <w:r>
              <w:rPr>
                <w:rFonts w:ascii="仿宋_GB2312" w:hAnsi="仿宋_GB2312" w:cs="仿宋_GB2312" w:eastAsia="仿宋_GB2312"/>
                <w:sz w:val="32"/>
                <w:b/>
              </w:rPr>
              <w:t>供餐量要求</w:t>
            </w:r>
          </w:p>
          <w:p>
            <w:pPr>
              <w:pStyle w:val="null3"/>
              <w:ind w:firstLine="640"/>
              <w:jc w:val="both"/>
            </w:pPr>
            <w:r>
              <w:rPr>
                <w:rFonts w:ascii="仿宋_GB2312" w:hAnsi="仿宋_GB2312" w:cs="仿宋_GB2312" w:eastAsia="仿宋_GB2312"/>
                <w:sz w:val="32"/>
              </w:rPr>
              <w:t>供应商应具备满足本项目每日供餐量（最大单餐供餐量约2000份）的生产、配送和分发能力。服务期间，采购人提前一天统计需要成交供应商提供的餐饮数量，成交供应商按照采购人通知进行供餐。供应商为本包件提供的餐饮保障服务须满足相关政府职能部门制定的食品安全监管工作方案要求。</w:t>
            </w:r>
          </w:p>
          <w:p>
            <w:pPr>
              <w:pStyle w:val="null3"/>
              <w:spacing w:before="165" w:after="75"/>
              <w:jc w:val="both"/>
              <w:outlineLvl w:val="1"/>
            </w:pPr>
            <w:r>
              <w:rPr>
                <w:rFonts w:ascii="仿宋_GB2312" w:hAnsi="仿宋_GB2312" w:cs="仿宋_GB2312" w:eastAsia="仿宋_GB2312"/>
                <w:sz w:val="32"/>
                <w:b/>
                <w:color w:val="2F5496"/>
              </w:rPr>
              <w:t>（二）配送要求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、供应商必须自行提供配送服务，不得将配送项目进行任何方式的分包、转包。</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餐时间：原则上早餐供餐时间为6:00-8：00、午餐供餐时间为11:00-13:00、晚餐供餐时间为17:00-19:00、夜餐供餐时间21:30-23:30。如遇特殊情况，供应商须按采购人要求进行适当调整供餐时间。供应商所有货物必须无条件按采购人规定的时间，按时运送到指定的地点。如遇不可抗力造成送货延误的，经采购人同意后，供应商应按采购人另行指定的地点和时间及时送达。</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、冷链盒饭从烧熟至食用时间不得超过24小时，热链盒饭从烧熟至食用时间不得超过4小时，到达场馆（场所）时，盒饭中心温度不低于60℃。</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、采购人发现质量等问题，供应商必须按要求及时予以解决。</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、运输工具、包装材料和货物运输途中的防护措施必须符合相关规定和要求，注重绿色环保安全，生产、配送、搬运时有专用器皿盛放，无条件更换生产、配送、搬运过程中不清洁、不卫生的食物。</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、供应商须无条件接受采购人的临时配送需求，并在采购人指定的时间内完成，拒绝或未按时完成的，采购人可单方面终止合同，法律责任由成交供应商自行承担。</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供应商为本项目配备的配送车辆应专车专用，车辆为密闭式，具有符合盒饭储存条件的温湿度控制设施，车辆门配备双挂锁和钥匙，车辆门运输途中贴有封条，封条样式应提前向相关场馆(场所)的市场监督管理部门报备。除上述专用车辆外，需配置不少于一辆应急车辆。热链盒饭运输车辆应配备保温装置。车辆运输前应进行清洗、消毒，在运输装卸过程中应当注意操作卫生，防止食物污染，并规划配送路线及应急路线、车辆配送至不同服务地点的路线、装卸及时间安排；到达服务地点后，盒饭配送到分餐服务点的路线计划。</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、每次供餐时，在采购人要求供餐数量基础上增加配送5%的餐食作为应急预备餐食；该部分餐食根据实际取用情况据实结算</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spacing w:before="165" w:after="75"/>
              <w:jc w:val="both"/>
              <w:outlineLvl w:val="1"/>
            </w:pPr>
            <w:r>
              <w:rPr>
                <w:rFonts w:ascii="仿宋_GB2312" w:hAnsi="仿宋_GB2312" w:cs="仿宋_GB2312" w:eastAsia="仿宋_GB2312"/>
                <w:sz w:val="32"/>
                <w:b/>
                <w:color w:val="2F5496"/>
              </w:rPr>
              <w:t>（三）食品安全要求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、菜品制作过程须符合国家食品安全卫生相关标准。</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、供应商具备应对食物中毒等突发事件的应急预案，供应商所供餐食造成用餐人员发生食物中毒或其他因食品问题而引发的健康问题，由成交供应商负全部责任并承担由此产生的一切费用</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加工场所（中央厨房/配餐中心）必须符合国家食品安全相关法律法规要求。环境卫生要定人、定物、定时间、定区域，做到保持清洁，无垃圾污物。生熟用具分开，不得混用，保持炊具、灶具清洁卫生。厨房仓库要专库专用。原料分类存放，食品生熟分开保存，并有四防（防蝇、防尘、防鼠、防潮）措施，防止食品交叉污染。厨房工作人员要按餐饮行业的规定要求统一着装，讲究卫生，保持干净整洁。供应商须承诺为本项目提供服务的全部工作人员均应具备有效的健康证。供应商须严格执行《中华人民共和国食品安全法》及有关食品安全制度。实行原材料进出库双人验收双人签发制度，并建立好逐日消耗登记台帐。供应商须建立厨房卫生日常检查登记制度。</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供应商使用符合国家食品安全标准的环保餐盒（建议可降解材料）。餐盒应密封良好，保温/保冷性能满足配送要求（热食、冷食分开包装）。每份盒饭外包装信息应根据食品监管部门的要求，标注餐次（早餐/午餐/晚餐/夜宵）、主要菜品名称、生产单位、生产日期和时间（应精确至分钟：由多种组分组成的应以最早完成热加工的菜肴或主食计算）、保质期限、保存条件、最佳食用时间、显著的过敏原提示信息。冷链盒饭还需标明食用前加热方法。盒饭外包装不能有企业商标及相关标识等隐形营销行为。</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配送的餐食需严格执行留样制度，每餐次、每品种、每批次（或每供应点）留样不少于200克，专用冷藏设备（0-4℃）保存至少48小时，专人负责，上锁保管，并详细记录。食品样品的提取和保存应满足采购人或政府监管部门的要求，供应商应随时配合政府有关部门的管理。所使用食材必须分类摆放，不得混装。采购的食材提供溯源以及索票索证相关证明材料。</w:t>
            </w:r>
          </w:p>
          <w:p>
            <w:pPr>
              <w:pStyle w:val="null3"/>
              <w:spacing w:before="165" w:after="75"/>
              <w:jc w:val="both"/>
              <w:outlineLvl w:val="1"/>
            </w:pPr>
            <w:r>
              <w:rPr>
                <w:rFonts w:ascii="仿宋_GB2312" w:hAnsi="仿宋_GB2312" w:cs="仿宋_GB2312" w:eastAsia="仿宋_GB2312"/>
                <w:sz w:val="32"/>
                <w:b/>
                <w:color w:val="2F5496"/>
              </w:rPr>
              <w:t>（四）保密与安全要求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、供应商须与采购人签订安全保密承诺书。如若供应商派遣的工作人员泄露工作秘密，采购人有权依法依规追究供应商及相关人员的责任。</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、供应商必须保证保守秘密，供应商为本项目配备的服务人员必须严谨、守时、讲卫生、热爱本职工作，能切实做到不传话、不造谣、不闲话，不对外宣传评论跟工作有关的事情。</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供应商全权负责支付投入本项目全部人员的工资、社会保险、服装、餐饮及其他费用等，本项目服务过程中发生的一切意外事故，包括但不限于供应商人员的人身伤害、财产损失以及对第三方造成的人身伤害及财产损失，均由供应商承担全部法律责任及经济赔偿责任，采购人对此不承担任何的法律责任和义务，不再支付其他任何费用</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spacing w:before="165" w:after="75"/>
              <w:jc w:val="both"/>
              <w:outlineLvl w:val="1"/>
            </w:pPr>
            <w:r>
              <w:rPr>
                <w:rFonts w:ascii="仿宋_GB2312" w:hAnsi="仿宋_GB2312" w:cs="仿宋_GB2312" w:eastAsia="仿宋_GB2312"/>
                <w:sz w:val="32"/>
                <w:b/>
                <w:color w:val="2F5496"/>
              </w:rPr>
              <w:t>（五）考核要求</w:t>
            </w:r>
          </w:p>
          <w:p>
            <w:pPr>
              <w:pStyle w:val="null3"/>
              <w:ind w:firstLine="640"/>
              <w:jc w:val="both"/>
            </w:pPr>
            <w:r>
              <w:rPr>
                <w:rFonts w:ascii="仿宋_GB2312" w:hAnsi="仿宋_GB2312" w:cs="仿宋_GB2312" w:eastAsia="仿宋_GB2312"/>
                <w:sz w:val="32"/>
              </w:rPr>
              <w:t>服务过程中，采购人将按以下标准对供应商配送的餐食质量及服务质量进行抽查考核。考核总分为100分，每次考核得分为总分减去扣分分值。服务期内考核不低于3次。</w:t>
            </w:r>
          </w:p>
          <w:tbl>
            <w:tblPr>
              <w:tblInd w:type="dxa" w:w="15"/>
              <w:tblBorders>
                <w:top w:val="single" w:color="000000" w:sz="4"/>
                <w:left w:val="single" w:color="000000" w:sz="4"/>
                <w:bottom w:val="single" w:color="000000" w:sz="4"/>
                <w:right w:val="single" w:color="000000" w:sz="4"/>
                <w:insideH w:val="single"/>
                <w:insideV w:val="single"/>
              </w:tblBorders>
            </w:tblPr>
            <w:tblGrid>
              <w:gridCol w:w="1298"/>
              <w:gridCol w:w="345"/>
              <w:gridCol w:w="2829"/>
              <w:gridCol w:w="578"/>
              <w:gridCol w:w="548"/>
            </w:tblGrid>
            <w:tr>
              <w:tc>
                <w:tcPr>
                  <w:tcW w:type="dxa" w:w="12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质</w:t>
                  </w:r>
                  <w:r>
                    <w:br/>
                  </w:r>
                  <w:r>
                    <w:rPr>
                      <w:rFonts w:ascii="仿宋_GB2312" w:hAnsi="仿宋_GB2312" w:cs="仿宋_GB2312" w:eastAsia="仿宋_GB2312"/>
                      <w:sz w:val="24"/>
                    </w:rPr>
                    <w:t xml:space="preserve">  </w:t>
                  </w:r>
                  <w:r>
                    <w:rPr>
                      <w:rFonts w:ascii="仿宋_GB2312" w:hAnsi="仿宋_GB2312" w:cs="仿宋_GB2312" w:eastAsia="仿宋_GB2312"/>
                      <w:sz w:val="28"/>
                      <w:color w:val="000000"/>
                    </w:rPr>
                    <w:t>量</w:t>
                  </w:r>
                  <w:r>
                    <w:br/>
                  </w:r>
                  <w:r>
                    <w:rPr>
                      <w:rFonts w:ascii="仿宋_GB2312" w:hAnsi="仿宋_GB2312" w:cs="仿宋_GB2312" w:eastAsia="仿宋_GB2312"/>
                      <w:sz w:val="24"/>
                    </w:rPr>
                    <w:t xml:space="preserve">  </w:t>
                  </w:r>
                  <w:r>
                    <w:rPr>
                      <w:rFonts w:ascii="仿宋_GB2312" w:hAnsi="仿宋_GB2312" w:cs="仿宋_GB2312" w:eastAsia="仿宋_GB2312"/>
                      <w:sz w:val="28"/>
                      <w:color w:val="000000"/>
                    </w:rPr>
                    <w:t>类</w:t>
                  </w:r>
                </w:p>
                <w:p>
                  <w:pPr>
                    <w:pStyle w:val="null3"/>
                    <w:jc w:val="center"/>
                  </w:pPr>
                  <w:r>
                    <w:rPr>
                      <w:rFonts w:ascii="仿宋_GB2312" w:hAnsi="仿宋_GB2312" w:cs="仿宋_GB2312" w:eastAsia="仿宋_GB2312"/>
                      <w:sz w:val="28"/>
                      <w:color w:val="000000"/>
                    </w:rPr>
                    <w:t>（60分）</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序号</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考核标准</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分值</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color w:val="000000"/>
                    </w:rPr>
                    <w:t>单次扣分</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食材不新鲜有变质倾向的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2</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饭菜有腥、膻等异味，或未达到全熟标准</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3</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饭菜有异味等不良情况的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4</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饭菜中出现砂石、头发、蚊虫等异常杂物</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食材被交叉轻微污损的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6</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未按盒饭标准进行配送的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7</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一批次盒饭个别品种不洁净的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8</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配送盒饭破损变形食材料的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9</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配送成品原料无包装的</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餐盘餐具餐盒等塑料用品未使用可降解、可回收材料</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服</w:t>
                  </w:r>
                </w:p>
                <w:p>
                  <w:pPr>
                    <w:pStyle w:val="null3"/>
                    <w:jc w:val="center"/>
                  </w:pPr>
                  <w:r>
                    <w:rPr>
                      <w:rFonts w:ascii="仿宋_GB2312" w:hAnsi="仿宋_GB2312" w:cs="仿宋_GB2312" w:eastAsia="仿宋_GB2312"/>
                      <w:sz w:val="28"/>
                      <w:color w:val="000000"/>
                    </w:rPr>
                    <w:t>务</w:t>
                  </w:r>
                </w:p>
                <w:p>
                  <w:pPr>
                    <w:pStyle w:val="null3"/>
                    <w:jc w:val="center"/>
                  </w:pPr>
                  <w:r>
                    <w:rPr>
                      <w:rFonts w:ascii="仿宋_GB2312" w:hAnsi="仿宋_GB2312" w:cs="仿宋_GB2312" w:eastAsia="仿宋_GB2312"/>
                      <w:sz w:val="28"/>
                      <w:color w:val="000000"/>
                    </w:rPr>
                    <w:t>类</w:t>
                  </w:r>
                </w:p>
                <w:p>
                  <w:pPr>
                    <w:pStyle w:val="null3"/>
                    <w:jc w:val="center"/>
                  </w:pPr>
                  <w:r>
                    <w:rPr>
                      <w:rFonts w:ascii="仿宋_GB2312" w:hAnsi="仿宋_GB2312" w:cs="仿宋_GB2312" w:eastAsia="仿宋_GB2312"/>
                      <w:sz w:val="28"/>
                      <w:color w:val="000000"/>
                    </w:rPr>
                    <w:t>（40分)</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11</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未严格遵守《食品安全法》规定，使用违禁食品</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12</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送餐车辆未每日消毒、出现重油污、水渍、污垢、灰尘的情况</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13</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配送人员与服务对象有谩骂、肢体冲突等行为现象的发生</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10</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14</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未按时、按规定、按标准供应饭菜</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15</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临时配送未在采购人规定时间内完成</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1298"/>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16</w:t>
                  </w:r>
                </w:p>
              </w:tc>
              <w:tc>
                <w:tcPr>
                  <w:tcW w:type="dxa" w:w="28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8"/>
                      <w:color w:val="000000"/>
                    </w:rPr>
                    <w:t>服务期间配送人员按规定着统一服装</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5</w:t>
                  </w:r>
                </w:p>
              </w:tc>
            </w:tr>
            <w:tr>
              <w:tc>
                <w:tcPr>
                  <w:tcW w:type="dxa" w:w="4472"/>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考核得分</w:t>
                  </w:r>
                </w:p>
              </w:tc>
              <w:tc>
                <w:tcPr>
                  <w:tcW w:type="dxa" w:w="11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仿宋_GB2312" w:hAnsi="仿宋_GB2312" w:cs="仿宋_GB2312" w:eastAsia="仿宋_GB2312"/>
                <w:sz w:val="32"/>
              </w:rPr>
              <w:t>考核结果运用：以所有考核结果的平均得分作为最终考核得分，得分90分（含）以上的，全额支付剩余金额；考核得分80（含）-89（含）的，按90%支付剩余金额；考核得分70（含）-79（含）的，按80%支付剩余金额；考核得分60（含）-69（含）的，按70%支付剩余金额；考核得分60分（不含）以下的，不再支付剩余金额，采购人有权单方面终止合同且不承担任何责任。</w:t>
            </w:r>
          </w:p>
          <w:p>
            <w:pPr>
              <w:pStyle w:val="null3"/>
              <w:spacing w:before="165" w:after="75"/>
              <w:jc w:val="both"/>
              <w:outlineLvl w:val="1"/>
            </w:pPr>
            <w:r>
              <w:rPr>
                <w:rFonts w:ascii="仿宋_GB2312" w:hAnsi="仿宋_GB2312" w:cs="仿宋_GB2312" w:eastAsia="仿宋_GB2312"/>
                <w:sz w:val="32"/>
                <w:b/>
                <w:color w:val="2F5496"/>
              </w:rPr>
              <w:t>（六）其他要求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供应商需针对本项目组建专业服务团队，至少包含生产、物流、服务、仓储、食品安全保障、盒饭预订、财务管理、现场布置分发、餐厨回收等工作人员，确保满足各场馆盒饭供应的赛前、赛中和赛后三阶段的人力需求。</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供应商应综合考虑食品品种、工艺特点、原料控制情况等因素，合理确定检验项目、指标和频次, 以有效验证加工过程中的控制措施。</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供应商应按照规定记录从业人员培训考核、进货查验、食品添加剂使用、食品安全自查、消费者投诉处置、变质或超过保质期或者回收食品处置、定期除虫灭害等情况。对食品、加工环境开展检验 的，还应记录检验结果。记录内容应完整、真实。法律法规标准没有明确规定的，记录保存时间不少于6个月。</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供应商应为本项目单独投保</w:t>
            </w:r>
            <w:r>
              <w:rPr>
                <w:rFonts w:ascii="仿宋_GB2312" w:hAnsi="仿宋_GB2312" w:cs="仿宋_GB2312" w:eastAsia="仿宋_GB2312"/>
                <w:sz w:val="32"/>
              </w:rPr>
              <w:t>食品安全责任险和公众责任险，保额不低于1亿元</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供应商应具备与服务区域接待规模、供餐人数、供餐方式相适应的食品安全保障能力，且一年内未发生过食品安全责任事故</w:t>
            </w:r>
            <w:r>
              <w:rPr>
                <w:rFonts w:ascii="仿宋_GB2312" w:hAnsi="仿宋_GB2312" w:cs="仿宋_GB2312" w:eastAsia="仿宋_GB2312"/>
                <w:sz w:val="32"/>
                <w:b/>
              </w:rPr>
              <w:t>（提供承诺函并加盖供应商公章，承诺函内容需完全响应以上要求）</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.报价要求：</w:t>
            </w:r>
            <w:r>
              <w:rPr>
                <w:rFonts w:ascii="仿宋_GB2312" w:hAnsi="仿宋_GB2312" w:cs="仿宋_GB2312" w:eastAsia="仿宋_GB2312"/>
                <w:sz w:val="32"/>
              </w:rPr>
              <w:t>早餐基准单价为15元/餐，午餐基准单价为35元/餐，晚餐基准单价为35元/餐，夜餐基准单价为15元/餐。本次报价在基准单价的基础上报统一结算率。供应商的报价是含食材、餐饮服务、配送、食材抽检、储存、税金、采购代理服务费等费用，是其响应本项目要求的全部工作内容的价格体现，采购人将不再支付其他额外费用。</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.结算方式：</w:t>
            </w:r>
            <w:r>
              <w:rPr>
                <w:rFonts w:ascii="仿宋_GB2312" w:hAnsi="仿宋_GB2312" w:cs="仿宋_GB2312" w:eastAsia="仿宋_GB2312"/>
                <w:sz w:val="32"/>
              </w:rPr>
              <w:t>本项目结算时以各餐标的单价乘以实际供应</w:t>
            </w:r>
            <w:r>
              <w:rPr>
                <w:rFonts w:ascii="仿宋_GB2312" w:hAnsi="仿宋_GB2312" w:cs="仿宋_GB2312" w:eastAsia="仿宋_GB2312"/>
                <w:sz w:val="32"/>
              </w:rPr>
              <w:t>数量进行据实结算，最终结算总价不得超过采购预算。</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.对账方式：</w:t>
            </w:r>
            <w:r>
              <w:rPr>
                <w:rFonts w:ascii="仿宋_GB2312" w:hAnsi="仿宋_GB2312" w:cs="仿宋_GB2312" w:eastAsia="仿宋_GB2312"/>
                <w:sz w:val="32"/>
              </w:rPr>
              <w:t>在正式供餐后，成交供应商与采购人就订餐数据执行每餐对账制，每餐到货后，由采购人和成交供应商共同对数量进行核对并签字确认。全部供餐结束后，成交供应商应以签字确认的每餐单据为依据与采购人进行餐次的最终对账。早、午、晚、夜餐餐次应在最终对账单中分别标注，最终对账结果应由采购人签字。成交供应商完成最终对账后，凭最终对账单进行结算。成交供应商还需制作对账总表，并每日向采购人汇报更新后的汇总数据（含每日各餐次合计数量及合计金额），并在实际发生金额达到本项目采购预算金额的 80%、90%时及时向采购人提出预警，采购人根据实际情况及时做出相应调整。</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2025年7月31日至2025年8月17日（预估时间，实际服务时间按采购人要求执行）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采购人指定地点（四川天府新区范围内）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成交供应商与采购人应严格按照政府采购相关法律法规及相关部门关于履约验收的最新规定和按国家有关规定、本项目采购文件的服务要求、成交供应商的响应文件及承诺等，严格按照政府采购相关法律法规以及《财政部关于进一步加强政府采购需求和履约验收管理的指导意见》（财库[2016]205号）相关要求、采购合同以及考核办法要求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人自收到供应商开具的合法有效的发票后，达到付款条件起10日内，据实情况说明为支付最高限价×成交结算率×40.00%作为本项目的预付款，用于供应商前期筹备使用。注：付款前供应商应向采购人出具合法有效等额的完税发票及凭证资料，采用公对公的银行转账（详细内容以双方签订合同为准）。若供应商未按采购人要求出具发票，采购人有权延迟或拒绝支付合同相应款项，并不承担任何违约责任。</w:t>
            </w:r>
          </w:p>
          <w:p>
            <w:pPr>
              <w:pStyle w:val="null3"/>
              <w:jc w:val="left"/>
            </w:pPr>
            <w:r>
              <w:rPr>
                <w:rFonts w:ascii="仿宋_GB2312" w:hAnsi="仿宋_GB2312" w:cs="仿宋_GB2312" w:eastAsia="仿宋_GB2312"/>
              </w:rPr>
              <w:t>2、采购人自收到供应商开具的合法有效的发票后，达到付款条件起10日内，据实情况说明为世运会供餐项目结束验收合格后，根据双方对账结果及考核情况进行最终据实结算，最终结算时首先使用预付款抵扣用餐费用，采购人在项目验收合格后向供应商支付剩余金额款项。注：付款前供应商应向采购人出具合法有效等额的完税发票及凭证资料，采用公对公的银行转账（详细内容以双方签订合同为准）。若供应商未按采购人要求出具发票，采购人有权延迟或拒绝支付合同相应款项，并不承担任何违约责任。</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1)采购人、成交供应商必须遵守本项目合同并执行合同中的各项规定，保证本合同的合法正常履行。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3)成交供应商提供的服务不符合响应文件、报价文件或本项目合同规定的，每项违约成交供应商须向采购人支付本项目合同总价2%的违约金。 4)成交供应商未能按本项目合同规定时间提供服务，从逾期之日起每日按本合同总价3‰的数额向采购人支付违约金；逾期半个月以上的，采购人有权解除合同，由此造成的采购人损失由成交供应商承担。 5)采购人无正当理由拒绝接受服务，到期拒付服务款项的，采购人向成交供应商偿付本项目合同总的3%的违约金。采购人逾期付款，则每日按本项目合同总价的1‰向成交供应商偿付违约金。 （2）解决争议的方式： 在执行本项目采购合同中发生的或与本项目采购合同有关的争端，成交供应商与采购人应通过友好协商解决，经协商无法解决争议的，任一方可向项目履行地人民法院起诉。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针对本项目提供的管理制度，包括:①食品安全管理制度;②食品质量控制管理制度;③食品台账登记制度;④从业人员管理制度。2、供应商针对本项目提供的的厨政方案，包括①菜品加工时间及加工方案；②餐食包装方案。3、供应商针对本项目提供的营运方案，包括①现场服务（含餐食分发）方案；②临时配送方案；③供餐数据统计方案；④供餐结算方案；⑤疫情防控方案；⑥垃圾回收清洁方案。4、供应商针对本项目提供的供应链服务方案，包括①各类食材和物资的采购或租赁计划；②仓储空间需求预估及库存管理方案；③车辆管理、安全管理方案。5、供应商针对本项目提供的食品安全方案，包括①留样方案；②日常巡检方案；③食材自检方案。6、供应商针对本项目提供的配送方案，包括①食品装运;②人员分配;③配送安全措施;④食品移交流程;⑤配送路线整体规划。7、供应商针对本项目提供的应急预案，包括①食品安全（如食物中毒）突发事件应急预案；②当天菜单中的菜品因故无法全部供应的应急预案；③厨房设备故障应急预案（含断水断电下的生产计划）；④盒饭专用运输车辆中途故障。8、供应商具有类似业绩。9、供应商为本项目配备专业服务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第三章“技术、服务及其他要求”所有内容。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政府采购合同中的所有内容。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1、供应商需在使用投标(响应)客户端编制响应文件时，按要求填写《投标（响应）函》完成承诺并进行电子签章。 2、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文件”以上均提供扫描件。</w:t>
            </w:r>
          </w:p>
        </w:tc>
        <w:tc>
          <w:tcPr>
            <w:tcW w:type="dxa" w:w="1910"/>
          </w:tcPr>
          <w:p>
            <w:pPr>
              <w:pStyle w:val="null3"/>
              <w:jc w:val="left"/>
            </w:pPr>
            <w:r>
              <w:rPr>
                <w:rFonts w:ascii="仿宋_GB2312" w:hAnsi="仿宋_GB2312" w:cs="仿宋_GB2312" w:eastAsia="仿宋_GB2312"/>
              </w:rPr>
              <w:t>投标（响应）函,具有独立承担民事责任的能力.docx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需在使用投标(响应)客户端编制响应文件时，按要求填写《投标（响应）函》完成承诺并进行电子签章。2、①可提供2023或2024年度经审计的财务报告扫描件（须包含审计报告和审计报告中所涉及的财务报表和报表附注，以及会计师事务所有效的营业执照、执业许可证书、签署审计报告的注册会计师证书）； ②也可提供2023或2024年度供应商内部的财务会计报表扫描件{须包含资产负债表、利润表（或称损益表）、现金流量表。以上三表应当由单位负责人和主管会计工作的负责人签名｝； ③也可提供截至响应文件递交截止日一年内银行出具的资信证明（扫描件）； ④供应商注册时间截至投标文件递交截止日不足一年的，也可提供在工商备案的公司章程（扫描件）； ⑤事业单位可提供财务会计制度管理文件。供应商需在项目电子化交易系统中按要求上传相应证明文件并进行电子签章。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财务会计制度证明材料.docx,投标（响应）函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项目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供应商须具有有效《食品经营许可证》，且许可项目包含集体用餐配送</w:t>
            </w:r>
          </w:p>
        </w:tc>
        <w:tc>
          <w:tcPr>
            <w:tcW w:type="dxa" w:w="3322"/>
          </w:tcPr>
          <w:p>
            <w:pPr>
              <w:pStyle w:val="null3"/>
              <w:jc w:val="left"/>
            </w:pPr>
            <w:r>
              <w:rPr>
                <w:rFonts w:ascii="仿宋_GB2312" w:hAnsi="仿宋_GB2312" w:cs="仿宋_GB2312" w:eastAsia="仿宋_GB2312"/>
              </w:rPr>
              <w:t>供应商须具有有效《食品经营许可证》，且许可项目包含集体用餐配送。（提供证书）</w:t>
            </w:r>
          </w:p>
        </w:tc>
        <w:tc>
          <w:tcPr>
            <w:tcW w:type="dxa" w:w="1910"/>
          </w:tcPr>
          <w:p>
            <w:pPr>
              <w:pStyle w:val="null3"/>
              <w:jc w:val="left"/>
            </w:pPr>
            <w:r>
              <w:rPr>
                <w:rFonts w:ascii="仿宋_GB2312" w:hAnsi="仿宋_GB2312" w:cs="仿宋_GB2312" w:eastAsia="仿宋_GB2312"/>
              </w:rPr>
              <w:t>供应商提供特定资格要求.docx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第三章实质性要求</w:t>
            </w:r>
          </w:p>
        </w:tc>
        <w:tc>
          <w:tcPr>
            <w:tcW w:type="dxa" w:w="3322"/>
          </w:tcPr>
          <w:p>
            <w:pPr>
              <w:pStyle w:val="null3"/>
              <w:jc w:val="left"/>
            </w:pPr>
            <w:r>
              <w:rPr>
                <w:rFonts w:ascii="仿宋_GB2312" w:hAnsi="仿宋_GB2312" w:cs="仿宋_GB2312" w:eastAsia="仿宋_GB2312"/>
              </w:rPr>
              <w:t>评审委员会依据本采购文件的实质性要求，对 符合资格的响应文件进行审查，以确定其是否 满足本采购文件的实质性要求。本项目的符合 性审查事项必须以本采购文件明确规定的实质 性要求为依据。供应商不满足本采购文件的实 质性要求的，评审委员会应当将其响应文件作 为无效处理。</w:t>
            </w:r>
          </w:p>
        </w:tc>
        <w:tc>
          <w:tcPr>
            <w:tcW w:type="dxa" w:w="1910"/>
          </w:tcPr>
          <w:p>
            <w:pPr>
              <w:pStyle w:val="null3"/>
              <w:jc w:val="left"/>
            </w:pPr>
            <w:r>
              <w:rPr>
                <w:rFonts w:ascii="仿宋_GB2312" w:hAnsi="仿宋_GB2312" w:cs="仿宋_GB2312" w:eastAsia="仿宋_GB2312"/>
              </w:rPr>
              <w:t>供应商应提交的相关证明材料,技术服务要求偏离表.docx,商务应答表.docx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1.在磋商过程中，供应商报价低于采购预算50 % 或者低于其他有效供应商报价算术平均价40 %，有可能影响产品质量或者不能诚信履约的 ，磋商小组应当要求其在合理的时间内通过交 易系统进行书面说明、提交相关证明材料，并 加盖电子印章。供应商拒绝或者变相拒绝提供 有效书面说明或者书面说明不能证明其报价合 理性的，磋商小组应当将其响应文件作为无效 响应处理。书面说明应当按照国家财务会计制 度的规定要求，逐项就供应商提供的货物、工 程和服务的主营业务成本（应根据供应商企业 类型予以区别）、税金及附加、销售费用、管 理费用、财务费用等成本构成事项详细陈述。</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管理制度</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供应商提供近三年(自递交响应文件截止之日(含当日)起往前)类似业绩，每提供一个得3分，此项最多得15分。 注:提供合同或中标(成交、中选)通知书扫描件加盖公章，提供合同的以合同签订时间为准，提供中标(成交中选)通知书的以落款时间为准。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根据供应商拟投入本项目的人员进行评审: 1、项目负责人具有类似项目经验的，每提供一次得5分，最多得10分。(提供能体现出项目负责人的项目合同，若合同无法体现项目负责人，则需提供合同的同时还需提供该项目采购人单位出具的相关证明材料) 2、餐饮工作人员具有二级及以上厨师证的，每提供一份得2分，最多得8分。（提供相关职业资格证扫描件）</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人员配备.docx</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575"/>
          </w:tcPr>
          <w:p>
            <w:pPr>
              <w:pStyle w:val="null3"/>
              <w:jc w:val="left"/>
            </w:pPr>
            <w:r>
              <w:rPr>
                <w:rFonts w:ascii="仿宋_GB2312" w:hAnsi="仿宋_GB2312" w:cs="仿宋_GB2312" w:eastAsia="仿宋_GB2312"/>
              </w:rPr>
              <w:t>供应商针对本项目提供的管理制度，包括:①食品安全管理制度;②食品质量控制管理制度;③食品台账登记制度;④从业人员管理制度等内容的得8分，每缺少一项内容扣2分；每项内容有一处错误扣1分，扣完为止。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厨政方案</w:t>
            </w:r>
          </w:p>
        </w:tc>
        <w:tc>
          <w:tcPr>
            <w:tcW w:type="dxa" w:w="2575"/>
          </w:tcPr>
          <w:p>
            <w:pPr>
              <w:pStyle w:val="null3"/>
              <w:jc w:val="left"/>
            </w:pPr>
            <w:r>
              <w:rPr>
                <w:rFonts w:ascii="仿宋_GB2312" w:hAnsi="仿宋_GB2312" w:cs="仿宋_GB2312" w:eastAsia="仿宋_GB2312"/>
              </w:rPr>
              <w:t>供应商针对本项目提供的的厨政方案，包括①菜品加工时间及加工方案；②餐食包装方案的得4分，每缺少一项内容扣2分；每项内容有一处错误扣1分，扣完为止。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营运方案</w:t>
            </w:r>
          </w:p>
        </w:tc>
        <w:tc>
          <w:tcPr>
            <w:tcW w:type="dxa" w:w="2575"/>
          </w:tcPr>
          <w:p>
            <w:pPr>
              <w:pStyle w:val="null3"/>
              <w:jc w:val="left"/>
            </w:pPr>
            <w:r>
              <w:rPr>
                <w:rFonts w:ascii="仿宋_GB2312" w:hAnsi="仿宋_GB2312" w:cs="仿宋_GB2312" w:eastAsia="仿宋_GB2312"/>
              </w:rPr>
              <w:t>供应商针对本项目提供的营运方案，包括①现场服务（含餐食分发）方案；②临时配送方案；③供餐数据统计方案；④供餐结算方案；⑤疫情防控方案；⑥垃圾回收清洁方案等内容的得12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供应链服务方案</w:t>
            </w:r>
          </w:p>
        </w:tc>
        <w:tc>
          <w:tcPr>
            <w:tcW w:type="dxa" w:w="2575"/>
          </w:tcPr>
          <w:p>
            <w:pPr>
              <w:pStyle w:val="null3"/>
              <w:jc w:val="left"/>
            </w:pPr>
            <w:r>
              <w:rPr>
                <w:rFonts w:ascii="仿宋_GB2312" w:hAnsi="仿宋_GB2312" w:cs="仿宋_GB2312" w:eastAsia="仿宋_GB2312"/>
              </w:rPr>
              <w:t>供应商针对本项目提供的供应链服务方案，包括①各类食材和物资的采购或租赁计划；②仓储空间需求预估及库存管理方案；③车辆管理、安全管理方案等内容的得6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食品安全方案</w:t>
            </w:r>
          </w:p>
        </w:tc>
        <w:tc>
          <w:tcPr>
            <w:tcW w:type="dxa" w:w="2575"/>
          </w:tcPr>
          <w:p>
            <w:pPr>
              <w:pStyle w:val="null3"/>
              <w:jc w:val="left"/>
            </w:pPr>
            <w:r>
              <w:rPr>
                <w:rFonts w:ascii="仿宋_GB2312" w:hAnsi="仿宋_GB2312" w:cs="仿宋_GB2312" w:eastAsia="仿宋_GB2312"/>
              </w:rPr>
              <w:t>供应商针对本项目提供的食品安全方案，包括①留样方案；②日常巡检方案；③食材自检方案等内容的得9分，每缺少一项内容扣3分；每项内容有一处错误扣1.5分，扣完为止。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575"/>
          </w:tcPr>
          <w:p>
            <w:pPr>
              <w:pStyle w:val="null3"/>
              <w:jc w:val="left"/>
            </w:pPr>
            <w:r>
              <w:rPr>
                <w:rFonts w:ascii="仿宋_GB2312" w:hAnsi="仿宋_GB2312" w:cs="仿宋_GB2312" w:eastAsia="仿宋_GB2312"/>
              </w:rPr>
              <w:t>供应商针对本项目提供的配送方案，包括①食品装运;②人员分配;③配送安全措施;④食品移交流程;⑤配送路线整体规划等内容的得10分，每缺少一项内容扣2分；每项内容有一处错误扣1分，扣完为止。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供应商针对本项目提供的应急预案，包括①食品安全（如食物中毒）突发事件应急预案；②当天菜单中的菜品因故无法全部供应的应急预案；③厨房设备故障应急预案（含断水断电下的生产计划）；④盒饭专用运输车辆中途故障的得8分，每缺少一项内容扣2分；每项内容有一处错误扣1分，扣完为止。 注：内容错误指项目名称、实施地点、涉及的规范、标准与本项目要求不一致或失效、凭空编造、前后逻辑不一致，地点区域错误、方案标题与实际内容不相符合、方案内容不符合采购需求，仅抄录采购文件内容无其他内容、不适用项目实际情况等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详见附件：财务会计制度证明材料.docx</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详见附件：供应商提供特定资格要求.docx</w:t>
      </w:r>
    </w:p>
    <w:p>
      <w:pPr>
        <w:pStyle w:val="null3"/>
        <w:ind w:firstLine="960"/>
        <w:jc w:val="left"/>
      </w:pPr>
      <w:r>
        <w:rPr>
          <w:rFonts w:ascii="仿宋_GB2312" w:hAnsi="仿宋_GB2312" w:cs="仿宋_GB2312" w:eastAsia="仿宋_GB2312"/>
        </w:rPr>
        <w:t>详见附件：技术服务要求偏离表.docx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详见附件：类似业绩.docx</w:t>
      </w:r>
    </w:p>
    <w:p>
      <w:pPr>
        <w:pStyle w:val="null3"/>
        <w:ind w:firstLine="960"/>
        <w:jc w:val="left"/>
      </w:pPr>
      <w:r>
        <w:rPr>
          <w:rFonts w:ascii="仿宋_GB2312" w:hAnsi="仿宋_GB2312" w:cs="仿宋_GB2312" w:eastAsia="仿宋_GB2312"/>
        </w:rPr>
        <w:t>详见附件：人员配备.docx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