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版本号：N512022202500005720250702006</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精神障碍社区康复服务项目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N5120222025000057</w:t>
      </w:r>
    </w:p>
    <w:p>
      <w:pPr>
        <w:pStyle w:val="null3"/>
        <w:jc w:val="center"/>
        <w:outlineLvl w:val="2"/>
      </w:pPr>
      <w:r>
        <w:rPr>
          <w:rFonts w:ascii="仿宋_GB2312" w:hAnsi="仿宋_GB2312" w:cs="仿宋_GB2312" w:eastAsia="仿宋_GB2312"/>
          <w:sz w:val="28"/>
          <w:b/>
        </w:rPr>
        <w:t>乐至县民政局</w:t>
      </w:r>
    </w:p>
    <w:p>
      <w:pPr>
        <w:pStyle w:val="null3"/>
        <w:jc w:val="center"/>
        <w:outlineLvl w:val="2"/>
      </w:pPr>
      <w:r>
        <w:rPr>
          <w:rFonts w:ascii="仿宋_GB2312" w:hAnsi="仿宋_GB2312" w:cs="仿宋_GB2312" w:eastAsia="仿宋_GB2312"/>
          <w:sz w:val="28"/>
          <w:b/>
        </w:rPr>
        <w:t>四川龙之景工程项目管理有限公司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四川龙之景工程项目管理有限公司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乐至县民政局</w:t>
      </w:r>
      <w:r>
        <w:rPr>
          <w:rFonts w:ascii="仿宋_GB2312" w:hAnsi="仿宋_GB2312" w:cs="仿宋_GB2312" w:eastAsia="仿宋_GB2312"/>
        </w:rPr>
        <w:t xml:space="preserve"> 委托，拟对 </w:t>
      </w:r>
      <w:r>
        <w:rPr>
          <w:rFonts w:ascii="仿宋_GB2312" w:hAnsi="仿宋_GB2312" w:cs="仿宋_GB2312" w:eastAsia="仿宋_GB2312"/>
        </w:rPr>
        <w:t>精神障碍社区康复服务项目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资阳市乐至县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N5120222025000057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精神障碍社区康复服务项目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开展精神障碍患者社区康复服务，促进残疾人福利服务发展。根据民政部印发《关于积极推行政府购买精神障碍社区康复服务工作的指导意见》（民发〔2020〕148号）、《开展精康融合行动通知》（民发〔2022〕104号）和《关于印发&lt;加快推进精神障碍社区康复服务工作方案&gt;的通知》（资民发〔2022〕63号）文件等文件要求，我县拟实施2025年精神障碍社区康复站服务项目，该项目符合中央、省、市、县关于加强推进精神障碍社区康复服务工作，对精神障碍患者提供社区康复的专业服务，不断提高精神障碍患者的自理率，帮助其恢复弱化的社会功能，逐步回归社会。</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乐至县民政局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乐至县民乐路31号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边老师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02823351756</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四川龙之景工程项目管理有限公司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四川省成都市武侯区火车南站西路27号1层236号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13330680854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原《国家计委关于印发(招标代理服务费收费标准管理暂行办法)的通知》(计价格[2002]1980号)和《国家发展改革委办公厅关于招标代理服务费有关问题的通知》(发改办价格[2003]857号)的有关规定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乐至县民政局</w:t>
      </w:r>
      <w:r>
        <w:rPr>
          <w:rFonts w:ascii="仿宋_GB2312" w:hAnsi="仿宋_GB2312" w:cs="仿宋_GB2312" w:eastAsia="仿宋_GB2312"/>
        </w:rPr>
        <w:t xml:space="preserve"> 和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乐至县民政局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三、供应商应当及时查看更正公告、更正信息，并根据更正公告、更正信息要求，下载更正后的磋商文件，进行响应文件编制。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供应商提出验收申请之日起30日内组织验收</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严格按照政府采购相关法律法规以及《财政部关于进一步加强政府采购需求和履约验收管理的指 导意见》(财〔2016〕205号)要求执行。</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按照相关法律法规的要求、采购文件的技术要求和中标供应商的响应文件应答及合同约定进行验收。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按照相关法律法规的要求、采购文件的商务要求和中标供应商的响应文件应答及合同约定进行验收。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及《财政部关于进一步加强政府采购需求和履约验收管理的指导见》(财库〔2016〕205号)的要求、采购文件要求、供应商的响应文件、承诺、签订的合同、和国家及行业相关规范标准进行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其他未尽事宜严格按照政府采购相关法律法规以及《财政部关于进一步加强政府采购需求和履约验 收管理的指导意见》(财〔2016〕205号)要求执行。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乐至县民政局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四川龙之景工程项目管理有限公司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联系人：边老师</w:t>
      </w:r>
    </w:p>
    <w:p>
      <w:pPr>
        <w:pStyle w:val="null3"/>
        <w:jc w:val="left"/>
      </w:pPr>
      <w:r>
        <w:rPr>
          <w:rFonts w:ascii="仿宋_GB2312" w:hAnsi="仿宋_GB2312" w:cs="仿宋_GB2312" w:eastAsia="仿宋_GB2312"/>
        </w:rPr>
        <w:t>联系电话：02823351756</w:t>
      </w:r>
    </w:p>
    <w:p>
      <w:pPr>
        <w:pStyle w:val="null3"/>
        <w:jc w:val="left"/>
      </w:pPr>
      <w:r>
        <w:rPr>
          <w:rFonts w:ascii="仿宋_GB2312" w:hAnsi="仿宋_GB2312" w:cs="仿宋_GB2312" w:eastAsia="仿宋_GB2312"/>
        </w:rPr>
        <w:t>地址：乐至县民乐路31号</w:t>
      </w:r>
    </w:p>
    <w:p>
      <w:pPr>
        <w:pStyle w:val="null3"/>
        <w:jc w:val="left"/>
      </w:pPr>
      <w:r>
        <w:rPr>
          <w:rFonts w:ascii="仿宋_GB2312" w:hAnsi="仿宋_GB2312" w:cs="仿宋_GB2312" w:eastAsia="仿宋_GB2312"/>
        </w:rPr>
        <w:t>邮编：641500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联系人：唐老师</w:t>
      </w:r>
    </w:p>
    <w:p>
      <w:pPr>
        <w:pStyle w:val="null3"/>
        <w:jc w:val="left"/>
      </w:pPr>
      <w:r>
        <w:rPr>
          <w:rFonts w:ascii="仿宋_GB2312" w:hAnsi="仿宋_GB2312" w:cs="仿宋_GB2312" w:eastAsia="仿宋_GB2312"/>
        </w:rPr>
        <w:t>联系电话：13330680854</w:t>
      </w:r>
    </w:p>
    <w:p>
      <w:pPr>
        <w:pStyle w:val="null3"/>
        <w:jc w:val="left"/>
      </w:pPr>
      <w:r>
        <w:rPr>
          <w:rFonts w:ascii="仿宋_GB2312" w:hAnsi="仿宋_GB2312" w:cs="仿宋_GB2312" w:eastAsia="仿宋_GB2312"/>
        </w:rPr>
        <w:t>地址：四川省成都市武侯区火车南站西路27号1层236号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C05019900 其他社会保障服务</w:t>
            </w:r>
          </w:p>
        </w:tc>
        <w:tc>
          <w:tcPr>
            <w:tcW w:type="dxa" w:w="821"/>
          </w:tcPr>
          <w:p>
            <w:pPr>
              <w:pStyle w:val="null3"/>
              <w:jc w:val="left"/>
            </w:pPr>
            <w:r>
              <w:rPr>
                <w:rFonts w:ascii="仿宋_GB2312" w:hAnsi="仿宋_GB2312" w:cs="仿宋_GB2312" w:eastAsia="仿宋_GB2312"/>
              </w:rPr>
              <w:t>乐至县民政局精神障碍社区康复服务项目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乐至县民政局精神障碍社区康复服务项目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标的名称：乐至县民政局精神障碍社区康复服务项目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技术参数与性能指标</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77"/>
              <w:gridCol w:w="280"/>
              <w:gridCol w:w="4930"/>
            </w:tblGrid>
            <w:tr>
              <w:tc>
                <w:tcPr>
                  <w:tcW w:type="dxa" w:w="377"/>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spacing w:before="105" w:after="105"/>
                    <w:jc w:val="center"/>
                  </w:pPr>
                  <w:r>
                    <w:rPr>
                      <w:rFonts w:ascii="仿宋_GB2312" w:hAnsi="仿宋_GB2312" w:cs="仿宋_GB2312" w:eastAsia="仿宋_GB2312"/>
                      <w:sz w:val="24"/>
                      <w:b/>
                    </w:rPr>
                    <w:t>参数性质</w:t>
                  </w:r>
                </w:p>
              </w:tc>
              <w:tc>
                <w:tcPr>
                  <w:tcW w:type="dxa" w:w="280"/>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spacing w:before="105" w:after="105"/>
                    <w:jc w:val="center"/>
                  </w:pPr>
                  <w:r>
                    <w:rPr>
                      <w:rFonts w:ascii="仿宋_GB2312" w:hAnsi="仿宋_GB2312" w:cs="仿宋_GB2312" w:eastAsia="仿宋_GB2312"/>
                      <w:sz w:val="24"/>
                      <w:b/>
                    </w:rPr>
                    <w:t>序号</w:t>
                  </w:r>
                </w:p>
              </w:tc>
              <w:tc>
                <w:tcPr>
                  <w:tcW w:type="dxa" w:w="4930"/>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spacing w:before="105" w:after="105"/>
                    <w:jc w:val="center"/>
                  </w:pPr>
                  <w:r>
                    <w:rPr>
                      <w:rFonts w:ascii="仿宋_GB2312" w:hAnsi="仿宋_GB2312" w:cs="仿宋_GB2312" w:eastAsia="仿宋_GB2312"/>
                      <w:sz w:val="24"/>
                      <w:b/>
                    </w:rPr>
                    <w:t>技术参数与性能指标</w:t>
                  </w:r>
                </w:p>
              </w:tc>
            </w:tr>
            <w:tr>
              <w:tc>
                <w:tcPr>
                  <w:tcW w:type="dxa" w:w="37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28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4"/>
                    </w:rPr>
                    <w:t>1</w:t>
                  </w:r>
                </w:p>
              </w:tc>
              <w:tc>
                <w:tcPr>
                  <w:tcW w:type="dxa" w:w="49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before="105" w:after="105"/>
                    <w:ind w:firstLine="482"/>
                    <w:jc w:val="both"/>
                  </w:pPr>
                  <w:r>
                    <w:rPr>
                      <w:rFonts w:ascii="仿宋_GB2312" w:hAnsi="仿宋_GB2312" w:cs="仿宋_GB2312" w:eastAsia="仿宋_GB2312"/>
                      <w:sz w:val="24"/>
                      <w:b/>
                    </w:rPr>
                    <w:t>一、项目概况</w:t>
                  </w:r>
                </w:p>
                <w:p>
                  <w:pPr>
                    <w:pStyle w:val="null3"/>
                    <w:spacing w:before="105" w:after="105"/>
                    <w:ind w:firstLine="480"/>
                    <w:jc w:val="both"/>
                  </w:pPr>
                  <w:r>
                    <w:rPr>
                      <w:rFonts w:ascii="仿宋_GB2312" w:hAnsi="仿宋_GB2312" w:cs="仿宋_GB2312" w:eastAsia="仿宋_GB2312"/>
                      <w:sz w:val="24"/>
                    </w:rPr>
                    <w:t>精神障碍社区康复服务项目将以天池街道、石佛镇、良安镇为重点区域展开，覆盖相邻乡镇（街道）。</w:t>
                  </w:r>
                </w:p>
                <w:p>
                  <w:pPr>
                    <w:pStyle w:val="null3"/>
                    <w:spacing w:before="105" w:after="105"/>
                    <w:ind w:firstLine="482"/>
                    <w:jc w:val="both"/>
                  </w:pPr>
                  <w:r>
                    <w:rPr>
                      <w:rFonts w:ascii="仿宋_GB2312" w:hAnsi="仿宋_GB2312" w:cs="仿宋_GB2312" w:eastAsia="仿宋_GB2312"/>
                      <w:sz w:val="24"/>
                      <w:b/>
                    </w:rPr>
                    <w:t>二、项目内容</w:t>
                  </w:r>
                </w:p>
                <w:p>
                  <w:pPr>
                    <w:pStyle w:val="null3"/>
                    <w:spacing w:before="105" w:after="105"/>
                    <w:ind w:firstLine="482"/>
                    <w:jc w:val="both"/>
                  </w:pPr>
                  <w:r>
                    <w:rPr>
                      <w:rFonts w:ascii="仿宋_GB2312" w:hAnsi="仿宋_GB2312" w:cs="仿宋_GB2312" w:eastAsia="仿宋_GB2312"/>
                      <w:sz w:val="24"/>
                      <w:b/>
                    </w:rPr>
                    <w:t>（一）短期目标</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1）阵地建设：依托基层卫生院或社区党群便民服务中心建立服务站点。按照站点的功能定位，为社区精神障碍患者提供多样化的社区康复服务。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个案管理：组织开展为掌握服务对象基本情况及需求情况的基础性服务，40%以上居家精神障碍患者接受社区精神康复服务，规范服务率85%以上。包含：建档、入户探访、电话探访等。入户探访300人次/年，接受社区康复服务的居家精神障碍患者建档符合率达100%。</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小组工作：为居家精神障碍患者提供心理情绪辅导服务、知识分享服务、技能培训服务等，促进其在兴趣爱好、态度、知识、技能等方面的成长和发展；为服务对象的照顾者提供减压互助服务，照顾技能提升服务、改善家庭关系服务等， 促进服务对象的家庭和谐，提高家属对服务对象的理解和支持。开展小组5个，活动节数≥60次。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疾病与健康管理训练：为居家精神障碍患者、监护人及家属、精神卫生医生等，提供支持性服务。主要包括：精神分裂症的识别、自主服药技能、药物的依从性、社区康复的作用、健康的生活方式等。每月不低于1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5）家属联谊会：邀请精神障碍患者家属，参加主题座谈会，开展健康指导、专家培训等，了解患者情况，疏导家属压力，促进家属认识互助等。每季度不低于1次。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6）社会融合：为辖区居家精神障碍患者、监护人及家属、精神卫生医生等开展联谊会、社会倡导、志愿服务、精神卫生日宣传等，促进社区居民与精神病康复者及其家庭的互动和融合。每两月不低于1次。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7）督导/咨询：项目工作组每季度接受专业培训至少一次，保证项目服务质量。每季度不低于1次。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8）外展服务：结合辖区内资源情况，以及服务对象的实际需求情况，创新开展特色服务或更具探索性的深度服务。</w:t>
                  </w:r>
                </w:p>
                <w:p>
                  <w:pPr>
                    <w:pStyle w:val="null3"/>
                    <w:spacing w:before="105" w:after="105"/>
                    <w:ind w:firstLine="482"/>
                    <w:jc w:val="both"/>
                  </w:pPr>
                  <w:r>
                    <w:rPr>
                      <w:rFonts w:ascii="仿宋_GB2312" w:hAnsi="仿宋_GB2312" w:cs="仿宋_GB2312" w:eastAsia="仿宋_GB2312"/>
                      <w:sz w:val="24"/>
                      <w:b/>
                    </w:rPr>
                    <w:t>（二）中期目标</w:t>
                  </w:r>
                </w:p>
                <w:p>
                  <w:pPr>
                    <w:pStyle w:val="null3"/>
                    <w:spacing w:before="105" w:after="105"/>
                    <w:ind w:firstLine="480"/>
                    <w:jc w:val="both"/>
                  </w:pPr>
                  <w:r>
                    <w:rPr>
                      <w:rFonts w:ascii="仿宋_GB2312" w:hAnsi="仿宋_GB2312" w:cs="仿宋_GB2312" w:eastAsia="仿宋_GB2312"/>
                      <w:sz w:val="24"/>
                    </w:rPr>
                    <w:t>以一中心多站点的模式为推进手段，以服务项目社会化的服务形式，发挥社会组织在社区康复服务工作中专业优势。协助精神障碍患者恢复社会适应能力，降低精神障碍患者病情复发率、致残率，不断提高精神障碍患者自理率、就业率。</w:t>
                  </w:r>
                </w:p>
                <w:p>
                  <w:pPr>
                    <w:pStyle w:val="null3"/>
                    <w:spacing w:before="105" w:after="105"/>
                    <w:ind w:firstLine="482"/>
                    <w:jc w:val="both"/>
                  </w:pPr>
                  <w:r>
                    <w:rPr>
                      <w:rFonts w:ascii="仿宋_GB2312" w:hAnsi="仿宋_GB2312" w:cs="仿宋_GB2312" w:eastAsia="仿宋_GB2312"/>
                      <w:sz w:val="24"/>
                      <w:b/>
                    </w:rPr>
                    <w:t>（三）长期目标</w:t>
                  </w:r>
                </w:p>
                <w:p>
                  <w:pPr>
                    <w:pStyle w:val="null3"/>
                    <w:spacing w:before="105" w:after="105"/>
                    <w:ind w:firstLine="480"/>
                    <w:jc w:val="both"/>
                  </w:pPr>
                  <w:r>
                    <w:rPr>
                      <w:rFonts w:ascii="仿宋_GB2312" w:hAnsi="仿宋_GB2312" w:cs="仿宋_GB2312" w:eastAsia="仿宋_GB2312"/>
                      <w:sz w:val="24"/>
                    </w:rPr>
                    <w:t>依托专业社工机构，链接整合资源，搭建</w:t>
                  </w:r>
                  <w:r>
                    <w:rPr>
                      <w:rFonts w:ascii="仿宋_GB2312" w:hAnsi="仿宋_GB2312" w:cs="仿宋_GB2312" w:eastAsia="仿宋_GB2312"/>
                      <w:sz w:val="24"/>
                    </w:rPr>
                    <w:t>“社区为依托、专业医疗机构介入、社会力量参与、家庭监护”的社区康复服务网；发挥社会组织平台优势，对重点区域、重点人群进行心理辅导、情感抚慰，有效缓解患者及家属心理压力；帮助精神障碍患者提高生活自理能力，摆脱疾病困扰、恢复职业能力，增强适应社会能力，走出家门、融入社区，回归社会；引导社区、社会摒弃对精神障碍患者的偏见与歧视，增进社会接纳包容，为精神障碍患者提供精神支持、社会支持和就业机会，促进家庭幸福、社会公平和谐。</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服务对象</w:t>
            </w:r>
          </w:p>
        </w:tc>
        <w:tc>
          <w:tcPr>
            <w:tcW w:type="dxa" w:w="5814"/>
          </w:tcPr>
          <w:p>
            <w:pPr>
              <w:pStyle w:val="null3"/>
              <w:ind w:firstLine="482"/>
              <w:jc w:val="left"/>
            </w:pPr>
            <w:r>
              <w:rPr>
                <w:rFonts w:ascii="仿宋_GB2312" w:hAnsi="仿宋_GB2312" w:cs="仿宋_GB2312" w:eastAsia="仿宋_GB2312"/>
                <w:sz w:val="24"/>
              </w:rPr>
              <w:t>1.主要对象：经专业医疗机构诊断患有精神分裂症、情感性精神障碍、器质性精神障碍等精神障碍，且病情稳定但仍需康复训练和支持，具备一定康复潜力的患者。</w:t>
            </w:r>
          </w:p>
          <w:p>
            <w:pPr>
              <w:pStyle w:val="null3"/>
              <w:jc w:val="both"/>
            </w:pPr>
            <w:r>
              <w:rPr>
                <w:rFonts w:ascii="仿宋_GB2312" w:hAnsi="仿宋_GB2312" w:cs="仿宋_GB2312" w:eastAsia="仿宋_GB2312"/>
                <w:sz w:val="24"/>
              </w:rPr>
              <w:t xml:space="preserve">   2.扩展对象：精神障碍患者家属及照顾者，社区内的居民及相关工作人员。</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实施步骤</w:t>
            </w:r>
          </w:p>
        </w:tc>
        <w:tc>
          <w:tcPr>
            <w:tcW w:type="dxa" w:w="5814"/>
          </w:tcPr>
          <w:p>
            <w:pPr>
              <w:pStyle w:val="null3"/>
              <w:ind w:firstLine="640"/>
              <w:jc w:val="left"/>
            </w:pPr>
            <w:r>
              <w:rPr>
                <w:rFonts w:ascii="仿宋_GB2312" w:hAnsi="仿宋_GB2312" w:cs="仿宋_GB2312" w:eastAsia="仿宋_GB2312"/>
                <w:sz w:val="24"/>
              </w:rPr>
              <w:t>本项目周期为730日，分为前期准备、服务实施、总结评估三个阶段。</w:t>
            </w:r>
          </w:p>
          <w:p>
            <w:pPr>
              <w:pStyle w:val="null3"/>
              <w:ind w:firstLine="640"/>
              <w:jc w:val="left"/>
            </w:pPr>
            <w:r>
              <w:rPr>
                <w:rFonts w:ascii="仿宋_GB2312" w:hAnsi="仿宋_GB2312" w:cs="仿宋_GB2312" w:eastAsia="仿宋_GB2312"/>
                <w:sz w:val="24"/>
              </w:rPr>
              <w:t>1.前期准备：成立工作组，明确职责分工；进行社区调研，了解患者及其家庭的需求；制定详细的服务计划和时间表。</w:t>
            </w:r>
          </w:p>
          <w:p>
            <w:pPr>
              <w:pStyle w:val="null3"/>
              <w:ind w:firstLine="640"/>
              <w:jc w:val="left"/>
            </w:pPr>
            <w:r>
              <w:rPr>
                <w:rFonts w:ascii="仿宋_GB2312" w:hAnsi="仿宋_GB2312" w:cs="仿宋_GB2312" w:eastAsia="仿宋_GB2312"/>
                <w:sz w:val="24"/>
              </w:rPr>
              <w:t>2.服务实施：开展康复评估，制定个性化康复计划；按计划提供心理支持、生活技能训练、职业康复等服务；定期组织社区融入活动和家庭支持活动。</w:t>
            </w:r>
          </w:p>
          <w:p>
            <w:pPr>
              <w:pStyle w:val="null3"/>
              <w:ind w:firstLine="640"/>
              <w:jc w:val="left"/>
            </w:pPr>
            <w:r>
              <w:rPr>
                <w:rFonts w:ascii="仿宋_GB2312" w:hAnsi="仿宋_GB2312" w:cs="仿宋_GB2312" w:eastAsia="仿宋_GB2312"/>
                <w:sz w:val="24"/>
              </w:rPr>
              <w:t>3.监测与评估：定期对服务效果进行监测和评估，收集患者及其家属的反馈；根据评估结果调整服务内容和方式，确保服务效果。</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资源保障</w:t>
            </w:r>
          </w:p>
        </w:tc>
        <w:tc>
          <w:tcPr>
            <w:tcW w:type="dxa" w:w="5814"/>
          </w:tcPr>
          <w:p>
            <w:pPr>
              <w:pStyle w:val="null3"/>
              <w:ind w:firstLine="640"/>
              <w:jc w:val="left"/>
            </w:pPr>
            <w:r>
              <w:rPr>
                <w:rFonts w:ascii="仿宋_GB2312" w:hAnsi="仿宋_GB2312" w:cs="仿宋_GB2312" w:eastAsia="仿宋_GB2312"/>
                <w:sz w:val="24"/>
              </w:rPr>
              <w:t>1.人力资源：招募志愿者，协助开展社区活动和服务。</w:t>
            </w:r>
          </w:p>
          <w:p>
            <w:pPr>
              <w:pStyle w:val="null3"/>
              <w:ind w:firstLine="640"/>
              <w:jc w:val="left"/>
            </w:pPr>
            <w:r>
              <w:rPr>
                <w:rFonts w:ascii="仿宋_GB2312" w:hAnsi="仿宋_GB2312" w:cs="仿宋_GB2312" w:eastAsia="仿宋_GB2312"/>
                <w:sz w:val="24"/>
              </w:rPr>
              <w:t>2</w:t>
            </w:r>
            <w:r>
              <w:rPr>
                <w:rFonts w:ascii="仿宋_GB2312" w:hAnsi="仿宋_GB2312" w:cs="仿宋_GB2312" w:eastAsia="仿宋_GB2312"/>
                <w:sz w:val="24"/>
              </w:rPr>
              <w:t>.设施与设备：利用社区基层卫生院和社区党群便民服务中心现有的康复设施和活动场所，配备必要的康复训练设备和心理测评工具。</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both"/>
            </w:pPr>
            <w:r>
              <w:rPr>
                <w:rFonts w:ascii="仿宋_GB2312" w:hAnsi="仿宋_GB2312" w:cs="仿宋_GB2312" w:eastAsia="仿宋_GB2312"/>
                <w:sz w:val="21"/>
              </w:rPr>
              <w:t>1、本项目所有工作成果知识产权归属</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投标人应保证在本项目中使用的任何软件和服务（包括部分使用），不会产生因第三方提出侵犯其专利权、商标权或其它知识产权而引起的法律和经济纠纷，如因专利权、商标权或其它知识产权而引起法律和经济纠纷，由投标人承担所有相关责任。</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2）除非招标文件特别规定，采购人享有本项目实施过程中产生的知识成果及知识产权。</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3）如采用投标人所不拥有的知识产权，则在报价中必须包括合法获取该知识产权的相关费用，否则产生的相应费用均应当由投标人自行承担。</w:t>
            </w:r>
            <w:r>
              <w:br/>
            </w:r>
            <w:r>
              <w:rPr>
                <w:rFonts w:ascii="仿宋_GB2312" w:hAnsi="仿宋_GB2312" w:cs="仿宋_GB2312" w:eastAsia="仿宋_GB2312"/>
                <w:sz w:val="21"/>
              </w:rPr>
              <w:t xml:space="preserve"> 2、成本补偿和风险分担约定</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1）成本补偿：无。</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风险承担：投标人按有关规定采取严格的项目实施安全措施，承担由于自身安全措施不力造成的事故责任和因此发生的费用及后果。投标人投入本项目工作人员的人身安全由投标人负责。投标人应为本项目工作人员购买人身意外伤害险及与项目施工有关的一切保险。凡在项目实施过程中发生安全责任事故或其他责任事故，均由投标人承担全部民事和刑事责任，采购人概不负责。如因项目质量问题及维修不及时造成的人身伤害投标人应依法承担全部责任。</w:t>
            </w:r>
            <w:r>
              <w:br/>
            </w:r>
            <w:r>
              <w:rPr>
                <w:rFonts w:ascii="仿宋_GB2312" w:hAnsi="仿宋_GB2312" w:cs="仿宋_GB2312" w:eastAsia="仿宋_GB2312"/>
                <w:sz w:val="21"/>
              </w:rPr>
              <w:t xml:space="preserve"> 3、投标人结合本项目实际情况提供本项目服务方案，包含但不限于：①总体 运营思路;②服务及运营流程;③服务及运营措施;④服务人员 配置及管理;⑤针对项目重难点 的解决措施;⑥服务方案创新性(社会工作服务技术、标准、政 策、制度等方面有创新突能 开创本土专业社会工作服务项目 化运作方法与模式坡，等)。</w:t>
            </w:r>
            <w:r>
              <w:br/>
            </w:r>
            <w:r>
              <w:rPr>
                <w:rFonts w:ascii="仿宋_GB2312" w:hAnsi="仿宋_GB2312" w:cs="仿宋_GB2312" w:eastAsia="仿宋_GB2312"/>
                <w:sz w:val="21"/>
              </w:rPr>
              <w:t xml:space="preserve"> 4、投标人结合本项目实际情况提供本项目应急方案，包含但不限于：①应急制度;② 应急人员配置;③应急措施等内容。</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自合同签订之日起730日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资阳市乐至县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政府采购相关法律法规及《财政部关于进一步加强政府采购需求和履约验收管理的指导见》(财库〔2016〕205号)的要求、采购文件要求、供应商的响应文件、承诺、签订的合同、和国家及行业相关规范标准进行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1、前期进度款，合同签订后，采购人收到供应商出具的有效票据，支付总价的20.00% ，达到付款条件起15日内，据实情况说明为采购人收到供应商出具的有效票据，达到付款条件起15日内，支 付总价的20.00%</w:t>
            </w:r>
          </w:p>
          <w:p>
            <w:pPr>
              <w:pStyle w:val="null3"/>
              <w:jc w:val="left"/>
            </w:pPr>
            <w:r>
              <w:rPr>
                <w:rFonts w:ascii="仿宋_GB2312" w:hAnsi="仿宋_GB2312" w:cs="仿宋_GB2312" w:eastAsia="仿宋_GB2312"/>
              </w:rPr>
              <w:t>2、进度款，中期考核（中期考核为合同签订后的第12个月或第13个月内），经过采购人评估合格达到服务效果后，采购人收到供应商出具的有效票据，支付合同总金额的40.00% ，达到付款条件起15日内，据实情况说明为经过采购人评估合格达到服务效果后，采购人收到供应商出具的有效票据，支付合同总金额的40.00%</w:t>
            </w:r>
          </w:p>
          <w:p>
            <w:pPr>
              <w:pStyle w:val="null3"/>
              <w:jc w:val="left"/>
            </w:pPr>
            <w:r>
              <w:rPr>
                <w:rFonts w:ascii="仿宋_GB2312" w:hAnsi="仿宋_GB2312" w:cs="仿宋_GB2312" w:eastAsia="仿宋_GB2312"/>
              </w:rPr>
              <w:t>3、尾款，供应商完成履约并验收合格，采购人收到供应商出具的有效票据，支付合同总金额的40.00%，达到付款条件起15日内，据实情况说明为供应商完成履约并验收合格，采购人收到供应商出具的有效票据，支付合同总金额的40.00%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根据相关法律法规解决。</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或《民办非企业单位登记证书》”；④若为自然人：提供“身份证明文件”。具备第①-④项具有同等效力，供应商可根据自身实际情况选择提供其中任意一项）。 2、供应商需在使用投标(响应)客户端编制响应文件时，按要求填写《投标（响应）函》完成承诺并进行电子签章。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响应文件封面,中小企业声明函,残疾人福利性单位声明函,供应商应提交的相关证明材料,具有健全财务会计制度的证明材料,投标（响应）函,监狱企业的证明文件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 诺并进行电子签章。{①可提供投标截止时间前三年内任意一年经审计的财务报告复印件 (包含审计报告 和审计报告中所涉及的财务报表和报表附注);②也可提供投标截止时间前 三年内任意一年投标人内部的财务报表复印件(至少包含资产负债表和利润表);③也可提 供投标截止时间前一年内银行出具的有效资信证明；④投标人注册时间距投标截止时间不足一年的，也可提供在工商备案的公司章程复印件。投标人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人员配置情况表.docx,供应商应提交的相关证明材料,投标（响应）函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评审委员会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根据供应商针对本项目实际情况 制定的服务方案进行评审，方案 内容至少包含以下六项：①总体 运营思路；②服务及运营流程；③服务及运营措施；④服务人员 配置及管理；⑤针对项目重难点 的解决措施；⑥服务方案创新性 （社会工作服务技术、标准、政 策、制度等方面有创新突破，能 开创本土专业社会工作服务项目 化运作方法与模式等）。方案内容符合或优于磋商文件要求的得 48分；有缺项或漏项的，每一项扣8分；每有一项存在缺陷的，扣3 分。本项最多得48分。（说明：以上“缺陷”是指项目名称、实施地点、涉及的规范、标准与本项目要求不一致，或内容过于简略仅有框架或标题或缺少关键环节，没有具体实施方法，或前后内容互相矛盾，或套用其他无关项目方案，或存在与本项目无关的内容。）</w:t>
            </w:r>
          </w:p>
        </w:tc>
        <w:tc>
          <w:tcPr>
            <w:tcW w:type="dxa" w:w="831"/>
          </w:tcPr>
          <w:p>
            <w:pPr>
              <w:pStyle w:val="null3"/>
              <w:jc w:val="center"/>
            </w:pPr>
            <w:r>
              <w:rPr>
                <w:rFonts w:ascii="仿宋_GB2312" w:hAnsi="仿宋_GB2312" w:cs="仿宋_GB2312" w:eastAsia="仿宋_GB2312"/>
              </w:rPr>
              <w:t>48.0000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575"/>
          </w:tcPr>
          <w:p>
            <w:pPr>
              <w:pStyle w:val="null3"/>
              <w:jc w:val="left"/>
            </w:pPr>
            <w:r>
              <w:rPr>
                <w:rFonts w:ascii="仿宋_GB2312" w:hAnsi="仿宋_GB2312" w:cs="仿宋_GB2312" w:eastAsia="仿宋_GB2312"/>
              </w:rPr>
              <w:t>根据供应商针对本项目提供的应 急方案进行评审，方案内容至少 包含以下三项：①应急制度；② 应急人员配置；③应急措施等内 容。方案内容符合或优于磋商文件要求的得18分；有缺项或漏项 的，每一项扣6分；存在缺陷的，每一项扣2分，本项最多得18 分。（说明：以上“缺陷”是指项目名称、实施地点、涉及的规范、标准与本项目要求不一致，或内容过于简略仅有框架或标题或缺少关键环节，没有具体实施方法，或前后内容互相矛盾，或套用其他无关项目方案，或存在与本项目无关的内容。）</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应急方案.docx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575"/>
          </w:tcPr>
          <w:p>
            <w:pPr>
              <w:pStyle w:val="null3"/>
              <w:jc w:val="left"/>
            </w:pPr>
            <w:r>
              <w:rPr>
                <w:rFonts w:ascii="仿宋_GB2312" w:hAnsi="仿宋_GB2312" w:cs="仿宋_GB2312" w:eastAsia="仿宋_GB2312"/>
              </w:rPr>
              <w:t>1.供应商拟派本项目服务人员中具有社会工作师资格的得4分。 2.供应商拟派本项目服务人员中具有护士资格证的得4分。 3.供应商拟派本项目服务人员中具有康复技师的得4分。 4.供应商拟派本项目服务人员中具有心理治疗师的得3分。 本项最多得15分。（注：以上人员中，同一人员不得提供不同类别（级别） 的证书，同一人员不重复计分。提供以上人员相关证书复印件和身份证复印件；加盖单位章）</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人员配置情况表.docx</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供应商提供自2022年1月1日（含 1日）至投标截止日，每具有1个 类似项目业绩得3分，本项最多 得9分。 注：类似项目是指：康复类业绩，社区服务类业绩。提供合同/协议复印件。</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类似业绩一览表.docx</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足磋商文件要求且最后报价最 低的供应商的价格为磋商基准价，其价格分为满分。其他供应商的价格分统一按照下列公式计算：磋商报价得分=(磋商基准价/最后磋商报价)×10%×100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报价明细表,中小企业声明函,残疾人福利性单位声明函,供应商应提交的相关证明材料,报价表,监狱企业的证明文件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详见附件：类似业绩一览表.docx</w:t>
      </w:r>
    </w:p>
    <w:p>
      <w:pPr>
        <w:pStyle w:val="null3"/>
        <w:ind w:firstLine="960"/>
        <w:jc w:val="left"/>
      </w:pPr>
      <w:r>
        <w:rPr>
          <w:rFonts w:ascii="仿宋_GB2312" w:hAnsi="仿宋_GB2312" w:cs="仿宋_GB2312" w:eastAsia="仿宋_GB2312"/>
        </w:rPr>
        <w:t>详见附件：人员配置情况表.docx</w:t>
      </w:r>
    </w:p>
    <w:p>
      <w:pPr>
        <w:pStyle w:val="null3"/>
        <w:ind w:firstLine="960"/>
        <w:jc w:val="left"/>
      </w:pPr>
      <w:r>
        <w:rPr>
          <w:rFonts w:ascii="仿宋_GB2312" w:hAnsi="仿宋_GB2312" w:cs="仿宋_GB2312" w:eastAsia="仿宋_GB2312"/>
        </w:rPr>
        <w:t>详见附件：应急方案.docx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