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版本号：N510701202500013120250514001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（货物类）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运动促进健康管理系统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N5107012025000131</w:t>
      </w:r>
    </w:p>
    <w:p>
      <w:pPr>
        <w:pStyle w:val="null3"/>
        <w:jc w:val="center"/>
        <w:outlineLvl w:val="2"/>
      </w:pPr>
      <w:r>
        <w:rPr>
          <w:rFonts w:ascii="仿宋_GB2312" w:hAnsi="仿宋_GB2312" w:cs="仿宋_GB2312" w:eastAsia="仿宋_GB2312"/>
          <w:sz w:val="28"/>
          <w:b/>
        </w:rPr>
        <w:t>绵阳市第三人民医院</w:t>
      </w:r>
    </w:p>
    <w:p>
      <w:pPr>
        <w:pStyle w:val="null3"/>
        <w:jc w:val="center"/>
        <w:outlineLvl w:val="2"/>
      </w:pPr>
      <w:r>
        <w:rPr>
          <w:rFonts w:ascii="仿宋_GB2312" w:hAnsi="仿宋_GB2312" w:cs="仿宋_GB2312" w:eastAsia="仿宋_GB2312"/>
          <w:sz w:val="28"/>
          <w:b/>
        </w:rPr>
        <w:t>四川九星工程管理有限公司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2025年05月14日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四川九星工程管理有限公司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绵阳市第三人民医院</w:t>
      </w:r>
      <w:r>
        <w:rPr>
          <w:rFonts w:ascii="仿宋_GB2312" w:hAnsi="仿宋_GB2312" w:cs="仿宋_GB2312" w:eastAsia="仿宋_GB2312"/>
        </w:rPr>
        <w:t xml:space="preserve"> 委托，拟对 </w:t>
      </w:r>
      <w:r>
        <w:rPr>
          <w:rFonts w:ascii="仿宋_GB2312" w:hAnsi="仿宋_GB2312" w:cs="仿宋_GB2312" w:eastAsia="仿宋_GB2312"/>
        </w:rPr>
        <w:t>运动促进健康管理系统</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绵阳市市本级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N5107012025000131</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运动促进健康管理系统</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采购运动促进健康管理系统一套，用于通过对健康与亚健康人群的体适能、慢病管理、营养及运动干预管理，解决健康、亚健康、慢病人群的运动和营养健康管理问题。</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所投产品属于医疗器械的，供应商须符合《医疗器械监督管理条例》要求。属于第二类医疗器械的，供应商非所投产品生产厂家须提供《医疗器械经营备案凭证》；属于第三类医疗器械的，供应商非所投产品生产厂家须提供《医疗器械经营许可证》（医疗器械经营备案凭证或医疗器械经营许可证经营范围须包含所投产品）。（描述：所投产品属于医疗器械的，供应商须符合《医疗器械监督管理条例》要求。属于第二类医疗器械的，供应商非所投产品生产厂家须提供《医疗器械经营备案凭证》；属于第三类医疗器械的，供应商非所投产品生产厂家须提供《医疗器械经营许可证》（医疗器械经营备案凭证或医疗器械经营许可证经营范围须包含所投产品）。）</w:t>
      </w:r>
    </w:p>
    <w:p>
      <w:pPr>
        <w:pStyle w:val="null3"/>
        <w:jc w:val="left"/>
      </w:pPr>
      <w:r>
        <w:rPr>
          <w:rFonts w:ascii="仿宋_GB2312" w:hAnsi="仿宋_GB2312" w:cs="仿宋_GB2312" w:eastAsia="仿宋_GB2312"/>
        </w:rPr>
        <w:t>2、所投产品属于医疗器械的，投标产品须符合《医疗器械注册与备案管理办法》要求，须提供产品的生产许可证或第一类医疗器械生产备案凭证以及医疗器械产品注册证或第一类医疗器械备案凭证 注：不属于医疗器械的，须提供说明或产品分类界定文件等有效证明文件。（描述：所投产品属于医疗器械的，投标产品须符合《医疗器械注册与备案管理办法》要求，须提供产品的生产许可证或第一类医疗器械生产备案凭证以及医疗器械产品注册证或第一类医疗器械备案凭证 注：不属于医疗器械的，须提供说明或产品分类界定文件等有效证明文件。）</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绵阳市第三人民医院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绵阳市剑南路东段190号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严僖秒</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13778135268</w:t>
      </w:r>
    </w:p>
    <w:p>
      <w:pPr>
        <w:pStyle w:val="null3"/>
        <w:ind w:firstLine="480"/>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四川九星工程管理有限公司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四川省绵阳市科创园区科技路79-9号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0816-6079776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采购包1：600,000.00元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本项目代理服务费以中标（成交）通知书确定的中标（成交）总金额为收费基数，参照国家计委《招标代理服务收费管理暂行办法》(计价格【2002】1980号)规定和发改办价格〔2003〕857号文件规定的收费标准下浮40%收取。</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绵阳市第三人民医院</w:t>
      </w:r>
      <w:r>
        <w:rPr>
          <w:rFonts w:ascii="仿宋_GB2312" w:hAnsi="仿宋_GB2312" w:cs="仿宋_GB2312" w:eastAsia="仿宋_GB2312"/>
        </w:rPr>
        <w:t xml:space="preserve"> 和 </w:t>
      </w:r>
      <w:r>
        <w:rPr>
          <w:rFonts w:ascii="仿宋_GB2312" w:hAnsi="仿宋_GB2312" w:cs="仿宋_GB2312" w:eastAsia="仿宋_GB2312"/>
        </w:rPr>
        <w:t>四川九星工程管理有限公司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绵阳市第三人民医院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二、“供应商”是指在按照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四川九星工程管理有限公司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ind w:firstLine="480"/>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rFonts w:ascii="仿宋_GB2312" w:hAnsi="仿宋_GB2312" w:cs="仿宋_GB2312" w:eastAsia="仿宋_GB2312"/>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货到安装验收合格</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符合技术参数要求</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符合商务要求</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号）、《绵阳市财政局关于进一步做好政府采购项目履约验收工作的通知》（绵财采〔2021〕15号）的要求及采购文件的技术要求、响应文件响应情况和国家、行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绵阳市第三人民医院</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四川九星工程管理有限公司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四川九星工程管理有限公司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联系人：江老师</w:t>
      </w:r>
    </w:p>
    <w:p>
      <w:pPr>
        <w:pStyle w:val="null3"/>
        <w:jc w:val="left"/>
      </w:pPr>
      <w:r>
        <w:rPr>
          <w:rFonts w:ascii="仿宋_GB2312" w:hAnsi="仿宋_GB2312" w:cs="仿宋_GB2312" w:eastAsia="仿宋_GB2312"/>
        </w:rPr>
        <w:t>联系电话：0816-6079778/0816-6079776</w:t>
      </w:r>
    </w:p>
    <w:p>
      <w:pPr>
        <w:pStyle w:val="null3"/>
        <w:jc w:val="left"/>
      </w:pPr>
      <w:r>
        <w:rPr>
          <w:rFonts w:ascii="仿宋_GB2312" w:hAnsi="仿宋_GB2312" w:cs="仿宋_GB2312" w:eastAsia="仿宋_GB2312"/>
        </w:rPr>
        <w:t>地址：四川省绵阳市科创园区科技路79-9号</w:t>
      </w:r>
    </w:p>
    <w:p>
      <w:pPr>
        <w:pStyle w:val="null3"/>
        <w:jc w:val="left"/>
      </w:pPr>
      <w:r>
        <w:rPr>
          <w:rFonts w:ascii="仿宋_GB2312" w:hAnsi="仿宋_GB2312" w:cs="仿宋_GB2312" w:eastAsia="仿宋_GB2312"/>
        </w:rPr>
        <w:t>邮编：621000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600,000.00</w:t>
      </w:r>
    </w:p>
    <w:p>
      <w:pPr>
        <w:pStyle w:val="null3"/>
        <w:jc w:val="left"/>
      </w:pPr>
      <w:r>
        <w:rPr>
          <w:rFonts w:ascii="仿宋_GB2312" w:hAnsi="仿宋_GB2312" w:cs="仿宋_GB2312" w:eastAsia="仿宋_GB2312"/>
        </w:rPr>
        <w:t>采购包最高限价（元）: 600,000.00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运动促进健康管理系统</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600,000.00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运动促进健康管理系统</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600,000.00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A02329900 其他医疗设备</w:t>
            </w:r>
          </w:p>
        </w:tc>
        <w:tc>
          <w:tcPr>
            <w:tcW w:type="dxa" w:w="2492"/>
          </w:tcPr>
          <w:p>
            <w:pPr>
              <w:pStyle w:val="null3"/>
              <w:jc w:val="left"/>
            </w:pPr>
            <w:r>
              <w:rPr>
                <w:rFonts w:ascii="仿宋_GB2312" w:hAnsi="仿宋_GB2312" w:cs="仿宋_GB2312" w:eastAsia="仿宋_GB2312"/>
              </w:rPr>
              <w:t>运动促进健康管理系统</w:t>
            </w:r>
          </w:p>
        </w:tc>
        <w:tc>
          <w:tcPr>
            <w:tcW w:type="dxa" w:w="2492"/>
          </w:tcPr>
          <w:p>
            <w:pPr>
              <w:pStyle w:val="null3"/>
              <w:jc w:val="left"/>
            </w:pPr>
            <w:r>
              <w:rPr>
                <w:rFonts w:ascii="仿宋_GB2312" w:hAnsi="仿宋_GB2312" w:cs="仿宋_GB2312" w:eastAsia="仿宋_GB2312"/>
              </w:rPr>
              <w:t>运动促进健康管理系统</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标的名称：运动促进健康管理系统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both"/>
            </w:pPr>
            <w:r>
              <w:rPr>
                <w:rFonts w:ascii="仿宋_GB2312" w:hAnsi="仿宋_GB2312" w:cs="仿宋_GB2312" w:eastAsia="仿宋_GB2312"/>
                <w:sz w:val="32"/>
                <w:b/>
              </w:rPr>
              <w:t>★</w:t>
            </w:r>
            <w:r>
              <w:rPr>
                <w:rFonts w:ascii="仿宋_GB2312" w:hAnsi="仿宋_GB2312" w:cs="仿宋_GB2312" w:eastAsia="仿宋_GB2312"/>
                <w:sz w:val="28"/>
              </w:rPr>
              <w:t>一、设备用途：</w:t>
            </w:r>
          </w:p>
          <w:p>
            <w:pPr>
              <w:pStyle w:val="null3"/>
              <w:ind w:firstLine="544"/>
              <w:jc w:val="both"/>
            </w:pPr>
            <w:r>
              <w:rPr>
                <w:rFonts w:ascii="仿宋_GB2312" w:hAnsi="仿宋_GB2312" w:cs="仿宋_GB2312" w:eastAsia="仿宋_GB2312"/>
                <w:sz w:val="28"/>
              </w:rPr>
              <w:t>通过对健康与亚健康人群的体适能、慢病管理、营养及运动干预管理，解决健康、亚健康、慢病人群的运动和营养健康管理问题。产品能智能测评、出具运动处方，具有测评自助进行，报告自动出具，运动处方和营养建议智能生成，运动数据自动收集，简单易操作的特点，可在用户移动端进行报告查阅等功能。</w:t>
            </w:r>
          </w:p>
          <w:p>
            <w:pPr>
              <w:pStyle w:val="null3"/>
              <w:jc w:val="both"/>
            </w:pPr>
            <w:r>
              <w:rPr>
                <w:rFonts w:ascii="仿宋_GB2312" w:hAnsi="仿宋_GB2312" w:cs="仿宋_GB2312" w:eastAsia="仿宋_GB2312"/>
                <w:sz w:val="32"/>
                <w:b/>
              </w:rPr>
              <w:t>★</w:t>
            </w:r>
            <w:r>
              <w:rPr>
                <w:rFonts w:ascii="仿宋_GB2312" w:hAnsi="仿宋_GB2312" w:cs="仿宋_GB2312" w:eastAsia="仿宋_GB2312"/>
                <w:sz w:val="28"/>
              </w:rPr>
              <w:t>二、系统组成：</w:t>
            </w:r>
          </w:p>
          <w:p>
            <w:pPr>
              <w:pStyle w:val="null3"/>
              <w:ind w:firstLine="544"/>
              <w:jc w:val="both"/>
            </w:pPr>
            <w:r>
              <w:rPr>
                <w:rFonts w:ascii="仿宋_GB2312" w:hAnsi="仿宋_GB2312" w:cs="仿宋_GB2312" w:eastAsia="仿宋_GB2312"/>
                <w:sz w:val="28"/>
              </w:rPr>
              <w:t>1、硬件：人体成分分析仪、心肺功能测试训练仪—功率车、辅助力量训练设备</w:t>
            </w:r>
            <w:r>
              <w:rPr>
                <w:rFonts w:ascii="仿宋_GB2312" w:hAnsi="仿宋_GB2312" w:cs="仿宋_GB2312" w:eastAsia="仿宋_GB2312"/>
                <w:sz w:val="28"/>
              </w:rPr>
              <w:t>、</w:t>
            </w:r>
            <w:r>
              <w:rPr>
                <w:rFonts w:ascii="仿宋_GB2312" w:hAnsi="仿宋_GB2312" w:cs="仿宋_GB2312" w:eastAsia="仿宋_GB2312"/>
                <w:sz w:val="32"/>
              </w:rPr>
              <w:t>智能臂带</w:t>
            </w:r>
            <w:r>
              <w:rPr>
                <w:rFonts w:ascii="仿宋_GB2312" w:hAnsi="仿宋_GB2312" w:cs="仿宋_GB2312" w:eastAsia="仿宋_GB2312"/>
                <w:sz w:val="28"/>
              </w:rPr>
              <w:t>。</w:t>
            </w:r>
          </w:p>
          <w:p>
            <w:pPr>
              <w:pStyle w:val="null3"/>
              <w:ind w:firstLine="544"/>
              <w:jc w:val="both"/>
            </w:pPr>
            <w:r>
              <w:rPr>
                <w:rFonts w:ascii="仿宋_GB2312" w:hAnsi="仿宋_GB2312" w:cs="仿宋_GB2312" w:eastAsia="仿宋_GB2312"/>
                <w:sz w:val="28"/>
              </w:rPr>
              <w:t>2、软件</w:t>
            </w:r>
            <w:r>
              <w:rPr>
                <w:rFonts w:ascii="仿宋_GB2312" w:hAnsi="仿宋_GB2312" w:cs="仿宋_GB2312" w:eastAsia="仿宋_GB2312"/>
                <w:sz w:val="28"/>
              </w:rPr>
              <w:t>：运动促进健</w:t>
            </w:r>
            <w:r>
              <w:rPr>
                <w:rFonts w:ascii="仿宋_GB2312" w:hAnsi="仿宋_GB2312" w:cs="仿宋_GB2312" w:eastAsia="仿宋_GB2312"/>
                <w:sz w:val="28"/>
              </w:rPr>
              <w:t>康管理系统。</w:t>
            </w:r>
          </w:p>
          <w:p>
            <w:pPr>
              <w:pStyle w:val="null3"/>
              <w:jc w:val="both"/>
            </w:pPr>
            <w:r>
              <w:rPr>
                <w:rFonts w:ascii="仿宋_GB2312" w:hAnsi="仿宋_GB2312" w:cs="仿宋_GB2312" w:eastAsia="仿宋_GB2312"/>
                <w:sz w:val="28"/>
              </w:rPr>
              <w:t>★三、主要配置清单：</w:t>
            </w:r>
          </w:p>
          <w:tbl>
            <w:tblPr>
              <w:tblBorders>
                <w:top w:val="none" w:color="000000" w:sz="4"/>
                <w:left w:val="none" w:color="000000" w:sz="4"/>
                <w:bottom w:val="none" w:color="000000" w:sz="4"/>
                <w:right w:val="none" w:color="000000" w:sz="4"/>
                <w:insideH w:val="none"/>
                <w:insideV w:val="none"/>
              </w:tblBorders>
            </w:tblPr>
            <w:tblGrid>
              <w:gridCol w:w="2038"/>
              <w:gridCol w:w="1367"/>
              <w:gridCol w:w="1316"/>
              <w:gridCol w:w="877"/>
            </w:tblGrid>
            <w:tr>
              <w:tc>
                <w:tcPr>
                  <w:tcW w:type="dxa" w:w="20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w:t>
                  </w:r>
                  <w:r>
                    <w:rPr>
                      <w:rFonts w:ascii="仿宋_GB2312" w:hAnsi="仿宋_GB2312" w:cs="仿宋_GB2312" w:eastAsia="仿宋_GB2312"/>
                      <w:sz w:val="32"/>
                      <w:b/>
                    </w:rPr>
                    <w:t xml:space="preserve">  </w:t>
                  </w:r>
                  <w:r>
                    <w:rPr>
                      <w:rFonts w:ascii="仿宋_GB2312" w:hAnsi="仿宋_GB2312" w:cs="仿宋_GB2312" w:eastAsia="仿宋_GB2312"/>
                      <w:sz w:val="24"/>
                      <w:b/>
                    </w:rPr>
                    <w:t>称</w:t>
                  </w:r>
                </w:p>
              </w:tc>
              <w:tc>
                <w:tcPr>
                  <w:tcW w:type="dxa" w:w="1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w:t>
                  </w:r>
                  <w:r>
                    <w:rPr>
                      <w:rFonts w:ascii="仿宋_GB2312" w:hAnsi="仿宋_GB2312" w:cs="仿宋_GB2312" w:eastAsia="仿宋_GB2312"/>
                      <w:sz w:val="32"/>
                      <w:b/>
                    </w:rPr>
                    <w:t xml:space="preserve">  </w:t>
                  </w:r>
                  <w:r>
                    <w:rPr>
                      <w:rFonts w:ascii="仿宋_GB2312" w:hAnsi="仿宋_GB2312" w:cs="仿宋_GB2312" w:eastAsia="仿宋_GB2312"/>
                      <w:sz w:val="24"/>
                      <w:b/>
                    </w:rPr>
                    <w:t>量</w:t>
                  </w:r>
                </w:p>
              </w:tc>
              <w:tc>
                <w:tcPr>
                  <w:tcW w:type="dxa" w:w="1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w:t>
                  </w:r>
                  <w:r>
                    <w:rPr>
                      <w:rFonts w:ascii="仿宋_GB2312" w:hAnsi="仿宋_GB2312" w:cs="仿宋_GB2312" w:eastAsia="仿宋_GB2312"/>
                      <w:sz w:val="32"/>
                      <w:b/>
                    </w:rPr>
                    <w:t xml:space="preserve">  </w:t>
                  </w:r>
                  <w:r>
                    <w:rPr>
                      <w:rFonts w:ascii="仿宋_GB2312" w:hAnsi="仿宋_GB2312" w:cs="仿宋_GB2312" w:eastAsia="仿宋_GB2312"/>
                      <w:sz w:val="24"/>
                      <w:b/>
                    </w:rPr>
                    <w:t>位</w:t>
                  </w:r>
                </w:p>
              </w:tc>
              <w:tc>
                <w:tcPr>
                  <w:tcW w:type="dxa" w:w="8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2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人体成分分析仪（含平板）</w:t>
                  </w:r>
                </w:p>
              </w:tc>
              <w:tc>
                <w:tcPr>
                  <w:tcW w:type="dxa" w:w="1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心肺功能测试训练仪</w:t>
                  </w:r>
                  <w:r>
                    <w:rPr>
                      <w:rFonts w:ascii="仿宋_GB2312" w:hAnsi="仿宋_GB2312" w:cs="仿宋_GB2312" w:eastAsia="仿宋_GB2312"/>
                      <w:sz w:val="24"/>
                    </w:rPr>
                    <w:t>—功率车</w:t>
                  </w:r>
                </w:p>
              </w:tc>
              <w:tc>
                <w:tcPr>
                  <w:tcW w:type="dxa" w:w="1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辅助力量训练设备</w:t>
                  </w:r>
                </w:p>
              </w:tc>
              <w:tc>
                <w:tcPr>
                  <w:tcW w:type="dxa" w:w="1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智能臂带</w:t>
                  </w:r>
                </w:p>
              </w:tc>
              <w:tc>
                <w:tcPr>
                  <w:tcW w:type="dxa" w:w="1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工作站（含管理软件）</w:t>
                  </w:r>
                </w:p>
              </w:tc>
              <w:tc>
                <w:tcPr>
                  <w:tcW w:type="dxa" w:w="1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8"/>
              </w:rPr>
              <w:t>四、设备技术参数：</w:t>
            </w:r>
          </w:p>
          <w:p>
            <w:pPr>
              <w:pStyle w:val="null3"/>
              <w:jc w:val="both"/>
            </w:pPr>
            <w:r>
              <w:rPr>
                <w:rFonts w:ascii="仿宋_GB2312" w:hAnsi="仿宋_GB2312" w:cs="仿宋_GB2312" w:eastAsia="仿宋_GB2312"/>
                <w:sz w:val="28"/>
              </w:rPr>
              <w:t>（一）人体成分分析仪</w:t>
            </w:r>
          </w:p>
          <w:p>
            <w:pPr>
              <w:pStyle w:val="null3"/>
              <w:ind w:firstLine="544"/>
              <w:jc w:val="both"/>
            </w:pPr>
            <w:r>
              <w:rPr>
                <w:rFonts w:ascii="仿宋_GB2312" w:hAnsi="仿宋_GB2312" w:cs="仿宋_GB2312" w:eastAsia="仿宋_GB2312"/>
                <w:sz w:val="28"/>
              </w:rPr>
              <w:t>1.测量方法：生物电阻抗测量方法(BIA),≥8点接触式电极；</w:t>
            </w:r>
          </w:p>
          <w:p>
            <w:pPr>
              <w:pStyle w:val="null3"/>
              <w:ind w:firstLine="544"/>
              <w:jc w:val="both"/>
            </w:pPr>
            <w:r>
              <w:rPr>
                <w:rFonts w:ascii="仿宋_GB2312" w:hAnsi="仿宋_GB2312" w:cs="仿宋_GB2312" w:eastAsia="仿宋_GB2312"/>
                <w:sz w:val="28"/>
              </w:rPr>
              <w:t>2.测试部位：5个节段部分测量(右上肢、左上肢、躯干、右下肢、左下肢)；</w:t>
            </w:r>
          </w:p>
          <w:p>
            <w:pPr>
              <w:pStyle w:val="null3"/>
              <w:ind w:firstLine="544"/>
              <w:jc w:val="both"/>
            </w:pPr>
            <w:r>
              <w:rPr>
                <w:rFonts w:ascii="仿宋_GB2312" w:hAnsi="仿宋_GB2312" w:cs="仿宋_GB2312" w:eastAsia="仿宋_GB2312"/>
                <w:sz w:val="28"/>
              </w:rPr>
              <w:t>3.测量频率：≥3个频率；</w:t>
            </w:r>
            <w:r>
              <w:rPr>
                <w:rFonts w:ascii="仿宋_GB2312" w:hAnsi="仿宋_GB2312" w:cs="仿宋_GB2312" w:eastAsia="仿宋_GB2312"/>
                <w:sz w:val="32"/>
              </w:rPr>
              <w:t>至少</w:t>
            </w:r>
            <w:r>
              <w:rPr>
                <w:rFonts w:ascii="仿宋_GB2312" w:hAnsi="仿宋_GB2312" w:cs="仿宋_GB2312" w:eastAsia="仿宋_GB2312"/>
                <w:sz w:val="28"/>
              </w:rPr>
              <w:t>包括</w:t>
            </w:r>
            <w:r>
              <w:rPr>
                <w:rFonts w:ascii="仿宋_GB2312" w:hAnsi="仿宋_GB2312" w:cs="仿宋_GB2312" w:eastAsia="仿宋_GB2312"/>
                <w:sz w:val="28"/>
              </w:rPr>
              <w:t>5KHz、50KHz、250KHz</w:t>
            </w:r>
            <w:r>
              <w:rPr>
                <w:rFonts w:ascii="仿宋_GB2312" w:hAnsi="仿宋_GB2312" w:cs="仿宋_GB2312" w:eastAsia="仿宋_GB2312"/>
                <w:sz w:val="28"/>
              </w:rPr>
              <w:t>。</w:t>
            </w:r>
          </w:p>
          <w:p>
            <w:pPr>
              <w:pStyle w:val="null3"/>
              <w:ind w:firstLine="544"/>
              <w:jc w:val="both"/>
            </w:pPr>
            <w:r>
              <w:rPr>
                <w:rFonts w:ascii="仿宋_GB2312" w:hAnsi="仿宋_GB2312" w:cs="仿宋_GB2312" w:eastAsia="仿宋_GB2312"/>
                <w:sz w:val="28"/>
              </w:rPr>
              <w:t>4.测量时间：≤1分钟；</w:t>
            </w:r>
          </w:p>
          <w:p>
            <w:pPr>
              <w:pStyle w:val="null3"/>
              <w:ind w:firstLine="544"/>
              <w:jc w:val="both"/>
            </w:pPr>
            <w:r>
              <w:rPr>
                <w:rFonts w:ascii="仿宋_GB2312" w:hAnsi="仿宋_GB2312" w:cs="仿宋_GB2312" w:eastAsia="仿宋_GB2312"/>
                <w:sz w:val="28"/>
              </w:rPr>
              <w:t>5.输出值：</w:t>
            </w:r>
            <w:r>
              <w:rPr>
                <w:rFonts w:ascii="仿宋_GB2312" w:hAnsi="仿宋_GB2312" w:cs="仿宋_GB2312" w:eastAsia="仿宋_GB2312"/>
                <w:sz w:val="28"/>
              </w:rPr>
              <w:t>至少</w:t>
            </w:r>
            <w:r>
              <w:rPr>
                <w:rFonts w:ascii="仿宋_GB2312" w:hAnsi="仿宋_GB2312" w:cs="仿宋_GB2312" w:eastAsia="仿宋_GB2312"/>
                <w:sz w:val="28"/>
              </w:rPr>
              <w:t>包括总水分、蛋白质、无机盐、体脂肪量、体重、肌肉量、去脂体重、骨骼肌肉量、身体质量指数、体脂肪率、腰臀比、内脏脂肪面积、体重控制、体型判定、营养评估、肌肉评估；</w:t>
            </w:r>
          </w:p>
          <w:p>
            <w:pPr>
              <w:pStyle w:val="null3"/>
              <w:ind w:firstLine="544"/>
              <w:jc w:val="both"/>
            </w:pPr>
            <w:r>
              <w:rPr>
                <w:rFonts w:ascii="仿宋_GB2312" w:hAnsi="仿宋_GB2312" w:cs="仿宋_GB2312" w:eastAsia="仿宋_GB2312"/>
                <w:sz w:val="28"/>
              </w:rPr>
              <w:t>6.显示屏：</w:t>
            </w:r>
            <w:r>
              <w:rPr>
                <w:rFonts w:ascii="仿宋_GB2312" w:hAnsi="仿宋_GB2312" w:cs="仿宋_GB2312" w:eastAsia="仿宋_GB2312"/>
                <w:sz w:val="28"/>
              </w:rPr>
              <w:t>不小于</w:t>
            </w:r>
            <w:r>
              <w:rPr>
                <w:rFonts w:ascii="仿宋_GB2312" w:hAnsi="仿宋_GB2312" w:cs="仿宋_GB2312" w:eastAsia="仿宋_GB2312"/>
                <w:sz w:val="28"/>
              </w:rPr>
              <w:t>7寸</w:t>
            </w:r>
            <w:r>
              <w:rPr>
                <w:rFonts w:ascii="仿宋_GB2312" w:hAnsi="仿宋_GB2312" w:cs="仿宋_GB2312" w:eastAsia="仿宋_GB2312"/>
                <w:sz w:val="28"/>
              </w:rPr>
              <w:t>液晶触摸屏</w:t>
            </w:r>
            <w:r>
              <w:rPr>
                <w:rFonts w:ascii="仿宋_GB2312" w:hAnsi="仿宋_GB2312" w:cs="仿宋_GB2312" w:eastAsia="仿宋_GB2312"/>
                <w:sz w:val="28"/>
              </w:rPr>
              <w:t>，</w:t>
            </w:r>
            <w:r>
              <w:rPr>
                <w:rFonts w:ascii="仿宋_GB2312" w:hAnsi="仿宋_GB2312" w:cs="仿宋_GB2312" w:eastAsia="仿宋_GB2312"/>
                <w:sz w:val="28"/>
              </w:rPr>
              <w:t>分辨率不低于</w:t>
            </w:r>
            <w:r>
              <w:rPr>
                <w:rFonts w:ascii="仿宋_GB2312" w:hAnsi="仿宋_GB2312" w:cs="仿宋_GB2312" w:eastAsia="仿宋_GB2312"/>
                <w:sz w:val="28"/>
              </w:rPr>
              <w:t>800*480</w:t>
            </w:r>
            <w:r>
              <w:rPr>
                <w:rFonts w:ascii="仿宋_GB2312" w:hAnsi="仿宋_GB2312" w:cs="仿宋_GB2312" w:eastAsia="仿宋_GB2312"/>
                <w:sz w:val="28"/>
              </w:rPr>
              <w:t>；</w:t>
            </w:r>
          </w:p>
          <w:p>
            <w:pPr>
              <w:pStyle w:val="null3"/>
              <w:ind w:firstLine="544"/>
              <w:jc w:val="both"/>
            </w:pPr>
            <w:r>
              <w:rPr>
                <w:rFonts w:ascii="仿宋_GB2312" w:hAnsi="仿宋_GB2312" w:cs="仿宋_GB2312" w:eastAsia="仿宋_GB2312"/>
                <w:sz w:val="28"/>
              </w:rPr>
              <w:t>7.具备身份快速识别功能（如刷卡</w:t>
            </w:r>
            <w:r>
              <w:rPr>
                <w:rFonts w:ascii="仿宋_GB2312" w:hAnsi="仿宋_GB2312" w:cs="仿宋_GB2312" w:eastAsia="仿宋_GB2312"/>
                <w:sz w:val="28"/>
              </w:rPr>
              <w:t>或</w:t>
            </w:r>
            <w:r>
              <w:rPr>
                <w:rFonts w:ascii="仿宋_GB2312" w:hAnsi="仿宋_GB2312" w:cs="仿宋_GB2312" w:eastAsia="仿宋_GB2312"/>
                <w:sz w:val="28"/>
              </w:rPr>
              <w:t>手机扫码等），获取个人信息；</w:t>
            </w:r>
          </w:p>
          <w:p>
            <w:pPr>
              <w:pStyle w:val="null3"/>
              <w:ind w:firstLine="544"/>
              <w:jc w:val="both"/>
            </w:pPr>
            <w:r>
              <w:rPr>
                <w:rFonts w:ascii="仿宋_GB2312" w:hAnsi="仿宋_GB2312" w:cs="仿宋_GB2312" w:eastAsia="仿宋_GB2312"/>
                <w:sz w:val="28"/>
              </w:rPr>
              <w:t>8.可以通过串口通讯方式或网络传输方式采集人体成分分析仪的测试数据，通过网络传输将数据上传至服务器。</w:t>
            </w:r>
          </w:p>
          <w:p>
            <w:pPr>
              <w:pStyle w:val="null3"/>
              <w:jc w:val="both"/>
            </w:pPr>
            <w:r>
              <w:rPr>
                <w:rFonts w:ascii="仿宋_GB2312" w:hAnsi="仿宋_GB2312" w:cs="仿宋_GB2312" w:eastAsia="仿宋_GB2312"/>
                <w:sz w:val="28"/>
              </w:rPr>
              <w:t>（二）心肺功能测试训练仪</w:t>
            </w:r>
            <w:r>
              <w:rPr>
                <w:rFonts w:ascii="仿宋_GB2312" w:hAnsi="仿宋_GB2312" w:cs="仿宋_GB2312" w:eastAsia="仿宋_GB2312"/>
                <w:sz w:val="28"/>
              </w:rPr>
              <w:t>—功率车</w:t>
            </w:r>
          </w:p>
          <w:p>
            <w:pPr>
              <w:pStyle w:val="null3"/>
              <w:ind w:firstLine="544"/>
              <w:jc w:val="both"/>
            </w:pPr>
            <w:r>
              <w:rPr>
                <w:rFonts w:ascii="仿宋_GB2312" w:hAnsi="仿宋_GB2312" w:cs="仿宋_GB2312" w:eastAsia="仿宋_GB2312"/>
                <w:sz w:val="28"/>
              </w:rPr>
              <w:t>▲9.支持通过逐级递增（不低于四级）负荷法测试最大摄氧量，支持不少于两种逐级递增负荷方案评价心肺功能；（供应商须提供产品彩页或产品说明书或检测报告或重要功能截图等佐证材料，并加盖供应商公章，否则视为负偏离）</w:t>
            </w:r>
          </w:p>
          <w:p>
            <w:pPr>
              <w:pStyle w:val="null3"/>
              <w:ind w:firstLine="544"/>
              <w:jc w:val="both"/>
            </w:pPr>
            <w:r>
              <w:rPr>
                <w:rFonts w:ascii="仿宋_GB2312" w:hAnsi="仿宋_GB2312" w:cs="仿宋_GB2312" w:eastAsia="仿宋_GB2312"/>
                <w:sz w:val="28"/>
              </w:rPr>
              <w:t>▲10.支持不少于两种心率采集器。（供应商须提供产品彩页或产品说明书或检测报告或重要功能截图等佐证材料，并加盖供应商公章，否则视为负偏离）</w:t>
            </w:r>
          </w:p>
          <w:p>
            <w:pPr>
              <w:pStyle w:val="null3"/>
              <w:ind w:firstLine="544"/>
              <w:jc w:val="both"/>
            </w:pPr>
            <w:r>
              <w:rPr>
                <w:rFonts w:ascii="仿宋_GB2312" w:hAnsi="仿宋_GB2312" w:cs="仿宋_GB2312" w:eastAsia="仿宋_GB2312"/>
                <w:sz w:val="28"/>
              </w:rPr>
              <w:t>11.测试、训练过程中，实时显示</w:t>
            </w:r>
            <w:r>
              <w:rPr>
                <w:rFonts w:ascii="仿宋_GB2312" w:hAnsi="仿宋_GB2312" w:cs="仿宋_GB2312" w:eastAsia="仿宋_GB2312"/>
                <w:sz w:val="28"/>
              </w:rPr>
              <w:t>受试者</w:t>
            </w:r>
            <w:r>
              <w:rPr>
                <w:rFonts w:ascii="仿宋_GB2312" w:hAnsi="仿宋_GB2312" w:cs="仿宋_GB2312" w:eastAsia="仿宋_GB2312"/>
                <w:sz w:val="28"/>
              </w:rPr>
              <w:t>心率数据；</w:t>
            </w:r>
          </w:p>
          <w:p>
            <w:pPr>
              <w:pStyle w:val="null3"/>
              <w:ind w:firstLine="544"/>
              <w:jc w:val="both"/>
            </w:pPr>
            <w:r>
              <w:rPr>
                <w:rFonts w:ascii="仿宋_GB2312" w:hAnsi="仿宋_GB2312" w:cs="仿宋_GB2312" w:eastAsia="仿宋_GB2312"/>
                <w:sz w:val="28"/>
              </w:rPr>
              <w:t>12.具备身份快速识别功能（如刷卡，手机扫码等），获取个人信息；</w:t>
            </w:r>
          </w:p>
          <w:p>
            <w:pPr>
              <w:pStyle w:val="null3"/>
              <w:ind w:firstLine="544"/>
              <w:jc w:val="both"/>
            </w:pPr>
            <w:r>
              <w:rPr>
                <w:rFonts w:ascii="仿宋_GB2312" w:hAnsi="仿宋_GB2312" w:cs="仿宋_GB2312" w:eastAsia="仿宋_GB2312"/>
                <w:sz w:val="28"/>
              </w:rPr>
              <w:t>13.测试数据自动上传至管理后台并出具评价及有氧锻炼方案；</w:t>
            </w:r>
          </w:p>
          <w:p>
            <w:pPr>
              <w:pStyle w:val="null3"/>
              <w:ind w:firstLine="544"/>
              <w:jc w:val="both"/>
            </w:pPr>
            <w:r>
              <w:rPr>
                <w:rFonts w:ascii="仿宋_GB2312" w:hAnsi="仿宋_GB2312" w:cs="仿宋_GB2312" w:eastAsia="仿宋_GB2312"/>
                <w:sz w:val="28"/>
              </w:rPr>
              <w:t>▲14.设备根据用户基本信息自动匹配运动干预方案并执行。屏幕同步显示当前负荷、已完成锻炼时间/方案推荐锻炼时间、当前转速、本次训练累计能耗、当前心率，并绘制时间/功率曲线，方便用户观察锻炼情况。（供应商须提供产品彩页或产品说明书或检测报告或重要功能截图等佐证材料，并加盖供应商公章，否则视为负偏离）</w:t>
            </w:r>
          </w:p>
          <w:p>
            <w:pPr>
              <w:pStyle w:val="null3"/>
              <w:ind w:firstLine="544"/>
              <w:jc w:val="both"/>
            </w:pPr>
            <w:r>
              <w:rPr>
                <w:rFonts w:ascii="仿宋_GB2312" w:hAnsi="仿宋_GB2312" w:cs="仿宋_GB2312" w:eastAsia="仿宋_GB2312"/>
                <w:sz w:val="28"/>
              </w:rPr>
              <w:t>15.锻炼过程中如出现超过安全心率，设备会出现提示信息，提醒用户已超出安全心率，注意训练安全。转速异常等情况，设备进行提醒并自动停止测试；</w:t>
            </w:r>
          </w:p>
          <w:p>
            <w:pPr>
              <w:pStyle w:val="null3"/>
              <w:ind w:firstLine="544"/>
              <w:jc w:val="both"/>
            </w:pPr>
            <w:r>
              <w:rPr>
                <w:rFonts w:ascii="仿宋_GB2312" w:hAnsi="仿宋_GB2312" w:cs="仿宋_GB2312" w:eastAsia="仿宋_GB2312"/>
                <w:sz w:val="28"/>
              </w:rPr>
              <w:t>16.锻炼达到方案推荐时间或手动点击结束按钮，运动进程将结束，锻炼数据自动上传至管理后台。</w:t>
            </w:r>
          </w:p>
          <w:p>
            <w:pPr>
              <w:pStyle w:val="null3"/>
              <w:jc w:val="both"/>
            </w:pPr>
            <w:r>
              <w:rPr>
                <w:rFonts w:ascii="仿宋_GB2312" w:hAnsi="仿宋_GB2312" w:cs="仿宋_GB2312" w:eastAsia="仿宋_GB2312"/>
                <w:sz w:val="28"/>
              </w:rPr>
              <w:t>（三）辅助力量训练设备</w:t>
            </w:r>
          </w:p>
          <w:p>
            <w:pPr>
              <w:pStyle w:val="null3"/>
              <w:ind w:firstLine="544"/>
              <w:jc w:val="both"/>
            </w:pPr>
            <w:r>
              <w:rPr>
                <w:rFonts w:ascii="仿宋_GB2312" w:hAnsi="仿宋_GB2312" w:cs="仿宋_GB2312" w:eastAsia="仿宋_GB2312"/>
                <w:sz w:val="28"/>
              </w:rPr>
              <w:t>17.一键启停，可实现被测群体自助式训练，满足多人同时训练；</w:t>
            </w:r>
          </w:p>
          <w:p>
            <w:pPr>
              <w:pStyle w:val="null3"/>
              <w:ind w:firstLine="544"/>
              <w:jc w:val="both"/>
            </w:pPr>
            <w:r>
              <w:rPr>
                <w:rFonts w:ascii="仿宋_GB2312" w:hAnsi="仿宋_GB2312" w:cs="仿宋_GB2312" w:eastAsia="仿宋_GB2312"/>
                <w:sz w:val="28"/>
              </w:rPr>
              <w:t>18.等速肌力训练，不小于8档阻力；</w:t>
            </w:r>
          </w:p>
          <w:p>
            <w:pPr>
              <w:pStyle w:val="null3"/>
              <w:ind w:firstLine="544"/>
              <w:jc w:val="both"/>
            </w:pPr>
            <w:r>
              <w:rPr>
                <w:rFonts w:ascii="仿宋_GB2312" w:hAnsi="仿宋_GB2312" w:cs="仿宋_GB2312" w:eastAsia="仿宋_GB2312"/>
                <w:sz w:val="28"/>
              </w:rPr>
              <w:t>19.训练≥6部位肌群，</w:t>
            </w:r>
            <w:r>
              <w:rPr>
                <w:rFonts w:ascii="仿宋_GB2312" w:hAnsi="仿宋_GB2312" w:cs="仿宋_GB2312" w:eastAsia="仿宋_GB2312"/>
                <w:sz w:val="28"/>
              </w:rPr>
              <w:t>至少</w:t>
            </w:r>
            <w:r>
              <w:rPr>
                <w:rFonts w:ascii="仿宋_GB2312" w:hAnsi="仿宋_GB2312" w:cs="仿宋_GB2312" w:eastAsia="仿宋_GB2312"/>
                <w:sz w:val="28"/>
              </w:rPr>
              <w:t>包括胸大肌、背阔肌、股四头肌、股二头肌、腹直肌、竖脊肌；</w:t>
            </w:r>
          </w:p>
          <w:p>
            <w:pPr>
              <w:pStyle w:val="null3"/>
              <w:ind w:firstLine="544"/>
              <w:jc w:val="both"/>
            </w:pPr>
            <w:r>
              <w:rPr>
                <w:rFonts w:ascii="仿宋_GB2312" w:hAnsi="仿宋_GB2312" w:cs="仿宋_GB2312" w:eastAsia="仿宋_GB2312"/>
                <w:sz w:val="28"/>
              </w:rPr>
              <w:t>20.具备身份快速识别功能（如刷卡，手机扫码等），获取个人信息；</w:t>
            </w:r>
          </w:p>
          <w:p>
            <w:pPr>
              <w:pStyle w:val="null3"/>
              <w:ind w:firstLine="544"/>
              <w:jc w:val="both"/>
            </w:pPr>
            <w:r>
              <w:rPr>
                <w:rFonts w:ascii="仿宋_GB2312" w:hAnsi="仿宋_GB2312" w:cs="仿宋_GB2312" w:eastAsia="仿宋_GB2312"/>
                <w:sz w:val="28"/>
              </w:rPr>
              <w:t>21.智能肌肉力量锻炼设备控制系统：训练模式下显示个性化运动处方并反向控制设备，智能调整到个人运动方案的档位；</w:t>
            </w:r>
          </w:p>
          <w:p>
            <w:pPr>
              <w:pStyle w:val="null3"/>
              <w:ind w:firstLine="544"/>
              <w:jc w:val="both"/>
            </w:pPr>
            <w:r>
              <w:rPr>
                <w:rFonts w:ascii="仿宋_GB2312" w:hAnsi="仿宋_GB2312" w:cs="仿宋_GB2312" w:eastAsia="仿宋_GB2312"/>
                <w:sz w:val="28"/>
              </w:rPr>
              <w:t>22.可以采集</w:t>
            </w:r>
            <w:r>
              <w:rPr>
                <w:rFonts w:ascii="仿宋_GB2312" w:hAnsi="仿宋_GB2312" w:cs="仿宋_GB2312" w:eastAsia="仿宋_GB2312"/>
                <w:sz w:val="28"/>
              </w:rPr>
              <w:t>受试者</w:t>
            </w:r>
            <w:r>
              <w:rPr>
                <w:rFonts w:ascii="仿宋_GB2312" w:hAnsi="仿宋_GB2312" w:cs="仿宋_GB2312" w:eastAsia="仿宋_GB2312"/>
                <w:sz w:val="28"/>
              </w:rPr>
              <w:t>锻炼的数据（包括完成次数、完成组数、使用时间，档位，重量以及热量消耗等），数据可实时上传至运动促进健康管理软件。</w:t>
            </w:r>
          </w:p>
          <w:p>
            <w:pPr>
              <w:pStyle w:val="null3"/>
              <w:jc w:val="both"/>
            </w:pPr>
            <w:r>
              <w:rPr>
                <w:rFonts w:ascii="仿宋_GB2312" w:hAnsi="仿宋_GB2312" w:cs="仿宋_GB2312" w:eastAsia="仿宋_GB2312"/>
                <w:sz w:val="28"/>
              </w:rPr>
              <w:t>（四）智能臂带</w:t>
            </w:r>
          </w:p>
          <w:p>
            <w:pPr>
              <w:pStyle w:val="null3"/>
              <w:ind w:firstLine="544"/>
              <w:jc w:val="both"/>
            </w:pPr>
            <w:r>
              <w:rPr>
                <w:rFonts w:ascii="仿宋_GB2312" w:hAnsi="仿宋_GB2312" w:cs="仿宋_GB2312" w:eastAsia="仿宋_GB2312"/>
                <w:sz w:val="28"/>
              </w:rPr>
              <w:t>23.数据传输方式：ANT+/BLE双模传；</w:t>
            </w:r>
          </w:p>
          <w:p>
            <w:pPr>
              <w:pStyle w:val="null3"/>
              <w:ind w:firstLine="544"/>
              <w:jc w:val="both"/>
            </w:pPr>
            <w:r>
              <w:rPr>
                <w:rFonts w:ascii="仿宋_GB2312" w:hAnsi="仿宋_GB2312" w:cs="仿宋_GB2312" w:eastAsia="仿宋_GB2312"/>
                <w:sz w:val="28"/>
              </w:rPr>
              <w:t>24.自主心率纠正算法；</w:t>
            </w:r>
          </w:p>
          <w:p>
            <w:pPr>
              <w:pStyle w:val="null3"/>
              <w:ind w:firstLine="544"/>
              <w:jc w:val="both"/>
            </w:pPr>
            <w:r>
              <w:rPr>
                <w:rFonts w:ascii="仿宋_GB2312" w:hAnsi="仿宋_GB2312" w:cs="仿宋_GB2312" w:eastAsia="仿宋_GB2312"/>
                <w:sz w:val="28"/>
              </w:rPr>
              <w:t>25.±3%心率传感精度；</w:t>
            </w:r>
          </w:p>
          <w:p>
            <w:pPr>
              <w:pStyle w:val="null3"/>
              <w:ind w:firstLine="544"/>
              <w:jc w:val="both"/>
            </w:pPr>
            <w:r>
              <w:rPr>
                <w:rFonts w:ascii="仿宋_GB2312" w:hAnsi="仿宋_GB2312" w:cs="仿宋_GB2312" w:eastAsia="仿宋_GB2312"/>
                <w:sz w:val="28"/>
              </w:rPr>
              <w:t>26.心率监测频率：每秒≥5次连续心率监测；</w:t>
            </w:r>
          </w:p>
          <w:p>
            <w:pPr>
              <w:pStyle w:val="null3"/>
              <w:ind w:firstLine="544"/>
              <w:jc w:val="both"/>
            </w:pPr>
            <w:r>
              <w:rPr>
                <w:rFonts w:ascii="仿宋_GB2312" w:hAnsi="仿宋_GB2312" w:cs="仿宋_GB2312" w:eastAsia="仿宋_GB2312"/>
                <w:sz w:val="28"/>
              </w:rPr>
              <w:t>27.具有充电功能；</w:t>
            </w:r>
          </w:p>
          <w:p>
            <w:pPr>
              <w:pStyle w:val="null3"/>
              <w:ind w:firstLine="544"/>
              <w:jc w:val="both"/>
            </w:pPr>
            <w:r>
              <w:rPr>
                <w:rFonts w:ascii="仿宋_GB2312" w:hAnsi="仿宋_GB2312" w:cs="仿宋_GB2312" w:eastAsia="仿宋_GB2312"/>
                <w:sz w:val="28"/>
              </w:rPr>
              <w:t>28.充电续航：≥24小时单次充电续航。</w:t>
            </w:r>
          </w:p>
          <w:p>
            <w:pPr>
              <w:pStyle w:val="null3"/>
              <w:jc w:val="both"/>
            </w:pPr>
            <w:r>
              <w:rPr>
                <w:rFonts w:ascii="仿宋_GB2312" w:hAnsi="仿宋_GB2312" w:cs="仿宋_GB2312" w:eastAsia="仿宋_GB2312"/>
                <w:sz w:val="28"/>
              </w:rPr>
              <w:t>（五）运动促进健康管理系统</w:t>
            </w:r>
          </w:p>
          <w:p>
            <w:pPr>
              <w:pStyle w:val="null3"/>
              <w:ind w:firstLine="544"/>
              <w:jc w:val="both"/>
            </w:pPr>
            <w:r>
              <w:rPr>
                <w:rFonts w:ascii="仿宋_GB2312" w:hAnsi="仿宋_GB2312" w:cs="仿宋_GB2312" w:eastAsia="仿宋_GB2312"/>
                <w:sz w:val="28"/>
              </w:rPr>
              <w:t>29.功能模块：</w:t>
            </w:r>
            <w:r>
              <w:rPr>
                <w:rFonts w:ascii="仿宋_GB2312" w:hAnsi="仿宋_GB2312" w:cs="仿宋_GB2312" w:eastAsia="仿宋_GB2312"/>
                <w:sz w:val="28"/>
              </w:rPr>
              <w:t>至少</w:t>
            </w:r>
            <w:r>
              <w:rPr>
                <w:rFonts w:ascii="仿宋_GB2312" w:hAnsi="仿宋_GB2312" w:cs="仿宋_GB2312" w:eastAsia="仿宋_GB2312"/>
                <w:sz w:val="28"/>
              </w:rPr>
              <w:t>包括客户档案管理、检测评估、运动指导方案、营养建议、训练管理、设备管理、数据管理、数据统计分析功能；</w:t>
            </w:r>
          </w:p>
          <w:p>
            <w:pPr>
              <w:pStyle w:val="null3"/>
              <w:ind w:firstLine="544"/>
              <w:jc w:val="both"/>
            </w:pPr>
            <w:r>
              <w:rPr>
                <w:rFonts w:ascii="仿宋_GB2312" w:hAnsi="仿宋_GB2312" w:cs="仿宋_GB2312" w:eastAsia="仿宋_GB2312"/>
                <w:sz w:val="28"/>
              </w:rPr>
              <w:t>30.人员信息管理：支持手动录入或读卡器读取等方式进行注册建档；信息</w:t>
            </w:r>
            <w:r>
              <w:rPr>
                <w:rFonts w:ascii="仿宋_GB2312" w:hAnsi="仿宋_GB2312" w:cs="仿宋_GB2312" w:eastAsia="仿宋_GB2312"/>
                <w:sz w:val="28"/>
              </w:rPr>
              <w:t>至少</w:t>
            </w:r>
            <w:r>
              <w:rPr>
                <w:rFonts w:ascii="仿宋_GB2312" w:hAnsi="仿宋_GB2312" w:cs="仿宋_GB2312" w:eastAsia="仿宋_GB2312"/>
                <w:sz w:val="28"/>
              </w:rPr>
              <w:t>包括注册时间、体型、运动习惯；</w:t>
            </w:r>
          </w:p>
          <w:p>
            <w:pPr>
              <w:pStyle w:val="null3"/>
              <w:ind w:firstLine="544"/>
              <w:jc w:val="both"/>
            </w:pPr>
            <w:r>
              <w:rPr>
                <w:rFonts w:ascii="仿宋_GB2312" w:hAnsi="仿宋_GB2312" w:cs="仿宋_GB2312" w:eastAsia="仿宋_GB2312"/>
                <w:sz w:val="28"/>
              </w:rPr>
              <w:t>31.检测评估：支持对用户的身体成分、心肺耐力、肌肉力量等进行测评分析，根据检测结果出具运动方案；</w:t>
            </w:r>
          </w:p>
          <w:p>
            <w:pPr>
              <w:pStyle w:val="null3"/>
              <w:ind w:firstLine="544"/>
              <w:jc w:val="both"/>
            </w:pPr>
            <w:r>
              <w:rPr>
                <w:rFonts w:ascii="仿宋_GB2312" w:hAnsi="仿宋_GB2312" w:cs="仿宋_GB2312" w:eastAsia="仿宋_GB2312"/>
                <w:sz w:val="28"/>
              </w:rPr>
              <w:t>▲32.运动方案：根据FITT-VP原则，出具室内室外训练方案，室外训练包含有氧运动方案（运动方式、频率、配速）、力量运动方案（运动方式、周期、数量及训练要点）；室内训练方案包含有氧器械运动方案（设备类型、速度、时间、频率）、力量器械运动方案（设备类型、档位/重量、时间、频率、数量）、运动后拉伸方案；（供应商须提供产品彩页或产品说明书或检测报告或重要功能截图等佐证材料，并加盖供应商公章，否则视为负偏离）</w:t>
            </w:r>
          </w:p>
          <w:p>
            <w:pPr>
              <w:pStyle w:val="null3"/>
              <w:ind w:firstLine="544"/>
              <w:jc w:val="both"/>
            </w:pPr>
            <w:r>
              <w:rPr>
                <w:rFonts w:ascii="仿宋_GB2312" w:hAnsi="仿宋_GB2312" w:cs="仿宋_GB2312" w:eastAsia="仿宋_GB2312"/>
                <w:sz w:val="28"/>
              </w:rPr>
              <w:t>33.营养状况评估：可出具能量、蛋白质、脂肪、碳水化合物等摄入量分析报告，以及BMI、肌肉量、体脂率、管理目标等分析报告；提示随访时间；</w:t>
            </w:r>
          </w:p>
          <w:p>
            <w:pPr>
              <w:pStyle w:val="null3"/>
              <w:ind w:firstLine="544"/>
              <w:jc w:val="both"/>
            </w:pPr>
            <w:r>
              <w:rPr>
                <w:rFonts w:ascii="仿宋_GB2312" w:hAnsi="仿宋_GB2312" w:cs="仿宋_GB2312" w:eastAsia="仿宋_GB2312"/>
                <w:sz w:val="28"/>
              </w:rPr>
              <w:t>34.膳食指导：</w:t>
            </w:r>
            <w:r>
              <w:rPr>
                <w:rFonts w:ascii="仿宋_GB2312" w:hAnsi="仿宋_GB2312" w:cs="仿宋_GB2312" w:eastAsia="仿宋_GB2312"/>
                <w:sz w:val="28"/>
              </w:rPr>
              <w:t>至少</w:t>
            </w:r>
            <w:r>
              <w:rPr>
                <w:rFonts w:ascii="仿宋_GB2312" w:hAnsi="仿宋_GB2312" w:cs="仿宋_GB2312" w:eastAsia="仿宋_GB2312"/>
                <w:sz w:val="28"/>
              </w:rPr>
              <w:t>包括膳食宝塔、推荐食谱、运动疗法；</w:t>
            </w:r>
          </w:p>
          <w:p>
            <w:pPr>
              <w:pStyle w:val="null3"/>
              <w:ind w:firstLine="544"/>
              <w:jc w:val="both"/>
            </w:pPr>
            <w:r>
              <w:rPr>
                <w:rFonts w:ascii="仿宋_GB2312" w:hAnsi="仿宋_GB2312" w:cs="仿宋_GB2312" w:eastAsia="仿宋_GB2312"/>
                <w:sz w:val="28"/>
              </w:rPr>
              <w:t>35.依据膳食能量需求，推荐食谱精确到每餐不同食物类型摄入量，便于受试者执行膳食方案；可根据受试者身体状况随时编辑修改膳食食谱；</w:t>
            </w:r>
          </w:p>
          <w:p>
            <w:pPr>
              <w:pStyle w:val="null3"/>
              <w:ind w:firstLine="544"/>
              <w:jc w:val="both"/>
            </w:pPr>
            <w:r>
              <w:rPr>
                <w:rFonts w:ascii="仿宋_GB2312" w:hAnsi="仿宋_GB2312" w:cs="仿宋_GB2312" w:eastAsia="仿宋_GB2312"/>
                <w:sz w:val="28"/>
              </w:rPr>
              <w:t>36.依据不同管理目标出具基于营养、运动、饮水的全方位膳食营养改善方案；</w:t>
            </w:r>
          </w:p>
          <w:p>
            <w:pPr>
              <w:pStyle w:val="null3"/>
              <w:ind w:firstLine="544"/>
              <w:jc w:val="both"/>
            </w:pPr>
            <w:r>
              <w:rPr>
                <w:rFonts w:ascii="仿宋_GB2312" w:hAnsi="仿宋_GB2312" w:cs="仿宋_GB2312" w:eastAsia="仿宋_GB2312"/>
                <w:sz w:val="28"/>
              </w:rPr>
              <w:t>37.设备管理：包括设备名称、设备类型、设备状态、设备厂家等，高效管理各类检测、训练设备；</w:t>
            </w:r>
          </w:p>
          <w:p>
            <w:pPr>
              <w:pStyle w:val="null3"/>
              <w:ind w:firstLine="544"/>
              <w:jc w:val="both"/>
            </w:pPr>
            <w:r>
              <w:rPr>
                <w:rFonts w:ascii="仿宋_GB2312" w:hAnsi="仿宋_GB2312" w:cs="仿宋_GB2312" w:eastAsia="仿宋_GB2312"/>
                <w:sz w:val="28"/>
              </w:rPr>
              <w:t>38.数据管理：支持表格、图形、文字等多种方式呈现数据情况；</w:t>
            </w:r>
          </w:p>
          <w:p>
            <w:pPr>
              <w:pStyle w:val="null3"/>
              <w:ind w:firstLine="544"/>
              <w:jc w:val="both"/>
            </w:pPr>
            <w:r>
              <w:rPr>
                <w:rFonts w:ascii="仿宋_GB2312" w:hAnsi="仿宋_GB2312" w:cs="仿宋_GB2312" w:eastAsia="仿宋_GB2312"/>
                <w:sz w:val="28"/>
              </w:rPr>
              <w:t>▲39.汇总每日每人干预情况，管理及展示运动干预前/后血压、血糖、心率等；（供应商须提供产品彩页或产品说明书或检测报告或重要功能截图等佐证材料，并加盖供应商公章，否则视为负偏离）</w:t>
            </w:r>
          </w:p>
          <w:p>
            <w:pPr>
              <w:pStyle w:val="null3"/>
              <w:ind w:firstLine="544"/>
              <w:jc w:val="both"/>
            </w:pPr>
            <w:r>
              <w:rPr>
                <w:rFonts w:ascii="仿宋_GB2312" w:hAnsi="仿宋_GB2312" w:cs="仿宋_GB2312" w:eastAsia="仿宋_GB2312"/>
                <w:sz w:val="28"/>
              </w:rPr>
              <w:t>▲40.多维度数据统计分析：对服务人数、服务人次、检测人次、锻炼人次、干预人次、运动处方数等基本工作成效进行汇总统计；（供应商须提供产品彩页或产品说明书或检测报告或重要功能截图等佐证材料，并加盖供应商公章，否则视为负偏离）</w:t>
            </w:r>
          </w:p>
          <w:p>
            <w:pPr>
              <w:pStyle w:val="null3"/>
              <w:ind w:firstLine="544"/>
              <w:jc w:val="both"/>
            </w:pPr>
            <w:r>
              <w:rPr>
                <w:rFonts w:ascii="仿宋_GB2312" w:hAnsi="仿宋_GB2312" w:cs="仿宋_GB2312" w:eastAsia="仿宋_GB2312"/>
                <w:sz w:val="28"/>
              </w:rPr>
              <w:t>41.展示当前</w:t>
            </w:r>
            <w:r>
              <w:rPr>
                <w:rFonts w:ascii="仿宋_GB2312" w:hAnsi="仿宋_GB2312" w:cs="仿宋_GB2312" w:eastAsia="仿宋_GB2312"/>
                <w:sz w:val="28"/>
              </w:rPr>
              <w:t>受试者</w:t>
            </w:r>
            <w:r>
              <w:rPr>
                <w:rFonts w:ascii="仿宋_GB2312" w:hAnsi="仿宋_GB2312" w:cs="仿宋_GB2312" w:eastAsia="仿宋_GB2312"/>
                <w:sz w:val="28"/>
              </w:rPr>
              <w:t>信息，</w:t>
            </w:r>
            <w:r>
              <w:rPr>
                <w:rFonts w:ascii="仿宋_GB2312" w:hAnsi="仿宋_GB2312" w:cs="仿宋_GB2312" w:eastAsia="仿宋_GB2312"/>
                <w:sz w:val="28"/>
              </w:rPr>
              <w:t>至少</w:t>
            </w:r>
            <w:r>
              <w:rPr>
                <w:rFonts w:ascii="仿宋_GB2312" w:hAnsi="仿宋_GB2312" w:cs="仿宋_GB2312" w:eastAsia="仿宋_GB2312"/>
                <w:sz w:val="28"/>
              </w:rPr>
              <w:t>包括姓名、已完成项目、待完成项目；</w:t>
            </w:r>
          </w:p>
          <w:p>
            <w:pPr>
              <w:pStyle w:val="null3"/>
              <w:ind w:firstLine="544"/>
              <w:jc w:val="both"/>
            </w:pPr>
            <w:r>
              <w:rPr>
                <w:rFonts w:ascii="仿宋_GB2312" w:hAnsi="仿宋_GB2312" w:cs="仿宋_GB2312" w:eastAsia="仿宋_GB2312"/>
                <w:sz w:val="28"/>
              </w:rPr>
              <w:t>42.导入功能：具备批量导入人员信息功能；</w:t>
            </w:r>
          </w:p>
          <w:p>
            <w:pPr>
              <w:pStyle w:val="null3"/>
              <w:ind w:firstLine="544"/>
              <w:jc w:val="both"/>
            </w:pPr>
            <w:r>
              <w:rPr>
                <w:rFonts w:ascii="仿宋_GB2312" w:hAnsi="仿宋_GB2312" w:cs="仿宋_GB2312" w:eastAsia="仿宋_GB2312"/>
                <w:sz w:val="28"/>
              </w:rPr>
              <w:t>43.导出功能：可根据不同分组导出力量测试/训练、医疗数据、体成分测试、心肺耐力测试、有氧训练数据等表单；</w:t>
            </w:r>
          </w:p>
          <w:p>
            <w:pPr>
              <w:pStyle w:val="null3"/>
              <w:ind w:firstLine="544"/>
              <w:jc w:val="both"/>
            </w:pPr>
            <w:r>
              <w:rPr>
                <w:rFonts w:ascii="仿宋_GB2312" w:hAnsi="仿宋_GB2312" w:cs="仿宋_GB2312" w:eastAsia="仿宋_GB2312"/>
                <w:sz w:val="28"/>
              </w:rPr>
              <w:t>44.风险监控：获取智能臂带数据，实现对参加训练的人员进行运动心率安全管控，运动过程中通过大屏展现训练人员实时心率，对训练过程心率过高者（超安全心率）进行安全提示，提醒训练者及时停止训练并提示管理人员重点管理。</w:t>
            </w:r>
          </w:p>
          <w:p>
            <w:pPr>
              <w:pStyle w:val="null3"/>
              <w:jc w:val="both"/>
            </w:pPr>
            <w:r>
              <w:rPr>
                <w:rFonts w:ascii="仿宋_GB2312" w:hAnsi="仿宋_GB2312" w:cs="仿宋_GB2312" w:eastAsia="仿宋_GB2312"/>
                <w:sz w:val="21"/>
                <w:b/>
              </w:rPr>
              <w:t>（注：带</w:t>
            </w:r>
            <w:r>
              <w:rPr>
                <w:rFonts w:ascii="仿宋_GB2312" w:hAnsi="仿宋_GB2312" w:cs="仿宋_GB2312" w:eastAsia="仿宋_GB2312"/>
                <w:sz w:val="21"/>
                <w:b/>
              </w:rPr>
              <w:t>“★”的参数需求为实质性要求，供应商必</w:t>
            </w:r>
            <w:r>
              <w:rPr>
                <w:rFonts w:ascii="仿宋_GB2312" w:hAnsi="仿宋_GB2312" w:cs="仿宋_GB2312" w:eastAsia="仿宋_GB2312"/>
                <w:sz w:val="21"/>
                <w:b/>
              </w:rPr>
              <w:t>须响应并</w:t>
            </w:r>
            <w:r>
              <w:rPr>
                <w:rFonts w:ascii="仿宋_GB2312" w:hAnsi="仿宋_GB2312" w:cs="仿宋_GB2312" w:eastAsia="仿宋_GB2312"/>
                <w:sz w:val="21"/>
                <w:b/>
              </w:rPr>
              <w:t>满足，否则作无效响应处理；带“▲”号条款</w:t>
            </w:r>
            <w:r>
              <w:rPr>
                <w:rFonts w:ascii="仿宋_GB2312" w:hAnsi="仿宋_GB2312" w:cs="仿宋_GB2312" w:eastAsia="仿宋_GB2312"/>
                <w:sz w:val="21"/>
                <w:b/>
              </w:rPr>
              <w:t>为允许负偏离的参数需求，若未响应或者不满足，将在综合评审中予以扣分处理。）</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注：若国家、省、市对执行标准内容有新要求的，则按最新要求执行。</w:t>
            </w:r>
          </w:p>
        </w:tc>
        <w:tc>
          <w:tcPr>
            <w:tcW w:type="dxa" w:w="5814"/>
          </w:tcPr>
          <w:p>
            <w:pPr>
              <w:pStyle w:val="null3"/>
              <w:jc w:val="left"/>
            </w:pPr>
            <w:r>
              <w:rPr>
                <w:rFonts w:ascii="仿宋_GB2312" w:hAnsi="仿宋_GB2312" w:cs="仿宋_GB2312" w:eastAsia="仿宋_GB2312"/>
              </w:rPr>
              <w:t>注：若国家、省、市对执行标准内容有新要求的，则按最新要求执行。</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自合同签订之日起，30日内完成供货</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绵阳市第三人民医院</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1、合同签订后，达到付款条件起30日内，支付合同总金额的30.00%</w:t>
            </w:r>
          </w:p>
          <w:p>
            <w:pPr>
              <w:pStyle w:val="null3"/>
              <w:jc w:val="left"/>
            </w:pPr>
            <w:r>
              <w:rPr>
                <w:rFonts w:ascii="仿宋_GB2312" w:hAnsi="仿宋_GB2312" w:cs="仿宋_GB2312" w:eastAsia="仿宋_GB2312"/>
              </w:rPr>
              <w:t>2、货到安装验收合格，收到合法票据，达到付款条件起10日内，支付合同总金额的70.00%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财政部关于进一步加强政府采购需求和履约验收管理的指导意见》（财库〔2016〕205号）、《绵阳市财政局关于进一步做好政府采购项目履约验收工作的通知》（绵财采〔2021〕15号）的要求及采购文件的技术要求、响应文件响应情况和国家、行业标准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①验收合格之日起，整机质保不低于2年，终身维修。②如果设备出现故障，接到采购人通知后，成交供应商应在30分钟内做出服务响应，4小时内负责人员到达现场排除故障，如故障复杂，专业技术工程师24小时内到达现场进行维修，保障设备正常使用；质保期内，如同一设备经成交供应商三次维修仍不能达到本合同约定的质量标准，成交供应商应更换同品牌、相同型号的新设备，并重新计算质保期。③在质保期外，成交供应商提供设备更换、维修只收取材料费用，不收取人工技术及差旅费用。④终生提供软件升级服务。⑤四川省内具有维修点，大修期间提供备用机。</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如发生纠纷双方应当及时协商解决，协商不成时，直接向采购人所在地人民法院起诉。</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以下内容仅为评审依据，不响应不作废标处理，仅作为扣分项，具体详见5.4.2.评标细则及标准。（一）企业业绩：供应商提供自2022年1月1日（含）至递交投标（响应）文件截止时间，供应商同类产品（同类产品指的是与本次投标产品相同或与本次投标产品相同系列的产品）销售业绩。（二）项目实施方案：根据供应商针对本项目制定的实施方案进行综合评审：实施方案包含①项目实施计划；②项目管理方案；③安装、调试方案；④应急管理体系；⑤应急预案处理流程、处理方法；⑥供货方案及流程。（三）售后服务方案：根据供应商针对本项目提供的售后服务方案进行综合评审：内容包含①售后服务质量控制措施；②质量管理方案；③售后服务人员配置方案；④维修响应时间及维修响应方案；⑤质量保证期限及范围；⑥备品备件供应能力；⑦培训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 xml:space="preserve"> 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注：1.供应商为企业（包括合伙企业）、个体工商户的,应提供工商营业执照或提供由市场监管部门核发的法人或者其他组织统一社会信用代码的营业执照（扫描件）；</w:t>
              <w:br/>
              <w:t>2.供应商属于银行、保险、石油石化、电力、电信等有行业特殊情况的，提供企业分支机构营业执照或统一社会信用代码的营业执照（扫描件）；3.供应商为其他组织的，提供事业单位法人证书或执业许可证等证明文件（扫描件）；4.如为自然人的提供《中华人民共和国居民身份证》（扫描件）。上述材料均提供在有效期内的复印件。）</w:t>
            </w:r>
          </w:p>
        </w:tc>
        <w:tc>
          <w:tcPr>
            <w:tcW w:type="dxa" w:w="1910"/>
          </w:tcPr>
          <w:p>
            <w:pPr>
              <w:pStyle w:val="null3"/>
              <w:jc w:val="left"/>
            </w:pPr>
            <w:r>
              <w:rPr>
                <w:rFonts w:ascii="仿宋_GB2312" w:hAnsi="仿宋_GB2312" w:cs="仿宋_GB2312" w:eastAsia="仿宋_GB2312"/>
              </w:rPr>
              <w:t>响应文件封面,具有独立承担民事责任的能力证明材料.docx,投标（响应）函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所投产品属于医疗器械的，供应商须符合《医疗器械监督管理条例》要求。属于第二类医疗器械的，供应商非所投产品生产厂家须提供《医疗器械经营备案凭证》；属于第三类医疗器械的，供应商非所投产品生产厂家须提供《医疗器械经营许可证》（医疗器械经营备案凭证或医疗器械经营许可证经营范围须包含所投产品）。</w:t>
            </w:r>
          </w:p>
        </w:tc>
        <w:tc>
          <w:tcPr>
            <w:tcW w:type="dxa" w:w="3322"/>
          </w:tcPr>
          <w:p>
            <w:pPr>
              <w:pStyle w:val="null3"/>
              <w:jc w:val="left"/>
            </w:pPr>
            <w:r>
              <w:rPr>
                <w:rFonts w:ascii="仿宋_GB2312" w:hAnsi="仿宋_GB2312" w:cs="仿宋_GB2312" w:eastAsia="仿宋_GB2312"/>
              </w:rPr>
              <w:t>所投产品属于医疗器械的，供应商须符合《医疗器械监督管理条例》要求。属于第二类医疗器械的，供应商非所投产品生产厂家须提供《医疗器械经营备案凭证》；属于第三类医疗器械的，供应商非所投产品生产厂家须提供《医疗器械经营许可证》（医疗器械经营备案凭证或医疗器械经营许可证经营范围须包含所投产品）。</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所投产品属于医疗器械的，投标产品须符合《医疗器械注册与备案管理办法》要求，须提供产品的生产许可证或第一类医疗器械生产备案凭证以及医疗器械产品注册证或第一类医疗器械备案凭证 注：不属于医疗器械的，须提供说明或产品分类界定文件等有效证明文件。</w:t>
            </w:r>
          </w:p>
        </w:tc>
        <w:tc>
          <w:tcPr>
            <w:tcW w:type="dxa" w:w="3322"/>
          </w:tcPr>
          <w:p>
            <w:pPr>
              <w:pStyle w:val="null3"/>
              <w:jc w:val="left"/>
            </w:pPr>
            <w:r>
              <w:rPr>
                <w:rFonts w:ascii="仿宋_GB2312" w:hAnsi="仿宋_GB2312" w:cs="仿宋_GB2312" w:eastAsia="仿宋_GB2312"/>
              </w:rPr>
              <w:t>所投产品属于医疗器械的，投标产品须符合《医疗器械注册与备案管理办法》要求，须提供产品的生产许可证或第一类医疗器械生产备案凭证以及医疗器械产品注册证或第一类医疗器械备案凭证 注：不属于医疗器械的，须提供说明或产品分类界定文件等有效证明文件。</w:t>
            </w:r>
          </w:p>
        </w:tc>
        <w:tc>
          <w:tcPr>
            <w:tcW w:type="dxa" w:w="1910"/>
          </w:tcPr>
          <w:p>
            <w:pPr>
              <w:pStyle w:val="null3"/>
              <w:jc w:val="left"/>
            </w:pPr>
            <w:r>
              <w:rPr>
                <w:rFonts w:ascii="仿宋_GB2312" w:hAnsi="仿宋_GB2312" w:cs="仿宋_GB2312" w:eastAsia="仿宋_GB2312"/>
              </w:rPr>
              <w:t>供应商应提交的相关证明材料,投标（响应）函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第三章 技术、服务及其他要求中所列实质性要求和标注“★”的条款。</w:t>
            </w:r>
          </w:p>
        </w:tc>
        <w:tc>
          <w:tcPr>
            <w:tcW w:type="dxa" w:w="3322"/>
          </w:tcPr>
          <w:p>
            <w:pPr>
              <w:pStyle w:val="null3"/>
              <w:jc w:val="left"/>
            </w:pPr>
            <w:r>
              <w:rPr>
                <w:rFonts w:ascii="仿宋_GB2312" w:hAnsi="仿宋_GB2312" w:cs="仿宋_GB2312" w:eastAsia="仿宋_GB2312"/>
              </w:rPr>
              <w:t>是否响应“第三章 技术、服务及其他要求”中所列实质性要求和标注“★”的条款。</w:t>
            </w:r>
          </w:p>
        </w:tc>
        <w:tc>
          <w:tcPr>
            <w:tcW w:type="dxa" w:w="1910"/>
          </w:tcPr>
          <w:p>
            <w:pPr>
              <w:pStyle w:val="null3"/>
              <w:jc w:val="left"/>
            </w:pPr>
            <w:r>
              <w:rPr>
                <w:rFonts w:ascii="仿宋_GB2312" w:hAnsi="仿宋_GB2312" w:cs="仿宋_GB2312" w:eastAsia="仿宋_GB2312"/>
              </w:rPr>
              <w:t>技术、服务及其他要求响应表.docx,供应商根据评审细则及标准要求进行响应.docx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报价表</w:t>
            </w:r>
          </w:p>
        </w:tc>
        <w:tc>
          <w:tcPr>
            <w:tcW w:type="dxa" w:w="3322"/>
          </w:tcPr>
          <w:p>
            <w:pPr>
              <w:pStyle w:val="null3"/>
              <w:jc w:val="left"/>
            </w:pPr>
            <w:r>
              <w:rPr>
                <w:rFonts w:ascii="仿宋_GB2312" w:hAnsi="仿宋_GB2312" w:cs="仿宋_GB2312" w:eastAsia="仿宋_GB2312"/>
              </w:rPr>
              <w:t>报价是否符合采购文件要求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技术参数</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ind w:firstLine="480"/>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详细评审55.00分</w:t>
            </w:r>
          </w:p>
          <w:p>
            <w:pPr>
              <w:pStyle w:val="null3"/>
              <w:jc w:val="left"/>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技术参数要求</w:t>
            </w:r>
          </w:p>
        </w:tc>
        <w:tc>
          <w:tcPr>
            <w:tcW w:type="dxa" w:w="2575"/>
          </w:tcPr>
          <w:p>
            <w:pPr>
              <w:pStyle w:val="null3"/>
              <w:jc w:val="left"/>
            </w:pPr>
            <w:r>
              <w:rPr>
                <w:rFonts w:ascii="仿宋_GB2312" w:hAnsi="仿宋_GB2312" w:cs="仿宋_GB2312" w:eastAsia="仿宋_GB2312"/>
              </w:rPr>
              <w:t>根据供应商响应的技术指标、参数及功能要求情况进行评分： 完全满足磋商文件技术参数要求的得37分。其中：1、“★”为实质性参数，不满足则为无效投标；2、“▲”条款为重要参数（共6项），带“▲”项每一项有负偏离的扣3分；3、未标识符号的参数为一般参数（共38项），一般参数每一项有负偏离的扣0.5分，扣完为止。 备注：1、“▲”为重要参数，供应商须提供产品彩页或产品说明书或检测报告或重要功能截图等佐证材料，并加盖供应商公章，否则视为负偏离。若技术参数中明确要求提供对应证明材料的，应按要求提供。未提供的或证明文件与投标响应不一致的，则对应技术参数条款将作为负偏离处理。 2、阿拉伯数字序号下有多级序号的，以不能拆分的最小阿拉伯数字序号为一条技术参数计算。</w:t>
            </w:r>
          </w:p>
        </w:tc>
        <w:tc>
          <w:tcPr>
            <w:tcW w:type="dxa" w:w="831"/>
          </w:tcPr>
          <w:p>
            <w:pPr>
              <w:pStyle w:val="null3"/>
              <w:jc w:val="center"/>
            </w:pPr>
            <w:r>
              <w:rPr>
                <w:rFonts w:ascii="仿宋_GB2312" w:hAnsi="仿宋_GB2312" w:cs="仿宋_GB2312" w:eastAsia="仿宋_GB2312"/>
              </w:rPr>
              <w:t>37.0000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技术、服务及其他要求响应表.docx</w:t>
            </w:r>
          </w:p>
          <w:p>
            <w:pPr>
              <w:pStyle w:val="null3"/>
              <w:jc w:val="left"/>
            </w:pPr>
            <w:r>
              <w:rPr>
                <w:rFonts w:ascii="仿宋_GB2312" w:hAnsi="仿宋_GB2312" w:cs="仿宋_GB2312" w:eastAsia="仿宋_GB2312"/>
              </w:rPr>
              <w:t>供应商根据评审细则及标准要求进行响应.docx</w:t>
            </w:r>
          </w:p>
        </w:tc>
      </w:tr>
      <w:tr>
        <w:tc>
          <w:tcPr>
            <w:tcW w:type="dxa" w:w="831"/>
            <w:vMerge/>
          </w:tcPr>
          <w:p/>
        </w:tc>
        <w:tc>
          <w:tcPr>
            <w:tcW w:type="dxa" w:w="1661"/>
          </w:tcPr>
          <w:p>
            <w:pPr>
              <w:pStyle w:val="null3"/>
              <w:jc w:val="left"/>
            </w:pPr>
            <w:r>
              <w:rPr>
                <w:rFonts w:ascii="仿宋_GB2312" w:hAnsi="仿宋_GB2312" w:cs="仿宋_GB2312" w:eastAsia="仿宋_GB2312"/>
              </w:rPr>
              <w:t>企业业绩</w:t>
            </w:r>
          </w:p>
        </w:tc>
        <w:tc>
          <w:tcPr>
            <w:tcW w:type="dxa" w:w="2575"/>
          </w:tcPr>
          <w:p>
            <w:pPr>
              <w:pStyle w:val="null3"/>
              <w:jc w:val="left"/>
            </w:pPr>
            <w:r>
              <w:rPr>
                <w:rFonts w:ascii="仿宋_GB2312" w:hAnsi="仿宋_GB2312" w:cs="仿宋_GB2312" w:eastAsia="仿宋_GB2312"/>
              </w:rPr>
              <w:t>供应商提供自2022年1月1日（含）至递交投标（响应）文件截止时间，供应商同类产品（同类产品指的是与本次投标产品相同或与本次投标产品相同系列的产品）销售业绩，每提供一个业绩得2.5分，最多得5分。 注：提供销售合同或中标（成交）通知书原件扫描件，时间以合同签订时间或中标（成交）通知书发放时间。</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供应商根据评审细则及标准要求进行响应.docx</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根据供应商针对本项目制定的实施方案进行综合评审：实施方案包含①项目实施计划；②项目管理方案；③安装、调试方案；④应急管理体系；⑤应急预案处理流程、处理方法；⑥供货方案及流程。上述内容满足要求得6分，每缺少一项内容扣1分；每有一处内容有缺陷扣0.5分，每项最高扣1分。 注：1、上述内容满足要求是指①方案内容与项目需求吻合，有具体详细的阐述；②方案阐述从实际出发，切合项目背景，对项目实施提出建议或者解决方案；③方案内容符合国家、地方、行业标准、行业惯例以及项目特点能确保项目实施。 2、缺陷是指：非专门针对本项目或不适用项目特性的情形、内容不完整或缺少关键节点、内容前后矛盾、不利于项目实施、不可能实现的情形，内容表述错误或前后表述不一致；不符合技术规范及政策要求；套用其他项目的数据、名称；专业术语表述错误；方案内容及要求、实施地点与本项目要求不一致；方案内容交叉混乱；与项目不匹配或与本项目需求无关、描述简单（如仅有框架或标题或一两句话概括）等任意一种情形。</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供应商根据评审细则及标准要求进行响应.docx</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根据供应商针对本项目提供的售后服务方案进行综合评审：内容包含①售后服务质量控制措施；②质量管理方案；③售后服务人员配置方案；④维修响应时间及维修响应方案；⑤质量保证期限及范围；⑥备品备件供应能力；⑦培训方案。上述内容满足要求得7分，每缺少一项内容扣1分；每有一处内容有缺陷扣0.5分，每项最高扣1分。 注：1、上述内容满足要求是指①方案内容与项目需求吻合，有具体详细的阐述；②方案阐述从实际出发，切合项目背景，对项目实施提出建议或者解决方案；③方案内容符合国家、地方、行业标准、行业惯例以及项目特点能确保项目实施。 2、缺陷是指：非专门针对本项目或不适用项目特性的情形、内容不完整或缺少关键节点、内容前后矛盾、不利于项目实施、不可能实现的情形，内容表述错误或前后表述不一致；不符合技术规范及政策要求；套用其他项目的数据、名称；专业术语表述错误；方案内容及要求、实施地点与本项目要求不一致；方案内容交叉混乱；与项目不匹配或与本项目需求无关、描述简单（如仅有框架或标题或一两句话概括）等任意一种情形。</w:t>
            </w:r>
          </w:p>
        </w:tc>
        <w:tc>
          <w:tcPr>
            <w:tcW w:type="dxa" w:w="831"/>
          </w:tcPr>
          <w:p>
            <w:pPr>
              <w:pStyle w:val="null3"/>
              <w:jc w:val="center"/>
            </w:pPr>
            <w:r>
              <w:rPr>
                <w:rFonts w:ascii="仿宋_GB2312" w:hAnsi="仿宋_GB2312" w:cs="仿宋_GB2312" w:eastAsia="仿宋_GB2312"/>
              </w:rPr>
              <w:t>7.0000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供应商根据评审细则及标准要求进行响应.docx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经评标委员会评审，通过资格和符合性审查，且投标报价最低的投标人的投标报价作为评标基准价。2.投标报价得分=(评标基准价／投标报价)×45。评审价格=响应报价。</w:t>
            </w:r>
          </w:p>
        </w:tc>
        <w:tc>
          <w:tcPr>
            <w:tcW w:type="dxa" w:w="831"/>
          </w:tcPr>
          <w:p>
            <w:pPr>
              <w:pStyle w:val="null3"/>
              <w:jc w:val="center"/>
            </w:pPr>
            <w:r>
              <w:rPr>
                <w:rFonts w:ascii="仿宋_GB2312" w:hAnsi="仿宋_GB2312" w:cs="仿宋_GB2312" w:eastAsia="仿宋_GB2312"/>
              </w:rPr>
              <w:t>45.0000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详见附件：技术、服务及其他要求响应表.docx</w:t>
      </w:r>
    </w:p>
    <w:p>
      <w:pPr>
        <w:pStyle w:val="null3"/>
        <w:ind w:firstLine="960"/>
        <w:jc w:val="left"/>
      </w:pPr>
      <w:r>
        <w:rPr>
          <w:rFonts w:ascii="仿宋_GB2312" w:hAnsi="仿宋_GB2312" w:cs="仿宋_GB2312" w:eastAsia="仿宋_GB2312"/>
        </w:rPr>
        <w:t>详见附件：供应商根据评审细则及标准要求进行响应.docx</w:t>
      </w:r>
    </w:p>
    <w:p>
      <w:pPr>
        <w:pStyle w:val="null3"/>
        <w:ind w:firstLine="960"/>
        <w:jc w:val="left"/>
      </w:pPr>
      <w:r>
        <w:rPr>
          <w:rFonts w:ascii="仿宋_GB2312" w:hAnsi="仿宋_GB2312" w:cs="仿宋_GB2312" w:eastAsia="仿宋_GB2312"/>
        </w:rPr>
        <w:t>详见附件：具有独立承担民事责任的能力证明材料.docx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