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版本号：N511701202500000120250109002</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毒情监测预警系统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N5117012025000001</w:t>
      </w:r>
    </w:p>
    <w:p>
      <w:pPr>
        <w:pStyle w:val="null3"/>
        <w:jc w:val="left"/>
        <w:outlineLvl w:val="2"/>
      </w:pPr>
      <w:r>
        <w:rPr>
          <w:rFonts w:ascii="仿宋_GB2312" w:hAnsi="仿宋_GB2312" w:cs="仿宋_GB2312" w:eastAsia="仿宋_GB2312"/>
          <w:sz w:val="28"/>
          <w:b/>
        </w:rPr>
        <w:t>达州市公安局</w:t>
      </w:r>
    </w:p>
    <w:p>
      <w:pPr>
        <w:pStyle w:val="null3"/>
        <w:jc w:val="center"/>
        <w:outlineLvl w:val="2"/>
      </w:pPr>
      <w:r>
        <w:rPr>
          <w:rFonts w:ascii="仿宋_GB2312" w:hAnsi="仿宋_GB2312" w:cs="仿宋_GB2312" w:eastAsia="仿宋_GB2312"/>
          <w:sz w:val="28"/>
          <w:b/>
        </w:rPr>
        <w:t>达州市政府采购中心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达州市政府采购中心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达州市公安局</w:t>
      </w:r>
      <w:r>
        <w:rPr>
          <w:rFonts w:ascii="仿宋_GB2312" w:hAnsi="仿宋_GB2312" w:cs="仿宋_GB2312" w:eastAsia="仿宋_GB2312"/>
        </w:rPr>
        <w:t xml:space="preserve"> 委托，拟对 </w:t>
      </w:r>
      <w:r>
        <w:rPr>
          <w:rFonts w:ascii="仿宋_GB2312" w:hAnsi="仿宋_GB2312" w:cs="仿宋_GB2312" w:eastAsia="仿宋_GB2312"/>
        </w:rPr>
        <w:t>毒情监测预警系统</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达州市市本级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N5117012025000001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毒情监测预警系统</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毒情监测预警系统</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达州市公安局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四川省达州市西外永安街8号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邓铭</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18080689797</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达州市政府采购中心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四川省达州市市本级达州市马踏洞新区龙马大道与鱼泉路交叉口处新政务服务大楼B区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李女士负责采购文件咨询。供应商询问、质疑和投诉按本采购文件“2.8.询问、质疑和投诉”的规定办理。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0818-3091346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采购包1：1,063,900.00元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达州市公安局</w:t>
      </w:r>
      <w:r>
        <w:rPr>
          <w:rFonts w:ascii="仿宋_GB2312" w:hAnsi="仿宋_GB2312" w:cs="仿宋_GB2312" w:eastAsia="仿宋_GB2312"/>
        </w:rPr>
        <w:t xml:space="preserve"> 和 </w:t>
      </w:r>
      <w:r>
        <w:rPr>
          <w:rFonts w:ascii="仿宋_GB2312" w:hAnsi="仿宋_GB2312" w:cs="仿宋_GB2312" w:eastAsia="仿宋_GB2312"/>
        </w:rPr>
        <w:t>达州市政府采购中心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达州市公安局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达州市政府采购中心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乙方提出验收之日</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按照技术要求、响应文件和合同约定执行。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按照商务要求、响应文件和合同约定执行。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 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达州市公安局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达州市政府采购中心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达州市政府采购中心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联系人：邓铭</w:t>
      </w:r>
    </w:p>
    <w:p>
      <w:pPr>
        <w:pStyle w:val="null3"/>
        <w:jc w:val="left"/>
      </w:pPr>
      <w:r>
        <w:rPr>
          <w:rFonts w:ascii="仿宋_GB2312" w:hAnsi="仿宋_GB2312" w:cs="仿宋_GB2312" w:eastAsia="仿宋_GB2312"/>
        </w:rPr>
        <w:t>联系电话： 18080689797</w:t>
      </w:r>
    </w:p>
    <w:p>
      <w:pPr>
        <w:pStyle w:val="null3"/>
        <w:jc w:val="left"/>
      </w:pPr>
      <w:r>
        <w:rPr>
          <w:rFonts w:ascii="仿宋_GB2312" w:hAnsi="仿宋_GB2312" w:cs="仿宋_GB2312" w:eastAsia="仿宋_GB2312"/>
        </w:rPr>
        <w:t>地址：四川省达州市西外永安街8号</w:t>
      </w:r>
    </w:p>
    <w:p>
      <w:pPr>
        <w:pStyle w:val="null3"/>
        <w:jc w:val="left"/>
      </w:pPr>
      <w:r>
        <w:rPr>
          <w:rFonts w:ascii="仿宋_GB2312" w:hAnsi="仿宋_GB2312" w:cs="仿宋_GB2312" w:eastAsia="仿宋_GB2312"/>
        </w:rPr>
        <w:t>邮编： 635000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联系人：监督科（本项目政府采购当事人特别注意：按本项目委托代理协议约定，2.8第二款中“供应商对采购过程、采购结果的询问、质疑由 达州市政府采购中心 负责答复。”更正为“供应商对采购过程、采购结果的询问、质疑由达州市公安局负责答复。”）</w:t>
      </w:r>
    </w:p>
    <w:p>
      <w:pPr>
        <w:pStyle w:val="null3"/>
        <w:jc w:val="left"/>
      </w:pPr>
      <w:r>
        <w:rPr>
          <w:rFonts w:ascii="仿宋_GB2312" w:hAnsi="仿宋_GB2312" w:cs="仿宋_GB2312" w:eastAsia="仿宋_GB2312"/>
        </w:rPr>
        <w:t>联系电话：0818-3091350</w:t>
      </w:r>
    </w:p>
    <w:p>
      <w:pPr>
        <w:pStyle w:val="null3"/>
        <w:jc w:val="left"/>
      </w:pPr>
      <w:r>
        <w:rPr>
          <w:rFonts w:ascii="仿宋_GB2312" w:hAnsi="仿宋_GB2312" w:cs="仿宋_GB2312" w:eastAsia="仿宋_GB2312"/>
        </w:rPr>
        <w:t>地址：四川省达州市市本级达州市马踏洞新区龙马大道与鱼泉路交叉口处新政务服务大楼B区</w:t>
      </w:r>
    </w:p>
    <w:p>
      <w:pPr>
        <w:pStyle w:val="null3"/>
        <w:jc w:val="left"/>
      </w:pPr>
      <w:r>
        <w:rPr>
          <w:rFonts w:ascii="仿宋_GB2312" w:hAnsi="仿宋_GB2312" w:cs="仿宋_GB2312" w:eastAsia="仿宋_GB2312"/>
        </w:rPr>
        <w:t>邮编：635000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1,063,900.00</w:t>
      </w:r>
    </w:p>
    <w:p>
      <w:pPr>
        <w:pStyle w:val="null3"/>
        <w:jc w:val="left"/>
      </w:pPr>
      <w:r>
        <w:rPr>
          <w:rFonts w:ascii="仿宋_GB2312" w:hAnsi="仿宋_GB2312" w:cs="仿宋_GB2312" w:eastAsia="仿宋_GB2312"/>
        </w:rPr>
        <w:t>采购包最高限价（元）: 1,063,900.00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其他计算机软件</w:t>
            </w:r>
          </w:p>
        </w:tc>
        <w:tc>
          <w:tcPr>
            <w:tcW w:type="dxa" w:w="821"/>
          </w:tcPr>
          <w:p>
            <w:pPr>
              <w:pStyle w:val="null3"/>
              <w:jc w:val="left"/>
            </w:pPr>
            <w:r>
              <w:rPr>
                <w:rFonts w:ascii="仿宋_GB2312" w:hAnsi="仿宋_GB2312" w:cs="仿宋_GB2312" w:eastAsia="仿宋_GB2312"/>
              </w:rPr>
              <w:t>毒情监测预警系统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1,063,900.00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毒情监测预警系统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1,063,900.00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其他计算机软件</w:t>
            </w:r>
          </w:p>
        </w:tc>
        <w:tc>
          <w:tcPr>
            <w:tcW w:type="dxa" w:w="2492"/>
          </w:tcPr>
          <w:p>
            <w:pPr>
              <w:pStyle w:val="null3"/>
              <w:jc w:val="left"/>
            </w:pPr>
            <w:r>
              <w:rPr>
                <w:rFonts w:ascii="仿宋_GB2312" w:hAnsi="仿宋_GB2312" w:cs="仿宋_GB2312" w:eastAsia="仿宋_GB2312"/>
              </w:rPr>
              <w:t>毒情监测预警系统</w:t>
            </w:r>
          </w:p>
        </w:tc>
        <w:tc>
          <w:tcPr>
            <w:tcW w:type="dxa" w:w="2492"/>
          </w:tcPr>
          <w:p>
            <w:pPr>
              <w:pStyle w:val="null3"/>
              <w:jc w:val="left"/>
            </w:pPr>
            <w:r>
              <w:rPr>
                <w:rFonts w:ascii="仿宋_GB2312" w:hAnsi="仿宋_GB2312" w:cs="仿宋_GB2312" w:eastAsia="仿宋_GB2312"/>
              </w:rPr>
              <w:t>毒情监测预警系统</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标的名称：毒情监测预警系统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达州市毒情监测预警系统需求</w:t>
            </w:r>
          </w:p>
        </w:tc>
        <w:tc>
          <w:tcPr>
            <w:tcW w:type="dxa" w:w="5814"/>
          </w:tcPr>
          <w:p>
            <w:pPr>
              <w:pStyle w:val="null3"/>
              <w:jc w:val="left"/>
            </w:pPr>
            <w:r>
              <w:rPr>
                <w:rFonts w:ascii="仿宋_GB2312" w:hAnsi="仿宋_GB2312" w:cs="仿宋_GB2312" w:eastAsia="仿宋_GB2312"/>
                <w:sz w:val="28"/>
              </w:rPr>
              <w:t xml:space="preserve">    一、</w:t>
            </w:r>
            <w:r>
              <w:rPr>
                <w:rFonts w:ascii="仿宋_GB2312" w:hAnsi="仿宋_GB2312" w:cs="仿宋_GB2312" w:eastAsia="仿宋_GB2312"/>
                <w:sz w:val="28"/>
              </w:rPr>
              <w:t>达州市毒情监测预警系统</w:t>
            </w:r>
            <w:r>
              <w:rPr>
                <w:rFonts w:ascii="仿宋_GB2312" w:hAnsi="仿宋_GB2312" w:cs="仿宋_GB2312" w:eastAsia="仿宋_GB2312"/>
                <w:sz w:val="28"/>
              </w:rPr>
              <w:t>数据层建设</w:t>
            </w:r>
            <w:r>
              <w:rPr>
                <w:rFonts w:ascii="仿宋_GB2312" w:hAnsi="仿宋_GB2312" w:cs="仿宋_GB2312" w:eastAsia="仿宋_GB2312"/>
                <w:sz w:val="28"/>
              </w:rPr>
              <w:t>需求</w:t>
            </w:r>
          </w:p>
          <w:p>
            <w:pPr>
              <w:pStyle w:val="null3"/>
              <w:ind w:firstLine="560"/>
              <w:jc w:val="left"/>
            </w:pPr>
            <w:r>
              <w:rPr>
                <w:rFonts w:ascii="仿宋_GB2312" w:hAnsi="仿宋_GB2312" w:cs="仿宋_GB2312" w:eastAsia="仿宋_GB2312"/>
                <w:sz w:val="28"/>
              </w:rPr>
              <w:t>数据层建设主要是通过数据接入、数据采集、数据同步、数据清洗整合等方式建立智能数据采集系统的基础数据库，为数据采集和比对查询提供坚实的数据基础。</w:t>
            </w:r>
          </w:p>
          <w:p>
            <w:pPr>
              <w:pStyle w:val="null3"/>
              <w:ind w:firstLine="560"/>
              <w:jc w:val="left"/>
            </w:pPr>
            <w:r>
              <w:rPr>
                <w:rFonts w:ascii="仿宋_GB2312" w:hAnsi="仿宋_GB2312" w:cs="仿宋_GB2312" w:eastAsia="仿宋_GB2312"/>
                <w:sz w:val="28"/>
              </w:rPr>
              <w:t>项目中</w:t>
            </w:r>
            <w:r>
              <w:rPr>
                <w:rFonts w:ascii="仿宋_GB2312" w:hAnsi="仿宋_GB2312" w:cs="仿宋_GB2312" w:eastAsia="仿宋_GB2312"/>
                <w:sz w:val="28"/>
              </w:rPr>
              <w:t>非涉密且应共享的数据，必须与达州市城市公共信息服务平台级联对接，并预留接口，免费与后续需要与此系统级联对接的新建系统对接，实现政务信息数据的共享交换</w:t>
            </w:r>
            <w:r>
              <w:rPr>
                <w:rFonts w:ascii="仿宋_GB2312" w:hAnsi="仿宋_GB2312" w:cs="仿宋_GB2312" w:eastAsia="仿宋_GB2312"/>
                <w:sz w:val="28"/>
              </w:rPr>
              <w:t>;</w:t>
            </w:r>
            <w:r>
              <w:rPr>
                <w:rFonts w:ascii="仿宋_GB2312" w:hAnsi="仿宋_GB2312" w:cs="仿宋_GB2312" w:eastAsia="仿宋_GB2312"/>
                <w:sz w:val="28"/>
              </w:rPr>
              <w:t>不能共享的数据，需提供相应法律法规。按照</w:t>
            </w:r>
            <w:r>
              <w:rPr>
                <w:rFonts w:ascii="仿宋_GB2312" w:hAnsi="仿宋_GB2312" w:cs="仿宋_GB2312" w:eastAsia="仿宋_GB2312"/>
                <w:sz w:val="28"/>
              </w:rPr>
              <w:t>“</w:t>
            </w:r>
            <w:r>
              <w:rPr>
                <w:rFonts w:ascii="仿宋_GB2312" w:hAnsi="仿宋_GB2312" w:cs="仿宋_GB2312" w:eastAsia="仿宋_GB2312"/>
                <w:sz w:val="28"/>
              </w:rPr>
              <w:t>一数一源</w:t>
            </w:r>
            <w:r>
              <w:rPr>
                <w:rFonts w:ascii="仿宋_GB2312" w:hAnsi="仿宋_GB2312" w:cs="仿宋_GB2312" w:eastAsia="仿宋_GB2312"/>
                <w:sz w:val="28"/>
              </w:rPr>
              <w:t>”</w:t>
            </w:r>
            <w:r>
              <w:rPr>
                <w:rFonts w:ascii="仿宋_GB2312" w:hAnsi="仿宋_GB2312" w:cs="仿宋_GB2312" w:eastAsia="仿宋_GB2312"/>
                <w:sz w:val="28"/>
              </w:rPr>
              <w:t>原则，在确保安全的前提下</w:t>
            </w:r>
            <w:r>
              <w:rPr>
                <w:rFonts w:ascii="仿宋_GB2312" w:hAnsi="仿宋_GB2312" w:cs="仿宋_GB2312" w:eastAsia="仿宋_GB2312"/>
                <w:sz w:val="28"/>
              </w:rPr>
              <w:t>,</w:t>
            </w:r>
            <w:r>
              <w:rPr>
                <w:rFonts w:ascii="仿宋_GB2312" w:hAnsi="仿宋_GB2312" w:cs="仿宋_GB2312" w:eastAsia="仿宋_GB2312"/>
                <w:sz w:val="28"/>
              </w:rPr>
              <w:t>有义务提供给其他需要该信息数据的市级部门</w:t>
            </w:r>
            <w:r>
              <w:rPr>
                <w:rFonts w:ascii="仿宋_GB2312" w:hAnsi="仿宋_GB2312" w:cs="仿宋_GB2312" w:eastAsia="仿宋_GB2312"/>
                <w:sz w:val="28"/>
              </w:rPr>
              <w:t>(</w:t>
            </w:r>
            <w:r>
              <w:rPr>
                <w:rFonts w:ascii="仿宋_GB2312" w:hAnsi="仿宋_GB2312" w:cs="仿宋_GB2312" w:eastAsia="仿宋_GB2312"/>
                <w:sz w:val="28"/>
              </w:rPr>
              <w:t>单位</w:t>
            </w:r>
            <w:r>
              <w:rPr>
                <w:rFonts w:ascii="仿宋_GB2312" w:hAnsi="仿宋_GB2312" w:cs="仿宋_GB2312" w:eastAsia="仿宋_GB2312"/>
                <w:sz w:val="28"/>
              </w:rPr>
              <w:t>)</w:t>
            </w:r>
            <w:r>
              <w:rPr>
                <w:rFonts w:ascii="仿宋_GB2312" w:hAnsi="仿宋_GB2312" w:cs="仿宋_GB2312" w:eastAsia="仿宋_GB2312"/>
                <w:sz w:val="28"/>
              </w:rPr>
              <w:t>无偿使用，有效避免重复采集，重复建设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项目中的数据传输需要严格按照市局的建设要求指导进行处理，同时该项目的数据传输仅在公安内网进行传输。</w:t>
            </w:r>
          </w:p>
          <w:p>
            <w:pPr>
              <w:pStyle w:val="null3"/>
              <w:ind w:firstLine="560"/>
              <w:jc w:val="left"/>
            </w:pPr>
            <w:r>
              <w:rPr>
                <w:rFonts w:ascii="仿宋_GB2312" w:hAnsi="仿宋_GB2312" w:cs="仿宋_GB2312" w:eastAsia="仿宋_GB2312"/>
                <w:sz w:val="28"/>
              </w:rPr>
              <w:t>对接禁毒现有平台数据进行数据通道整合，包括禁毒相关系统、案事件系统数据、市局数据数据资源、公安部毒综系统、污水检测数据资源、毛发检测数据资源、互联网数据资源、邮政数据资源等。同时还包括禁毒现有积累的数据资源进行整合。针对积累数据以及实时同步的最新数据资源，形成以各区县为计算逻辑点的达州市毒情监测数据库。同时还需要结合每个季度的算法分析后形成了以各区县为中心的评分结果构建评分归档库。</w:t>
            </w:r>
          </w:p>
          <w:p>
            <w:pPr>
              <w:pStyle w:val="null3"/>
              <w:spacing w:before="150" w:after="150"/>
              <w:ind w:left="570"/>
              <w:jc w:val="both"/>
              <w:outlineLvl w:val="1"/>
            </w:pPr>
            <w:r>
              <w:rPr>
                <w:rFonts w:ascii="仿宋_GB2312" w:hAnsi="仿宋_GB2312" w:cs="仿宋_GB2312" w:eastAsia="仿宋_GB2312"/>
                <w:sz w:val="28"/>
                <w:b/>
              </w:rPr>
              <w:t>二、</w:t>
            </w:r>
            <w:r>
              <w:rPr>
                <w:rFonts w:ascii="仿宋_GB2312" w:hAnsi="仿宋_GB2312" w:cs="仿宋_GB2312" w:eastAsia="仿宋_GB2312"/>
                <w:sz w:val="28"/>
                <w:b/>
              </w:rPr>
              <w:t>达州市毒情监测子系统建设</w:t>
            </w:r>
            <w:r>
              <w:rPr>
                <w:rFonts w:ascii="仿宋_GB2312" w:hAnsi="仿宋_GB2312" w:cs="仿宋_GB2312" w:eastAsia="仿宋_GB2312"/>
                <w:sz w:val="28"/>
                <w:b/>
              </w:rPr>
              <w:t>需求</w:t>
            </w:r>
          </w:p>
          <w:p>
            <w:pPr>
              <w:pStyle w:val="null3"/>
              <w:ind w:firstLine="480"/>
              <w:jc w:val="both"/>
            </w:pPr>
            <w:r>
              <w:rPr>
                <w:rFonts w:ascii="仿宋_GB2312" w:hAnsi="仿宋_GB2312" w:cs="仿宋_GB2312" w:eastAsia="仿宋_GB2312"/>
                <w:sz w:val="28"/>
              </w:rPr>
              <w:t>达州市毒情监测预警系统为定制化设计系统，主要提供大屏的定制化展示，系统需要在大屏中自由切换。</w:t>
            </w:r>
          </w:p>
          <w:p>
            <w:pPr>
              <w:pStyle w:val="null3"/>
              <w:ind w:firstLine="560"/>
              <w:jc w:val="both"/>
            </w:pPr>
            <w:r>
              <w:rPr>
                <w:rFonts w:ascii="仿宋_GB2312" w:hAnsi="仿宋_GB2312" w:cs="仿宋_GB2312" w:eastAsia="仿宋_GB2312"/>
                <w:sz w:val="28"/>
              </w:rPr>
              <w:t>毒情监测平台</w:t>
            </w:r>
            <w:r>
              <w:rPr>
                <w:rFonts w:ascii="仿宋_GB2312" w:hAnsi="仿宋_GB2312" w:cs="仿宋_GB2312" w:eastAsia="仿宋_GB2312"/>
                <w:sz w:val="28"/>
              </w:rPr>
              <w:t>-“</w:t>
            </w:r>
            <w:r>
              <w:rPr>
                <w:rFonts w:ascii="仿宋_GB2312" w:hAnsi="仿宋_GB2312" w:cs="仿宋_GB2312" w:eastAsia="仿宋_GB2312"/>
                <w:sz w:val="28"/>
              </w:rPr>
              <w:t>驾驶舱门户</w:t>
            </w:r>
            <w:r>
              <w:rPr>
                <w:rFonts w:ascii="仿宋_GB2312" w:hAnsi="仿宋_GB2312" w:cs="仿宋_GB2312" w:eastAsia="仿宋_GB2312"/>
                <w:sz w:val="28"/>
              </w:rPr>
              <w:t>”</w:t>
            </w:r>
            <w:r>
              <w:rPr>
                <w:rFonts w:ascii="仿宋_GB2312" w:hAnsi="仿宋_GB2312" w:cs="仿宋_GB2312" w:eastAsia="仿宋_GB2312"/>
                <w:sz w:val="28"/>
              </w:rPr>
              <w:t>建设主要包括：毒情监测平台门户页面建设、应用统一入口建设等功能。</w:t>
            </w:r>
          </w:p>
          <w:p>
            <w:pPr>
              <w:pStyle w:val="null3"/>
              <w:jc w:val="both"/>
              <w:outlineLvl w:val="3"/>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毒情监测平台门户页面</w:t>
            </w:r>
          </w:p>
          <w:p>
            <w:pPr>
              <w:pStyle w:val="null3"/>
              <w:ind w:firstLine="480"/>
              <w:jc w:val="both"/>
            </w:pPr>
            <w:r>
              <w:rPr>
                <w:rFonts w:ascii="仿宋_GB2312" w:hAnsi="仿宋_GB2312" w:cs="仿宋_GB2312" w:eastAsia="仿宋_GB2312"/>
                <w:sz w:val="28"/>
              </w:rPr>
              <w:t>建设可视化</w:t>
            </w:r>
            <w:r>
              <w:rPr>
                <w:rFonts w:ascii="仿宋_GB2312" w:hAnsi="仿宋_GB2312" w:cs="仿宋_GB2312" w:eastAsia="仿宋_GB2312"/>
                <w:sz w:val="28"/>
              </w:rPr>
              <w:t>“</w:t>
            </w:r>
            <w:r>
              <w:rPr>
                <w:rFonts w:ascii="仿宋_GB2312" w:hAnsi="仿宋_GB2312" w:cs="仿宋_GB2312" w:eastAsia="仿宋_GB2312"/>
                <w:sz w:val="28"/>
              </w:rPr>
              <w:t>驾驶舱</w:t>
            </w:r>
            <w:r>
              <w:rPr>
                <w:rFonts w:ascii="仿宋_GB2312" w:hAnsi="仿宋_GB2312" w:cs="仿宋_GB2312" w:eastAsia="仿宋_GB2312"/>
                <w:sz w:val="28"/>
              </w:rPr>
              <w:t>”</w:t>
            </w:r>
            <w:r>
              <w:rPr>
                <w:rFonts w:ascii="仿宋_GB2312" w:hAnsi="仿宋_GB2312" w:cs="仿宋_GB2312" w:eastAsia="仿宋_GB2312"/>
                <w:sz w:val="28"/>
              </w:rPr>
              <w:t>效果的门户页面，根据不同尺寸屏幕进行定制化建设。通过更动态的交互来展现达州毒情监测风貌。</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禁毒相关</w:t>
            </w:r>
            <w:r>
              <w:rPr>
                <w:rFonts w:ascii="仿宋_GB2312" w:hAnsi="仿宋_GB2312" w:cs="仿宋_GB2312" w:eastAsia="仿宋_GB2312"/>
                <w:sz w:val="28"/>
                <w:b/>
                <w:color w:val="000000"/>
              </w:rPr>
              <w:t>行为活跃度统计</w:t>
            </w:r>
          </w:p>
          <w:p>
            <w:pPr>
              <w:pStyle w:val="null3"/>
              <w:ind w:firstLine="480"/>
              <w:jc w:val="both"/>
            </w:pPr>
            <w:r>
              <w:rPr>
                <w:rFonts w:ascii="仿宋_GB2312" w:hAnsi="仿宋_GB2312" w:cs="仿宋_GB2312" w:eastAsia="仿宋_GB2312"/>
                <w:sz w:val="28"/>
              </w:rPr>
              <w:t>毒情监测</w:t>
            </w:r>
            <w:r>
              <w:rPr>
                <w:rFonts w:ascii="仿宋_GB2312" w:hAnsi="仿宋_GB2312" w:cs="仿宋_GB2312" w:eastAsia="仿宋_GB2312"/>
                <w:sz w:val="28"/>
              </w:rPr>
              <w:t>-</w:t>
            </w:r>
            <w:r>
              <w:rPr>
                <w:rFonts w:ascii="仿宋_GB2312" w:hAnsi="仿宋_GB2312" w:cs="仿宋_GB2312" w:eastAsia="仿宋_GB2312"/>
                <w:sz w:val="28"/>
              </w:rPr>
              <w:t>禁毒相关行为活跃度统计分为三大类：线索指向、案件指向、身份轨迹。每项每个指标都需要在页面通过交互式的方式进行呈现出来，同时还需要结合各类图形方式展示同比和环比情况。</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线索指向指标类别分为：</w:t>
            </w:r>
            <w:r>
              <w:rPr>
                <w:rFonts w:ascii="仿宋_GB2312" w:hAnsi="仿宋_GB2312" w:cs="仿宋_GB2312" w:eastAsia="仿宋_GB2312"/>
                <w:sz w:val="28"/>
              </w:rPr>
              <w:t>A</w:t>
            </w:r>
            <w:r>
              <w:rPr>
                <w:rFonts w:ascii="仿宋_GB2312" w:hAnsi="仿宋_GB2312" w:cs="仿宋_GB2312" w:eastAsia="仿宋_GB2312"/>
                <w:sz w:val="28"/>
              </w:rPr>
              <w:t>级线索指向、</w:t>
            </w:r>
            <w:r>
              <w:rPr>
                <w:rFonts w:ascii="仿宋_GB2312" w:hAnsi="仿宋_GB2312" w:cs="仿宋_GB2312" w:eastAsia="仿宋_GB2312"/>
                <w:sz w:val="28"/>
              </w:rPr>
              <w:t>B</w:t>
            </w:r>
            <w:r>
              <w:rPr>
                <w:rFonts w:ascii="仿宋_GB2312" w:hAnsi="仿宋_GB2312" w:cs="仿宋_GB2312" w:eastAsia="仿宋_GB2312"/>
                <w:sz w:val="28"/>
              </w:rPr>
              <w:t>级线索指向、</w:t>
            </w:r>
            <w:r>
              <w:rPr>
                <w:rFonts w:ascii="仿宋_GB2312" w:hAnsi="仿宋_GB2312" w:cs="仿宋_GB2312" w:eastAsia="仿宋_GB2312"/>
                <w:sz w:val="28"/>
              </w:rPr>
              <w:t>C</w:t>
            </w:r>
            <w:r>
              <w:rPr>
                <w:rFonts w:ascii="仿宋_GB2312" w:hAnsi="仿宋_GB2312" w:cs="仿宋_GB2312" w:eastAsia="仿宋_GB2312"/>
                <w:sz w:val="28"/>
              </w:rPr>
              <w:t>级线索指向、</w:t>
            </w:r>
            <w:r>
              <w:rPr>
                <w:rFonts w:ascii="仿宋_GB2312" w:hAnsi="仿宋_GB2312" w:cs="仿宋_GB2312" w:eastAsia="仿宋_GB2312"/>
                <w:sz w:val="28"/>
              </w:rPr>
              <w:t>110</w:t>
            </w:r>
            <w:r>
              <w:rPr>
                <w:rFonts w:ascii="仿宋_GB2312" w:hAnsi="仿宋_GB2312" w:cs="仿宋_GB2312" w:eastAsia="仿宋_GB2312"/>
                <w:sz w:val="28"/>
              </w:rPr>
              <w:t>禁毒相关警情四项指标参数统计。</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案件指向指标类别分为：本地缴毒</w:t>
            </w:r>
            <w:r>
              <w:rPr>
                <w:rFonts w:ascii="仿宋_GB2312" w:hAnsi="仿宋_GB2312" w:cs="仿宋_GB2312" w:eastAsia="仿宋_GB2312"/>
                <w:sz w:val="28"/>
              </w:rPr>
              <w:t>≥1000</w:t>
            </w:r>
            <w:r>
              <w:rPr>
                <w:rFonts w:ascii="仿宋_GB2312" w:hAnsi="仿宋_GB2312" w:cs="仿宋_GB2312" w:eastAsia="仿宋_GB2312"/>
                <w:sz w:val="28"/>
              </w:rPr>
              <w:t>克的案件发案地、本地</w:t>
            </w:r>
            <w:r>
              <w:rPr>
                <w:rFonts w:ascii="仿宋_GB2312" w:hAnsi="仿宋_GB2312" w:cs="仿宋_GB2312" w:eastAsia="仿宋_GB2312"/>
                <w:sz w:val="28"/>
              </w:rPr>
              <w:t>50≤</w:t>
            </w:r>
            <w:r>
              <w:rPr>
                <w:rFonts w:ascii="仿宋_GB2312" w:hAnsi="仿宋_GB2312" w:cs="仿宋_GB2312" w:eastAsia="仿宋_GB2312"/>
                <w:sz w:val="28"/>
              </w:rPr>
              <w:t>缴毒</w:t>
            </w:r>
            <w:r>
              <w:rPr>
                <w:rFonts w:ascii="仿宋_GB2312" w:hAnsi="仿宋_GB2312" w:cs="仿宋_GB2312" w:eastAsia="仿宋_GB2312"/>
                <w:sz w:val="28"/>
              </w:rPr>
              <w:t>&lt;1000</w:t>
            </w:r>
            <w:r>
              <w:rPr>
                <w:rFonts w:ascii="仿宋_GB2312" w:hAnsi="仿宋_GB2312" w:cs="仿宋_GB2312" w:eastAsia="仿宋_GB2312"/>
                <w:sz w:val="28"/>
              </w:rPr>
              <w:t>克的案件发案地、本地</w:t>
            </w:r>
            <w:r>
              <w:rPr>
                <w:rFonts w:ascii="仿宋_GB2312" w:hAnsi="仿宋_GB2312" w:cs="仿宋_GB2312" w:eastAsia="仿宋_GB2312"/>
                <w:sz w:val="28"/>
              </w:rPr>
              <w:t>10≤</w:t>
            </w:r>
            <w:r>
              <w:rPr>
                <w:rFonts w:ascii="仿宋_GB2312" w:hAnsi="仿宋_GB2312" w:cs="仿宋_GB2312" w:eastAsia="仿宋_GB2312"/>
                <w:sz w:val="28"/>
              </w:rPr>
              <w:t>缴毒</w:t>
            </w:r>
            <w:r>
              <w:rPr>
                <w:rFonts w:ascii="仿宋_GB2312" w:hAnsi="仿宋_GB2312" w:cs="仿宋_GB2312" w:eastAsia="仿宋_GB2312"/>
                <w:sz w:val="28"/>
              </w:rPr>
              <w:t>&lt;50</w:t>
            </w:r>
            <w:r>
              <w:rPr>
                <w:rFonts w:ascii="仿宋_GB2312" w:hAnsi="仿宋_GB2312" w:cs="仿宋_GB2312" w:eastAsia="仿宋_GB2312"/>
                <w:sz w:val="28"/>
              </w:rPr>
              <w:t>克的案件发案地、本地缴毒</w:t>
            </w:r>
            <w:r>
              <w:rPr>
                <w:rFonts w:ascii="仿宋_GB2312" w:hAnsi="仿宋_GB2312" w:cs="仿宋_GB2312" w:eastAsia="仿宋_GB2312"/>
                <w:sz w:val="28"/>
              </w:rPr>
              <w:t>&lt;10</w:t>
            </w:r>
            <w:r>
              <w:rPr>
                <w:rFonts w:ascii="仿宋_GB2312" w:hAnsi="仿宋_GB2312" w:cs="仿宋_GB2312" w:eastAsia="仿宋_GB2312"/>
                <w:sz w:val="28"/>
              </w:rPr>
              <w:t>克的案件发案地、本地抓获禁毒相关人员户籍地五项指标参数统计。</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毒品制造风险指数统计</w:t>
            </w:r>
          </w:p>
          <w:p>
            <w:pPr>
              <w:pStyle w:val="null3"/>
              <w:ind w:firstLine="480"/>
              <w:jc w:val="both"/>
            </w:pPr>
            <w:r>
              <w:rPr>
                <w:rFonts w:ascii="仿宋_GB2312" w:hAnsi="仿宋_GB2312" w:cs="仿宋_GB2312" w:eastAsia="仿宋_GB2312"/>
                <w:sz w:val="28"/>
              </w:rPr>
              <w:t>毒情监测</w:t>
            </w:r>
            <w:r>
              <w:rPr>
                <w:rFonts w:ascii="仿宋_GB2312" w:hAnsi="仿宋_GB2312" w:cs="仿宋_GB2312" w:eastAsia="仿宋_GB2312"/>
                <w:sz w:val="28"/>
              </w:rPr>
              <w:t>-</w:t>
            </w:r>
            <w:r>
              <w:rPr>
                <w:rFonts w:ascii="仿宋_GB2312" w:hAnsi="仿宋_GB2312" w:cs="仿宋_GB2312" w:eastAsia="仿宋_GB2312"/>
                <w:sz w:val="28"/>
              </w:rPr>
              <w:t>毒品制造风险指数统计分为四大类：制造毒品、制毒物品、易制毒化学品、毒品原植物种植。每项每个指标都需要在页面通过交互式的方式进行呈现出来，同时还需要结合各类图形方式展示同比和环比情况。</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制造毒品指标类别分为：本地制毒情报指向、本地污水检测异常指向、本地户籍制毒在逃人数、外地抓获本地户籍制毒嫌疑人数四项指标参数统计。</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制毒物品指标类别分为：本地制毒物品犯罪情报指向、制毒物品流出指向、制毒物品流入指向、外地抓获本地户籍制毒物品案件嫌疑人数四项指标参数统计。</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易制毒化学品指标类别分为：本地涉易制毒化学品企业数量、易制毒化学物品流出指向、易制毒化学物品流入指向、外地抓获本地户籍易制毒化学物品案件嫌疑人数四项指标参数统计。</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毒品原植物种植指标类别分为：本地毒品原植物种植情报指向、外地抓获本地户籍毒品原植物案件嫌疑人数两项指标参数统计。</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毒品滥用指数统计</w:t>
            </w:r>
          </w:p>
          <w:p>
            <w:pPr>
              <w:pStyle w:val="null3"/>
              <w:ind w:firstLine="480"/>
              <w:jc w:val="both"/>
            </w:pPr>
            <w:r>
              <w:rPr>
                <w:rFonts w:ascii="仿宋_GB2312" w:hAnsi="仿宋_GB2312" w:cs="仿宋_GB2312" w:eastAsia="仿宋_GB2312"/>
                <w:sz w:val="28"/>
              </w:rPr>
              <w:t>毒情监测</w:t>
            </w:r>
            <w:r>
              <w:rPr>
                <w:rFonts w:ascii="仿宋_GB2312" w:hAnsi="仿宋_GB2312" w:cs="仿宋_GB2312" w:eastAsia="仿宋_GB2312"/>
                <w:sz w:val="28"/>
              </w:rPr>
              <w:t>-</w:t>
            </w:r>
            <w:r>
              <w:rPr>
                <w:rFonts w:ascii="仿宋_GB2312" w:hAnsi="仿宋_GB2312" w:cs="仿宋_GB2312" w:eastAsia="仿宋_GB2312"/>
                <w:sz w:val="28"/>
              </w:rPr>
              <w:t>毒品滥用指数统计分为一个大类：区域辐射指标。每项每个指标都需要在页面通过交互式的方式进行呈现出来，同时还需要结合各类图形方式展示同比和环比情况。</w:t>
            </w:r>
          </w:p>
          <w:p>
            <w:pPr>
              <w:pStyle w:val="null3"/>
              <w:ind w:firstLine="480"/>
              <w:jc w:val="both"/>
            </w:pPr>
            <w:r>
              <w:rPr>
                <w:rFonts w:ascii="仿宋_GB2312" w:hAnsi="仿宋_GB2312" w:cs="仿宋_GB2312" w:eastAsia="仿宋_GB2312"/>
                <w:sz w:val="28"/>
              </w:rPr>
              <w:t>区域辐射指标类别分为：外地缴毒</w:t>
            </w:r>
            <w:r>
              <w:rPr>
                <w:rFonts w:ascii="仿宋_GB2312" w:hAnsi="仿宋_GB2312" w:cs="仿宋_GB2312" w:eastAsia="仿宋_GB2312"/>
                <w:sz w:val="28"/>
              </w:rPr>
              <w:t>≥50</w:t>
            </w:r>
            <w:r>
              <w:rPr>
                <w:rFonts w:ascii="仿宋_GB2312" w:hAnsi="仿宋_GB2312" w:cs="仿宋_GB2312" w:eastAsia="仿宋_GB2312"/>
                <w:sz w:val="28"/>
              </w:rPr>
              <w:t>克的案件指向、流出毒品指向、流入毒品指向、外流禁毒相关人员、物流寄递风险四项指标参数统计。</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（五）</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吸毒人员社会危害度指数统计</w:t>
            </w:r>
          </w:p>
          <w:p>
            <w:pPr>
              <w:pStyle w:val="null3"/>
              <w:ind w:firstLine="480"/>
              <w:jc w:val="both"/>
            </w:pPr>
            <w:r>
              <w:rPr>
                <w:rFonts w:ascii="仿宋_GB2312" w:hAnsi="仿宋_GB2312" w:cs="仿宋_GB2312" w:eastAsia="仿宋_GB2312"/>
                <w:sz w:val="28"/>
              </w:rPr>
              <w:t>毒情监测</w:t>
            </w:r>
            <w:r>
              <w:rPr>
                <w:rFonts w:ascii="仿宋_GB2312" w:hAnsi="仿宋_GB2312" w:cs="仿宋_GB2312" w:eastAsia="仿宋_GB2312"/>
                <w:sz w:val="28"/>
              </w:rPr>
              <w:t>-</w:t>
            </w:r>
            <w:r>
              <w:rPr>
                <w:rFonts w:ascii="仿宋_GB2312" w:hAnsi="仿宋_GB2312" w:cs="仿宋_GB2312" w:eastAsia="仿宋_GB2312"/>
                <w:sz w:val="28"/>
              </w:rPr>
              <w:t>吸毒人员社会危害度指数统计分为三大类：群体规模、蔓延程度、危害程度。每项每个指标都需要在页面通过交互式的方式进行呈现出来，同时还需要结合各类图形方式展示同比和环比情况。</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群体规模指标类别分为：吸毒人员占比、污水检测毒品消费总量、污水检测毒品种类数量三项指标参数统计。</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蔓延程度指标类别分为：</w:t>
            </w:r>
            <w:r>
              <w:rPr>
                <w:rFonts w:ascii="仿宋_GB2312" w:hAnsi="仿宋_GB2312" w:cs="仿宋_GB2312" w:eastAsia="仿宋_GB2312"/>
                <w:sz w:val="28"/>
              </w:rPr>
              <w:t>24</w:t>
            </w:r>
            <w:r>
              <w:rPr>
                <w:rFonts w:ascii="仿宋_GB2312" w:hAnsi="仿宋_GB2312" w:cs="仿宋_GB2312" w:eastAsia="仿宋_GB2312"/>
                <w:sz w:val="28"/>
              </w:rPr>
              <w:t>岁以下吸毒人员占比、新滋生吸毒人员占实有人口比例、外地查处本地户籍吸毒人员占比、吸毒人员复吸率四项指标参数统计。</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危害程度指标类别分为：吸毒人员涉事涉案、本地新型毒品线索指向、外地新型毒品案发地指向三项指标参数统计。</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（六）</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负面清单指数统计</w:t>
            </w:r>
          </w:p>
          <w:p>
            <w:pPr>
              <w:pStyle w:val="null3"/>
              <w:ind w:firstLine="480"/>
              <w:jc w:val="both"/>
            </w:pPr>
            <w:r>
              <w:rPr>
                <w:rFonts w:ascii="仿宋_GB2312" w:hAnsi="仿宋_GB2312" w:cs="仿宋_GB2312" w:eastAsia="仿宋_GB2312"/>
                <w:sz w:val="28"/>
              </w:rPr>
              <w:t>毒情监测</w:t>
            </w:r>
            <w:r>
              <w:rPr>
                <w:rFonts w:ascii="仿宋_GB2312" w:hAnsi="仿宋_GB2312" w:cs="仿宋_GB2312" w:eastAsia="仿宋_GB2312"/>
                <w:sz w:val="28"/>
              </w:rPr>
              <w:t>-</w:t>
            </w:r>
            <w:r>
              <w:rPr>
                <w:rFonts w:ascii="仿宋_GB2312" w:hAnsi="仿宋_GB2312" w:cs="仿宋_GB2312" w:eastAsia="仿宋_GB2312"/>
                <w:sz w:val="28"/>
              </w:rPr>
              <w:t>负面清单指数统计分为一个大类：负面工作。每项每个指标都需要在页面通过交互式的方式进行呈现出来，同时还需要结合各类图形方式展示同比和环比情况。</w:t>
            </w:r>
          </w:p>
          <w:p>
            <w:pPr>
              <w:pStyle w:val="null3"/>
              <w:ind w:firstLine="480"/>
              <w:jc w:val="both"/>
            </w:pPr>
            <w:r>
              <w:rPr>
                <w:rFonts w:ascii="仿宋_GB2312" w:hAnsi="仿宋_GB2312" w:cs="仿宋_GB2312" w:eastAsia="仿宋_GB2312"/>
                <w:sz w:val="28"/>
              </w:rPr>
              <w:t>负面工作指标类别分为：被外地公安机关查获制毒厂点、被外地公安机关查获非法生产易制毒化学品厂点、被外地公安机关查获毒品原植物种植点、特殊人群涉制毒案件、禁种责任倒查、发生突出吸毒人员肇事肇祸案事件、发生重大禁毒相关舆情</w:t>
            </w:r>
            <w:r>
              <w:rPr>
                <w:rFonts w:ascii="仿宋_GB2312" w:hAnsi="仿宋_GB2312" w:cs="仿宋_GB2312" w:eastAsia="仿宋_GB2312"/>
                <w:sz w:val="28"/>
              </w:rPr>
              <w:t>7</w:t>
            </w:r>
            <w:r>
              <w:rPr>
                <w:rFonts w:ascii="仿宋_GB2312" w:hAnsi="仿宋_GB2312" w:cs="仿宋_GB2312" w:eastAsia="仿宋_GB2312"/>
                <w:sz w:val="28"/>
              </w:rPr>
              <w:t>项指标参数统计。</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（七）</w:t>
            </w:r>
            <w:r>
              <w:rPr>
                <w:rFonts w:ascii="仿宋_GB2312" w:hAnsi="仿宋_GB2312" w:cs="仿宋_GB2312" w:eastAsia="仿宋_GB2312"/>
                <w:sz w:val="28"/>
                <w:b/>
                <w:color w:val="000000"/>
              </w:rPr>
              <w:t>打击效能</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吸毒人员查处能力统计</w:t>
            </w:r>
          </w:p>
          <w:p>
            <w:pPr>
              <w:pStyle w:val="null3"/>
              <w:ind w:firstLine="480"/>
              <w:jc w:val="both"/>
            </w:pPr>
            <w:r>
              <w:rPr>
                <w:rFonts w:ascii="仿宋_GB2312" w:hAnsi="仿宋_GB2312" w:cs="仿宋_GB2312" w:eastAsia="仿宋_GB2312"/>
                <w:sz w:val="28"/>
              </w:rPr>
              <w:t>打击效能</w:t>
            </w:r>
            <w:r>
              <w:rPr>
                <w:rFonts w:ascii="仿宋_GB2312" w:hAnsi="仿宋_GB2312" w:cs="仿宋_GB2312" w:eastAsia="仿宋_GB2312"/>
                <w:sz w:val="28"/>
              </w:rPr>
              <w:t>-</w:t>
            </w:r>
            <w:r>
              <w:rPr>
                <w:rFonts w:ascii="仿宋_GB2312" w:hAnsi="仿宋_GB2312" w:cs="仿宋_GB2312" w:eastAsia="仿宋_GB2312"/>
                <w:sz w:val="28"/>
              </w:rPr>
              <w:t>吸毒人员查处能力统计分为两大类：吸毒人员查处能力、吸毒人员管控能力。每项每个指标都需要在页面通过交互式的方式进行呈现出来，同时还需要结合各类图形方式展示同比和环比情况。</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吸毒人员查处能力指标类别分为：吸毒人员查处能力值一项指标参数统计。</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吸毒人员管控能力指标类别分为：收戒率、在戒率、社戒社康管控率三项指标参数统计。</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（八）</w:t>
            </w:r>
            <w:r>
              <w:rPr>
                <w:rFonts w:ascii="仿宋_GB2312" w:hAnsi="仿宋_GB2312" w:cs="仿宋_GB2312" w:eastAsia="仿宋_GB2312"/>
                <w:sz w:val="28"/>
                <w:b/>
                <w:color w:val="000000"/>
              </w:rPr>
              <w:t>打击效能</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缉毒执法工作统计</w:t>
            </w:r>
          </w:p>
          <w:p>
            <w:pPr>
              <w:pStyle w:val="null3"/>
              <w:ind w:firstLine="480"/>
              <w:jc w:val="both"/>
            </w:pPr>
            <w:r>
              <w:rPr>
                <w:rFonts w:ascii="仿宋_GB2312" w:hAnsi="仿宋_GB2312" w:cs="仿宋_GB2312" w:eastAsia="仿宋_GB2312"/>
                <w:sz w:val="28"/>
              </w:rPr>
              <w:t>打击效能</w:t>
            </w:r>
            <w:r>
              <w:rPr>
                <w:rFonts w:ascii="仿宋_GB2312" w:hAnsi="仿宋_GB2312" w:cs="仿宋_GB2312" w:eastAsia="仿宋_GB2312"/>
                <w:sz w:val="28"/>
              </w:rPr>
              <w:t>-</w:t>
            </w:r>
            <w:r>
              <w:rPr>
                <w:rFonts w:ascii="仿宋_GB2312" w:hAnsi="仿宋_GB2312" w:cs="仿宋_GB2312" w:eastAsia="仿宋_GB2312"/>
                <w:sz w:val="28"/>
              </w:rPr>
              <w:t>缉毒执法工作统计分为两大类：缉毒执法能力、缉毒执法质量。每项每个指标都需要在页面通过交互式的方式进行呈现出来，同时还需要结合各类图形方式展示同比和环比情况。</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缉毒执法能力指标类别分为：抓获犯罪嫌疑人数量、抓获犯罪嫌疑人数量与污水检测中毒品消费总量的比值两项指标参数统计。</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缉毒执法质量指标类别分为：个案缴毒系数、个案抓人系数、团伙个案抓人系数三项指标参数统计。</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（九）</w:t>
            </w:r>
            <w:r>
              <w:rPr>
                <w:rFonts w:ascii="仿宋_GB2312" w:hAnsi="仿宋_GB2312" w:cs="仿宋_GB2312" w:eastAsia="仿宋_GB2312"/>
                <w:sz w:val="28"/>
                <w:b/>
                <w:color w:val="000000"/>
              </w:rPr>
              <w:t>打击效能</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解决外流贩毒问题统计</w:t>
            </w:r>
          </w:p>
          <w:p>
            <w:pPr>
              <w:pStyle w:val="null3"/>
              <w:ind w:firstLine="480"/>
              <w:jc w:val="both"/>
            </w:pPr>
            <w:r>
              <w:rPr>
                <w:rFonts w:ascii="仿宋_GB2312" w:hAnsi="仿宋_GB2312" w:cs="仿宋_GB2312" w:eastAsia="仿宋_GB2312"/>
                <w:sz w:val="28"/>
              </w:rPr>
              <w:t>打击效能</w:t>
            </w:r>
            <w:r>
              <w:rPr>
                <w:rFonts w:ascii="仿宋_GB2312" w:hAnsi="仿宋_GB2312" w:cs="仿宋_GB2312" w:eastAsia="仿宋_GB2312"/>
                <w:sz w:val="28"/>
              </w:rPr>
              <w:t>-</w:t>
            </w:r>
            <w:r>
              <w:rPr>
                <w:rFonts w:ascii="仿宋_GB2312" w:hAnsi="仿宋_GB2312" w:cs="仿宋_GB2312" w:eastAsia="仿宋_GB2312"/>
                <w:sz w:val="28"/>
              </w:rPr>
              <w:t>解决外流贩毒问题统计分为一个大类：解决外流贩毒问题能力。每项每个指标都需要在页面通过交互式的方式进行呈现出来，同时还需要结合各类图形方式展示同比和环比情况。</w:t>
            </w:r>
          </w:p>
          <w:p>
            <w:pPr>
              <w:pStyle w:val="null3"/>
              <w:ind w:firstLine="480"/>
              <w:jc w:val="both"/>
            </w:pPr>
            <w:r>
              <w:rPr>
                <w:rFonts w:ascii="仿宋_GB2312" w:hAnsi="仿宋_GB2312" w:cs="仿宋_GB2312" w:eastAsia="仿宋_GB2312"/>
                <w:sz w:val="28"/>
              </w:rPr>
              <w:t>解决外流贩毒问题能力指标类别分为：协作查获外流贩毒人员一项指标参数统计。</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（十）</w:t>
            </w:r>
            <w:r>
              <w:rPr>
                <w:rFonts w:ascii="仿宋_GB2312" w:hAnsi="仿宋_GB2312" w:cs="仿宋_GB2312" w:eastAsia="仿宋_GB2312"/>
                <w:sz w:val="28"/>
                <w:b/>
                <w:color w:val="000000"/>
              </w:rPr>
              <w:t>打击效能</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解决制毒问题统计</w:t>
            </w:r>
          </w:p>
          <w:p>
            <w:pPr>
              <w:pStyle w:val="null3"/>
              <w:ind w:firstLine="480"/>
              <w:jc w:val="both"/>
            </w:pPr>
            <w:r>
              <w:rPr>
                <w:rFonts w:ascii="仿宋_GB2312" w:hAnsi="仿宋_GB2312" w:cs="仿宋_GB2312" w:eastAsia="仿宋_GB2312"/>
                <w:sz w:val="28"/>
              </w:rPr>
              <w:t>打击效能</w:t>
            </w:r>
            <w:r>
              <w:rPr>
                <w:rFonts w:ascii="仿宋_GB2312" w:hAnsi="仿宋_GB2312" w:cs="仿宋_GB2312" w:eastAsia="仿宋_GB2312"/>
                <w:sz w:val="28"/>
              </w:rPr>
              <w:t>-</w:t>
            </w:r>
            <w:r>
              <w:rPr>
                <w:rFonts w:ascii="仿宋_GB2312" w:hAnsi="仿宋_GB2312" w:cs="仿宋_GB2312" w:eastAsia="仿宋_GB2312"/>
                <w:sz w:val="28"/>
              </w:rPr>
              <w:t>解决制毒问题统计：每项每个指标都需要在页面通过交互式的方式进行呈现出来，同时还需要结合各类图形方式展示同比和环比情况。</w:t>
            </w:r>
          </w:p>
          <w:p>
            <w:pPr>
              <w:pStyle w:val="null3"/>
              <w:ind w:firstLine="480"/>
              <w:jc w:val="both"/>
            </w:pPr>
            <w:r>
              <w:rPr>
                <w:rFonts w:ascii="仿宋_GB2312" w:hAnsi="仿宋_GB2312" w:cs="仿宋_GB2312" w:eastAsia="仿宋_GB2312"/>
                <w:sz w:val="28"/>
              </w:rPr>
              <w:t>解决制毒问题指标类别分为：主动发现破获制毒案件一项指标参数统计。</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（十一）</w:t>
            </w:r>
            <w:r>
              <w:rPr>
                <w:rFonts w:ascii="仿宋_GB2312" w:hAnsi="仿宋_GB2312" w:cs="仿宋_GB2312" w:eastAsia="仿宋_GB2312"/>
                <w:sz w:val="28"/>
                <w:b/>
                <w:color w:val="000000"/>
              </w:rPr>
              <w:t>毒情监测平台</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各区县每季度排名</w:t>
            </w:r>
          </w:p>
          <w:p>
            <w:pPr>
              <w:pStyle w:val="null3"/>
              <w:ind w:firstLine="480"/>
              <w:jc w:val="both"/>
            </w:pPr>
            <w:r>
              <w:rPr>
                <w:rFonts w:ascii="仿宋_GB2312" w:hAnsi="仿宋_GB2312" w:cs="仿宋_GB2312" w:eastAsia="仿宋_GB2312"/>
                <w:sz w:val="28"/>
              </w:rPr>
              <w:t>提供达州市</w:t>
            </w:r>
            <w:r>
              <w:rPr>
                <w:rFonts w:ascii="仿宋_GB2312" w:hAnsi="仿宋_GB2312" w:cs="仿宋_GB2312" w:eastAsia="仿宋_GB2312"/>
                <w:sz w:val="28"/>
              </w:rPr>
              <w:t>7</w:t>
            </w:r>
            <w:r>
              <w:rPr>
                <w:rFonts w:ascii="仿宋_GB2312" w:hAnsi="仿宋_GB2312" w:cs="仿宋_GB2312" w:eastAsia="仿宋_GB2312"/>
                <w:sz w:val="28"/>
              </w:rPr>
              <w:t>个区县的每季度毒情监测评分总计排名情况，根据</w:t>
            </w:r>
            <w:r>
              <w:rPr>
                <w:rFonts w:ascii="仿宋_GB2312" w:hAnsi="仿宋_GB2312" w:cs="仿宋_GB2312" w:eastAsia="仿宋_GB2312"/>
                <w:sz w:val="28"/>
              </w:rPr>
              <w:t>“</w:t>
            </w:r>
            <w:r>
              <w:rPr>
                <w:rFonts w:ascii="仿宋_GB2312" w:hAnsi="仿宋_GB2312" w:cs="仿宋_GB2312" w:eastAsia="仿宋_GB2312"/>
                <w:sz w:val="28"/>
              </w:rPr>
              <w:t>毒情监测</w:t>
            </w:r>
            <w:r>
              <w:rPr>
                <w:rFonts w:ascii="仿宋_GB2312" w:hAnsi="仿宋_GB2312" w:cs="仿宋_GB2312" w:eastAsia="仿宋_GB2312"/>
                <w:sz w:val="28"/>
              </w:rPr>
              <w:t>”</w:t>
            </w:r>
            <w:r>
              <w:rPr>
                <w:rFonts w:ascii="仿宋_GB2312" w:hAnsi="仿宋_GB2312" w:cs="仿宋_GB2312" w:eastAsia="仿宋_GB2312"/>
                <w:sz w:val="28"/>
              </w:rPr>
              <w:t>和</w:t>
            </w:r>
            <w:r>
              <w:rPr>
                <w:rFonts w:ascii="仿宋_GB2312" w:hAnsi="仿宋_GB2312" w:cs="仿宋_GB2312" w:eastAsia="仿宋_GB2312"/>
                <w:sz w:val="28"/>
              </w:rPr>
              <w:t>“</w:t>
            </w:r>
            <w:r>
              <w:rPr>
                <w:rFonts w:ascii="仿宋_GB2312" w:hAnsi="仿宋_GB2312" w:cs="仿宋_GB2312" w:eastAsia="仿宋_GB2312"/>
                <w:sz w:val="28"/>
              </w:rPr>
              <w:t>打击效能</w:t>
            </w:r>
            <w:r>
              <w:rPr>
                <w:rFonts w:ascii="仿宋_GB2312" w:hAnsi="仿宋_GB2312" w:cs="仿宋_GB2312" w:eastAsia="仿宋_GB2312"/>
                <w:sz w:val="28"/>
              </w:rPr>
              <w:t>”</w:t>
            </w:r>
            <w:r>
              <w:rPr>
                <w:rFonts w:ascii="仿宋_GB2312" w:hAnsi="仿宋_GB2312" w:cs="仿宋_GB2312" w:eastAsia="仿宋_GB2312"/>
                <w:sz w:val="28"/>
              </w:rPr>
              <w:t>两项进行算法分析得出每季度总分从而进行排名。采用可视化动态效果进行排名呈现，同时还需要展示每个区县排名的同比和环比情况。</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（十二）</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算法模块</w:t>
            </w:r>
          </w:p>
          <w:p>
            <w:pPr>
              <w:pStyle w:val="null3"/>
              <w:ind w:firstLine="480"/>
              <w:jc w:val="both"/>
            </w:pPr>
            <w:r>
              <w:rPr>
                <w:rFonts w:ascii="仿宋_GB2312" w:hAnsi="仿宋_GB2312" w:cs="仿宋_GB2312" w:eastAsia="仿宋_GB2312"/>
                <w:sz w:val="28"/>
              </w:rPr>
              <w:t>毒情监测共分为</w:t>
            </w:r>
            <w:r>
              <w:rPr>
                <w:rFonts w:ascii="仿宋_GB2312" w:hAnsi="仿宋_GB2312" w:cs="仿宋_GB2312" w:eastAsia="仿宋_GB2312"/>
                <w:sz w:val="28"/>
              </w:rPr>
              <w:t>5</w:t>
            </w:r>
            <w:r>
              <w:rPr>
                <w:rFonts w:ascii="仿宋_GB2312" w:hAnsi="仿宋_GB2312" w:cs="仿宋_GB2312" w:eastAsia="仿宋_GB2312"/>
                <w:sz w:val="28"/>
              </w:rPr>
              <w:t>大类多项项指标数据，结合公安部、省厅的毒情监测考核指标以及市局的考核指标进行全方位的数据运算。</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（十三）</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打击效能</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算法模块</w:t>
            </w:r>
          </w:p>
          <w:p>
            <w:pPr>
              <w:pStyle w:val="null3"/>
              <w:ind w:firstLine="480"/>
              <w:jc w:val="both"/>
            </w:pPr>
            <w:r>
              <w:rPr>
                <w:rFonts w:ascii="仿宋_GB2312" w:hAnsi="仿宋_GB2312" w:cs="仿宋_GB2312" w:eastAsia="仿宋_GB2312"/>
                <w:sz w:val="28"/>
              </w:rPr>
              <w:t>提供针对吸毒人员查处管控、缉毒执法工作、解决外流贩毒问题、解决制毒问题四个主要方面多个大类的指标进行算法分析。快速评估各区县的的</w:t>
            </w:r>
            <w:r>
              <w:rPr>
                <w:rFonts w:ascii="仿宋_GB2312" w:hAnsi="仿宋_GB2312" w:cs="仿宋_GB2312" w:eastAsia="仿宋_GB2312"/>
                <w:sz w:val="28"/>
              </w:rPr>
              <w:t>“</w:t>
            </w:r>
            <w:r>
              <w:rPr>
                <w:rFonts w:ascii="仿宋_GB2312" w:hAnsi="仿宋_GB2312" w:cs="仿宋_GB2312" w:eastAsia="仿宋_GB2312"/>
                <w:sz w:val="28"/>
              </w:rPr>
              <w:t>打击效能</w:t>
            </w:r>
            <w:r>
              <w:rPr>
                <w:rFonts w:ascii="仿宋_GB2312" w:hAnsi="仿宋_GB2312" w:cs="仿宋_GB2312" w:eastAsia="仿宋_GB2312"/>
                <w:sz w:val="28"/>
              </w:rPr>
              <w:t>”</w:t>
            </w:r>
            <w:r>
              <w:rPr>
                <w:rFonts w:ascii="仿宋_GB2312" w:hAnsi="仿宋_GB2312" w:cs="仿宋_GB2312" w:eastAsia="仿宋_GB2312"/>
                <w:sz w:val="28"/>
              </w:rPr>
              <w:t>以及各区县的工作输出。</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（十四）</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各区县每季度排名模块</w:t>
            </w:r>
          </w:p>
          <w:p>
            <w:pPr>
              <w:pStyle w:val="null3"/>
              <w:ind w:firstLine="480"/>
              <w:jc w:val="both"/>
            </w:pPr>
            <w:r>
              <w:rPr>
                <w:rFonts w:ascii="仿宋_GB2312" w:hAnsi="仿宋_GB2312" w:cs="仿宋_GB2312" w:eastAsia="仿宋_GB2312"/>
                <w:sz w:val="28"/>
              </w:rPr>
              <w:t>提供达州市</w:t>
            </w:r>
            <w:r>
              <w:rPr>
                <w:rFonts w:ascii="仿宋_GB2312" w:hAnsi="仿宋_GB2312" w:cs="仿宋_GB2312" w:eastAsia="仿宋_GB2312"/>
                <w:sz w:val="28"/>
              </w:rPr>
              <w:t>7</w:t>
            </w:r>
            <w:r>
              <w:rPr>
                <w:rFonts w:ascii="仿宋_GB2312" w:hAnsi="仿宋_GB2312" w:cs="仿宋_GB2312" w:eastAsia="仿宋_GB2312"/>
                <w:sz w:val="28"/>
              </w:rPr>
              <w:t>个县（市、区）的每季度毒情监测评分总计排名情况，根据</w:t>
            </w:r>
            <w:r>
              <w:rPr>
                <w:rFonts w:ascii="仿宋_GB2312" w:hAnsi="仿宋_GB2312" w:cs="仿宋_GB2312" w:eastAsia="仿宋_GB2312"/>
                <w:sz w:val="28"/>
              </w:rPr>
              <w:t>“</w:t>
            </w:r>
            <w:r>
              <w:rPr>
                <w:rFonts w:ascii="仿宋_GB2312" w:hAnsi="仿宋_GB2312" w:cs="仿宋_GB2312" w:eastAsia="仿宋_GB2312"/>
                <w:sz w:val="28"/>
              </w:rPr>
              <w:t>毒情监测</w:t>
            </w:r>
            <w:r>
              <w:rPr>
                <w:rFonts w:ascii="仿宋_GB2312" w:hAnsi="仿宋_GB2312" w:cs="仿宋_GB2312" w:eastAsia="仿宋_GB2312"/>
                <w:sz w:val="28"/>
              </w:rPr>
              <w:t>”</w:t>
            </w:r>
            <w:r>
              <w:rPr>
                <w:rFonts w:ascii="仿宋_GB2312" w:hAnsi="仿宋_GB2312" w:cs="仿宋_GB2312" w:eastAsia="仿宋_GB2312"/>
                <w:sz w:val="28"/>
              </w:rPr>
              <w:t>和</w:t>
            </w:r>
            <w:r>
              <w:rPr>
                <w:rFonts w:ascii="仿宋_GB2312" w:hAnsi="仿宋_GB2312" w:cs="仿宋_GB2312" w:eastAsia="仿宋_GB2312"/>
                <w:sz w:val="28"/>
              </w:rPr>
              <w:t>“</w:t>
            </w:r>
            <w:r>
              <w:rPr>
                <w:rFonts w:ascii="仿宋_GB2312" w:hAnsi="仿宋_GB2312" w:cs="仿宋_GB2312" w:eastAsia="仿宋_GB2312"/>
                <w:sz w:val="28"/>
              </w:rPr>
              <w:t>打击效能</w:t>
            </w:r>
            <w:r>
              <w:rPr>
                <w:rFonts w:ascii="仿宋_GB2312" w:hAnsi="仿宋_GB2312" w:cs="仿宋_GB2312" w:eastAsia="仿宋_GB2312"/>
                <w:sz w:val="28"/>
              </w:rPr>
              <w:t>”</w:t>
            </w:r>
            <w:r>
              <w:rPr>
                <w:rFonts w:ascii="仿宋_GB2312" w:hAnsi="仿宋_GB2312" w:cs="仿宋_GB2312" w:eastAsia="仿宋_GB2312"/>
                <w:sz w:val="28"/>
              </w:rPr>
              <w:t>两项进行算法分析得出每季度总分从而进行排名。采用可视化动态效果进行排名呈现，同时还需要展示每个区县排名的同比和环比情况。</w:t>
            </w:r>
          </w:p>
          <w:p>
            <w:pPr>
              <w:pStyle w:val="null3"/>
              <w:ind w:firstLine="480"/>
              <w:jc w:val="both"/>
            </w:pPr>
            <w:r>
              <w:rPr>
                <w:rFonts w:ascii="仿宋_GB2312" w:hAnsi="仿宋_GB2312" w:cs="仿宋_GB2312" w:eastAsia="仿宋_GB2312"/>
                <w:sz w:val="28"/>
              </w:rPr>
              <w:t>计算逻辑为（季度分值）：</w:t>
            </w:r>
          </w:p>
          <w:p>
            <w:pPr>
              <w:pStyle w:val="null3"/>
              <w:ind w:firstLine="480"/>
              <w:jc w:val="both"/>
            </w:pPr>
            <w:r>
              <w:rPr>
                <w:rFonts w:ascii="仿宋_GB2312" w:hAnsi="仿宋_GB2312" w:cs="仿宋_GB2312" w:eastAsia="仿宋_GB2312"/>
                <w:sz w:val="28"/>
              </w:rPr>
              <w:t>综合得分</w:t>
            </w:r>
            <w:r>
              <w:rPr>
                <w:rFonts w:ascii="仿宋_GB2312" w:hAnsi="仿宋_GB2312" w:cs="仿宋_GB2312" w:eastAsia="仿宋_GB2312"/>
                <w:sz w:val="28"/>
              </w:rPr>
              <w:t xml:space="preserve"> = 100 - </w:t>
            </w:r>
            <w:r>
              <w:rPr>
                <w:rFonts w:ascii="仿宋_GB2312" w:hAnsi="仿宋_GB2312" w:cs="仿宋_GB2312" w:eastAsia="仿宋_GB2312"/>
                <w:sz w:val="28"/>
              </w:rPr>
              <w:t xml:space="preserve">毒情检测分值 </w:t>
            </w:r>
            <w:r>
              <w:rPr>
                <w:rFonts w:ascii="仿宋_GB2312" w:hAnsi="仿宋_GB2312" w:cs="仿宋_GB2312" w:eastAsia="仿宋_GB2312"/>
                <w:sz w:val="28"/>
              </w:rPr>
              <w:t xml:space="preserve">+ </w:t>
            </w:r>
            <w:r>
              <w:rPr>
                <w:rFonts w:ascii="仿宋_GB2312" w:hAnsi="仿宋_GB2312" w:cs="仿宋_GB2312" w:eastAsia="仿宋_GB2312"/>
                <w:sz w:val="28"/>
              </w:rPr>
              <w:t>打击效能分值</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（十五）</w:t>
            </w:r>
            <w:r>
              <w:rPr>
                <w:rFonts w:ascii="仿宋_GB2312" w:hAnsi="仿宋_GB2312" w:cs="仿宋_GB2312" w:eastAsia="仿宋_GB2312"/>
                <w:sz w:val="28"/>
                <w:b/>
                <w:color w:val="000000"/>
              </w:rPr>
              <w:t>毒情监测</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数据导入及管理模块</w:t>
            </w:r>
          </w:p>
          <w:p>
            <w:pPr>
              <w:pStyle w:val="null3"/>
              <w:ind w:firstLine="480"/>
              <w:jc w:val="both"/>
            </w:pPr>
            <w:r>
              <w:rPr>
                <w:rFonts w:ascii="仿宋_GB2312" w:hAnsi="仿宋_GB2312" w:cs="仿宋_GB2312" w:eastAsia="仿宋_GB2312"/>
                <w:sz w:val="28"/>
              </w:rPr>
              <w:t>提供毒情监测子系统的各项统计数据、展示数据、算法运算数据的一键式导入，共计</w:t>
            </w:r>
            <w:r>
              <w:rPr>
                <w:rFonts w:ascii="仿宋_GB2312" w:hAnsi="仿宋_GB2312" w:cs="仿宋_GB2312" w:eastAsia="仿宋_GB2312"/>
                <w:sz w:val="28"/>
              </w:rPr>
              <w:t>20</w:t>
            </w:r>
            <w:r>
              <w:rPr>
                <w:rFonts w:ascii="仿宋_GB2312" w:hAnsi="仿宋_GB2312" w:cs="仿宋_GB2312" w:eastAsia="仿宋_GB2312"/>
                <w:sz w:val="28"/>
              </w:rPr>
              <w:t>余类数据文件的一键式导入，导入后支持立即运算。</w:t>
            </w:r>
          </w:p>
          <w:p>
            <w:pPr>
              <w:pStyle w:val="null3"/>
              <w:spacing w:before="150" w:after="150"/>
              <w:ind w:left="570"/>
              <w:jc w:val="both"/>
              <w:outlineLvl w:val="1"/>
            </w:pPr>
            <w:r>
              <w:rPr>
                <w:rFonts w:ascii="仿宋_GB2312" w:hAnsi="仿宋_GB2312" w:cs="仿宋_GB2312" w:eastAsia="仿宋_GB2312"/>
                <w:sz w:val="28"/>
                <w:b/>
              </w:rPr>
              <w:t>三、</w:t>
            </w:r>
            <w:r>
              <w:rPr>
                <w:rFonts w:ascii="仿宋_GB2312" w:hAnsi="仿宋_GB2312" w:cs="仿宋_GB2312" w:eastAsia="仿宋_GB2312"/>
                <w:sz w:val="28"/>
                <w:b/>
              </w:rPr>
              <w:t>达州市毒情动态管理及预警分析子系统</w:t>
            </w:r>
            <w:r>
              <w:rPr>
                <w:rFonts w:ascii="仿宋_GB2312" w:hAnsi="仿宋_GB2312" w:cs="仿宋_GB2312" w:eastAsia="仿宋_GB2312"/>
                <w:sz w:val="28"/>
                <w:b/>
              </w:rPr>
              <w:t>建设</w:t>
            </w:r>
            <w:r>
              <w:rPr>
                <w:rFonts w:ascii="仿宋_GB2312" w:hAnsi="仿宋_GB2312" w:cs="仿宋_GB2312" w:eastAsia="仿宋_GB2312"/>
                <w:sz w:val="28"/>
                <w:b/>
              </w:rPr>
              <w:t>需求</w:t>
            </w:r>
          </w:p>
          <w:p>
            <w:pPr>
              <w:pStyle w:val="null3"/>
              <w:spacing w:before="150" w:after="150"/>
              <w:jc w:val="both"/>
              <w:outlineLvl w:val="2"/>
            </w:pPr>
            <w:r>
              <w:rPr>
                <w:rFonts w:ascii="仿宋_GB2312" w:hAnsi="仿宋_GB2312" w:cs="仿宋_GB2312" w:eastAsia="仿宋_GB2312"/>
                <w:sz w:val="28"/>
                <w:b/>
              </w:rPr>
              <w:t>（一）</w:t>
            </w:r>
            <w:r>
              <w:rPr>
                <w:rFonts w:ascii="仿宋_GB2312" w:hAnsi="仿宋_GB2312" w:cs="仿宋_GB2312" w:eastAsia="仿宋_GB2312"/>
                <w:sz w:val="28"/>
                <w:b/>
              </w:rPr>
              <w:t>平台管理</w:t>
            </w:r>
          </w:p>
          <w:p>
            <w:pPr>
              <w:pStyle w:val="null3"/>
              <w:ind w:firstLine="480"/>
              <w:jc w:val="both"/>
            </w:pPr>
            <w:r>
              <w:rPr>
                <w:rFonts w:ascii="仿宋_GB2312" w:hAnsi="仿宋_GB2312" w:cs="仿宋_GB2312" w:eastAsia="仿宋_GB2312"/>
                <w:sz w:val="28"/>
              </w:rPr>
              <w:t>平台管理模块主要负责系统的整体配置与维护，包括用户管理、角色分配、权限控制等。通过</w:t>
            </w:r>
            <w:r>
              <w:rPr>
                <w:rFonts w:ascii="仿宋_GB2312" w:hAnsi="仿宋_GB2312" w:cs="仿宋_GB2312" w:eastAsia="仿宋_GB2312"/>
                <w:sz w:val="28"/>
              </w:rPr>
              <w:t>RBAC</w:t>
            </w:r>
            <w:r>
              <w:rPr>
                <w:rFonts w:ascii="仿宋_GB2312" w:hAnsi="仿宋_GB2312" w:cs="仿宋_GB2312" w:eastAsia="仿宋_GB2312"/>
                <w:sz w:val="28"/>
              </w:rPr>
              <w:t>模型，实现不同用户角色的权限划分，确保系统的安全稳定运行。同时，提供数据导出功能，支持将查询结果导出为</w:t>
            </w:r>
            <w:r>
              <w:rPr>
                <w:rFonts w:ascii="仿宋_GB2312" w:hAnsi="仿宋_GB2312" w:cs="仿宋_GB2312" w:eastAsia="仿宋_GB2312"/>
                <w:sz w:val="28"/>
              </w:rPr>
              <w:t>Excel</w:t>
            </w:r>
            <w:r>
              <w:rPr>
                <w:rFonts w:ascii="仿宋_GB2312" w:hAnsi="仿宋_GB2312" w:cs="仿宋_GB2312" w:eastAsia="仿宋_GB2312"/>
                <w:sz w:val="28"/>
              </w:rPr>
              <w:t>、</w:t>
            </w:r>
            <w:r>
              <w:rPr>
                <w:rFonts w:ascii="仿宋_GB2312" w:hAnsi="仿宋_GB2312" w:cs="仿宋_GB2312" w:eastAsia="仿宋_GB2312"/>
                <w:sz w:val="28"/>
              </w:rPr>
              <w:t>PDF</w:t>
            </w:r>
            <w:r>
              <w:rPr>
                <w:rFonts w:ascii="仿宋_GB2312" w:hAnsi="仿宋_GB2312" w:cs="仿宋_GB2312" w:eastAsia="仿宋_GB2312"/>
                <w:sz w:val="28"/>
              </w:rPr>
              <w:t>等格式，方便用户进行进一步的分析与处理。</w:t>
            </w:r>
          </w:p>
          <w:p>
            <w:pPr>
              <w:pStyle w:val="null3"/>
              <w:spacing w:before="150" w:after="150"/>
              <w:jc w:val="both"/>
              <w:outlineLvl w:val="2"/>
            </w:pPr>
            <w:r>
              <w:rPr>
                <w:rFonts w:ascii="仿宋_GB2312" w:hAnsi="仿宋_GB2312" w:cs="仿宋_GB2312" w:eastAsia="仿宋_GB2312"/>
                <w:sz w:val="28"/>
                <w:b/>
              </w:rPr>
              <w:t>（二）</w:t>
            </w:r>
            <w:r>
              <w:rPr>
                <w:rFonts w:ascii="仿宋_GB2312" w:hAnsi="仿宋_GB2312" w:cs="仿宋_GB2312" w:eastAsia="仿宋_GB2312"/>
                <w:sz w:val="28"/>
                <w:b/>
              </w:rPr>
              <w:t>数据管理</w:t>
            </w:r>
          </w:p>
          <w:p>
            <w:pPr>
              <w:pStyle w:val="null3"/>
              <w:ind w:firstLine="480"/>
              <w:jc w:val="both"/>
            </w:pPr>
            <w:r>
              <w:rPr>
                <w:rFonts w:ascii="仿宋_GB2312" w:hAnsi="仿宋_GB2312" w:cs="仿宋_GB2312" w:eastAsia="仿宋_GB2312"/>
                <w:sz w:val="28"/>
              </w:rPr>
              <w:t>数据管理模块是系统的核心部分，负责各类数据的收集、存储、处理与展示。具体包括：</w:t>
            </w:r>
          </w:p>
          <w:p>
            <w:pPr>
              <w:pStyle w:val="null3"/>
              <w:ind w:firstLine="480"/>
              <w:jc w:val="both"/>
            </w:pPr>
            <w:r>
              <w:rPr>
                <w:rFonts w:ascii="仿宋_GB2312" w:hAnsi="仿宋_GB2312" w:cs="仿宋_GB2312" w:eastAsia="仿宋_GB2312"/>
                <w:sz w:val="28"/>
              </w:rPr>
              <w:t>污水数据管理：实时导入污水监测数据，提取关键指标，并通过图表形式展示毒品含量变化趋势及改善率。</w:t>
            </w:r>
          </w:p>
          <w:p>
            <w:pPr>
              <w:pStyle w:val="null3"/>
              <w:ind w:firstLine="480"/>
              <w:jc w:val="both"/>
            </w:pPr>
            <w:r>
              <w:rPr>
                <w:rFonts w:ascii="仿宋_GB2312" w:hAnsi="仿宋_GB2312" w:cs="仿宋_GB2312" w:eastAsia="仿宋_GB2312"/>
                <w:sz w:val="28"/>
              </w:rPr>
              <w:t>实验数据管理：对禁毒相关人员的实验数据进行数字化画像，展示不同人员的禁毒相关级别及危害程度，为一人一档的建立提供数据支撑。</w:t>
            </w:r>
          </w:p>
          <w:p>
            <w:pPr>
              <w:pStyle w:val="null3"/>
              <w:ind w:firstLine="480"/>
              <w:jc w:val="both"/>
            </w:pPr>
            <w:r>
              <w:rPr>
                <w:rFonts w:ascii="仿宋_GB2312" w:hAnsi="仿宋_GB2312" w:cs="仿宋_GB2312" w:eastAsia="仿宋_GB2312"/>
                <w:sz w:val="28"/>
              </w:rPr>
              <w:t>轨迹数据管理：基于地图服务，实现禁毒相关人员位置信息的实时追踪与轨迹回放，支持电子围栏预警功能。</w:t>
            </w:r>
          </w:p>
          <w:p>
            <w:pPr>
              <w:pStyle w:val="null3"/>
              <w:ind w:firstLine="480"/>
              <w:jc w:val="both"/>
            </w:pPr>
            <w:r>
              <w:rPr>
                <w:rFonts w:ascii="仿宋_GB2312" w:hAnsi="仿宋_GB2312" w:cs="仿宋_GB2312" w:eastAsia="仿宋_GB2312"/>
                <w:sz w:val="28"/>
              </w:rPr>
              <w:t>通联数据管理：记录并分析禁毒相关人员的通话记录，构建关系图谱，展示来电与去电之间的频繁联系，辅助识别潜在风险。</w:t>
            </w:r>
          </w:p>
          <w:p>
            <w:pPr>
              <w:pStyle w:val="null3"/>
              <w:spacing w:before="150" w:after="150"/>
              <w:jc w:val="both"/>
              <w:outlineLvl w:val="2"/>
            </w:pPr>
            <w:r>
              <w:rPr>
                <w:rFonts w:ascii="仿宋_GB2312" w:hAnsi="仿宋_GB2312" w:cs="仿宋_GB2312" w:eastAsia="仿宋_GB2312"/>
                <w:sz w:val="28"/>
                <w:b/>
              </w:rPr>
              <w:t>（三）</w:t>
            </w:r>
            <w:r>
              <w:rPr>
                <w:rFonts w:ascii="仿宋_GB2312" w:hAnsi="仿宋_GB2312" w:cs="仿宋_GB2312" w:eastAsia="仿宋_GB2312"/>
                <w:sz w:val="28"/>
                <w:b/>
              </w:rPr>
              <w:t>预警与管控</w:t>
            </w:r>
          </w:p>
          <w:p>
            <w:pPr>
              <w:pStyle w:val="null3"/>
              <w:ind w:firstLine="480"/>
              <w:jc w:val="both"/>
            </w:pPr>
            <w:r>
              <w:rPr>
                <w:rFonts w:ascii="仿宋_GB2312" w:hAnsi="仿宋_GB2312" w:cs="仿宋_GB2312" w:eastAsia="仿宋_GB2312"/>
                <w:sz w:val="28"/>
              </w:rPr>
              <w:t>预警与管控模块是系统的重要功能之一，通过智能分析禁毒相关人员的行为特征及通联关系，实现对毒品问题的精准预警与有效管控。具体包括：</w:t>
            </w:r>
          </w:p>
          <w:p>
            <w:pPr>
              <w:pStyle w:val="null3"/>
              <w:ind w:firstLine="480"/>
              <w:jc w:val="both"/>
            </w:pPr>
            <w:r>
              <w:rPr>
                <w:rFonts w:ascii="仿宋_GB2312" w:hAnsi="仿宋_GB2312" w:cs="仿宋_GB2312" w:eastAsia="仿宋_GB2312"/>
                <w:sz w:val="28"/>
              </w:rPr>
              <w:t>智能预警：基于大数据分析，提前发现毒品问题苗头，生成预警信息，并推送给相关部门和人员。</w:t>
            </w:r>
          </w:p>
          <w:p>
            <w:pPr>
              <w:pStyle w:val="null3"/>
              <w:ind w:firstLine="480"/>
              <w:jc w:val="both"/>
            </w:pPr>
            <w:r>
              <w:rPr>
                <w:rFonts w:ascii="仿宋_GB2312" w:hAnsi="仿宋_GB2312" w:cs="仿宋_GB2312" w:eastAsia="仿宋_GB2312"/>
                <w:sz w:val="28"/>
              </w:rPr>
              <w:t>管控决策：根据预警信息，结合禁毒相关人员的轨迹数据及通联关系，制定科学合理的管控策略。</w:t>
            </w:r>
          </w:p>
          <w:p>
            <w:pPr>
              <w:pStyle w:val="null3"/>
              <w:ind w:firstLine="480"/>
              <w:jc w:val="both"/>
            </w:pPr>
            <w:r>
              <w:rPr>
                <w:rFonts w:ascii="仿宋_GB2312" w:hAnsi="仿宋_GB2312" w:cs="仿宋_GB2312" w:eastAsia="仿宋_GB2312"/>
                <w:sz w:val="28"/>
              </w:rPr>
              <w:t>应急响应：在发生紧急情况时，快速启动应急响应机制，调动相关资源，迅速处置毒品问题。</w:t>
            </w:r>
          </w:p>
          <w:p>
            <w:pPr>
              <w:pStyle w:val="null3"/>
              <w:spacing w:before="150" w:after="150"/>
              <w:ind w:left="570"/>
              <w:jc w:val="both"/>
              <w:outlineLvl w:val="1"/>
            </w:pPr>
            <w:r>
              <w:rPr>
                <w:rFonts w:ascii="仿宋_GB2312" w:hAnsi="仿宋_GB2312" w:cs="仿宋_GB2312" w:eastAsia="仿宋_GB2312"/>
                <w:sz w:val="28"/>
                <w:b/>
              </w:rPr>
              <w:t>四、</w:t>
            </w:r>
            <w:r>
              <w:rPr>
                <w:rFonts w:ascii="仿宋_GB2312" w:hAnsi="仿宋_GB2312" w:cs="仿宋_GB2312" w:eastAsia="仿宋_GB2312"/>
                <w:sz w:val="28"/>
                <w:b/>
              </w:rPr>
              <w:t>达州市</w:t>
            </w:r>
            <w:r>
              <w:rPr>
                <w:rFonts w:ascii="仿宋_GB2312" w:hAnsi="仿宋_GB2312" w:cs="仿宋_GB2312" w:eastAsia="仿宋_GB2312"/>
                <w:sz w:val="28"/>
                <w:b/>
              </w:rPr>
              <w:t>禁毒</w:t>
            </w:r>
            <w:r>
              <w:rPr>
                <w:rFonts w:ascii="仿宋_GB2312" w:hAnsi="仿宋_GB2312" w:cs="仿宋_GB2312" w:eastAsia="仿宋_GB2312"/>
                <w:sz w:val="28"/>
                <w:b/>
              </w:rPr>
              <w:t>大数据挖掘及分析子系统</w:t>
            </w:r>
            <w:r>
              <w:rPr>
                <w:rFonts w:ascii="仿宋_GB2312" w:hAnsi="仿宋_GB2312" w:cs="仿宋_GB2312" w:eastAsia="仿宋_GB2312"/>
                <w:sz w:val="28"/>
                <w:b/>
              </w:rPr>
              <w:t>建设</w:t>
            </w:r>
            <w:r>
              <w:rPr>
                <w:rFonts w:ascii="仿宋_GB2312" w:hAnsi="仿宋_GB2312" w:cs="仿宋_GB2312" w:eastAsia="仿宋_GB2312"/>
                <w:sz w:val="28"/>
                <w:b/>
              </w:rPr>
              <w:t>需求</w:t>
            </w:r>
          </w:p>
          <w:p>
            <w:pPr>
              <w:pStyle w:val="null3"/>
              <w:ind w:firstLine="480"/>
              <w:jc w:val="both"/>
            </w:pPr>
            <w:r>
              <w:rPr>
                <w:rFonts w:ascii="仿宋_GB2312" w:hAnsi="仿宋_GB2312" w:cs="仿宋_GB2312" w:eastAsia="仿宋_GB2312"/>
                <w:sz w:val="28"/>
              </w:rPr>
              <w:t>服务期限：</w:t>
            </w:r>
            <w:r>
              <w:rPr>
                <w:rFonts w:ascii="仿宋_GB2312" w:hAnsi="仿宋_GB2312" w:cs="仿宋_GB2312" w:eastAsia="仿宋_GB2312"/>
                <w:sz w:val="28"/>
              </w:rPr>
              <w:t>12</w:t>
            </w:r>
            <w:r>
              <w:rPr>
                <w:rFonts w:ascii="仿宋_GB2312" w:hAnsi="仿宋_GB2312" w:cs="仿宋_GB2312" w:eastAsia="仿宋_GB2312"/>
                <w:sz w:val="28"/>
              </w:rPr>
              <w:t>个月（自开通账号之日起开始计算）。</w:t>
            </w:r>
          </w:p>
          <w:p>
            <w:pPr>
              <w:pStyle w:val="null3"/>
              <w:spacing w:before="150" w:after="150"/>
              <w:jc w:val="both"/>
              <w:outlineLvl w:val="2"/>
            </w:pPr>
            <w:r>
              <w:rPr>
                <w:rFonts w:ascii="仿宋_GB2312" w:hAnsi="仿宋_GB2312" w:cs="仿宋_GB2312" w:eastAsia="仿宋_GB2312"/>
                <w:sz w:val="28"/>
                <w:b/>
              </w:rPr>
              <w:t>（一）</w:t>
            </w:r>
            <w:r>
              <w:rPr>
                <w:rFonts w:ascii="仿宋_GB2312" w:hAnsi="仿宋_GB2312" w:cs="仿宋_GB2312" w:eastAsia="仿宋_GB2312"/>
                <w:sz w:val="28"/>
                <w:b/>
              </w:rPr>
              <w:t>线索发现</w:t>
            </w:r>
          </w:p>
          <w:p>
            <w:pPr>
              <w:pStyle w:val="null3"/>
              <w:ind w:firstLine="480"/>
              <w:jc w:val="both"/>
            </w:pPr>
            <w:r>
              <w:rPr>
                <w:rFonts w:ascii="仿宋_GB2312" w:hAnsi="仿宋_GB2312" w:cs="仿宋_GB2312" w:eastAsia="仿宋_GB2312"/>
                <w:sz w:val="28"/>
              </w:rPr>
              <w:t>基于业务沉淀的禁毒相关风险特征，使用禁毒相关风险识别智能模型，提供禁毒相关业务分析线索，风险人员识别、风险行为的发现，能够第一时间让业务人员洞悉风险情况。</w:t>
            </w:r>
          </w:p>
          <w:p>
            <w:pPr>
              <w:pStyle w:val="null3"/>
              <w:ind w:firstLine="480"/>
              <w:jc w:val="both"/>
            </w:pPr>
            <w:r>
              <w:rPr>
                <w:rFonts w:ascii="仿宋_GB2312" w:hAnsi="仿宋_GB2312" w:cs="仿宋_GB2312" w:eastAsia="仿宋_GB2312"/>
                <w:sz w:val="28"/>
              </w:rPr>
              <w:t>线索列表展示：系统将通过禁毒相关风险模型识别出的风险人员进行推送，用户可在线索列表中对系统推送的线索信息进行实时管理，主要提供线索统计、线索列表、线索挖掘的功能。</w:t>
            </w:r>
          </w:p>
          <w:p>
            <w:pPr>
              <w:pStyle w:val="null3"/>
              <w:ind w:firstLine="480"/>
              <w:jc w:val="both"/>
            </w:pPr>
            <w:r>
              <w:rPr>
                <w:rFonts w:ascii="仿宋_GB2312" w:hAnsi="仿宋_GB2312" w:cs="仿宋_GB2312" w:eastAsia="仿宋_GB2312"/>
                <w:sz w:val="28"/>
              </w:rPr>
              <w:t>线索统计：通过线索概况、风险类型、推送时间等功能来实现对线索的概况描述，便于一目了然的掌握目前线索整体情况。</w:t>
            </w:r>
          </w:p>
          <w:p>
            <w:pPr>
              <w:pStyle w:val="null3"/>
              <w:ind w:firstLine="480"/>
              <w:jc w:val="both"/>
            </w:pPr>
            <w:r>
              <w:rPr>
                <w:rFonts w:ascii="仿宋_GB2312" w:hAnsi="仿宋_GB2312" w:cs="仿宋_GB2312" w:eastAsia="仿宋_GB2312"/>
                <w:sz w:val="28"/>
              </w:rPr>
              <w:t>线索概况：统计目前列表中对线索已读、未读的情况，并对全部线索数量进行统计，支持根据所需对线索列表进行筛选；</w:t>
            </w:r>
          </w:p>
          <w:p>
            <w:pPr>
              <w:pStyle w:val="null3"/>
              <w:ind w:firstLine="480"/>
              <w:jc w:val="both"/>
            </w:pPr>
            <w:r>
              <w:rPr>
                <w:rFonts w:ascii="仿宋_GB2312" w:hAnsi="仿宋_GB2312" w:cs="仿宋_GB2312" w:eastAsia="仿宋_GB2312"/>
                <w:sz w:val="28"/>
              </w:rPr>
              <w:t>风险人员：目前列表中识别的风险对象情况，按照识别的时间进行排序，便于发现最新的信息线索。</w:t>
            </w:r>
          </w:p>
          <w:p>
            <w:pPr>
              <w:pStyle w:val="null3"/>
              <w:ind w:firstLine="480"/>
              <w:jc w:val="both"/>
            </w:pPr>
            <w:r>
              <w:rPr>
                <w:rFonts w:ascii="仿宋_GB2312" w:hAnsi="仿宋_GB2312" w:cs="仿宋_GB2312" w:eastAsia="仿宋_GB2312"/>
                <w:sz w:val="28"/>
              </w:rPr>
              <w:t>线索检索：支持通过姓名、证件号码在线索列表中对已识别的风险对象进行检索定位。</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风险档案</w:t>
            </w:r>
          </w:p>
          <w:p>
            <w:pPr>
              <w:pStyle w:val="null3"/>
              <w:ind w:firstLine="480"/>
              <w:jc w:val="both"/>
            </w:pPr>
            <w:r>
              <w:rPr>
                <w:rFonts w:ascii="仿宋_GB2312" w:hAnsi="仿宋_GB2312" w:cs="仿宋_GB2312" w:eastAsia="仿宋_GB2312"/>
                <w:sz w:val="28"/>
              </w:rPr>
              <w:t>风险档案是以风险对象的视角，将某一特定风险对象的禁毒相关风险情况进行聚合，查看到风险人员基本信息、风险类型、风险标签、风险行为，提供风险简易筛查功能，便于对整体风险情况进行初步分析。</w:t>
            </w:r>
          </w:p>
          <w:p>
            <w:pPr>
              <w:pStyle w:val="null3"/>
              <w:ind w:firstLine="480"/>
              <w:jc w:val="both"/>
            </w:pPr>
            <w:r>
              <w:rPr>
                <w:rFonts w:ascii="仿宋_GB2312" w:hAnsi="仿宋_GB2312" w:cs="仿宋_GB2312" w:eastAsia="仿宋_GB2312"/>
                <w:sz w:val="28"/>
              </w:rPr>
              <w:t>基本信息：便于掌握该对象基本情况，用于禁毒相关风险的辅助分析。</w:t>
            </w:r>
          </w:p>
          <w:p>
            <w:pPr>
              <w:pStyle w:val="null3"/>
              <w:ind w:firstLine="480"/>
              <w:jc w:val="both"/>
            </w:pPr>
            <w:r>
              <w:rPr>
                <w:rFonts w:ascii="仿宋_GB2312" w:hAnsi="仿宋_GB2312" w:cs="仿宋_GB2312" w:eastAsia="仿宋_GB2312"/>
                <w:sz w:val="28"/>
              </w:rPr>
              <w:t>风险行为：以日期为维度，掌握该风险对象风险动作的延续性，提供风险类型的描述，便于了解风险程度。</w:t>
            </w:r>
          </w:p>
          <w:p>
            <w:pPr>
              <w:pStyle w:val="null3"/>
              <w:ind w:firstLine="480"/>
              <w:jc w:val="both"/>
            </w:pPr>
            <w:r>
              <w:rPr>
                <w:rFonts w:ascii="仿宋_GB2312" w:hAnsi="仿宋_GB2312" w:cs="仿宋_GB2312" w:eastAsia="仿宋_GB2312"/>
                <w:sz w:val="28"/>
              </w:rPr>
              <w:t>风险挖掘：根据风险类型、风险标签对该风险人员的重点风险行为进行挖掘与分析。</w:t>
            </w:r>
          </w:p>
          <w:p>
            <w:pPr>
              <w:pStyle w:val="null3"/>
              <w:ind w:firstLine="480"/>
              <w:jc w:val="both"/>
            </w:pPr>
            <w:r>
              <w:rPr>
                <w:rFonts w:ascii="仿宋_GB2312" w:hAnsi="仿宋_GB2312" w:cs="仿宋_GB2312" w:eastAsia="仿宋_GB2312"/>
                <w:sz w:val="28"/>
              </w:rPr>
              <w:t>高危地流窜：根据流动性识别风险，辅助识别风险人员的风险性。</w:t>
            </w:r>
          </w:p>
          <w:p>
            <w:pPr>
              <w:pStyle w:val="null3"/>
              <w:ind w:firstLine="480"/>
              <w:jc w:val="both"/>
            </w:pPr>
            <w:r>
              <w:rPr>
                <w:rFonts w:ascii="仿宋_GB2312" w:hAnsi="仿宋_GB2312" w:cs="仿宋_GB2312" w:eastAsia="仿宋_GB2312"/>
                <w:sz w:val="28"/>
              </w:rPr>
              <w:t>识管辖地：提供的风险行为确认的情况下，识别、产出该风险人的常驻辖区的信息线索，支撑管辖地派发。</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线索核查反馈</w:t>
            </w:r>
          </w:p>
          <w:p>
            <w:pPr>
              <w:pStyle w:val="null3"/>
              <w:ind w:firstLine="480"/>
              <w:jc w:val="both"/>
            </w:pPr>
            <w:r>
              <w:rPr>
                <w:rFonts w:ascii="仿宋_GB2312" w:hAnsi="仿宋_GB2312" w:cs="仿宋_GB2312" w:eastAsia="仿宋_GB2312"/>
                <w:sz w:val="28"/>
              </w:rPr>
              <w:t>在预警列表及预警详情中，支持对风险对象进行风险核查反馈操作，可根据实际核查情况对风险对象进行标识，从而保证对线索价值的有效评估，对高风险线索的有效关注及低风险线索的有效排除。</w:t>
            </w:r>
          </w:p>
          <w:p>
            <w:pPr>
              <w:pStyle w:val="null3"/>
              <w:spacing w:before="150" w:after="150"/>
              <w:jc w:val="both"/>
              <w:outlineLvl w:val="2"/>
            </w:pPr>
            <w:r>
              <w:rPr>
                <w:rFonts w:ascii="仿宋_GB2312" w:hAnsi="仿宋_GB2312" w:cs="仿宋_GB2312" w:eastAsia="仿宋_GB2312"/>
                <w:sz w:val="28"/>
                <w:b/>
              </w:rPr>
              <w:t>（二）</w:t>
            </w:r>
            <w:r>
              <w:rPr>
                <w:rFonts w:ascii="仿宋_GB2312" w:hAnsi="仿宋_GB2312" w:cs="仿宋_GB2312" w:eastAsia="仿宋_GB2312"/>
                <w:sz w:val="28"/>
                <w:b/>
              </w:rPr>
              <w:t>在册筛查</w:t>
            </w:r>
          </w:p>
          <w:p>
            <w:pPr>
              <w:pStyle w:val="null3"/>
              <w:ind w:firstLine="480"/>
              <w:jc w:val="both"/>
            </w:pPr>
            <w:r>
              <w:rPr>
                <w:rFonts w:ascii="仿宋_GB2312" w:hAnsi="仿宋_GB2312" w:cs="仿宋_GB2312" w:eastAsia="仿宋_GB2312"/>
                <w:sz w:val="28"/>
              </w:rPr>
              <w:t>结合公安掌握的禁毒相关风险人员，经过审核通过并激活的风险人进行风险类型、风险行为的发现，且提供风险的筛查工具，对关注的禁毒相关行为人进行挖掘。同时允许公安机关结合自己掌握的情况进行分类打标，便于日常通过风险人类型管理发现风险行为。</w:t>
            </w:r>
          </w:p>
          <w:p>
            <w:pPr>
              <w:pStyle w:val="null3"/>
              <w:spacing w:before="150" w:after="150"/>
              <w:jc w:val="both"/>
              <w:outlineLvl w:val="2"/>
            </w:pPr>
            <w:r>
              <w:rPr>
                <w:rFonts w:ascii="仿宋_GB2312" w:hAnsi="仿宋_GB2312" w:cs="仿宋_GB2312" w:eastAsia="仿宋_GB2312"/>
                <w:sz w:val="28"/>
                <w:b/>
              </w:rPr>
              <w:t>（三）</w:t>
            </w:r>
            <w:r>
              <w:rPr>
                <w:rFonts w:ascii="仿宋_GB2312" w:hAnsi="仿宋_GB2312" w:cs="仿宋_GB2312" w:eastAsia="仿宋_GB2312"/>
                <w:sz w:val="28"/>
                <w:b/>
              </w:rPr>
              <w:t>风险识别模型</w:t>
            </w:r>
          </w:p>
          <w:p>
            <w:pPr>
              <w:pStyle w:val="null3"/>
              <w:ind w:firstLine="480"/>
              <w:jc w:val="both"/>
            </w:pPr>
            <w:r>
              <w:rPr>
                <w:rFonts w:ascii="仿宋_GB2312" w:hAnsi="仿宋_GB2312" w:cs="仿宋_GB2312" w:eastAsia="仿宋_GB2312"/>
                <w:sz w:val="28"/>
              </w:rPr>
              <w:t>通过对禁毒业务（尤其是毒品的种</w:t>
            </w:r>
            <w:r>
              <w:rPr>
                <w:rFonts w:ascii="仿宋_GB2312" w:hAnsi="仿宋_GB2312" w:cs="仿宋_GB2312" w:eastAsia="仿宋_GB2312"/>
                <w:sz w:val="28"/>
              </w:rPr>
              <w:t>/</w:t>
            </w:r>
            <w:r>
              <w:rPr>
                <w:rFonts w:ascii="仿宋_GB2312" w:hAnsi="仿宋_GB2312" w:cs="仿宋_GB2312" w:eastAsia="仿宋_GB2312"/>
                <w:sz w:val="28"/>
              </w:rPr>
              <w:t>制</w:t>
            </w:r>
            <w:r>
              <w:rPr>
                <w:rFonts w:ascii="仿宋_GB2312" w:hAnsi="仿宋_GB2312" w:cs="仿宋_GB2312" w:eastAsia="仿宋_GB2312"/>
                <w:sz w:val="28"/>
              </w:rPr>
              <w:t>/</w:t>
            </w:r>
            <w:r>
              <w:rPr>
                <w:rFonts w:ascii="仿宋_GB2312" w:hAnsi="仿宋_GB2312" w:cs="仿宋_GB2312" w:eastAsia="仿宋_GB2312"/>
                <w:sz w:val="28"/>
              </w:rPr>
              <w:t>贩</w:t>
            </w:r>
            <w:r>
              <w:rPr>
                <w:rFonts w:ascii="仿宋_GB2312" w:hAnsi="仿宋_GB2312" w:cs="仿宋_GB2312" w:eastAsia="仿宋_GB2312"/>
                <w:sz w:val="28"/>
              </w:rPr>
              <w:t>/</w:t>
            </w:r>
            <w:r>
              <w:rPr>
                <w:rFonts w:ascii="仿宋_GB2312" w:hAnsi="仿宋_GB2312" w:cs="仿宋_GB2312" w:eastAsia="仿宋_GB2312"/>
                <w:sz w:val="28"/>
              </w:rPr>
              <w:t>吸行业生态）的深入研究和总结，结合针对业务沉淀的禁毒相关风险特征，应用数据挖掘、统计建模、机器学习等数据技术能力，提炼出各类禁毒相关风险人员的多种风险模式特征，包括但不限于：对吸毒、贩毒、制毒、种毒的特定工具及原材料的持有行为和获取意图，特定交易方式及特定时间段，特定周期频率的行为模式，特定风险对象的关联模式，特定风险区域的行为特征，特定隐语称谓的通联模式。</w:t>
            </w:r>
          </w:p>
          <w:p>
            <w:pPr>
              <w:pStyle w:val="null3"/>
              <w:jc w:val="both"/>
              <w:outlineLvl w:val="3"/>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隐性</w:t>
            </w:r>
            <w:r>
              <w:rPr>
                <w:rFonts w:ascii="仿宋_GB2312" w:hAnsi="仿宋_GB2312" w:cs="仿宋_GB2312" w:eastAsia="仿宋_GB2312"/>
                <w:sz w:val="28"/>
                <w:b/>
                <w:color w:val="000000"/>
              </w:rPr>
              <w:t>禁毒相关</w:t>
            </w:r>
            <w:r>
              <w:rPr>
                <w:rFonts w:ascii="仿宋_GB2312" w:hAnsi="仿宋_GB2312" w:cs="仿宋_GB2312" w:eastAsia="仿宋_GB2312"/>
                <w:sz w:val="28"/>
                <w:b/>
                <w:color w:val="000000"/>
              </w:rPr>
              <w:t>人员挖掘</w:t>
            </w:r>
          </w:p>
          <w:p>
            <w:pPr>
              <w:pStyle w:val="null3"/>
              <w:ind w:firstLine="480"/>
              <w:jc w:val="both"/>
            </w:pPr>
            <w:r>
              <w:rPr>
                <w:rFonts w:ascii="仿宋_GB2312" w:hAnsi="仿宋_GB2312" w:cs="仿宋_GB2312" w:eastAsia="仿宋_GB2312"/>
                <w:sz w:val="28"/>
              </w:rPr>
              <w:t>基于禁毒相关风险特征，进行离线与实时的模式识别和特征比对，识别出可能存在禁毒相关风险的特定对象，参照其命中的特定模式区分出禁毒相关风险类型</w:t>
            </w:r>
            <w:r>
              <w:rPr>
                <w:rFonts w:ascii="仿宋_GB2312" w:hAnsi="仿宋_GB2312" w:cs="仿宋_GB2312" w:eastAsia="仿宋_GB2312"/>
                <w:sz w:val="28"/>
              </w:rPr>
              <w:t>(</w:t>
            </w:r>
            <w:r>
              <w:rPr>
                <w:rFonts w:ascii="仿宋_GB2312" w:hAnsi="仿宋_GB2312" w:cs="仿宋_GB2312" w:eastAsia="仿宋_GB2312"/>
                <w:sz w:val="28"/>
              </w:rPr>
              <w:t>吸毒</w:t>
            </w:r>
            <w:r>
              <w:rPr>
                <w:rFonts w:ascii="仿宋_GB2312" w:hAnsi="仿宋_GB2312" w:cs="仿宋_GB2312" w:eastAsia="仿宋_GB2312"/>
                <w:sz w:val="28"/>
              </w:rPr>
              <w:t>/</w:t>
            </w:r>
            <w:r>
              <w:rPr>
                <w:rFonts w:ascii="仿宋_GB2312" w:hAnsi="仿宋_GB2312" w:cs="仿宋_GB2312" w:eastAsia="仿宋_GB2312"/>
                <w:sz w:val="28"/>
              </w:rPr>
              <w:t>贩毒</w:t>
            </w:r>
            <w:r>
              <w:rPr>
                <w:rFonts w:ascii="仿宋_GB2312" w:hAnsi="仿宋_GB2312" w:cs="仿宋_GB2312" w:eastAsia="仿宋_GB2312"/>
                <w:sz w:val="28"/>
              </w:rPr>
              <w:t>/</w:t>
            </w:r>
            <w:r>
              <w:rPr>
                <w:rFonts w:ascii="仿宋_GB2312" w:hAnsi="仿宋_GB2312" w:cs="仿宋_GB2312" w:eastAsia="仿宋_GB2312"/>
                <w:sz w:val="28"/>
              </w:rPr>
              <w:t>制毒</w:t>
            </w:r>
            <w:r>
              <w:rPr>
                <w:rFonts w:ascii="仿宋_GB2312" w:hAnsi="仿宋_GB2312" w:cs="仿宋_GB2312" w:eastAsia="仿宋_GB2312"/>
                <w:sz w:val="28"/>
              </w:rPr>
              <w:t>/</w:t>
            </w:r>
            <w:r>
              <w:rPr>
                <w:rFonts w:ascii="仿宋_GB2312" w:hAnsi="仿宋_GB2312" w:cs="仿宋_GB2312" w:eastAsia="仿宋_GB2312"/>
                <w:sz w:val="28"/>
              </w:rPr>
              <w:t>种毒</w:t>
            </w:r>
            <w:r>
              <w:rPr>
                <w:rFonts w:ascii="仿宋_GB2312" w:hAnsi="仿宋_GB2312" w:cs="仿宋_GB2312" w:eastAsia="仿宋_GB2312"/>
                <w:sz w:val="28"/>
              </w:rPr>
              <w:t>)</w:t>
            </w:r>
            <w:r>
              <w:rPr>
                <w:rFonts w:ascii="仿宋_GB2312" w:hAnsi="仿宋_GB2312" w:cs="仿宋_GB2312" w:eastAsia="仿宋_GB2312"/>
                <w:sz w:val="28"/>
              </w:rPr>
              <w:t>，并综合多维度的风险因子进行针对性的禁毒相关风险量化及识别输出。</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吸毒风险识别</w:t>
            </w:r>
          </w:p>
          <w:p>
            <w:pPr>
              <w:pStyle w:val="null3"/>
              <w:ind w:firstLine="480"/>
              <w:jc w:val="both"/>
            </w:pPr>
            <w:r>
              <w:rPr>
                <w:rFonts w:ascii="仿宋_GB2312" w:hAnsi="仿宋_GB2312" w:cs="仿宋_GB2312" w:eastAsia="仿宋_GB2312"/>
                <w:sz w:val="28"/>
              </w:rPr>
              <w:t>基于上述禁毒相关风险人员的识别结果，结合已有信息，识别并推送相应的吸毒风险行为。</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贩毒风险识别</w:t>
            </w:r>
          </w:p>
          <w:p>
            <w:pPr>
              <w:pStyle w:val="null3"/>
              <w:ind w:firstLine="480"/>
              <w:jc w:val="both"/>
            </w:pPr>
            <w:r>
              <w:rPr>
                <w:rFonts w:ascii="仿宋_GB2312" w:hAnsi="仿宋_GB2312" w:cs="仿宋_GB2312" w:eastAsia="仿宋_GB2312"/>
                <w:sz w:val="28"/>
              </w:rPr>
              <w:t>基于上述禁毒相关风险人员的识别结果，结合已有信息，识别并推送相应的贩毒风险行为。</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制毒风险识别</w:t>
            </w:r>
          </w:p>
          <w:p>
            <w:pPr>
              <w:pStyle w:val="null3"/>
              <w:ind w:firstLine="480"/>
              <w:jc w:val="both"/>
            </w:pPr>
            <w:r>
              <w:rPr>
                <w:rFonts w:ascii="仿宋_GB2312" w:hAnsi="仿宋_GB2312" w:cs="仿宋_GB2312" w:eastAsia="仿宋_GB2312"/>
                <w:sz w:val="28"/>
              </w:rPr>
              <w:t>基于上述禁毒相关风险人员的识别结果，结合已有信息，识别并推送相应的制毒风险行为。</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种毒风险识别</w:t>
            </w:r>
          </w:p>
          <w:p>
            <w:pPr>
              <w:pStyle w:val="null3"/>
              <w:ind w:firstLine="480"/>
              <w:jc w:val="both"/>
            </w:pPr>
            <w:r>
              <w:rPr>
                <w:rFonts w:ascii="仿宋_GB2312" w:hAnsi="仿宋_GB2312" w:cs="仿宋_GB2312" w:eastAsia="仿宋_GB2312"/>
                <w:sz w:val="28"/>
              </w:rPr>
              <w:t>基于上述禁毒相关风险人员的识别结果，结合已有信息，识别并推送相应的种毒风险行为</w:t>
            </w:r>
            <w:r>
              <w:rPr>
                <w:rFonts w:ascii="仿宋_GB2312" w:hAnsi="仿宋_GB2312" w:cs="仿宋_GB2312" w:eastAsia="仿宋_GB2312"/>
                <w:sz w:val="28"/>
              </w:rPr>
              <w:t>(</w:t>
            </w:r>
            <w:r>
              <w:rPr>
                <w:rFonts w:ascii="仿宋_GB2312" w:hAnsi="仿宋_GB2312" w:cs="仿宋_GB2312" w:eastAsia="仿宋_GB2312"/>
                <w:sz w:val="28"/>
              </w:rPr>
              <w:t>例如种植大麻</w:t>
            </w:r>
            <w:r>
              <w:rPr>
                <w:rFonts w:ascii="仿宋_GB2312" w:hAnsi="仿宋_GB2312" w:cs="仿宋_GB2312" w:eastAsia="仿宋_GB2312"/>
                <w:sz w:val="28"/>
              </w:rPr>
              <w:t>)</w:t>
            </w:r>
            <w:r>
              <w:rPr>
                <w:rFonts w:ascii="仿宋_GB2312" w:hAnsi="仿宋_GB2312" w:cs="仿宋_GB2312" w:eastAsia="仿宋_GB2312"/>
                <w:sz w:val="28"/>
              </w:rPr>
              <w:t>。</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6.</w:t>
            </w:r>
            <w:r>
              <w:rPr>
                <w:rFonts w:ascii="仿宋_GB2312" w:hAnsi="仿宋_GB2312" w:cs="仿宋_GB2312" w:eastAsia="仿宋_GB2312"/>
                <w:sz w:val="28"/>
                <w:b/>
                <w:color w:val="000000"/>
              </w:rPr>
              <w:t>禁毒相关</w:t>
            </w:r>
            <w:r>
              <w:rPr>
                <w:rFonts w:ascii="仿宋_GB2312" w:hAnsi="仿宋_GB2312" w:cs="仿宋_GB2312" w:eastAsia="仿宋_GB2312"/>
                <w:sz w:val="28"/>
                <w:b/>
                <w:color w:val="000000"/>
              </w:rPr>
              <w:t>产业链识别</w:t>
            </w:r>
          </w:p>
          <w:p>
            <w:pPr>
              <w:pStyle w:val="null3"/>
              <w:ind w:firstLine="480"/>
              <w:jc w:val="both"/>
            </w:pPr>
            <w:r>
              <w:rPr>
                <w:rFonts w:ascii="仿宋_GB2312" w:hAnsi="仿宋_GB2312" w:cs="仿宋_GB2312" w:eastAsia="仿宋_GB2312"/>
                <w:sz w:val="28"/>
              </w:rPr>
              <w:t>以上述复杂社会网络中的疑似贩毒人员及疑似吸毒人员为基础，基于这两类人员的关联关系和行为特征，应用风险标签传播、网络社区发现识别、网络节点中间度识别、网络节点中心度识别、汇集模式识别等模型算法，还原禁毒相关的贩吸产业链，定位产业链中的各类角色，识别不同角色中的核心成员、骨干分子及中枢节点，并综合多维度的风险因子进行针对性的贩吸产业链风险量化及输出。</w:t>
            </w:r>
          </w:p>
          <w:p>
            <w:pPr>
              <w:pStyle w:val="null3"/>
              <w:spacing w:before="150" w:after="150"/>
              <w:jc w:val="both"/>
              <w:outlineLvl w:val="2"/>
            </w:pPr>
            <w:r>
              <w:rPr>
                <w:rFonts w:ascii="仿宋_GB2312" w:hAnsi="仿宋_GB2312" w:cs="仿宋_GB2312" w:eastAsia="仿宋_GB2312"/>
                <w:sz w:val="28"/>
                <w:b/>
              </w:rPr>
              <w:t>（四）</w:t>
            </w:r>
            <w:r>
              <w:rPr>
                <w:rFonts w:ascii="仿宋_GB2312" w:hAnsi="仿宋_GB2312" w:cs="仿宋_GB2312" w:eastAsia="仿宋_GB2312"/>
                <w:sz w:val="28"/>
                <w:b/>
              </w:rPr>
              <w:t>现案研判</w:t>
            </w:r>
          </w:p>
          <w:p>
            <w:pPr>
              <w:pStyle w:val="null3"/>
              <w:jc w:val="both"/>
              <w:outlineLvl w:val="3"/>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案件管理</w:t>
            </w:r>
          </w:p>
          <w:p>
            <w:pPr>
              <w:pStyle w:val="null3"/>
              <w:ind w:firstLine="480"/>
              <w:jc w:val="both"/>
            </w:pPr>
            <w:r>
              <w:rPr>
                <w:rFonts w:ascii="仿宋_GB2312" w:hAnsi="仿宋_GB2312" w:cs="仿宋_GB2312" w:eastAsia="仿宋_GB2312"/>
                <w:sz w:val="28"/>
              </w:rPr>
              <w:t>现案研判为公安案件侦查、打击提供智能分析处理工具，通过关联关系等方式挖掘嫌疑人、关系网等信息，加速破案。基于系统提供的业务需求智能化流转，用户可输入业务需求及相关文件，经过业务需求对象的的审批后进行研判。</w:t>
            </w:r>
          </w:p>
          <w:p>
            <w:pPr>
              <w:pStyle w:val="null3"/>
              <w:ind w:firstLine="480"/>
              <w:jc w:val="both"/>
            </w:pPr>
            <w:r>
              <w:rPr>
                <w:rFonts w:ascii="仿宋_GB2312" w:hAnsi="仿宋_GB2312" w:cs="仿宋_GB2312" w:eastAsia="仿宋_GB2312"/>
                <w:sz w:val="28"/>
              </w:rPr>
              <w:t>案件管理模块支持对输入的案件进行统一管理，提供案件列表、列表检索的功能，并支持对案件的研判结果、进入研判进行操作。</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要素溯源</w:t>
            </w:r>
          </w:p>
          <w:p>
            <w:pPr>
              <w:pStyle w:val="null3"/>
              <w:ind w:firstLine="560"/>
              <w:jc w:val="both"/>
            </w:pPr>
            <w:r>
              <w:rPr>
                <w:rFonts w:ascii="仿宋_GB2312" w:hAnsi="仿宋_GB2312" w:cs="仿宋_GB2312" w:eastAsia="仿宋_GB2312"/>
                <w:sz w:val="28"/>
              </w:rPr>
              <w:t>公安在案件侦查过程中，往往是第一步需要解决的问题。基于嫌疑人的虚拟账号溯源，从模糊信息锁定犯罪嫌疑人，明确下一步的侦查方向。</w:t>
            </w:r>
          </w:p>
          <w:p>
            <w:pPr>
              <w:pStyle w:val="null3"/>
              <w:jc w:val="both"/>
              <w:outlineLvl w:val="3"/>
            </w:pP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关系挖掘</w:t>
            </w:r>
          </w:p>
          <w:p>
            <w:pPr>
              <w:pStyle w:val="null3"/>
              <w:ind w:firstLine="480"/>
              <w:jc w:val="both"/>
            </w:pPr>
            <w:r>
              <w:rPr>
                <w:rFonts w:ascii="仿宋_GB2312" w:hAnsi="仿宋_GB2312" w:cs="仿宋_GB2312" w:eastAsia="仿宋_GB2312"/>
                <w:sz w:val="28"/>
              </w:rPr>
              <w:t>利用禁毒相关人员的行为规律，经数据融合挖掘扩展出与嫌疑人存在强风险关联的隐性风险人员关系，实现以点找面，以面找链的关系网络。不仅可通过直接扩展制贩毒关键人员的紧密关联人物以扩建其上游关系网，也可通过深挖间接人员补充产业链不同环节间缺失的关键链路。可通过查询所扩展关系的相关特征信息，从而梳理和还原产业链形成及发展的过程及关键事件。</w:t>
            </w:r>
          </w:p>
          <w:p>
            <w:pPr>
              <w:pStyle w:val="null3"/>
              <w:spacing w:before="150" w:after="150"/>
              <w:ind w:left="720"/>
              <w:jc w:val="both"/>
              <w:outlineLvl w:val="2"/>
            </w:pPr>
            <w:r>
              <w:rPr>
                <w:rFonts w:ascii="仿宋_GB2312" w:hAnsi="仿宋_GB2312" w:cs="仿宋_GB2312" w:eastAsia="仿宋_GB2312"/>
                <w:sz w:val="28"/>
                <w:b/>
              </w:rPr>
              <w:t>4.</w:t>
            </w:r>
            <w:r>
              <w:rPr>
                <w:rFonts w:ascii="仿宋_GB2312" w:hAnsi="仿宋_GB2312" w:cs="仿宋_GB2312" w:eastAsia="仿宋_GB2312"/>
                <w:sz w:val="28"/>
                <w:b/>
              </w:rPr>
              <w:t>收网打处</w:t>
            </w:r>
          </w:p>
          <w:p>
            <w:pPr>
              <w:pStyle w:val="null3"/>
              <w:ind w:firstLine="480"/>
              <w:jc w:val="both"/>
            </w:pPr>
            <w:r>
              <w:rPr>
                <w:rFonts w:ascii="仿宋_GB2312" w:hAnsi="仿宋_GB2312" w:cs="仿宋_GB2312" w:eastAsia="仿宋_GB2312"/>
                <w:sz w:val="28"/>
              </w:rPr>
              <w:t>针对收网阶段，提供文件材料并审核通过的情况下，可对犯罪嫌疑人进行位置线信息索的识别与分析。</w:t>
            </w:r>
          </w:p>
          <w:p>
            <w:pPr>
              <w:pStyle w:val="null3"/>
              <w:jc w:val="both"/>
              <w:outlineLvl w:val="3"/>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位置信息线索</w:t>
            </w:r>
          </w:p>
          <w:p>
            <w:pPr>
              <w:pStyle w:val="null3"/>
              <w:ind w:firstLine="560"/>
              <w:jc w:val="both"/>
            </w:pPr>
            <w:r>
              <w:rPr>
                <w:rFonts w:ascii="仿宋_GB2312" w:hAnsi="仿宋_GB2312" w:cs="仿宋_GB2312" w:eastAsia="仿宋_GB2312"/>
                <w:sz w:val="28"/>
              </w:rPr>
              <w:t>对合法获取的特定风险对象历史轨迹信息进行分析挖掘，提供推测最新、常驻、生活、工作等位置信息线索。</w:t>
            </w:r>
          </w:p>
          <w:p>
            <w:pPr>
              <w:pStyle w:val="null3"/>
              <w:jc w:val="both"/>
              <w:outlineLvl w:val="3"/>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轨迹特征识别</w:t>
            </w:r>
          </w:p>
          <w:p>
            <w:pPr>
              <w:pStyle w:val="null3"/>
              <w:ind w:firstLine="480"/>
              <w:jc w:val="both"/>
            </w:pPr>
            <w:r>
              <w:rPr>
                <w:rFonts w:ascii="仿宋_GB2312" w:hAnsi="仿宋_GB2312" w:cs="仿宋_GB2312" w:eastAsia="仿宋_GB2312"/>
                <w:sz w:val="28"/>
              </w:rPr>
              <w:t>对犯罪嫌疑人历史流窜行为进行分析，推测、判断其常态化动向，便于收网时的部署。</w:t>
            </w:r>
          </w:p>
          <w:p>
            <w:pPr>
              <w:pStyle w:val="null3"/>
              <w:spacing w:before="150" w:after="150"/>
              <w:ind w:left="570"/>
              <w:jc w:val="both"/>
              <w:outlineLvl w:val="1"/>
            </w:pPr>
            <w:r>
              <w:rPr>
                <w:rFonts w:ascii="仿宋_GB2312" w:hAnsi="仿宋_GB2312" w:cs="仿宋_GB2312" w:eastAsia="仿宋_GB2312"/>
                <w:sz w:val="28"/>
                <w:b/>
              </w:rPr>
              <w:t>五、</w:t>
            </w:r>
            <w:r>
              <w:rPr>
                <w:rFonts w:ascii="仿宋_GB2312" w:hAnsi="仿宋_GB2312" w:cs="仿宋_GB2312" w:eastAsia="仿宋_GB2312"/>
                <w:sz w:val="28"/>
                <w:b/>
              </w:rPr>
              <w:t>达州市邮政数据导入及分析子系统</w:t>
            </w:r>
            <w:r>
              <w:rPr>
                <w:rFonts w:ascii="仿宋_GB2312" w:hAnsi="仿宋_GB2312" w:cs="仿宋_GB2312" w:eastAsia="仿宋_GB2312"/>
                <w:sz w:val="28"/>
                <w:b/>
              </w:rPr>
              <w:t>建设</w:t>
            </w:r>
            <w:r>
              <w:rPr>
                <w:rFonts w:ascii="仿宋_GB2312" w:hAnsi="仿宋_GB2312" w:cs="仿宋_GB2312" w:eastAsia="仿宋_GB2312"/>
                <w:sz w:val="28"/>
                <w:b/>
              </w:rPr>
              <w:t>需求</w:t>
            </w:r>
          </w:p>
          <w:p>
            <w:pPr>
              <w:pStyle w:val="null3"/>
              <w:ind w:firstLine="480"/>
              <w:jc w:val="both"/>
            </w:pPr>
            <w:r>
              <w:rPr>
                <w:rFonts w:ascii="仿宋_GB2312" w:hAnsi="仿宋_GB2312" w:cs="仿宋_GB2312" w:eastAsia="仿宋_GB2312"/>
                <w:sz w:val="28"/>
              </w:rPr>
              <w:t>提供邮政数据的一键导入功能，支持多类格式文件的一键式识别并处理，同时支持导入数据的清洗入库模版智能识别要求。导入后的数据支持列表展示、过滤等功能。</w:t>
            </w:r>
          </w:p>
          <w:p>
            <w:pPr>
              <w:pStyle w:val="null3"/>
              <w:ind w:firstLine="480"/>
              <w:jc w:val="both"/>
            </w:pPr>
            <w:r>
              <w:rPr>
                <w:rFonts w:ascii="仿宋_GB2312" w:hAnsi="仿宋_GB2312" w:cs="仿宋_GB2312" w:eastAsia="仿宋_GB2312"/>
                <w:sz w:val="28"/>
              </w:rPr>
              <w:t>数据导入：支持</w:t>
            </w:r>
            <w:r>
              <w:rPr>
                <w:rFonts w:ascii="仿宋_GB2312" w:hAnsi="仿宋_GB2312" w:cs="仿宋_GB2312" w:eastAsia="仿宋_GB2312"/>
                <w:sz w:val="28"/>
              </w:rPr>
              <w:t>excel</w:t>
            </w:r>
            <w:r>
              <w:rPr>
                <w:rFonts w:ascii="仿宋_GB2312" w:hAnsi="仿宋_GB2312" w:cs="仿宋_GB2312" w:eastAsia="仿宋_GB2312"/>
                <w:sz w:val="28"/>
              </w:rPr>
              <w:t>和</w:t>
            </w:r>
            <w:r>
              <w:rPr>
                <w:rFonts w:ascii="仿宋_GB2312" w:hAnsi="仿宋_GB2312" w:cs="仿宋_GB2312" w:eastAsia="仿宋_GB2312"/>
                <w:sz w:val="28"/>
              </w:rPr>
              <w:t>csv</w:t>
            </w:r>
            <w:r>
              <w:rPr>
                <w:rFonts w:ascii="仿宋_GB2312" w:hAnsi="仿宋_GB2312" w:cs="仿宋_GB2312" w:eastAsia="仿宋_GB2312"/>
                <w:sz w:val="28"/>
              </w:rPr>
              <w:t>多种格式文件。</w:t>
            </w:r>
          </w:p>
          <w:p>
            <w:pPr>
              <w:pStyle w:val="null3"/>
              <w:ind w:firstLine="480"/>
              <w:jc w:val="both"/>
            </w:pPr>
            <w:r>
              <w:rPr>
                <w:rFonts w:ascii="仿宋_GB2312" w:hAnsi="仿宋_GB2312" w:cs="仿宋_GB2312" w:eastAsia="仿宋_GB2312"/>
                <w:sz w:val="28"/>
              </w:rPr>
              <w:t>数据分析：支持数据过滤分析。</w:t>
            </w:r>
          </w:p>
          <w:p>
            <w:pPr>
              <w:pStyle w:val="null3"/>
              <w:spacing w:before="150" w:after="150"/>
              <w:ind w:left="570"/>
              <w:jc w:val="both"/>
              <w:outlineLvl w:val="1"/>
            </w:pPr>
            <w:r>
              <w:rPr>
                <w:rFonts w:ascii="仿宋_GB2312" w:hAnsi="仿宋_GB2312" w:cs="仿宋_GB2312" w:eastAsia="仿宋_GB2312"/>
                <w:sz w:val="28"/>
                <w:b/>
              </w:rPr>
              <w:t>六、</w:t>
            </w:r>
            <w:r>
              <w:rPr>
                <w:rFonts w:ascii="仿宋_GB2312" w:hAnsi="仿宋_GB2312" w:cs="仿宋_GB2312" w:eastAsia="仿宋_GB2312"/>
                <w:sz w:val="28"/>
                <w:b/>
              </w:rPr>
              <w:t>安全与审计</w:t>
            </w:r>
            <w:r>
              <w:rPr>
                <w:rFonts w:ascii="仿宋_GB2312" w:hAnsi="仿宋_GB2312" w:cs="仿宋_GB2312" w:eastAsia="仿宋_GB2312"/>
                <w:sz w:val="28"/>
                <w:b/>
              </w:rPr>
              <w:t>需求</w:t>
            </w:r>
          </w:p>
          <w:p>
            <w:pPr>
              <w:pStyle w:val="null3"/>
              <w:spacing w:before="150" w:after="150"/>
              <w:ind w:left="570"/>
              <w:jc w:val="both"/>
              <w:outlineLvl w:val="1"/>
            </w:pPr>
            <w:r>
              <w:rPr>
                <w:rFonts w:ascii="仿宋_GB2312" w:hAnsi="仿宋_GB2312" w:cs="仿宋_GB2312" w:eastAsia="仿宋_GB2312"/>
                <w:sz w:val="28"/>
                <w:b/>
              </w:rPr>
              <w:t>1.</w:t>
            </w:r>
            <w:r>
              <w:rPr>
                <w:rFonts w:ascii="仿宋_GB2312" w:hAnsi="仿宋_GB2312" w:cs="仿宋_GB2312" w:eastAsia="仿宋_GB2312"/>
                <w:sz w:val="28"/>
                <w:b/>
              </w:rPr>
              <w:t>日志记录</w:t>
            </w:r>
          </w:p>
          <w:p>
            <w:pPr>
              <w:pStyle w:val="null3"/>
              <w:ind w:firstLine="480"/>
              <w:jc w:val="both"/>
            </w:pPr>
            <w:r>
              <w:rPr>
                <w:rFonts w:ascii="仿宋_GB2312" w:hAnsi="仿宋_GB2312" w:cs="仿宋_GB2312" w:eastAsia="仿宋_GB2312"/>
                <w:sz w:val="28"/>
              </w:rPr>
              <w:t>系统登录日志：系统自动记录每次用户登录的详细信息，包括用户</w:t>
            </w:r>
            <w:r>
              <w:rPr>
                <w:rFonts w:ascii="仿宋_GB2312" w:hAnsi="仿宋_GB2312" w:cs="仿宋_GB2312" w:eastAsia="仿宋_GB2312"/>
                <w:sz w:val="28"/>
              </w:rPr>
              <w:t>ID</w:t>
            </w:r>
            <w:r>
              <w:rPr>
                <w:rFonts w:ascii="仿宋_GB2312" w:hAnsi="仿宋_GB2312" w:cs="仿宋_GB2312" w:eastAsia="仿宋_GB2312"/>
                <w:sz w:val="28"/>
              </w:rPr>
              <w:t>、登录时间、</w:t>
            </w:r>
            <w:r>
              <w:rPr>
                <w:rFonts w:ascii="仿宋_GB2312" w:hAnsi="仿宋_GB2312" w:cs="仿宋_GB2312" w:eastAsia="仿宋_GB2312"/>
                <w:sz w:val="28"/>
              </w:rPr>
              <w:t>IP</w:t>
            </w:r>
            <w:r>
              <w:rPr>
                <w:rFonts w:ascii="仿宋_GB2312" w:hAnsi="仿宋_GB2312" w:cs="仿宋_GB2312" w:eastAsia="仿宋_GB2312"/>
                <w:sz w:val="28"/>
              </w:rPr>
              <w:t>地址、登录状态等，确保每一次登录尝试都有据可查。</w:t>
            </w:r>
          </w:p>
          <w:p>
            <w:pPr>
              <w:pStyle w:val="null3"/>
              <w:ind w:firstLine="480"/>
              <w:jc w:val="both"/>
            </w:pPr>
            <w:r>
              <w:rPr>
                <w:rFonts w:ascii="仿宋_GB2312" w:hAnsi="仿宋_GB2312" w:cs="仿宋_GB2312" w:eastAsia="仿宋_GB2312"/>
                <w:sz w:val="28"/>
              </w:rPr>
              <w:t>操作日志：系统全面追踪并记录用户在系统内的所有关键操作，如数据增删改查、配置更改等，为操作行为的追溯和分析提供数据支持。</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日志查询</w:t>
            </w:r>
          </w:p>
          <w:p>
            <w:pPr>
              <w:pStyle w:val="null3"/>
              <w:ind w:firstLine="480"/>
              <w:jc w:val="both"/>
            </w:pPr>
            <w:r>
              <w:rPr>
                <w:rFonts w:ascii="仿宋_GB2312" w:hAnsi="仿宋_GB2312" w:cs="仿宋_GB2312" w:eastAsia="仿宋_GB2312"/>
                <w:sz w:val="28"/>
              </w:rPr>
              <w:t>提供灵活的日志查询界面或</w:t>
            </w:r>
            <w:r>
              <w:rPr>
                <w:rFonts w:ascii="仿宋_GB2312" w:hAnsi="仿宋_GB2312" w:cs="仿宋_GB2312" w:eastAsia="仿宋_GB2312"/>
                <w:sz w:val="28"/>
              </w:rPr>
              <w:t>API</w:t>
            </w:r>
            <w:r>
              <w:rPr>
                <w:rFonts w:ascii="仿宋_GB2312" w:hAnsi="仿宋_GB2312" w:cs="仿宋_GB2312" w:eastAsia="仿宋_GB2312"/>
                <w:sz w:val="28"/>
              </w:rPr>
              <w:t>，支持按时间、用户、操作类型等多种条件进行组合查询，帮助管理员快速定位并分析问题。</w:t>
            </w:r>
          </w:p>
          <w:p>
            <w:pPr>
              <w:pStyle w:val="null3"/>
              <w:spacing w:before="150" w:after="150"/>
              <w:ind w:left="720"/>
              <w:jc w:val="both"/>
              <w:outlineLvl w:val="2"/>
            </w:pPr>
            <w:r>
              <w:rPr>
                <w:rFonts w:ascii="仿宋_GB2312" w:hAnsi="仿宋_GB2312" w:cs="仿宋_GB2312" w:eastAsia="仿宋_GB2312"/>
                <w:sz w:val="28"/>
                <w:b/>
              </w:rPr>
              <w:t>3.</w:t>
            </w:r>
            <w:r>
              <w:rPr>
                <w:rFonts w:ascii="仿宋_GB2312" w:hAnsi="仿宋_GB2312" w:cs="仿宋_GB2312" w:eastAsia="仿宋_GB2312"/>
                <w:sz w:val="28"/>
                <w:b/>
              </w:rPr>
              <w:t>密码安全</w:t>
            </w:r>
          </w:p>
          <w:p>
            <w:pPr>
              <w:pStyle w:val="null3"/>
              <w:jc w:val="both"/>
              <w:outlineLvl w:val="3"/>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账号管理</w:t>
            </w:r>
          </w:p>
          <w:p>
            <w:pPr>
              <w:pStyle w:val="null3"/>
              <w:ind w:firstLine="480"/>
              <w:jc w:val="both"/>
            </w:pPr>
            <w:r>
              <w:rPr>
                <w:rFonts w:ascii="仿宋_GB2312" w:hAnsi="仿宋_GB2312" w:cs="仿宋_GB2312" w:eastAsia="仿宋_GB2312"/>
                <w:sz w:val="28"/>
              </w:rPr>
              <w:t>对使用人账号的管理，使用账号开通函件及材料审核与变更，密码的修改，以及手机号、验信验证码的双因子验证。</w:t>
            </w:r>
          </w:p>
          <w:p>
            <w:pPr>
              <w:pStyle w:val="null3"/>
              <w:jc w:val="both"/>
              <w:outlineLvl w:val="3"/>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登录方式</w:t>
            </w:r>
          </w:p>
          <w:p>
            <w:pPr>
              <w:pStyle w:val="null3"/>
              <w:ind w:firstLine="480"/>
              <w:jc w:val="both"/>
            </w:pPr>
            <w:r>
              <w:rPr>
                <w:rFonts w:ascii="仿宋_GB2312" w:hAnsi="仿宋_GB2312" w:cs="仿宋_GB2312" w:eastAsia="仿宋_GB2312"/>
                <w:sz w:val="28"/>
              </w:rPr>
              <w:t>①</w:t>
            </w:r>
            <w:r>
              <w:rPr>
                <w:rFonts w:ascii="仿宋_GB2312" w:hAnsi="仿宋_GB2312" w:cs="仿宋_GB2312" w:eastAsia="仿宋_GB2312"/>
                <w:sz w:val="28"/>
              </w:rPr>
              <w:t>系统采用了一种安全且高效的登录方式，</w:t>
            </w:r>
            <w:r>
              <w:rPr>
                <w:rFonts w:ascii="仿宋_GB2312" w:hAnsi="仿宋_GB2312" w:cs="仿宋_GB2312" w:eastAsia="仿宋_GB2312"/>
                <w:sz w:val="28"/>
              </w:rPr>
              <w:t>即</w:t>
            </w:r>
            <w:r>
              <w:rPr>
                <w:rFonts w:ascii="仿宋_GB2312" w:hAnsi="仿宋_GB2312" w:cs="仿宋_GB2312" w:eastAsia="仿宋_GB2312"/>
                <w:sz w:val="28"/>
              </w:rPr>
              <w:t>VPN</w:t>
            </w:r>
            <w:r>
              <w:rPr>
                <w:rFonts w:ascii="仿宋_GB2312" w:hAnsi="仿宋_GB2312" w:cs="仿宋_GB2312" w:eastAsia="仿宋_GB2312"/>
                <w:sz w:val="28"/>
              </w:rPr>
              <w:t>加短信验证码形式</w:t>
            </w:r>
            <w:r>
              <w:rPr>
                <w:rFonts w:ascii="仿宋_GB2312" w:hAnsi="仿宋_GB2312" w:cs="仿宋_GB2312" w:eastAsia="仿宋_GB2312"/>
                <w:sz w:val="28"/>
              </w:rPr>
              <w:t>。</w:t>
            </w:r>
            <w:r>
              <w:rPr>
                <w:rFonts w:ascii="仿宋_GB2312" w:hAnsi="仿宋_GB2312" w:cs="仿宋_GB2312" w:eastAsia="仿宋_GB2312"/>
                <w:sz w:val="28"/>
              </w:rPr>
              <w:t>这种方式不仅确保了数据传输的安全性，</w:t>
            </w:r>
            <w:r>
              <w:rPr>
                <w:rFonts w:ascii="仿宋_GB2312" w:hAnsi="仿宋_GB2312" w:cs="仿宋_GB2312" w:eastAsia="仿宋_GB2312"/>
                <w:sz w:val="28"/>
              </w:rPr>
              <w:t>还通过短信验证码增强了用户身份验证的可靠性。</w:t>
            </w:r>
          </w:p>
          <w:p>
            <w:pPr>
              <w:pStyle w:val="null3"/>
              <w:ind w:firstLine="480"/>
              <w:jc w:val="both"/>
            </w:pPr>
            <w:r>
              <w:rPr>
                <w:rFonts w:ascii="仿宋_GB2312" w:hAnsi="仿宋_GB2312" w:cs="仿宋_GB2312" w:eastAsia="仿宋_GB2312"/>
                <w:sz w:val="28"/>
              </w:rPr>
              <w:t>具体来说，</w:t>
            </w:r>
            <w:r>
              <w:rPr>
                <w:rFonts w:ascii="仿宋_GB2312" w:hAnsi="仿宋_GB2312" w:cs="仿宋_GB2312" w:eastAsia="仿宋_GB2312"/>
                <w:sz w:val="28"/>
              </w:rPr>
              <w:t>用户首先需要建立</w:t>
            </w:r>
            <w:r>
              <w:rPr>
                <w:rFonts w:ascii="仿宋_GB2312" w:hAnsi="仿宋_GB2312" w:cs="仿宋_GB2312" w:eastAsia="仿宋_GB2312"/>
                <w:sz w:val="28"/>
              </w:rPr>
              <w:t>VPN</w:t>
            </w:r>
            <w:r>
              <w:rPr>
                <w:rFonts w:ascii="仿宋_GB2312" w:hAnsi="仿宋_GB2312" w:cs="仿宋_GB2312" w:eastAsia="仿宋_GB2312"/>
                <w:sz w:val="28"/>
              </w:rPr>
              <w:t>连接，</w:t>
            </w:r>
            <w:r>
              <w:rPr>
                <w:rFonts w:ascii="仿宋_GB2312" w:hAnsi="仿宋_GB2312" w:cs="仿宋_GB2312" w:eastAsia="仿宋_GB2312"/>
                <w:sz w:val="28"/>
              </w:rPr>
              <w:t>以确保数据传输过程中的加密和安全。</w:t>
            </w:r>
            <w:r>
              <w:rPr>
                <w:rFonts w:ascii="仿宋_GB2312" w:hAnsi="仿宋_GB2312" w:cs="仿宋_GB2312" w:eastAsia="仿宋_GB2312"/>
                <w:sz w:val="28"/>
              </w:rPr>
              <w:t>随后，</w:t>
            </w:r>
            <w:r>
              <w:rPr>
                <w:rFonts w:ascii="仿宋_GB2312" w:hAnsi="仿宋_GB2312" w:cs="仿宋_GB2312" w:eastAsia="仿宋_GB2312"/>
                <w:sz w:val="28"/>
              </w:rPr>
              <w:t>系统会向用户的手机发送一条包含验证码的短信，</w:t>
            </w:r>
            <w:r>
              <w:rPr>
                <w:rFonts w:ascii="仿宋_GB2312" w:hAnsi="仿宋_GB2312" w:cs="仿宋_GB2312" w:eastAsia="仿宋_GB2312"/>
                <w:sz w:val="28"/>
              </w:rPr>
              <w:t>用户需要输入这条验证码才能完成登录过程。</w:t>
            </w:r>
          </w:p>
          <w:p>
            <w:pPr>
              <w:pStyle w:val="null3"/>
              <w:ind w:firstLine="480"/>
              <w:jc w:val="both"/>
            </w:pPr>
            <w:r>
              <w:rPr>
                <w:rFonts w:ascii="仿宋_GB2312" w:hAnsi="仿宋_GB2312" w:cs="仿宋_GB2312" w:eastAsia="仿宋_GB2312"/>
                <w:sz w:val="28"/>
              </w:rPr>
              <w:t>这种双重验证机制大大提高了系统的安全性，</w:t>
            </w:r>
            <w:r>
              <w:rPr>
                <w:rFonts w:ascii="仿宋_GB2312" w:hAnsi="仿宋_GB2312" w:cs="仿宋_GB2312" w:eastAsia="仿宋_GB2312"/>
                <w:sz w:val="28"/>
              </w:rPr>
              <w:t>有效防止了未经授权的访问和数据泄露风险，</w:t>
            </w:r>
            <w:r>
              <w:rPr>
                <w:rFonts w:ascii="仿宋_GB2312" w:hAnsi="仿宋_GB2312" w:cs="仿宋_GB2312" w:eastAsia="仿宋_GB2312"/>
                <w:sz w:val="28"/>
              </w:rPr>
              <w:t>也确保了系统在处理敏感信息时的可靠性和稳定性。</w:t>
            </w:r>
          </w:p>
          <w:p>
            <w:pPr>
              <w:pStyle w:val="null3"/>
              <w:ind w:firstLine="480"/>
              <w:jc w:val="both"/>
            </w:pPr>
            <w:r>
              <w:rPr>
                <w:rFonts w:ascii="仿宋_GB2312" w:hAnsi="仿宋_GB2312" w:cs="仿宋_GB2312" w:eastAsia="仿宋_GB2312"/>
                <w:sz w:val="28"/>
              </w:rPr>
              <w:t>②</w:t>
            </w:r>
            <w:r>
              <w:rPr>
                <w:rFonts w:ascii="仿宋_GB2312" w:hAnsi="仿宋_GB2312" w:cs="仿宋_GB2312" w:eastAsia="仿宋_GB2312"/>
                <w:sz w:val="28"/>
              </w:rPr>
              <w:t>提供公安数据证书登录的方式进行系统登录安全验证。</w:t>
            </w:r>
          </w:p>
          <w:p>
            <w:pPr>
              <w:pStyle w:val="null3"/>
              <w:ind w:firstLine="480"/>
              <w:jc w:val="both"/>
            </w:pPr>
            <w:r>
              <w:rPr>
                <w:rFonts w:ascii="仿宋_GB2312" w:hAnsi="仿宋_GB2312" w:cs="仿宋_GB2312" w:eastAsia="仿宋_GB2312"/>
                <w:sz w:val="28"/>
              </w:rPr>
              <w:t>③</w:t>
            </w:r>
            <w:r>
              <w:rPr>
                <w:rFonts w:ascii="仿宋_GB2312" w:hAnsi="仿宋_GB2312" w:cs="仿宋_GB2312" w:eastAsia="仿宋_GB2312"/>
                <w:sz w:val="28"/>
              </w:rPr>
              <w:t>密码安全</w:t>
            </w:r>
          </w:p>
          <w:p>
            <w:pPr>
              <w:pStyle w:val="null3"/>
              <w:ind w:firstLine="480"/>
              <w:jc w:val="both"/>
            </w:pPr>
            <w:r>
              <w:rPr>
                <w:rFonts w:ascii="仿宋_GB2312" w:hAnsi="仿宋_GB2312" w:cs="仿宋_GB2312" w:eastAsia="仿宋_GB2312"/>
                <w:sz w:val="28"/>
              </w:rPr>
              <w:t>使用强密码</w:t>
            </w:r>
            <w:r>
              <w:rPr>
                <w:rFonts w:ascii="仿宋_GB2312" w:hAnsi="仿宋_GB2312" w:cs="仿宋_GB2312" w:eastAsia="仿宋_GB2312"/>
                <w:sz w:val="28"/>
              </w:rPr>
              <w:t>：</w:t>
            </w:r>
            <w:r>
              <w:rPr>
                <w:rFonts w:ascii="仿宋_GB2312" w:hAnsi="仿宋_GB2312" w:cs="仿宋_GB2312" w:eastAsia="仿宋_GB2312"/>
                <w:sz w:val="28"/>
              </w:rPr>
              <w:t>密码应包含大小写字母、</w:t>
            </w:r>
            <w:r>
              <w:rPr>
                <w:rFonts w:ascii="仿宋_GB2312" w:hAnsi="仿宋_GB2312" w:cs="仿宋_GB2312" w:eastAsia="仿宋_GB2312"/>
                <w:sz w:val="28"/>
              </w:rPr>
              <w:t>数字和特殊字符的组合，</w:t>
            </w:r>
            <w:r>
              <w:rPr>
                <w:rFonts w:ascii="仿宋_GB2312" w:hAnsi="仿宋_GB2312" w:cs="仿宋_GB2312" w:eastAsia="仿宋_GB2312"/>
                <w:sz w:val="28"/>
              </w:rPr>
              <w:t>长度至少为</w:t>
            </w:r>
            <w:r>
              <w:rPr>
                <w:rFonts w:ascii="仿宋_GB2312" w:hAnsi="仿宋_GB2312" w:cs="仿宋_GB2312" w:eastAsia="仿宋_GB2312"/>
                <w:sz w:val="28"/>
              </w:rPr>
              <w:t>8</w:t>
            </w:r>
            <w:r>
              <w:rPr>
                <w:rFonts w:ascii="仿宋_GB2312" w:hAnsi="仿宋_GB2312" w:cs="仿宋_GB2312" w:eastAsia="仿宋_GB2312"/>
                <w:sz w:val="28"/>
              </w:rPr>
              <w:t>位，</w:t>
            </w:r>
            <w:r>
              <w:rPr>
                <w:rFonts w:ascii="仿宋_GB2312" w:hAnsi="仿宋_GB2312" w:cs="仿宋_GB2312" w:eastAsia="仿宋_GB2312"/>
                <w:sz w:val="28"/>
              </w:rPr>
              <w:t>避免使用常见或个人信息相关的密码。</w:t>
            </w:r>
          </w:p>
          <w:p>
            <w:pPr>
              <w:pStyle w:val="null3"/>
              <w:ind w:firstLine="480"/>
              <w:jc w:val="both"/>
            </w:pPr>
            <w:r>
              <w:rPr>
                <w:rFonts w:ascii="仿宋_GB2312" w:hAnsi="仿宋_GB2312" w:cs="仿宋_GB2312" w:eastAsia="仿宋_GB2312"/>
                <w:sz w:val="28"/>
              </w:rPr>
              <w:t>定期更换密码</w:t>
            </w:r>
            <w:r>
              <w:rPr>
                <w:rFonts w:ascii="仿宋_GB2312" w:hAnsi="仿宋_GB2312" w:cs="仿宋_GB2312" w:eastAsia="仿宋_GB2312"/>
                <w:sz w:val="28"/>
              </w:rPr>
              <w:t>：</w:t>
            </w:r>
            <w:r>
              <w:rPr>
                <w:rFonts w:ascii="仿宋_GB2312" w:hAnsi="仿宋_GB2312" w:cs="仿宋_GB2312" w:eastAsia="仿宋_GB2312"/>
                <w:sz w:val="28"/>
              </w:rPr>
              <w:t>定期更换密码降低密码被盗用的风险，自动提醒每季度或每半年更换一次。</w:t>
            </w:r>
          </w:p>
          <w:p>
            <w:pPr>
              <w:pStyle w:val="null3"/>
              <w:ind w:firstLine="480"/>
              <w:jc w:val="both"/>
            </w:pPr>
            <w:r>
              <w:rPr>
                <w:rFonts w:ascii="仿宋_GB2312" w:hAnsi="仿宋_GB2312" w:cs="仿宋_GB2312" w:eastAsia="仿宋_GB2312"/>
                <w:sz w:val="28"/>
              </w:rPr>
              <w:t>④</w:t>
            </w:r>
            <w:r>
              <w:rPr>
                <w:rFonts w:ascii="仿宋_GB2312" w:hAnsi="仿宋_GB2312" w:cs="仿宋_GB2312" w:eastAsia="仿宋_GB2312"/>
                <w:sz w:val="28"/>
              </w:rPr>
              <w:t>启用双重认证</w:t>
            </w:r>
            <w:r>
              <w:rPr>
                <w:rFonts w:ascii="仿宋_GB2312" w:hAnsi="仿宋_GB2312" w:cs="仿宋_GB2312" w:eastAsia="仿宋_GB2312"/>
                <w:sz w:val="28"/>
              </w:rPr>
              <w:t>：</w:t>
            </w:r>
          </w:p>
          <w:p>
            <w:pPr>
              <w:pStyle w:val="null3"/>
              <w:ind w:firstLine="480"/>
              <w:jc w:val="both"/>
            </w:pPr>
            <w:r>
              <w:rPr>
                <w:rFonts w:ascii="仿宋_GB2312" w:hAnsi="仿宋_GB2312" w:cs="仿宋_GB2312" w:eastAsia="仿宋_GB2312"/>
                <w:sz w:val="28"/>
              </w:rPr>
              <w:t>在输入密码后，</w:t>
            </w:r>
            <w:r>
              <w:rPr>
                <w:rFonts w:ascii="仿宋_GB2312" w:hAnsi="仿宋_GB2312" w:cs="仿宋_GB2312" w:eastAsia="仿宋_GB2312"/>
                <w:sz w:val="28"/>
              </w:rPr>
              <w:t>增加额外的身份验证步骤，</w:t>
            </w:r>
            <w:r>
              <w:rPr>
                <w:rFonts w:ascii="仿宋_GB2312" w:hAnsi="仿宋_GB2312" w:cs="仿宋_GB2312" w:eastAsia="仿宋_GB2312"/>
                <w:sz w:val="28"/>
              </w:rPr>
              <w:t>如短信验证码，</w:t>
            </w:r>
            <w:r>
              <w:rPr>
                <w:rFonts w:ascii="仿宋_GB2312" w:hAnsi="仿宋_GB2312" w:cs="仿宋_GB2312" w:eastAsia="仿宋_GB2312"/>
                <w:sz w:val="28"/>
              </w:rPr>
              <w:t>提高账户安全性。</w:t>
            </w:r>
          </w:p>
          <w:p>
            <w:pPr>
              <w:pStyle w:val="null3"/>
              <w:ind w:firstLine="480"/>
              <w:jc w:val="both"/>
            </w:pPr>
            <w:r>
              <w:rPr>
                <w:rFonts w:ascii="仿宋_GB2312" w:hAnsi="仿宋_GB2312" w:cs="仿宋_GB2312" w:eastAsia="仿宋_GB2312"/>
                <w:sz w:val="28"/>
              </w:rPr>
              <w:t>⑤</w:t>
            </w:r>
            <w:r>
              <w:rPr>
                <w:rFonts w:ascii="仿宋_GB2312" w:hAnsi="仿宋_GB2312" w:cs="仿宋_GB2312" w:eastAsia="仿宋_GB2312"/>
                <w:sz w:val="28"/>
              </w:rPr>
              <w:t>避免重复使用密码</w:t>
            </w:r>
            <w:r>
              <w:rPr>
                <w:rFonts w:ascii="仿宋_GB2312" w:hAnsi="仿宋_GB2312" w:cs="仿宋_GB2312" w:eastAsia="仿宋_GB2312"/>
                <w:sz w:val="28"/>
              </w:rPr>
              <w:t>：</w:t>
            </w:r>
          </w:p>
          <w:p>
            <w:pPr>
              <w:pStyle w:val="null3"/>
              <w:ind w:firstLine="480"/>
              <w:jc w:val="both"/>
            </w:pPr>
            <w:r>
              <w:rPr>
                <w:rFonts w:ascii="仿宋_GB2312" w:hAnsi="仿宋_GB2312" w:cs="仿宋_GB2312" w:eastAsia="仿宋_GB2312"/>
                <w:sz w:val="28"/>
              </w:rPr>
              <w:t>每个账户需设立独立的密码，</w:t>
            </w:r>
            <w:r>
              <w:rPr>
                <w:rFonts w:ascii="仿宋_GB2312" w:hAnsi="仿宋_GB2312" w:cs="仿宋_GB2312" w:eastAsia="仿宋_GB2312"/>
                <w:sz w:val="28"/>
              </w:rPr>
              <w:t>避免在多个账户上使用相同的密码，</w:t>
            </w:r>
            <w:r>
              <w:rPr>
                <w:rFonts w:ascii="仿宋_GB2312" w:hAnsi="仿宋_GB2312" w:cs="仿宋_GB2312" w:eastAsia="仿宋_GB2312"/>
                <w:sz w:val="28"/>
              </w:rPr>
              <w:t>以防止一</w:t>
            </w:r>
            <w:r>
              <w:rPr>
                <w:rFonts w:ascii="仿宋_GB2312" w:hAnsi="仿宋_GB2312" w:cs="仿宋_GB2312" w:eastAsia="仿宋_GB2312"/>
                <w:sz w:val="28"/>
              </w:rPr>
              <w:t>旦一个账户密码泄露，</w:t>
            </w:r>
            <w:r>
              <w:rPr>
                <w:rFonts w:ascii="仿宋_GB2312" w:hAnsi="仿宋_GB2312" w:cs="仿宋_GB2312" w:eastAsia="仿宋_GB2312"/>
                <w:sz w:val="28"/>
              </w:rPr>
              <w:t>其他账户也面临风险。</w:t>
            </w:r>
          </w:p>
          <w:p>
            <w:pPr>
              <w:pStyle w:val="null3"/>
              <w:jc w:val="both"/>
              <w:outlineLvl w:val="3"/>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VPN安全管理</w:t>
            </w:r>
          </w:p>
          <w:p>
            <w:pPr>
              <w:pStyle w:val="null3"/>
              <w:ind w:firstLine="480"/>
              <w:jc w:val="both"/>
            </w:pPr>
            <w:r>
              <w:rPr>
                <w:rFonts w:ascii="仿宋_GB2312" w:hAnsi="仿宋_GB2312" w:cs="仿宋_GB2312" w:eastAsia="仿宋_GB2312"/>
                <w:sz w:val="28"/>
              </w:rPr>
              <w:t>VPN是虚拟专用网络的简称，可为各地的用户提供网络连接通道。该技术通常运用于加密，可以让资料传输变得更加安全私密。</w:t>
            </w:r>
          </w:p>
          <w:p>
            <w:pPr>
              <w:pStyle w:val="null3"/>
              <w:ind w:firstLine="480"/>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达州市公安局</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1、合同约定支付条件，达到付款条件起10日内，支付合同总金额的90.00%</w:t>
            </w:r>
          </w:p>
          <w:p>
            <w:pPr>
              <w:pStyle w:val="null3"/>
              <w:jc w:val="left"/>
            </w:pPr>
            <w:r>
              <w:rPr>
                <w:rFonts w:ascii="仿宋_GB2312" w:hAnsi="仿宋_GB2312" w:cs="仿宋_GB2312" w:eastAsia="仿宋_GB2312"/>
              </w:rPr>
              <w:t>2、合同约定支付条件，达到付款条件起10日内，支付合同总金额的10.00%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严格按照磋商文件要求、供应商的响应文件及政府采购相关法律法规、采购文件以及《财政部关于进一步加强政府采购需求和履约验收管理的指导意见》(〔2016〕205号)的要求进行验收。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质保期一年，符合国家及相关行业验收规范、标准要求，质量达到合格标准及满足响应文件技术标准和要求。</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 2. 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1）供应商是法人的可提供近两年（2022年或2023年）任一年度经审计的财务报告（包含审计报告和审计报告中所涉及的财务报表和报表附注），或者提供近两年（2022年或2023年）任一年度供应商完整的全套财务报表（应当包括资产负债表、利润表、现金流量表、所有者权益变动表），执行《小企业会计准则》的可不提供所有者权益变动表）。也可提供截至投标（响应）文件提交截止日一年内基本开户银行出具的资信证明。（2）其他组织或自然人可提供截至投标（响应）文件提交截止日一年内银行出具的资信证明，或者提供《投标（响应）函》。（3）供应商可提供财政部门认可的政府采购专业担保机构出具的投标担保函。（4）供应商注册时间截至投标（响应）文件提交截止日不足一年的，可提供在工商管理部门备案的公司章程。（5）供应商也可提供健全的财务管理制度。供应商需在项目电子化交易系统中按要求上传相应证明文件（扫描件）并进行电子签章。</w:t>
            </w:r>
          </w:p>
        </w:tc>
        <w:tc>
          <w:tcPr>
            <w:tcW w:type="dxa" w:w="1910"/>
          </w:tcPr>
          <w:p>
            <w:pPr>
              <w:pStyle w:val="null3"/>
              <w:jc w:val="left"/>
            </w:pPr>
            <w:r>
              <w:rPr>
                <w:rFonts w:ascii="仿宋_GB2312" w:hAnsi="仿宋_GB2312" w:cs="仿宋_GB2312" w:eastAsia="仿宋_GB2312"/>
              </w:rPr>
              <w:t>具有健全财务会计制度的证明材料.docx,供应商应提交的相关证明材料,投标（响应）函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 技术、服务及其他要求中带“★”的实质性要求</w:t>
            </w:r>
          </w:p>
        </w:tc>
        <w:tc>
          <w:tcPr>
            <w:tcW w:type="dxa" w:w="3322"/>
          </w:tcPr>
          <w:p>
            <w:pPr>
              <w:pStyle w:val="null3"/>
              <w:jc w:val="left"/>
            </w:pPr>
            <w:r>
              <w:rPr>
                <w:rFonts w:ascii="仿宋_GB2312" w:hAnsi="仿宋_GB2312" w:cs="仿宋_GB2312" w:eastAsia="仿宋_GB2312"/>
              </w:rPr>
              <w:t>供应商须针对谈判文件的要求进行响应或提供相关证明材料</w:t>
            </w:r>
          </w:p>
        </w:tc>
        <w:tc>
          <w:tcPr>
            <w:tcW w:type="dxa" w:w="1910"/>
          </w:tcPr>
          <w:p>
            <w:pPr>
              <w:pStyle w:val="null3"/>
              <w:jc w:val="left"/>
            </w:pPr>
            <w:r>
              <w:rPr>
                <w:rFonts w:ascii="仿宋_GB2312" w:hAnsi="仿宋_GB2312" w:cs="仿宋_GB2312" w:eastAsia="仿宋_GB2312"/>
              </w:rPr>
              <w:t>响应文件封面,产品技术参数响应表,供应商应提交的相关证明材料,服务应答表,投标（响应）函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报价</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