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版本号：N511501202500014820250512001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宜宾市中医药发展规划（2025-2030）编制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N5115012025000148</w:t>
      </w:r>
    </w:p>
    <w:p>
      <w:pPr>
        <w:pStyle w:val="null3"/>
        <w:jc w:val="center"/>
        <w:outlineLvl w:val="2"/>
      </w:pPr>
      <w:r>
        <w:rPr>
          <w:rFonts w:ascii="仿宋_GB2312" w:hAnsi="仿宋_GB2312" w:cs="仿宋_GB2312" w:eastAsia="仿宋_GB2312"/>
          <w:sz w:val="28"/>
          <w:b/>
        </w:rPr>
        <w:t>宜宾市中医药管理局</w:t>
      </w:r>
    </w:p>
    <w:p>
      <w:pPr>
        <w:pStyle w:val="null3"/>
        <w:jc w:val="center"/>
        <w:outlineLvl w:val="2"/>
      </w:pPr>
      <w:r>
        <w:rPr>
          <w:rFonts w:ascii="仿宋_GB2312" w:hAnsi="仿宋_GB2312" w:cs="仿宋_GB2312" w:eastAsia="仿宋_GB2312"/>
          <w:sz w:val="28"/>
          <w:b/>
        </w:rPr>
        <w:t>四川乾新招投标代理有限公司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四川乾新招投标代理有限公司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宜宾市中医药管理局</w:t>
      </w:r>
      <w:r>
        <w:rPr>
          <w:rFonts w:ascii="仿宋_GB2312" w:hAnsi="仿宋_GB2312" w:cs="仿宋_GB2312" w:eastAsia="仿宋_GB2312"/>
        </w:rPr>
        <w:t xml:space="preserve"> 委托，拟对 </w:t>
      </w:r>
      <w:r>
        <w:rPr>
          <w:rFonts w:ascii="仿宋_GB2312" w:hAnsi="仿宋_GB2312" w:cs="仿宋_GB2312" w:eastAsia="仿宋_GB2312"/>
        </w:rPr>
        <w:t>宜宾市中医药发展规划（2025-2030）编制</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宜宾市市本级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N5115012025000148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宜宾市中医药发展规划（2025-2030）编制</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立足宜宾中医药实际和特点，总结梳理宜宾市中医药发展的现实基础和存在问题，围绕中医药事业、产业、文化等方面，规划2025-2030年宜宾中医药的发展方向、发展目标、主要任务、发展重点、实施项目等，编制完成《宜宾市中医药发展规划（2025-2030）》。符合国家、省相关规划，满足宜宾中医药当前发展要求，确保编制成果切合实际，为当地中医药发展提供支撑。</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宜宾市中医药管理局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宜宾市叙州区龙湾路集中办公区（南广路197号）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0831-8201182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四川乾新招投标代理有限公司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宜宾市长江大道东段江源半岛9栋(商铺)2层6号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李无疆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0831-2200151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根据《政府采购代理机构管理暂行办法》(财库〔2018〕2号)第十五条、四川省财政厅关于印发《四川省政府采购营商环境指标提升专项行动工作方案》的通知(川财采〔2020〕74号)规定以及招标代理委托协议约定，本项目招标代理服务费由中标供应商支付，供应商的报价应当包含招标代理服务费。2.按照成本支出加合理利润的原则确定，本项目定额计取招标代理服务费人民币4500元。 3.账户信息:账户名:四川乾新招投标代理有限公司宜宾分公司 开 户 行：中国工商银行股份有限公司宜宾西区支行 银行账号：2314 0118 0900 0055 062。特别提醒：此账号为本项目收取招标代理服务费的唯一账号，请供应商认真核对，谨防假冒，避免错误。</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宜宾市中医药管理局</w:t>
      </w:r>
      <w:r>
        <w:rPr>
          <w:rFonts w:ascii="仿宋_GB2312" w:hAnsi="仿宋_GB2312" w:cs="仿宋_GB2312" w:eastAsia="仿宋_GB2312"/>
        </w:rPr>
        <w:t xml:space="preserve"> 和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宜宾市中医药管理局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四川乾新招投标代理有限公司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政府采购合同签订生效后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成交供应商完成《宜宾市中医药发展规划（2025-2030）编制》初稿</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40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最终成果验收通过后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其他未尽事宜应严格按照《财政部关于进一步加强政府采购需求和履约验收管理的指导意见》(财库〔2016〕205号)《政府采购需求管理办法》(财库〔2021〕22号)及磋商文件相关规定组织验收。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包括采购内容、具体技术服务要求、商务条件、后续服务等涉及本项目服务质量的所有内容。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(2)如验收合格，双方签署验收报告；(3)项目验收结果合格的，供应商凭《验收报告》办理相关手续；验收不合格且拒不整改的，将不予支付采购资金，还可能上报本项目同级财政部门按照政府采购法律法规等有关规定给予行政处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磋商文件的质量要求和技术指标(包括每一项技术和商务要求的履约情况)、供应商的响应文件及承诺与本合同约定标准进行验收；采购双方如对质量要求和技术指标的约定标准有相互抵触或异议的事项，由采购人在国家有关规定、采购文件、响应文件及承诺与采购合同约定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其他未尽事宜应严格按照《财政部关于进一步加强政府采购需求和履约验收管理的指导意见》(财库〔2016〕205号)《政府采购需求管理办法》(财库〔2021〕22号)及磋商文件相关规定组织验收。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宜宾市中医药管理局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联系电话：0831-8201182</w:t>
      </w:r>
    </w:p>
    <w:p>
      <w:pPr>
        <w:pStyle w:val="null3"/>
        <w:jc w:val="left"/>
      </w:pPr>
      <w:r>
        <w:rPr>
          <w:rFonts w:ascii="仿宋_GB2312" w:hAnsi="仿宋_GB2312" w:cs="仿宋_GB2312" w:eastAsia="仿宋_GB2312"/>
        </w:rPr>
        <w:t>地址：宜宾市叙州区龙湾路集中办公区（南广路197号）</w:t>
      </w:r>
    </w:p>
    <w:p>
      <w:pPr>
        <w:pStyle w:val="null3"/>
        <w:jc w:val="left"/>
      </w:pPr>
      <w:r>
        <w:rPr>
          <w:rFonts w:ascii="仿宋_GB2312" w:hAnsi="仿宋_GB2312" w:cs="仿宋_GB2312" w:eastAsia="仿宋_GB2312"/>
        </w:rPr>
        <w:t>邮编：644000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联系电话：0831-2200151</w:t>
      </w:r>
    </w:p>
    <w:p>
      <w:pPr>
        <w:pStyle w:val="null3"/>
        <w:jc w:val="left"/>
      </w:pPr>
      <w:r>
        <w:rPr>
          <w:rFonts w:ascii="仿宋_GB2312" w:hAnsi="仿宋_GB2312" w:cs="仿宋_GB2312" w:eastAsia="仿宋_GB2312"/>
        </w:rPr>
        <w:t>地址：宜宾市长江大道东段江源半岛9栋(商铺)2层6号</w:t>
      </w:r>
    </w:p>
    <w:p>
      <w:pPr>
        <w:pStyle w:val="null3"/>
        <w:jc w:val="left"/>
      </w:pPr>
      <w:r>
        <w:rPr>
          <w:rFonts w:ascii="仿宋_GB2312" w:hAnsi="仿宋_GB2312" w:cs="仿宋_GB2312" w:eastAsia="仿宋_GB2312"/>
        </w:rPr>
        <w:t>邮编：644000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C23080100 行业规划服务</w:t>
            </w:r>
          </w:p>
        </w:tc>
        <w:tc>
          <w:tcPr>
            <w:tcW w:type="dxa" w:w="821"/>
          </w:tcPr>
          <w:p>
            <w:pPr>
              <w:pStyle w:val="null3"/>
              <w:jc w:val="left"/>
            </w:pPr>
            <w:r>
              <w:rPr>
                <w:rFonts w:ascii="仿宋_GB2312" w:hAnsi="仿宋_GB2312" w:cs="仿宋_GB2312" w:eastAsia="仿宋_GB2312"/>
              </w:rPr>
              <w:t>宜宾市中医药发展规划（2025-2030）编制</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宜宾市中医药发展规划（2025-2030）编制</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标的名称：宜宾市中医药发展规划（2025-2030）编制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spacing w:after="105"/>
              <w:ind w:firstLine="480"/>
              <w:jc w:val="left"/>
            </w:pPr>
            <w:r>
              <w:rPr>
                <w:rFonts w:ascii="仿宋_GB2312" w:hAnsi="仿宋_GB2312" w:cs="仿宋_GB2312" w:eastAsia="仿宋_GB2312"/>
                <w:sz w:val="24"/>
                <w:color w:val="000000"/>
              </w:rPr>
              <w:t>一、主要内容</w:t>
            </w:r>
          </w:p>
          <w:p>
            <w:pPr>
              <w:pStyle w:val="null3"/>
              <w:spacing w:after="105"/>
              <w:ind w:firstLine="480"/>
              <w:jc w:val="left"/>
            </w:pPr>
            <w:r>
              <w:rPr>
                <w:rFonts w:ascii="仿宋_GB2312" w:hAnsi="仿宋_GB2312" w:cs="仿宋_GB2312" w:eastAsia="仿宋_GB2312"/>
                <w:sz w:val="24"/>
                <w:color w:val="000000"/>
              </w:rPr>
              <w:t>（一）前期调查：深入全市各县（区）对中医药作全面调查。</w:t>
            </w:r>
          </w:p>
          <w:p>
            <w:pPr>
              <w:pStyle w:val="null3"/>
              <w:spacing w:after="105"/>
              <w:ind w:firstLine="480"/>
              <w:jc w:val="left"/>
            </w:pPr>
            <w:r>
              <w:rPr>
                <w:rFonts w:ascii="仿宋_GB2312" w:hAnsi="仿宋_GB2312" w:cs="仿宋_GB2312" w:eastAsia="仿宋_GB2312"/>
                <w:sz w:val="24"/>
                <w:color w:val="000000"/>
              </w:rPr>
              <w:t>（二）外出考察：通过外出考察等形式，全面了解和把握国际国内中医药发展形势、发展趋势，为宜宾中医药提出科学性、针对性的发展方向和发展路径。</w:t>
            </w:r>
          </w:p>
          <w:p>
            <w:pPr>
              <w:pStyle w:val="null3"/>
              <w:spacing w:after="105"/>
              <w:ind w:firstLine="480"/>
              <w:jc w:val="left"/>
            </w:pPr>
            <w:r>
              <w:rPr>
                <w:rFonts w:ascii="仿宋_GB2312" w:hAnsi="仿宋_GB2312" w:cs="仿宋_GB2312" w:eastAsia="仿宋_GB2312"/>
                <w:sz w:val="24"/>
                <w:color w:val="000000"/>
              </w:rPr>
              <w:t>（三）资料收集：全面收集、整理相关素材，为《宜宾市中医药发展规划</w:t>
            </w:r>
            <w:r>
              <w:rPr>
                <w:rFonts w:ascii="仿宋_GB2312" w:hAnsi="仿宋_GB2312" w:cs="仿宋_GB2312" w:eastAsia="仿宋_GB2312"/>
                <w:sz w:val="24"/>
                <w:color w:val="000000"/>
              </w:rPr>
              <w:t>(2025-2030)》编制工作奠定基础。</w:t>
            </w:r>
          </w:p>
          <w:p>
            <w:pPr>
              <w:pStyle w:val="null3"/>
              <w:spacing w:after="105"/>
              <w:ind w:firstLine="480"/>
              <w:jc w:val="left"/>
            </w:pPr>
            <w:r>
              <w:rPr>
                <w:rFonts w:ascii="仿宋_GB2312" w:hAnsi="仿宋_GB2312" w:cs="仿宋_GB2312" w:eastAsia="仿宋_GB2312"/>
                <w:sz w:val="24"/>
                <w:color w:val="000000"/>
              </w:rPr>
              <w:t>（四）报告编制：开展《宜宾市中医药发展规划</w:t>
            </w:r>
            <w:r>
              <w:rPr>
                <w:rFonts w:ascii="仿宋_GB2312" w:hAnsi="仿宋_GB2312" w:cs="仿宋_GB2312" w:eastAsia="仿宋_GB2312"/>
                <w:sz w:val="24"/>
                <w:color w:val="000000"/>
              </w:rPr>
              <w:t>(2025-2030)》编制工作。在全面调查、系统分析的基础上进行具体编制。形成初稿后进行讨论，在修订完善后广泛征求意见。</w:t>
            </w:r>
          </w:p>
          <w:p>
            <w:pPr>
              <w:pStyle w:val="null3"/>
              <w:spacing w:after="105"/>
              <w:ind w:firstLine="480"/>
              <w:jc w:val="left"/>
            </w:pPr>
            <w:r>
              <w:rPr>
                <w:rFonts w:ascii="仿宋_GB2312" w:hAnsi="仿宋_GB2312" w:cs="仿宋_GB2312" w:eastAsia="仿宋_GB2312"/>
                <w:sz w:val="24"/>
                <w:color w:val="000000"/>
              </w:rPr>
              <w:t>（五）规划评审：配合采购人组织专家对《宜宾市中医药发展规划</w:t>
            </w:r>
            <w:r>
              <w:rPr>
                <w:rFonts w:ascii="仿宋_GB2312" w:hAnsi="仿宋_GB2312" w:cs="仿宋_GB2312" w:eastAsia="仿宋_GB2312"/>
                <w:sz w:val="24"/>
                <w:color w:val="000000"/>
              </w:rPr>
              <w:t>(2025-2030))》（评审稿）进行评审，并按相关程序审查审定。在评审、审查过程中，供应商须按审查意见进行修改，直至通过有关程序审定。</w:t>
            </w:r>
          </w:p>
          <w:p>
            <w:pPr>
              <w:pStyle w:val="null3"/>
              <w:spacing w:after="105"/>
              <w:ind w:firstLine="480"/>
              <w:jc w:val="left"/>
            </w:pPr>
            <w:r>
              <w:rPr>
                <w:rFonts w:ascii="仿宋_GB2312" w:hAnsi="仿宋_GB2312" w:cs="仿宋_GB2312" w:eastAsia="仿宋_GB2312"/>
                <w:sz w:val="24"/>
                <w:color w:val="000000"/>
              </w:rPr>
              <w:t>（六）《宜宾市中医药发展规划</w:t>
            </w:r>
            <w:r>
              <w:rPr>
                <w:rFonts w:ascii="仿宋_GB2312" w:hAnsi="仿宋_GB2312" w:cs="仿宋_GB2312" w:eastAsia="仿宋_GB2312"/>
                <w:sz w:val="24"/>
                <w:color w:val="000000"/>
              </w:rPr>
              <w:t>(2025-2030)》方案文本、规划图纸和附表等应符合国家颁布的现行技术标准和有关规范要求。</w:t>
            </w:r>
          </w:p>
          <w:p>
            <w:pPr>
              <w:pStyle w:val="null3"/>
              <w:spacing w:after="105"/>
              <w:ind w:firstLine="480"/>
              <w:jc w:val="left"/>
            </w:pPr>
            <w:r>
              <w:rPr>
                <w:rFonts w:ascii="仿宋_GB2312" w:hAnsi="仿宋_GB2312" w:cs="仿宋_GB2312" w:eastAsia="仿宋_GB2312"/>
                <w:sz w:val="24"/>
                <w:color w:val="000000"/>
              </w:rPr>
              <w:t>二、实施阶段</w:t>
            </w:r>
          </w:p>
          <w:p>
            <w:pPr>
              <w:pStyle w:val="null3"/>
              <w:spacing w:after="105"/>
              <w:jc w:val="left"/>
            </w:pPr>
            <w:r>
              <w:rPr>
                <w:rFonts w:ascii="仿宋_GB2312" w:hAnsi="仿宋_GB2312" w:cs="仿宋_GB2312" w:eastAsia="仿宋_GB2312"/>
                <w:sz w:val="24"/>
                <w:color w:val="000000"/>
              </w:rPr>
              <w:t>（一）第一阶段：现场踏勘及项目讨论阶段</w:t>
            </w:r>
          </w:p>
          <w:p>
            <w:pPr>
              <w:pStyle w:val="null3"/>
              <w:spacing w:after="105"/>
              <w:ind w:firstLine="480"/>
              <w:jc w:val="left"/>
            </w:pPr>
            <w:r>
              <w:rPr>
                <w:rFonts w:ascii="仿宋_GB2312" w:hAnsi="仿宋_GB2312" w:cs="仿宋_GB2312" w:eastAsia="仿宋_GB2312"/>
                <w:sz w:val="24"/>
                <w:color w:val="000000"/>
              </w:rPr>
              <w:t>1.针对项目背景和项目特色，对项目现场进行详细走访，了解掌握现场的中医、中药、中医药、医保、旅游、养老、智能化等方面的技术资料和参数；了解采购人和上级相关主管部门对项目规划的初步规划和要求，就规划的总体构想和规划框架进行充分的交流沟通。</w:t>
            </w:r>
          </w:p>
          <w:p>
            <w:pPr>
              <w:pStyle w:val="null3"/>
              <w:spacing w:after="105"/>
              <w:jc w:val="left"/>
            </w:pPr>
            <w:r>
              <w:rPr>
                <w:rFonts w:ascii="仿宋_GB2312" w:hAnsi="仿宋_GB2312" w:cs="仿宋_GB2312" w:eastAsia="仿宋_GB2312"/>
                <w:sz w:val="24"/>
                <w:color w:val="000000"/>
              </w:rPr>
              <w:t>一级指标：中医药事业。</w:t>
            </w:r>
          </w:p>
          <w:p>
            <w:pPr>
              <w:pStyle w:val="null3"/>
              <w:spacing w:after="105"/>
              <w:jc w:val="left"/>
            </w:pPr>
            <w:r>
              <w:rPr>
                <w:rFonts w:ascii="仿宋_GB2312" w:hAnsi="仿宋_GB2312" w:cs="仿宋_GB2312" w:eastAsia="仿宋_GB2312"/>
                <w:sz w:val="24"/>
                <w:color w:val="000000"/>
              </w:rPr>
              <w:t>二级指标：医疗机构</w:t>
            </w:r>
            <w:r>
              <w:rPr>
                <w:rFonts w:ascii="仿宋_GB2312" w:hAnsi="仿宋_GB2312" w:cs="仿宋_GB2312" w:eastAsia="仿宋_GB2312"/>
                <w:sz w:val="24"/>
                <w:color w:val="000000"/>
              </w:rPr>
              <w:t>[中医医院、乡镇卫生院（社区卫生服务中心）、村卫生站（社区卫生服务站）]、健康管理机构、康复医疗机构；中医药养老；信息建设。</w:t>
            </w:r>
          </w:p>
          <w:p>
            <w:pPr>
              <w:pStyle w:val="null3"/>
              <w:spacing w:after="105"/>
              <w:ind w:firstLine="480"/>
              <w:jc w:val="left"/>
            </w:pPr>
            <w:r>
              <w:rPr>
                <w:rFonts w:ascii="仿宋_GB2312" w:hAnsi="仿宋_GB2312" w:cs="仿宋_GB2312" w:eastAsia="仿宋_GB2312"/>
                <w:sz w:val="24"/>
                <w:color w:val="000000"/>
              </w:rPr>
              <w:t>具体内容：（</w:t>
            </w:r>
            <w:r>
              <w:rPr>
                <w:rFonts w:ascii="仿宋_GB2312" w:hAnsi="仿宋_GB2312" w:cs="仿宋_GB2312" w:eastAsia="仿宋_GB2312"/>
                <w:sz w:val="24"/>
                <w:color w:val="000000"/>
              </w:rPr>
              <w:t>1）基础设施：医院占地面积、医院建筑面积、医护床比、实际开放床位数、中药房占药房总数比例。（2）人才队伍：卫技总人数、医院初、中、高级职称比例、国医大师、院士、国家/省级/市级名老中医等中医专家人数、全国老中医药专家学术经验继承人、中医类别执业（助理）医师占比、中药师（士）占比、医护比、每百张床位中医医师数。（3）学科建设:国家级/省级/市级中医疫病防治基地或紧急医学救援基地、国家级/省级中医临床重点专科数、开展的中医医疗技术项目数占比、医院推广应用的名老中医临床诊疗指南或方案数量。（4）中医药特色服务：门诊中药饮片使用比例、住院中药饮片使用比例、门诊散装中药饮片和小包装中药饮片处方比例、门诊患者中医非药物疗法比例、出院患者使用中医非药物疗法比例。（5）医疗质量：住院患者中医优势病种覆盖率、住院手术患者围手术期中医治疗比例。（6）科研成果：年中医药临床案例数、年取得临床相关的国家专利数、年承担市级及以上的中医药课题项目数、上一年度全院发表中文（英文）科研论文数量、每百名卫生技术人员中医药科研项目经费。(7)人才培养：承担各级师承指导老师人数、参加各级师承教育人数、中医住院医师规范化培训合格率。（8）业务收入：中医医疗服务项目占总收入的比例；中药收入占医疗收入的比例、中成药与中药饮片收入占门急诊药品收入比例、中成药与中药饮片收入占住院药品收入比例（9）满意度：患者满意度、医务人员满意度。（10）机构养老；社区养老；居家养老。（11）中医医院智能化。</w:t>
            </w:r>
          </w:p>
          <w:p>
            <w:pPr>
              <w:pStyle w:val="null3"/>
              <w:spacing w:after="105"/>
              <w:jc w:val="left"/>
            </w:pPr>
            <w:r>
              <w:rPr>
                <w:rFonts w:ascii="仿宋_GB2312" w:hAnsi="仿宋_GB2312" w:cs="仿宋_GB2312" w:eastAsia="仿宋_GB2312"/>
                <w:sz w:val="24"/>
                <w:color w:val="000000"/>
              </w:rPr>
              <w:t>一级指标：中医药产业。</w:t>
            </w:r>
          </w:p>
          <w:p>
            <w:pPr>
              <w:pStyle w:val="null3"/>
              <w:spacing w:after="105"/>
              <w:jc w:val="left"/>
            </w:pPr>
            <w:r>
              <w:rPr>
                <w:rFonts w:ascii="仿宋_GB2312" w:hAnsi="仿宋_GB2312" w:cs="仿宋_GB2312" w:eastAsia="仿宋_GB2312"/>
                <w:sz w:val="24"/>
                <w:color w:val="000000"/>
              </w:rPr>
              <w:t>二级指标：第一产业、第二产业、第三产业。</w:t>
            </w:r>
          </w:p>
          <w:p>
            <w:pPr>
              <w:pStyle w:val="null3"/>
              <w:spacing w:after="105"/>
              <w:ind w:firstLine="480"/>
              <w:jc w:val="left"/>
            </w:pPr>
            <w:r>
              <w:rPr>
                <w:rFonts w:ascii="仿宋_GB2312" w:hAnsi="仿宋_GB2312" w:cs="仿宋_GB2312" w:eastAsia="仿宋_GB2312"/>
                <w:sz w:val="24"/>
                <w:color w:val="000000"/>
              </w:rPr>
              <w:t>具体内容：中药草种植资源；种植类型；种植面积；种植基地；中医药生产；中医药仓储；中医药商贸物流；中医药旅游；中医药品牌；大健康产品研发；中医药制剂；科研创新；区域合作交流。</w:t>
            </w:r>
          </w:p>
          <w:p>
            <w:pPr>
              <w:pStyle w:val="null3"/>
              <w:spacing w:after="105"/>
              <w:jc w:val="left"/>
            </w:pPr>
            <w:r>
              <w:rPr>
                <w:rFonts w:ascii="仿宋_GB2312" w:hAnsi="仿宋_GB2312" w:cs="仿宋_GB2312" w:eastAsia="仿宋_GB2312"/>
                <w:sz w:val="24"/>
                <w:color w:val="000000"/>
              </w:rPr>
              <w:t>一级指标：中医药文化。</w:t>
            </w:r>
          </w:p>
          <w:p>
            <w:pPr>
              <w:pStyle w:val="null3"/>
              <w:spacing w:after="105"/>
              <w:jc w:val="left"/>
            </w:pPr>
            <w:r>
              <w:rPr>
                <w:rFonts w:ascii="仿宋_GB2312" w:hAnsi="仿宋_GB2312" w:cs="仿宋_GB2312" w:eastAsia="仿宋_GB2312"/>
                <w:sz w:val="24"/>
                <w:color w:val="000000"/>
              </w:rPr>
              <w:t>具体内容：中医药文化产品；中医药文化传播。</w:t>
            </w:r>
          </w:p>
          <w:p>
            <w:pPr>
              <w:pStyle w:val="null3"/>
              <w:spacing w:after="105"/>
              <w:jc w:val="left"/>
            </w:pPr>
            <w:r>
              <w:rPr>
                <w:rFonts w:ascii="仿宋_GB2312" w:hAnsi="仿宋_GB2312" w:cs="仿宋_GB2312" w:eastAsia="仿宋_GB2312"/>
                <w:sz w:val="24"/>
                <w:color w:val="000000"/>
              </w:rPr>
              <w:t>一级指标：医保。</w:t>
            </w:r>
          </w:p>
          <w:p>
            <w:pPr>
              <w:pStyle w:val="null3"/>
              <w:spacing w:after="105"/>
              <w:ind w:firstLine="480"/>
              <w:jc w:val="left"/>
            </w:pPr>
            <w:r>
              <w:rPr>
                <w:rFonts w:ascii="仿宋_GB2312" w:hAnsi="仿宋_GB2312" w:cs="仿宋_GB2312" w:eastAsia="仿宋_GB2312"/>
                <w:sz w:val="24"/>
                <w:color w:val="000000"/>
              </w:rPr>
              <w:t>具体内容：商保占比；社保占比；人均</w:t>
            </w:r>
            <w:r>
              <w:rPr>
                <w:rFonts w:ascii="仿宋_GB2312" w:hAnsi="仿宋_GB2312" w:cs="仿宋_GB2312" w:eastAsia="仿宋_GB2312"/>
                <w:sz w:val="24"/>
                <w:color w:val="000000"/>
              </w:rPr>
              <w:t>DRG基金支出效率(职工、居民)；DRG基金支付占住院基金支付的比例；DRG基金支付占医保基金总支付的比例；DRG基金结余率；DRG病种入组率(核心病种、综合病种)；病案首页填写完整率、准确率；医保结算清单填写完整率、准确率；本地参保患者出院人次占总出院人次比例。</w:t>
            </w:r>
          </w:p>
          <w:p>
            <w:pPr>
              <w:pStyle w:val="null3"/>
              <w:spacing w:after="105"/>
              <w:jc w:val="left"/>
            </w:pPr>
            <w:r>
              <w:rPr>
                <w:rFonts w:ascii="仿宋_GB2312" w:hAnsi="仿宋_GB2312" w:cs="仿宋_GB2312" w:eastAsia="仿宋_GB2312"/>
                <w:sz w:val="24"/>
                <w:color w:val="000000"/>
              </w:rPr>
              <w:t>（二）第二阶段：中医药发展规划方案阶段</w:t>
            </w:r>
          </w:p>
          <w:p>
            <w:pPr>
              <w:pStyle w:val="null3"/>
              <w:spacing w:after="105"/>
              <w:ind w:firstLine="480"/>
              <w:jc w:val="left"/>
            </w:pPr>
            <w:r>
              <w:rPr>
                <w:rFonts w:ascii="仿宋_GB2312" w:hAnsi="仿宋_GB2312" w:cs="仿宋_GB2312" w:eastAsia="仿宋_GB2312"/>
                <w:sz w:val="24"/>
                <w:color w:val="000000"/>
              </w:rPr>
              <w:t>1.中医药服务体系：探索各级各类中医医院建设，做强龙头中医医院，做实基层中医药服务网络等；规划全市中医医疗机构布局，谋划一批重点项目。</w:t>
            </w:r>
          </w:p>
          <w:p>
            <w:pPr>
              <w:pStyle w:val="null3"/>
              <w:spacing w:after="105"/>
              <w:ind w:firstLine="480"/>
              <w:jc w:val="left"/>
            </w:pPr>
            <w:r>
              <w:rPr>
                <w:rFonts w:ascii="仿宋_GB2312" w:hAnsi="仿宋_GB2312" w:cs="仿宋_GB2312" w:eastAsia="仿宋_GB2312"/>
                <w:sz w:val="24"/>
                <w:color w:val="000000"/>
              </w:rPr>
              <w:t>2.中医药健康服务能力：提升中医药在健康服务中的特色优势，增强疾病治疗能力，强化特色康复能力，提升中医药参与新发突发传染病防治和公共卫生事件应急处置能力，提升中西医结合水平，优化中医医疗服务模式。</w:t>
            </w:r>
          </w:p>
          <w:p>
            <w:pPr>
              <w:pStyle w:val="null3"/>
              <w:spacing w:after="105"/>
              <w:ind w:firstLine="480"/>
              <w:jc w:val="left"/>
            </w:pPr>
            <w:r>
              <w:rPr>
                <w:rFonts w:ascii="仿宋_GB2312" w:hAnsi="仿宋_GB2312" w:cs="仿宋_GB2312" w:eastAsia="仿宋_GB2312"/>
                <w:sz w:val="24"/>
                <w:color w:val="000000"/>
              </w:rPr>
              <w:t>3.中医药人才队伍：打造高层次人才计划、基层人才计划以及人才平台建设计划。</w:t>
            </w:r>
          </w:p>
          <w:p>
            <w:pPr>
              <w:pStyle w:val="null3"/>
              <w:spacing w:after="105"/>
              <w:ind w:firstLine="480"/>
              <w:jc w:val="left"/>
            </w:pPr>
            <w:r>
              <w:rPr>
                <w:rFonts w:ascii="仿宋_GB2312" w:hAnsi="仿宋_GB2312" w:cs="仿宋_GB2312" w:eastAsia="仿宋_GB2312"/>
                <w:sz w:val="24"/>
                <w:color w:val="000000"/>
              </w:rPr>
              <w:t>4.中医药传承保护与科技创新体系：促进科技成果转化，加强与高等中医药院校协作等。</w:t>
            </w:r>
          </w:p>
          <w:p>
            <w:pPr>
              <w:pStyle w:val="null3"/>
              <w:spacing w:after="105"/>
              <w:ind w:firstLine="480"/>
              <w:jc w:val="left"/>
            </w:pPr>
            <w:r>
              <w:rPr>
                <w:rFonts w:ascii="仿宋_GB2312" w:hAnsi="仿宋_GB2312" w:cs="仿宋_GB2312" w:eastAsia="仿宋_GB2312"/>
                <w:sz w:val="24"/>
                <w:color w:val="000000"/>
              </w:rPr>
              <w:t>5.中医药产业高质量发展：建立中医药资源保护与利用机制，加强道地药材生产管理，健全中药材种植、加工、仓储、物流规范标准体系等。</w:t>
            </w:r>
          </w:p>
          <w:p>
            <w:pPr>
              <w:pStyle w:val="null3"/>
              <w:spacing w:after="105"/>
              <w:ind w:firstLine="480"/>
              <w:jc w:val="left"/>
            </w:pPr>
            <w:r>
              <w:rPr>
                <w:rFonts w:ascii="仿宋_GB2312" w:hAnsi="仿宋_GB2312" w:cs="仿宋_GB2312" w:eastAsia="仿宋_GB2312"/>
                <w:sz w:val="24"/>
                <w:color w:val="000000"/>
              </w:rPr>
              <w:t>6.中医药健康服务业：强化中医药与养老服务衔接，推进中医药老年健康服务向农村、社区、家庭下沉，拓展中医药健康旅游市场，研发以保健食品、日化用品等大健康产品。</w:t>
            </w:r>
          </w:p>
          <w:p>
            <w:pPr>
              <w:pStyle w:val="null3"/>
              <w:spacing w:after="105"/>
              <w:ind w:firstLine="480"/>
              <w:jc w:val="left"/>
            </w:pPr>
            <w:r>
              <w:rPr>
                <w:rFonts w:ascii="仿宋_GB2312" w:hAnsi="仿宋_GB2312" w:cs="仿宋_GB2312" w:eastAsia="仿宋_GB2312"/>
                <w:sz w:val="24"/>
                <w:color w:val="000000"/>
              </w:rPr>
              <w:t>7.中医药文化发展：中医药文化传播。</w:t>
            </w:r>
          </w:p>
          <w:p>
            <w:pPr>
              <w:pStyle w:val="null3"/>
              <w:spacing w:after="105"/>
              <w:ind w:firstLine="480"/>
              <w:jc w:val="left"/>
            </w:pPr>
            <w:r>
              <w:rPr>
                <w:rFonts w:ascii="仿宋_GB2312" w:hAnsi="仿宋_GB2312" w:cs="仿宋_GB2312" w:eastAsia="仿宋_GB2312"/>
                <w:sz w:val="24"/>
                <w:color w:val="000000"/>
              </w:rPr>
              <w:t>（三）第三阶段：成果阶段</w:t>
            </w:r>
          </w:p>
          <w:p>
            <w:pPr>
              <w:pStyle w:val="null3"/>
              <w:spacing w:after="105"/>
              <w:ind w:firstLine="480"/>
              <w:jc w:val="left"/>
            </w:pPr>
            <w:r>
              <w:rPr>
                <w:rFonts w:ascii="仿宋_GB2312" w:hAnsi="仿宋_GB2312" w:cs="仿宋_GB2312" w:eastAsia="仿宋_GB2312"/>
                <w:sz w:val="24"/>
                <w:color w:val="000000"/>
              </w:rPr>
              <w:t>采购人提供</w:t>
            </w:r>
            <w:r>
              <w:rPr>
                <w:rFonts w:ascii="仿宋_GB2312" w:hAnsi="仿宋_GB2312" w:cs="仿宋_GB2312" w:eastAsia="仿宋_GB2312"/>
                <w:sz w:val="24"/>
                <w:color w:val="000000"/>
              </w:rPr>
              <w:t>“第二阶段”修改意见书后20个工作日内由成交供应商提供成果，形成中医药发展总体规划文本，包括相关规划研究、区域位置图、现状分析图、功能布局规划图、产业布局规划图以及其他可表达规划意图的图纸等内容。</w:t>
            </w:r>
          </w:p>
          <w:p>
            <w:pPr>
              <w:pStyle w:val="null3"/>
              <w:spacing w:after="105"/>
              <w:ind w:firstLine="480"/>
              <w:jc w:val="left"/>
            </w:pPr>
            <w:r>
              <w:rPr>
                <w:rFonts w:ascii="仿宋_GB2312" w:hAnsi="仿宋_GB2312" w:cs="仿宋_GB2312" w:eastAsia="仿宋_GB2312"/>
                <w:sz w:val="24"/>
                <w:color w:val="000000"/>
              </w:rPr>
              <w:t>三、项目成果：以上所有成果提供文本</w:t>
            </w:r>
            <w:r>
              <w:rPr>
                <w:rFonts w:ascii="仿宋_GB2312" w:hAnsi="仿宋_GB2312" w:cs="仿宋_GB2312" w:eastAsia="仿宋_GB2312"/>
                <w:sz w:val="24"/>
                <w:color w:val="000000"/>
              </w:rPr>
              <w:t>10套，电子光盘1张。</w:t>
            </w:r>
          </w:p>
          <w:p>
            <w:pPr>
              <w:pStyle w:val="null3"/>
              <w:ind w:firstLine="480"/>
              <w:jc w:val="left"/>
            </w:pPr>
            <w:r>
              <w:rPr>
                <w:rFonts w:ascii="仿宋_GB2312" w:hAnsi="仿宋_GB2312" w:cs="仿宋_GB2312" w:eastAsia="仿宋_GB2312"/>
                <w:sz w:val="24"/>
              </w:rPr>
              <w:t>四、编制要求</w:t>
            </w:r>
          </w:p>
          <w:p>
            <w:pPr>
              <w:pStyle w:val="null3"/>
              <w:spacing w:after="10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严格按照国家相关规定、法律法规及各项技术参数和指标要求编制报告。</w:t>
            </w:r>
          </w:p>
          <w:p>
            <w:pPr>
              <w:pStyle w:val="null3"/>
              <w:spacing w:after="10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工作内容包括前期现场核实、资料收集、报告编制等相关工作。</w:t>
            </w:r>
          </w:p>
          <w:p>
            <w:pPr>
              <w:pStyle w:val="null3"/>
              <w:spacing w:after="10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供应商应按照相关法律法规，根据项目分项实际情况来进行相应的报告编制工作，确保按时取得相应审查意见。</w:t>
            </w:r>
          </w:p>
          <w:p>
            <w:pPr>
              <w:pStyle w:val="null3"/>
              <w:spacing w:after="105"/>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编制要格式规范、逻辑层次清晰、语言准确精练、图文字表格要相符；内容要涵盖全面。</w:t>
            </w:r>
          </w:p>
          <w:p>
            <w:pPr>
              <w:pStyle w:val="null3"/>
              <w:spacing w:after="105"/>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完成的成果文件应具备及时、清晰的结论，能为后期决策提供准确信息。</w:t>
            </w:r>
          </w:p>
          <w:p>
            <w:pPr>
              <w:pStyle w:val="null3"/>
              <w:spacing w:after="105"/>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完成的成果文件须满足国家现行的方针、政策、法律、法规，符合国家强制性条文的要求；同时完成的成果文件应达到相关规定的深度。</w:t>
            </w:r>
          </w:p>
          <w:p>
            <w:pPr>
              <w:pStyle w:val="null3"/>
              <w:spacing w:after="105"/>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在整个项目完成过程中，对采购人提供的所有资料进行保密，严格管理，未经采购人许可禁止对外发布</w:t>
            </w:r>
            <w:r>
              <w:rPr>
                <w:rFonts w:ascii="仿宋_GB2312" w:hAnsi="仿宋_GB2312" w:cs="仿宋_GB2312" w:eastAsia="仿宋_GB2312"/>
                <w:sz w:val="24"/>
                <w:color w:val="000000"/>
              </w:rPr>
              <w:t>(供应商应在响应文件中提供承诺函进行响应，格式自拟)。</w:t>
            </w:r>
          </w:p>
          <w:p>
            <w:pPr>
              <w:pStyle w:val="null3"/>
              <w:jc w:val="both"/>
            </w:pPr>
            <w:r>
              <w:rPr>
                <w:rFonts w:ascii="仿宋_GB2312" w:hAnsi="仿宋_GB2312" w:cs="仿宋_GB2312" w:eastAsia="仿宋_GB2312"/>
                <w:sz w:val="24"/>
              </w:rPr>
              <w:t xml:space="preserve">  8.《规划》需遵循国家、省、市“十五五”规划、《四川省“十五五”中医药高质量发展规划》等相关规划导向，量化各板块指标，生成一批具体项目，明确年度目标任务，为宜宾市中医药发展提供指导。</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ind w:firstLine="480"/>
              <w:jc w:val="both"/>
            </w:pPr>
            <w:r>
              <w:rPr>
                <w:rFonts w:ascii="仿宋_GB2312" w:hAnsi="仿宋_GB2312" w:cs="仿宋_GB2312" w:eastAsia="仿宋_GB2312"/>
                <w:sz w:val="21"/>
              </w:rPr>
              <w:t>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null3"/>
              <w:jc w:val="both"/>
            </w:pPr>
            <w:r>
              <w:rPr>
                <w:rFonts w:ascii="仿宋_GB2312" w:hAnsi="仿宋_GB2312" w:cs="仿宋_GB2312" w:eastAsia="仿宋_GB2312"/>
                <w:sz w:val="21"/>
              </w:rPr>
              <w:t xml:space="preserve">       2.供应商应为本项目提供履约的所有人员按照国家规定购买相关保险。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1"/>
              </w:rPr>
              <w:t>1.政府采购合同签订时间及要求：供应商自成交通知书发出之日起30日内与采购人签订政府采购合同。供应商在签订采购合同时，应向采购人提供截止合同签订之日的行贿犯罪查询记录(包含投标人名称、法定代表人、主要负责人、签订合同的授权代表)，未提供的采购人有权拒绝签订采购合同。</w:t>
            </w:r>
          </w:p>
          <w:p>
            <w:pPr>
              <w:pStyle w:val="null3"/>
              <w:ind w:firstLine="480"/>
              <w:jc w:val="left"/>
            </w:pPr>
            <w:r>
              <w:rPr>
                <w:rFonts w:ascii="仿宋_GB2312" w:hAnsi="仿宋_GB2312" w:cs="仿宋_GB2312" w:eastAsia="仿宋_GB2312"/>
                <w:sz w:val="21"/>
              </w:rPr>
              <w:t>2.供应商应严格执行《中华人民共和国民法典》《中华人民共和国劳动合同法》及项目所在地最低工资标准等相关法律、法规并依法与服务人员签订劳动合同，并办理各种用工手续，如因用工不当，给采购人及服务人员造成的损失由供应商承担。</w:t>
            </w:r>
          </w:p>
          <w:p>
            <w:pPr>
              <w:pStyle w:val="null3"/>
              <w:ind w:firstLine="480"/>
              <w:jc w:val="left"/>
            </w:pPr>
            <w:r>
              <w:rPr>
                <w:rFonts w:ascii="仿宋_GB2312" w:hAnsi="仿宋_GB2312" w:cs="仿宋_GB2312" w:eastAsia="仿宋_GB2312"/>
                <w:sz w:val="21"/>
              </w:rPr>
              <w:t>3.供应商拟投入本项目人员在履约期间发生伤亡事故，或在履约过程中造成第三人伤亡的，责任由供应商承担。</w:t>
            </w:r>
          </w:p>
          <w:p>
            <w:pPr>
              <w:pStyle w:val="null3"/>
              <w:ind w:firstLine="480"/>
              <w:jc w:val="left"/>
            </w:pPr>
            <w:r>
              <w:rPr>
                <w:rFonts w:ascii="仿宋_GB2312" w:hAnsi="仿宋_GB2312" w:cs="仿宋_GB2312" w:eastAsia="仿宋_GB2312"/>
                <w:sz w:val="21"/>
              </w:rPr>
              <w:t>4.接受项目行业管理部门及政府有关部门的指导，接受采购人的监督。</w:t>
            </w:r>
          </w:p>
          <w:p>
            <w:pPr>
              <w:pStyle w:val="null3"/>
              <w:ind w:firstLine="480"/>
              <w:jc w:val="left"/>
            </w:pPr>
            <w:r>
              <w:rPr>
                <w:rFonts w:ascii="仿宋_GB2312" w:hAnsi="仿宋_GB2312" w:cs="仿宋_GB2312" w:eastAsia="仿宋_GB2312"/>
                <w:sz w:val="21"/>
              </w:rPr>
              <w:t>5.供应商定期及时向采购人通告本项目服务范围内有关服务的重大事项及其进度。</w:t>
            </w:r>
          </w:p>
          <w:p>
            <w:pPr>
              <w:pStyle w:val="null3"/>
              <w:jc w:val="both"/>
            </w:pPr>
            <w:r>
              <w:rPr>
                <w:rFonts w:ascii="仿宋_GB2312" w:hAnsi="仿宋_GB2312" w:cs="仿宋_GB2312" w:eastAsia="仿宋_GB2312"/>
                <w:sz w:val="21"/>
              </w:rPr>
              <w:t xml:space="preserve">       6.本项目采购过程和合同履行过程中的风险严格按照采购人的风险控制管理要求执行。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采购文件的质量要求和技术指标(包括每一项技术和商务要求的履约情况)、供应商的响应文件及承诺与本合同约定标准进行验收；合同双方如对质量要求和技术指标的约定标准有相互抵触或异议的事项，由采购人在国家有关规定、采购文件、响应文件及承诺与采购合同约定中按质量要求和技术指标比较优胜的原则确定该项的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1、政府采购合同签订生效后，达到付款条件起10日内，支付合同总金额的30.00%</w:t>
            </w:r>
          </w:p>
          <w:p>
            <w:pPr>
              <w:pStyle w:val="null3"/>
              <w:jc w:val="left"/>
            </w:pPr>
            <w:r>
              <w:rPr>
                <w:rFonts w:ascii="仿宋_GB2312" w:hAnsi="仿宋_GB2312" w:cs="仿宋_GB2312" w:eastAsia="仿宋_GB2312"/>
              </w:rPr>
              <w:t>2、成交供应商完成《宜宾市中医药发展规划（2025-2030）编制》初稿，达到付款条件起10日内，支付合同总金额的40.00%</w:t>
            </w:r>
          </w:p>
          <w:p>
            <w:pPr>
              <w:pStyle w:val="null3"/>
              <w:jc w:val="left"/>
            </w:pPr>
            <w:r>
              <w:rPr>
                <w:rFonts w:ascii="仿宋_GB2312" w:hAnsi="仿宋_GB2312" w:cs="仿宋_GB2312" w:eastAsia="仿宋_GB2312"/>
              </w:rPr>
              <w:t>3、最终成果验收通过后，达到付款条件起10日内，支付合同总金额的30.00%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(一)甲方违约责任 1.甲方逾期支付合同款项的，除应及时付足合同款外，应向乙方偿付欠款总额万分之五/天的违约金；逾期付款超过15天的，乙方有权终止合同； 2.甲方偿付的违约金不足以弥补乙方损失的，还应按乙方经济损失尚未弥补的部分，支付赔偿金给乙方。 (二)乙方违约责任 1.乙方必须遵守采购合同并执行合同中的各项规定，保证采购合同的正常履行。 2.如因乙方工作人员在履行职务过程中的疏忽、失职、过错等故意或者过失原因给甲方造成损失或侵害，包括但不限于甲方本身的财产损失、律师费、诉讼费、公证费、保全费、保全保险费、鉴定费等以及由此而导致的甲方对任何第三方的法律责任等，乙方对此均应承担全部的赔偿责任。 3.乙方交付的履约质量不符合合同规定的，须在合同规定的履约时间内整改完成甲方要求，否则，视作乙方不能正常履约而违约，按本条款下述第“4”项规定由乙方承担违约责任。 4.乙方不能正常履约或逾期履约而违约的，除应及时完成履约外，应向甲方偿付逾期履约部分合同总额的万分之五/天的违约金；逾期交货超过15天，甲方有权终止合同，乙方则应按合同总价的百分之十的款额向甲方偿付违约金，并须全额退还甲方已经付给乙方的合同款项及其利息。 5.乙方保证本合同项下的权利无瑕疵，包括各项服务及知识产权等权利无瑕疵。如任何第三方经法院(或仲裁机构)裁决有权对上述服务主张权利或国家机关依法对服务进行查封的，乙方除应向甲方返还已收款项外，还应另按合同总价的百分之十向甲方支付违约金并赔偿因此给甲方造成的一切损失。 6.乙方应当遵守甲方的相关项目需求及相关技术服务要求及实质性条款，实施完成采购合同应当完全满足相关项目需求及相关技术、服务要求及实质性条款，若乙方瑕疵履行采购合同，甲方有权向乙方要求赔偿合同总价款20%的违约金，若造成相关损失且违约金不足以弥补甲方损失的，甲方有权要求乙方承担所有赔偿责任。 (三)解决争议的方法 合同履行期间,若双方发生争议，可协商或由有关部门调解解决，协商或调解不成的，向甲方所在地有管辖权的人民法院起诉。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供应商根据本项目需求提供的技术服务方案内容如下：1.供应商针对本项目提供的项目需求分析内容包括：①项目背景及政策分析；②中医学与中药学产业现状调查及问题分析；③项目内容及服务流程；④技术路线；⑤工作程序；⑥技术难题解决方案等六个方面的内容。2.供应商针对本项目提供的项目实施方案内容包括：①项目组织管理方案；②项目质量保证方案；③项目进度管理方案；④课题调研方案；⑤保密管理方案；⑥突发情况预估及解决方案等六个方面的内容。。（具体详见采购文件第五章5.4.2.评标细则及标准）二、人员配置要求：拟投入本项目的项目负责人、技术人员等要求。（具体详见采购文件第五章5.4.2.评标细则及标准） 三、供应商具有类似项目履约经验。（具体详见采购文件第五章5.4.2.评标细则及标准）四、提高采购合同签订效率。采购人应当严格按照政府采购法有关规定，在中标、成交通知书发出之日起30日内，按照采购文件确定的事项与中标、成交供应商签订政府采购合同。采购人因不可抗力原因迟延签订合同的，应当自不可抗力事由消除之日起7日内完成合同签订事宜。五、推进政府采购合同变更信息公开。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六、加快支付采购资金。按照《关于促进政府采购公平竞争优化营商环境的通知》(财库〔2019〕38号)有关要求，在政府采购合同中约定资金支付的方式、时间和条件，明确逾期支付资金的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磋商小组可以根据磋商文件和磋商情况实质性变动第三章</w:t>
      </w:r>
      <w:r>
        <w:rPr>
          <w:rFonts w:ascii="仿宋_GB2312" w:hAnsi="仿宋_GB2312" w:cs="仿宋_GB2312" w:eastAsia="仿宋_GB2312"/>
          <w:sz w:val="21"/>
        </w:rPr>
        <w:t>“技术、服务及其他要求”中“3.2.技术要求”，“3.3.服务要求”，但不得变动磋商文件中的其他内容。实质性变动的内容，须经采购人代表确认。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磋商小组可以根据磋商文件和磋商情况实质性变动第七章</w:t>
      </w:r>
      <w:r>
        <w:rPr>
          <w:rFonts w:ascii="仿宋_GB2312" w:hAnsi="仿宋_GB2312" w:cs="仿宋_GB2312" w:eastAsia="仿宋_GB2312"/>
        </w:rPr>
        <w:t>“拟签订采购合同文本”，但不得变动磋商文件中的其他内容。实质性变动的内容，须经采购人代表确认。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(1)供应商提供2023或2024年度经过会计师事务所审计的财务报告复印件(经审计的有效财务报告应包括报告及报告中所附的完整内容，并由注册会计师签名、盖章以及会计师事务所盖章)； (2)供应商提供2023或2024年度供应商内部的财务报表复印件(至少包含资产负债表)； (3)供应商提供响应文件递交截止日前一年内银行为其出具的资信证明复印件； (4)供应商注册时间截至响应文件递交截止日不足一年的，可提供公司章程复印件； (5)供应商为事业单位、大型国有企业或其他组织(不具备法人条件的组织，如合伙组织、个体工商户、农村承包经营户等)或自然人时，可提供承诺函； 注：具有健全的财务会计制度的证明材料中第(1)-(5)项具有同等的投标效力，供应商可根据自身实际情况选择提供其中任意一项。</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实质性要求承诺.docx,投标（响应）函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其他符合性（实质性）审查内容</w:t>
            </w:r>
          </w:p>
        </w:tc>
        <w:tc>
          <w:tcPr>
            <w:tcW w:type="dxa" w:w="3322"/>
          </w:tcPr>
          <w:p>
            <w:pPr>
              <w:pStyle w:val="null3"/>
              <w:jc w:val="left"/>
            </w:pPr>
            <w:r>
              <w:rPr>
                <w:rFonts w:ascii="仿宋_GB2312" w:hAnsi="仿宋_GB2312" w:cs="仿宋_GB2312" w:eastAsia="仿宋_GB2312"/>
              </w:rPr>
              <w:t>包含竞争性磋商文件第三章带“★”号在内的，其他符合性（实质性）审查内容。</w:t>
            </w:r>
          </w:p>
        </w:tc>
        <w:tc>
          <w:tcPr>
            <w:tcW w:type="dxa" w:w="1910"/>
          </w:tcPr>
          <w:p>
            <w:pPr>
              <w:pStyle w:val="null3"/>
              <w:jc w:val="left"/>
            </w:pPr>
            <w:r>
              <w:rPr>
                <w:rFonts w:ascii="仿宋_GB2312" w:hAnsi="仿宋_GB2312" w:cs="仿宋_GB2312" w:eastAsia="仿宋_GB2312"/>
              </w:rPr>
              <w:t>商务应答表.docx,实质性要求承诺.docx,技术应答表.docx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需求分析、实施方案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项目需求分析</w:t>
            </w:r>
          </w:p>
        </w:tc>
        <w:tc>
          <w:tcPr>
            <w:tcW w:type="dxa" w:w="2575"/>
          </w:tcPr>
          <w:p>
            <w:pPr>
              <w:pStyle w:val="null3"/>
              <w:jc w:val="left"/>
            </w:pPr>
            <w:r>
              <w:rPr>
                <w:rFonts w:ascii="仿宋_GB2312" w:hAnsi="仿宋_GB2312" w:cs="仿宋_GB2312" w:eastAsia="仿宋_GB2312"/>
              </w:rPr>
              <w:t>供应商针对本项目提供的项目需求分析内容包括：①项目背景及政策分析；②中医学与中药学产业现状调查及问题分析；③项目内容及服务流程；④技术路线；⑤工作程序；⑥技术难题解决方案等六个方面的内容。 根据供应商针对上述六个方面内容在响应文件中的响应情况进行综合评审：每具有一方面内容的得4分，最多得24分；其中每有一处存在缺陷的扣2分，每方面最多扣4分。 注：缺陷是指存在项目名称错误、地点区域错误、内容与本项目需求无关、方案内容矛盾或表述前后不匹配、仅有框架或标题、明显复制其他项目等任意一种情形。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供应商针对本项目提供的项目实施方案内容包括：①项目组织管理方案；②项目质量保证方案；③项目进度管理方案；④课题调研方案；⑤保密管理方案；⑥突发情况预估及解决方案等六个方面的内容。 根据供应商针对上述六个方面内容在响应文件中的响应情况进行综合评审：每具有一方面内容的得5分，最多得30分；其中每有一处存在缺陷的扣2.5分，每方面最多扣5分。 注：缺陷是指存在项目名称错误、地点区域错误、内容与本项目需求无关、方案内容矛盾或表述前后不匹配、仅有框架或标题、明显复制其他项目等任意一种情形。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人员配置要求</w:t>
            </w:r>
          </w:p>
        </w:tc>
        <w:tc>
          <w:tcPr>
            <w:tcW w:type="dxa" w:w="2575"/>
          </w:tcPr>
          <w:p>
            <w:pPr>
              <w:pStyle w:val="null3"/>
              <w:jc w:val="left"/>
            </w:pPr>
            <w:r>
              <w:rPr>
                <w:rFonts w:ascii="仿宋_GB2312" w:hAnsi="仿宋_GB2312" w:cs="仿宋_GB2312" w:eastAsia="仿宋_GB2312"/>
              </w:rPr>
              <w:t>1.项目负责人（1人）：拟投入本项目的项目负责人具有中医学与中药学或管理类相关专业中级职称的得2.5分；具有中医学与中药学或管理类相关专业高级及以上职称的得5分。本项最多得5分。 2.项目技术负责人（1人）： 拟投入本项目的项目技术负责人具有中医学与中药学或管理类相关专业中级职称的得2.5分；具有中医学与中药学或管理类相关专业高级及以上职称的得5分。本项最多得5分。 3.项目技术人员拟投入本项目的项目技术人员中具有中医学与中药学或管理类相关专业中级职称的得2分；具有中医学与中药学或管理类相关专业高级及以上职称的得4分。本项最多得16分 注：1.以上人员不重复计分。2.所有人员须提供证书复印件、身份证复印件、本单位在职证明并加盖公章。</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履约能力及相关证明.docx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供应商自2021年1月1日（含）以来具有类似项目履约经验，每提供1个得2.5分，最多得10分。 注：类似项目履约经验是指规划编制类项目，提供项目合同复印件；时间以合同签订时间为准。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履约能力及相关证明.docx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 注：1.项目评审过程中，不得去掉最后报价中的最高报价和最低报价。 2.因落实政府采购政策进行价格调整的，以调整后的价格计算磋商基准价和最后报价。 3.小微企业(残疾人福利性单位、监狱企业视同小微企业)价格扣除按照磋商文件相关要求执行。</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详见附件：技术应答表.docx</w:t>
      </w:r>
    </w:p>
    <w:p>
      <w:pPr>
        <w:pStyle w:val="null3"/>
        <w:ind w:firstLine="960"/>
        <w:jc w:val="left"/>
      </w:pPr>
      <w:r>
        <w:rPr>
          <w:rFonts w:ascii="仿宋_GB2312" w:hAnsi="仿宋_GB2312" w:cs="仿宋_GB2312" w:eastAsia="仿宋_GB2312"/>
        </w:rPr>
        <w:t>详见附件：履约能力及相关证明.docx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详见附件：实质性要求承诺.docx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