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版本号：N510001202500048120250416001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2025-2026年度食堂物资-调味品、干杂、糕点类配送服务采购项目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N5100012025000481</w:t>
      </w:r>
    </w:p>
    <w:p>
      <w:pPr>
        <w:pStyle w:val="null3"/>
        <w:jc w:val="center"/>
        <w:outlineLvl w:val="2"/>
      </w:pPr>
      <w:r>
        <w:rPr>
          <w:rFonts w:ascii="仿宋_GB2312" w:hAnsi="仿宋_GB2312" w:cs="仿宋_GB2312" w:eastAsia="仿宋_GB2312"/>
          <w:sz w:val="28"/>
          <w:b/>
        </w:rPr>
        <w:t>乐山师范学院</w:t>
      </w:r>
    </w:p>
    <w:p>
      <w:pPr>
        <w:pStyle w:val="null3"/>
        <w:jc w:val="center"/>
        <w:outlineLvl w:val="2"/>
      </w:pPr>
      <w:r>
        <w:rPr>
          <w:rFonts w:ascii="仿宋_GB2312" w:hAnsi="仿宋_GB2312" w:cs="仿宋_GB2312" w:eastAsia="仿宋_GB2312"/>
          <w:sz w:val="28"/>
          <w:b/>
        </w:rPr>
        <w:t>四川中意招标有限公司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2025年04月24日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四川中意招标有限公司</w:t>
      </w:r>
      <w:r>
        <w:rPr>
          <w:rFonts w:ascii="仿宋_GB2312" w:hAnsi="仿宋_GB2312" w:cs="仿宋_GB2312" w:eastAsia="仿宋_GB2312"/>
        </w:rPr>
        <w:t xml:space="preserve"> （以下简称“代理机构”）受 </w:t>
      </w:r>
      <w:r>
        <w:rPr>
          <w:rFonts w:ascii="仿宋_GB2312" w:hAnsi="仿宋_GB2312" w:cs="仿宋_GB2312" w:eastAsia="仿宋_GB2312"/>
        </w:rPr>
        <w:t>乐山师范学院</w:t>
      </w:r>
      <w:r>
        <w:rPr>
          <w:rFonts w:ascii="仿宋_GB2312" w:hAnsi="仿宋_GB2312" w:cs="仿宋_GB2312" w:eastAsia="仿宋_GB2312"/>
        </w:rPr>
        <w:t xml:space="preserve"> 委托，拟对 </w:t>
      </w:r>
      <w:r>
        <w:rPr>
          <w:rFonts w:ascii="仿宋_GB2312" w:hAnsi="仿宋_GB2312" w:cs="仿宋_GB2312" w:eastAsia="仿宋_GB2312"/>
        </w:rPr>
        <w:t>2025-2026年度食堂物资-调味品、干杂、糕点类配送服务采购项目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省本级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N5100012025000481</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2025-2026年度食堂物资-调味品、干杂、糕点类配送服务采购项目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乐山师范学院食堂调味品、干杂、糕点类配送服务采购，保障师生饮食需求。</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采购包1：专门面向小微企业采购。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具有国家行政主管部门颁发且有效的《食品经营许可证》（食品经营许可电子证书与纸质食品经营许可证书具有同等法律效力）（描述：供应商具有国家行政主管部门颁发且有效的《食品经营许可证》（食品经营许可电子证书与纸质食品经营许可证书具有同等法律效力）。提供相关证书扫描件进行电子签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乐山师范学院</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四川省乐山市市中区滨河路778号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614004</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0833-2276429</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四川中意招标有限公司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成都市高新区天府大道1700号新世纪环球中心E3门栋6楼2-1-611-615</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028-87050033转2027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采购包1：1,100,000.00元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采购包1：收取</w:t>
            </w:r>
          </w:p>
          <w:p>
            <w:pPr>
              <w:pStyle w:val="null3"/>
              <w:jc w:val="left"/>
            </w:pPr>
            <w:r>
              <w:rPr>
                <w:rFonts w:ascii="仿宋_GB2312" w:hAnsi="仿宋_GB2312" w:cs="仿宋_GB2312" w:eastAsia="仿宋_GB2312"/>
              </w:rPr>
              <w:t>本采购包履约保证金为合同金额的10.0%</w:t>
            </w:r>
          </w:p>
          <w:p>
            <w:pPr>
              <w:pStyle w:val="null3"/>
              <w:jc w:val="left"/>
            </w:pPr>
            <w:r>
              <w:rPr>
                <w:rFonts w:ascii="仿宋_GB2312" w:hAnsi="仿宋_GB2312" w:cs="仿宋_GB2312" w:eastAsia="仿宋_GB2312"/>
              </w:rPr>
              <w:t>交款方式：银行转账，支票/汇票/本票，保函/保险</w:t>
            </w:r>
          </w:p>
          <w:p>
            <w:pPr>
              <w:pStyle w:val="null3"/>
              <w:jc w:val="left"/>
            </w:pPr>
            <w:r>
              <w:rPr>
                <w:rFonts w:ascii="仿宋_GB2312" w:hAnsi="仿宋_GB2312" w:cs="仿宋_GB2312" w:eastAsia="仿宋_GB2312"/>
              </w:rPr>
              <w:t>账户名：乐山师范学院</w:t>
              <w:br/>
              <w:t>银行账号：5100  1698  6080  5150  2679</w:t>
              <w:br/>
              <w:t>开户行：建行四川省乐山分行营业部</w:t>
              <w:br/>
              <w:t>开户行行号：105 665 008 085</w:t>
              <w:br/>
              <w:t>交易用途栏备注：食堂物资履约保证金</w:t>
              <w:br/>
              <w:t>交款时间：成交通知书发出后,合同签订前。</w:t>
              <w:br/>
              <w:t>履约保证金的退还：在合同执行完毕后，未发生卫生、质量等问题，供应商提交书面申请，采购人退还履约保证金（不计息）。</w:t>
              <w:br/>
              <w:t>履约保证金不予退还的，将按照有关规定上缴国库。逾期退还履约保证金的，将依法承担法律责任，并赔偿投标人损失。</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代理服务费收费标准：按照成本加合理利润的原则收取代理服务费，收取：9480元（人民币）。以转账方式缴纳。交款账号如下：收款单位：四川中意招标有限公司；开 户 行：平安银行成都金融城支行； 银行账号：30205508003416（（备注：如因中标/成交人原因自愿放弃中标/成交资格或项目废标或因质疑投诉取消中标/成交资格等情况发生，由中标/成交人承担相关一切损失）</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乐山师范学院</w:t>
      </w:r>
      <w:r>
        <w:rPr>
          <w:rFonts w:ascii="仿宋_GB2312" w:hAnsi="仿宋_GB2312" w:cs="仿宋_GB2312" w:eastAsia="仿宋_GB2312"/>
        </w:rPr>
        <w:t xml:space="preserve"> 和 </w:t>
      </w:r>
      <w:r>
        <w:rPr>
          <w:rFonts w:ascii="仿宋_GB2312" w:hAnsi="仿宋_GB2312" w:cs="仿宋_GB2312" w:eastAsia="仿宋_GB2312"/>
        </w:rPr>
        <w:t>四川中意招标有限公司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乐山师范学院</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四川中意招标有限公司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分段/分期验收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 xml:space="preserve"> （因系统格式固化原因，履约验收时间以“验收组织的其他事项”为准）成交供应商申请验收并提供供货单</w:t>
      </w:r>
      <w:r>
        <w:rPr>
          <w:rFonts w:ascii="仿宋_GB2312" w:hAnsi="仿宋_GB2312" w:cs="仿宋_GB2312" w:eastAsia="仿宋_GB2312"/>
        </w:rPr>
        <w:t xml:space="preserve"> ，达到验收条件起 </w:t>
      </w:r>
      <w:r>
        <w:rPr>
          <w:rFonts w:ascii="仿宋_GB2312" w:hAnsi="仿宋_GB2312" w:cs="仿宋_GB2312" w:eastAsia="仿宋_GB2312"/>
        </w:rPr>
        <w:t>1</w:t>
      </w:r>
      <w:r>
        <w:rPr>
          <w:rFonts w:ascii="仿宋_GB2312" w:hAnsi="仿宋_GB2312" w:cs="仿宋_GB2312" w:eastAsia="仿宋_GB2312"/>
        </w:rPr>
        <w:t xml:space="preserve"> 日内，验收合同总金额的 </w:t>
      </w:r>
      <w:r>
        <w:rPr>
          <w:rFonts w:ascii="仿宋_GB2312" w:hAnsi="仿宋_GB2312" w:cs="仿宋_GB2312" w:eastAsia="仿宋_GB2312"/>
        </w:rPr>
        <w:t>50</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2、</w:t>
      </w:r>
      <w:r>
        <w:rPr>
          <w:rFonts w:ascii="仿宋_GB2312" w:hAnsi="仿宋_GB2312" w:cs="仿宋_GB2312" w:eastAsia="仿宋_GB2312"/>
        </w:rPr>
        <w:t xml:space="preserve"> 验收条件说明： </w:t>
      </w:r>
      <w:r>
        <w:rPr>
          <w:rFonts w:ascii="仿宋_GB2312" w:hAnsi="仿宋_GB2312" w:cs="仿宋_GB2312" w:eastAsia="仿宋_GB2312"/>
        </w:rPr>
        <w:t>（因系统格式固化原因，履约验收时间以“验收组织的其他事项”为准）成交供应商申请验收并提供供货单</w:t>
      </w:r>
      <w:r>
        <w:rPr>
          <w:rFonts w:ascii="仿宋_GB2312" w:hAnsi="仿宋_GB2312" w:cs="仿宋_GB2312" w:eastAsia="仿宋_GB2312"/>
        </w:rPr>
        <w:t xml:space="preserve"> ，达到验收条件起 </w:t>
      </w:r>
      <w:r>
        <w:rPr>
          <w:rFonts w:ascii="仿宋_GB2312" w:hAnsi="仿宋_GB2312" w:cs="仿宋_GB2312" w:eastAsia="仿宋_GB2312"/>
        </w:rPr>
        <w:t>1</w:t>
      </w:r>
      <w:r>
        <w:rPr>
          <w:rFonts w:ascii="仿宋_GB2312" w:hAnsi="仿宋_GB2312" w:cs="仿宋_GB2312" w:eastAsia="仿宋_GB2312"/>
        </w:rPr>
        <w:t xml:space="preserve"> 日内，验收合同总金额的 </w:t>
      </w:r>
      <w:r>
        <w:rPr>
          <w:rFonts w:ascii="仿宋_GB2312" w:hAnsi="仿宋_GB2312" w:cs="仿宋_GB2312" w:eastAsia="仿宋_GB2312"/>
        </w:rPr>
        <w:t>50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履约验收时间：供应商每批次提出验收申请，达到验收条件起 1 日内，验收本批次总金额的 100%。</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按照本项目采购文件中“技术、服务要求”及成交人响应文件进行验收。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按照本项目采购文件中“商务要求”及成交人响应文件进行验收。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采购人按照《财政部关于进一步加强政府采购需求和履约验收管理的指导意见》（财库〔2016〕205号）等政府采购相关法律法规的要求以及按照采购文件技术要求、商务要求以及供应商的响应文件响应进行验收。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乐山师范学院</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四川中意招标有限公司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四川中意招标有限公司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联系人：王老师</w:t>
      </w:r>
    </w:p>
    <w:p>
      <w:pPr>
        <w:pStyle w:val="null3"/>
        <w:jc w:val="left"/>
      </w:pPr>
      <w:r>
        <w:rPr>
          <w:rFonts w:ascii="仿宋_GB2312" w:hAnsi="仿宋_GB2312" w:cs="仿宋_GB2312" w:eastAsia="仿宋_GB2312"/>
        </w:rPr>
        <w:t>联系电话：0833-2276429</w:t>
      </w:r>
    </w:p>
    <w:p>
      <w:pPr>
        <w:pStyle w:val="null3"/>
        <w:jc w:val="left"/>
      </w:pPr>
      <w:r>
        <w:rPr>
          <w:rFonts w:ascii="仿宋_GB2312" w:hAnsi="仿宋_GB2312" w:cs="仿宋_GB2312" w:eastAsia="仿宋_GB2312"/>
        </w:rPr>
        <w:t>地址：四川省乐山市市中区滨河路778号</w:t>
      </w:r>
    </w:p>
    <w:p>
      <w:pPr>
        <w:pStyle w:val="null3"/>
        <w:jc w:val="left"/>
      </w:pPr>
      <w:r>
        <w:rPr>
          <w:rFonts w:ascii="仿宋_GB2312" w:hAnsi="仿宋_GB2312" w:cs="仿宋_GB2312" w:eastAsia="仿宋_GB2312"/>
        </w:rPr>
        <w:t>邮编： 614004</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 陈女士</w:t>
      </w:r>
    </w:p>
    <w:p>
      <w:pPr>
        <w:pStyle w:val="null3"/>
        <w:jc w:val="left"/>
      </w:pPr>
      <w:r>
        <w:rPr>
          <w:rFonts w:ascii="仿宋_GB2312" w:hAnsi="仿宋_GB2312" w:cs="仿宋_GB2312" w:eastAsia="仿宋_GB2312"/>
        </w:rPr>
        <w:t>联系电话：成都市高新区天府大道1700号新世纪环球中心E3门栋6楼2-1-611-615</w:t>
      </w:r>
    </w:p>
    <w:p>
      <w:pPr>
        <w:pStyle w:val="null3"/>
        <w:jc w:val="left"/>
      </w:pPr>
      <w:r>
        <w:rPr>
          <w:rFonts w:ascii="仿宋_GB2312" w:hAnsi="仿宋_GB2312" w:cs="仿宋_GB2312" w:eastAsia="仿宋_GB2312"/>
        </w:rPr>
        <w:t>地址： 028-87050033转2027</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1,100,000.00</w:t>
      </w:r>
    </w:p>
    <w:p>
      <w:pPr>
        <w:pStyle w:val="null3"/>
        <w:jc w:val="left"/>
      </w:pPr>
      <w:r>
        <w:rPr>
          <w:rFonts w:ascii="仿宋_GB2312" w:hAnsi="仿宋_GB2312" w:cs="仿宋_GB2312" w:eastAsia="仿宋_GB2312"/>
        </w:rPr>
        <w:t>采购包最高限价（元）: 1,100,000.00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C23139900 其他批发服务</w:t>
            </w:r>
          </w:p>
        </w:tc>
        <w:tc>
          <w:tcPr>
            <w:tcW w:type="dxa" w:w="821"/>
          </w:tcPr>
          <w:p>
            <w:pPr>
              <w:pStyle w:val="null3"/>
              <w:jc w:val="left"/>
            </w:pPr>
            <w:r>
              <w:rPr>
                <w:rFonts w:ascii="仿宋_GB2312" w:hAnsi="仿宋_GB2312" w:cs="仿宋_GB2312" w:eastAsia="仿宋_GB2312"/>
              </w:rPr>
              <w:t>2025-2026年度食堂物资—调味品、干杂、糕点类配送服务采购项目</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1,100,000.00</w:t>
            </w:r>
          </w:p>
        </w:tc>
        <w:tc>
          <w:tcPr>
            <w:tcW w:type="dxa" w:w="821"/>
          </w:tcPr>
          <w:p>
            <w:pPr>
              <w:pStyle w:val="null3"/>
              <w:jc w:val="left"/>
            </w:pPr>
            <w:r>
              <w:rPr>
                <w:rFonts w:ascii="仿宋_GB2312" w:hAnsi="仿宋_GB2312" w:cs="仿宋_GB2312" w:eastAsia="仿宋_GB2312"/>
              </w:rPr>
              <w:t>批发业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684"/>
        <w:gridCol w:w="1759"/>
        <w:gridCol w:w="977"/>
        <w:gridCol w:w="977"/>
        <w:gridCol w:w="1466"/>
        <w:gridCol w:w="977"/>
        <w:gridCol w:w="1466"/>
      </w:tblGrid>
      <w:tr>
        <w:tc>
          <w:tcPr>
            <w:tcW w:type="dxa" w:w="684"/>
          </w:tcPr>
          <w:p>
            <w:pPr>
              <w:pStyle w:val="null3"/>
              <w:jc w:val="center"/>
            </w:pPr>
            <w:r>
              <w:rPr>
                <w:rFonts w:ascii="仿宋_GB2312" w:hAnsi="仿宋_GB2312" w:cs="仿宋_GB2312" w:eastAsia="仿宋_GB2312"/>
              </w:rPr>
              <w:t>序号</w:t>
            </w:r>
          </w:p>
        </w:tc>
        <w:tc>
          <w:tcPr>
            <w:tcW w:type="dxa" w:w="1759"/>
          </w:tcPr>
          <w:p>
            <w:pPr>
              <w:pStyle w:val="null3"/>
              <w:jc w:val="center"/>
            </w:pPr>
            <w:r>
              <w:rPr>
                <w:rFonts w:ascii="仿宋_GB2312" w:hAnsi="仿宋_GB2312" w:cs="仿宋_GB2312" w:eastAsia="仿宋_GB2312"/>
              </w:rPr>
              <w:t>报价内容</w:t>
            </w:r>
          </w:p>
        </w:tc>
        <w:tc>
          <w:tcPr>
            <w:tcW w:type="dxa" w:w="977"/>
          </w:tcPr>
          <w:p>
            <w:pPr>
              <w:pStyle w:val="null3"/>
              <w:jc w:val="center"/>
            </w:pPr>
            <w:r>
              <w:rPr>
                <w:rFonts w:ascii="仿宋_GB2312" w:hAnsi="仿宋_GB2312" w:cs="仿宋_GB2312" w:eastAsia="仿宋_GB2312"/>
              </w:rPr>
              <w:t>计量单位</w:t>
            </w:r>
          </w:p>
        </w:tc>
        <w:tc>
          <w:tcPr>
            <w:tcW w:type="dxa" w:w="977"/>
          </w:tcPr>
          <w:p>
            <w:pPr>
              <w:pStyle w:val="null3"/>
              <w:jc w:val="center"/>
            </w:pPr>
            <w:r>
              <w:rPr>
                <w:rFonts w:ascii="仿宋_GB2312" w:hAnsi="仿宋_GB2312" w:cs="仿宋_GB2312" w:eastAsia="仿宋_GB2312"/>
              </w:rPr>
              <w:t>报价单位</w:t>
            </w:r>
          </w:p>
        </w:tc>
        <w:tc>
          <w:tcPr>
            <w:tcW w:type="dxa" w:w="1466"/>
          </w:tcPr>
          <w:p>
            <w:pPr>
              <w:pStyle w:val="null3"/>
              <w:jc w:val="center"/>
            </w:pPr>
            <w:r>
              <w:rPr>
                <w:rFonts w:ascii="仿宋_GB2312" w:hAnsi="仿宋_GB2312" w:cs="仿宋_GB2312" w:eastAsia="仿宋_GB2312"/>
              </w:rPr>
              <w:t>最高限价</w:t>
            </w:r>
          </w:p>
        </w:tc>
        <w:tc>
          <w:tcPr>
            <w:tcW w:type="dxa" w:w="977"/>
          </w:tcPr>
          <w:p>
            <w:pPr>
              <w:pStyle w:val="null3"/>
              <w:jc w:val="center"/>
            </w:pPr>
            <w:r>
              <w:rPr>
                <w:rFonts w:ascii="仿宋_GB2312" w:hAnsi="仿宋_GB2312" w:cs="仿宋_GB2312" w:eastAsia="仿宋_GB2312"/>
              </w:rPr>
              <w:t>价款形式</w:t>
            </w:r>
          </w:p>
        </w:tc>
        <w:tc>
          <w:tcPr>
            <w:tcW w:type="dxa" w:w="1466"/>
          </w:tcPr>
          <w:p>
            <w:pPr>
              <w:pStyle w:val="null3"/>
              <w:jc w:val="center"/>
            </w:pPr>
            <w:r>
              <w:rPr>
                <w:rFonts w:ascii="仿宋_GB2312" w:hAnsi="仿宋_GB2312" w:cs="仿宋_GB2312" w:eastAsia="仿宋_GB2312"/>
              </w:rPr>
              <w:t>报价说明</w:t>
            </w:r>
          </w:p>
        </w:tc>
      </w:tr>
      <w:tr>
        <w:tc>
          <w:tcPr>
            <w:tcW w:type="dxa" w:w="684"/>
          </w:tcPr>
          <w:p>
            <w:pPr>
              <w:pStyle w:val="null3"/>
              <w:jc w:val="center"/>
            </w:pPr>
            <w:r>
              <w:rPr>
                <w:rFonts w:ascii="仿宋_GB2312" w:hAnsi="仿宋_GB2312" w:cs="仿宋_GB2312" w:eastAsia="仿宋_GB2312"/>
              </w:rPr>
              <w:t>1</w:t>
            </w:r>
          </w:p>
        </w:tc>
        <w:tc>
          <w:tcPr>
            <w:tcW w:type="dxa" w:w="1759"/>
          </w:tcPr>
          <w:p>
            <w:pPr>
              <w:pStyle w:val="null3"/>
              <w:jc w:val="center"/>
            </w:pPr>
            <w:r>
              <w:rPr>
                <w:rFonts w:ascii="仿宋_GB2312" w:hAnsi="仿宋_GB2312" w:cs="仿宋_GB2312" w:eastAsia="仿宋_GB2312"/>
              </w:rPr>
              <w:t>2025-2026年度食堂物资—调味品、干杂、糕点类配送服务采购项目</w:t>
            </w:r>
          </w:p>
        </w:tc>
        <w:tc>
          <w:tcPr>
            <w:tcW w:type="dxa" w:w="977"/>
          </w:tcPr>
          <w:p>
            <w:pPr>
              <w:pStyle w:val="null3"/>
              <w:jc w:val="center"/>
            </w:pPr>
            <w:r>
              <w:rPr>
                <w:rFonts w:ascii="仿宋_GB2312" w:hAnsi="仿宋_GB2312" w:cs="仿宋_GB2312" w:eastAsia="仿宋_GB2312"/>
              </w:rPr>
              <w:t>项</w:t>
            </w:r>
          </w:p>
        </w:tc>
        <w:tc>
          <w:tcPr>
            <w:tcW w:type="dxa" w:w="977"/>
          </w:tcPr>
          <w:p>
            <w:pPr>
              <w:pStyle w:val="null3"/>
              <w:jc w:val="center"/>
            </w:pPr>
            <w:r>
              <w:rPr>
                <w:rFonts w:ascii="仿宋_GB2312" w:hAnsi="仿宋_GB2312" w:cs="仿宋_GB2312" w:eastAsia="仿宋_GB2312"/>
              </w:rPr>
              <w:t>%</w:t>
            </w:r>
          </w:p>
        </w:tc>
        <w:tc>
          <w:tcPr>
            <w:tcW w:type="dxa" w:w="1466"/>
          </w:tcPr>
          <w:p>
            <w:pPr>
              <w:pStyle w:val="null3"/>
              <w:jc w:val="center"/>
            </w:pPr>
            <w:r>
              <w:rPr>
                <w:rFonts w:ascii="仿宋_GB2312" w:hAnsi="仿宋_GB2312" w:cs="仿宋_GB2312" w:eastAsia="仿宋_GB2312"/>
              </w:rPr>
              <w:t>100.00</w:t>
            </w:r>
          </w:p>
        </w:tc>
        <w:tc>
          <w:tcPr>
            <w:tcW w:type="dxa" w:w="977"/>
          </w:tcPr>
          <w:p>
            <w:pPr>
              <w:pStyle w:val="null3"/>
              <w:jc w:val="center"/>
            </w:pPr>
            <w:r>
              <w:rPr>
                <w:rFonts w:ascii="仿宋_GB2312" w:hAnsi="仿宋_GB2312" w:cs="仿宋_GB2312" w:eastAsia="仿宋_GB2312"/>
              </w:rPr>
              <w:t>百分比</w:t>
            </w:r>
          </w:p>
        </w:tc>
        <w:tc>
          <w:tcPr>
            <w:tcW w:type="dxa" w:w="1466"/>
          </w:tcPr>
          <w:p>
            <w:pPr>
              <w:pStyle w:val="null3"/>
              <w:jc w:val="left"/>
            </w:pPr>
            <w:r>
              <w:rPr>
                <w:rFonts w:ascii="仿宋_GB2312" w:hAnsi="仿宋_GB2312" w:cs="仿宋_GB2312" w:eastAsia="仿宋_GB2312"/>
              </w:rPr>
              <w:t>本项目在基准价基础上按报价比例（结算率）结算，基准价详见“3.2.技术要求”（表四除外）（例：报价为70%，单价为100元，则结算价为70元）</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标的名称：2025-2026年度食堂物资—调味品、干杂、糕点类配送服务采购项目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配送服务清单</w:t>
            </w:r>
          </w:p>
        </w:tc>
        <w:tc>
          <w:tcPr>
            <w:tcW w:type="dxa" w:w="5814"/>
          </w:tcPr>
          <w:p>
            <w:pPr>
              <w:pStyle w:val="null3"/>
              <w:ind w:firstLine="562"/>
              <w:jc w:val="center"/>
            </w:pPr>
            <w:r>
              <w:rPr>
                <w:rFonts w:ascii="仿宋_GB2312" w:hAnsi="仿宋_GB2312" w:cs="仿宋_GB2312" w:eastAsia="仿宋_GB2312"/>
                <w:sz w:val="28"/>
                <w:b/>
              </w:rPr>
              <w:t>表一</w:t>
            </w:r>
          </w:p>
          <w:tbl>
            <w:tblPr>
              <w:tblInd w:type="dxa" w:w="120"/>
              <w:tblBorders>
                <w:top w:val="none" w:color="000000" w:sz="4"/>
                <w:left w:val="none" w:color="000000" w:sz="4"/>
                <w:bottom w:val="none" w:color="000000" w:sz="4"/>
                <w:right w:val="none" w:color="000000" w:sz="4"/>
                <w:insideH w:val="none"/>
                <w:insideV w:val="none"/>
              </w:tblBorders>
            </w:tblPr>
            <w:tblGrid>
              <w:gridCol w:w="777"/>
              <w:gridCol w:w="2054"/>
              <w:gridCol w:w="912"/>
              <w:gridCol w:w="1853"/>
            </w:tblGrid>
            <w:tr>
              <w:tc>
                <w:tcPr>
                  <w:tcW w:type="dxa" w:w="7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0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品名</w:t>
                  </w:r>
                </w:p>
              </w:tc>
              <w:tc>
                <w:tcPr>
                  <w:tcW w:type="dxa" w:w="9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18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基准价</w:t>
                  </w:r>
                  <w:r>
                    <w:rPr>
                      <w:rFonts w:ascii="仿宋_GB2312" w:hAnsi="仿宋_GB2312" w:cs="仿宋_GB2312" w:eastAsia="仿宋_GB2312"/>
                      <w:sz w:val="24"/>
                    </w:rPr>
                    <w:t>（元）</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辣椒豆瓣酱</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黄豆酱油</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500ml</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醋</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500ml</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食用加碘盐</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鸡精</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11.4</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味精</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7.6</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奥尔良腌料</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11.4</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白醋</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白面包糠</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白糖</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保宁醋</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冰粉粉</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19.0</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凉糕粉</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酸辣酱</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28.5</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680ml黄豆酱油</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澄面</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脆炸粉</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大红浙醋</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豆豉鲮鱼</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23.8</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豆粉</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豆腐乳</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7.6</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豆浆皮</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豆沙</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剁椒酱</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番茄沙司</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蕃茄酱</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方便面饼</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橄榄菜</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14.3</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干锅酱调味料</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25.7</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海椒面</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15.7</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干面</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海鲜酱</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14.3</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蚝油</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黑豆豉</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黑胡椒汁</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11.4</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红酱油</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红薯淀粉</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红薯粉丝</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红腰豆</w:t>
                  </w:r>
                  <w:r>
                    <w:rPr>
                      <w:rFonts w:ascii="仿宋_GB2312" w:hAnsi="仿宋_GB2312" w:cs="仿宋_GB2312" w:eastAsia="仿宋_GB2312"/>
                      <w:sz w:val="24"/>
                      <w:color w:val="000000"/>
                    </w:rPr>
                    <w:t>(罐头)</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花椒油</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花生酱</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11.4</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花生米碎</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黄豆酱</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黄椒酱</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火锅料</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7.6</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火腿肠</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鸡蛋干</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14.3</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酵母</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14.3</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金黄色面包糠</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酒曲子</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28.5</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咖喱粉</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38.0</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宽粉</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辣鲜露</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18.1</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醪糟</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老抽酱油</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老干妈</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17.1</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老鸭汤</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炼乳</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料酒</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龙口粉丝</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14.3</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麻辣川香汁</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26.6</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麻辣鲜</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14.3</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马铃薯淀粉</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麦芽糖</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美极鲜</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23.8</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米线</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抹茶粉</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28.5</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木姜油</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木薯粉</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浓缩鸡汁</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28.5</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排骨调味酱</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14.3</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泡菜</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73</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泡菜盐</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泡打粉</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泡海椒</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76</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泡豇豆</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77</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泡椒沫</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78</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泡萝卜</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79</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泡生姜</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荞面</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鱼调料</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17.1</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82</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青椒牛肉酱</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17.1</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83</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清水罗汉笋</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清油火锅底料</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19.0</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沙拉酱</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烧烤料</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14.3</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87</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烧汁</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11.4</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88</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生抽酱油</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89</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十三香</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27.6</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食用碱</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91</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速冻汤圆</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92</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酸梅粉</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93</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蒜蓉辣椒酱</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16.2</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94</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碎米芽菜</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汤圆粉</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汤圆心子</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97</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藤椒油</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11.9</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98</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甜面酱</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99</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土豆粉</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豌豆白粉丝</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101</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味极鲜</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102</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味椒盐</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17.1</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103</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午餐方腿香肠</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11.4</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104</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午餐肉</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16.2</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虾片</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106</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香脆椒</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16.2</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107</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香辣干锅料</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108</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香辣酱</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109</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香油</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小米辣</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小苏打</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盐菜</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113</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盐焗鸡粉</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18.1</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114</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一品鲜</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意大利面</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116</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油条膨松剂</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10.9</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117</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涪陵榨菜</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118</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乌江榨菜</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14.3</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119</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长芽菜</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蒸肉粉</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121</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蒸鱼豉油</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122</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芝麻酱</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11.4</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123</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猪油</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124</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紫菜</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28.5</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紫薯水晶粉</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16.2</w:t>
                  </w:r>
                </w:p>
              </w:tc>
            </w:tr>
            <w:tr>
              <w:tc>
                <w:tcPr>
                  <w:tcW w:type="dxa" w:w="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126</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自家卤</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23.8</w:t>
                  </w:r>
                </w:p>
              </w:tc>
            </w:tr>
          </w:tbl>
          <w:p>
            <w:pPr>
              <w:pStyle w:val="null3"/>
              <w:jc w:val="center"/>
            </w:pPr>
            <w:r>
              <w:rPr>
                <w:rFonts w:ascii="仿宋_GB2312" w:hAnsi="仿宋_GB2312" w:cs="仿宋_GB2312" w:eastAsia="仿宋_GB2312"/>
                <w:sz w:val="28"/>
                <w:b/>
              </w:rPr>
              <w:t>表二</w:t>
            </w:r>
          </w:p>
          <w:tbl>
            <w:tblPr>
              <w:tblInd w:type="dxa" w:w="120"/>
              <w:tblBorders>
                <w:top w:val="none" w:color="000000" w:sz="4"/>
                <w:left w:val="none" w:color="000000" w:sz="4"/>
                <w:bottom w:val="none" w:color="000000" w:sz="4"/>
                <w:right w:val="none" w:color="000000" w:sz="4"/>
                <w:insideH w:val="none"/>
                <w:insideV w:val="none"/>
              </w:tblBorders>
            </w:tblPr>
            <w:tblGrid>
              <w:gridCol w:w="861"/>
              <w:gridCol w:w="1458"/>
              <w:gridCol w:w="1232"/>
              <w:gridCol w:w="2046"/>
            </w:tblGrid>
            <w:tr>
              <w:tc>
                <w:tcPr>
                  <w:tcW w:type="dxa" w:w="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14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品名</w:t>
                  </w:r>
                </w:p>
              </w:tc>
              <w:tc>
                <w:tcPr>
                  <w:tcW w:type="dxa" w:w="1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20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基准价</w:t>
                  </w:r>
                  <w:r>
                    <w:rPr>
                      <w:rFonts w:ascii="仿宋_GB2312" w:hAnsi="仿宋_GB2312" w:cs="仿宋_GB2312" w:eastAsia="仿宋_GB2312"/>
                      <w:sz w:val="24"/>
                      <w:color w:val="000000"/>
                    </w:rPr>
                    <w:t>（元）</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127</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八角</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52.3</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128</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八角粉</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57.0</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129</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霸王花</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28.5</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白蔻</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80.8</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131</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白豌豆</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132</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白芝麻</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133</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冰糖粉</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134</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补药</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33.3</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135</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草果</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26.6</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136</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草蔻</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16.2</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137</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细木耳</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38.0</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138</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陈皮</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139</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大白豆</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大木耳</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17.1</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141</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大蒜</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142</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大头菜颗</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143</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当归</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38.0</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144</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丁香</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36.1</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145</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甘草</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11.4</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146</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甘松</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24.7</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147</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干虫草花</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33.3</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148</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干大枣</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149</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干贡菜</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38.0</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干枸杞</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19.0</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151</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干海带</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13.3</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152</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干海带丝</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17.1</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153</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干海椒</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15.7</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154</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干海椒节</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15.7</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155</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干</w:t>
                  </w:r>
                  <w:r>
                    <w:rPr>
                      <w:rFonts w:ascii="仿宋_GB2312" w:hAnsi="仿宋_GB2312" w:cs="仿宋_GB2312" w:eastAsia="仿宋_GB2312"/>
                      <w:sz w:val="24"/>
                      <w:color w:val="000000"/>
                    </w:rPr>
                    <w:t>胡豆瓣</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156</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干胡椒</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23.8</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157</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干花椒</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63.2</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158</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干花生米</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159</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干黄豆</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160</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干黄花</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24.7</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161</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干豇豆</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28.5</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162</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干笋子</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39.9</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163</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干虾皮</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21.9</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164</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干虾仁</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43.7</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165</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干香菇</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36.1</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166</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干雪魔芋</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28.5</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167</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干竹荪</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161.5</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168</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桂皮</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12.4</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169</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海白菜</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170</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黑胡椒粉</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28.5</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171</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黑香米</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172</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黑芝麻</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173</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红豆</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174</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红曲米</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11.4</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175</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茴香</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7.6</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176</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干姬松茸</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85.5</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177</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酒米</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178</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良姜</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20.9</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179</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凉拌细耳</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47.5</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灵草</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22.8</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181</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卤药</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28.0</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182</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罗汉果</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38.0</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183</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绿豆</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184</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木香</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185</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泡姜沫</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186</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葡萄干</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14.3</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187</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青花椒</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38.0</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188</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去核大枣</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12.4</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189</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砂仁</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12.4</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190</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山奈</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26.6</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191</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山奈粉</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22.8</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192</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水豆豉</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193</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水发笋</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194</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香果</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23.8</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195</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香叶</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12.4</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196</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小白豆</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197</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小米</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198</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燕麦</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199</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干腰果</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38.0</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薏米</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201</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银耳</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23.8</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202</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玉米渣</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203</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孜然粉</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23.8</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204</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肉蔻</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45.6</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205</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冰糖</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206</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红糖</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207</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胡椒面</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28.5</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208</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花椒面</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66.5</w:t>
                  </w:r>
                </w:p>
              </w:tc>
            </w:tr>
            <w:tr>
              <w:tc>
                <w:tcPr>
                  <w:tcW w:type="dxa" w:w="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209</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鲜海带</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bl>
          <w:p>
            <w:pPr>
              <w:pStyle w:val="null3"/>
              <w:ind w:firstLine="281"/>
              <w:jc w:val="center"/>
            </w:pPr>
            <w:r>
              <w:rPr>
                <w:rFonts w:ascii="仿宋_GB2312" w:hAnsi="仿宋_GB2312" w:cs="仿宋_GB2312" w:eastAsia="仿宋_GB2312"/>
                <w:sz w:val="28"/>
                <w:b/>
              </w:rPr>
              <w:t>表三</w:t>
            </w:r>
          </w:p>
          <w:tbl>
            <w:tblPr>
              <w:tblInd w:type="dxa" w:w="120"/>
              <w:tblBorders>
                <w:top w:val="none" w:color="000000" w:sz="4"/>
                <w:left w:val="none" w:color="000000" w:sz="4"/>
                <w:bottom w:val="none" w:color="000000" w:sz="4"/>
                <w:right w:val="none" w:color="000000" w:sz="4"/>
                <w:insideH w:val="none"/>
                <w:insideV w:val="none"/>
              </w:tblBorders>
            </w:tblPr>
            <w:tblGrid>
              <w:gridCol w:w="631"/>
              <w:gridCol w:w="1508"/>
              <w:gridCol w:w="631"/>
              <w:gridCol w:w="1323"/>
              <w:gridCol w:w="1501"/>
            </w:tblGrid>
            <w:tr>
              <w:tc>
                <w:tcPr>
                  <w:tcW w:type="dxa" w:w="6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15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品名</w:t>
                  </w:r>
                </w:p>
              </w:tc>
              <w:tc>
                <w:tcPr>
                  <w:tcW w:type="dxa" w:w="6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13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参数要求</w:t>
                  </w:r>
                </w:p>
              </w:tc>
              <w:tc>
                <w:tcPr>
                  <w:tcW w:type="dxa" w:w="15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基准价</w:t>
                  </w:r>
                  <w:r>
                    <w:rPr>
                      <w:rFonts w:ascii="仿宋_GB2312" w:hAnsi="仿宋_GB2312" w:cs="仿宋_GB2312" w:eastAsia="仿宋_GB2312"/>
                      <w:sz w:val="24"/>
                      <w:color w:val="000000"/>
                    </w:rPr>
                    <w:t>（元）</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叶儿粑</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≥100g/个</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肉粽子</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≥150g/个</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白粽子</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≥150g/个</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咸鸭蛋</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≥75g/个</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小蛋糕</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≥30g/个</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小面包</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≥30g/个</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沙琪玛</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≥30g/个</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玉米饼</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个</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≥100g/个</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桂花糕</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个</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≥90g/个</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玉米糕</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个</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≥90g/个</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肉泡粑</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个</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≥120g/个</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脏脏包</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≥90g/个</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豆沙面包</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≥80g/个</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菠萝面包</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≥90g/个</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红豆奶酪面包</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≥90g/个</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三明治面包</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≥90g/个</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手撕面包</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≥120g/个</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芝士面包</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≥90g/个</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紫米面包</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≥100g/个</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海绵蛋糕</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≥80g/个</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切片吐司</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≥90g/个</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热狗</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≥90g/个</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枣沙蛋糕</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≥80g/个</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泡粑</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糍粑</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油兹儿（咸糍粑）</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19.0</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甜甜圈</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13.3</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香米糕</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13.3</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桃酥</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14.3</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奶酪棒饼干</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15.2</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板栗饼</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19.0</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葱油酥</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19.0</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绿豆饼</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19.0</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麻饼</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19.0</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双麻酥</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19.0</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香酥饼</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19.0</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紫署饼</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19.0</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猫耳朵</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19.0</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香酥派</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19.0</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手工大蛋卷</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20.9</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蔬菜卷</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23.8</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香辣小小酥</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28.5</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八珍草莓酱</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≥270g/瓶</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白饼</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钵钵鸡调料</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袋</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≥320g/袋</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16.00</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茶叶</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80.00</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腐竹</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荷叶饼</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12.00</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核桃仁</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30.00</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黑米糕</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夹丝豆腐</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串</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4个/串</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金银花</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100.00</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菊花</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80.00</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绿茶佛饼</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15.00</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翘脚牛肉汤料</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袋</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≥180g/袋</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20.00</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香辣蘸料</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袋</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≥400g/袋</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20.00</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腌大头菜</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500g</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w:t>
                  </w:r>
                </w:p>
              </w:tc>
            </w:tr>
            <w:tr>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c>
                <w:tcPr>
                  <w:tcW w:type="dxa" w:w="1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柱侯酱</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≥240g/瓶</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12.00</w:t>
                  </w:r>
                </w:p>
              </w:tc>
            </w:tr>
          </w:tbl>
          <w:p>
            <w:pPr>
              <w:pStyle w:val="null3"/>
              <w:jc w:val="center"/>
              <w:outlineLvl w:val="1"/>
            </w:pPr>
            <w:r>
              <w:rPr>
                <w:rFonts w:ascii="仿宋_GB2312" w:hAnsi="仿宋_GB2312" w:cs="仿宋_GB2312" w:eastAsia="仿宋_GB2312"/>
                <w:sz w:val="28"/>
                <w:b/>
              </w:rPr>
              <w:t>表四</w:t>
            </w:r>
          </w:p>
          <w:tbl>
            <w:tblPr>
              <w:tblInd w:type="dxa" w:w="120"/>
              <w:tblBorders>
                <w:top w:val="none" w:color="000000" w:sz="4"/>
                <w:left w:val="none" w:color="000000" w:sz="4"/>
                <w:bottom w:val="none" w:color="000000" w:sz="4"/>
                <w:right w:val="none" w:color="000000" w:sz="4"/>
                <w:insideH w:val="none"/>
                <w:insideV w:val="none"/>
              </w:tblBorders>
            </w:tblPr>
            <w:tblGrid>
              <w:gridCol w:w="533"/>
              <w:gridCol w:w="1022"/>
              <w:gridCol w:w="645"/>
              <w:gridCol w:w="3398"/>
            </w:tblGrid>
            <w:tr>
              <w:tc>
                <w:tcPr>
                  <w:tcW w:type="dxa" w:w="5598"/>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表四</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0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产品名称</w:t>
                  </w:r>
                </w:p>
              </w:tc>
              <w:tc>
                <w:tcPr>
                  <w:tcW w:type="dxa" w:w="6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33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结算价（元）</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矿泉水</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39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1.本表</w:t>
                  </w:r>
                  <w:r>
                    <w:rPr>
                      <w:rFonts w:ascii="仿宋_GB2312" w:hAnsi="仿宋_GB2312" w:cs="仿宋_GB2312" w:eastAsia="仿宋_GB2312"/>
                      <w:sz w:val="24"/>
                    </w:rPr>
                    <w:t>结算价</w:t>
                  </w:r>
                  <w:r>
                    <w:rPr>
                      <w:rFonts w:ascii="仿宋_GB2312" w:hAnsi="仿宋_GB2312" w:cs="仿宋_GB2312" w:eastAsia="仿宋_GB2312"/>
                      <w:sz w:val="24"/>
                    </w:rPr>
                    <w:t>不进行下浮，每三个月为一个定价周期。</w:t>
                  </w:r>
                </w:p>
                <w:p>
                  <w:pPr>
                    <w:pStyle w:val="null3"/>
                    <w:jc w:val="both"/>
                  </w:pPr>
                  <w:r>
                    <w:rPr>
                      <w:rFonts w:ascii="仿宋_GB2312" w:hAnsi="仿宋_GB2312" w:cs="仿宋_GB2312" w:eastAsia="仿宋_GB2312"/>
                      <w:sz w:val="24"/>
                    </w:rPr>
                    <w:t>2.每一个定价周期</w:t>
                  </w:r>
                  <w:r>
                    <w:rPr>
                      <w:rFonts w:ascii="仿宋_GB2312" w:hAnsi="仿宋_GB2312" w:cs="仿宋_GB2312" w:eastAsia="仿宋_GB2312"/>
                      <w:sz w:val="24"/>
                    </w:rPr>
                    <w:t>采购人与供应商共同组织人员进行市场调察，以乐山市中区</w:t>
                  </w:r>
                  <w:r>
                    <w:rPr>
                      <w:rFonts w:ascii="仿宋_GB2312" w:hAnsi="仿宋_GB2312" w:cs="仿宋_GB2312" w:eastAsia="仿宋_GB2312"/>
                      <w:sz w:val="24"/>
                    </w:rPr>
                    <w:t>任意</w:t>
                  </w:r>
                  <w:r>
                    <w:rPr>
                      <w:rFonts w:ascii="仿宋_GB2312" w:hAnsi="仿宋_GB2312" w:cs="仿宋_GB2312" w:eastAsia="仿宋_GB2312"/>
                      <w:sz w:val="24"/>
                    </w:rPr>
                    <w:t>三家</w:t>
                  </w:r>
                  <w:r>
                    <w:rPr>
                      <w:rFonts w:ascii="仿宋_GB2312" w:hAnsi="仿宋_GB2312" w:cs="仿宋_GB2312" w:eastAsia="仿宋_GB2312"/>
                      <w:sz w:val="24"/>
                    </w:rPr>
                    <w:t>商场、超市</w:t>
                  </w:r>
                  <w:r>
                    <w:rPr>
                      <w:rFonts w:ascii="仿宋_GB2312" w:hAnsi="仿宋_GB2312" w:cs="仿宋_GB2312" w:eastAsia="仿宋_GB2312"/>
                      <w:sz w:val="24"/>
                    </w:rPr>
                    <w:t>的平均</w:t>
                  </w:r>
                  <w:r>
                    <w:rPr>
                      <w:rFonts w:ascii="仿宋_GB2312" w:hAnsi="仿宋_GB2312" w:cs="仿宋_GB2312" w:eastAsia="仿宋_GB2312"/>
                      <w:sz w:val="24"/>
                    </w:rPr>
                    <w:t>价格</w:t>
                  </w:r>
                  <w:r>
                    <w:rPr>
                      <w:rFonts w:ascii="仿宋_GB2312" w:hAnsi="仿宋_GB2312" w:cs="仿宋_GB2312" w:eastAsia="仿宋_GB2312"/>
                      <w:sz w:val="24"/>
                    </w:rPr>
                    <w:t>作为</w:t>
                  </w:r>
                  <w:r>
                    <w:rPr>
                      <w:rFonts w:ascii="仿宋_GB2312" w:hAnsi="仿宋_GB2312" w:cs="仿宋_GB2312" w:eastAsia="仿宋_GB2312"/>
                      <w:sz w:val="24"/>
                    </w:rPr>
                    <w:t>结算</w:t>
                  </w:r>
                  <w:r>
                    <w:rPr>
                      <w:rFonts w:ascii="仿宋_GB2312" w:hAnsi="仿宋_GB2312" w:cs="仿宋_GB2312" w:eastAsia="仿宋_GB2312"/>
                      <w:sz w:val="24"/>
                    </w:rPr>
                    <w:t>价</w:t>
                  </w:r>
                  <w:r>
                    <w:rPr>
                      <w:rFonts w:ascii="仿宋_GB2312" w:hAnsi="仿宋_GB2312" w:cs="仿宋_GB2312" w:eastAsia="仿宋_GB2312"/>
                      <w:sz w:val="24"/>
                    </w:rPr>
                    <w:t>，</w:t>
                  </w:r>
                  <w:r>
                    <w:rPr>
                      <w:rFonts w:ascii="仿宋_GB2312" w:hAnsi="仿宋_GB2312" w:cs="仿宋_GB2312" w:eastAsia="仿宋_GB2312"/>
                      <w:sz w:val="24"/>
                    </w:rPr>
                    <w:t>结算价</w:t>
                  </w:r>
                  <w:r>
                    <w:rPr>
                      <w:rFonts w:ascii="仿宋_GB2312" w:hAnsi="仿宋_GB2312" w:cs="仿宋_GB2312" w:eastAsia="仿宋_GB2312"/>
                      <w:sz w:val="24"/>
                    </w:rPr>
                    <w:t>四舍五入保留到小数点后两位小数</w:t>
                  </w:r>
                  <w:r>
                    <w:rPr>
                      <w:rFonts w:ascii="仿宋_GB2312" w:hAnsi="仿宋_GB2312" w:cs="仿宋_GB2312" w:eastAsia="仿宋_GB2312"/>
                      <w:sz w:val="24"/>
                    </w:rPr>
                    <w:t>。</w:t>
                  </w:r>
                </w:p>
                <w:p>
                  <w:pPr>
                    <w:pStyle w:val="null3"/>
                    <w:jc w:val="left"/>
                  </w:pP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纯净水</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3398"/>
                  <w:vMerge/>
                  <w:tcBorders>
                    <w:top w:val="none" w:color="000000" w:sz="4"/>
                    <w:left w:val="none" w:color="000000" w:sz="4"/>
                    <w:bottom w:val="none" w:color="000000" w:sz="4"/>
                    <w:right w:val="single" w:color="000000" w:sz="4"/>
                  </w:tcBorders>
                </w:tcP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苏打水</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3398"/>
                  <w:vMerge/>
                  <w:tcBorders>
                    <w:top w:val="none" w:color="000000" w:sz="4"/>
                    <w:left w:val="none" w:color="000000" w:sz="4"/>
                    <w:bottom w:val="none" w:color="000000" w:sz="4"/>
                    <w:right w:val="single" w:color="000000" w:sz="4"/>
                  </w:tcBorders>
                </w:tcP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碳酸饮料</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3398"/>
                  <w:vMerge/>
                  <w:tcBorders>
                    <w:top w:val="none" w:color="000000" w:sz="4"/>
                    <w:left w:val="none" w:color="000000" w:sz="4"/>
                    <w:bottom w:val="none" w:color="000000" w:sz="4"/>
                    <w:right w:val="single" w:color="000000" w:sz="4"/>
                  </w:tcBorders>
                </w:tcP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果汁饮料</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3398"/>
                  <w:vMerge/>
                  <w:tcBorders>
                    <w:top w:val="none" w:color="000000" w:sz="4"/>
                    <w:left w:val="none" w:color="000000" w:sz="4"/>
                    <w:bottom w:val="none" w:color="000000" w:sz="4"/>
                    <w:right w:val="single" w:color="000000" w:sz="4"/>
                  </w:tcBorders>
                </w:tcP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茶饮料</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3398"/>
                  <w:vMerge/>
                  <w:tcBorders>
                    <w:top w:val="none" w:color="000000" w:sz="4"/>
                    <w:left w:val="none" w:color="000000" w:sz="4"/>
                    <w:bottom w:val="none" w:color="000000" w:sz="4"/>
                    <w:right w:val="single" w:color="000000" w:sz="4"/>
                  </w:tcBorders>
                </w:tcPr>
                <w:p/>
              </w:tc>
            </w:tr>
          </w:tbl>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4"/>
              </w:rPr>
              <w:t>1.质量要求标准：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1）食盐执行标准：GB/T 5461-2016或国家最新标准；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2）酱油执行标准：GB/T 18186-2000或国家最新标准；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3）豆瓣执行标准：行业或国家最新标准；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4）味精执行标准：GB/T8967-2007或国家最新标准；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5）鸡精执行标准：SB/T 10371-2003或行业、国家最新标准；</w:t>
            </w:r>
          </w:p>
          <w:p>
            <w:pPr>
              <w:pStyle w:val="null3"/>
              <w:jc w:val="both"/>
            </w:pPr>
            <w:r>
              <w:rPr>
                <w:rFonts w:ascii="仿宋_GB2312" w:hAnsi="仿宋_GB2312" w:cs="仿宋_GB2312" w:eastAsia="仿宋_GB2312"/>
                <w:sz w:val="24"/>
              </w:rPr>
              <w:t>2.产品外包装需注明产品名称、品牌、规格、保质期（收货时产品的有效保质期必须在产品整体保质期1/2的时间及以上）。</w:t>
            </w:r>
          </w:p>
          <w:p>
            <w:pPr>
              <w:pStyle w:val="null3"/>
              <w:jc w:val="both"/>
            </w:pPr>
            <w:r>
              <w:rPr>
                <w:rFonts w:ascii="仿宋_GB2312" w:hAnsi="仿宋_GB2312" w:cs="仿宋_GB2312" w:eastAsia="仿宋_GB2312"/>
                <w:sz w:val="24"/>
              </w:rPr>
              <w:t>3.外包装无污物、无泄漏、无胀袋或鼓盖现象，无变质发霉。色泽正常，具有该品种固有的香味，滋味无异味，油酱均匀的酱体或无结块的粉状固体，封口平整、无破包、夹包、漏包、无污染。</w:t>
            </w:r>
          </w:p>
          <w:p>
            <w:pPr>
              <w:pStyle w:val="null3"/>
              <w:jc w:val="both"/>
            </w:pPr>
            <w:r>
              <w:rPr>
                <w:rFonts w:ascii="仿宋_GB2312" w:hAnsi="仿宋_GB2312" w:cs="仿宋_GB2312" w:eastAsia="仿宋_GB2312"/>
                <w:sz w:val="24"/>
              </w:rPr>
              <w:t>4.食盐：晶体整齐一致，坚硬光滑，呈透明或半透明，不结块，无反卤吸潮现象，无杂质。</w:t>
            </w:r>
          </w:p>
          <w:p>
            <w:pPr>
              <w:pStyle w:val="null3"/>
              <w:jc w:val="both"/>
            </w:pPr>
            <w:r>
              <w:rPr>
                <w:rFonts w:ascii="仿宋_GB2312" w:hAnsi="仿宋_GB2312" w:cs="仿宋_GB2312" w:eastAsia="仿宋_GB2312"/>
                <w:sz w:val="24"/>
              </w:rPr>
              <w:t>5.酱油：颜色红、亮，有光泽、透明。</w:t>
            </w:r>
          </w:p>
          <w:p>
            <w:pPr>
              <w:pStyle w:val="null3"/>
              <w:jc w:val="both"/>
            </w:pPr>
            <w:r>
              <w:rPr>
                <w:rFonts w:ascii="仿宋_GB2312" w:hAnsi="仿宋_GB2312" w:cs="仿宋_GB2312" w:eastAsia="仿宋_GB2312"/>
                <w:sz w:val="24"/>
              </w:rPr>
              <w:t>6.味精：色至白色结晶或粉末，具有特殊的鲜味，无异味，无肉眼可见杂质。</w:t>
            </w:r>
          </w:p>
          <w:p>
            <w:pPr>
              <w:pStyle w:val="null3"/>
              <w:jc w:val="both"/>
            </w:pPr>
            <w:r>
              <w:rPr>
                <w:rFonts w:ascii="仿宋_GB2312" w:hAnsi="仿宋_GB2312" w:cs="仿宋_GB2312" w:eastAsia="仿宋_GB2312"/>
                <w:sz w:val="24"/>
              </w:rPr>
              <w:t>7.酱类食品：有正常酿造酱的色泽、气味和滋味，不涩，无其他不良气味，不得有酸、苦、焦糊及其它异味、异物。</w:t>
            </w:r>
          </w:p>
          <w:p>
            <w:pPr>
              <w:pStyle w:val="null3"/>
              <w:jc w:val="both"/>
            </w:pPr>
            <w:r>
              <w:rPr>
                <w:rFonts w:ascii="仿宋_GB2312" w:hAnsi="仿宋_GB2312" w:cs="仿宋_GB2312" w:eastAsia="仿宋_GB2312"/>
                <w:sz w:val="24"/>
              </w:rPr>
              <w:t>8.淀粉制品：有各自品种固有的形态和色泽，不酸、不粘、不发霉，无变质、无异味、无杂质、无砂质。</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表一、表二</w:t>
            </w:r>
            <w:r>
              <w:rPr>
                <w:rFonts w:ascii="仿宋_GB2312" w:hAnsi="仿宋_GB2312" w:cs="仿宋_GB2312" w:eastAsia="仿宋_GB2312"/>
                <w:sz w:val="24"/>
              </w:rPr>
              <w:t>配送</w:t>
            </w:r>
            <w:r>
              <w:rPr>
                <w:rFonts w:ascii="仿宋_GB2312" w:hAnsi="仿宋_GB2312" w:cs="仿宋_GB2312" w:eastAsia="仿宋_GB2312"/>
                <w:sz w:val="24"/>
              </w:rPr>
              <w:t>时提供本批次产品的出厂（库）检验合格报告单</w:t>
            </w:r>
            <w:r>
              <w:rPr>
                <w:rFonts w:ascii="仿宋_GB2312" w:hAnsi="仿宋_GB2312" w:cs="仿宋_GB2312" w:eastAsia="仿宋_GB2312"/>
                <w:sz w:val="24"/>
              </w:rPr>
              <w:t>或</w:t>
            </w:r>
            <w:r>
              <w:rPr>
                <w:rFonts w:ascii="仿宋_GB2312" w:hAnsi="仿宋_GB2312" w:cs="仿宋_GB2312" w:eastAsia="仿宋_GB2312"/>
                <w:sz w:val="24"/>
              </w:rPr>
              <w:t>符合国家质量标准的证明材料（符合质量标准的产品质量检验报告）。</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干杂类符合《中华人民共和国食品安全法》的要求和国家质量标准。</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预包装的干杂类食材料，包装必须符合《食品标签通用标准》（</w:t>
            </w:r>
            <w:r>
              <w:rPr>
                <w:rFonts w:ascii="仿宋_GB2312" w:hAnsi="仿宋_GB2312" w:cs="仿宋_GB2312" w:eastAsia="仿宋_GB2312"/>
                <w:sz w:val="24"/>
              </w:rPr>
              <w:t>GB7718－2011）和《预包装食品营养标签通则》（GB28050-2011）标准。散装</w:t>
            </w:r>
            <w:r>
              <w:rPr>
                <w:rFonts w:ascii="仿宋_GB2312" w:hAnsi="仿宋_GB2312" w:cs="仿宋_GB2312" w:eastAsia="仿宋_GB2312"/>
                <w:sz w:val="24"/>
              </w:rPr>
              <w:t>产品</w:t>
            </w:r>
            <w:r>
              <w:rPr>
                <w:rFonts w:ascii="仿宋_GB2312" w:hAnsi="仿宋_GB2312" w:cs="仿宋_GB2312" w:eastAsia="仿宋_GB2312"/>
                <w:sz w:val="24"/>
              </w:rPr>
              <w:t>应当在散装</w:t>
            </w:r>
            <w:r>
              <w:rPr>
                <w:rFonts w:ascii="仿宋_GB2312" w:hAnsi="仿宋_GB2312" w:cs="仿宋_GB2312" w:eastAsia="仿宋_GB2312"/>
                <w:sz w:val="24"/>
              </w:rPr>
              <w:t>产</w:t>
            </w:r>
            <w:r>
              <w:rPr>
                <w:rFonts w:ascii="仿宋_GB2312" w:hAnsi="仿宋_GB2312" w:cs="仿宋_GB2312" w:eastAsia="仿宋_GB2312"/>
                <w:sz w:val="24"/>
              </w:rPr>
              <w:t>品的容器、外包装上标明</w:t>
            </w:r>
            <w:r>
              <w:rPr>
                <w:rFonts w:ascii="仿宋_GB2312" w:hAnsi="仿宋_GB2312" w:cs="仿宋_GB2312" w:eastAsia="仿宋_GB2312"/>
                <w:sz w:val="24"/>
              </w:rPr>
              <w:t>产</w:t>
            </w:r>
            <w:r>
              <w:rPr>
                <w:rFonts w:ascii="仿宋_GB2312" w:hAnsi="仿宋_GB2312" w:cs="仿宋_GB2312" w:eastAsia="仿宋_GB2312"/>
                <w:sz w:val="24"/>
              </w:rPr>
              <w:t>品的名称、生产日期或者</w:t>
            </w:r>
            <w:r>
              <w:rPr>
                <w:rFonts w:ascii="仿宋_GB2312" w:hAnsi="仿宋_GB2312" w:cs="仿宋_GB2312" w:eastAsia="仿宋_GB2312"/>
                <w:sz w:val="24"/>
              </w:rPr>
              <w:t>分装日期</w:t>
            </w:r>
            <w:r>
              <w:rPr>
                <w:rFonts w:ascii="仿宋_GB2312" w:hAnsi="仿宋_GB2312" w:cs="仿宋_GB2312" w:eastAsia="仿宋_GB2312"/>
                <w:sz w:val="24"/>
              </w:rPr>
              <w:t>、保质期以及生产经营者名称、地址、联系方式等内容。</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干杂类食材料必须做到外观色泽鲜亮，无异味、无发霉、无变质、无掺杂等。</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报价要求</w:t>
            </w:r>
          </w:p>
        </w:tc>
        <w:tc>
          <w:tcPr>
            <w:tcW w:type="dxa" w:w="5814"/>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报价：</w:t>
            </w:r>
            <w:r>
              <w:rPr>
                <w:rFonts w:ascii="仿宋_GB2312" w:hAnsi="仿宋_GB2312" w:cs="仿宋_GB2312" w:eastAsia="仿宋_GB2312"/>
                <w:sz w:val="24"/>
              </w:rPr>
              <w:t>供应商报统一结算率</w:t>
            </w:r>
            <w:r>
              <w:rPr>
                <w:rFonts w:ascii="仿宋_GB2312" w:hAnsi="仿宋_GB2312" w:cs="仿宋_GB2312" w:eastAsia="仿宋_GB2312"/>
                <w:sz w:val="24"/>
              </w:rPr>
              <w:t>(表四除外)</w:t>
            </w:r>
            <w:r>
              <w:rPr>
                <w:rFonts w:ascii="仿宋_GB2312" w:hAnsi="仿宋_GB2312" w:cs="仿宋_GB2312" w:eastAsia="仿宋_GB2312"/>
                <w:sz w:val="24"/>
              </w:rPr>
              <w:t>，所报</w:t>
            </w:r>
            <w:r>
              <w:rPr>
                <w:rFonts w:ascii="仿宋_GB2312" w:hAnsi="仿宋_GB2312" w:cs="仿宋_GB2312" w:eastAsia="仿宋_GB2312"/>
                <w:sz w:val="24"/>
              </w:rPr>
              <w:t>结算率</w:t>
            </w:r>
            <w:r>
              <w:rPr>
                <w:rFonts w:ascii="仿宋_GB2312" w:hAnsi="仿宋_GB2312" w:cs="仿宋_GB2312" w:eastAsia="仿宋_GB2312"/>
                <w:sz w:val="24"/>
              </w:rPr>
              <w:t>超过</w:t>
            </w:r>
            <w:r>
              <w:rPr>
                <w:rFonts w:ascii="仿宋_GB2312" w:hAnsi="仿宋_GB2312" w:cs="仿宋_GB2312" w:eastAsia="仿宋_GB2312"/>
                <w:sz w:val="24"/>
              </w:rPr>
              <w:t>100%</w:t>
            </w:r>
            <w:r>
              <w:rPr>
                <w:rFonts w:ascii="仿宋_GB2312" w:hAnsi="仿宋_GB2312" w:cs="仿宋_GB2312" w:eastAsia="仿宋_GB2312"/>
                <w:sz w:val="24"/>
              </w:rPr>
              <w:t>的</w:t>
            </w:r>
            <w:r>
              <w:rPr>
                <w:rFonts w:ascii="仿宋_GB2312" w:hAnsi="仿宋_GB2312" w:cs="仿宋_GB2312" w:eastAsia="仿宋_GB2312"/>
                <w:sz w:val="24"/>
              </w:rPr>
              <w:t>响应文件无效</w:t>
            </w:r>
            <w:r>
              <w:rPr>
                <w:rFonts w:ascii="仿宋_GB2312" w:hAnsi="仿宋_GB2312" w:cs="仿宋_GB2312" w:eastAsia="仿宋_GB2312"/>
                <w:sz w:val="24"/>
              </w:rPr>
              <w:t>，</w:t>
            </w:r>
            <w:r>
              <w:rPr>
                <w:rFonts w:ascii="仿宋_GB2312" w:hAnsi="仿宋_GB2312" w:cs="仿宋_GB2312" w:eastAsia="仿宋_GB2312"/>
                <w:sz w:val="24"/>
              </w:rPr>
              <w:t>采购人不接受有选择的报价</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.所有</w:t>
            </w:r>
            <w:r>
              <w:rPr>
                <w:rFonts w:ascii="仿宋_GB2312" w:hAnsi="仿宋_GB2312" w:cs="仿宋_GB2312" w:eastAsia="仿宋_GB2312"/>
                <w:sz w:val="24"/>
              </w:rPr>
              <w:t>配送</w:t>
            </w:r>
            <w:r>
              <w:rPr>
                <w:rFonts w:ascii="仿宋_GB2312" w:hAnsi="仿宋_GB2312" w:cs="仿宋_GB2312" w:eastAsia="仿宋_GB2312"/>
                <w:sz w:val="24"/>
              </w:rPr>
              <w:t>产品</w:t>
            </w:r>
            <w:r>
              <w:rPr>
                <w:rFonts w:ascii="仿宋_GB2312" w:hAnsi="仿宋_GB2312" w:cs="仿宋_GB2312" w:eastAsia="仿宋_GB2312"/>
                <w:sz w:val="24"/>
              </w:rPr>
              <w:t>结算</w:t>
            </w:r>
            <w:r>
              <w:rPr>
                <w:rFonts w:ascii="仿宋_GB2312" w:hAnsi="仿宋_GB2312" w:cs="仿宋_GB2312" w:eastAsia="仿宋_GB2312"/>
                <w:sz w:val="24"/>
              </w:rPr>
              <w:t>价格</w:t>
            </w:r>
            <w:r>
              <w:rPr>
                <w:rFonts w:ascii="仿宋_GB2312" w:hAnsi="仿宋_GB2312" w:cs="仿宋_GB2312" w:eastAsia="仿宋_GB2312"/>
                <w:sz w:val="24"/>
              </w:rPr>
              <w:t>是验收合格后的最终价格，包括</w:t>
            </w:r>
            <w:r>
              <w:rPr>
                <w:rFonts w:ascii="仿宋_GB2312" w:hAnsi="仿宋_GB2312" w:cs="仿宋_GB2312" w:eastAsia="仿宋_GB2312"/>
                <w:sz w:val="24"/>
              </w:rPr>
              <w:t>产品</w:t>
            </w:r>
            <w:r>
              <w:rPr>
                <w:rFonts w:ascii="仿宋_GB2312" w:hAnsi="仿宋_GB2312" w:cs="仿宋_GB2312" w:eastAsia="仿宋_GB2312"/>
                <w:sz w:val="24"/>
              </w:rPr>
              <w:t>运输、保险、代理、税费、本标货物分装、送检、送货等全部费用。</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此次项目为单价采购，定价不定量，</w:t>
            </w:r>
            <w:r>
              <w:rPr>
                <w:rFonts w:ascii="仿宋_GB2312" w:hAnsi="仿宋_GB2312" w:cs="仿宋_GB2312" w:eastAsia="仿宋_GB2312"/>
                <w:sz w:val="24"/>
              </w:rPr>
              <w:t>表一、表二、表三执行价格（基准价</w:t>
            </w:r>
            <w:r>
              <w:rPr>
                <w:rFonts w:ascii="仿宋_GB2312" w:hAnsi="仿宋_GB2312" w:cs="仿宋_GB2312" w:eastAsia="仿宋_GB2312"/>
                <w:sz w:val="24"/>
              </w:rPr>
              <w:t>×报价结算率，价格计算后四舍五入保留小数点后两位小数）</w:t>
            </w:r>
            <w:r>
              <w:rPr>
                <w:rFonts w:ascii="仿宋_GB2312" w:hAnsi="仿宋_GB2312" w:cs="仿宋_GB2312" w:eastAsia="仿宋_GB2312"/>
                <w:sz w:val="24"/>
              </w:rPr>
              <w:t>在</w:t>
            </w:r>
            <w:r>
              <w:rPr>
                <w:rFonts w:ascii="仿宋_GB2312" w:hAnsi="仿宋_GB2312" w:cs="仿宋_GB2312" w:eastAsia="仿宋_GB2312"/>
                <w:sz w:val="24"/>
              </w:rPr>
              <w:t>配送服务</w:t>
            </w:r>
            <w:r>
              <w:rPr>
                <w:rFonts w:ascii="仿宋_GB2312" w:hAnsi="仿宋_GB2312" w:cs="仿宋_GB2312" w:eastAsia="仿宋_GB2312"/>
                <w:sz w:val="24"/>
              </w:rPr>
              <w:t>期内恒定不变，不受市场供需变化的影响，遇涨不涨，遇降不降，成交后该价格不做调整，按实际</w:t>
            </w:r>
            <w:r>
              <w:rPr>
                <w:rFonts w:ascii="仿宋_GB2312" w:hAnsi="仿宋_GB2312" w:cs="仿宋_GB2312" w:eastAsia="仿宋_GB2312"/>
                <w:sz w:val="24"/>
              </w:rPr>
              <w:t>验收</w:t>
            </w:r>
            <w:r>
              <w:rPr>
                <w:rFonts w:ascii="仿宋_GB2312" w:hAnsi="仿宋_GB2312" w:cs="仿宋_GB2312" w:eastAsia="仿宋_GB2312"/>
                <w:sz w:val="24"/>
              </w:rPr>
              <w:t>数量结算。</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.采购清单表一、表三</w:t>
            </w:r>
            <w:r>
              <w:rPr>
                <w:rFonts w:ascii="仿宋_GB2312" w:hAnsi="仿宋_GB2312" w:cs="仿宋_GB2312" w:eastAsia="仿宋_GB2312"/>
                <w:sz w:val="24"/>
              </w:rPr>
              <w:t>中的</w:t>
            </w:r>
            <w:r>
              <w:rPr>
                <w:rFonts w:ascii="仿宋_GB2312" w:hAnsi="仿宋_GB2312" w:cs="仿宋_GB2312" w:eastAsia="仿宋_GB2312"/>
                <w:sz w:val="24"/>
              </w:rPr>
              <w:t>产品</w:t>
            </w:r>
            <w:r>
              <w:rPr>
                <w:rFonts w:ascii="仿宋_GB2312" w:hAnsi="仿宋_GB2312" w:cs="仿宋_GB2312" w:eastAsia="仿宋_GB2312"/>
                <w:sz w:val="24"/>
              </w:rPr>
              <w:t>必须注明生产厂家、</w:t>
            </w:r>
            <w:r>
              <w:rPr>
                <w:rFonts w:ascii="仿宋_GB2312" w:hAnsi="仿宋_GB2312" w:cs="仿宋_GB2312" w:eastAsia="仿宋_GB2312"/>
                <w:sz w:val="24"/>
              </w:rPr>
              <w:t>规格型号</w:t>
            </w:r>
            <w:r>
              <w:rPr>
                <w:rFonts w:ascii="仿宋_GB2312" w:hAnsi="仿宋_GB2312" w:cs="仿宋_GB2312" w:eastAsia="仿宋_GB2312"/>
                <w:sz w:val="24"/>
              </w:rPr>
              <w:t>，</w:t>
            </w:r>
            <w:r>
              <w:rPr>
                <w:rFonts w:ascii="仿宋_GB2312" w:hAnsi="仿宋_GB2312" w:cs="仿宋_GB2312" w:eastAsia="仿宋_GB2312"/>
                <w:sz w:val="24"/>
              </w:rPr>
              <w:t>采购清单表二</w:t>
            </w:r>
            <w:r>
              <w:rPr>
                <w:rFonts w:ascii="仿宋_GB2312" w:hAnsi="仿宋_GB2312" w:cs="仿宋_GB2312" w:eastAsia="仿宋_GB2312"/>
                <w:sz w:val="24"/>
              </w:rPr>
              <w:t>中的</w:t>
            </w:r>
            <w:r>
              <w:rPr>
                <w:rFonts w:ascii="仿宋_GB2312" w:hAnsi="仿宋_GB2312" w:cs="仿宋_GB2312" w:eastAsia="仿宋_GB2312"/>
                <w:sz w:val="24"/>
              </w:rPr>
              <w:t>产品</w:t>
            </w:r>
            <w:r>
              <w:rPr>
                <w:rFonts w:ascii="仿宋_GB2312" w:hAnsi="仿宋_GB2312" w:cs="仿宋_GB2312" w:eastAsia="仿宋_GB2312"/>
                <w:sz w:val="24"/>
              </w:rPr>
              <w:t>必须注明产地</w:t>
            </w:r>
            <w:r>
              <w:rPr>
                <w:rFonts w:ascii="仿宋_GB2312" w:hAnsi="仿宋_GB2312" w:cs="仿宋_GB2312" w:eastAsia="仿宋_GB2312"/>
                <w:sz w:val="24"/>
              </w:rPr>
              <w:t>、</w:t>
            </w:r>
            <w:r>
              <w:rPr>
                <w:rFonts w:ascii="仿宋_GB2312" w:hAnsi="仿宋_GB2312" w:cs="仿宋_GB2312" w:eastAsia="仿宋_GB2312"/>
                <w:sz w:val="24"/>
              </w:rPr>
              <w:t>生产</w:t>
            </w:r>
            <w:r>
              <w:rPr>
                <w:rFonts w:ascii="仿宋_GB2312" w:hAnsi="仿宋_GB2312" w:cs="仿宋_GB2312" w:eastAsia="仿宋_GB2312"/>
                <w:sz w:val="24"/>
              </w:rPr>
              <w:t>商或供货商</w:t>
            </w:r>
            <w:r>
              <w:rPr>
                <w:rFonts w:ascii="仿宋_GB2312" w:hAnsi="仿宋_GB2312" w:cs="仿宋_GB2312" w:eastAsia="仿宋_GB2312"/>
                <w:sz w:val="24"/>
              </w:rPr>
              <w:t>，</w:t>
            </w:r>
            <w:r>
              <w:rPr>
                <w:rFonts w:ascii="仿宋_GB2312" w:hAnsi="仿宋_GB2312" w:cs="仿宋_GB2312" w:eastAsia="仿宋_GB2312"/>
                <w:sz w:val="24"/>
              </w:rPr>
              <w:t>否则其</w:t>
            </w:r>
            <w:r>
              <w:rPr>
                <w:rFonts w:ascii="仿宋_GB2312" w:hAnsi="仿宋_GB2312" w:cs="仿宋_GB2312" w:eastAsia="仿宋_GB2312"/>
                <w:sz w:val="24"/>
              </w:rPr>
              <w:t>响应文件无效。</w:t>
            </w:r>
            <w:r>
              <w:rPr>
                <w:rFonts w:ascii="仿宋_GB2312" w:hAnsi="仿宋_GB2312" w:cs="仿宋_GB2312" w:eastAsia="仿宋_GB2312"/>
                <w:sz w:val="24"/>
              </w:rPr>
              <w:t>供应商履约过程中配送的产品与报价表中注明的生产厂家必须保持一致，不得以任何理由更换生产厂家和产品的品质（不可抗力因素除外）；使用过程中，根据师生反馈情况，采购人有权要求调换同类同价格产品。</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食品安全要求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1）成交供应商对配送产品的质量安全负责，若因产品本身质量问题或配送中污染、变质造成食品安全事件，成交供应商负全部责任。</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产品发生质量安全事件时，成交供应商负责人必须立即到现场妥善处理，负责做好入院就医事项，做好安抚工作，并承担所产生的一切费用，因质量问题造成身体伤害及经济损失时，由成交供应商负责全部赔偿。</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3）因食用供餐发生食物中毒，经有关单位鉴定原因后，如确定为成交供应商提供之货品问题，成交供应商除需负担全数医药费及赔偿相关一切损失之外，应承担法律上一切责任，同时办理解约事宜。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合同签订前</w:t>
            </w:r>
            <w:r>
              <w:rPr>
                <w:rFonts w:ascii="仿宋_GB2312" w:hAnsi="仿宋_GB2312" w:cs="仿宋_GB2312" w:eastAsia="仿宋_GB2312"/>
                <w:sz w:val="24"/>
              </w:rPr>
              <w:t>供应商提</w:t>
            </w:r>
            <w:r>
              <w:rPr>
                <w:rFonts w:ascii="仿宋_GB2312" w:hAnsi="仿宋_GB2312" w:cs="仿宋_GB2312" w:eastAsia="仿宋_GB2312"/>
                <w:sz w:val="24"/>
              </w:rPr>
              <w:t>交一份食品安全责任</w:t>
            </w:r>
            <w:r>
              <w:rPr>
                <w:rFonts w:ascii="仿宋_GB2312" w:hAnsi="仿宋_GB2312" w:cs="仿宋_GB2312" w:eastAsia="仿宋_GB2312"/>
                <w:sz w:val="24"/>
              </w:rPr>
              <w:t>保险</w:t>
            </w:r>
            <w:r>
              <w:rPr>
                <w:rFonts w:ascii="仿宋_GB2312" w:hAnsi="仿宋_GB2312" w:cs="仿宋_GB2312" w:eastAsia="仿宋_GB2312"/>
                <w:sz w:val="24"/>
              </w:rPr>
              <w:t>保单（</w:t>
            </w:r>
            <w:r>
              <w:rPr>
                <w:rFonts w:ascii="仿宋_GB2312" w:hAnsi="仿宋_GB2312" w:cs="仿宋_GB2312" w:eastAsia="仿宋_GB2312"/>
                <w:sz w:val="24"/>
              </w:rPr>
              <w:t>保单累计赔偿限额</w:t>
            </w:r>
            <w:r>
              <w:rPr>
                <w:rFonts w:ascii="仿宋_GB2312" w:hAnsi="仿宋_GB2312" w:cs="仿宋_GB2312" w:eastAsia="仿宋_GB2312"/>
                <w:sz w:val="24"/>
              </w:rPr>
              <w:t>≥</w:t>
            </w:r>
            <w:r>
              <w:rPr>
                <w:rFonts w:ascii="仿宋_GB2312" w:hAnsi="仿宋_GB2312" w:cs="仿宋_GB2312" w:eastAsia="仿宋_GB2312"/>
                <w:sz w:val="24"/>
              </w:rPr>
              <w:t>1100万元、每次事故赔偿限额</w:t>
            </w:r>
            <w:r>
              <w:rPr>
                <w:rFonts w:ascii="仿宋_GB2312" w:hAnsi="仿宋_GB2312" w:cs="仿宋_GB2312" w:eastAsia="仿宋_GB2312"/>
                <w:sz w:val="24"/>
              </w:rPr>
              <w:t>≥</w:t>
            </w:r>
            <w:r>
              <w:rPr>
                <w:rFonts w:ascii="仿宋_GB2312" w:hAnsi="仿宋_GB2312" w:cs="仿宋_GB2312" w:eastAsia="仿宋_GB2312"/>
                <w:sz w:val="24"/>
              </w:rPr>
              <w:t>110万元</w:t>
            </w:r>
            <w:r>
              <w:rPr>
                <w:rFonts w:ascii="仿宋_GB2312" w:hAnsi="仿宋_GB2312" w:cs="仿宋_GB2312" w:eastAsia="仿宋_GB2312"/>
                <w:sz w:val="24"/>
              </w:rPr>
              <w:t>）复印件（加盖公章）给</w:t>
            </w:r>
            <w:r>
              <w:rPr>
                <w:rFonts w:ascii="仿宋_GB2312" w:hAnsi="仿宋_GB2312" w:cs="仿宋_GB2312" w:eastAsia="仿宋_GB2312"/>
                <w:sz w:val="24"/>
              </w:rPr>
              <w:t>采购人</w:t>
            </w:r>
            <w:r>
              <w:rPr>
                <w:rFonts w:ascii="仿宋_GB2312" w:hAnsi="仿宋_GB2312" w:cs="仿宋_GB2312" w:eastAsia="仿宋_GB2312"/>
                <w:sz w:val="24"/>
              </w:rPr>
              <w:t>核实、留存，并保证供货期间保额不得降低。</w:t>
            </w:r>
            <w:r>
              <w:rPr>
                <w:rFonts w:ascii="仿宋_GB2312" w:hAnsi="仿宋_GB2312" w:cs="仿宋_GB2312" w:eastAsia="仿宋_GB2312"/>
                <w:sz w:val="24"/>
                <w:b/>
              </w:rPr>
              <w:t>提供承诺函，格式自拟</w:t>
            </w:r>
            <w:r>
              <w:rPr>
                <w:rFonts w:ascii="仿宋_GB2312" w:hAnsi="仿宋_GB2312" w:cs="仿宋_GB2312" w:eastAsia="仿宋_GB2312"/>
                <w:sz w:val="24"/>
                <w:b/>
              </w:rPr>
              <w:t>并加盖</w:t>
            </w:r>
            <w:r>
              <w:rPr>
                <w:rFonts w:ascii="仿宋_GB2312" w:hAnsi="仿宋_GB2312" w:cs="仿宋_GB2312" w:eastAsia="仿宋_GB2312"/>
                <w:sz w:val="24"/>
                <w:b/>
              </w:rPr>
              <w:t>供应商</w:t>
            </w:r>
            <w:r>
              <w:rPr>
                <w:rFonts w:ascii="仿宋_GB2312" w:hAnsi="仿宋_GB2312" w:cs="仿宋_GB2312" w:eastAsia="仿宋_GB2312"/>
                <w:sz w:val="24"/>
                <w:b/>
              </w:rPr>
              <w:t>公章</w:t>
            </w:r>
            <w:r>
              <w:rPr>
                <w:rFonts w:ascii="仿宋_GB2312" w:hAnsi="仿宋_GB2312" w:cs="仿宋_GB2312" w:eastAsia="仿宋_GB2312"/>
                <w:sz w:val="24"/>
                <w:b/>
              </w:rPr>
              <w:t>，否则响应文件无效</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2.供应商承诺中标后签订合同前，打印并胶装一份响应文件（与投标时内容保持一致）交采购人存档。</w:t>
            </w:r>
            <w:r>
              <w:rPr>
                <w:rFonts w:ascii="仿宋_GB2312" w:hAnsi="仿宋_GB2312" w:cs="仿宋_GB2312" w:eastAsia="仿宋_GB2312"/>
                <w:sz w:val="24"/>
                <w:b/>
              </w:rPr>
              <w:t>（提供承诺函，格式自拟</w:t>
            </w:r>
            <w:r>
              <w:rPr>
                <w:rFonts w:ascii="仿宋_GB2312" w:hAnsi="仿宋_GB2312" w:cs="仿宋_GB2312" w:eastAsia="仿宋_GB2312"/>
                <w:sz w:val="24"/>
                <w:b/>
              </w:rPr>
              <w:t>并加盖</w:t>
            </w:r>
            <w:r>
              <w:rPr>
                <w:rFonts w:ascii="仿宋_GB2312" w:hAnsi="仿宋_GB2312" w:cs="仿宋_GB2312" w:eastAsia="仿宋_GB2312"/>
                <w:sz w:val="24"/>
                <w:b/>
              </w:rPr>
              <w:t>供应商</w:t>
            </w:r>
            <w:r>
              <w:rPr>
                <w:rFonts w:ascii="仿宋_GB2312" w:hAnsi="仿宋_GB2312" w:cs="仿宋_GB2312" w:eastAsia="仿宋_GB2312"/>
                <w:sz w:val="24"/>
                <w:b/>
              </w:rPr>
              <w:t>公章</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b/>
              </w:rPr>
              <w:t>供应商按照附件“3投标（响应）文件其他补充材料”中“一、配送产品生产厂商、规格型号”格式填写产品生产厂商、规格型号。</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2025年8月1日至2026年7月31日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采购人发出采购需求通知后，成交供应商按采购人通知的数量、时间等要求送达指定地点，紧急情况下，送货时间不超过4小时</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一、验收组织方式： 采购包1： 自行验收； 二、是否邀请本项目的其他供应商： 采购包1： 否； 三、是否邀请专家： 采购包1： 否； 四、是否邀请服务对象： 采购包1： 否； 五、是否邀请第三方检测机构： 采购包1： 否； 六、履约验收程序： 采购包1： 分段/分期验收； 七、履约验收时间： 采购包1：供应商每批次提出验收申请，达到验收条件起 1 日内，验收本批次总金额的 100%。 八、技术履约验收内容： 采购包1： 按照本项目采购文件中“技术、服务要求”及成交人响应文件进行验收。 九、商务履约验收内容： 采购包1： 按照本项目采购文件中“商务要求”及成交人响应文件进行验收。 十、履约验收标准： 采购包1： 采购人按照《财政部关于进一步加强政府采购需求和履约验收管理的指导意见》（财库〔2016〕205号）等政府采购相关法律法规的要求以及按照采购文件技术要求、商务要求以及供应商的响应文件响应进行验收。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按月支付，每月对账结算后，采购人支付货款（遇寒暑假、法定节假日、周末休息日顺延），供应商需在每次申请付款前开具正规增值税专用发票/增值税普通发票，采购人收到发票后，达到付款条件起20日内，据实情况说明为据实支付相应货款（注：双方一个月结算一次货款，每月5号之前，双方凭签字确认的送货单对上个月供货数量进行对账结算，形成对账单，经双方确认无误由合同指定人员签字确认。若供应商形成对账单后，采购人在收到供应商对账请求的20个日历天内（遇寒暑假、法定节假日、周末休息日顺延）迟迟不予对账，则视为采购人认可供应商单方制作的对账单结算金额）</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（一）采购人违约责任 1.在合同有效期内，供应商所供货物符合国家相关标准，采购人无正当理由拒收货物的，采购人应偿付当批次货物总价5%的违约金。 2.采购人无正当理由逾期支付货款的，除应及时付足货款外，应向供应商偿付欠款总额 0.05 % /天的违约金；逾期付款超过20个工作日的，供应商有权解除合同。 （二）供应商违约责任 如发生以下情形中之一的，采购人有权要求供应商承担违约责任（违约金可在履约保证金中抵扣）： 1.采购人发出供货通知后，供应商以任何理由推诿、拖延，未按采购人通知的交货时间、地点及数量供货，经催告后仍不按要求供货的，采购人有权在其他供应商处实施该批次货物的采购，采购货物产生的差价由供应商承担；并且每发生一次供应商向采购人交纳违约金1000元。 2.供应商不按合同规定的标准、质量提供货物，除进行退货处理外，供应商应支付采购人该批次货物价值2倍的违约金。 3.若供应商在合同期间有不良记录累计三次及以上，采购人有权解除合同，除要求供应商支付违约金外，采购人还可以没收供应商50%的履约保证金。 4.供应商不得转让供货资格，否则采购人将立即解除合同，并不再退还履约保证金。 5.因供应商原因（除上述第4条外）造成合同解除的，采购人将在其他供应商处采购本合同货物，采购期间（直到重新招标采购合同签订前）产生的差价及重新招标产生的所有费用均由供应商承担。 6.供应商所供产品在注明的保质期内，若抽检不合格或发生其他卫生、质量等问题（以双方共同委托第三方检测或政府相关部门检查结果为准），每发生一次供应商向采购人交纳违约金10000元，并由供应商承担因产品卫生、质量问题造成的全部损失。 （三）因一方违约行为而导致合同解除的，违约方应承担合同解除给守约方造成的全部损失。</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供应商需提供实施方案、售后服务方案、履约能力、业绩等证明材料，具体要求详见评分标准。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sz w:val="28"/>
        </w:rPr>
        <w:t>第三章</w:t>
      </w:r>
      <w:r>
        <w:rPr>
          <w:rFonts w:ascii="仿宋_GB2312" w:hAnsi="仿宋_GB2312" w:cs="仿宋_GB2312" w:eastAsia="仿宋_GB2312"/>
          <w:sz w:val="28"/>
        </w:rPr>
        <w:t>“技术、服务及其他要求”</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sz w:val="28"/>
        </w:rPr>
        <w:t>第七章</w:t>
      </w:r>
      <w:r>
        <w:rPr>
          <w:rFonts w:ascii="仿宋_GB2312" w:hAnsi="仿宋_GB2312" w:cs="仿宋_GB2312" w:eastAsia="仿宋_GB2312"/>
          <w:sz w:val="28"/>
        </w:rPr>
        <w:t>“拟签订采购合同文本 ”中全部内容</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响应文件封面,1投标（响应）文件资格补充材料.docx,投标（响应）函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或根据实际情况提供以下材料之一：①可提供财务状况报告【（包含审计报告和审计报告中所涉及的财务报表】；②也可提供任意一个月投标人内部的财务报表复印件【供应商自行出具至少包含资产负债表】；③也可提供银行出具的资信证明复印件；④新成立不足1年或1个财务年度的也可提供加盖公章的验资报告或营业执照副本复印件或资产负债表或在工商部门备案的公司章程复印件；⑤非营利性单位或其他机关事业单位以符合财务会计制度为准。</w:t>
            </w:r>
          </w:p>
        </w:tc>
        <w:tc>
          <w:tcPr>
            <w:tcW w:type="dxa" w:w="1910"/>
          </w:tcPr>
          <w:p>
            <w:pPr>
              <w:pStyle w:val="null3"/>
              <w:jc w:val="left"/>
            </w:pPr>
            <w:r>
              <w:rPr>
                <w:rFonts w:ascii="仿宋_GB2312" w:hAnsi="仿宋_GB2312" w:cs="仿宋_GB2312" w:eastAsia="仿宋_GB2312"/>
              </w:rPr>
              <w:t>1投标（响应）文件资格补充材料.docx,投标（响应）函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本采购包属于专门面向小微企业采购。</w:t>
            </w:r>
          </w:p>
        </w:tc>
        <w:tc>
          <w:tcPr>
            <w:tcW w:type="dxa" w:w="3239"/>
          </w:tcPr>
          <w:p>
            <w:pPr>
              <w:pStyle w:val="null3"/>
              <w:jc w:val="left"/>
            </w:pPr>
            <w:r>
              <w:rPr>
                <w:rFonts w:ascii="仿宋_GB2312" w:hAnsi="仿宋_GB2312" w:cs="仿宋_GB2312" w:eastAsia="仿宋_GB2312"/>
              </w:rPr>
              <w:t xml:space="preserve"> 本采购包属于专门面向小微企业采购。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供应商具有国家行政主管部门颁发且有效的《食品经营许可证》（食品经营许可电子证书与纸质食品经营许可证书具有同等法律效力）</w:t>
            </w:r>
          </w:p>
        </w:tc>
        <w:tc>
          <w:tcPr>
            <w:tcW w:type="dxa" w:w="3322"/>
          </w:tcPr>
          <w:p>
            <w:pPr>
              <w:pStyle w:val="null3"/>
              <w:jc w:val="left"/>
            </w:pPr>
            <w:r>
              <w:rPr>
                <w:rFonts w:ascii="仿宋_GB2312" w:hAnsi="仿宋_GB2312" w:cs="仿宋_GB2312" w:eastAsia="仿宋_GB2312"/>
              </w:rPr>
              <w:t>供应商具有国家行政主管部门颁发且有效的《食品经营许可证》（食品经营许可电子证书与纸质食品经营许可证书具有同等法律效力）。提供相关证书扫描件进行电子签章。</w:t>
            </w:r>
          </w:p>
        </w:tc>
        <w:tc>
          <w:tcPr>
            <w:tcW w:type="dxa" w:w="1910"/>
          </w:tcPr>
          <w:p>
            <w:pPr>
              <w:pStyle w:val="null3"/>
              <w:jc w:val="left"/>
            </w:pPr>
            <w:r>
              <w:rPr>
                <w:rFonts w:ascii="仿宋_GB2312" w:hAnsi="仿宋_GB2312" w:cs="仿宋_GB2312" w:eastAsia="仿宋_GB2312"/>
              </w:rPr>
              <w:t>1投标（响应）文件资格补充材料.docx,投标（响应）函</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符合采购文件得实质性要求</w:t>
            </w:r>
          </w:p>
        </w:tc>
        <w:tc>
          <w:tcPr>
            <w:tcW w:type="dxa" w:w="3322"/>
          </w:tcPr>
          <w:p>
            <w:pPr>
              <w:pStyle w:val="null3"/>
              <w:jc w:val="left"/>
            </w:pPr>
            <w:r>
              <w:rPr>
                <w:rFonts w:ascii="仿宋_GB2312" w:hAnsi="仿宋_GB2312" w:cs="仿宋_GB2312" w:eastAsia="仿宋_GB2312"/>
              </w:rPr>
              <w:t>因一体化系统格式固化，上述第1条的“具体标准和要求”不适用第三章实质性要求，以此为准：是否满足采购文件第三章实质性要求</w:t>
            </w:r>
          </w:p>
        </w:tc>
        <w:tc>
          <w:tcPr>
            <w:tcW w:type="dxa" w:w="1910"/>
          </w:tcPr>
          <w:p>
            <w:pPr>
              <w:pStyle w:val="null3"/>
              <w:jc w:val="left"/>
            </w:pPr>
            <w:r>
              <w:rPr>
                <w:rFonts w:ascii="仿宋_GB2312" w:hAnsi="仿宋_GB2312" w:cs="仿宋_GB2312" w:eastAsia="仿宋_GB2312"/>
              </w:rPr>
              <w:t>2实质性要求承诺函.docx,3投标（响应）文件其他补充材料.docx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不正当竞争</w:t>
            </w:r>
          </w:p>
        </w:tc>
        <w:tc>
          <w:tcPr>
            <w:tcW w:type="dxa" w:w="3322"/>
          </w:tcPr>
          <w:p>
            <w:pPr>
              <w:pStyle w:val="null3"/>
              <w:jc w:val="left"/>
            </w:pPr>
            <w:r>
              <w:rPr>
                <w:rFonts w:ascii="仿宋_GB2312" w:hAnsi="仿宋_GB2312" w:cs="仿宋_GB2312" w:eastAsia="仿宋_GB2312"/>
              </w:rPr>
              <w:t>在评审过程中，评审委员会认为供应商报价明显低于其他通过符合性审查供应商的报价，有可能影响产品质量或者不能诚信履约的，评审委员会应当要求其在合理的时间内通过项目电子化交易系统进行书面说明，必要时提交相关证明材料。供应商书面说明应当按照国家财务会计制度的规定要求，逐项就供应商提供的货物、工程和服务的主营业务成本（应根据供应商企业类型予以区别）、税金及附加、销售费用、管理费用、财务费用等成本构成事项详细陈述。供应商提交的书面说明，应当加盖供应商公章，在评审委员会要求的时间内通过项目电子化交易系统进行提交，否则视为不能证明其报价合理性。供应商不能证明其投标报价合理性的，评审委员会应当将其响应文件作为无效响应处理。</w:t>
            </w:r>
          </w:p>
        </w:tc>
        <w:tc>
          <w:tcPr>
            <w:tcW w:type="dxa" w:w="1910"/>
          </w:tcPr>
          <w:p>
            <w:pPr>
              <w:pStyle w:val="null3"/>
              <w:jc w:val="left"/>
            </w:pPr>
            <w:r>
              <w:rPr>
                <w:rFonts w:ascii="仿宋_GB2312" w:hAnsi="仿宋_GB2312" w:cs="仿宋_GB2312" w:eastAsia="仿宋_GB2312"/>
              </w:rPr>
              <w:t>报价表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实施方案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实施方案</w:t>
            </w:r>
          </w:p>
        </w:tc>
        <w:tc>
          <w:tcPr>
            <w:tcW w:type="dxa" w:w="2575"/>
          </w:tcPr>
          <w:p>
            <w:pPr>
              <w:pStyle w:val="null3"/>
              <w:jc w:val="left"/>
            </w:pPr>
            <w:r>
              <w:rPr>
                <w:rFonts w:ascii="仿宋_GB2312" w:hAnsi="仿宋_GB2312" w:cs="仿宋_GB2312" w:eastAsia="仿宋_GB2312"/>
              </w:rPr>
              <w:t>根据投标人针对本项目作出的实施方案进行综合评审，包含但不限于： ①食品的生产（或采购）管理及配送方案 ②运输保质保鲜措施 ③食品质量安全管理体系及食品来源追溯体系 ④岗位职责、应急措施及人员安排 ⑤安全管理台账及安全保障措施 ⑥食品安全事故应急预案 方案包含上述6项且内容完整，无缺陷或错误的得30分。每有1项要素缺项的扣5分；每存在1处错误或缺陷扣2.5分，扣完为止。错误或缺陷是指：（1）响应文件中引用的法律、规范、标准存在失效或错误；（2）非专门针对本项目或内容与本项目需求无关；（3）仅有标题或框架，未作进一步详细描述；（4）复制或套用其他项目内容；（5）响应内容存在歧义、前后逻辑错误，或存在不可能实现的夸大情形等。 注：以评审专家结合项目实际情况和投标文件响应独立评审为准。</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3投标（响应）文件其他补充材料.docx</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根据投标人作出的售后服务方案进行综合评审，包含但不限于： ①售后服务措施 ②售后人员配备 ③响应时间及速度 ④退换货方案 ⑤应急处理方案 方案包含上述5项且内容完整，无缺陷或错误的得20分，每有一项要素缺项的扣4分；每存在1处错误或缺陷扣2分，扣完为止。 错误或缺陷是指：（1）响应文件中引用的法律、规范、标准存在失效或错误；（2）非专门针对本项目或内容与本项目需求无关；（3）仅有标题或框架，未作进一步详细描述；（4）复制或套用其他项目内容；（5）响应文件存在歧义、前后逻辑错误，或存在不可能实现的夸大情形等。 注：以评审专家结合项目实际情况和投标文件响应独立评审为准。</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3投标（响应）文件其他补充材料.docx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1.供应商提供自有或租赁配送车辆的，每有一辆得2分，本项最多得6分，未提供不得分。 （自有的提供车辆行驶证复印件、车辆图片加盖供应商公章，租赁的提供车辆租赁合同复印件及车辆行驶证复印件、车辆图片加盖供应商公章） 2.供应商为本项目配备专业配送服务团队，每有一名稳定的具备健康证的专业配送人员得2分，未提供不得分。本项最多得4分。（提供以上人员身份证复印件、健康证复印件、在职证明加盖供应商公章。）</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3投标（响应）文件其他补充材料.docx</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575"/>
          </w:tcPr>
          <w:p>
            <w:pPr>
              <w:pStyle w:val="null3"/>
              <w:jc w:val="left"/>
            </w:pPr>
            <w:r>
              <w:rPr>
                <w:rFonts w:ascii="仿宋_GB2312" w:hAnsi="仿宋_GB2312" w:cs="仿宋_GB2312" w:eastAsia="仿宋_GB2312"/>
              </w:rPr>
              <w:t>供应商自2022年1月1日（以合同签订之日为准）至响应文件递交截止之日止，每具有一个类似业绩的得2分，本项最高得10分。 注：1. 类似业绩中包含有调味品或干杂的配送； 提供合同复印件； 提供合同对应的任意一张收款发票复印件或增值税发票开票软件中开票记录凭证完整内容截图并加盖公章； 4.类似业绩证明材料不全的不得分。</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3投标（响应）文件其他补充材料.docx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w:t>
            </w:r>
          </w:p>
        </w:tc>
        <w:tc>
          <w:tcPr>
            <w:tcW w:type="dxa" w:w="2575"/>
          </w:tcPr>
          <w:p>
            <w:pPr>
              <w:pStyle w:val="null3"/>
              <w:jc w:val="left"/>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磋商报价得分=（磋商基准价/最后磋商报价）×30</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详见附件：1投标（响应）文件资格补充材料.docx</w:t>
      </w:r>
    </w:p>
    <w:p>
      <w:pPr>
        <w:pStyle w:val="null3"/>
        <w:ind w:firstLine="960"/>
        <w:jc w:val="left"/>
      </w:pPr>
      <w:r>
        <w:rPr>
          <w:rFonts w:ascii="仿宋_GB2312" w:hAnsi="仿宋_GB2312" w:cs="仿宋_GB2312" w:eastAsia="仿宋_GB2312"/>
        </w:rPr>
        <w:t>详见附件：2实质性要求承诺函.docx</w:t>
      </w:r>
    </w:p>
    <w:p>
      <w:pPr>
        <w:pStyle w:val="null3"/>
        <w:ind w:firstLine="960"/>
        <w:jc w:val="left"/>
      </w:pPr>
      <w:r>
        <w:rPr>
          <w:rFonts w:ascii="仿宋_GB2312" w:hAnsi="仿宋_GB2312" w:cs="仿宋_GB2312" w:eastAsia="仿宋_GB2312"/>
        </w:rPr>
        <w:t>详见附件：3投标（响应）文件其他补充材料.docx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pPr>
      <w:r>
        <w:rPr>
          <w:rFonts w:ascii="仿宋_GB2312" w:hAnsi="仿宋_GB2312" w:cs="仿宋_GB2312" w:eastAsia="仿宋_GB2312"/>
        </w:rPr>
        <w:t>详见附件：4.21合同模板.docx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