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D1F4FA">
      <w:pPr>
        <w:jc w:val="center"/>
        <w:rPr>
          <w:rFonts w:hint="eastAsia" w:ascii="Calibri" w:hAnsi="Calibri" w:eastAsia="宋体"/>
          <w:color w:val="auto"/>
          <w:sz w:val="28"/>
          <w:szCs w:val="28"/>
          <w:highlight w:val="none"/>
          <w:lang w:eastAsia="zh-CN"/>
        </w:rPr>
      </w:pPr>
      <w:r>
        <w:rPr>
          <w:rFonts w:hint="eastAsia" w:hAnsi="宋体" w:cs="宋体"/>
          <w:b/>
          <w:bCs/>
          <w:color w:val="auto"/>
          <w:sz w:val="28"/>
          <w:szCs w:val="28"/>
          <w:highlight w:val="none"/>
          <w:lang w:eastAsia="zh-CN"/>
        </w:rPr>
        <w:t>【</w:t>
      </w:r>
      <w:r>
        <w:rPr>
          <w:rFonts w:hint="eastAsia" w:hAnsi="宋体" w:cs="宋体"/>
          <w:b/>
          <w:bCs/>
          <w:color w:val="auto"/>
          <w:sz w:val="28"/>
          <w:szCs w:val="28"/>
          <w:highlight w:val="none"/>
          <w:lang w:val="en-US" w:eastAsia="zh-CN"/>
        </w:rPr>
        <w:t>本合同模板为通用模板，</w:t>
      </w:r>
      <w:r>
        <w:rPr>
          <w:rFonts w:hint="eastAsia" w:hAnsi="宋体" w:cs="宋体"/>
          <w:b/>
          <w:bCs/>
          <w:color w:val="auto"/>
          <w:sz w:val="28"/>
          <w:szCs w:val="28"/>
          <w:highlight w:val="none"/>
        </w:rPr>
        <w:t>具体由采购人、</w:t>
      </w:r>
      <w:r>
        <w:rPr>
          <w:rFonts w:hint="eastAsia" w:hAnsi="宋体" w:cs="宋体"/>
          <w:b/>
          <w:bCs/>
          <w:color w:val="auto"/>
          <w:sz w:val="28"/>
          <w:szCs w:val="28"/>
          <w:highlight w:val="none"/>
          <w:lang w:val="en-US" w:eastAsia="zh-CN"/>
        </w:rPr>
        <w:t>中标（</w:t>
      </w:r>
      <w:r>
        <w:rPr>
          <w:rFonts w:hint="eastAsia" w:hAnsi="宋体" w:cs="宋体"/>
          <w:b/>
          <w:bCs/>
          <w:color w:val="auto"/>
          <w:sz w:val="28"/>
          <w:szCs w:val="28"/>
          <w:highlight w:val="none"/>
        </w:rPr>
        <w:t>成交</w:t>
      </w:r>
      <w:r>
        <w:rPr>
          <w:rFonts w:hint="eastAsia" w:hAnsi="宋体" w:cs="宋体"/>
          <w:b/>
          <w:bCs/>
          <w:color w:val="auto"/>
          <w:sz w:val="28"/>
          <w:szCs w:val="28"/>
          <w:highlight w:val="none"/>
          <w:lang w:val="en-US" w:eastAsia="zh-CN"/>
        </w:rPr>
        <w:t>）</w:t>
      </w:r>
      <w:r>
        <w:rPr>
          <w:rFonts w:hint="eastAsia" w:hAnsi="宋体" w:cs="宋体"/>
          <w:b/>
          <w:bCs/>
          <w:color w:val="auto"/>
          <w:sz w:val="28"/>
          <w:szCs w:val="28"/>
          <w:highlight w:val="none"/>
        </w:rPr>
        <w:t>供应商共同按</w:t>
      </w:r>
      <w:r>
        <w:rPr>
          <w:rFonts w:hint="eastAsia" w:hAnsi="宋体" w:cs="宋体"/>
          <w:b/>
          <w:bCs/>
          <w:color w:val="auto"/>
          <w:sz w:val="28"/>
          <w:szCs w:val="28"/>
          <w:highlight w:val="none"/>
          <w:lang w:val="en-US" w:eastAsia="zh-CN"/>
        </w:rPr>
        <w:t>招标（采购）</w:t>
      </w:r>
      <w:r>
        <w:rPr>
          <w:rFonts w:hint="eastAsia" w:hAnsi="宋体" w:cs="宋体"/>
          <w:b/>
          <w:bCs/>
          <w:color w:val="auto"/>
          <w:sz w:val="28"/>
          <w:szCs w:val="28"/>
          <w:highlight w:val="none"/>
        </w:rPr>
        <w:t>文件、</w:t>
      </w:r>
      <w:r>
        <w:rPr>
          <w:rFonts w:hint="eastAsia" w:hAnsi="宋体" w:cs="宋体"/>
          <w:b/>
          <w:bCs/>
          <w:color w:val="auto"/>
          <w:sz w:val="28"/>
          <w:szCs w:val="28"/>
          <w:highlight w:val="none"/>
          <w:lang w:val="en-US" w:eastAsia="zh-CN"/>
        </w:rPr>
        <w:t>中标（</w:t>
      </w:r>
      <w:r>
        <w:rPr>
          <w:rFonts w:hint="eastAsia" w:hAnsi="宋体" w:cs="宋体"/>
          <w:b/>
          <w:bCs/>
          <w:color w:val="auto"/>
          <w:sz w:val="28"/>
          <w:szCs w:val="28"/>
          <w:highlight w:val="none"/>
        </w:rPr>
        <w:t>成交</w:t>
      </w:r>
      <w:r>
        <w:rPr>
          <w:rFonts w:hint="eastAsia" w:hAnsi="宋体" w:cs="宋体"/>
          <w:b/>
          <w:bCs/>
          <w:color w:val="auto"/>
          <w:sz w:val="28"/>
          <w:szCs w:val="28"/>
          <w:highlight w:val="none"/>
          <w:lang w:val="en-US" w:eastAsia="zh-CN"/>
        </w:rPr>
        <w:t>）</w:t>
      </w:r>
      <w:r>
        <w:rPr>
          <w:rFonts w:hint="eastAsia" w:hAnsi="宋体" w:cs="宋体"/>
          <w:b/>
          <w:bCs/>
          <w:color w:val="auto"/>
          <w:sz w:val="28"/>
          <w:szCs w:val="28"/>
          <w:highlight w:val="none"/>
        </w:rPr>
        <w:t>供应商</w:t>
      </w:r>
      <w:r>
        <w:rPr>
          <w:rFonts w:hint="eastAsia" w:hAnsi="宋体" w:cs="宋体"/>
          <w:b/>
          <w:bCs/>
          <w:color w:val="auto"/>
          <w:sz w:val="28"/>
          <w:szCs w:val="28"/>
          <w:highlight w:val="none"/>
          <w:lang w:val="en-US" w:eastAsia="zh-CN"/>
        </w:rPr>
        <w:t>投标（</w:t>
      </w:r>
      <w:r>
        <w:rPr>
          <w:rFonts w:hint="eastAsia" w:hAnsi="宋体" w:cs="宋体"/>
          <w:b/>
          <w:bCs/>
          <w:color w:val="auto"/>
          <w:sz w:val="28"/>
          <w:szCs w:val="28"/>
          <w:highlight w:val="none"/>
        </w:rPr>
        <w:t>响应</w:t>
      </w:r>
      <w:r>
        <w:rPr>
          <w:rFonts w:hint="eastAsia" w:hAnsi="宋体" w:cs="宋体"/>
          <w:b/>
          <w:bCs/>
          <w:color w:val="auto"/>
          <w:sz w:val="28"/>
          <w:szCs w:val="28"/>
          <w:highlight w:val="none"/>
          <w:lang w:val="en-US" w:eastAsia="zh-CN"/>
        </w:rPr>
        <w:t>）</w:t>
      </w:r>
      <w:r>
        <w:rPr>
          <w:rFonts w:hint="eastAsia" w:hAnsi="宋体" w:cs="宋体"/>
          <w:b/>
          <w:bCs/>
          <w:color w:val="auto"/>
          <w:sz w:val="28"/>
          <w:szCs w:val="28"/>
          <w:highlight w:val="none"/>
        </w:rPr>
        <w:t>文件内容进行合理、合法、科学修编</w:t>
      </w:r>
      <w:r>
        <w:rPr>
          <w:rFonts w:hint="eastAsia" w:hAnsi="宋体" w:cs="宋体"/>
          <w:b/>
          <w:bCs/>
          <w:color w:val="auto"/>
          <w:sz w:val="28"/>
          <w:szCs w:val="28"/>
          <w:highlight w:val="none"/>
          <w:lang w:eastAsia="zh-CN"/>
        </w:rPr>
        <w:t>】</w:t>
      </w:r>
      <w:bookmarkStart w:id="8" w:name="_GoBack"/>
      <w:bookmarkEnd w:id="8"/>
    </w:p>
    <w:p w14:paraId="2EAFFC01">
      <w:pPr>
        <w:spacing w:line="460" w:lineRule="exact"/>
        <w:rPr>
          <w:rFonts w:hint="eastAsia" w:ascii="宋体" w:hAnsi="宋体" w:cs="宋体"/>
          <w:color w:val="auto"/>
          <w:sz w:val="28"/>
          <w:szCs w:val="28"/>
          <w:highlight w:val="none"/>
        </w:rPr>
      </w:pPr>
      <w:r>
        <w:rPr>
          <w:rFonts w:hint="eastAsia" w:ascii="宋体" w:hAnsi="宋体" w:cs="宋体"/>
          <w:b/>
          <w:bCs/>
          <w:color w:val="auto"/>
          <w:spacing w:val="11"/>
          <w:kern w:val="0"/>
          <w:sz w:val="28"/>
          <w:szCs w:val="28"/>
          <w:highlight w:val="none"/>
          <w:fitText w:val="1820" w:id="1591893991"/>
        </w:rPr>
        <w:t xml:space="preserve">合同编号： </w:t>
      </w:r>
      <w:r>
        <w:rPr>
          <w:rFonts w:hint="eastAsia" w:ascii="宋体" w:hAnsi="宋体" w:cs="宋体"/>
          <w:color w:val="auto"/>
          <w:spacing w:val="4"/>
          <w:kern w:val="0"/>
          <w:sz w:val="28"/>
          <w:szCs w:val="28"/>
          <w:highlight w:val="none"/>
          <w:fitText w:val="1820" w:id="1591893991"/>
        </w:rPr>
        <w:t xml:space="preserve"> </w:t>
      </w:r>
    </w:p>
    <w:p w14:paraId="65EB2494">
      <w:pPr>
        <w:spacing w:line="360" w:lineRule="auto"/>
        <w:jc w:val="center"/>
        <w:rPr>
          <w:rFonts w:hint="eastAsia"/>
          <w:b/>
          <w:bCs/>
          <w:color w:val="auto"/>
          <w:sz w:val="44"/>
          <w:szCs w:val="44"/>
          <w:highlight w:val="none"/>
        </w:rPr>
      </w:pPr>
    </w:p>
    <w:p w14:paraId="73A7F3D9">
      <w:pPr>
        <w:spacing w:line="360" w:lineRule="auto"/>
        <w:jc w:val="center"/>
        <w:rPr>
          <w:b/>
          <w:bCs/>
          <w:color w:val="auto"/>
          <w:sz w:val="44"/>
          <w:szCs w:val="44"/>
          <w:highlight w:val="none"/>
        </w:rPr>
      </w:pPr>
      <w:r>
        <w:rPr>
          <w:rFonts w:hint="eastAsia"/>
          <w:b/>
          <w:bCs/>
          <w:color w:val="auto"/>
          <w:sz w:val="44"/>
          <w:szCs w:val="44"/>
          <w:highlight w:val="none"/>
        </w:rPr>
        <w:t>乐山师范学院</w:t>
      </w:r>
      <w:r>
        <w:rPr>
          <w:rFonts w:hint="eastAsia"/>
          <w:b/>
          <w:bCs/>
          <w:color w:val="auto"/>
          <w:sz w:val="44"/>
          <w:szCs w:val="44"/>
          <w:highlight w:val="none"/>
          <w:u w:val="single"/>
        </w:rPr>
        <w:t xml:space="preserve">20   -20   </w:t>
      </w:r>
      <w:r>
        <w:rPr>
          <w:rFonts w:hint="eastAsia"/>
          <w:b/>
          <w:bCs/>
          <w:color w:val="auto"/>
          <w:sz w:val="44"/>
          <w:szCs w:val="44"/>
          <w:highlight w:val="none"/>
        </w:rPr>
        <w:t>年</w:t>
      </w:r>
      <w:r>
        <w:rPr>
          <w:rFonts w:hint="eastAsia"/>
          <w:b/>
          <w:bCs/>
          <w:color w:val="auto"/>
          <w:sz w:val="44"/>
          <w:szCs w:val="44"/>
          <w:highlight w:val="none"/>
          <w:lang w:val="en-US" w:eastAsia="zh-CN"/>
        </w:rPr>
        <w:t>度</w:t>
      </w:r>
      <w:r>
        <w:rPr>
          <w:rFonts w:hint="eastAsia"/>
          <w:b/>
          <w:bCs/>
          <w:color w:val="auto"/>
          <w:sz w:val="44"/>
          <w:szCs w:val="44"/>
          <w:highlight w:val="none"/>
        </w:rPr>
        <w:t>食堂物资</w:t>
      </w:r>
    </w:p>
    <w:p w14:paraId="0D42BEC7">
      <w:pPr>
        <w:spacing w:line="360" w:lineRule="auto"/>
        <w:jc w:val="center"/>
        <w:rPr>
          <w:rFonts w:ascii="Calibri" w:hAnsi="Calibri"/>
          <w:b/>
          <w:bCs/>
          <w:color w:val="auto"/>
          <w:sz w:val="44"/>
          <w:szCs w:val="44"/>
          <w:highlight w:val="none"/>
        </w:rPr>
      </w:pPr>
      <w:r>
        <w:rPr>
          <w:rFonts w:hint="eastAsia"/>
          <w:b/>
          <w:bCs/>
          <w:color w:val="auto"/>
          <w:sz w:val="44"/>
          <w:szCs w:val="44"/>
          <w:highlight w:val="none"/>
          <w:u w:val="single"/>
        </w:rPr>
        <w:t xml:space="preserve">        </w:t>
      </w:r>
      <w:r>
        <w:rPr>
          <w:rFonts w:hint="eastAsia"/>
          <w:b/>
          <w:bCs/>
          <w:color w:val="auto"/>
          <w:sz w:val="44"/>
          <w:szCs w:val="44"/>
          <w:highlight w:val="none"/>
        </w:rPr>
        <w:t>采购项目</w:t>
      </w:r>
      <w:r>
        <w:rPr>
          <w:rFonts w:hint="eastAsia" w:ascii="Calibri" w:hAnsi="Calibri"/>
          <w:b/>
          <w:bCs/>
          <w:color w:val="auto"/>
          <w:sz w:val="44"/>
          <w:szCs w:val="44"/>
          <w:highlight w:val="none"/>
        </w:rPr>
        <w:t>合同</w:t>
      </w:r>
    </w:p>
    <w:p w14:paraId="549D7DFB">
      <w:pPr>
        <w:spacing w:line="460" w:lineRule="exact"/>
        <w:rPr>
          <w:rFonts w:hint="eastAsia" w:ascii="宋体" w:hAnsi="宋体" w:cs="宋体"/>
          <w:b/>
          <w:bCs/>
          <w:color w:val="auto"/>
          <w:sz w:val="28"/>
          <w:szCs w:val="28"/>
          <w:highlight w:val="none"/>
        </w:rPr>
      </w:pPr>
    </w:p>
    <w:p w14:paraId="38F6EE09">
      <w:pPr>
        <w:spacing w:line="360" w:lineRule="auto"/>
        <w:ind w:firstLine="562" w:firstLineChars="200"/>
        <w:rPr>
          <w:rFonts w:hint="eastAsia" w:ascii="宋体" w:hAnsi="宋体" w:cs="宋体"/>
          <w:color w:val="auto"/>
          <w:sz w:val="28"/>
          <w:szCs w:val="28"/>
          <w:highlight w:val="none"/>
        </w:rPr>
      </w:pPr>
      <w:r>
        <w:rPr>
          <w:rFonts w:hint="eastAsia" w:ascii="宋体" w:hAnsi="宋体" w:cs="宋体"/>
          <w:b/>
          <w:bCs/>
          <w:color w:val="auto"/>
          <w:sz w:val="28"/>
          <w:szCs w:val="28"/>
          <w:highlight w:val="none"/>
        </w:rPr>
        <w:t xml:space="preserve">        </w:t>
      </w:r>
      <w:r>
        <w:rPr>
          <w:rFonts w:hint="eastAsia" w:ascii="宋体" w:hAnsi="宋体" w:cs="宋体"/>
          <w:color w:val="auto"/>
          <w:sz w:val="28"/>
          <w:szCs w:val="28"/>
          <w:highlight w:val="none"/>
        </w:rPr>
        <w:t xml:space="preserve">  </w:t>
      </w:r>
    </w:p>
    <w:p w14:paraId="69D110DD">
      <w:pPr>
        <w:pStyle w:val="5"/>
        <w:rPr>
          <w:rFonts w:hint="eastAsia" w:ascii="宋体" w:hAnsi="宋体" w:cs="宋体"/>
          <w:color w:val="auto"/>
          <w:sz w:val="28"/>
          <w:szCs w:val="28"/>
          <w:highlight w:val="none"/>
        </w:rPr>
      </w:pPr>
    </w:p>
    <w:p w14:paraId="2A3DCE4D">
      <w:pPr>
        <w:pStyle w:val="5"/>
        <w:rPr>
          <w:rFonts w:hint="eastAsia" w:ascii="宋体" w:hAnsi="宋体" w:cs="宋体"/>
          <w:color w:val="auto"/>
          <w:sz w:val="28"/>
          <w:szCs w:val="28"/>
          <w:highlight w:val="none"/>
        </w:rPr>
      </w:pPr>
    </w:p>
    <w:p w14:paraId="06E6450C">
      <w:pPr>
        <w:pStyle w:val="5"/>
        <w:rPr>
          <w:rFonts w:hint="eastAsia" w:ascii="宋体" w:hAnsi="宋体" w:cs="宋体"/>
          <w:color w:val="auto"/>
          <w:sz w:val="28"/>
          <w:szCs w:val="28"/>
          <w:highlight w:val="none"/>
        </w:rPr>
      </w:pPr>
    </w:p>
    <w:p w14:paraId="74169FAA">
      <w:pPr>
        <w:spacing w:line="480" w:lineRule="auto"/>
        <w:ind w:firstLine="560" w:firstLineChars="200"/>
        <w:rPr>
          <w:rFonts w:hint="eastAsia" w:ascii="宋体" w:hAnsi="宋体" w:cs="宋体"/>
          <w:color w:val="auto"/>
          <w:sz w:val="28"/>
          <w:szCs w:val="28"/>
          <w:highlight w:val="none"/>
          <w:u w:val="single"/>
        </w:rPr>
      </w:pPr>
      <w:r>
        <w:rPr>
          <w:rFonts w:hint="eastAsia" w:ascii="宋体" w:hAnsi="宋体" w:cs="宋体"/>
          <w:color w:val="auto"/>
          <w:sz w:val="28"/>
          <w:szCs w:val="28"/>
          <w:highlight w:val="none"/>
        </w:rPr>
        <w:t xml:space="preserve">        采购人（甲方）：</w:t>
      </w:r>
      <w:r>
        <w:rPr>
          <w:rFonts w:hint="eastAsia" w:ascii="宋体" w:hAnsi="宋体" w:cs="宋体"/>
          <w:color w:val="auto"/>
          <w:sz w:val="28"/>
          <w:szCs w:val="28"/>
          <w:highlight w:val="none"/>
          <w:u w:val="single"/>
        </w:rPr>
        <w:t xml:space="preserve">                    </w:t>
      </w:r>
    </w:p>
    <w:p w14:paraId="22F83924">
      <w:pPr>
        <w:spacing w:line="480" w:lineRule="auto"/>
        <w:ind w:firstLine="1680" w:firstLineChars="600"/>
        <w:rPr>
          <w:rFonts w:hint="eastAsia" w:ascii="宋体" w:hAnsi="宋体" w:cs="宋体"/>
          <w:color w:val="auto"/>
          <w:sz w:val="28"/>
          <w:szCs w:val="28"/>
          <w:highlight w:val="none"/>
          <w:u w:val="single"/>
        </w:rPr>
      </w:pPr>
      <w:r>
        <w:rPr>
          <w:rFonts w:hint="eastAsia" w:ascii="宋体" w:hAnsi="宋体" w:cs="宋体"/>
          <w:color w:val="auto"/>
          <w:sz w:val="28"/>
          <w:szCs w:val="28"/>
          <w:highlight w:val="none"/>
        </w:rPr>
        <w:t>供应商（乙方）：</w:t>
      </w:r>
      <w:r>
        <w:rPr>
          <w:rFonts w:hint="eastAsia" w:ascii="宋体" w:hAnsi="宋体" w:cs="宋体"/>
          <w:color w:val="auto"/>
          <w:sz w:val="28"/>
          <w:szCs w:val="28"/>
          <w:highlight w:val="none"/>
          <w:u w:val="single"/>
        </w:rPr>
        <w:t xml:space="preserve">                    </w:t>
      </w:r>
    </w:p>
    <w:p w14:paraId="27B4E1A3">
      <w:pPr>
        <w:spacing w:line="480" w:lineRule="auto"/>
        <w:ind w:firstLine="1680" w:firstLineChars="600"/>
        <w:rPr>
          <w:rFonts w:hint="eastAsia" w:ascii="宋体" w:hAnsi="宋体" w:cs="宋体"/>
          <w:color w:val="auto"/>
          <w:sz w:val="28"/>
          <w:szCs w:val="28"/>
          <w:highlight w:val="none"/>
          <w:u w:val="single"/>
        </w:rPr>
      </w:pPr>
      <w:r>
        <w:rPr>
          <w:rFonts w:hint="eastAsia" w:ascii="宋体" w:hAnsi="宋体" w:cs="宋体"/>
          <w:color w:val="auto"/>
          <w:sz w:val="28"/>
          <w:szCs w:val="28"/>
          <w:highlight w:val="none"/>
        </w:rPr>
        <w:t>合同签订地 ：</w:t>
      </w:r>
      <w:r>
        <w:rPr>
          <w:rFonts w:hint="eastAsia" w:ascii="宋体" w:hAnsi="宋体" w:cs="宋体"/>
          <w:color w:val="auto"/>
          <w:sz w:val="28"/>
          <w:szCs w:val="28"/>
          <w:highlight w:val="none"/>
          <w:u w:val="single"/>
        </w:rPr>
        <w:t xml:space="preserve">                      </w:t>
      </w:r>
    </w:p>
    <w:p w14:paraId="6140EF99">
      <w:pPr>
        <w:spacing w:line="480" w:lineRule="auto"/>
        <w:ind w:firstLine="1680" w:firstLineChars="600"/>
        <w:rPr>
          <w:rFonts w:hint="eastAsia" w:ascii="宋体" w:hAnsi="宋体" w:cs="宋体"/>
          <w:color w:val="auto"/>
          <w:sz w:val="28"/>
          <w:szCs w:val="28"/>
          <w:highlight w:val="none"/>
        </w:rPr>
      </w:pPr>
      <w:r>
        <w:rPr>
          <w:rFonts w:hint="eastAsia" w:ascii="宋体" w:hAnsi="宋体" w:cs="宋体"/>
          <w:color w:val="auto"/>
          <w:sz w:val="28"/>
          <w:szCs w:val="28"/>
          <w:highlight w:val="none"/>
        </w:rPr>
        <w:t xml:space="preserve">合同签订时间： </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 xml:space="preserve">        </w:t>
      </w:r>
    </w:p>
    <w:p w14:paraId="1334A211">
      <w:pPr>
        <w:spacing w:line="460" w:lineRule="exact"/>
        <w:rPr>
          <w:rFonts w:hint="eastAsia" w:ascii="宋体" w:hAnsi="宋体"/>
          <w:color w:val="auto"/>
          <w:sz w:val="28"/>
          <w:szCs w:val="28"/>
          <w:highlight w:val="none"/>
        </w:rPr>
      </w:pPr>
    </w:p>
    <w:p w14:paraId="653A25B7">
      <w:pPr>
        <w:spacing w:line="460" w:lineRule="exact"/>
        <w:rPr>
          <w:rFonts w:hint="eastAsia" w:ascii="宋体" w:hAnsi="宋体"/>
          <w:color w:val="auto"/>
          <w:sz w:val="28"/>
          <w:szCs w:val="28"/>
          <w:highlight w:val="none"/>
        </w:rPr>
      </w:pPr>
    </w:p>
    <w:p w14:paraId="02C5B886">
      <w:pPr>
        <w:spacing w:line="460" w:lineRule="exact"/>
        <w:rPr>
          <w:rFonts w:hint="eastAsia" w:ascii="宋体" w:hAnsi="宋体"/>
          <w:color w:val="auto"/>
          <w:sz w:val="28"/>
          <w:szCs w:val="28"/>
          <w:highlight w:val="none"/>
        </w:rPr>
      </w:pPr>
    </w:p>
    <w:p w14:paraId="76449464">
      <w:pPr>
        <w:spacing w:line="460" w:lineRule="exact"/>
        <w:rPr>
          <w:rFonts w:hint="eastAsia" w:ascii="宋体" w:hAnsi="宋体"/>
          <w:color w:val="auto"/>
          <w:sz w:val="28"/>
          <w:szCs w:val="28"/>
          <w:highlight w:val="none"/>
        </w:rPr>
      </w:pPr>
    </w:p>
    <w:p w14:paraId="3FFDA483">
      <w:pPr>
        <w:spacing w:line="460" w:lineRule="exact"/>
        <w:rPr>
          <w:rFonts w:hint="eastAsia" w:ascii="宋体" w:hAnsi="宋体"/>
          <w:color w:val="auto"/>
          <w:sz w:val="28"/>
          <w:szCs w:val="28"/>
          <w:highlight w:val="none"/>
        </w:rPr>
      </w:pPr>
    </w:p>
    <w:p w14:paraId="64EA459F">
      <w:pPr>
        <w:pStyle w:val="2"/>
        <w:rPr>
          <w:rFonts w:hint="eastAsia"/>
          <w:color w:val="auto"/>
          <w:highlight w:val="none"/>
        </w:rPr>
      </w:pPr>
    </w:p>
    <w:p w14:paraId="009CFA74">
      <w:pPr>
        <w:spacing w:line="460" w:lineRule="exact"/>
        <w:rPr>
          <w:rFonts w:hint="eastAsia" w:ascii="宋体" w:hAnsi="宋体"/>
          <w:color w:val="auto"/>
          <w:sz w:val="28"/>
          <w:szCs w:val="28"/>
          <w:highlight w:val="none"/>
        </w:rPr>
      </w:pPr>
    </w:p>
    <w:p w14:paraId="2140E4D9">
      <w:pPr>
        <w:spacing w:line="460" w:lineRule="exact"/>
        <w:rPr>
          <w:rFonts w:hint="eastAsia" w:ascii="宋体" w:hAnsi="宋体"/>
          <w:color w:val="auto"/>
          <w:sz w:val="28"/>
          <w:szCs w:val="28"/>
          <w:highlight w:val="none"/>
        </w:rPr>
      </w:pPr>
    </w:p>
    <w:p w14:paraId="523B3C00">
      <w:pPr>
        <w:spacing w:line="360" w:lineRule="auto"/>
        <w:jc w:val="center"/>
        <w:rPr>
          <w:rFonts w:ascii="Calibri" w:hAnsi="Calibri"/>
          <w:b/>
          <w:bCs/>
          <w:color w:val="auto"/>
          <w:sz w:val="36"/>
          <w:szCs w:val="36"/>
          <w:highlight w:val="none"/>
        </w:rPr>
      </w:pPr>
      <w:r>
        <w:rPr>
          <w:rFonts w:hint="eastAsia" w:ascii="Calibri" w:hAnsi="Calibri"/>
          <w:b/>
          <w:bCs/>
          <w:color w:val="auto"/>
          <w:sz w:val="36"/>
          <w:szCs w:val="36"/>
          <w:highlight w:val="none"/>
        </w:rPr>
        <w:t>食堂物资</w:t>
      </w:r>
      <w:r>
        <w:rPr>
          <w:rFonts w:hint="eastAsia" w:ascii="Calibri" w:hAnsi="Calibri"/>
          <w:b/>
          <w:bCs/>
          <w:color w:val="auto"/>
          <w:sz w:val="36"/>
          <w:szCs w:val="36"/>
          <w:highlight w:val="none"/>
          <w:lang w:val="en-US" w:eastAsia="zh-CN"/>
        </w:rPr>
        <w:t>配送服务</w:t>
      </w:r>
      <w:r>
        <w:rPr>
          <w:rFonts w:hint="eastAsia" w:ascii="Calibri" w:hAnsi="Calibri"/>
          <w:b/>
          <w:bCs/>
          <w:color w:val="auto"/>
          <w:sz w:val="36"/>
          <w:szCs w:val="36"/>
          <w:highlight w:val="none"/>
        </w:rPr>
        <w:t>采购合同</w:t>
      </w:r>
    </w:p>
    <w:p w14:paraId="22367EDB">
      <w:pPr>
        <w:spacing w:line="480" w:lineRule="auto"/>
        <w:rPr>
          <w:rFonts w:hint="eastAsia" w:ascii="宋体" w:hAnsi="宋体"/>
          <w:b/>
          <w:bCs/>
          <w:color w:val="auto"/>
          <w:sz w:val="24"/>
          <w:highlight w:val="none"/>
        </w:rPr>
      </w:pPr>
      <w:r>
        <w:rPr>
          <w:rFonts w:hint="eastAsia" w:ascii="宋体" w:hAnsi="宋体"/>
          <w:color w:val="auto"/>
          <w:sz w:val="28"/>
          <w:szCs w:val="28"/>
          <w:highlight w:val="none"/>
        </w:rPr>
        <w:t xml:space="preserve">            </w:t>
      </w:r>
      <w:r>
        <w:rPr>
          <w:rFonts w:hint="eastAsia" w:ascii="宋体" w:hAnsi="宋体"/>
          <w:color w:val="auto"/>
          <w:szCs w:val="21"/>
          <w:highlight w:val="none"/>
        </w:rPr>
        <w:t xml:space="preserve">                                        合同签订地：乐山市市中区</w:t>
      </w:r>
    </w:p>
    <w:p w14:paraId="1FAD5AEC">
      <w:pPr>
        <w:tabs>
          <w:tab w:val="left" w:pos="7665"/>
        </w:tabs>
        <w:spacing w:line="360" w:lineRule="auto"/>
        <w:rPr>
          <w:rFonts w:hint="eastAsia" w:ascii="宋体" w:hAnsi="宋体" w:cs="宋体"/>
          <w:color w:val="auto"/>
          <w:sz w:val="24"/>
          <w:highlight w:val="none"/>
          <w:u w:val="single"/>
        </w:rPr>
      </w:pPr>
      <w:r>
        <w:rPr>
          <w:rFonts w:hint="eastAsia" w:ascii="宋体" w:hAnsi="宋体" w:cs="宋体"/>
          <w:b/>
          <w:bCs/>
          <w:color w:val="auto"/>
          <w:sz w:val="24"/>
          <w:highlight w:val="none"/>
        </w:rPr>
        <w:t>采购人（甲方）</w:t>
      </w:r>
      <w:r>
        <w:rPr>
          <w:rFonts w:hint="eastAsia" w:ascii="宋体" w:hAnsi="宋体" w:cs="宋体"/>
          <w:color w:val="auto"/>
          <w:sz w:val="24"/>
          <w:highlight w:val="none"/>
        </w:rPr>
        <w:t>：</w:t>
      </w:r>
      <w:r>
        <w:rPr>
          <w:rFonts w:hint="eastAsia" w:ascii="宋体" w:hAnsi="宋体" w:cs="宋体"/>
          <w:color w:val="auto"/>
          <w:sz w:val="24"/>
          <w:highlight w:val="none"/>
          <w:u w:val="single"/>
        </w:rPr>
        <w:t>乐山师范学院，</w:t>
      </w:r>
      <w:r>
        <w:rPr>
          <w:rFonts w:hint="eastAsia" w:ascii="宋体" w:hAnsi="宋体" w:cs="宋体"/>
          <w:color w:val="auto"/>
          <w:sz w:val="24"/>
          <w:highlight w:val="none"/>
        </w:rPr>
        <w:t xml:space="preserve">地址： </w:t>
      </w:r>
      <w:r>
        <w:rPr>
          <w:rFonts w:hint="eastAsia" w:ascii="宋体" w:hAnsi="宋体" w:cs="宋体"/>
          <w:color w:val="auto"/>
          <w:sz w:val="24"/>
          <w:highlight w:val="none"/>
          <w:u w:val="single"/>
        </w:rPr>
        <w:t xml:space="preserve">                </w:t>
      </w:r>
    </w:p>
    <w:p w14:paraId="5885CE86">
      <w:pPr>
        <w:tabs>
          <w:tab w:val="left" w:pos="7665"/>
        </w:tabs>
        <w:spacing w:line="360" w:lineRule="auto"/>
        <w:rPr>
          <w:rFonts w:hint="eastAsia" w:ascii="宋体" w:hAnsi="宋体" w:cs="宋体"/>
          <w:color w:val="auto"/>
          <w:sz w:val="24"/>
          <w:highlight w:val="none"/>
          <w:u w:val="single"/>
        </w:rPr>
      </w:pPr>
      <w:r>
        <w:rPr>
          <w:rFonts w:hint="eastAsia" w:ascii="宋体" w:hAnsi="宋体" w:cs="宋体"/>
          <w:b/>
          <w:bCs/>
          <w:color w:val="auto"/>
          <w:sz w:val="24"/>
          <w:highlight w:val="none"/>
        </w:rPr>
        <w:t>供应商（乙方）</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，地址：</w:t>
      </w:r>
      <w:r>
        <w:rPr>
          <w:rFonts w:hint="eastAsia" w:ascii="宋体" w:hAnsi="宋体" w:cs="宋体"/>
          <w:color w:val="auto"/>
          <w:sz w:val="24"/>
          <w:highlight w:val="none"/>
          <w:u w:val="single"/>
        </w:rPr>
        <w:t xml:space="preserve">          </w:t>
      </w:r>
    </w:p>
    <w:p w14:paraId="2050CCC3">
      <w:pPr>
        <w:snapToGrid w:val="0"/>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 xml:space="preserve">根据《中华人民共和国民法典》及乐山师范学院采购项目（项目名称：乐山师范学院 </w:t>
      </w:r>
      <w:r>
        <w:rPr>
          <w:rFonts w:hint="eastAsia" w:ascii="宋体" w:hAnsi="宋体" w:cs="宋体"/>
          <w:color w:val="auto"/>
          <w:sz w:val="24"/>
          <w:highlight w:val="none"/>
          <w:u w:val="single"/>
        </w:rPr>
        <w:t xml:space="preserve">                采购项目</w:t>
      </w:r>
      <w:r>
        <w:rPr>
          <w:rFonts w:hint="eastAsia" w:ascii="宋体" w:hAnsi="宋体" w:cs="宋体"/>
          <w:color w:val="auto"/>
          <w:sz w:val="24"/>
          <w:highlight w:val="none"/>
        </w:rPr>
        <w:t>，项目编号</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的《招标（采购）文件》、乙方的《中标（成交）通知书》《投标（响应）文件》，甲、乙双方同意签订本合同。详细技术说明及其他有关合同项目的特定信息由合同附件予以说明，合同附件及本项目的招标（采购）文件、投标（响应）文件、中标（成交）通知书等均为本合同不可分割的部分。双方同意共同遵守如下条款：</w:t>
      </w:r>
    </w:p>
    <w:p w14:paraId="56CC25C3">
      <w:pPr>
        <w:snapToGrid w:val="0"/>
        <w:spacing w:line="360" w:lineRule="auto"/>
        <w:rPr>
          <w:rFonts w:hint="eastAsia" w:ascii="宋体" w:hAnsi="宋体" w:cs="宋体"/>
          <w:color w:val="auto"/>
          <w:spacing w:val="-8"/>
          <w:kern w:val="0"/>
          <w:sz w:val="24"/>
          <w:highlight w:val="none"/>
        </w:rPr>
      </w:pPr>
      <w:r>
        <w:rPr>
          <w:rFonts w:hint="eastAsia" w:ascii="宋体" w:hAnsi="宋体" w:cs="宋体"/>
          <w:b/>
          <w:color w:val="auto"/>
          <w:sz w:val="24"/>
          <w:highlight w:val="none"/>
        </w:rPr>
        <w:t xml:space="preserve">第一条 </w:t>
      </w:r>
      <w:r>
        <w:rPr>
          <w:rFonts w:hint="eastAsia" w:ascii="宋体" w:hAnsi="宋体" w:cs="宋体"/>
          <w:b/>
          <w:color w:val="auto"/>
          <w:sz w:val="24"/>
          <w:highlight w:val="none"/>
          <w:lang w:val="en-US" w:eastAsia="zh-CN"/>
        </w:rPr>
        <w:t>配送</w:t>
      </w:r>
      <w:r>
        <w:rPr>
          <w:rFonts w:hint="eastAsia" w:ascii="宋体" w:hAnsi="宋体" w:cs="宋体"/>
          <w:b/>
          <w:color w:val="auto"/>
          <w:sz w:val="24"/>
          <w:highlight w:val="none"/>
        </w:rPr>
        <w:t>信息及价格执行</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1065"/>
        <w:gridCol w:w="1065"/>
        <w:gridCol w:w="1065"/>
        <w:gridCol w:w="1065"/>
        <w:gridCol w:w="1065"/>
        <w:gridCol w:w="1066"/>
        <w:gridCol w:w="1066"/>
      </w:tblGrid>
      <w:tr w14:paraId="587FE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70D18A45">
            <w:pPr>
              <w:snapToGrid w:val="0"/>
              <w:spacing w:line="360" w:lineRule="auto"/>
              <w:rPr>
                <w:rFonts w:hint="eastAsia" w:ascii="宋体" w:hAnsi="宋体" w:cs="宋体"/>
                <w:color w:val="auto"/>
                <w:spacing w:val="-8"/>
                <w:kern w:val="0"/>
                <w:sz w:val="24"/>
                <w:highlight w:val="none"/>
              </w:rPr>
            </w:pPr>
            <w:r>
              <w:rPr>
                <w:rFonts w:hint="eastAsia" w:ascii="宋体" w:hAnsi="宋体" w:cs="宋体"/>
                <w:color w:val="auto"/>
                <w:kern w:val="0"/>
                <w:sz w:val="24"/>
                <w:highlight w:val="none"/>
              </w:rPr>
              <w:t>序号</w:t>
            </w:r>
          </w:p>
        </w:tc>
        <w:tc>
          <w:tcPr>
            <w:tcW w:w="1065" w:type="dxa"/>
          </w:tcPr>
          <w:p w14:paraId="31B27081">
            <w:pPr>
              <w:snapToGrid w:val="0"/>
              <w:spacing w:line="360" w:lineRule="auto"/>
              <w:rPr>
                <w:rFonts w:hint="eastAsia" w:ascii="宋体" w:hAnsi="宋体" w:cs="宋体"/>
                <w:color w:val="auto"/>
                <w:spacing w:val="-8"/>
                <w:kern w:val="0"/>
                <w:sz w:val="24"/>
                <w:highlight w:val="none"/>
              </w:rPr>
            </w:pPr>
            <w:r>
              <w:rPr>
                <w:rFonts w:hint="eastAsia" w:ascii="宋体" w:hAnsi="宋体" w:cs="宋体"/>
                <w:color w:val="auto"/>
                <w:kern w:val="0"/>
                <w:sz w:val="24"/>
                <w:highlight w:val="none"/>
              </w:rPr>
              <w:t>产品名称</w:t>
            </w:r>
          </w:p>
        </w:tc>
        <w:tc>
          <w:tcPr>
            <w:tcW w:w="1065" w:type="dxa"/>
          </w:tcPr>
          <w:p w14:paraId="2592CD05">
            <w:pPr>
              <w:snapToGrid w:val="0"/>
              <w:spacing w:line="360" w:lineRule="auto"/>
              <w:rPr>
                <w:rFonts w:hint="eastAsia" w:ascii="宋体" w:hAnsi="宋体" w:cs="宋体"/>
                <w:color w:val="auto"/>
                <w:spacing w:val="-8"/>
                <w:kern w:val="0"/>
                <w:sz w:val="24"/>
                <w:highlight w:val="none"/>
              </w:rPr>
            </w:pPr>
            <w:r>
              <w:rPr>
                <w:rFonts w:hint="eastAsia" w:ascii="宋体" w:hAnsi="宋体" w:cs="宋体"/>
                <w:color w:val="auto"/>
                <w:kern w:val="0"/>
                <w:sz w:val="24"/>
                <w:highlight w:val="none"/>
              </w:rPr>
              <w:t>品牌</w:t>
            </w:r>
          </w:p>
        </w:tc>
        <w:tc>
          <w:tcPr>
            <w:tcW w:w="1065" w:type="dxa"/>
          </w:tcPr>
          <w:p w14:paraId="0BD00F96">
            <w:pPr>
              <w:snapToGrid w:val="0"/>
              <w:spacing w:line="360" w:lineRule="auto"/>
              <w:rPr>
                <w:rFonts w:hint="eastAsia" w:ascii="宋体" w:hAnsi="宋体" w:cs="宋体"/>
                <w:color w:val="auto"/>
                <w:spacing w:val="-8"/>
                <w:kern w:val="0"/>
                <w:sz w:val="24"/>
                <w:highlight w:val="none"/>
              </w:rPr>
            </w:pPr>
            <w:r>
              <w:rPr>
                <w:rFonts w:hint="eastAsia" w:ascii="宋体" w:hAnsi="宋体" w:cs="宋体"/>
                <w:color w:val="auto"/>
                <w:kern w:val="0"/>
                <w:sz w:val="24"/>
                <w:highlight w:val="none"/>
              </w:rPr>
              <w:t>生产厂家</w:t>
            </w:r>
          </w:p>
        </w:tc>
        <w:tc>
          <w:tcPr>
            <w:tcW w:w="1065" w:type="dxa"/>
          </w:tcPr>
          <w:p w14:paraId="47F2AE01">
            <w:pPr>
              <w:snapToGrid w:val="0"/>
              <w:spacing w:line="360" w:lineRule="auto"/>
              <w:rPr>
                <w:rFonts w:hint="eastAsia" w:ascii="宋体" w:hAnsi="宋体" w:cs="宋体"/>
                <w:color w:val="auto"/>
                <w:spacing w:val="-8"/>
                <w:kern w:val="0"/>
                <w:sz w:val="24"/>
                <w:highlight w:val="none"/>
              </w:rPr>
            </w:pPr>
            <w:r>
              <w:rPr>
                <w:rFonts w:hint="eastAsia" w:ascii="宋体" w:hAnsi="宋体" w:cs="宋体"/>
                <w:color w:val="auto"/>
                <w:kern w:val="0"/>
                <w:sz w:val="24"/>
                <w:highlight w:val="none"/>
              </w:rPr>
              <w:t>参数要求</w:t>
            </w:r>
          </w:p>
        </w:tc>
        <w:tc>
          <w:tcPr>
            <w:tcW w:w="1065" w:type="dxa"/>
          </w:tcPr>
          <w:p w14:paraId="440A4543">
            <w:pPr>
              <w:snapToGrid w:val="0"/>
              <w:spacing w:line="360" w:lineRule="auto"/>
              <w:rPr>
                <w:rFonts w:hint="eastAsia" w:ascii="宋体" w:hAnsi="宋体" w:cs="宋体"/>
                <w:color w:val="auto"/>
                <w:spacing w:val="-8"/>
                <w:kern w:val="0"/>
                <w:sz w:val="24"/>
                <w:highlight w:val="none"/>
              </w:rPr>
            </w:pPr>
            <w:r>
              <w:rPr>
                <w:rFonts w:hint="eastAsia" w:ascii="宋体" w:hAnsi="宋体" w:cs="宋体"/>
                <w:color w:val="auto"/>
                <w:kern w:val="0"/>
                <w:sz w:val="24"/>
                <w:highlight w:val="none"/>
              </w:rPr>
              <w:t>规格</w:t>
            </w:r>
          </w:p>
        </w:tc>
        <w:tc>
          <w:tcPr>
            <w:tcW w:w="1066" w:type="dxa"/>
          </w:tcPr>
          <w:p w14:paraId="59100091">
            <w:pPr>
              <w:snapToGrid w:val="0"/>
              <w:spacing w:line="360" w:lineRule="auto"/>
              <w:rPr>
                <w:rFonts w:hint="eastAsia" w:ascii="宋体" w:hAnsi="宋体" w:cs="宋体"/>
                <w:color w:val="auto"/>
                <w:spacing w:val="-8"/>
                <w:kern w:val="0"/>
                <w:sz w:val="24"/>
                <w:highlight w:val="none"/>
              </w:rPr>
            </w:pPr>
            <w:r>
              <w:rPr>
                <w:rFonts w:hint="eastAsia" w:ascii="宋体" w:hAnsi="宋体" w:cs="宋体"/>
                <w:color w:val="auto"/>
                <w:kern w:val="0"/>
                <w:sz w:val="24"/>
                <w:highlight w:val="none"/>
              </w:rPr>
              <w:t>单位</w:t>
            </w:r>
          </w:p>
        </w:tc>
        <w:tc>
          <w:tcPr>
            <w:tcW w:w="1066" w:type="dxa"/>
          </w:tcPr>
          <w:p w14:paraId="55F2A3B9">
            <w:pPr>
              <w:snapToGrid w:val="0"/>
              <w:spacing w:line="360" w:lineRule="auto"/>
              <w:rPr>
                <w:rFonts w:hint="eastAsia" w:ascii="宋体" w:hAnsi="宋体" w:cs="宋体"/>
                <w:color w:val="auto"/>
                <w:spacing w:val="-8"/>
                <w:kern w:val="0"/>
                <w:sz w:val="24"/>
                <w:highlight w:val="none"/>
              </w:rPr>
            </w:pPr>
            <w:r>
              <w:rPr>
                <w:rFonts w:hint="eastAsia" w:ascii="宋体" w:hAnsi="宋体" w:cs="宋体"/>
                <w:color w:val="auto"/>
                <w:kern w:val="0"/>
                <w:sz w:val="24"/>
                <w:highlight w:val="none"/>
              </w:rPr>
              <w:t>单价（元）</w:t>
            </w:r>
          </w:p>
        </w:tc>
      </w:tr>
      <w:tr w14:paraId="00331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3D429452">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3E40DB57">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592B725E">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72CF7136">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1B37287E">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2E1937A0">
            <w:pPr>
              <w:snapToGrid w:val="0"/>
              <w:spacing w:line="360" w:lineRule="auto"/>
              <w:ind w:firstLine="448" w:firstLineChars="200"/>
              <w:rPr>
                <w:rFonts w:hint="eastAsia" w:ascii="宋体" w:hAnsi="宋体" w:cs="宋体"/>
                <w:color w:val="auto"/>
                <w:spacing w:val="-8"/>
                <w:kern w:val="0"/>
                <w:sz w:val="24"/>
                <w:highlight w:val="none"/>
              </w:rPr>
            </w:pPr>
          </w:p>
        </w:tc>
        <w:tc>
          <w:tcPr>
            <w:tcW w:w="1066" w:type="dxa"/>
          </w:tcPr>
          <w:p w14:paraId="1877C467">
            <w:pPr>
              <w:snapToGrid w:val="0"/>
              <w:spacing w:line="360" w:lineRule="auto"/>
              <w:ind w:firstLine="448" w:firstLineChars="200"/>
              <w:rPr>
                <w:rFonts w:hint="eastAsia" w:ascii="宋体" w:hAnsi="宋体" w:cs="宋体"/>
                <w:color w:val="auto"/>
                <w:spacing w:val="-8"/>
                <w:kern w:val="0"/>
                <w:sz w:val="24"/>
                <w:highlight w:val="none"/>
              </w:rPr>
            </w:pPr>
          </w:p>
        </w:tc>
        <w:tc>
          <w:tcPr>
            <w:tcW w:w="1066" w:type="dxa"/>
          </w:tcPr>
          <w:p w14:paraId="45B65DA3">
            <w:pPr>
              <w:snapToGrid w:val="0"/>
              <w:spacing w:line="360" w:lineRule="auto"/>
              <w:ind w:firstLine="448" w:firstLineChars="200"/>
              <w:rPr>
                <w:rFonts w:hint="eastAsia" w:ascii="宋体" w:hAnsi="宋体" w:cs="宋体"/>
                <w:color w:val="auto"/>
                <w:spacing w:val="-8"/>
                <w:kern w:val="0"/>
                <w:sz w:val="24"/>
                <w:highlight w:val="none"/>
              </w:rPr>
            </w:pPr>
          </w:p>
        </w:tc>
      </w:tr>
      <w:tr w14:paraId="6001E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42C211D6">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2A330853">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02D32841">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79BBFFC1">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3C4F8D85">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52F50234">
            <w:pPr>
              <w:snapToGrid w:val="0"/>
              <w:spacing w:line="360" w:lineRule="auto"/>
              <w:ind w:firstLine="448" w:firstLineChars="200"/>
              <w:rPr>
                <w:rFonts w:hint="eastAsia" w:ascii="宋体" w:hAnsi="宋体" w:cs="宋体"/>
                <w:color w:val="auto"/>
                <w:spacing w:val="-8"/>
                <w:kern w:val="0"/>
                <w:sz w:val="24"/>
                <w:highlight w:val="none"/>
              </w:rPr>
            </w:pPr>
          </w:p>
        </w:tc>
        <w:tc>
          <w:tcPr>
            <w:tcW w:w="1066" w:type="dxa"/>
          </w:tcPr>
          <w:p w14:paraId="1C626B65">
            <w:pPr>
              <w:snapToGrid w:val="0"/>
              <w:spacing w:line="360" w:lineRule="auto"/>
              <w:ind w:firstLine="448" w:firstLineChars="200"/>
              <w:rPr>
                <w:rFonts w:hint="eastAsia" w:ascii="宋体" w:hAnsi="宋体" w:cs="宋体"/>
                <w:color w:val="auto"/>
                <w:spacing w:val="-8"/>
                <w:kern w:val="0"/>
                <w:sz w:val="24"/>
                <w:highlight w:val="none"/>
              </w:rPr>
            </w:pPr>
          </w:p>
        </w:tc>
        <w:tc>
          <w:tcPr>
            <w:tcW w:w="1066" w:type="dxa"/>
          </w:tcPr>
          <w:p w14:paraId="06BEC7C1">
            <w:pPr>
              <w:snapToGrid w:val="0"/>
              <w:spacing w:line="360" w:lineRule="auto"/>
              <w:ind w:firstLine="448" w:firstLineChars="200"/>
              <w:rPr>
                <w:rFonts w:hint="eastAsia" w:ascii="宋体" w:hAnsi="宋体" w:cs="宋体"/>
                <w:color w:val="auto"/>
                <w:spacing w:val="-8"/>
                <w:kern w:val="0"/>
                <w:sz w:val="24"/>
                <w:highlight w:val="none"/>
              </w:rPr>
            </w:pPr>
          </w:p>
        </w:tc>
      </w:tr>
      <w:tr w14:paraId="377FE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439D1F85">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7DCF0FB9">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0B9B2751">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5A4012AF">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6719AF9E">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5F733DC0">
            <w:pPr>
              <w:snapToGrid w:val="0"/>
              <w:spacing w:line="360" w:lineRule="auto"/>
              <w:ind w:firstLine="448" w:firstLineChars="200"/>
              <w:rPr>
                <w:rFonts w:hint="eastAsia" w:ascii="宋体" w:hAnsi="宋体" w:cs="宋体"/>
                <w:color w:val="auto"/>
                <w:spacing w:val="-8"/>
                <w:kern w:val="0"/>
                <w:sz w:val="24"/>
                <w:highlight w:val="none"/>
              </w:rPr>
            </w:pPr>
          </w:p>
        </w:tc>
        <w:tc>
          <w:tcPr>
            <w:tcW w:w="1066" w:type="dxa"/>
          </w:tcPr>
          <w:p w14:paraId="6314EA88">
            <w:pPr>
              <w:snapToGrid w:val="0"/>
              <w:spacing w:line="360" w:lineRule="auto"/>
              <w:ind w:firstLine="448" w:firstLineChars="200"/>
              <w:rPr>
                <w:rFonts w:hint="eastAsia" w:ascii="宋体" w:hAnsi="宋体" w:cs="宋体"/>
                <w:color w:val="auto"/>
                <w:spacing w:val="-8"/>
                <w:kern w:val="0"/>
                <w:sz w:val="24"/>
                <w:highlight w:val="none"/>
              </w:rPr>
            </w:pPr>
          </w:p>
        </w:tc>
        <w:tc>
          <w:tcPr>
            <w:tcW w:w="1066" w:type="dxa"/>
          </w:tcPr>
          <w:p w14:paraId="34763FF2">
            <w:pPr>
              <w:snapToGrid w:val="0"/>
              <w:spacing w:line="360" w:lineRule="auto"/>
              <w:ind w:firstLine="448" w:firstLineChars="200"/>
              <w:rPr>
                <w:rFonts w:hint="eastAsia" w:ascii="宋体" w:hAnsi="宋体" w:cs="宋体"/>
                <w:color w:val="auto"/>
                <w:spacing w:val="-8"/>
                <w:kern w:val="0"/>
                <w:sz w:val="24"/>
                <w:highlight w:val="none"/>
              </w:rPr>
            </w:pPr>
          </w:p>
        </w:tc>
      </w:tr>
      <w:tr w14:paraId="06E5B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40CA0A67">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21FDED22">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257EF16B">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120054F7">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31C838F6">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693DF5CE">
            <w:pPr>
              <w:snapToGrid w:val="0"/>
              <w:spacing w:line="360" w:lineRule="auto"/>
              <w:ind w:firstLine="448" w:firstLineChars="200"/>
              <w:rPr>
                <w:rFonts w:hint="eastAsia" w:ascii="宋体" w:hAnsi="宋体" w:cs="宋体"/>
                <w:color w:val="auto"/>
                <w:spacing w:val="-8"/>
                <w:kern w:val="0"/>
                <w:sz w:val="24"/>
                <w:highlight w:val="none"/>
              </w:rPr>
            </w:pPr>
          </w:p>
        </w:tc>
        <w:tc>
          <w:tcPr>
            <w:tcW w:w="1066" w:type="dxa"/>
          </w:tcPr>
          <w:p w14:paraId="090BC1C5">
            <w:pPr>
              <w:snapToGrid w:val="0"/>
              <w:spacing w:line="360" w:lineRule="auto"/>
              <w:ind w:firstLine="448" w:firstLineChars="200"/>
              <w:rPr>
                <w:rFonts w:hint="eastAsia" w:ascii="宋体" w:hAnsi="宋体" w:cs="宋体"/>
                <w:color w:val="auto"/>
                <w:spacing w:val="-8"/>
                <w:kern w:val="0"/>
                <w:sz w:val="24"/>
                <w:highlight w:val="none"/>
              </w:rPr>
            </w:pPr>
          </w:p>
        </w:tc>
        <w:tc>
          <w:tcPr>
            <w:tcW w:w="1066" w:type="dxa"/>
          </w:tcPr>
          <w:p w14:paraId="2315658E">
            <w:pPr>
              <w:snapToGrid w:val="0"/>
              <w:spacing w:line="360" w:lineRule="auto"/>
              <w:ind w:firstLine="448" w:firstLineChars="200"/>
              <w:rPr>
                <w:rFonts w:hint="eastAsia" w:ascii="宋体" w:hAnsi="宋体" w:cs="宋体"/>
                <w:color w:val="auto"/>
                <w:spacing w:val="-8"/>
                <w:kern w:val="0"/>
                <w:sz w:val="24"/>
                <w:highlight w:val="none"/>
              </w:rPr>
            </w:pPr>
          </w:p>
        </w:tc>
      </w:tr>
      <w:tr w14:paraId="15636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363FD9E1">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4A965BCA">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054C2010">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5476CAD2">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6C4FBF4A">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4A6A7464">
            <w:pPr>
              <w:snapToGrid w:val="0"/>
              <w:spacing w:line="360" w:lineRule="auto"/>
              <w:ind w:firstLine="448" w:firstLineChars="200"/>
              <w:rPr>
                <w:rFonts w:hint="eastAsia" w:ascii="宋体" w:hAnsi="宋体" w:cs="宋体"/>
                <w:color w:val="auto"/>
                <w:spacing w:val="-8"/>
                <w:kern w:val="0"/>
                <w:sz w:val="24"/>
                <w:highlight w:val="none"/>
              </w:rPr>
            </w:pPr>
          </w:p>
        </w:tc>
        <w:tc>
          <w:tcPr>
            <w:tcW w:w="1066" w:type="dxa"/>
          </w:tcPr>
          <w:p w14:paraId="70FFF991">
            <w:pPr>
              <w:snapToGrid w:val="0"/>
              <w:spacing w:line="360" w:lineRule="auto"/>
              <w:ind w:firstLine="448" w:firstLineChars="200"/>
              <w:rPr>
                <w:rFonts w:hint="eastAsia" w:ascii="宋体" w:hAnsi="宋体" w:cs="宋体"/>
                <w:color w:val="auto"/>
                <w:spacing w:val="-8"/>
                <w:kern w:val="0"/>
                <w:sz w:val="24"/>
                <w:highlight w:val="none"/>
              </w:rPr>
            </w:pPr>
          </w:p>
        </w:tc>
        <w:tc>
          <w:tcPr>
            <w:tcW w:w="1066" w:type="dxa"/>
          </w:tcPr>
          <w:p w14:paraId="27161654">
            <w:pPr>
              <w:snapToGrid w:val="0"/>
              <w:spacing w:line="360" w:lineRule="auto"/>
              <w:ind w:firstLine="448" w:firstLineChars="200"/>
              <w:rPr>
                <w:rFonts w:hint="eastAsia" w:ascii="宋体" w:hAnsi="宋体" w:cs="宋体"/>
                <w:color w:val="auto"/>
                <w:spacing w:val="-8"/>
                <w:kern w:val="0"/>
                <w:sz w:val="24"/>
                <w:highlight w:val="none"/>
              </w:rPr>
            </w:pPr>
          </w:p>
        </w:tc>
      </w:tr>
      <w:tr w14:paraId="49198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21B2F490">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695CF1A1">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2DAEABF8">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210813F3">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4DF2165C">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5B50B364">
            <w:pPr>
              <w:snapToGrid w:val="0"/>
              <w:spacing w:line="360" w:lineRule="auto"/>
              <w:ind w:firstLine="448" w:firstLineChars="200"/>
              <w:rPr>
                <w:rFonts w:hint="eastAsia" w:ascii="宋体" w:hAnsi="宋体" w:cs="宋体"/>
                <w:color w:val="auto"/>
                <w:spacing w:val="-8"/>
                <w:kern w:val="0"/>
                <w:sz w:val="24"/>
                <w:highlight w:val="none"/>
              </w:rPr>
            </w:pPr>
          </w:p>
        </w:tc>
        <w:tc>
          <w:tcPr>
            <w:tcW w:w="1066" w:type="dxa"/>
          </w:tcPr>
          <w:p w14:paraId="41FEF9B7">
            <w:pPr>
              <w:snapToGrid w:val="0"/>
              <w:spacing w:line="360" w:lineRule="auto"/>
              <w:ind w:firstLine="448" w:firstLineChars="200"/>
              <w:rPr>
                <w:rFonts w:hint="eastAsia" w:ascii="宋体" w:hAnsi="宋体" w:cs="宋体"/>
                <w:color w:val="auto"/>
                <w:spacing w:val="-8"/>
                <w:kern w:val="0"/>
                <w:sz w:val="24"/>
                <w:highlight w:val="none"/>
              </w:rPr>
            </w:pPr>
          </w:p>
        </w:tc>
        <w:tc>
          <w:tcPr>
            <w:tcW w:w="1066" w:type="dxa"/>
          </w:tcPr>
          <w:p w14:paraId="6DBEBB04">
            <w:pPr>
              <w:snapToGrid w:val="0"/>
              <w:spacing w:line="360" w:lineRule="auto"/>
              <w:ind w:firstLine="448" w:firstLineChars="200"/>
              <w:rPr>
                <w:rFonts w:hint="eastAsia" w:ascii="宋体" w:hAnsi="宋体" w:cs="宋体"/>
                <w:color w:val="auto"/>
                <w:spacing w:val="-8"/>
                <w:kern w:val="0"/>
                <w:sz w:val="24"/>
                <w:highlight w:val="none"/>
              </w:rPr>
            </w:pPr>
          </w:p>
        </w:tc>
      </w:tr>
      <w:tr w14:paraId="5D270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73F582D7">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2CA97322">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7BB2B118">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1140EC71">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02BB754F">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6C900B66">
            <w:pPr>
              <w:snapToGrid w:val="0"/>
              <w:spacing w:line="360" w:lineRule="auto"/>
              <w:ind w:firstLine="448" w:firstLineChars="200"/>
              <w:rPr>
                <w:rFonts w:hint="eastAsia" w:ascii="宋体" w:hAnsi="宋体" w:cs="宋体"/>
                <w:color w:val="auto"/>
                <w:spacing w:val="-8"/>
                <w:kern w:val="0"/>
                <w:sz w:val="24"/>
                <w:highlight w:val="none"/>
              </w:rPr>
            </w:pPr>
          </w:p>
        </w:tc>
        <w:tc>
          <w:tcPr>
            <w:tcW w:w="1066" w:type="dxa"/>
          </w:tcPr>
          <w:p w14:paraId="6D122EA2">
            <w:pPr>
              <w:snapToGrid w:val="0"/>
              <w:spacing w:line="360" w:lineRule="auto"/>
              <w:ind w:firstLine="448" w:firstLineChars="200"/>
              <w:rPr>
                <w:rFonts w:hint="eastAsia" w:ascii="宋体" w:hAnsi="宋体" w:cs="宋体"/>
                <w:color w:val="auto"/>
                <w:spacing w:val="-8"/>
                <w:kern w:val="0"/>
                <w:sz w:val="24"/>
                <w:highlight w:val="none"/>
              </w:rPr>
            </w:pPr>
          </w:p>
        </w:tc>
        <w:tc>
          <w:tcPr>
            <w:tcW w:w="1066" w:type="dxa"/>
          </w:tcPr>
          <w:p w14:paraId="6D93E0E1">
            <w:pPr>
              <w:snapToGrid w:val="0"/>
              <w:spacing w:line="360" w:lineRule="auto"/>
              <w:ind w:firstLine="448" w:firstLineChars="200"/>
              <w:rPr>
                <w:rFonts w:hint="eastAsia" w:ascii="宋体" w:hAnsi="宋体" w:cs="宋体"/>
                <w:color w:val="auto"/>
                <w:spacing w:val="-8"/>
                <w:kern w:val="0"/>
                <w:sz w:val="24"/>
                <w:highlight w:val="none"/>
              </w:rPr>
            </w:pPr>
          </w:p>
        </w:tc>
      </w:tr>
      <w:tr w14:paraId="32A85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3CE2EBEC">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68819A65">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4F0CF07A">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3E7265B7">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45B4FED0">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4BA04987">
            <w:pPr>
              <w:snapToGrid w:val="0"/>
              <w:spacing w:line="360" w:lineRule="auto"/>
              <w:ind w:firstLine="448" w:firstLineChars="200"/>
              <w:rPr>
                <w:rFonts w:hint="eastAsia" w:ascii="宋体" w:hAnsi="宋体" w:cs="宋体"/>
                <w:color w:val="auto"/>
                <w:spacing w:val="-8"/>
                <w:kern w:val="0"/>
                <w:sz w:val="24"/>
                <w:highlight w:val="none"/>
              </w:rPr>
            </w:pPr>
          </w:p>
        </w:tc>
        <w:tc>
          <w:tcPr>
            <w:tcW w:w="1066" w:type="dxa"/>
          </w:tcPr>
          <w:p w14:paraId="5F31A352">
            <w:pPr>
              <w:snapToGrid w:val="0"/>
              <w:spacing w:line="360" w:lineRule="auto"/>
              <w:ind w:firstLine="448" w:firstLineChars="200"/>
              <w:rPr>
                <w:rFonts w:hint="eastAsia" w:ascii="宋体" w:hAnsi="宋体" w:cs="宋体"/>
                <w:color w:val="auto"/>
                <w:spacing w:val="-8"/>
                <w:kern w:val="0"/>
                <w:sz w:val="24"/>
                <w:highlight w:val="none"/>
              </w:rPr>
            </w:pPr>
          </w:p>
        </w:tc>
        <w:tc>
          <w:tcPr>
            <w:tcW w:w="1066" w:type="dxa"/>
          </w:tcPr>
          <w:p w14:paraId="0E53747B">
            <w:pPr>
              <w:snapToGrid w:val="0"/>
              <w:spacing w:line="360" w:lineRule="auto"/>
              <w:ind w:firstLine="448" w:firstLineChars="200"/>
              <w:rPr>
                <w:rFonts w:hint="eastAsia" w:ascii="宋体" w:hAnsi="宋体" w:cs="宋体"/>
                <w:color w:val="auto"/>
                <w:spacing w:val="-8"/>
                <w:kern w:val="0"/>
                <w:sz w:val="24"/>
                <w:highlight w:val="none"/>
              </w:rPr>
            </w:pPr>
          </w:p>
        </w:tc>
      </w:tr>
      <w:tr w14:paraId="48698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7F33468F">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6D26DEB2">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073A5185">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635622B9">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7A7EF104">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72F1102D">
            <w:pPr>
              <w:snapToGrid w:val="0"/>
              <w:spacing w:line="360" w:lineRule="auto"/>
              <w:ind w:firstLine="448" w:firstLineChars="200"/>
              <w:rPr>
                <w:rFonts w:hint="eastAsia" w:ascii="宋体" w:hAnsi="宋体" w:cs="宋体"/>
                <w:color w:val="auto"/>
                <w:spacing w:val="-8"/>
                <w:kern w:val="0"/>
                <w:sz w:val="24"/>
                <w:highlight w:val="none"/>
              </w:rPr>
            </w:pPr>
          </w:p>
        </w:tc>
        <w:tc>
          <w:tcPr>
            <w:tcW w:w="1066" w:type="dxa"/>
          </w:tcPr>
          <w:p w14:paraId="25067394">
            <w:pPr>
              <w:snapToGrid w:val="0"/>
              <w:spacing w:line="360" w:lineRule="auto"/>
              <w:ind w:firstLine="448" w:firstLineChars="200"/>
              <w:rPr>
                <w:rFonts w:hint="eastAsia" w:ascii="宋体" w:hAnsi="宋体" w:cs="宋体"/>
                <w:color w:val="auto"/>
                <w:spacing w:val="-8"/>
                <w:kern w:val="0"/>
                <w:sz w:val="24"/>
                <w:highlight w:val="none"/>
              </w:rPr>
            </w:pPr>
          </w:p>
        </w:tc>
        <w:tc>
          <w:tcPr>
            <w:tcW w:w="1066" w:type="dxa"/>
          </w:tcPr>
          <w:p w14:paraId="038CB788">
            <w:pPr>
              <w:snapToGrid w:val="0"/>
              <w:spacing w:line="360" w:lineRule="auto"/>
              <w:ind w:firstLine="448" w:firstLineChars="200"/>
              <w:rPr>
                <w:rFonts w:hint="eastAsia" w:ascii="宋体" w:hAnsi="宋体" w:cs="宋体"/>
                <w:color w:val="auto"/>
                <w:spacing w:val="-8"/>
                <w:kern w:val="0"/>
                <w:sz w:val="24"/>
                <w:highlight w:val="none"/>
              </w:rPr>
            </w:pPr>
          </w:p>
        </w:tc>
      </w:tr>
      <w:tr w14:paraId="11285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13D8CD40">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7F46DE2C">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5CC63A97">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3BC28F64">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3203D5AE">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582952B2">
            <w:pPr>
              <w:snapToGrid w:val="0"/>
              <w:spacing w:line="360" w:lineRule="auto"/>
              <w:ind w:firstLine="448" w:firstLineChars="200"/>
              <w:rPr>
                <w:rFonts w:hint="eastAsia" w:ascii="宋体" w:hAnsi="宋体" w:cs="宋体"/>
                <w:color w:val="auto"/>
                <w:spacing w:val="-8"/>
                <w:kern w:val="0"/>
                <w:sz w:val="24"/>
                <w:highlight w:val="none"/>
              </w:rPr>
            </w:pPr>
          </w:p>
        </w:tc>
        <w:tc>
          <w:tcPr>
            <w:tcW w:w="1066" w:type="dxa"/>
          </w:tcPr>
          <w:p w14:paraId="44565260">
            <w:pPr>
              <w:snapToGrid w:val="0"/>
              <w:spacing w:line="360" w:lineRule="auto"/>
              <w:ind w:firstLine="448" w:firstLineChars="200"/>
              <w:rPr>
                <w:rFonts w:hint="eastAsia" w:ascii="宋体" w:hAnsi="宋体" w:cs="宋体"/>
                <w:color w:val="auto"/>
                <w:spacing w:val="-8"/>
                <w:kern w:val="0"/>
                <w:sz w:val="24"/>
                <w:highlight w:val="none"/>
              </w:rPr>
            </w:pPr>
          </w:p>
        </w:tc>
        <w:tc>
          <w:tcPr>
            <w:tcW w:w="1066" w:type="dxa"/>
          </w:tcPr>
          <w:p w14:paraId="3EA3134D">
            <w:pPr>
              <w:snapToGrid w:val="0"/>
              <w:spacing w:line="360" w:lineRule="auto"/>
              <w:ind w:firstLine="448" w:firstLineChars="200"/>
              <w:rPr>
                <w:rFonts w:hint="eastAsia" w:ascii="宋体" w:hAnsi="宋体" w:cs="宋体"/>
                <w:color w:val="auto"/>
                <w:spacing w:val="-8"/>
                <w:kern w:val="0"/>
                <w:sz w:val="24"/>
                <w:highlight w:val="none"/>
              </w:rPr>
            </w:pPr>
          </w:p>
        </w:tc>
      </w:tr>
      <w:tr w14:paraId="543B2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53886B30">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3384F73D">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0F0DC118">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1DB578B5">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55E47A10">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392BAE80">
            <w:pPr>
              <w:snapToGrid w:val="0"/>
              <w:spacing w:line="360" w:lineRule="auto"/>
              <w:ind w:firstLine="448" w:firstLineChars="200"/>
              <w:rPr>
                <w:rFonts w:hint="eastAsia" w:ascii="宋体" w:hAnsi="宋体" w:cs="宋体"/>
                <w:color w:val="auto"/>
                <w:spacing w:val="-8"/>
                <w:kern w:val="0"/>
                <w:sz w:val="24"/>
                <w:highlight w:val="none"/>
              </w:rPr>
            </w:pPr>
          </w:p>
        </w:tc>
        <w:tc>
          <w:tcPr>
            <w:tcW w:w="1066" w:type="dxa"/>
          </w:tcPr>
          <w:p w14:paraId="5BD2338C">
            <w:pPr>
              <w:snapToGrid w:val="0"/>
              <w:spacing w:line="360" w:lineRule="auto"/>
              <w:ind w:firstLine="448" w:firstLineChars="200"/>
              <w:rPr>
                <w:rFonts w:hint="eastAsia" w:ascii="宋体" w:hAnsi="宋体" w:cs="宋体"/>
                <w:color w:val="auto"/>
                <w:spacing w:val="-8"/>
                <w:kern w:val="0"/>
                <w:sz w:val="24"/>
                <w:highlight w:val="none"/>
              </w:rPr>
            </w:pPr>
          </w:p>
        </w:tc>
        <w:tc>
          <w:tcPr>
            <w:tcW w:w="1066" w:type="dxa"/>
          </w:tcPr>
          <w:p w14:paraId="2A1073E7">
            <w:pPr>
              <w:snapToGrid w:val="0"/>
              <w:spacing w:line="360" w:lineRule="auto"/>
              <w:ind w:firstLine="448" w:firstLineChars="200"/>
              <w:rPr>
                <w:rFonts w:hint="eastAsia" w:ascii="宋体" w:hAnsi="宋体" w:cs="宋体"/>
                <w:color w:val="auto"/>
                <w:spacing w:val="-8"/>
                <w:kern w:val="0"/>
                <w:sz w:val="24"/>
                <w:highlight w:val="none"/>
              </w:rPr>
            </w:pPr>
          </w:p>
        </w:tc>
      </w:tr>
      <w:tr w14:paraId="7BBE6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7CC44E19">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11F50F98">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0163ED19">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718B985E">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13614883">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16277A12">
            <w:pPr>
              <w:snapToGrid w:val="0"/>
              <w:spacing w:line="360" w:lineRule="auto"/>
              <w:ind w:firstLine="448" w:firstLineChars="200"/>
              <w:rPr>
                <w:rFonts w:hint="eastAsia" w:ascii="宋体" w:hAnsi="宋体" w:cs="宋体"/>
                <w:color w:val="auto"/>
                <w:spacing w:val="-8"/>
                <w:kern w:val="0"/>
                <w:sz w:val="24"/>
                <w:highlight w:val="none"/>
              </w:rPr>
            </w:pPr>
          </w:p>
        </w:tc>
        <w:tc>
          <w:tcPr>
            <w:tcW w:w="1066" w:type="dxa"/>
          </w:tcPr>
          <w:p w14:paraId="0382CC06">
            <w:pPr>
              <w:snapToGrid w:val="0"/>
              <w:spacing w:line="360" w:lineRule="auto"/>
              <w:ind w:firstLine="448" w:firstLineChars="200"/>
              <w:rPr>
                <w:rFonts w:hint="eastAsia" w:ascii="宋体" w:hAnsi="宋体" w:cs="宋体"/>
                <w:color w:val="auto"/>
                <w:spacing w:val="-8"/>
                <w:kern w:val="0"/>
                <w:sz w:val="24"/>
                <w:highlight w:val="none"/>
              </w:rPr>
            </w:pPr>
          </w:p>
        </w:tc>
        <w:tc>
          <w:tcPr>
            <w:tcW w:w="1066" w:type="dxa"/>
          </w:tcPr>
          <w:p w14:paraId="4BD9C098">
            <w:pPr>
              <w:snapToGrid w:val="0"/>
              <w:spacing w:line="360" w:lineRule="auto"/>
              <w:ind w:firstLine="448" w:firstLineChars="200"/>
              <w:rPr>
                <w:rFonts w:hint="eastAsia" w:ascii="宋体" w:hAnsi="宋体" w:cs="宋体"/>
                <w:color w:val="auto"/>
                <w:spacing w:val="-8"/>
                <w:kern w:val="0"/>
                <w:sz w:val="24"/>
                <w:highlight w:val="none"/>
              </w:rPr>
            </w:pPr>
          </w:p>
        </w:tc>
      </w:tr>
      <w:tr w14:paraId="28BC1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536199D1">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6256C58F">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35E5E899">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501913C4">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6D182C67">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536C6254">
            <w:pPr>
              <w:snapToGrid w:val="0"/>
              <w:spacing w:line="360" w:lineRule="auto"/>
              <w:ind w:firstLine="448" w:firstLineChars="200"/>
              <w:rPr>
                <w:rFonts w:hint="eastAsia" w:ascii="宋体" w:hAnsi="宋体" w:cs="宋体"/>
                <w:color w:val="auto"/>
                <w:spacing w:val="-8"/>
                <w:kern w:val="0"/>
                <w:sz w:val="24"/>
                <w:highlight w:val="none"/>
              </w:rPr>
            </w:pPr>
          </w:p>
        </w:tc>
        <w:tc>
          <w:tcPr>
            <w:tcW w:w="1066" w:type="dxa"/>
          </w:tcPr>
          <w:p w14:paraId="0005148D">
            <w:pPr>
              <w:snapToGrid w:val="0"/>
              <w:spacing w:line="360" w:lineRule="auto"/>
              <w:ind w:firstLine="448" w:firstLineChars="200"/>
              <w:rPr>
                <w:rFonts w:hint="eastAsia" w:ascii="宋体" w:hAnsi="宋体" w:cs="宋体"/>
                <w:color w:val="auto"/>
                <w:spacing w:val="-8"/>
                <w:kern w:val="0"/>
                <w:sz w:val="24"/>
                <w:highlight w:val="none"/>
              </w:rPr>
            </w:pPr>
          </w:p>
        </w:tc>
        <w:tc>
          <w:tcPr>
            <w:tcW w:w="1066" w:type="dxa"/>
          </w:tcPr>
          <w:p w14:paraId="5DF20524">
            <w:pPr>
              <w:snapToGrid w:val="0"/>
              <w:spacing w:line="360" w:lineRule="auto"/>
              <w:ind w:firstLine="448" w:firstLineChars="200"/>
              <w:rPr>
                <w:rFonts w:hint="eastAsia" w:ascii="宋体" w:hAnsi="宋体" w:cs="宋体"/>
                <w:color w:val="auto"/>
                <w:spacing w:val="-8"/>
                <w:kern w:val="0"/>
                <w:sz w:val="24"/>
                <w:highlight w:val="none"/>
              </w:rPr>
            </w:pPr>
          </w:p>
        </w:tc>
      </w:tr>
      <w:tr w14:paraId="78BDF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53E930D1">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34029240">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61B1704C">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6F2E05A6">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539B9CAD">
            <w:pPr>
              <w:snapToGrid w:val="0"/>
              <w:spacing w:line="360" w:lineRule="auto"/>
              <w:ind w:firstLine="448" w:firstLineChars="200"/>
              <w:rPr>
                <w:rFonts w:hint="eastAsia" w:ascii="宋体" w:hAnsi="宋体" w:cs="宋体"/>
                <w:color w:val="auto"/>
                <w:spacing w:val="-8"/>
                <w:kern w:val="0"/>
                <w:sz w:val="24"/>
                <w:highlight w:val="none"/>
              </w:rPr>
            </w:pPr>
          </w:p>
        </w:tc>
        <w:tc>
          <w:tcPr>
            <w:tcW w:w="1065" w:type="dxa"/>
          </w:tcPr>
          <w:p w14:paraId="13D67DEE">
            <w:pPr>
              <w:snapToGrid w:val="0"/>
              <w:spacing w:line="360" w:lineRule="auto"/>
              <w:ind w:firstLine="448" w:firstLineChars="200"/>
              <w:rPr>
                <w:rFonts w:hint="eastAsia" w:ascii="宋体" w:hAnsi="宋体" w:cs="宋体"/>
                <w:color w:val="auto"/>
                <w:spacing w:val="-8"/>
                <w:kern w:val="0"/>
                <w:sz w:val="24"/>
                <w:highlight w:val="none"/>
              </w:rPr>
            </w:pPr>
          </w:p>
        </w:tc>
        <w:tc>
          <w:tcPr>
            <w:tcW w:w="1066" w:type="dxa"/>
          </w:tcPr>
          <w:p w14:paraId="26A9C836">
            <w:pPr>
              <w:snapToGrid w:val="0"/>
              <w:spacing w:line="360" w:lineRule="auto"/>
              <w:ind w:firstLine="448" w:firstLineChars="200"/>
              <w:rPr>
                <w:rFonts w:hint="eastAsia" w:ascii="宋体" w:hAnsi="宋体" w:cs="宋体"/>
                <w:color w:val="auto"/>
                <w:spacing w:val="-8"/>
                <w:kern w:val="0"/>
                <w:sz w:val="24"/>
                <w:highlight w:val="none"/>
              </w:rPr>
            </w:pPr>
          </w:p>
        </w:tc>
        <w:tc>
          <w:tcPr>
            <w:tcW w:w="1066" w:type="dxa"/>
          </w:tcPr>
          <w:p w14:paraId="5A7294A9">
            <w:pPr>
              <w:snapToGrid w:val="0"/>
              <w:spacing w:line="360" w:lineRule="auto"/>
              <w:ind w:firstLine="448" w:firstLineChars="200"/>
              <w:rPr>
                <w:rFonts w:hint="eastAsia" w:ascii="宋体" w:hAnsi="宋体" w:cs="宋体"/>
                <w:color w:val="auto"/>
                <w:spacing w:val="-8"/>
                <w:kern w:val="0"/>
                <w:sz w:val="24"/>
                <w:highlight w:val="none"/>
              </w:rPr>
            </w:pPr>
          </w:p>
        </w:tc>
      </w:tr>
    </w:tbl>
    <w:p w14:paraId="2ACAF1BC">
      <w:pPr>
        <w:snapToGrid w:val="0"/>
        <w:spacing w:line="360" w:lineRule="auto"/>
        <w:ind w:firstLine="448" w:firstLineChars="200"/>
        <w:rPr>
          <w:rFonts w:hint="eastAsia" w:ascii="宋体" w:hAnsi="宋体" w:cs="宋体"/>
          <w:color w:val="auto"/>
          <w:spacing w:val="-8"/>
          <w:kern w:val="0"/>
          <w:sz w:val="24"/>
          <w:highlight w:val="none"/>
        </w:rPr>
      </w:pPr>
    </w:p>
    <w:p w14:paraId="46A895FC">
      <w:pPr>
        <w:snapToGrid w:val="0"/>
        <w:spacing w:line="360" w:lineRule="auto"/>
        <w:ind w:firstLine="448" w:firstLineChars="200"/>
        <w:rPr>
          <w:rFonts w:hint="eastAsia" w:ascii="宋体" w:hAnsi="宋体" w:cs="宋体"/>
          <w:color w:val="auto"/>
          <w:sz w:val="24"/>
          <w:highlight w:val="none"/>
        </w:rPr>
      </w:pPr>
      <w:r>
        <w:rPr>
          <w:rFonts w:hint="eastAsia" w:ascii="宋体" w:hAnsi="宋体" w:cs="宋体"/>
          <w:color w:val="auto"/>
          <w:spacing w:val="-8"/>
          <w:kern w:val="0"/>
          <w:sz w:val="24"/>
          <w:highlight w:val="none"/>
        </w:rPr>
        <w:t>1.预估</w:t>
      </w:r>
      <w:r>
        <w:rPr>
          <w:rFonts w:hint="eastAsia" w:ascii="宋体" w:hAnsi="宋体" w:cs="宋体"/>
          <w:color w:val="auto"/>
          <w:sz w:val="24"/>
          <w:highlight w:val="none"/>
        </w:rPr>
        <w:t>合同金额：</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元（大写：           ），合同总金额以最终结算价为准，按合同约定的单价乘以甲方实际验收数量累计相加后即最终结算金额。结算总金额是验收合格后的最终价格，包括产品运输、保险、代理、税费、本标货物分装、送检、送货等全部费用，合同期内实际结算总金额最高限价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元。</w:t>
      </w:r>
    </w:p>
    <w:p w14:paraId="4C8EB279">
      <w:pPr>
        <w:spacing w:line="360" w:lineRule="auto"/>
        <w:ind w:firstLine="448" w:firstLineChars="200"/>
        <w:rPr>
          <w:rFonts w:hint="eastAsia" w:ascii="宋体" w:hAnsi="宋体" w:cs="宋体"/>
          <w:color w:val="auto"/>
          <w:spacing w:val="-8"/>
          <w:kern w:val="0"/>
          <w:sz w:val="24"/>
          <w:highlight w:val="none"/>
        </w:rPr>
      </w:pPr>
      <w:r>
        <w:rPr>
          <w:rFonts w:hint="eastAsia" w:ascii="宋体" w:hAnsi="宋体" w:cs="宋体"/>
          <w:color w:val="auto"/>
          <w:spacing w:val="-8"/>
          <w:kern w:val="0"/>
          <w:sz w:val="24"/>
          <w:highlight w:val="none"/>
        </w:rPr>
        <w:t>2.此次项目为单价采购，定价不定量，</w:t>
      </w:r>
      <w:r>
        <w:rPr>
          <w:rFonts w:hint="eastAsia" w:ascii="宋体" w:hAnsi="宋体" w:cs="宋体"/>
          <w:b/>
          <w:bCs/>
          <w:color w:val="auto"/>
          <w:spacing w:val="-8"/>
          <w:kern w:val="0"/>
          <w:sz w:val="24"/>
          <w:highlight w:val="none"/>
        </w:rPr>
        <w:t>结算率</w:t>
      </w:r>
      <w:r>
        <w:rPr>
          <w:rFonts w:hint="eastAsia" w:ascii="宋体" w:hAnsi="宋体" w:cs="宋体"/>
          <w:b/>
          <w:bCs/>
          <w:color w:val="auto"/>
          <w:spacing w:val="-8"/>
          <w:kern w:val="0"/>
          <w:sz w:val="24"/>
          <w:highlight w:val="none"/>
          <w:lang w:eastAsia="zh-CN"/>
        </w:rPr>
        <w:t>（</w:t>
      </w:r>
      <w:r>
        <w:rPr>
          <w:rFonts w:hint="eastAsia" w:ascii="宋体" w:hAnsi="宋体" w:cs="宋体"/>
          <w:b/>
          <w:bCs/>
          <w:color w:val="auto"/>
          <w:spacing w:val="-8"/>
          <w:kern w:val="0"/>
          <w:sz w:val="24"/>
          <w:highlight w:val="none"/>
          <w:lang w:val="en-US" w:eastAsia="zh-CN"/>
        </w:rPr>
        <w:t>单价</w:t>
      </w:r>
      <w:r>
        <w:rPr>
          <w:rFonts w:hint="eastAsia" w:ascii="宋体" w:hAnsi="宋体" w:cs="宋体"/>
          <w:b/>
          <w:bCs/>
          <w:color w:val="auto"/>
          <w:spacing w:val="-8"/>
          <w:kern w:val="0"/>
          <w:sz w:val="24"/>
          <w:highlight w:val="none"/>
          <w:lang w:eastAsia="zh-CN"/>
        </w:rPr>
        <w:t>）</w:t>
      </w:r>
      <w:r>
        <w:rPr>
          <w:rFonts w:hint="eastAsia" w:ascii="宋体" w:hAnsi="宋体" w:cs="宋体"/>
          <w:color w:val="auto"/>
          <w:spacing w:val="-8"/>
          <w:kern w:val="0"/>
          <w:sz w:val="24"/>
          <w:highlight w:val="none"/>
        </w:rPr>
        <w:t>在供货期内恒定不变，不受市场供需变化的影响，遇涨不涨、遇降不降，甲乙双方各自承担市场价格涨跌的风险。</w:t>
      </w:r>
    </w:p>
    <w:p w14:paraId="1961A234">
      <w:pPr>
        <w:numPr>
          <w:ilvl w:val="255"/>
          <w:numId w:val="0"/>
        </w:numPr>
        <w:spacing w:line="360" w:lineRule="auto"/>
        <w:ind w:firstLine="448" w:firstLineChars="200"/>
        <w:jc w:val="left"/>
        <w:rPr>
          <w:rFonts w:hint="eastAsia" w:ascii="宋体" w:hAnsi="宋体" w:cs="宋体"/>
          <w:color w:val="auto"/>
          <w:spacing w:val="-8"/>
          <w:kern w:val="0"/>
          <w:sz w:val="24"/>
          <w:highlight w:val="none"/>
        </w:rPr>
      </w:pPr>
      <w:r>
        <w:rPr>
          <w:rFonts w:hint="eastAsia" w:ascii="宋体" w:hAnsi="宋体" w:cs="宋体"/>
          <w:color w:val="auto"/>
          <w:spacing w:val="-8"/>
          <w:kern w:val="0"/>
          <w:sz w:val="24"/>
          <w:highlight w:val="none"/>
        </w:rPr>
        <w:t>3.履约过程中所供产品与本合同中注明的品牌、生产厂家、规格型号必须保持一致，乙方不得以任何理由更换生产厂家和产品的品质（不可抗力因素除外）。</w:t>
      </w:r>
    </w:p>
    <w:p w14:paraId="51985AFD">
      <w:pPr>
        <w:spacing w:line="360" w:lineRule="auto"/>
        <w:ind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第二条 质量标准</w:t>
      </w:r>
    </w:p>
    <w:p w14:paraId="5CE77B4B">
      <w:pPr>
        <w:spacing w:after="120" w:line="360" w:lineRule="auto"/>
        <w:ind w:firstLine="480" w:firstLineChars="200"/>
        <w:rPr>
          <w:rFonts w:hint="eastAsia" w:ascii="宋体" w:hAnsi="宋体" w:cs="宋体"/>
          <w:color w:val="auto"/>
          <w:sz w:val="24"/>
          <w:szCs w:val="22"/>
          <w:highlight w:val="none"/>
        </w:rPr>
      </w:pPr>
      <w:r>
        <w:rPr>
          <w:rFonts w:hint="eastAsia" w:ascii="宋体" w:hAnsi="宋体" w:cs="宋体"/>
          <w:color w:val="auto"/>
          <w:sz w:val="24"/>
          <w:szCs w:val="22"/>
          <w:highlight w:val="none"/>
        </w:rPr>
        <w:t>1.包装要求：提供的产品外包装必须有名称、地址、商标、生产厂家；生产日期、保质期或具有</w:t>
      </w:r>
      <w:r>
        <w:rPr>
          <w:rFonts w:ascii="宋体" w:hAnsi="宋体" w:cs="宋体"/>
          <w:color w:val="auto"/>
          <w:sz w:val="24"/>
          <w:szCs w:val="22"/>
          <w:highlight w:val="none"/>
        </w:rPr>
        <w:t>SC</w:t>
      </w:r>
      <w:r>
        <w:rPr>
          <w:rFonts w:hint="eastAsia" w:ascii="宋体" w:hAnsi="宋体" w:cs="宋体"/>
          <w:color w:val="auto"/>
          <w:sz w:val="24"/>
          <w:szCs w:val="22"/>
          <w:highlight w:val="none"/>
        </w:rPr>
        <w:t>生产许可标识。</w:t>
      </w:r>
    </w:p>
    <w:p w14:paraId="7BFFB75A">
      <w:pPr>
        <w:spacing w:after="120" w:line="360" w:lineRule="auto"/>
        <w:rPr>
          <w:rFonts w:hint="eastAsia" w:ascii="宋体" w:hAnsi="宋体" w:cs="宋体"/>
          <w:color w:val="auto"/>
          <w:sz w:val="24"/>
          <w:szCs w:val="22"/>
          <w:highlight w:val="none"/>
        </w:rPr>
      </w:pPr>
      <w:r>
        <w:rPr>
          <w:rFonts w:hint="eastAsia" w:ascii="宋体" w:hAnsi="宋体" w:cs="宋体"/>
          <w:color w:val="auto"/>
          <w:sz w:val="24"/>
          <w:szCs w:val="22"/>
          <w:highlight w:val="none"/>
        </w:rPr>
        <w:t xml:space="preserve">    2.技术标准要求：所提供产品须符合对应的国家质量标准的要求。</w:t>
      </w:r>
    </w:p>
    <w:p w14:paraId="1C29F1C2">
      <w:pPr>
        <w:snapToGrid w:val="0"/>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3.乙方必须提供配送产品的技术资料及符合技术要求第二项技术标准要求的证明材料（符合质量标准的产品质量检验报告），具体需要提供的品种，由甲方决定。</w:t>
      </w:r>
    </w:p>
    <w:p w14:paraId="102C4EE9">
      <w:pPr>
        <w:snapToGrid w:val="0"/>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u w:val="single"/>
        </w:rPr>
        <w:t>4.招标（采购）文件中对本项目提出的特殊质量要求：</w:t>
      </w:r>
      <w:r>
        <w:rPr>
          <w:rFonts w:hint="eastAsia" w:ascii="宋体" w:hAnsi="宋体" w:cs="宋体"/>
          <w:color w:val="auto"/>
          <w:sz w:val="24"/>
          <w:highlight w:val="none"/>
        </w:rPr>
        <w:t xml:space="preserve">      （若有）</w:t>
      </w:r>
      <w:r>
        <w:rPr>
          <w:rFonts w:hint="eastAsia" w:ascii="宋体" w:hAnsi="宋体" w:cs="宋体"/>
          <w:color w:val="auto"/>
          <w:sz w:val="24"/>
          <w:highlight w:val="none"/>
          <w:u w:val="single"/>
        </w:rPr>
        <w:t>。</w:t>
      </w:r>
    </w:p>
    <w:p w14:paraId="0EDBF34D">
      <w:pPr>
        <w:spacing w:after="120" w:line="360" w:lineRule="auto"/>
        <w:ind w:firstLine="482" w:firstLineChars="200"/>
        <w:rPr>
          <w:rFonts w:hint="eastAsia" w:ascii="宋体" w:hAnsi="宋体" w:cs="宋体"/>
          <w:b/>
          <w:bCs/>
          <w:color w:val="auto"/>
          <w:sz w:val="24"/>
          <w:szCs w:val="22"/>
          <w:highlight w:val="none"/>
        </w:rPr>
      </w:pPr>
      <w:r>
        <w:rPr>
          <w:rFonts w:hint="eastAsia" w:ascii="宋体" w:hAnsi="宋体" w:cs="宋体"/>
          <w:b/>
          <w:bCs/>
          <w:color w:val="auto"/>
          <w:sz w:val="24"/>
          <w:szCs w:val="22"/>
          <w:highlight w:val="none"/>
        </w:rPr>
        <w:t xml:space="preserve">第三条 </w:t>
      </w:r>
      <w:r>
        <w:rPr>
          <w:rFonts w:hint="eastAsia" w:ascii="宋体" w:hAnsi="宋体" w:cs="宋体"/>
          <w:b/>
          <w:bCs/>
          <w:color w:val="auto"/>
          <w:sz w:val="24"/>
          <w:szCs w:val="22"/>
          <w:highlight w:val="none"/>
          <w:lang w:val="en-US" w:eastAsia="zh-CN"/>
        </w:rPr>
        <w:t>配送期限</w:t>
      </w:r>
      <w:r>
        <w:rPr>
          <w:rFonts w:hint="eastAsia" w:ascii="宋体" w:hAnsi="宋体" w:cs="宋体"/>
          <w:b/>
          <w:bCs/>
          <w:color w:val="auto"/>
          <w:sz w:val="24"/>
          <w:szCs w:val="22"/>
          <w:highlight w:val="none"/>
        </w:rPr>
        <w:t>及地点</w:t>
      </w:r>
    </w:p>
    <w:p w14:paraId="27117C5C">
      <w:pPr>
        <w:spacing w:after="120" w:line="360" w:lineRule="auto"/>
        <w:ind w:firstLine="480" w:firstLineChars="200"/>
        <w:rPr>
          <w:rFonts w:hint="eastAsia" w:ascii="宋体" w:hAnsi="宋体" w:cs="宋体"/>
          <w:color w:val="auto"/>
          <w:sz w:val="24"/>
          <w:szCs w:val="22"/>
          <w:highlight w:val="none"/>
        </w:rPr>
      </w:pPr>
      <w:r>
        <w:rPr>
          <w:rFonts w:hint="eastAsia" w:ascii="宋体" w:hAnsi="宋体" w:cs="宋体"/>
          <w:color w:val="auto"/>
          <w:sz w:val="24"/>
          <w:szCs w:val="22"/>
          <w:highlight w:val="none"/>
        </w:rPr>
        <w:t>1.</w:t>
      </w:r>
      <w:r>
        <w:rPr>
          <w:rFonts w:hint="eastAsia" w:ascii="宋体" w:hAnsi="宋体" w:cs="宋体"/>
          <w:color w:val="auto"/>
          <w:sz w:val="24"/>
          <w:szCs w:val="22"/>
          <w:highlight w:val="none"/>
          <w:lang w:val="en-US" w:eastAsia="zh-CN"/>
        </w:rPr>
        <w:t>配送</w:t>
      </w:r>
      <w:r>
        <w:rPr>
          <w:rFonts w:hint="eastAsia" w:ascii="宋体" w:hAnsi="宋体" w:cs="宋体"/>
          <w:color w:val="auto"/>
          <w:sz w:val="24"/>
          <w:szCs w:val="22"/>
          <w:highlight w:val="none"/>
        </w:rPr>
        <w:t>期限：   年    月    日至    年   月  日。</w:t>
      </w:r>
    </w:p>
    <w:p w14:paraId="64DC8F6A">
      <w:pPr>
        <w:spacing w:after="120" w:line="360" w:lineRule="auto"/>
        <w:ind w:firstLine="480" w:firstLineChars="200"/>
        <w:rPr>
          <w:rFonts w:hint="eastAsia" w:ascii="宋体" w:hAnsi="宋体" w:cs="宋体"/>
          <w:color w:val="auto"/>
          <w:sz w:val="24"/>
          <w:szCs w:val="22"/>
          <w:highlight w:val="none"/>
        </w:rPr>
      </w:pPr>
      <w:r>
        <w:rPr>
          <w:rFonts w:hint="eastAsia" w:ascii="宋体" w:hAnsi="宋体" w:cs="宋体"/>
          <w:color w:val="auto"/>
          <w:sz w:val="24"/>
          <w:szCs w:val="22"/>
          <w:highlight w:val="none"/>
        </w:rPr>
        <w:t>2.</w:t>
      </w:r>
      <w:r>
        <w:rPr>
          <w:rFonts w:hint="eastAsia" w:ascii="宋体" w:hAnsi="宋体" w:cs="宋体"/>
          <w:color w:val="auto"/>
          <w:sz w:val="24"/>
          <w:szCs w:val="22"/>
          <w:highlight w:val="none"/>
          <w:lang w:val="en-US" w:eastAsia="zh-CN"/>
        </w:rPr>
        <w:t>配送</w:t>
      </w:r>
      <w:r>
        <w:rPr>
          <w:rFonts w:hint="eastAsia" w:ascii="宋体" w:hAnsi="宋体" w:cs="宋体"/>
          <w:color w:val="auto"/>
          <w:sz w:val="24"/>
          <w:szCs w:val="22"/>
          <w:highlight w:val="none"/>
        </w:rPr>
        <w:t>方式：甲方发出采购需求通知后，乙方按甲方通知的数量、时间等要求送达指定地点，紧急情况下，</w:t>
      </w:r>
      <w:r>
        <w:rPr>
          <w:rFonts w:hint="eastAsia" w:ascii="宋体" w:hAnsi="宋体" w:cs="宋体"/>
          <w:color w:val="auto"/>
          <w:sz w:val="24"/>
          <w:szCs w:val="22"/>
          <w:highlight w:val="none"/>
          <w:lang w:val="en-US" w:eastAsia="zh-CN"/>
        </w:rPr>
        <w:t>配送</w:t>
      </w:r>
      <w:r>
        <w:rPr>
          <w:rFonts w:hint="eastAsia" w:ascii="宋体" w:hAnsi="宋体" w:cs="宋体"/>
          <w:color w:val="auto"/>
          <w:sz w:val="24"/>
          <w:szCs w:val="22"/>
          <w:highlight w:val="none"/>
        </w:rPr>
        <w:t>时间不超过      小时。乙方</w:t>
      </w:r>
      <w:r>
        <w:rPr>
          <w:rFonts w:hint="eastAsia" w:ascii="宋体" w:hAnsi="宋体" w:cs="宋体"/>
          <w:color w:val="auto"/>
          <w:sz w:val="24"/>
          <w:szCs w:val="22"/>
          <w:highlight w:val="none"/>
          <w:lang w:val="en-US" w:eastAsia="zh-CN"/>
        </w:rPr>
        <w:t>配送</w:t>
      </w:r>
      <w:r>
        <w:rPr>
          <w:rFonts w:hint="eastAsia" w:ascii="宋体" w:hAnsi="宋体" w:cs="宋体"/>
          <w:color w:val="auto"/>
          <w:sz w:val="24"/>
          <w:szCs w:val="22"/>
          <w:highlight w:val="none"/>
        </w:rPr>
        <w:t>车辆、人员必须与《投标</w:t>
      </w:r>
      <w:r>
        <w:rPr>
          <w:rFonts w:hint="eastAsia" w:ascii="宋体" w:hAnsi="宋体" w:cs="宋体"/>
          <w:color w:val="auto"/>
          <w:sz w:val="24"/>
          <w:szCs w:val="22"/>
          <w:highlight w:val="none"/>
          <w:lang w:eastAsia="zh-CN"/>
        </w:rPr>
        <w:t>（</w:t>
      </w:r>
      <w:r>
        <w:rPr>
          <w:rFonts w:hint="eastAsia" w:ascii="宋体" w:hAnsi="宋体" w:cs="宋体"/>
          <w:color w:val="auto"/>
          <w:sz w:val="24"/>
          <w:szCs w:val="22"/>
          <w:highlight w:val="none"/>
          <w:lang w:val="en-US" w:eastAsia="zh-CN"/>
        </w:rPr>
        <w:t>响应</w:t>
      </w:r>
      <w:r>
        <w:rPr>
          <w:rFonts w:hint="eastAsia" w:ascii="宋体" w:hAnsi="宋体" w:cs="宋体"/>
          <w:color w:val="auto"/>
          <w:sz w:val="24"/>
          <w:szCs w:val="22"/>
          <w:highlight w:val="none"/>
          <w:lang w:eastAsia="zh-CN"/>
        </w:rPr>
        <w:t>）</w:t>
      </w:r>
      <w:r>
        <w:rPr>
          <w:rFonts w:hint="eastAsia" w:ascii="宋体" w:hAnsi="宋体" w:cs="宋体"/>
          <w:color w:val="auto"/>
          <w:sz w:val="24"/>
          <w:szCs w:val="22"/>
          <w:highlight w:val="none"/>
        </w:rPr>
        <w:t>文件》一致，不得擅自变更，如有变更，需向甲方提交相关证明材料，经甲方同意后方可变更。</w:t>
      </w:r>
    </w:p>
    <w:p w14:paraId="7C76C5F9">
      <w:pPr>
        <w:spacing w:after="120" w:line="360" w:lineRule="auto"/>
        <w:ind w:firstLine="480" w:firstLineChars="200"/>
        <w:rPr>
          <w:rFonts w:hint="eastAsia" w:ascii="宋体" w:hAnsi="宋体" w:cs="宋体"/>
          <w:color w:val="auto"/>
          <w:sz w:val="24"/>
          <w:szCs w:val="22"/>
          <w:highlight w:val="none"/>
        </w:rPr>
      </w:pPr>
      <w:r>
        <w:rPr>
          <w:rFonts w:hint="eastAsia" w:ascii="宋体" w:hAnsi="宋体" w:cs="宋体"/>
          <w:color w:val="auto"/>
          <w:sz w:val="24"/>
          <w:szCs w:val="22"/>
          <w:highlight w:val="none"/>
        </w:rPr>
        <w:t>3.</w:t>
      </w:r>
      <w:r>
        <w:rPr>
          <w:rFonts w:hint="eastAsia" w:ascii="宋体" w:hAnsi="宋体" w:cs="宋体"/>
          <w:color w:val="auto"/>
          <w:sz w:val="24"/>
          <w:szCs w:val="22"/>
          <w:highlight w:val="none"/>
          <w:lang w:val="en-US" w:eastAsia="zh-CN"/>
        </w:rPr>
        <w:t>配送</w:t>
      </w:r>
      <w:r>
        <w:rPr>
          <w:rFonts w:hint="eastAsia" w:ascii="宋体" w:hAnsi="宋体" w:cs="宋体"/>
          <w:color w:val="auto"/>
          <w:sz w:val="24"/>
          <w:szCs w:val="22"/>
          <w:highlight w:val="none"/>
        </w:rPr>
        <w:t>地点：甲方指定地点。</w:t>
      </w:r>
    </w:p>
    <w:p w14:paraId="7395D3F2">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4.甲方接收及验货、对账人员：</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，联系电话：</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p>
    <w:p w14:paraId="55F0D9BB">
      <w:pPr>
        <w:snapToGrid w:val="0"/>
        <w:spacing w:line="360" w:lineRule="auto"/>
        <w:ind w:firstLine="240" w:firstLineChars="100"/>
        <w:rPr>
          <w:rFonts w:hint="eastAsia" w:ascii="宋体" w:hAnsi="宋体" w:cs="宋体"/>
          <w:color w:val="auto"/>
          <w:sz w:val="24"/>
          <w:highlight w:val="none"/>
        </w:rPr>
      </w:pPr>
      <w:r>
        <w:rPr>
          <w:rFonts w:hint="eastAsia" w:ascii="宋体" w:hAnsi="宋体" w:cs="宋体"/>
          <w:color w:val="auto"/>
          <w:sz w:val="24"/>
          <w:highlight w:val="none"/>
        </w:rPr>
        <w:t>乙方应安排专人负责</w:t>
      </w:r>
      <w:r>
        <w:rPr>
          <w:rFonts w:hint="eastAsia" w:ascii="宋体" w:hAnsi="宋体" w:cs="宋体"/>
          <w:color w:val="auto"/>
          <w:sz w:val="24"/>
          <w:highlight w:val="none"/>
          <w:lang w:val="en-US" w:eastAsia="zh-CN"/>
        </w:rPr>
        <w:t>配送</w:t>
      </w:r>
      <w:r>
        <w:rPr>
          <w:rFonts w:hint="eastAsia" w:ascii="宋体" w:hAnsi="宋体" w:cs="宋体"/>
          <w:color w:val="auto"/>
          <w:sz w:val="24"/>
          <w:highlight w:val="none"/>
        </w:rPr>
        <w:t>、对账事宜，联系人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，联系电话</w:t>
      </w:r>
      <w:r>
        <w:rPr>
          <w:rFonts w:hint="eastAsia" w:ascii="宋体" w:hAnsi="宋体" w:cs="宋体"/>
          <w:color w:val="auto"/>
          <w:sz w:val="24"/>
          <w:highlight w:val="none"/>
          <w:u w:val="single"/>
        </w:rPr>
        <w:t xml:space="preserve">：    </w:t>
      </w:r>
    </w:p>
    <w:p w14:paraId="13DDCDA7">
      <w:pPr>
        <w:snapToGrid w:val="0"/>
        <w:spacing w:line="360" w:lineRule="auto"/>
        <w:ind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第四条 验收</w:t>
      </w:r>
    </w:p>
    <w:p w14:paraId="3F2736AA">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1.数量验收：乙方按甲方的指示</w:t>
      </w:r>
      <w:r>
        <w:rPr>
          <w:rFonts w:hint="eastAsia" w:ascii="宋体" w:hAnsi="宋体" w:cs="宋体"/>
          <w:color w:val="auto"/>
          <w:sz w:val="24"/>
          <w:highlight w:val="none"/>
          <w:lang w:val="en-US" w:eastAsia="zh-CN"/>
        </w:rPr>
        <w:t>配送</w:t>
      </w:r>
      <w:r>
        <w:rPr>
          <w:rFonts w:hint="eastAsia" w:ascii="宋体" w:hAnsi="宋体" w:cs="宋体"/>
          <w:color w:val="auto"/>
          <w:sz w:val="24"/>
          <w:highlight w:val="none"/>
        </w:rPr>
        <w:t>到指定地点后即刻通知甲方对数量清点，经双方确认后做好详细记录，如有缺失，乙方立即补足，否则甲方有权拒收全部货物。若经甲方确认无误后，甲方需在乙方提供的送货单上签收人（收货人）处签字确认。送货单一式两联，甲乙双方各执一联。</w:t>
      </w:r>
    </w:p>
    <w:p w14:paraId="5E68FE09">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2.质量验收方式：外观质量在甲方收货时验收，内在质量以乙方</w:t>
      </w:r>
      <w:r>
        <w:rPr>
          <w:rFonts w:hint="eastAsia" w:ascii="宋体" w:hAnsi="宋体" w:cs="宋体"/>
          <w:color w:val="auto"/>
          <w:sz w:val="24"/>
          <w:highlight w:val="none"/>
          <w:lang w:val="en-US" w:eastAsia="zh-CN"/>
        </w:rPr>
        <w:t>配送</w:t>
      </w:r>
      <w:r>
        <w:rPr>
          <w:rFonts w:hint="eastAsia" w:ascii="宋体" w:hAnsi="宋体" w:cs="宋体"/>
          <w:color w:val="auto"/>
          <w:sz w:val="24"/>
          <w:highlight w:val="none"/>
        </w:rPr>
        <w:t>的货物质量合格证明为准。乙方保证其在保质期内的质量合格。</w:t>
      </w:r>
    </w:p>
    <w:p w14:paraId="7CE676C8">
      <w:pPr>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color w:val="auto"/>
          <w:sz w:val="24"/>
          <w:highlight w:val="none"/>
        </w:rPr>
        <w:t>3.质量验收标准：</w:t>
      </w:r>
      <w:r>
        <w:rPr>
          <w:rFonts w:hint="eastAsia" w:ascii="宋体" w:hAnsi="宋体" w:cs="宋体"/>
          <w:bCs/>
          <w:color w:val="auto"/>
          <w:sz w:val="24"/>
          <w:highlight w:val="none"/>
        </w:rPr>
        <w:t>以本合同项下的</w:t>
      </w:r>
      <w:r>
        <w:rPr>
          <w:rFonts w:hint="eastAsia" w:ascii="宋体" w:hAnsi="宋体" w:cs="宋体"/>
          <w:bCs/>
          <w:color w:val="auto"/>
          <w:sz w:val="24"/>
          <w:highlight w:val="none"/>
          <w:lang w:val="en-US" w:eastAsia="zh-CN"/>
        </w:rPr>
        <w:t>配送</w:t>
      </w:r>
      <w:r>
        <w:rPr>
          <w:rFonts w:hint="eastAsia" w:ascii="宋体" w:hAnsi="宋体" w:cs="宋体"/>
          <w:bCs/>
          <w:color w:val="auto"/>
          <w:sz w:val="24"/>
          <w:highlight w:val="none"/>
        </w:rPr>
        <w:t xml:space="preserve">需求的产品对应的国家标准、招标文件及投标响应为准，乙方按甲方要求提供货物的质检报告。 </w:t>
      </w:r>
    </w:p>
    <w:p w14:paraId="3067DCDB">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4.货物验收要求：甲方工作人员严格按标准验收，不能有“吃、拿、卡、要”行为。如遇有“吃、拿、卡、要”行为，乙方应及时向相关人员和部门反映。</w:t>
      </w:r>
    </w:p>
    <w:p w14:paraId="1B907D53">
      <w:pPr>
        <w:snapToGrid w:val="0"/>
        <w:spacing w:line="360" w:lineRule="auto"/>
        <w:ind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第五条 结算及付款</w:t>
      </w:r>
    </w:p>
    <w:p w14:paraId="1124A2BC">
      <w:pPr>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1.按月结算。双方一个月结算一次货款，每月5号之前，甲乙双方凭签字确认的送货单对上个月供货数量进行对账结算，形成对账单，经双方确认无误由合同指定人员签字确认。若乙方形成对账单后，甲方在收到乙方对账请求的20个日历内（遇寒暑假、法定节假日、周末休息日顺延）迟迟不予对账，则视为甲方认可乙方单方制作的对账单的结算金额。</w:t>
      </w:r>
    </w:p>
    <w:p w14:paraId="4583C802">
      <w:pPr>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2.付款条件：每月对账结算后，甲方支付货款，乙方需在每次申请付款前开具正规</w:t>
      </w:r>
      <w:r>
        <w:rPr>
          <w:rFonts w:hint="eastAsia" w:ascii="宋体" w:hAnsi="宋体" w:cs="宋体"/>
          <w:color w:val="auto"/>
          <w:sz w:val="24"/>
          <w:highlight w:val="none"/>
        </w:rPr>
        <w:sym w:font="Wingdings 2" w:char="00A3"/>
      </w:r>
      <w:r>
        <w:rPr>
          <w:rFonts w:hint="eastAsia" w:ascii="宋体" w:hAnsi="宋体" w:cs="宋体"/>
          <w:color w:val="auto"/>
          <w:sz w:val="24"/>
          <w:highlight w:val="none"/>
        </w:rPr>
        <w:t>增值税专用发票/</w:t>
      </w:r>
      <w:r>
        <w:rPr>
          <w:rFonts w:hint="eastAsia" w:ascii="宋体" w:hAnsi="宋体" w:cs="宋体"/>
          <w:color w:val="auto"/>
          <w:sz w:val="24"/>
          <w:highlight w:val="none"/>
        </w:rPr>
        <w:sym w:font="Wingdings 2" w:char="00A3"/>
      </w:r>
      <w:r>
        <w:rPr>
          <w:rFonts w:hint="eastAsia" w:ascii="宋体" w:hAnsi="宋体" w:cs="宋体"/>
          <w:color w:val="auto"/>
          <w:sz w:val="24"/>
          <w:highlight w:val="none"/>
        </w:rPr>
        <w:t>增值税普通发票</w:t>
      </w:r>
      <w:r>
        <w:rPr>
          <w:rFonts w:hint="eastAsia" w:ascii="宋体" w:hAnsi="宋体" w:cs="宋体"/>
          <w:bCs/>
          <w:color w:val="auto"/>
          <w:sz w:val="24"/>
          <w:highlight w:val="none"/>
        </w:rPr>
        <w:t>，甲方收到发票后在20个日历日内（遇寒暑假、法定节假日、周末休息日顺延）支付货款。</w:t>
      </w:r>
    </w:p>
    <w:p w14:paraId="6B9CDA07">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3.付款方式</w:t>
      </w:r>
    </w:p>
    <w:p w14:paraId="7B652E8F">
      <w:pPr>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color w:val="auto"/>
          <w:sz w:val="24"/>
          <w:highlight w:val="none"/>
        </w:rPr>
        <w:t>甲方</w:t>
      </w:r>
      <w:r>
        <w:rPr>
          <w:rFonts w:hint="eastAsia" w:ascii="宋体" w:hAnsi="宋体" w:cs="宋体"/>
          <w:bCs/>
          <w:color w:val="auto"/>
          <w:sz w:val="24"/>
          <w:highlight w:val="none"/>
        </w:rPr>
        <w:t>通过银行对公账户支付给乙方，且转账账户的开户名称和提供发票的印章名称必须与签订合同的单位名称三者相吻合，否则不予转账。</w:t>
      </w:r>
      <w:r>
        <w:rPr>
          <w:rFonts w:hint="eastAsia" w:ascii="宋体" w:hAnsi="宋体" w:cs="宋体"/>
          <w:color w:val="auto"/>
          <w:sz w:val="24"/>
          <w:highlight w:val="none"/>
        </w:rPr>
        <w:t>乙方需向甲方提供正确无误的收款账户、账号，否则出现转款错误，乙方自行承担损失后果。</w:t>
      </w:r>
    </w:p>
    <w:p w14:paraId="73B81311">
      <w:pPr>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甲方开票信息</w:t>
      </w:r>
    </w:p>
    <w:p w14:paraId="77C05B66">
      <w:pPr>
        <w:spacing w:before="132"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rPr>
        <w:t xml:space="preserve"> </w:t>
      </w:r>
    </w:p>
    <w:p w14:paraId="297F4B5F">
      <w:pPr>
        <w:spacing w:before="132"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纳税登记号：</w:t>
      </w:r>
      <w:r>
        <w:rPr>
          <w:rFonts w:hint="eastAsia" w:ascii="宋体" w:hAnsi="宋体" w:cs="宋体"/>
          <w:color w:val="auto"/>
          <w:sz w:val="24"/>
          <w:highlight w:val="none"/>
          <w:u w:val="single"/>
        </w:rPr>
        <w:t xml:space="preserve">                     </w:t>
      </w:r>
    </w:p>
    <w:p w14:paraId="137B43F8">
      <w:pPr>
        <w:spacing w:before="39" w:line="360" w:lineRule="auto"/>
        <w:ind w:firstLine="480" w:firstLineChars="200"/>
        <w:rPr>
          <w:rFonts w:hint="eastAsia" w:ascii="宋体" w:hAnsi="宋体" w:cs="宋体"/>
          <w:bCs/>
          <w:color w:val="auto"/>
          <w:sz w:val="24"/>
          <w:highlight w:val="none"/>
        </w:rPr>
      </w:pPr>
      <w:r>
        <w:rPr>
          <w:rFonts w:hint="eastAsia" w:ascii="宋体" w:hAnsi="宋体" w:cs="宋体"/>
          <w:color w:val="auto"/>
          <w:sz w:val="24"/>
          <w:highlight w:val="none"/>
        </w:rPr>
        <w:t>电子邮箱</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p>
    <w:p w14:paraId="7AEB4D5E">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乙方收款信息如下：</w:t>
      </w:r>
    </w:p>
    <w:p w14:paraId="30040BE8">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户名：</w:t>
      </w:r>
      <w:r>
        <w:rPr>
          <w:rFonts w:hint="eastAsia" w:ascii="宋体" w:hAnsi="宋体" w:cs="宋体"/>
          <w:color w:val="auto"/>
          <w:sz w:val="24"/>
          <w:highlight w:val="none"/>
          <w:u w:val="single"/>
        </w:rPr>
        <w:t xml:space="preserve">          </w:t>
      </w:r>
    </w:p>
    <w:p w14:paraId="26498765">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开户行</w:t>
      </w:r>
      <w:r>
        <w:rPr>
          <w:rFonts w:hint="eastAsia" w:ascii="宋体" w:hAnsi="宋体" w:cs="宋体"/>
          <w:color w:val="auto"/>
          <w:sz w:val="24"/>
          <w:highlight w:val="none"/>
          <w:u w:val="single"/>
        </w:rPr>
        <w:t xml:space="preserve">：                    </w:t>
      </w:r>
    </w:p>
    <w:p w14:paraId="6DDBE570">
      <w:pPr>
        <w:spacing w:line="360" w:lineRule="auto"/>
        <w:ind w:firstLine="480" w:firstLineChars="200"/>
        <w:rPr>
          <w:rFonts w:hint="eastAsia" w:ascii="宋体" w:hAnsi="宋体" w:cs="宋体"/>
          <w:bCs/>
          <w:color w:val="auto"/>
          <w:sz w:val="24"/>
          <w:highlight w:val="none"/>
        </w:rPr>
      </w:pPr>
      <w:r>
        <w:rPr>
          <w:rFonts w:hint="eastAsia" w:ascii="宋体" w:hAnsi="宋体" w:cs="宋体"/>
          <w:color w:val="auto"/>
          <w:sz w:val="24"/>
          <w:highlight w:val="none"/>
        </w:rPr>
        <w:t>账号：</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p>
    <w:p w14:paraId="27FDD8EC">
      <w:pPr>
        <w:spacing w:line="360" w:lineRule="auto"/>
        <w:jc w:val="left"/>
        <w:rPr>
          <w:rFonts w:hint="eastAsia" w:ascii="宋体" w:hAnsi="宋体" w:cs="宋体"/>
          <w:b/>
          <w:bCs/>
          <w:color w:val="auto"/>
          <w:sz w:val="24"/>
          <w:highlight w:val="none"/>
        </w:rPr>
      </w:pPr>
      <w:r>
        <w:rPr>
          <w:rFonts w:hint="eastAsia" w:ascii="宋体" w:hAnsi="宋体" w:cs="宋体"/>
          <w:b/>
          <w:bCs/>
          <w:color w:val="auto"/>
          <w:sz w:val="24"/>
          <w:highlight w:val="none"/>
        </w:rPr>
        <w:t xml:space="preserve"> 第六条 合同的变更与解除</w:t>
      </w:r>
    </w:p>
    <w:p w14:paraId="5077AA7A">
      <w:pPr>
        <w:spacing w:line="360" w:lineRule="auto"/>
        <w:ind w:firstLine="240" w:firstLineChars="100"/>
        <w:jc w:val="left"/>
        <w:rPr>
          <w:rFonts w:hint="eastAsia" w:ascii="宋体" w:hAnsi="宋体" w:cs="宋体"/>
          <w:color w:val="auto"/>
          <w:sz w:val="24"/>
          <w:highlight w:val="none"/>
        </w:rPr>
      </w:pPr>
      <w:r>
        <w:rPr>
          <w:rFonts w:hint="eastAsia" w:ascii="宋体" w:hAnsi="宋体" w:cs="宋体"/>
          <w:color w:val="auto"/>
          <w:sz w:val="24"/>
          <w:highlight w:val="none"/>
        </w:rPr>
        <w:t>1.甲乙双方经协商同意，可以解除本合同，任何一方不得擅自变更或解除合同，否则构成违约。</w:t>
      </w:r>
    </w:p>
    <w:p w14:paraId="19D3F4DF">
      <w:pPr>
        <w:snapToGrid w:val="0"/>
        <w:spacing w:line="360" w:lineRule="auto"/>
        <w:ind w:firstLine="240" w:firstLineChars="100"/>
        <w:rPr>
          <w:rFonts w:hint="eastAsia" w:ascii="宋体" w:hAnsi="宋体" w:cs="宋体"/>
          <w:color w:val="auto"/>
          <w:sz w:val="24"/>
          <w:highlight w:val="none"/>
        </w:rPr>
      </w:pPr>
      <w:r>
        <w:rPr>
          <w:rFonts w:hint="eastAsia" w:ascii="宋体" w:hAnsi="宋体" w:cs="宋体"/>
          <w:bCs/>
          <w:color w:val="auto"/>
          <w:sz w:val="24"/>
          <w:highlight w:val="none"/>
        </w:rPr>
        <w:t xml:space="preserve"> 2.</w:t>
      </w:r>
      <w:r>
        <w:rPr>
          <w:rFonts w:hint="eastAsia" w:ascii="宋体" w:hAnsi="宋体" w:cs="宋体"/>
          <w:color w:val="auto"/>
          <w:sz w:val="24"/>
          <w:highlight w:val="none"/>
        </w:rPr>
        <w:t>乙方有下列情形之一的，甲方有权解除合同</w:t>
      </w:r>
    </w:p>
    <w:p w14:paraId="7365CDB9">
      <w:pPr>
        <w:snapToGrid w:val="0"/>
        <w:spacing w:line="360" w:lineRule="auto"/>
        <w:ind w:firstLine="240" w:firstLineChars="100"/>
        <w:rPr>
          <w:rFonts w:hint="eastAsia" w:ascii="宋体" w:hAnsi="宋体" w:cs="宋体"/>
          <w:color w:val="auto"/>
          <w:sz w:val="24"/>
          <w:highlight w:val="none"/>
        </w:rPr>
      </w:pPr>
      <w:r>
        <w:rPr>
          <w:rFonts w:hint="eastAsia" w:ascii="宋体" w:hAnsi="宋体" w:cs="宋体"/>
          <w:color w:val="auto"/>
          <w:sz w:val="24"/>
          <w:highlight w:val="none"/>
        </w:rPr>
        <w:t xml:space="preserve"> （1）乙方提供的货物不符合国家相关标准三次以 上，经退换货后仍未达到验收合格的标准；</w:t>
      </w:r>
    </w:p>
    <w:p w14:paraId="239233AF">
      <w:pPr>
        <w:snapToGrid w:val="0"/>
        <w:spacing w:line="360" w:lineRule="auto"/>
        <w:ind w:firstLine="240" w:firstLineChars="100"/>
        <w:rPr>
          <w:rFonts w:hint="eastAsia" w:ascii="宋体" w:hAnsi="宋体" w:cs="宋体"/>
          <w:color w:val="auto"/>
          <w:sz w:val="24"/>
          <w:highlight w:val="none"/>
        </w:rPr>
      </w:pPr>
      <w:r>
        <w:rPr>
          <w:rFonts w:hint="eastAsia" w:ascii="宋体" w:hAnsi="宋体" w:cs="宋体"/>
          <w:color w:val="auto"/>
          <w:sz w:val="24"/>
          <w:highlight w:val="none"/>
        </w:rPr>
        <w:t>（2）甲方发出供货通知后，乙方以任何理由推诿、拖延，未按甲方通知的交货时间、地点及数量供货三次以上，经催告后仍不按要求供货的；</w:t>
      </w:r>
    </w:p>
    <w:p w14:paraId="3AD5959E">
      <w:pPr>
        <w:snapToGrid w:val="0"/>
        <w:spacing w:line="360" w:lineRule="auto"/>
        <w:ind w:firstLine="240" w:firstLineChars="100"/>
        <w:rPr>
          <w:rFonts w:hint="eastAsia" w:ascii="宋体" w:hAnsi="宋体" w:cs="宋体"/>
          <w:color w:val="auto"/>
          <w:sz w:val="24"/>
          <w:highlight w:val="none"/>
        </w:rPr>
      </w:pPr>
      <w:r>
        <w:rPr>
          <w:rFonts w:hint="eastAsia" w:ascii="宋体" w:hAnsi="宋体" w:cs="宋体"/>
          <w:color w:val="auto"/>
          <w:sz w:val="24"/>
          <w:highlight w:val="none"/>
        </w:rPr>
        <w:t>（3）乙方将供货资格转让他人的。</w:t>
      </w:r>
    </w:p>
    <w:p w14:paraId="2ED9AE75">
      <w:pPr>
        <w:snapToGrid w:val="0"/>
        <w:spacing w:line="360" w:lineRule="auto"/>
        <w:ind w:firstLine="240" w:firstLineChars="100"/>
        <w:rPr>
          <w:rFonts w:hint="eastAsia" w:ascii="宋体" w:hAnsi="宋体" w:cs="宋体"/>
          <w:color w:val="auto"/>
          <w:sz w:val="24"/>
          <w:highlight w:val="none"/>
        </w:rPr>
      </w:pPr>
      <w:r>
        <w:rPr>
          <w:rFonts w:hint="eastAsia" w:ascii="宋体" w:hAnsi="宋体" w:cs="宋体"/>
          <w:color w:val="auto"/>
          <w:sz w:val="24"/>
          <w:highlight w:val="none"/>
        </w:rPr>
        <w:t>3.甲方有下列情形之一的乙方有权解除合同</w:t>
      </w:r>
    </w:p>
    <w:p w14:paraId="70069318">
      <w:pPr>
        <w:snapToGrid w:val="0"/>
        <w:spacing w:line="360" w:lineRule="auto"/>
        <w:ind w:firstLine="240" w:firstLineChars="100"/>
        <w:rPr>
          <w:rFonts w:hint="eastAsia" w:ascii="宋体" w:hAnsi="宋体" w:cs="宋体"/>
          <w:color w:val="auto"/>
          <w:sz w:val="24"/>
          <w:highlight w:val="none"/>
        </w:rPr>
      </w:pPr>
      <w:r>
        <w:rPr>
          <w:rFonts w:hint="eastAsia" w:ascii="宋体" w:hAnsi="宋体" w:cs="宋体"/>
          <w:color w:val="auto"/>
          <w:sz w:val="24"/>
          <w:highlight w:val="none"/>
        </w:rPr>
        <w:t>（1）甲方无正当理由拒绝收货，经乙方催告后</w:t>
      </w:r>
      <w:r>
        <w:rPr>
          <w:rFonts w:hint="eastAsia" w:ascii="宋体" w:hAnsi="宋体" w:cs="宋体"/>
          <w:color w:val="auto"/>
          <w:sz w:val="24"/>
          <w:highlight w:val="none"/>
          <w:u w:val="single"/>
        </w:rPr>
        <w:t xml:space="preserve"> 2 </w:t>
      </w:r>
      <w:r>
        <w:rPr>
          <w:rFonts w:hint="eastAsia" w:ascii="宋体" w:hAnsi="宋体" w:cs="宋体"/>
          <w:color w:val="auto"/>
          <w:sz w:val="24"/>
          <w:highlight w:val="none"/>
        </w:rPr>
        <w:t xml:space="preserve"> 个工作日内仍未组织收货的；</w:t>
      </w:r>
    </w:p>
    <w:p w14:paraId="474602B1">
      <w:pPr>
        <w:snapToGrid w:val="0"/>
        <w:spacing w:line="360" w:lineRule="auto"/>
        <w:ind w:firstLine="240" w:firstLineChars="100"/>
        <w:rPr>
          <w:rFonts w:hint="eastAsia" w:ascii="宋体" w:hAnsi="宋体" w:cs="宋体"/>
          <w:color w:val="auto"/>
          <w:sz w:val="24"/>
          <w:highlight w:val="none"/>
        </w:rPr>
      </w:pPr>
      <w:r>
        <w:rPr>
          <w:rFonts w:hint="eastAsia" w:ascii="宋体" w:hAnsi="宋体" w:cs="宋体"/>
          <w:color w:val="auto"/>
          <w:sz w:val="24"/>
          <w:highlight w:val="none"/>
        </w:rPr>
        <w:t>（2）甲方未按约定的时间付款，经乙方催告后</w:t>
      </w:r>
      <w:r>
        <w:rPr>
          <w:rFonts w:hint="eastAsia" w:ascii="宋体" w:hAnsi="宋体" w:cs="宋体"/>
          <w:color w:val="auto"/>
          <w:sz w:val="24"/>
          <w:highlight w:val="none"/>
          <w:u w:val="single"/>
        </w:rPr>
        <w:t xml:space="preserve"> 10 </w:t>
      </w:r>
      <w:r>
        <w:rPr>
          <w:rFonts w:hint="eastAsia" w:ascii="宋体" w:hAnsi="宋体" w:cs="宋体"/>
          <w:color w:val="auto"/>
          <w:sz w:val="24"/>
          <w:highlight w:val="none"/>
        </w:rPr>
        <w:t>个工作日内甲方仍未结算付款的。</w:t>
      </w:r>
    </w:p>
    <w:p w14:paraId="63E22D9F">
      <w:pPr>
        <w:snapToGrid w:val="0"/>
        <w:spacing w:line="360" w:lineRule="auto"/>
        <w:rPr>
          <w:rFonts w:hint="eastAsia" w:ascii="宋体" w:hAnsi="宋体" w:cs="宋体"/>
          <w:b/>
          <w:color w:val="auto"/>
          <w:sz w:val="24"/>
          <w:highlight w:val="none"/>
        </w:rPr>
      </w:pPr>
      <w:r>
        <w:rPr>
          <w:rFonts w:hint="eastAsia" w:ascii="宋体" w:hAnsi="宋体" w:cs="宋体"/>
          <w:b/>
          <w:color w:val="auto"/>
          <w:sz w:val="24"/>
          <w:highlight w:val="none"/>
        </w:rPr>
        <w:t>第七条 违约责任</w:t>
      </w:r>
    </w:p>
    <w:p w14:paraId="76FD071F">
      <w:pPr>
        <w:snapToGrid w:val="0"/>
        <w:spacing w:line="360" w:lineRule="auto"/>
        <w:ind w:firstLine="360" w:firstLineChars="150"/>
        <w:rPr>
          <w:rFonts w:hint="eastAsia" w:ascii="宋体" w:hAnsi="宋体" w:cs="宋体"/>
          <w:color w:val="auto"/>
          <w:sz w:val="24"/>
          <w:highlight w:val="none"/>
        </w:rPr>
      </w:pPr>
      <w:r>
        <w:rPr>
          <w:rFonts w:hint="eastAsia" w:ascii="宋体" w:hAnsi="宋体" w:cs="宋体"/>
          <w:color w:val="auto"/>
          <w:sz w:val="24"/>
          <w:highlight w:val="none"/>
        </w:rPr>
        <w:t>（一）甲方违约责任</w:t>
      </w:r>
    </w:p>
    <w:p w14:paraId="640732B6">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1.在合同有效期内，乙方所供货物符合国家相关标准，甲方无正当理由拒收货物的，甲方应偿付当批次货物总价5 %的违约金。</w:t>
      </w:r>
    </w:p>
    <w:p w14:paraId="0331531A">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2.甲方无正当理由逾期支付货款的，除应及时付足货款外，应向乙方偿付欠款总额 0.05</w:t>
      </w:r>
      <w:r>
        <w:rPr>
          <w:rFonts w:ascii="宋体" w:hAnsi="宋体" w:cs="宋体"/>
          <w:color w:val="auto"/>
          <w:sz w:val="24"/>
          <w:highlight w:val="none"/>
        </w:rPr>
        <w:t xml:space="preserve"> % /</w:t>
      </w:r>
      <w:r>
        <w:rPr>
          <w:rFonts w:hint="eastAsia" w:ascii="宋体" w:hAnsi="宋体" w:cs="宋体"/>
          <w:color w:val="auto"/>
          <w:sz w:val="24"/>
          <w:highlight w:val="none"/>
        </w:rPr>
        <w:t>天的违约金；逾期付款超过20个工作日的，乙方有权解除合同。</w:t>
      </w:r>
    </w:p>
    <w:p w14:paraId="164DBDE7">
      <w:pPr>
        <w:snapToGrid w:val="0"/>
        <w:spacing w:line="360" w:lineRule="auto"/>
        <w:ind w:firstLine="360" w:firstLineChars="150"/>
        <w:rPr>
          <w:rFonts w:hint="eastAsia" w:ascii="宋体" w:hAnsi="宋体" w:cs="宋体"/>
          <w:color w:val="auto"/>
          <w:sz w:val="24"/>
          <w:highlight w:val="none"/>
        </w:rPr>
      </w:pPr>
      <w:r>
        <w:rPr>
          <w:rFonts w:hint="eastAsia" w:ascii="宋体" w:hAnsi="宋体" w:cs="宋体"/>
          <w:color w:val="auto"/>
          <w:sz w:val="24"/>
          <w:highlight w:val="none"/>
        </w:rPr>
        <w:t>（二）乙方违约责任</w:t>
      </w:r>
    </w:p>
    <w:p w14:paraId="3F7AF5E7">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如发生以下情形中之一的，甲方有权要求乙方承担违约责任（违约金可在履约保证金中抵扣）：</w:t>
      </w:r>
    </w:p>
    <w:p w14:paraId="6B386520">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甲方发出供货通知后，乙方以任何理由推诿、拖延，未按甲方通知的交货时间、地点及数量供货，经催告后仍不按要求供货的，甲方有权在其他供应商处实施该批次货物的采购，采购货物产生的差价由乙方承担；并且每发生一次乙方向甲方交纳违约金1000元。</w:t>
      </w:r>
    </w:p>
    <w:p w14:paraId="6D8C5E08">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2.乙方不按合同规定的标准、质量提供货物，除进行退货处理外，乙方应支付甲方该批次货物价值2倍的违约金。</w:t>
      </w:r>
    </w:p>
    <w:p w14:paraId="3D0037D7">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3.若乙方在合同期间有第1、第2项不良记录累计三次及以上，甲方有权解除合同，除要求乙方支付违约金外，甲方还可以没收乙方50%的履约保证金。</w:t>
      </w:r>
    </w:p>
    <w:p w14:paraId="4C6B1257">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4.乙方不得转让供货资格，否则甲方将立即解除合同，并不再退还履约保证金。</w:t>
      </w:r>
    </w:p>
    <w:p w14:paraId="42AB6846">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5.因乙方原因（除上述第4条外）造成合同解除的，甲方将在其他供应商处采购本合同货物，采购期间（直到重新招标采购合同签订前）产生的差价及重新招标产生的所有费用均由乙方承担。</w:t>
      </w:r>
    </w:p>
    <w:p w14:paraId="44CC2902">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乙方所供产品在注明的保质期内，若抽检不合格或发生其他卫生、质量等问题（以双方共同委托第三方检测或政府相关部门检查结果为准），每发生一次乙方向甲方交纳违约金10000元，并由乙方承担因产品卫生、质量问题造成的全部损失。</w:t>
      </w:r>
    </w:p>
    <w:p w14:paraId="674E1AEC">
      <w:pPr>
        <w:snapToGrid w:val="0"/>
        <w:spacing w:line="360" w:lineRule="auto"/>
        <w:ind w:firstLine="480" w:firstLineChars="200"/>
        <w:rPr>
          <w:rFonts w:hint="eastAsia" w:ascii="宋体" w:hAnsi="宋体" w:cs="宋体"/>
          <w:b/>
          <w:bCs/>
          <w:color w:val="auto"/>
          <w:sz w:val="24"/>
          <w:highlight w:val="none"/>
        </w:rPr>
      </w:pPr>
      <w:r>
        <w:rPr>
          <w:rFonts w:hint="eastAsia" w:ascii="宋体" w:hAnsi="宋体" w:cs="宋体"/>
          <w:color w:val="auto"/>
          <w:sz w:val="24"/>
          <w:highlight w:val="none"/>
        </w:rPr>
        <w:t>（三）因一方违约行为而导致合同解除的，违约方应承担合同解除给守约方造成的全部损失。</w:t>
      </w:r>
    </w:p>
    <w:p w14:paraId="3A6BD0D6">
      <w:pPr>
        <w:snapToGrid w:val="0"/>
        <w:spacing w:line="360" w:lineRule="auto"/>
        <w:ind w:firstLine="482" w:firstLineChars="200"/>
        <w:rPr>
          <w:rFonts w:hint="eastAsia" w:ascii="宋体" w:hAnsi="宋体" w:cs="宋体"/>
          <w:b/>
          <w:color w:val="auto"/>
          <w:sz w:val="24"/>
          <w:highlight w:val="none"/>
        </w:rPr>
      </w:pPr>
      <w:r>
        <w:rPr>
          <w:rFonts w:hint="eastAsia" w:ascii="宋体" w:hAnsi="宋体" w:cs="宋体"/>
          <w:b/>
          <w:color w:val="auto"/>
          <w:sz w:val="24"/>
          <w:highlight w:val="none"/>
        </w:rPr>
        <w:t>第八条 特别约定事项</w:t>
      </w:r>
    </w:p>
    <w:p w14:paraId="55377A4E">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1.乙方需向甲方交纳</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元（大写：       ）作为履约保证金，在合同签订前乙方交甲方财务部门。在合同执行完毕后，未发生卫生、质量、违约等问题，乙方提交书面申请，甲方退还履约保证金（不计息）。</w:t>
      </w:r>
    </w:p>
    <w:p w14:paraId="4C5BF700">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2.食品安全要求</w:t>
      </w:r>
    </w:p>
    <w:p w14:paraId="7F1F8DB8">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（1）乙方对配送产品的质量安全负责，若因产品本身质量问题或配送中污染、变质造成食品安全事件，乙方负全部责任。</w:t>
      </w:r>
    </w:p>
    <w:p w14:paraId="788CBA0F">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（2）产品发生质量安全事件时，乙方负责人必须立即到现场妥善处理，负责做好入院就医事项，做好安抚工作，并承担所产生的一切费用，因质量问题造成身体伤害及经济损失时，由乙方负责全部赔偿。</w:t>
      </w:r>
    </w:p>
    <w:p w14:paraId="49CAD925">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zh-CN"/>
        </w:rPr>
        <w:t>因食用供餐发生食物中毒，经有关单位鉴定原因后，如确定为乙方提供之货品问题，乙方除需负担</w:t>
      </w:r>
      <w:r>
        <w:rPr>
          <w:rFonts w:hint="eastAsia" w:ascii="宋体" w:hAnsi="宋体" w:cs="宋体"/>
          <w:color w:val="auto"/>
          <w:sz w:val="24"/>
          <w:highlight w:val="none"/>
        </w:rPr>
        <w:t>由此产生的</w:t>
      </w:r>
      <w:r>
        <w:rPr>
          <w:rFonts w:hint="eastAsia" w:ascii="宋体" w:hAnsi="宋体" w:cs="宋体"/>
          <w:color w:val="auto"/>
          <w:sz w:val="24"/>
          <w:highlight w:val="none"/>
          <w:lang w:val="zh-CN"/>
        </w:rPr>
        <w:t>所有医药费及赔偿相关一切损失之外，应承担法律上一切责任，</w:t>
      </w:r>
      <w:r>
        <w:rPr>
          <w:rFonts w:hint="eastAsia" w:ascii="宋体" w:hAnsi="宋体" w:cs="宋体"/>
          <w:color w:val="auto"/>
          <w:sz w:val="24"/>
          <w:highlight w:val="none"/>
        </w:rPr>
        <w:t>包括但不限于</w:t>
      </w:r>
      <w:r>
        <w:rPr>
          <w:rFonts w:hint="eastAsia" w:ascii="宋体" w:hAnsi="宋体" w:cs="宋体"/>
          <w:color w:val="auto"/>
          <w:sz w:val="24"/>
          <w:highlight w:val="none"/>
          <w:lang w:val="zh-CN"/>
        </w:rPr>
        <w:t>诉讼费、律师代理费、交通费等，同时</w:t>
      </w:r>
      <w:r>
        <w:rPr>
          <w:rFonts w:hint="eastAsia" w:ascii="宋体" w:hAnsi="宋体" w:cs="宋体"/>
          <w:color w:val="auto"/>
          <w:sz w:val="24"/>
          <w:highlight w:val="none"/>
        </w:rPr>
        <w:t>甲方有权解除本合同。</w:t>
      </w:r>
    </w:p>
    <w:p w14:paraId="05F9387C">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（4）合同签订前乙方交一份食品安全责任保险保单复印件（加盖乙方公章）给甲方核实、留存，并保证供货期间保额不得降低。（以招标（采购）文件约定为准）。</w:t>
      </w:r>
    </w:p>
    <w:p w14:paraId="44F8B0EF">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3.关于外包食堂的约定（如有）：</w:t>
      </w:r>
    </w:p>
    <w:p w14:paraId="13A88A08">
      <w:pPr>
        <w:snapToGrid w:val="0"/>
        <w:spacing w:line="360" w:lineRule="auto"/>
        <w:rPr>
          <w:rFonts w:hint="eastAsia" w:ascii="宋体" w:hAnsi="宋体" w:cs="宋体"/>
          <w:b/>
          <w:color w:val="auto"/>
          <w:sz w:val="24"/>
          <w:highlight w:val="none"/>
        </w:rPr>
      </w:pPr>
      <w:r>
        <w:rPr>
          <w:rFonts w:hint="eastAsia" w:ascii="宋体" w:hAnsi="宋体" w:cs="宋体"/>
          <w:b/>
          <w:color w:val="auto"/>
          <w:sz w:val="24"/>
          <w:highlight w:val="none"/>
        </w:rPr>
        <w:t>第九条 不可抗力事件处理</w:t>
      </w:r>
    </w:p>
    <w:p w14:paraId="43C41A24">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任何一方由于不可抗力原因无法履行合同时，应在不可抗力事件后第一时间内向对方通报，以减轻可能给对方造成的损失；在取得有关机构的不可抗力证明或者双方谅解确认后，允许延期履行或修订合同，并视情况免于承担部分或全部的违约责任。</w:t>
      </w:r>
    </w:p>
    <w:p w14:paraId="552BAA9F">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2.贫困地区农副产品政策执行特别风险说明：</w:t>
      </w:r>
    </w:p>
    <w:p w14:paraId="073D83E9">
      <w:pPr>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本项目履约期间，可能存在地方政府分配给甲方必须完成的贫困地区农副产品采购计划指标，乙方须接受并认可下列风险：本合同对应物资配送数量减少（甲方转向按政策要求采购贫困地区农副产品）的风险，及由此可能造成的乙方经济损失（利润减少等），甲方不予补偿的风险。</w:t>
      </w:r>
    </w:p>
    <w:p w14:paraId="5DFA3591">
      <w:pPr>
        <w:snapToGrid w:val="0"/>
        <w:spacing w:line="360" w:lineRule="auto"/>
        <w:ind w:firstLine="482" w:firstLineChars="200"/>
        <w:rPr>
          <w:rFonts w:hint="eastAsia" w:ascii="宋体" w:hAnsi="宋体" w:cs="宋体"/>
          <w:b/>
          <w:bCs/>
          <w:color w:val="auto"/>
          <w:sz w:val="24"/>
          <w:highlight w:val="none"/>
        </w:rPr>
      </w:pPr>
      <w:r>
        <w:rPr>
          <w:rFonts w:hint="eastAsia" w:ascii="宋体" w:hAnsi="宋体" w:cs="宋体"/>
          <w:b/>
          <w:bCs/>
          <w:color w:val="auto"/>
          <w:sz w:val="24"/>
          <w:highlight w:val="none"/>
        </w:rPr>
        <w:t>第十条 争议解决办法</w:t>
      </w:r>
    </w:p>
    <w:p w14:paraId="62E5F72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1.因货物的质量问题发生争议，由质量技术监督部门或其指定的质量鉴定机构进行质量鉴定。货物符合标准的，鉴定费由甲方承担；货物不符合质量标准的，鉴定费由乙方承担。</w:t>
      </w:r>
    </w:p>
    <w:p w14:paraId="2B47A08F">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2.合同履行期间,若双方发生争议，可协商或由有关部门调解解决；协商或调解不成的，向甲方所在地有管辖权的人民法院提起诉讼。</w:t>
      </w:r>
    </w:p>
    <w:p w14:paraId="75E75E6B">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w:t>
      </w:r>
      <w:r>
        <w:rPr>
          <w:rFonts w:hint="eastAsia" w:ascii="Calibri" w:hAnsi="Calibri" w:cs="宋体"/>
          <w:color w:val="auto"/>
          <w:sz w:val="24"/>
          <w:highlight w:val="none"/>
        </w:rPr>
        <w:t>任何一方违反本协议约定，违约方应赔偿守约方因此遭致的损失以及实现债权的费用（包括但不限于诉讼费、律师费、保全费、保全担保费、差旅费、公证费等相关费用）。</w:t>
      </w:r>
      <w:r>
        <w:rPr>
          <w:rFonts w:ascii="宋体" w:hAnsi="Calibri" w:cs="宋体"/>
          <w:color w:val="auto"/>
          <w:kern w:val="0"/>
          <w:sz w:val="24"/>
          <w:highlight w:val="none"/>
          <w:lang w:val="zh-CN"/>
        </w:rPr>
        <w:t xml:space="preserve">  </w:t>
      </w:r>
    </w:p>
    <w:p w14:paraId="481E3238">
      <w:pPr>
        <w:snapToGrid w:val="0"/>
        <w:spacing w:line="360" w:lineRule="auto"/>
        <w:ind w:firstLine="482" w:firstLineChars="200"/>
        <w:rPr>
          <w:rFonts w:hint="eastAsia" w:ascii="宋体" w:hAnsi="宋体" w:cs="宋体"/>
          <w:b/>
          <w:color w:val="auto"/>
          <w:sz w:val="24"/>
          <w:highlight w:val="none"/>
        </w:rPr>
      </w:pPr>
      <w:bookmarkStart w:id="0" w:name="_Toc217446115"/>
      <w:bookmarkStart w:id="1" w:name="_Toc286312703"/>
      <w:r>
        <w:rPr>
          <w:rFonts w:hint="eastAsia" w:ascii="宋体" w:hAnsi="宋体" w:cs="宋体"/>
          <w:b/>
          <w:color w:val="auto"/>
          <w:sz w:val="24"/>
          <w:highlight w:val="none"/>
        </w:rPr>
        <w:t>第十一条 其他</w:t>
      </w:r>
      <w:bookmarkEnd w:id="0"/>
      <w:bookmarkEnd w:id="1"/>
    </w:p>
    <w:p w14:paraId="4979783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1.本合同经双方法定代表人或授权委托代理人（需提交书面授权委托书）签字并加盖单位公章或合同专用章后生效。</w:t>
      </w:r>
    </w:p>
    <w:p w14:paraId="5405C912">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rPr>
        <w:t>合同执行中涉及采购资金和采购内容修改或补充的，须经采购监管部门审批，并签书面补充协议报采购监督管理部门备案，方可作为主合同不可分割的一部分。</w:t>
      </w:r>
    </w:p>
    <w:p w14:paraId="7CFF9160">
      <w:pPr>
        <w:spacing w:line="360" w:lineRule="auto"/>
        <w:ind w:right="120" w:firstLine="480" w:firstLineChars="200"/>
        <w:rPr>
          <w:rFonts w:hint="eastAsia" w:ascii="宋体" w:hAnsi="宋体" w:cs="宋体"/>
          <w:color w:val="auto"/>
          <w:sz w:val="24"/>
          <w:highlight w:val="none"/>
        </w:rPr>
      </w:pPr>
      <w:r>
        <w:rPr>
          <w:rFonts w:hint="eastAsia" w:ascii="宋体" w:hAnsi="宋体" w:cs="宋体"/>
          <w:color w:val="auto"/>
          <w:sz w:val="24"/>
          <w:highlight w:val="none"/>
        </w:rPr>
        <w:t>3.本合同未尽事项，由甲乙双方签订补充协议或附件的形式对本合同的有关问题作出补充、说明、解释，本合同的补充协议和附件与本合同不一致的，以补充协议和附件为准。</w:t>
      </w:r>
    </w:p>
    <w:p w14:paraId="737907E8">
      <w:pPr>
        <w:spacing w:line="360" w:lineRule="auto"/>
        <w:ind w:right="20" w:firstLine="480" w:firstLineChars="200"/>
        <w:rPr>
          <w:rFonts w:hint="eastAsia" w:ascii="宋体" w:hAnsi="宋体" w:cs="宋体"/>
          <w:color w:val="auto"/>
          <w:sz w:val="24"/>
          <w:highlight w:val="none"/>
        </w:rPr>
      </w:pPr>
      <w:r>
        <w:rPr>
          <w:rFonts w:hint="eastAsia" w:ascii="宋体" w:hAnsi="宋体" w:cs="宋体"/>
          <w:color w:val="auto"/>
          <w:sz w:val="24"/>
          <w:highlight w:val="none"/>
        </w:rPr>
        <w:t>4.本合同的补充合同和附件为本合同不可分割之一部分，具有同等法律效力。本合同及其附件内空格部分填写的文字与印刷文字具有同等效力。</w:t>
      </w:r>
    </w:p>
    <w:p w14:paraId="05314F30">
      <w:pPr>
        <w:wordWrap w:val="0"/>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w:t>
      </w:r>
      <w:r>
        <w:rPr>
          <w:rFonts w:hint="eastAsia" w:ascii="宋体" w:hAnsi="宋体" w:cs="宋体"/>
          <w:color w:val="auto"/>
          <w:kern w:val="0"/>
          <w:sz w:val="24"/>
          <w:highlight w:val="none"/>
        </w:rPr>
        <w:t>本合同一式</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份，具有同等效力。甲方    份，乙方    份，采购代理机构</w:t>
      </w:r>
      <w:r>
        <w:rPr>
          <w:rFonts w:hint="eastAsia" w:ascii="宋体" w:hAnsi="宋体" w:cs="宋体"/>
          <w:color w:val="auto"/>
          <w:kern w:val="0"/>
          <w:sz w:val="24"/>
          <w:highlight w:val="none"/>
          <w:u w:val="single"/>
        </w:rPr>
        <w:t>壹</w:t>
      </w:r>
      <w:r>
        <w:rPr>
          <w:rFonts w:hint="eastAsia" w:ascii="宋体" w:hAnsi="宋体" w:cs="宋体"/>
          <w:color w:val="auto"/>
          <w:kern w:val="0"/>
          <w:sz w:val="24"/>
          <w:highlight w:val="none"/>
        </w:rPr>
        <w:t>份。</w:t>
      </w:r>
    </w:p>
    <w:p w14:paraId="4FB79A4F">
      <w:pPr>
        <w:spacing w:line="360" w:lineRule="auto"/>
        <w:jc w:val="left"/>
        <w:rPr>
          <w:rFonts w:hint="eastAsia" w:ascii="宋体" w:hAnsi="宋体" w:cs="宋体"/>
          <w:b/>
          <w:color w:val="auto"/>
          <w:sz w:val="24"/>
          <w:highlight w:val="none"/>
        </w:rPr>
      </w:pPr>
      <w:bookmarkStart w:id="2" w:name="_Toc513469076"/>
      <w:bookmarkStart w:id="3" w:name="_Toc474502608"/>
      <w:bookmarkStart w:id="4" w:name="_Toc361325820"/>
      <w:bookmarkStart w:id="5" w:name="_Toc505261938"/>
      <w:bookmarkStart w:id="6" w:name="_Toc474327066"/>
      <w:bookmarkStart w:id="7" w:name="_Toc466391967"/>
      <w:r>
        <w:rPr>
          <w:rFonts w:hint="eastAsia" w:ascii="宋体" w:hAnsi="宋体" w:cs="宋体"/>
          <w:b/>
          <w:color w:val="auto"/>
          <w:sz w:val="24"/>
          <w:highlight w:val="none"/>
        </w:rPr>
        <w:t>第十二条  附件</w:t>
      </w:r>
      <w:bookmarkEnd w:id="2"/>
      <w:bookmarkEnd w:id="3"/>
      <w:bookmarkEnd w:id="4"/>
      <w:bookmarkEnd w:id="5"/>
      <w:bookmarkEnd w:id="6"/>
      <w:bookmarkEnd w:id="7"/>
    </w:p>
    <w:p w14:paraId="51A7B98A">
      <w:pPr>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1.项目招标文件</w:t>
      </w:r>
    </w:p>
    <w:p w14:paraId="2A85D21A">
      <w:pPr>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2.项目修改澄清文件</w:t>
      </w:r>
    </w:p>
    <w:p w14:paraId="6ADA09A8">
      <w:pPr>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3.项目投标文件</w:t>
      </w:r>
    </w:p>
    <w:p w14:paraId="49B1668B">
      <w:pPr>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4.中标通知书</w:t>
      </w:r>
    </w:p>
    <w:p w14:paraId="35B7CDB8">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5.其他</w:t>
      </w:r>
    </w:p>
    <w:p w14:paraId="675BE2E9">
      <w:pPr>
        <w:widowControl/>
        <w:shd w:val="clear" w:color="auto" w:fill="FFFFFF"/>
        <w:snapToGrid w:val="0"/>
        <w:spacing w:line="360" w:lineRule="auto"/>
        <w:ind w:firstLine="120" w:firstLineChars="50"/>
        <w:rPr>
          <w:rFonts w:hint="eastAsia" w:ascii="宋体" w:hAnsi="宋体" w:cs="宋体"/>
          <w:color w:val="auto"/>
          <w:kern w:val="0"/>
          <w:sz w:val="24"/>
          <w:highlight w:val="none"/>
        </w:rPr>
      </w:pPr>
      <w:r>
        <w:rPr>
          <w:rFonts w:hint="eastAsia" w:ascii="宋体" w:hAnsi="宋体" w:cs="宋体"/>
          <w:color w:val="auto"/>
          <w:kern w:val="0"/>
          <w:sz w:val="24"/>
          <w:highlight w:val="none"/>
        </w:rPr>
        <w:t>（以下无正文）</w:t>
      </w:r>
    </w:p>
    <w:tbl>
      <w:tblPr>
        <w:tblStyle w:val="6"/>
        <w:tblW w:w="867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5"/>
        <w:gridCol w:w="4111"/>
      </w:tblGrid>
      <w:tr w14:paraId="2F9ED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exact"/>
        </w:trPr>
        <w:tc>
          <w:tcPr>
            <w:tcW w:w="4565" w:type="dxa"/>
          </w:tcPr>
          <w:p w14:paraId="4B1CE108">
            <w:pPr>
              <w:spacing w:line="360" w:lineRule="atLeast"/>
              <w:rPr>
                <w:rFonts w:ascii="Calibri" w:hAnsi="Calibri"/>
                <w:color w:val="auto"/>
                <w:szCs w:val="22"/>
                <w:highlight w:val="none"/>
              </w:rPr>
            </w:pPr>
            <w:r>
              <w:rPr>
                <w:rFonts w:hint="eastAsia" w:ascii="Calibri" w:hAnsi="Calibri"/>
                <w:color w:val="auto"/>
                <w:szCs w:val="22"/>
                <w:highlight w:val="none"/>
              </w:rPr>
              <w:t>甲方：</w:t>
            </w:r>
          </w:p>
        </w:tc>
        <w:tc>
          <w:tcPr>
            <w:tcW w:w="4111" w:type="dxa"/>
          </w:tcPr>
          <w:p w14:paraId="2DF1C853">
            <w:pPr>
              <w:spacing w:line="360" w:lineRule="atLeast"/>
              <w:rPr>
                <w:rFonts w:ascii="Calibri" w:hAnsi="Calibri"/>
                <w:color w:val="auto"/>
                <w:szCs w:val="22"/>
                <w:highlight w:val="none"/>
              </w:rPr>
            </w:pPr>
            <w:r>
              <w:rPr>
                <w:rFonts w:hint="eastAsia" w:ascii="Calibri" w:hAnsi="Calibri"/>
                <w:color w:val="auto"/>
                <w:szCs w:val="22"/>
                <w:highlight w:val="none"/>
              </w:rPr>
              <w:t>乙方：</w:t>
            </w:r>
          </w:p>
        </w:tc>
      </w:tr>
      <w:tr w14:paraId="6C55E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trPr>
        <w:tc>
          <w:tcPr>
            <w:tcW w:w="4565" w:type="dxa"/>
          </w:tcPr>
          <w:p w14:paraId="7BE51AEA">
            <w:pPr>
              <w:spacing w:line="360" w:lineRule="atLeast"/>
              <w:rPr>
                <w:rFonts w:ascii="Calibri" w:hAnsi="Calibri"/>
                <w:color w:val="auto"/>
                <w:szCs w:val="22"/>
                <w:highlight w:val="none"/>
              </w:rPr>
            </w:pPr>
            <w:r>
              <w:rPr>
                <w:rFonts w:hint="eastAsia" w:ascii="Calibri" w:hAnsi="Calibri"/>
                <w:color w:val="auto"/>
                <w:szCs w:val="22"/>
                <w:highlight w:val="none"/>
              </w:rPr>
              <w:t>单位名称（章）：</w:t>
            </w:r>
          </w:p>
        </w:tc>
        <w:tc>
          <w:tcPr>
            <w:tcW w:w="4111" w:type="dxa"/>
          </w:tcPr>
          <w:p w14:paraId="1F46707B">
            <w:pPr>
              <w:spacing w:line="360" w:lineRule="atLeast"/>
              <w:ind w:right="3254" w:rightChars="957"/>
              <w:rPr>
                <w:rFonts w:ascii="Calibri" w:hAnsi="Calibri"/>
                <w:color w:val="auto"/>
                <w:szCs w:val="22"/>
                <w:highlight w:val="none"/>
              </w:rPr>
            </w:pPr>
            <w:r>
              <w:rPr>
                <w:rFonts w:hint="eastAsia" w:ascii="Calibri" w:hAnsi="Calibri"/>
                <w:color w:val="auto"/>
                <w:szCs w:val="22"/>
                <w:highlight w:val="none"/>
              </w:rPr>
              <w:t>单位名称（章）：</w:t>
            </w:r>
            <w:r>
              <w:rPr>
                <w:rFonts w:hint="eastAsia" w:ascii="Calibri" w:hAnsi="Calibri"/>
                <w:color w:val="auto"/>
                <w:szCs w:val="21"/>
                <w:highlight w:val="none"/>
              </w:rPr>
              <w:t xml:space="preserve"> </w:t>
            </w:r>
          </w:p>
        </w:tc>
      </w:tr>
      <w:tr w14:paraId="23AA2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exact"/>
        </w:trPr>
        <w:tc>
          <w:tcPr>
            <w:tcW w:w="4565" w:type="dxa"/>
          </w:tcPr>
          <w:p w14:paraId="3599E77A">
            <w:pPr>
              <w:spacing w:line="360" w:lineRule="atLeast"/>
              <w:rPr>
                <w:rFonts w:ascii="Calibri" w:hAnsi="Calibri"/>
                <w:color w:val="auto"/>
                <w:szCs w:val="22"/>
                <w:highlight w:val="none"/>
              </w:rPr>
            </w:pPr>
            <w:r>
              <w:rPr>
                <w:rFonts w:hint="eastAsia" w:ascii="Calibri" w:hAnsi="Calibri"/>
                <w:color w:val="auto"/>
                <w:szCs w:val="22"/>
                <w:highlight w:val="none"/>
              </w:rPr>
              <w:t>单位地址：</w:t>
            </w:r>
          </w:p>
        </w:tc>
        <w:tc>
          <w:tcPr>
            <w:tcW w:w="4111" w:type="dxa"/>
          </w:tcPr>
          <w:p w14:paraId="6C5212DA">
            <w:pPr>
              <w:spacing w:line="360" w:lineRule="atLeast"/>
              <w:rPr>
                <w:rFonts w:ascii="Calibri" w:hAnsi="Calibri"/>
                <w:color w:val="auto"/>
                <w:szCs w:val="22"/>
                <w:highlight w:val="none"/>
              </w:rPr>
            </w:pPr>
            <w:r>
              <w:rPr>
                <w:rFonts w:hint="eastAsia" w:ascii="Calibri" w:hAnsi="Calibri"/>
                <w:color w:val="auto"/>
                <w:szCs w:val="22"/>
                <w:highlight w:val="none"/>
              </w:rPr>
              <w:t>单位地址：</w:t>
            </w:r>
          </w:p>
        </w:tc>
      </w:tr>
      <w:tr w14:paraId="78894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565" w:type="dxa"/>
          </w:tcPr>
          <w:p w14:paraId="517696E8">
            <w:pPr>
              <w:spacing w:line="360" w:lineRule="atLeast"/>
              <w:rPr>
                <w:rFonts w:ascii="Calibri" w:hAnsi="Calibri"/>
                <w:color w:val="auto"/>
                <w:szCs w:val="22"/>
                <w:highlight w:val="none"/>
              </w:rPr>
            </w:pPr>
            <w:r>
              <w:rPr>
                <w:rFonts w:hint="eastAsia" w:ascii="Calibri" w:hAnsi="Calibri"/>
                <w:color w:val="auto"/>
                <w:szCs w:val="22"/>
                <w:highlight w:val="none"/>
              </w:rPr>
              <w:t>法定代表人：</w:t>
            </w:r>
          </w:p>
        </w:tc>
        <w:tc>
          <w:tcPr>
            <w:tcW w:w="4111" w:type="dxa"/>
          </w:tcPr>
          <w:p w14:paraId="4D88148D">
            <w:pPr>
              <w:spacing w:line="360" w:lineRule="atLeast"/>
              <w:rPr>
                <w:rFonts w:ascii="Calibri" w:hAnsi="Calibri"/>
                <w:color w:val="auto"/>
                <w:szCs w:val="22"/>
                <w:highlight w:val="none"/>
              </w:rPr>
            </w:pPr>
            <w:r>
              <w:rPr>
                <w:rFonts w:hint="eastAsia" w:ascii="Calibri" w:hAnsi="Calibri"/>
                <w:color w:val="auto"/>
                <w:szCs w:val="22"/>
                <w:highlight w:val="none"/>
              </w:rPr>
              <w:t>法定代表人：</w:t>
            </w:r>
          </w:p>
        </w:tc>
      </w:tr>
      <w:tr w14:paraId="0DAEC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exact"/>
        </w:trPr>
        <w:tc>
          <w:tcPr>
            <w:tcW w:w="4565" w:type="dxa"/>
          </w:tcPr>
          <w:p w14:paraId="46CEBD42">
            <w:pPr>
              <w:spacing w:line="360" w:lineRule="atLeast"/>
              <w:rPr>
                <w:rFonts w:ascii="Calibri" w:hAnsi="Calibri"/>
                <w:color w:val="auto"/>
                <w:szCs w:val="22"/>
                <w:highlight w:val="none"/>
              </w:rPr>
            </w:pPr>
            <w:r>
              <w:rPr>
                <w:rFonts w:hint="eastAsia" w:ascii="Calibri" w:hAnsi="Calibri"/>
                <w:color w:val="auto"/>
                <w:szCs w:val="22"/>
                <w:highlight w:val="none"/>
              </w:rPr>
              <w:t>委托代理人：</w:t>
            </w:r>
          </w:p>
        </w:tc>
        <w:tc>
          <w:tcPr>
            <w:tcW w:w="4111" w:type="dxa"/>
          </w:tcPr>
          <w:p w14:paraId="043F5BBB">
            <w:pPr>
              <w:spacing w:line="360" w:lineRule="atLeast"/>
              <w:rPr>
                <w:rFonts w:ascii="Calibri" w:hAnsi="Calibri"/>
                <w:color w:val="auto"/>
                <w:szCs w:val="22"/>
                <w:highlight w:val="none"/>
              </w:rPr>
            </w:pPr>
            <w:r>
              <w:rPr>
                <w:rFonts w:hint="eastAsia" w:ascii="Calibri" w:hAnsi="Calibri"/>
                <w:color w:val="auto"/>
                <w:szCs w:val="22"/>
                <w:highlight w:val="none"/>
              </w:rPr>
              <w:t>委托代理人：</w:t>
            </w:r>
          </w:p>
        </w:tc>
      </w:tr>
      <w:tr w14:paraId="2018D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exact"/>
        </w:trPr>
        <w:tc>
          <w:tcPr>
            <w:tcW w:w="4565" w:type="dxa"/>
          </w:tcPr>
          <w:p w14:paraId="04BE5C28">
            <w:pPr>
              <w:spacing w:line="360" w:lineRule="atLeast"/>
              <w:rPr>
                <w:rFonts w:ascii="Calibri" w:hAnsi="Calibri"/>
                <w:color w:val="auto"/>
                <w:szCs w:val="22"/>
                <w:highlight w:val="none"/>
              </w:rPr>
            </w:pPr>
            <w:r>
              <w:rPr>
                <w:rFonts w:hint="eastAsia" w:ascii="Calibri" w:hAnsi="Calibri"/>
                <w:color w:val="auto"/>
                <w:szCs w:val="22"/>
                <w:highlight w:val="none"/>
              </w:rPr>
              <w:t>电话：</w:t>
            </w:r>
          </w:p>
        </w:tc>
        <w:tc>
          <w:tcPr>
            <w:tcW w:w="4111" w:type="dxa"/>
          </w:tcPr>
          <w:p w14:paraId="15E227AD">
            <w:pPr>
              <w:spacing w:line="360" w:lineRule="atLeast"/>
              <w:rPr>
                <w:rFonts w:ascii="Calibri" w:hAnsi="Calibri"/>
                <w:color w:val="auto"/>
                <w:szCs w:val="22"/>
                <w:highlight w:val="none"/>
              </w:rPr>
            </w:pPr>
            <w:r>
              <w:rPr>
                <w:rFonts w:hint="eastAsia" w:ascii="Calibri" w:hAnsi="Calibri"/>
                <w:color w:val="auto"/>
                <w:szCs w:val="22"/>
                <w:highlight w:val="none"/>
              </w:rPr>
              <w:t>电话：</w:t>
            </w:r>
          </w:p>
        </w:tc>
      </w:tr>
      <w:tr w14:paraId="404E2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exact"/>
        </w:trPr>
        <w:tc>
          <w:tcPr>
            <w:tcW w:w="4565" w:type="dxa"/>
          </w:tcPr>
          <w:p w14:paraId="737EF256">
            <w:pPr>
              <w:spacing w:line="360" w:lineRule="atLeast"/>
              <w:rPr>
                <w:rFonts w:ascii="Calibri" w:hAnsi="Calibri"/>
                <w:color w:val="auto"/>
                <w:szCs w:val="22"/>
                <w:highlight w:val="none"/>
              </w:rPr>
            </w:pPr>
            <w:r>
              <w:rPr>
                <w:rFonts w:hint="eastAsia" w:ascii="Calibri" w:hAnsi="Calibri"/>
                <w:color w:val="auto"/>
                <w:szCs w:val="22"/>
                <w:highlight w:val="none"/>
              </w:rPr>
              <w:t>传真：</w:t>
            </w:r>
          </w:p>
        </w:tc>
        <w:tc>
          <w:tcPr>
            <w:tcW w:w="4111" w:type="dxa"/>
          </w:tcPr>
          <w:p w14:paraId="6823CBCB">
            <w:pPr>
              <w:spacing w:line="360" w:lineRule="atLeast"/>
              <w:rPr>
                <w:rFonts w:ascii="Calibri" w:hAnsi="Calibri"/>
                <w:color w:val="auto"/>
                <w:szCs w:val="22"/>
                <w:highlight w:val="none"/>
              </w:rPr>
            </w:pPr>
            <w:r>
              <w:rPr>
                <w:rFonts w:hint="eastAsia" w:ascii="Calibri" w:hAnsi="Calibri"/>
                <w:color w:val="auto"/>
                <w:szCs w:val="22"/>
                <w:highlight w:val="none"/>
              </w:rPr>
              <w:t>传真：</w:t>
            </w:r>
          </w:p>
        </w:tc>
      </w:tr>
      <w:tr w14:paraId="0F9D1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4565" w:type="dxa"/>
          </w:tcPr>
          <w:p w14:paraId="10A1CBA9">
            <w:pPr>
              <w:spacing w:line="360" w:lineRule="atLeast"/>
              <w:ind w:left="210" w:hanging="340" w:hangingChars="100"/>
              <w:rPr>
                <w:rFonts w:ascii="Calibri" w:hAnsi="Calibri"/>
                <w:color w:val="auto"/>
                <w:szCs w:val="22"/>
                <w:highlight w:val="none"/>
              </w:rPr>
            </w:pPr>
            <w:r>
              <w:rPr>
                <w:rFonts w:hint="eastAsia" w:ascii="Calibri" w:hAnsi="Calibri"/>
                <w:color w:val="auto"/>
                <w:szCs w:val="22"/>
                <w:highlight w:val="none"/>
              </w:rPr>
              <w:t>开户银行及账号：</w:t>
            </w:r>
          </w:p>
          <w:p w14:paraId="2A0ED442">
            <w:pPr>
              <w:spacing w:line="360" w:lineRule="atLeast"/>
              <w:ind w:left="210" w:hanging="340" w:hangingChars="100"/>
              <w:rPr>
                <w:rFonts w:ascii="Calibri" w:hAnsi="Calibri"/>
                <w:color w:val="auto"/>
                <w:szCs w:val="22"/>
                <w:highlight w:val="none"/>
              </w:rPr>
            </w:pPr>
          </w:p>
          <w:p w14:paraId="15F1B4DB">
            <w:pPr>
              <w:spacing w:line="360" w:lineRule="atLeast"/>
              <w:ind w:left="210" w:hanging="340" w:hangingChars="100"/>
              <w:rPr>
                <w:rFonts w:ascii="Calibri" w:hAnsi="Calibri"/>
                <w:color w:val="auto"/>
                <w:szCs w:val="22"/>
                <w:highlight w:val="none"/>
              </w:rPr>
            </w:pPr>
          </w:p>
          <w:p w14:paraId="74B3F6F8">
            <w:pPr>
              <w:spacing w:line="360" w:lineRule="atLeast"/>
              <w:ind w:left="210" w:hanging="340" w:hangingChars="100"/>
              <w:rPr>
                <w:rFonts w:ascii="Calibri" w:hAnsi="Calibri"/>
                <w:color w:val="auto"/>
                <w:szCs w:val="22"/>
                <w:highlight w:val="none"/>
              </w:rPr>
            </w:pPr>
            <w:r>
              <w:rPr>
                <w:rFonts w:hint="eastAsia" w:ascii="Calibri" w:hAnsi="Calibri"/>
                <w:color w:val="auto"/>
                <w:szCs w:val="22"/>
                <w:highlight w:val="none"/>
              </w:rPr>
              <w:t>支行</w:t>
            </w:r>
          </w:p>
        </w:tc>
        <w:tc>
          <w:tcPr>
            <w:tcW w:w="4111" w:type="dxa"/>
          </w:tcPr>
          <w:p w14:paraId="371677E3">
            <w:pPr>
              <w:spacing w:line="360" w:lineRule="atLeast"/>
              <w:rPr>
                <w:rFonts w:ascii="Calibri" w:hAnsi="Calibri"/>
                <w:color w:val="auto"/>
                <w:szCs w:val="22"/>
                <w:highlight w:val="none"/>
              </w:rPr>
            </w:pPr>
            <w:r>
              <w:rPr>
                <w:rFonts w:hint="eastAsia" w:ascii="Calibri" w:hAnsi="Calibri"/>
                <w:color w:val="auto"/>
                <w:szCs w:val="22"/>
                <w:highlight w:val="none"/>
              </w:rPr>
              <w:t>开户银行及账号：</w:t>
            </w:r>
          </w:p>
          <w:p w14:paraId="7402199A">
            <w:pPr>
              <w:spacing w:line="360" w:lineRule="atLeast"/>
              <w:rPr>
                <w:rFonts w:ascii="Calibri" w:hAnsi="Calibri"/>
                <w:color w:val="auto"/>
                <w:szCs w:val="22"/>
                <w:highlight w:val="none"/>
              </w:rPr>
            </w:pPr>
          </w:p>
        </w:tc>
      </w:tr>
      <w:tr w14:paraId="46098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trPr>
        <w:tc>
          <w:tcPr>
            <w:tcW w:w="4565" w:type="dxa"/>
          </w:tcPr>
          <w:p w14:paraId="1874A8D5">
            <w:pPr>
              <w:spacing w:line="360" w:lineRule="atLeast"/>
              <w:rPr>
                <w:rFonts w:ascii="Calibri" w:hAnsi="Calibri"/>
                <w:color w:val="auto"/>
                <w:szCs w:val="22"/>
                <w:highlight w:val="none"/>
              </w:rPr>
            </w:pPr>
            <w:r>
              <w:rPr>
                <w:rFonts w:hint="eastAsia" w:ascii="Calibri" w:hAnsi="Calibri"/>
                <w:color w:val="auto"/>
                <w:szCs w:val="22"/>
                <w:highlight w:val="none"/>
              </w:rPr>
              <w:t>开票税号</w:t>
            </w:r>
          </w:p>
        </w:tc>
        <w:tc>
          <w:tcPr>
            <w:tcW w:w="4111" w:type="dxa"/>
          </w:tcPr>
          <w:p w14:paraId="4E7DAAAD">
            <w:pPr>
              <w:spacing w:line="360" w:lineRule="atLeast"/>
              <w:rPr>
                <w:rFonts w:ascii="Calibri" w:hAnsi="Calibri"/>
                <w:color w:val="auto"/>
                <w:szCs w:val="22"/>
                <w:highlight w:val="none"/>
              </w:rPr>
            </w:pPr>
            <w:r>
              <w:rPr>
                <w:rFonts w:hint="eastAsia" w:ascii="Calibri" w:hAnsi="Calibri"/>
                <w:color w:val="auto"/>
                <w:szCs w:val="22"/>
                <w:highlight w:val="none"/>
              </w:rPr>
              <w:t>开票税号</w:t>
            </w:r>
          </w:p>
        </w:tc>
      </w:tr>
      <w:tr w14:paraId="65F68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exact"/>
        </w:trPr>
        <w:tc>
          <w:tcPr>
            <w:tcW w:w="4565" w:type="dxa"/>
          </w:tcPr>
          <w:p w14:paraId="7718563E">
            <w:pPr>
              <w:spacing w:line="360" w:lineRule="atLeast"/>
              <w:ind w:left="210" w:hanging="340" w:hangingChars="100"/>
              <w:rPr>
                <w:rFonts w:ascii="Calibri" w:hAnsi="Calibri"/>
                <w:color w:val="auto"/>
                <w:szCs w:val="22"/>
                <w:highlight w:val="none"/>
              </w:rPr>
            </w:pPr>
            <w:r>
              <w:rPr>
                <w:rFonts w:hint="eastAsia" w:ascii="Calibri" w:hAnsi="Calibri"/>
                <w:color w:val="auto"/>
                <w:szCs w:val="22"/>
                <w:highlight w:val="none"/>
              </w:rPr>
              <w:t>发票抬头：</w:t>
            </w:r>
          </w:p>
        </w:tc>
        <w:tc>
          <w:tcPr>
            <w:tcW w:w="4111" w:type="dxa"/>
          </w:tcPr>
          <w:p w14:paraId="7BB19037">
            <w:pPr>
              <w:spacing w:line="360" w:lineRule="atLeast"/>
              <w:rPr>
                <w:rFonts w:ascii="Calibri" w:hAnsi="Calibri"/>
                <w:color w:val="auto"/>
                <w:szCs w:val="22"/>
                <w:highlight w:val="none"/>
              </w:rPr>
            </w:pPr>
            <w:r>
              <w:rPr>
                <w:rFonts w:hint="eastAsia" w:ascii="Calibri" w:hAnsi="Calibri"/>
                <w:color w:val="auto"/>
                <w:szCs w:val="22"/>
                <w:highlight w:val="none"/>
              </w:rPr>
              <w:t>发票抬头：</w:t>
            </w:r>
          </w:p>
        </w:tc>
      </w:tr>
      <w:tr w14:paraId="76EE9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exact"/>
        </w:trPr>
        <w:tc>
          <w:tcPr>
            <w:tcW w:w="4565" w:type="dxa"/>
          </w:tcPr>
          <w:p w14:paraId="3E7475ED">
            <w:pPr>
              <w:spacing w:line="360" w:lineRule="atLeast"/>
              <w:ind w:left="210" w:hanging="340" w:hangingChars="100"/>
              <w:rPr>
                <w:rFonts w:ascii="Calibri" w:hAnsi="Calibri"/>
                <w:color w:val="auto"/>
                <w:szCs w:val="22"/>
                <w:highlight w:val="none"/>
              </w:rPr>
            </w:pPr>
            <w:r>
              <w:rPr>
                <w:rFonts w:hint="eastAsia" w:ascii="Calibri" w:hAnsi="Calibri"/>
                <w:color w:val="auto"/>
                <w:szCs w:val="22"/>
                <w:highlight w:val="none"/>
              </w:rPr>
              <w:t>签约日期：</w:t>
            </w:r>
          </w:p>
        </w:tc>
        <w:tc>
          <w:tcPr>
            <w:tcW w:w="4111" w:type="dxa"/>
          </w:tcPr>
          <w:p w14:paraId="14DCD546">
            <w:pPr>
              <w:spacing w:line="360" w:lineRule="atLeast"/>
              <w:rPr>
                <w:rFonts w:ascii="Calibri" w:hAnsi="Calibri"/>
                <w:color w:val="auto"/>
                <w:szCs w:val="22"/>
                <w:highlight w:val="none"/>
              </w:rPr>
            </w:pPr>
            <w:r>
              <w:rPr>
                <w:rFonts w:hint="eastAsia" w:ascii="Calibri" w:hAnsi="Calibri"/>
                <w:color w:val="auto"/>
                <w:szCs w:val="22"/>
                <w:highlight w:val="none"/>
              </w:rPr>
              <w:t>签约日期：</w:t>
            </w:r>
          </w:p>
        </w:tc>
      </w:tr>
    </w:tbl>
    <w:p w14:paraId="3B6B6B6B">
      <w:pPr>
        <w:spacing w:line="360" w:lineRule="auto"/>
        <w:rPr>
          <w:rFonts w:hint="eastAsia" w:ascii="宋体" w:hAnsi="宋体" w:cs="宋体"/>
          <w:color w:val="auto"/>
          <w:sz w:val="24"/>
          <w:highlight w:val="none"/>
        </w:rPr>
      </w:pPr>
    </w:p>
    <w:p w14:paraId="2304AC22">
      <w:pPr>
        <w:spacing w:line="360" w:lineRule="auto"/>
        <w:rPr>
          <w:rFonts w:hint="eastAsia" w:ascii="宋体" w:hAnsi="宋体" w:cs="宋体"/>
          <w:color w:val="auto"/>
          <w:sz w:val="24"/>
          <w:highlight w:val="none"/>
        </w:rPr>
      </w:pPr>
    </w:p>
    <w:p w14:paraId="5FE86D94">
      <w:pPr>
        <w:rPr>
          <w:color w:val="auto"/>
          <w:highlight w:val="none"/>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altName w:val="Wingdings"/>
    <w:panose1 w:val="05020102010507070707"/>
    <w:charset w:val="02"/>
    <w:family w:val="decorative"/>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F8706C">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1171BC">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F1171BC">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141AAE"/>
    <w:rsid w:val="396B7A46"/>
    <w:rsid w:val="54141AAE"/>
    <w:rsid w:val="57541E5A"/>
    <w:rsid w:val="61C252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eastAsia="宋体"/>
      <w:sz w:val="18"/>
    </w:rPr>
  </w:style>
  <w:style w:type="paragraph" w:styleId="3">
    <w:name w:val="Body Text Indent"/>
    <w:basedOn w:val="1"/>
    <w:semiHidden/>
    <w:qFormat/>
    <w:uiPriority w:val="99"/>
    <w:pPr>
      <w:spacing w:after="120"/>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Body Text First Indent 2"/>
    <w:basedOn w:val="3"/>
    <w:semiHidden/>
    <w:qFormat/>
    <w:uiPriority w:val="99"/>
    <w:pPr>
      <w:ind w:firstLine="420" w:firstLineChars="200"/>
    </w:pPr>
    <w:rPr>
      <w:rFonts w:ascii="Calibri" w:hAnsi="Calibri"/>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样式 首行缩进:  2 字符"/>
    <w:basedOn w:val="1"/>
    <w:qFormat/>
    <w:uiPriority w:val="0"/>
    <w:pPr>
      <w:spacing w:line="400" w:lineRule="exact"/>
      <w:ind w:firstLine="200" w:firstLineChars="200"/>
    </w:pPr>
    <w:rPr>
      <w:rFonts w:cs="宋体"/>
      <w:sz w:val="24"/>
    </w:rPr>
  </w:style>
  <w:style w:type="paragraph" w:styleId="10">
    <w:name w:val="List Paragraph"/>
    <w:basedOn w:val="1"/>
    <w:qFormat/>
    <w:uiPriority w:val="34"/>
    <w:pPr>
      <w:ind w:firstLine="420" w:firstLineChars="200"/>
    </w:pPr>
    <w:rPr>
      <w:rFonts w:ascii="Times New Roman" w:hAnsi="Times New Roman" w:eastAsia="宋体" w:cs="Times New Roman"/>
      <w:szCs w:val="24"/>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1640</Words>
  <Characters>1664</Characters>
  <Lines>0</Lines>
  <Paragraphs>0</Paragraphs>
  <TotalTime>0</TotalTime>
  <ScaleCrop>false</ScaleCrop>
  <LinksUpToDate>false</LinksUpToDate>
  <CharactersWithSpaces>2005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2025-04-16T11:03:00Z</dcterms:created>
  <dc:creator>4Sail</dc:creator>
  <cp:lastModifiedBy>zyzb</cp:lastModifiedBy>
  <dcterms:modified xsi:type="dcterms:W3CDTF">2025-04-21T02:25:00Z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612D5BF37D3A4B678683380ADBBA6E6E_11</vt:lpwstr>
  </property>
  <property fmtid="{D5CDD505-2E9C-101B-9397-08002B2CF9AE}" pid="4" name="KSOTemplateDocerSaveRecord">
    <vt:lpwstr>eyJoZGlkIjoiNjBlMDYxNThlMmViOTAzYjdmOGQyNzYxZmNkN2VhNTYiLCJ1c2VySWQiOiIzMTkwMTYzMzIifQ==</vt:lpwstr>
  </property>
</Properties>
</file>