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版本号：N510704202500008720250915002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游仙区人力资源服务产业园“线上园”运营团队(二次)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N5107042025000087</w:t>
      </w:r>
    </w:p>
    <w:p>
      <w:pPr>
        <w:pStyle w:val="null3"/>
        <w:jc w:val="center"/>
        <w:outlineLvl w:val="2"/>
      </w:pPr>
      <w:r>
        <w:rPr>
          <w:rFonts w:ascii="仿宋_GB2312" w:hAnsi="仿宋_GB2312" w:cs="仿宋_GB2312" w:eastAsia="仿宋_GB2312"/>
          <w:sz w:val="28"/>
          <w:b/>
        </w:rPr>
        <w:t>绵阳市游仙区人力资源和社会保障局</w:t>
      </w:r>
    </w:p>
    <w:p>
      <w:pPr>
        <w:pStyle w:val="null3"/>
        <w:jc w:val="center"/>
        <w:outlineLvl w:val="2"/>
      </w:pPr>
      <w:r>
        <w:rPr>
          <w:rFonts w:ascii="仿宋_GB2312" w:hAnsi="仿宋_GB2312" w:cs="仿宋_GB2312" w:eastAsia="仿宋_GB2312"/>
          <w:sz w:val="28"/>
          <w:b/>
        </w:rPr>
        <w:t>四川桔颂工程项目管理有限公司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四川桔颂工程项目管理有限公司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委托，拟对 </w:t>
      </w:r>
      <w:r>
        <w:rPr>
          <w:rFonts w:ascii="仿宋_GB2312" w:hAnsi="仿宋_GB2312" w:cs="仿宋_GB2312" w:eastAsia="仿宋_GB2312"/>
        </w:rPr>
        <w:t>游仙区人力资源服务产业园“线上园”运营团队(二次)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绵阳市游仙区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N5107042025000087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游仙区人力资源服务产业园“线上园”运营团队(二次)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贯彻落实《成渝地区双城经济圈建设绵阳市游仙区集成改革试点实施方案》，有效调动管理人力资源相关措施，满足辖区居民企业对人力资源服务的需求。故开发和运营游仙区人力资源服务产业“线上园”，帮助我区实现用人单位、服务机构、人才/劳动力、政策在线集聚、业务交易、共享共治，从供给侧、需求侧、业务侧、治理侧数字化统筹各个要素，形成我区人力资源服务产业的业务结算中心和数据归集中心，立足绵阳，辐射全省，成为川东北人力资源协同振兴发展试验区重要的人力资源枢纽节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供应商的单位法定代表人、主要负责人在参加本次政府采购活动前三年内无行贿犯罪记录（描述：供应商应提供公司、法定代表人、主要负责人在前三年内无行贿犯罪记录的承诺函原件。（格式自拟））</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绵阳市游仙区人力资源和社会保障局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四川省绵阳市游仙区经济开发区南区东山大道南段6号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13778018009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四川桔颂工程项目管理有限公司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绵阳市富乐路长兴江岸精典2单元30楼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0816-2355696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采购包1：468,000.00元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供应商支付，根据《国家计委关于印发〈招标代理服务费收费标准管理暂行办法〉的通知》（计价格[2002]1980号）和《国家发展改革委办公厅关于招标代理服务费有关问题的通知》（发改办价格[2003]857号）规定收取。由成交供应商领取成交通知书时一次性支付给代理机构。 支付方式：现金或银行转帐 收款单位：四川桔颂工程项目管理有限公司 开户行：中国工商银行股份有限公司绵阳新华支行 银行账号：2308417109100229670</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和 </w:t>
      </w:r>
      <w:r>
        <w:rPr>
          <w:rFonts w:ascii="仿宋_GB2312" w:hAnsi="仿宋_GB2312" w:cs="仿宋_GB2312" w:eastAsia="仿宋_GB2312"/>
        </w:rPr>
        <w:t>四川桔颂工程项目管理有限公司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四川桔颂工程项目管理有限公司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在四川政府采购网发布更正公告。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供应商提出验收申请之日起10日内组织验收 </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严格按照采购文件规定的要求和响应文件及政府采购合同的内容进行验收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严格按照采购文件规定的要求和响应文件及政府采购合同的内容进行验收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按照《关于进一步加强政府采购需求和履约验收管理的指导意见》（财库〔2016〕205 号）、绵阳市财政局关于进一步做好政府采购项目履约验收工作的通知（绵财〔2021〕15 号）磋商文件服务要求、响应文件响应、承诺等和国家、行业标准进行验收。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绵阳市游仙区人力资源和社会保障局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四川桔颂工程项目管理有限公司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四川桔颂工程项目管理有限公司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联系人：周老师</w:t>
      </w:r>
    </w:p>
    <w:p>
      <w:pPr>
        <w:pStyle w:val="null3"/>
        <w:jc w:val="left"/>
      </w:pPr>
      <w:r>
        <w:rPr>
          <w:rFonts w:ascii="仿宋_GB2312" w:hAnsi="仿宋_GB2312" w:cs="仿宋_GB2312" w:eastAsia="仿宋_GB2312"/>
        </w:rPr>
        <w:t>联系电话：0816-2355696</w:t>
      </w:r>
    </w:p>
    <w:p>
      <w:pPr>
        <w:pStyle w:val="null3"/>
        <w:jc w:val="left"/>
      </w:pPr>
      <w:r>
        <w:rPr>
          <w:rFonts w:ascii="仿宋_GB2312" w:hAnsi="仿宋_GB2312" w:cs="仿宋_GB2312" w:eastAsia="仿宋_GB2312"/>
        </w:rPr>
        <w:t>地址：绵阳市富乐路长兴江岸精典2单元30楼</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468,000.00</w:t>
      </w:r>
    </w:p>
    <w:p>
      <w:pPr>
        <w:pStyle w:val="null3"/>
        <w:jc w:val="left"/>
      </w:pPr>
      <w:r>
        <w:rPr>
          <w:rFonts w:ascii="仿宋_GB2312" w:hAnsi="仿宋_GB2312" w:cs="仿宋_GB2312" w:eastAsia="仿宋_GB2312"/>
        </w:rPr>
        <w:t>采购包最高限价（元）: 468,000.00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C03990000 其他就业服务</w:t>
            </w:r>
          </w:p>
        </w:tc>
        <w:tc>
          <w:tcPr>
            <w:tcW w:type="dxa" w:w="821"/>
          </w:tcPr>
          <w:p>
            <w:pPr>
              <w:pStyle w:val="null3"/>
              <w:jc w:val="left"/>
            </w:pPr>
            <w:r>
              <w:rPr>
                <w:rFonts w:ascii="仿宋_GB2312" w:hAnsi="仿宋_GB2312" w:cs="仿宋_GB2312" w:eastAsia="仿宋_GB2312"/>
              </w:rPr>
              <w:t>游仙区人力资源服务产业园“线上园”运营团队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468,000.00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游仙区人力资源服务产业园“线上园”运营团队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468,000.00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标的名称：游仙区人力资源服务产业园“线上园”运营团队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ind w:firstLine="280"/>
              <w:jc w:val="both"/>
            </w:pPr>
            <w:r>
              <w:rPr>
                <w:rFonts w:ascii="仿宋_GB2312" w:hAnsi="仿宋_GB2312" w:cs="仿宋_GB2312" w:eastAsia="仿宋_GB2312"/>
                <w:sz w:val="28"/>
              </w:rPr>
              <w:t>（一）总体要求</w:t>
            </w:r>
          </w:p>
          <w:p>
            <w:pPr>
              <w:pStyle w:val="null3"/>
              <w:ind w:firstLine="560"/>
              <w:jc w:val="both"/>
            </w:pPr>
            <w:r>
              <w:rPr>
                <w:rFonts w:ascii="仿宋_GB2312" w:hAnsi="仿宋_GB2312" w:cs="仿宋_GB2312" w:eastAsia="仿宋_GB2312"/>
                <w:sz w:val="28"/>
              </w:rPr>
              <w:t>采用</w:t>
            </w:r>
            <w:r>
              <w:rPr>
                <w:rFonts w:ascii="仿宋_GB2312" w:hAnsi="仿宋_GB2312" w:cs="仿宋_GB2312" w:eastAsia="仿宋_GB2312"/>
                <w:sz w:val="28"/>
              </w:rPr>
              <w:t>“管运分离”模式，</w:t>
            </w:r>
            <w:r>
              <w:rPr>
                <w:rFonts w:ascii="仿宋_GB2312" w:hAnsi="仿宋_GB2312" w:cs="仿宋_GB2312" w:eastAsia="仿宋_GB2312"/>
                <w:sz w:val="28"/>
              </w:rPr>
              <w:t>由区人社局指导，</w:t>
            </w:r>
            <w:r>
              <w:rPr>
                <w:rFonts w:ascii="仿宋_GB2312" w:hAnsi="仿宋_GB2312" w:cs="仿宋_GB2312" w:eastAsia="仿宋_GB2312"/>
                <w:sz w:val="28"/>
              </w:rPr>
              <w:t>引导社会资本共同参与建设运营，</w:t>
            </w:r>
            <w:r>
              <w:rPr>
                <w:rFonts w:ascii="仿宋_GB2312" w:hAnsi="仿宋_GB2312" w:cs="仿宋_GB2312" w:eastAsia="仿宋_GB2312"/>
                <w:sz w:val="28"/>
              </w:rPr>
              <w:t>运营单位能够结合</w:t>
            </w:r>
            <w:r>
              <w:rPr>
                <w:rFonts w:ascii="仿宋_GB2312" w:hAnsi="仿宋_GB2312" w:cs="仿宋_GB2312" w:eastAsia="仿宋_GB2312"/>
                <w:sz w:val="28"/>
              </w:rPr>
              <w:t>游仙区人力资源服务产业园</w:t>
            </w:r>
            <w:r>
              <w:rPr>
                <w:rFonts w:ascii="仿宋_GB2312" w:hAnsi="仿宋_GB2312" w:cs="仿宋_GB2312" w:eastAsia="仿宋_GB2312"/>
                <w:sz w:val="28"/>
              </w:rPr>
              <w:t>“线上园”运营的实际情况，建立人力资源数据库，建立分站点服务体系，完成企业、机构引育，</w:t>
            </w:r>
            <w:r>
              <w:rPr>
                <w:rFonts w:ascii="仿宋_GB2312" w:hAnsi="仿宋_GB2312" w:cs="仿宋_GB2312" w:eastAsia="仿宋_GB2312"/>
                <w:sz w:val="28"/>
              </w:rPr>
              <w:t>加强对高层次人才、重点用工企业人力等服务供给，定期</w:t>
            </w:r>
            <w:r>
              <w:rPr>
                <w:rFonts w:ascii="仿宋_GB2312" w:hAnsi="仿宋_GB2312" w:cs="仿宋_GB2312" w:eastAsia="仿宋_GB2312"/>
                <w:sz w:val="28"/>
              </w:rPr>
              <w:t>开展走访重点企业，开展路演推广和品牌宣传联动</w:t>
            </w:r>
            <w:r>
              <w:rPr>
                <w:rFonts w:ascii="仿宋_GB2312" w:hAnsi="仿宋_GB2312" w:cs="仿宋_GB2312" w:eastAsia="仿宋_GB2312"/>
                <w:sz w:val="28"/>
              </w:rPr>
              <w:t>活动，</w:t>
            </w:r>
            <w:r>
              <w:rPr>
                <w:rFonts w:ascii="仿宋_GB2312" w:hAnsi="仿宋_GB2312" w:cs="仿宋_GB2312" w:eastAsia="仿宋_GB2312"/>
                <w:sz w:val="28"/>
              </w:rPr>
              <w:t>帮助我区实现用人单位、服务机构、人才</w:t>
            </w:r>
            <w:r>
              <w:rPr>
                <w:rFonts w:ascii="仿宋_GB2312" w:hAnsi="仿宋_GB2312" w:cs="仿宋_GB2312" w:eastAsia="仿宋_GB2312"/>
                <w:sz w:val="28"/>
              </w:rPr>
              <w:t>/劳动力、政策在线集聚、业务交易、共享共治，从供给侧、需求侧、业务侧、治理侧数字化统筹各个要素，形成我区人力资源服务产业的业务结算中心和数据归集中心，立足绵阳，辐射全省，成为川东北人力资源协同振兴发展试验区重要的人力资源枢纽节点。</w:t>
            </w:r>
          </w:p>
          <w:p>
            <w:pPr>
              <w:pStyle w:val="null3"/>
              <w:ind w:firstLine="562"/>
              <w:jc w:val="both"/>
            </w:pPr>
            <w:r>
              <w:rPr>
                <w:rFonts w:ascii="仿宋_GB2312" w:hAnsi="仿宋_GB2312" w:cs="仿宋_GB2312" w:eastAsia="仿宋_GB2312"/>
                <w:sz w:val="28"/>
                <w:b/>
              </w:rPr>
              <w:t>（二）</w:t>
            </w:r>
            <w:r>
              <w:rPr>
                <w:rFonts w:ascii="仿宋_GB2312" w:hAnsi="仿宋_GB2312" w:cs="仿宋_GB2312" w:eastAsia="仿宋_GB2312"/>
                <w:sz w:val="28"/>
                <w:b/>
              </w:rPr>
              <w:t>服务内容</w:t>
            </w:r>
          </w:p>
          <w:p>
            <w:pPr>
              <w:pStyle w:val="null3"/>
              <w:ind w:firstLine="280"/>
              <w:jc w:val="both"/>
            </w:pPr>
            <w:r>
              <w:rPr>
                <w:rFonts w:ascii="仿宋_GB2312" w:hAnsi="仿宋_GB2312" w:cs="仿宋_GB2312" w:eastAsia="仿宋_GB2312"/>
                <w:sz w:val="28"/>
              </w:rPr>
              <w:t>1、</w:t>
            </w:r>
            <w:r>
              <w:rPr>
                <w:rFonts w:ascii="仿宋_GB2312" w:hAnsi="仿宋_GB2312" w:cs="仿宋_GB2312" w:eastAsia="仿宋_GB2312"/>
                <w:sz w:val="28"/>
              </w:rPr>
              <w:t>建立人力资源数据库</w:t>
            </w:r>
          </w:p>
          <w:p>
            <w:pPr>
              <w:pStyle w:val="null3"/>
              <w:ind w:firstLine="560"/>
              <w:jc w:val="both"/>
            </w:pPr>
            <w:r>
              <w:rPr>
                <w:rFonts w:ascii="仿宋_GB2312" w:hAnsi="仿宋_GB2312" w:cs="仿宋_GB2312" w:eastAsia="仿宋_GB2312"/>
                <w:sz w:val="28"/>
              </w:rPr>
              <w:t>通过本地劳动力台账信息导入</w:t>
            </w:r>
            <w:r>
              <w:rPr>
                <w:rFonts w:ascii="仿宋_GB2312" w:hAnsi="仿宋_GB2312" w:cs="仿宋_GB2312" w:eastAsia="仿宋_GB2312"/>
                <w:sz w:val="28"/>
              </w:rPr>
              <w:t>“线上园”后台数据库和游仙区重点群体进行大数据挖掘，完善数据库。结合“线上园”大数据可视化服务，实现人才构成和分布可视化分析。</w:t>
            </w:r>
          </w:p>
          <w:p>
            <w:pPr>
              <w:pStyle w:val="null3"/>
              <w:ind w:firstLine="280"/>
              <w:jc w:val="both"/>
            </w:pPr>
            <w:r>
              <w:rPr>
                <w:rFonts w:ascii="仿宋_GB2312" w:hAnsi="仿宋_GB2312" w:cs="仿宋_GB2312" w:eastAsia="仿宋_GB2312"/>
                <w:sz w:val="28"/>
              </w:rPr>
              <w:t>2、完成企业、机构引育</w:t>
            </w:r>
          </w:p>
          <w:p>
            <w:pPr>
              <w:pStyle w:val="null3"/>
              <w:ind w:firstLine="560"/>
              <w:jc w:val="left"/>
            </w:pPr>
            <w:r>
              <w:rPr>
                <w:rFonts w:ascii="仿宋_GB2312" w:hAnsi="仿宋_GB2312" w:cs="仿宋_GB2312" w:eastAsia="仿宋_GB2312"/>
                <w:sz w:val="28"/>
              </w:rPr>
              <w:t>通过客户寻访与商务合作洽谈，聚集</w:t>
            </w:r>
            <w:r>
              <w:rPr>
                <w:rFonts w:ascii="仿宋_GB2312" w:hAnsi="仿宋_GB2312" w:cs="仿宋_GB2312" w:eastAsia="仿宋_GB2312"/>
                <w:sz w:val="28"/>
              </w:rPr>
              <w:t>10 家以上人力资源企业服务公司，引进至少 2家为规上企业。</w:t>
            </w:r>
            <w:r>
              <w:rPr>
                <w:rFonts w:ascii="仿宋_GB2312" w:hAnsi="仿宋_GB2312" w:cs="仿宋_GB2312" w:eastAsia="仿宋_GB2312"/>
                <w:sz w:val="21"/>
              </w:rPr>
              <w:t>推动本地“四上”企业入驻</w:t>
            </w:r>
            <w:r>
              <w:rPr>
                <w:rFonts w:ascii="仿宋_GB2312" w:hAnsi="仿宋_GB2312" w:cs="仿宋_GB2312" w:eastAsia="仿宋_GB2312"/>
                <w:sz w:val="28"/>
              </w:rPr>
              <w:t>，</w:t>
            </w:r>
            <w:r>
              <w:rPr>
                <w:rFonts w:ascii="仿宋_GB2312" w:hAnsi="仿宋_GB2312" w:cs="仿宋_GB2312" w:eastAsia="仿宋_GB2312"/>
                <w:sz w:val="28"/>
              </w:rPr>
              <w:t>在组织部门、人社部门支持下定期走访重点企业，组织企业开展主题沙龙活动，路演推广，收集岗位需求，利用</w:t>
            </w:r>
            <w:r>
              <w:rPr>
                <w:rFonts w:ascii="仿宋_GB2312" w:hAnsi="仿宋_GB2312" w:cs="仿宋_GB2312" w:eastAsia="仿宋_GB2312"/>
                <w:sz w:val="28"/>
              </w:rPr>
              <w:t>“线上园”供需对接交易服务实现企业发布需求、猎头机构抢单，完成人才交付。</w:t>
            </w:r>
          </w:p>
          <w:p>
            <w:pPr>
              <w:pStyle w:val="null3"/>
              <w:ind w:firstLine="280"/>
              <w:jc w:val="both"/>
            </w:pPr>
            <w:r>
              <w:rPr>
                <w:rFonts w:ascii="仿宋_GB2312" w:hAnsi="仿宋_GB2312" w:cs="仿宋_GB2312" w:eastAsia="仿宋_GB2312"/>
                <w:sz w:val="28"/>
              </w:rPr>
              <w:t>3、</w:t>
            </w:r>
            <w:r>
              <w:rPr>
                <w:rFonts w:ascii="仿宋_GB2312" w:hAnsi="仿宋_GB2312" w:cs="仿宋_GB2312" w:eastAsia="仿宋_GB2312"/>
                <w:sz w:val="28"/>
              </w:rPr>
              <w:t>建立分站点服务体系</w:t>
            </w:r>
          </w:p>
          <w:p>
            <w:pPr>
              <w:pStyle w:val="null3"/>
              <w:ind w:firstLine="560"/>
              <w:jc w:val="both"/>
            </w:pPr>
            <w:r>
              <w:rPr>
                <w:rFonts w:ascii="仿宋_GB2312" w:hAnsi="仿宋_GB2312" w:cs="仿宋_GB2312" w:eastAsia="仿宋_GB2312"/>
                <w:sz w:val="28"/>
              </w:rPr>
              <w:t>拟制区人力资源产业园线上园分站点运营方案及人员培训方案，确定标准、规则和考核管理办法，包括服务人员选拔、名单报送、系统和业务培训，指导游仙区各相关站点线上平台使用方式，并将资料归集汇总。</w:t>
            </w:r>
          </w:p>
          <w:p>
            <w:pPr>
              <w:pStyle w:val="null3"/>
              <w:ind w:firstLine="560"/>
              <w:jc w:val="both"/>
            </w:pPr>
            <w:r>
              <w:rPr>
                <w:rFonts w:ascii="仿宋_GB2312" w:hAnsi="仿宋_GB2312" w:cs="仿宋_GB2312" w:eastAsia="仿宋_GB2312"/>
                <w:sz w:val="28"/>
              </w:rPr>
              <w:t xml:space="preserve"> 4、品牌宣传</w:t>
            </w:r>
          </w:p>
          <w:p>
            <w:pPr>
              <w:pStyle w:val="null3"/>
              <w:ind w:firstLine="560"/>
              <w:jc w:val="both"/>
            </w:pPr>
            <w:r>
              <w:rPr>
                <w:rFonts w:ascii="仿宋_GB2312" w:hAnsi="仿宋_GB2312" w:cs="仿宋_GB2312" w:eastAsia="仿宋_GB2312"/>
                <w:sz w:val="28"/>
              </w:rPr>
              <w:t>开展品牌宣传联动，</w:t>
            </w:r>
            <w:r>
              <w:rPr>
                <w:rFonts w:ascii="仿宋_GB2312" w:hAnsi="仿宋_GB2312" w:cs="仿宋_GB2312" w:eastAsia="仿宋_GB2312"/>
                <w:sz w:val="28"/>
              </w:rPr>
              <w:t>就业政策宣传</w:t>
            </w:r>
            <w:r>
              <w:rPr>
                <w:rFonts w:ascii="仿宋_GB2312" w:hAnsi="仿宋_GB2312" w:cs="仿宋_GB2312" w:eastAsia="仿宋_GB2312"/>
                <w:sz w:val="28"/>
              </w:rPr>
              <w:t>，实地走访宣传，线上宣传推广等，发挥人力资源报行业媒体优势，宣传川东北人力资源协同共建并与成都等地开展人力资源业务项目合作，依托</w:t>
            </w:r>
            <w:r>
              <w:rPr>
                <w:rFonts w:ascii="仿宋_GB2312" w:hAnsi="仿宋_GB2312" w:cs="仿宋_GB2312" w:eastAsia="仿宋_GB2312"/>
                <w:sz w:val="28"/>
              </w:rPr>
              <w:t>“线上园”供需对接交易服务的信息共享机制，实现川东北需求和游仙区打通。</w:t>
            </w:r>
          </w:p>
          <w:p>
            <w:pPr>
              <w:pStyle w:val="null3"/>
              <w:ind w:firstLine="280"/>
              <w:jc w:val="both"/>
            </w:pPr>
            <w:r>
              <w:rPr>
                <w:rFonts w:ascii="仿宋_GB2312" w:hAnsi="仿宋_GB2312" w:cs="仿宋_GB2312" w:eastAsia="仿宋_GB2312"/>
                <w:sz w:val="28"/>
              </w:rPr>
              <w:t>5、</w:t>
            </w:r>
            <w:r>
              <w:rPr>
                <w:rFonts w:ascii="仿宋_GB2312" w:hAnsi="仿宋_GB2312" w:cs="仿宋_GB2312" w:eastAsia="仿宋_GB2312"/>
                <w:sz w:val="28"/>
              </w:rPr>
              <w:t>日常管理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1）线上园舆情应对处置工作；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2）平台场地维护、访客接待、事务办理、档案管理等日常工作。</w:t>
            </w:r>
          </w:p>
          <w:p>
            <w:pPr>
              <w:pStyle w:val="null3"/>
              <w:ind w:firstLine="280"/>
              <w:jc w:val="both"/>
            </w:pPr>
            <w:r>
              <w:rPr>
                <w:rFonts w:ascii="仿宋_GB2312" w:hAnsi="仿宋_GB2312" w:cs="仿宋_GB2312" w:eastAsia="仿宋_GB2312"/>
                <w:sz w:val="28"/>
              </w:rPr>
              <w:t>6、配合完成区人力资源社会保障局交办的其他事项。</w:t>
            </w:r>
          </w:p>
          <w:p>
            <w:pPr>
              <w:pStyle w:val="null3"/>
              <w:ind w:firstLine="280"/>
              <w:jc w:val="both"/>
            </w:pPr>
            <w:r>
              <w:rPr>
                <w:rFonts w:ascii="仿宋_GB2312" w:hAnsi="仿宋_GB2312" w:cs="仿宋_GB2312" w:eastAsia="仿宋_GB2312"/>
                <w:sz w:val="28"/>
                <w:b/>
              </w:rPr>
              <w:t>（三）</w:t>
            </w:r>
            <w:r>
              <w:rPr>
                <w:rFonts w:ascii="仿宋_GB2312" w:hAnsi="仿宋_GB2312" w:cs="仿宋_GB2312" w:eastAsia="仿宋_GB2312"/>
                <w:sz w:val="28"/>
                <w:b/>
              </w:rPr>
              <w:t>服务要求</w:t>
            </w:r>
          </w:p>
          <w:tbl>
            <w:tblPr>
              <w:tblBorders>
                <w:top w:val="none" w:color="000000" w:sz="4"/>
                <w:left w:val="none" w:color="000000" w:sz="4"/>
                <w:bottom w:val="none" w:color="000000" w:sz="4"/>
                <w:right w:val="none" w:color="000000" w:sz="4"/>
                <w:insideH w:val="none"/>
                <w:insideV w:val="none"/>
              </w:tblBorders>
            </w:tblPr>
            <w:tblGrid>
              <w:gridCol w:w="451"/>
              <w:gridCol w:w="1197"/>
              <w:gridCol w:w="1722"/>
              <w:gridCol w:w="2228"/>
            </w:tblGrid>
            <w:tr>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服务事项</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服务明细</w:t>
                  </w:r>
                </w:p>
              </w:tc>
              <w:tc>
                <w:tcPr>
                  <w:tcW w:type="dxa" w:w="2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服务指标要求</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人力资源库建设</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劳动力资源库建设</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采集不少于</w:t>
                  </w:r>
                  <w:r>
                    <w:rPr>
                      <w:rFonts w:ascii="仿宋_GB2312" w:hAnsi="仿宋_GB2312" w:cs="仿宋_GB2312" w:eastAsia="仿宋_GB2312"/>
                      <w:sz w:val="24"/>
                    </w:rPr>
                    <w:t>30000条劳动力信息</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依托平台开展劳动力调查</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更新数据不少于</w:t>
                  </w:r>
                  <w:r>
                    <w:rPr>
                      <w:rFonts w:ascii="仿宋_GB2312" w:hAnsi="仿宋_GB2312" w:cs="仿宋_GB2312" w:eastAsia="仿宋_GB2312"/>
                      <w:sz w:val="24"/>
                    </w:rPr>
                    <w:t>3000条/年</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本地</w:t>
                  </w:r>
                  <w:r>
                    <w:rPr>
                      <w:rFonts w:ascii="仿宋_GB2312" w:hAnsi="仿宋_GB2312" w:cs="仿宋_GB2312" w:eastAsia="仿宋_GB2312"/>
                      <w:sz w:val="24"/>
                    </w:rPr>
                    <w:t>“四上”企业入驻</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50家</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全国猎头机构资源对接</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100项</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优质外包机构资源对接</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2家</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中高级人才寻访需求挖掘</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每年挖掘不少于</w:t>
                  </w:r>
                  <w:r>
                    <w:rPr>
                      <w:rFonts w:ascii="仿宋_GB2312" w:hAnsi="仿宋_GB2312" w:cs="仿宋_GB2312" w:eastAsia="仿宋_GB2312"/>
                      <w:sz w:val="24"/>
                    </w:rPr>
                    <w:t>50个岗位</w:t>
                  </w:r>
                </w:p>
                <w:p>
                  <w:pPr>
                    <w:pStyle w:val="null3"/>
                    <w:jc w:val="left"/>
                  </w:pPr>
                  <w:r>
                    <w:rPr>
                      <w:rFonts w:ascii="仿宋_GB2312" w:hAnsi="仿宋_GB2312" w:cs="仿宋_GB2312" w:eastAsia="仿宋_GB2312"/>
                      <w:sz w:val="24"/>
                    </w:rPr>
                    <w:t>实现不低于</w:t>
                  </w:r>
                  <w:r>
                    <w:rPr>
                      <w:rFonts w:ascii="仿宋_GB2312" w:hAnsi="仿宋_GB2312" w:cs="仿宋_GB2312" w:eastAsia="仿宋_GB2312"/>
                      <w:sz w:val="24"/>
                    </w:rPr>
                    <w:t>30%的人才交付</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重点群体帮扶</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通过平台对重点群体帮扶不少于</w:t>
                  </w:r>
                  <w:r>
                    <w:rPr>
                      <w:rFonts w:ascii="仿宋_GB2312" w:hAnsi="仿宋_GB2312" w:cs="仿宋_GB2312" w:eastAsia="仿宋_GB2312"/>
                      <w:sz w:val="24"/>
                    </w:rPr>
                    <w:t>1000次/年</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人力资源服务企业库建设</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全国人力资源服务公司入驻</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招引公司不少于</w:t>
                  </w:r>
                  <w:r>
                    <w:rPr>
                      <w:rFonts w:ascii="仿宋_GB2312" w:hAnsi="仿宋_GB2312" w:cs="仿宋_GB2312" w:eastAsia="仿宋_GB2312"/>
                      <w:sz w:val="24"/>
                    </w:rPr>
                    <w:t>10家，其中至少2家为规上企业</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1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系统培训</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分站点人员操作培训</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每季度不少于</w:t>
                  </w:r>
                  <w:r>
                    <w:rPr>
                      <w:rFonts w:ascii="仿宋_GB2312" w:hAnsi="仿宋_GB2312" w:cs="仿宋_GB2312" w:eastAsia="仿宋_GB2312"/>
                      <w:sz w:val="24"/>
                    </w:rPr>
                    <w:t>1次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劳务经纪人操作培训</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每季度不少于</w:t>
                  </w:r>
                  <w:r>
                    <w:rPr>
                      <w:rFonts w:ascii="仿宋_GB2312" w:hAnsi="仿宋_GB2312" w:cs="仿宋_GB2312" w:eastAsia="仿宋_GB2312"/>
                      <w:sz w:val="24"/>
                    </w:rPr>
                    <w:t>1次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1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品牌宣传</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就业政策宣传</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每年不少于</w:t>
                  </w:r>
                  <w:r>
                    <w:rPr>
                      <w:rFonts w:ascii="仿宋_GB2312" w:hAnsi="仿宋_GB2312" w:cs="仿宋_GB2312" w:eastAsia="仿宋_GB2312"/>
                      <w:sz w:val="24"/>
                    </w:rPr>
                    <w:t>24次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实地走访宣传</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每年实地走访企业、高校宣讲推广本平台不少于</w:t>
                  </w:r>
                  <w:r>
                    <w:rPr>
                      <w:rFonts w:ascii="仿宋_GB2312" w:hAnsi="仿宋_GB2312" w:cs="仿宋_GB2312" w:eastAsia="仿宋_GB2312"/>
                      <w:sz w:val="24"/>
                    </w:rPr>
                    <w:t>50次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1197"/>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线上宣传推广</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通过电话、微信方式推广本平台每年不少于</w:t>
                  </w:r>
                  <w:r>
                    <w:rPr>
                      <w:rFonts w:ascii="仿宋_GB2312" w:hAnsi="仿宋_GB2312" w:cs="仿宋_GB2312" w:eastAsia="仿宋_GB2312"/>
                      <w:sz w:val="24"/>
                    </w:rPr>
                    <w:t>1000次</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成果报告</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数据报告</w:t>
                  </w:r>
                </w:p>
              </w:tc>
              <w:tc>
                <w:tcPr>
                  <w:tcW w:type="dxa" w:w="2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每季度一次阶段性运营数据报告</w:t>
                  </w:r>
                </w:p>
              </w:tc>
            </w:tr>
          </w:tbl>
          <w:p>
            <w:pPr>
              <w:pStyle w:val="null3"/>
              <w:ind w:firstLine="280"/>
              <w:jc w:val="both"/>
            </w:pPr>
            <w:r>
              <w:rPr>
                <w:rFonts w:ascii="仿宋_GB2312" w:hAnsi="仿宋_GB2312" w:cs="仿宋_GB2312" w:eastAsia="仿宋_GB2312"/>
                <w:sz w:val="28"/>
                <w:b/>
              </w:rPr>
              <w:t>二、</w:t>
            </w:r>
            <w:r>
              <w:rPr>
                <w:rFonts w:ascii="仿宋_GB2312" w:hAnsi="仿宋_GB2312" w:cs="仿宋_GB2312" w:eastAsia="仿宋_GB2312"/>
                <w:sz w:val="28"/>
                <w:b/>
              </w:rPr>
              <w:t>运营</w:t>
            </w:r>
            <w:r>
              <w:rPr>
                <w:rFonts w:ascii="仿宋_GB2312" w:hAnsi="仿宋_GB2312" w:cs="仿宋_GB2312" w:eastAsia="仿宋_GB2312"/>
                <w:sz w:val="28"/>
                <w:b/>
              </w:rPr>
              <w:t>团队要求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、供应商必须根据本项目的特点、内容和要求，配备不少于</w:t>
            </w:r>
            <w:r>
              <w:rPr>
                <w:rFonts w:ascii="仿宋_GB2312" w:hAnsi="仿宋_GB2312" w:cs="仿宋_GB2312" w:eastAsia="仿宋_GB2312"/>
                <w:sz w:val="28"/>
              </w:rPr>
              <w:t>8名专职管理服务人员，形成管理组织架构并明确人员分工，负责运营管理、</w:t>
            </w:r>
            <w:r>
              <w:rPr>
                <w:rFonts w:ascii="仿宋_GB2312" w:hAnsi="仿宋_GB2312" w:cs="仿宋_GB2312" w:eastAsia="仿宋_GB2312"/>
                <w:sz w:val="28"/>
              </w:rPr>
              <w:t>培训、调研、</w:t>
            </w:r>
            <w:r>
              <w:rPr>
                <w:rFonts w:ascii="仿宋_GB2312" w:hAnsi="仿宋_GB2312" w:cs="仿宋_GB2312" w:eastAsia="仿宋_GB2312"/>
                <w:sz w:val="28"/>
              </w:rPr>
              <w:t>招商、宣传推广、</w:t>
            </w:r>
            <w:r>
              <w:rPr>
                <w:rFonts w:ascii="仿宋_GB2312" w:hAnsi="仿宋_GB2312" w:cs="仿宋_GB2312" w:eastAsia="仿宋_GB2312"/>
                <w:sz w:val="28"/>
              </w:rPr>
              <w:t>信息入录、系统维护</w:t>
            </w:r>
            <w:r>
              <w:rPr>
                <w:rFonts w:ascii="仿宋_GB2312" w:hAnsi="仿宋_GB2312" w:cs="仿宋_GB2312" w:eastAsia="仿宋_GB2312"/>
                <w:sz w:val="28"/>
              </w:rPr>
              <w:t>等工作。项目涉及工作人员聘用、培训、管理、后勤保障、服务质量维护以及项目实施的安全责任由</w:t>
            </w:r>
            <w:r>
              <w:rPr>
                <w:rFonts w:ascii="仿宋_GB2312" w:hAnsi="仿宋_GB2312" w:cs="仿宋_GB2312" w:eastAsia="仿宋_GB2312"/>
                <w:sz w:val="28"/>
              </w:rPr>
              <w:t>供应商</w:t>
            </w:r>
            <w:r>
              <w:rPr>
                <w:rFonts w:ascii="仿宋_GB2312" w:hAnsi="仿宋_GB2312" w:cs="仿宋_GB2312" w:eastAsia="仿宋_GB2312"/>
                <w:sz w:val="28"/>
              </w:rPr>
              <w:t>负责。</w:t>
            </w:r>
          </w:p>
          <w:p>
            <w:pPr>
              <w:pStyle w:val="null3"/>
              <w:ind w:firstLine="560"/>
              <w:jc w:val="both"/>
            </w:pPr>
            <w:r>
              <w:rPr>
                <w:rFonts w:ascii="仿宋_GB2312" w:hAnsi="仿宋_GB2312" w:cs="仿宋_GB2312" w:eastAsia="仿宋_GB2312"/>
                <w:sz w:val="28"/>
              </w:rPr>
              <w:t>2、在项目服务实施期间，</w:t>
            </w:r>
            <w:r>
              <w:rPr>
                <w:rFonts w:ascii="仿宋_GB2312" w:hAnsi="仿宋_GB2312" w:cs="仿宋_GB2312" w:eastAsia="仿宋_GB2312"/>
                <w:sz w:val="28"/>
              </w:rPr>
              <w:t>供应商</w:t>
            </w:r>
            <w:r>
              <w:rPr>
                <w:rFonts w:ascii="仿宋_GB2312" w:hAnsi="仿宋_GB2312" w:cs="仿宋_GB2312" w:eastAsia="仿宋_GB2312"/>
                <w:sz w:val="28"/>
              </w:rPr>
              <w:t>应严格执行国家、地方、行业各项有关本项目业务管理和安全作业的法律、法规和制度，积极主动加强和服务业务及安全等有关的管理工作，并按规定承担相应的费用。</w:t>
            </w:r>
            <w:r>
              <w:rPr>
                <w:rFonts w:ascii="仿宋_GB2312" w:hAnsi="仿宋_GB2312" w:cs="仿宋_GB2312" w:eastAsia="仿宋_GB2312"/>
                <w:sz w:val="28"/>
              </w:rPr>
              <w:t>供应商</w:t>
            </w:r>
            <w:r>
              <w:rPr>
                <w:rFonts w:ascii="仿宋_GB2312" w:hAnsi="仿宋_GB2312" w:cs="仿宋_GB2312" w:eastAsia="仿宋_GB2312"/>
                <w:sz w:val="28"/>
              </w:rPr>
              <w:t>因违反规定等原因造成的一切损失和责任由供应商承担。</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供应商</w:t>
            </w:r>
            <w:r>
              <w:rPr>
                <w:rFonts w:ascii="仿宋_GB2312" w:hAnsi="仿宋_GB2312" w:cs="仿宋_GB2312" w:eastAsia="仿宋_GB2312"/>
                <w:sz w:val="28"/>
              </w:rPr>
              <w:t>在组织项目服务实施期间，应按采购人实际服务需求落实所对应提供的服务工作，做好相关管理记录，保证满足采购人服务需求。</w:t>
            </w:r>
          </w:p>
          <w:p>
            <w:pPr>
              <w:pStyle w:val="null3"/>
              <w:ind w:firstLine="560"/>
              <w:jc w:val="both"/>
            </w:pPr>
            <w:r>
              <w:rPr>
                <w:rFonts w:ascii="仿宋_GB2312" w:hAnsi="仿宋_GB2312" w:cs="仿宋_GB2312" w:eastAsia="仿宋_GB2312"/>
                <w:sz w:val="28"/>
              </w:rPr>
              <w:t>4、经采购人确认的项目负责人和项目组人员及数量，未经采购人书面批准不得随意调换或撤离，若自行更换或撤离，按照合同违约处理。</w:t>
            </w:r>
          </w:p>
          <w:p>
            <w:pPr>
              <w:pStyle w:val="null3"/>
              <w:ind w:firstLine="560"/>
              <w:jc w:val="both"/>
            </w:pPr>
            <w:r>
              <w:rPr>
                <w:rFonts w:ascii="仿宋_GB2312" w:hAnsi="仿宋_GB2312" w:cs="仿宋_GB2312" w:eastAsia="仿宋_GB2312"/>
                <w:sz w:val="28"/>
              </w:rPr>
              <w:t>5、合同履行期间采购人项目计划安排有所调整时，供应商不得以任何理由拒绝执行。</w:t>
            </w:r>
          </w:p>
          <w:p>
            <w:pPr>
              <w:pStyle w:val="null3"/>
              <w:ind w:firstLine="560"/>
              <w:jc w:val="left"/>
            </w:pPr>
            <w:r>
              <w:rPr>
                <w:rFonts w:ascii="仿宋_GB2312" w:hAnsi="仿宋_GB2312" w:cs="仿宋_GB2312" w:eastAsia="仿宋_GB2312"/>
                <w:sz w:val="28"/>
              </w:rPr>
              <w:t>6、安全要求：本项目自供应商签订合同之日至验收合格之日止，供应商将自行负责合同期间内的人身安全、财产安全、环境安全等一切安全责任。因项目实施过程中造成的直接或间接损失，均由供应商自行承担。（单独提供承诺函，格式自拟）</w:t>
            </w:r>
          </w:p>
          <w:p>
            <w:pPr>
              <w:pStyle w:val="null3"/>
              <w:ind w:firstLine="560"/>
              <w:jc w:val="left"/>
            </w:pPr>
            <w:r>
              <w:rPr>
                <w:rFonts w:ascii="仿宋_GB2312" w:hAnsi="仿宋_GB2312" w:cs="仿宋_GB2312" w:eastAsia="仿宋_GB2312"/>
                <w:sz w:val="28"/>
              </w:rPr>
              <w:t>7、保密要求：工作人员对项目履约期限中获悉的一切数据和资料予以保密，未经采购单位同意，不得对采购单位的资料及文件擅自修改、复制或泄露任何资料，如发生以上情况，泄密方承担由一切此引起的后果并承担赔偿责任。（单独提供承诺函，格式自拟）</w:t>
            </w:r>
          </w:p>
          <w:p>
            <w:pPr>
              <w:pStyle w:val="null3"/>
              <w:ind w:firstLine="652"/>
              <w:jc w:val="both"/>
            </w:pPr>
            <w:r>
              <w:rPr>
                <w:rFonts w:ascii="仿宋_GB2312" w:hAnsi="仿宋_GB2312" w:cs="仿宋_GB2312" w:eastAsia="仿宋_GB2312"/>
                <w:sz w:val="28"/>
              </w:rPr>
              <w:t>三</w:t>
            </w:r>
            <w:r>
              <w:rPr>
                <w:rFonts w:ascii="仿宋_GB2312" w:hAnsi="仿宋_GB2312" w:cs="仿宋_GB2312" w:eastAsia="仿宋_GB2312"/>
                <w:sz w:val="28"/>
              </w:rPr>
              <w:t>、服务质量考核</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采购人对成交供应商每年进行服务质量考核，满分为</w:t>
            </w:r>
            <w:r>
              <w:rPr>
                <w:rFonts w:ascii="仿宋_GB2312" w:hAnsi="仿宋_GB2312" w:cs="仿宋_GB2312" w:eastAsia="仿宋_GB2312"/>
                <w:sz w:val="28"/>
              </w:rPr>
              <w:t>100分。</w:t>
            </w:r>
          </w:p>
          <w:p>
            <w:pPr>
              <w:pStyle w:val="null3"/>
              <w:ind w:firstLine="560"/>
              <w:jc w:val="left"/>
            </w:pPr>
            <w:r>
              <w:rPr>
                <w:rFonts w:ascii="仿宋_GB2312" w:hAnsi="仿宋_GB2312" w:cs="仿宋_GB2312" w:eastAsia="仿宋_GB2312"/>
                <w:sz w:val="28"/>
              </w:rPr>
              <w:t>2.考核等次：考核等次划分为优秀、良好、及格、不及格四档，考核得分 90分（含）以上为优秀，70分（含）至89分为良好，60分（含）至69分为及格，低于60分为不及格。</w:t>
            </w:r>
          </w:p>
          <w:p>
            <w:pPr>
              <w:pStyle w:val="null3"/>
              <w:ind w:firstLine="560"/>
              <w:jc w:val="left"/>
            </w:pPr>
            <w:r>
              <w:rPr>
                <w:rFonts w:ascii="仿宋_GB2312" w:hAnsi="仿宋_GB2312" w:cs="仿宋_GB2312" w:eastAsia="仿宋_GB2312"/>
                <w:sz w:val="28"/>
              </w:rPr>
              <w:t>3、经年度考核优秀的，支付至合同金额的 100%；考核良好的，支付至合同金额的90%；其余的具体签订合同时约定。</w:t>
            </w:r>
          </w:p>
          <w:p>
            <w:pPr>
              <w:pStyle w:val="null3"/>
              <w:ind w:firstLine="560"/>
              <w:jc w:val="left"/>
            </w:pPr>
            <w:r>
              <w:rPr>
                <w:rFonts w:ascii="仿宋_GB2312" w:hAnsi="仿宋_GB2312" w:cs="仿宋_GB2312" w:eastAsia="仿宋_GB2312"/>
                <w:sz w:val="21"/>
              </w:rPr>
              <w:t>4、考核办法：成交供应商完成本项目服务内容，并提交项目实施过程中所有文档（包含且不限于运营文档、巡检文档、运营报告）后，向采购人提出验收申请，由采购人组织项目验收，通过后形成验收报告。</w:t>
            </w:r>
          </w:p>
          <w:p>
            <w:pPr>
              <w:pStyle w:val="null3"/>
              <w:ind w:firstLine="560"/>
              <w:jc w:val="left"/>
            </w:pPr>
            <w:r>
              <w:rPr>
                <w:rFonts w:ascii="仿宋_GB2312" w:hAnsi="仿宋_GB2312" w:cs="仿宋_GB2312" w:eastAsia="仿宋_GB2312"/>
                <w:sz w:val="28"/>
              </w:rPr>
              <w:t>考核结果通报：考核组每季度对运营团队服务情况进行评分并出具考核成绩表，针对运营团队服务过程中存在的问题提出整改意见，限时整改。</w:t>
            </w:r>
          </w:p>
          <w:p>
            <w:pPr>
              <w:pStyle w:val="null3"/>
              <w:jc w:val="center"/>
            </w:pPr>
            <w:r>
              <w:rPr>
                <w:rFonts w:ascii="仿宋_GB2312" w:hAnsi="仿宋_GB2312" w:cs="仿宋_GB2312" w:eastAsia="仿宋_GB2312"/>
                <w:sz w:val="28"/>
              </w:rPr>
              <w:t>游仙区人力资源服务产业园</w:t>
            </w:r>
            <w:r>
              <w:rPr>
                <w:rFonts w:ascii="仿宋_GB2312" w:hAnsi="仿宋_GB2312" w:cs="仿宋_GB2312" w:eastAsia="仿宋_GB2312"/>
                <w:sz w:val="28"/>
              </w:rPr>
              <w:t>“线上园”运营团队考核评分表</w:t>
            </w:r>
          </w:p>
          <w:tbl>
            <w:tblPr>
              <w:tblBorders>
                <w:top w:val="none" w:color="000000" w:sz="4"/>
                <w:left w:val="none" w:color="000000" w:sz="4"/>
                <w:bottom w:val="none" w:color="000000" w:sz="4"/>
                <w:right w:val="none" w:color="000000" w:sz="4"/>
                <w:insideH w:val="none"/>
                <w:insideV w:val="none"/>
              </w:tblBorders>
            </w:tblPr>
            <w:tblGrid>
              <w:gridCol w:w="261"/>
              <w:gridCol w:w="654"/>
              <w:gridCol w:w="1268"/>
              <w:gridCol w:w="1424"/>
              <w:gridCol w:w="499"/>
              <w:gridCol w:w="1489"/>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一级考核项目</w:t>
                  </w:r>
                </w:p>
              </w:tc>
              <w:tc>
                <w:tcPr>
                  <w:tcW w:type="dxa" w:w="1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二级考核项目</w:t>
                  </w:r>
                </w:p>
              </w:tc>
              <w:tc>
                <w:tcPr>
                  <w:tcW w:type="dxa" w:w="1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1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评分标准</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人力资源数据库建设</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劳动力资源库建设</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采集不少于</w:t>
                  </w:r>
                  <w:r>
                    <w:rPr>
                      <w:rFonts w:ascii="仿宋_GB2312" w:hAnsi="仿宋_GB2312" w:cs="仿宋_GB2312" w:eastAsia="仿宋_GB2312"/>
                      <w:sz w:val="24"/>
                    </w:rPr>
                    <w:t>30000条劳动力信息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30000条得8分，每少1000条扣1分，扣完为止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依托平台开展劳动力调查</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更新数据不少于</w:t>
                  </w:r>
                  <w:r>
                    <w:rPr>
                      <w:rFonts w:ascii="仿宋_GB2312" w:hAnsi="仿宋_GB2312" w:cs="仿宋_GB2312" w:eastAsia="仿宋_GB2312"/>
                      <w:sz w:val="24"/>
                    </w:rPr>
                    <w:t>3000条/年</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3000条得8分，每少100条扣1分，扣完为止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本地</w:t>
                  </w:r>
                  <w:r>
                    <w:rPr>
                      <w:rFonts w:ascii="仿宋_GB2312" w:hAnsi="仿宋_GB2312" w:cs="仿宋_GB2312" w:eastAsia="仿宋_GB2312"/>
                      <w:sz w:val="24"/>
                    </w:rPr>
                    <w:t>“四上”企业入驻</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50家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50家得8分，每少5家扣1分，扣完为止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全国猎头机构资源对接</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100项</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100项得8分，每少10项扣1分，扣完为止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优质外包机构资源对接</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2家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2家得6分，少1家扣3分，扣完为止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中高级人才寻访需求挖掘</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每年挖掘不少于</w:t>
                  </w:r>
                  <w:r>
                    <w:rPr>
                      <w:rFonts w:ascii="仿宋_GB2312" w:hAnsi="仿宋_GB2312" w:cs="仿宋_GB2312" w:eastAsia="仿宋_GB2312"/>
                      <w:sz w:val="24"/>
                    </w:rPr>
                    <w:t>50个岗位</w:t>
                  </w:r>
                </w:p>
                <w:p>
                  <w:pPr>
                    <w:pStyle w:val="null3"/>
                    <w:jc w:val="both"/>
                  </w:pPr>
                  <w:r>
                    <w:rPr>
                      <w:rFonts w:ascii="仿宋_GB2312" w:hAnsi="仿宋_GB2312" w:cs="仿宋_GB2312" w:eastAsia="仿宋_GB2312"/>
                      <w:sz w:val="24"/>
                    </w:rPr>
                    <w:t>实现不低于</w:t>
                  </w:r>
                  <w:r>
                    <w:rPr>
                      <w:rFonts w:ascii="仿宋_GB2312" w:hAnsi="仿宋_GB2312" w:cs="仿宋_GB2312" w:eastAsia="仿宋_GB2312"/>
                      <w:sz w:val="24"/>
                    </w:rPr>
                    <w:t>30%的人才交付</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岗位挖掘完成得</w:t>
                  </w:r>
                  <w:r>
                    <w:rPr>
                      <w:rFonts w:ascii="仿宋_GB2312" w:hAnsi="仿宋_GB2312" w:cs="仿宋_GB2312" w:eastAsia="仿宋_GB2312"/>
                      <w:sz w:val="24"/>
                    </w:rPr>
                    <w:t>3分，人才交付率达标得3分，每少5个岗位扣0.5分，交付率每低5%扣0.5分，扣完为止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重点群体帮扶</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通过平台对重点群体帮扶不少于</w:t>
                  </w:r>
                  <w:r>
                    <w:rPr>
                      <w:rFonts w:ascii="仿宋_GB2312" w:hAnsi="仿宋_GB2312" w:cs="仿宋_GB2312" w:eastAsia="仿宋_GB2312"/>
                      <w:sz w:val="24"/>
                    </w:rPr>
                    <w:t>1000次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1000次得10分，每少10次扣1分，扣完为止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人力资源服务企业库建设</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全国人力资源服务公司入驻</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招引公司不少于</w:t>
                  </w:r>
                  <w:r>
                    <w:rPr>
                      <w:rFonts w:ascii="仿宋_GB2312" w:hAnsi="仿宋_GB2312" w:cs="仿宋_GB2312" w:eastAsia="仿宋_GB2312"/>
                      <w:sz w:val="24"/>
                    </w:rPr>
                    <w:t>10家，其中至少2家为规上企业</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公司招引数量达标得</w:t>
                  </w:r>
                  <w:r>
                    <w:rPr>
                      <w:rFonts w:ascii="仿宋_GB2312" w:hAnsi="仿宋_GB2312" w:cs="仿宋_GB2312" w:eastAsia="仿宋_GB2312"/>
                      <w:sz w:val="24"/>
                    </w:rPr>
                    <w:t>4分，规上企业数量达标得2分，每少1家公司扣0.5分，少1家规上企业扣1分，扣完为止</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系统培训</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分站点人员操作培训</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每季度不少于</w:t>
                  </w:r>
                  <w:r>
                    <w:rPr>
                      <w:rFonts w:ascii="仿宋_GB2312" w:hAnsi="仿宋_GB2312" w:cs="仿宋_GB2312" w:eastAsia="仿宋_GB2312"/>
                      <w:sz w:val="24"/>
                    </w:rPr>
                    <w:t>1次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每季度完成得</w:t>
                  </w:r>
                  <w:r>
                    <w:rPr>
                      <w:rFonts w:ascii="仿宋_GB2312" w:hAnsi="仿宋_GB2312" w:cs="仿宋_GB2312" w:eastAsia="仿宋_GB2312"/>
                      <w:sz w:val="24"/>
                    </w:rPr>
                    <w:t>2分，少1次扣1分，扣完为止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劳务经纪人操作培训</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每季度不少于</w:t>
                  </w:r>
                  <w:r>
                    <w:rPr>
                      <w:rFonts w:ascii="仿宋_GB2312" w:hAnsi="仿宋_GB2312" w:cs="仿宋_GB2312" w:eastAsia="仿宋_GB2312"/>
                      <w:sz w:val="24"/>
                    </w:rPr>
                    <w:t>1次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每季度完成得</w:t>
                  </w:r>
                  <w:r>
                    <w:rPr>
                      <w:rFonts w:ascii="仿宋_GB2312" w:hAnsi="仿宋_GB2312" w:cs="仿宋_GB2312" w:eastAsia="仿宋_GB2312"/>
                      <w:sz w:val="24"/>
                    </w:rPr>
                    <w:t>2分，少1次扣1分，扣完为止</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6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品牌宣传</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就业政策宣传</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每年不少于</w:t>
                  </w:r>
                  <w:r>
                    <w:rPr>
                      <w:rFonts w:ascii="仿宋_GB2312" w:hAnsi="仿宋_GB2312" w:cs="仿宋_GB2312" w:eastAsia="仿宋_GB2312"/>
                      <w:sz w:val="24"/>
                    </w:rPr>
                    <w:t>24次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每完成</w:t>
                  </w:r>
                  <w:r>
                    <w:rPr>
                      <w:rFonts w:ascii="仿宋_GB2312" w:hAnsi="仿宋_GB2312" w:cs="仿宋_GB2312" w:eastAsia="仿宋_GB2312"/>
                      <w:sz w:val="24"/>
                    </w:rPr>
                    <w:t>6次得1分，共6分，少3次扣1分，扣完为止</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实地走访宣传</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每年实地走访企业、高校宣讲推广本平台不少于</w:t>
                  </w:r>
                  <w:r>
                    <w:rPr>
                      <w:rFonts w:ascii="仿宋_GB2312" w:hAnsi="仿宋_GB2312" w:cs="仿宋_GB2312" w:eastAsia="仿宋_GB2312"/>
                      <w:sz w:val="24"/>
                    </w:rPr>
                    <w:t>50次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 xml:space="preserve">50次得6分，每少5次扣1分，扣完为止  </w:t>
                  </w:r>
                </w:p>
              </w:tc>
            </w:tr>
            <w:tr>
              <w:tc>
                <w:tcPr>
                  <w:tcW w:type="dxa" w:w="261"/>
                  <w:vMerge/>
                  <w:tcBorders>
                    <w:top w:val="none" w:color="000000" w:sz="4"/>
                    <w:left w:val="single" w:color="000000" w:sz="4"/>
                    <w:bottom w:val="single" w:color="000000" w:sz="4"/>
                    <w:right w:val="single" w:color="000000" w:sz="4"/>
                  </w:tcBorders>
                </w:tcPr>
                <w:p/>
              </w:tc>
              <w:tc>
                <w:tcPr>
                  <w:tcW w:type="dxa" w:w="654"/>
                  <w:vMerge/>
                  <w:tcBorders>
                    <w:top w:val="none" w:color="000000" w:sz="4"/>
                    <w:left w:val="single" w:color="000000" w:sz="4"/>
                    <w:bottom w:val="single" w:color="000000" w:sz="4"/>
                    <w:right w:val="single" w:color="000000" w:sz="4"/>
                  </w:tcBorders>
                </w:tc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线上宣传推广</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通过电话、微信方式推广本平台每年不少于</w:t>
                  </w:r>
                  <w:r>
                    <w:rPr>
                      <w:rFonts w:ascii="仿宋_GB2312" w:hAnsi="仿宋_GB2312" w:cs="仿宋_GB2312" w:eastAsia="仿宋_GB2312"/>
                      <w:sz w:val="24"/>
                    </w:rPr>
                    <w:t>1000次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w:t>
                  </w:r>
                  <w:r>
                    <w:rPr>
                      <w:rFonts w:ascii="仿宋_GB2312" w:hAnsi="仿宋_GB2312" w:cs="仿宋_GB2312" w:eastAsia="仿宋_GB2312"/>
                      <w:sz w:val="24"/>
                    </w:rPr>
                    <w:t>1000次得8分，每少100次扣1分，扣完为止</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成果报告</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数据报告</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每季度一次阶段性运营数据报告</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8分</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每季度完成得</w:t>
                  </w:r>
                  <w:r>
                    <w:rPr>
                      <w:rFonts w:ascii="仿宋_GB2312" w:hAnsi="仿宋_GB2312" w:cs="仿宋_GB2312" w:eastAsia="仿宋_GB2312"/>
                      <w:sz w:val="24"/>
                    </w:rPr>
                    <w:t>2分，少一次扣4分，扣完为止</w:t>
                  </w:r>
                </w:p>
              </w:tc>
            </w:tr>
          </w:tbl>
          <w:p>
            <w:pPr>
              <w:pStyle w:val="null3"/>
              <w:ind w:firstLine="560"/>
              <w:jc w:val="left"/>
            </w:pPr>
            <w:r>
              <w:rPr>
                <w:rFonts w:ascii="仿宋_GB2312" w:hAnsi="仿宋_GB2312" w:cs="仿宋_GB2312" w:eastAsia="仿宋_GB2312"/>
              </w:rPr>
              <w:t xml:space="preserve"> </w:t>
            </w:r>
          </w:p>
          <w:p>
            <w:pPr>
              <w:pStyle w:val="null3"/>
              <w:ind w:firstLine="560"/>
              <w:jc w:val="left"/>
            </w:pPr>
            <w:r>
              <w:rPr>
                <w:rFonts w:ascii="仿宋_GB2312" w:hAnsi="仿宋_GB2312" w:cs="仿宋_GB2312" w:eastAsia="仿宋_GB2312"/>
              </w:rPr>
              <w:t xml:space="preserve"> </w:t>
            </w:r>
          </w:p>
          <w:p>
            <w:pPr>
              <w:pStyle w:val="null3"/>
              <w:ind w:firstLine="560"/>
              <w:jc w:val="left"/>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游仙区人力资源服务产业园（线上园）</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按国家有关规定以及本项目采购磋商文件的质量要求和技术指标或者成交供应商的响应文件及承诺等进行验收，验收时按照采购合同约定的每一项内容的履约情况进行确认。</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1、预付款，合同签订后10个工作日内，达到付款条件起10日内，支付合同总金额的50.00%</w:t>
            </w:r>
          </w:p>
          <w:p>
            <w:pPr>
              <w:pStyle w:val="null3"/>
              <w:jc w:val="left"/>
            </w:pPr>
            <w:r>
              <w:rPr>
                <w:rFonts w:ascii="仿宋_GB2312" w:hAnsi="仿宋_GB2312" w:cs="仿宋_GB2312" w:eastAsia="仿宋_GB2312"/>
              </w:rPr>
              <w:t>2、尾款，完成本项目服务内容，年度考核优秀的，达到付款条件起10日内，支付合同总金额的50.00%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1、★投标报价要求 （1）供应商的报价，应当是本项目采购范围和采购文件及合同条款上所列的各项内容中所述的全部，不得以任何理由予以重复。 （2）供应商不得期望通过索赔等方式获取补偿，否则，除可能遭到拒绝外，还可能将被作为不良行为记录在案，并可能影响其以后参加政府采购的项目投标。各供应商在报价时，应充分考虑报价的风险。 2、其他要求 （1）、供应商根据本项目实际情况提供的服务方案包含但不限于：①平台运营方案及日常管理方案；②项目进度、运营计划及岗位工作职责；③招商推广方案；④品牌宣传方案⑤分站点建立及培训方案 （2）、供应商根据本项目实际情况提供的项目重难点分析、应对措施及相关合理化建议包含但不限于：①对本项目的分析理解，在响应文件中详细说明项目重点难点分析和提出解决方案、合理化建议并且从全市人力资源服务的角度分析本项目；②线上园舆情处理方案，即对用户反馈及时处理的保障方案中，针对民生诉求、信访等不同渠道来源的用户反馈，根据用户反馈渠道来源特点做出不同的解决方案及处理措施，并举出案例说明。 （3）、供应商根据本项目实际情况提供的项目管理制度方案包含但不限于：①服务人员管理制度；②日常管理服务制度; ③园区资料台账管理制度；④入驻企业管理制度。 （4）、供应商根据本项目实际情况提供的应急及后续服务方案包含但不限于：包括但不限于①应急情况分析；②应急人员安排方案；③应急处理方法；④风险防控制度及组织保障措施；⑤后续服务实施方案；⑥响应时间及一般问题处理完成时间。 （5）、人员配置：（1）项目负责人（1人）（2）技术负责人（1人）（3）其他团队人员 （6）、履约能力：2022年1月1日（含）至今有类似业绩（人力资源服务运营管理）。 3、其他相关事宜 （1）其他未尽事宜，由采购人与成交供应商双方在采购合同中约定。 （2）在本采购文件中没有提及的与本项目履约切实相关的事宜，在采购人与成交供应商订立合同时按明细约定或后续补充约定（约定的内容须符合国家相关法律法规的规定）。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磋商小组可以根据采购文件和磋商情况实质性变动第三章“技术、服务及其他要求”，但不得变动采购文件中的其他内容。实质性变动的内容，须经采购人代表确认。</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磋商小组可以根据采购文件和磋商情况实质性变动第七章“拟签订采购合同文本"，但不得变动采购文件中的其他内容。实质性变动的内容，须经采购人代表确认。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上传有效期内的营业执照副本扫描件，按要求填写《投标（响应）函》完成承诺并进行电子签章。（提供具有独立承担民事责任能力的证明材料（法人或其他组织的营业执照（或法人证书）或执业许可证明材料；自然人的则为身份证）。供应商需在使用投标(响应)客户端编制响应文件时按要求上传相应证明文件并进行电子签章。</w:t>
            </w:r>
          </w:p>
        </w:tc>
        <w:tc>
          <w:tcPr>
            <w:tcW w:type="dxa" w:w="1910"/>
          </w:tcPr>
          <w:p>
            <w:pPr>
              <w:pStyle w:val="null3"/>
              <w:jc w:val="left"/>
            </w:pPr>
            <w:r>
              <w:rPr>
                <w:rFonts w:ascii="仿宋_GB2312" w:hAnsi="仿宋_GB2312" w:cs="仿宋_GB2312" w:eastAsia="仿宋_GB2312"/>
              </w:rPr>
              <w:t>响应文件封面,供应商应提交的相关资格证明材料.docx,投标（响应）函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供应商、供应商的单位法定代表人、主要负责人在参加本次政府采购活动前三年内无行贿犯罪记录</w:t>
            </w:r>
          </w:p>
        </w:tc>
        <w:tc>
          <w:tcPr>
            <w:tcW w:type="dxa" w:w="3322"/>
          </w:tcPr>
          <w:p>
            <w:pPr>
              <w:pStyle w:val="null3"/>
              <w:jc w:val="left"/>
            </w:pPr>
            <w:r>
              <w:rPr>
                <w:rFonts w:ascii="仿宋_GB2312" w:hAnsi="仿宋_GB2312" w:cs="仿宋_GB2312" w:eastAsia="仿宋_GB2312"/>
              </w:rPr>
              <w:t>供应商应提供公司、法定代表人、主要负责人在前三年内无行贿犯罪记录的承诺函原件。（格式自拟）</w:t>
            </w:r>
          </w:p>
        </w:tc>
        <w:tc>
          <w:tcPr>
            <w:tcW w:type="dxa" w:w="1910"/>
          </w:tcPr>
          <w:p>
            <w:pPr>
              <w:pStyle w:val="null3"/>
              <w:jc w:val="left"/>
            </w:pPr>
            <w:r>
              <w:rPr>
                <w:rFonts w:ascii="仿宋_GB2312" w:hAnsi="仿宋_GB2312" w:cs="仿宋_GB2312" w:eastAsia="仿宋_GB2312"/>
              </w:rPr>
              <w:t>供应商、供应商的单位法定代表人、主要负责人在参加本次政府采购活动前三年内无行贿犯罪记录.docx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货物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商务要求</w:t>
            </w:r>
          </w:p>
        </w:tc>
        <w:tc>
          <w:tcPr>
            <w:tcW w:type="dxa" w:w="3322"/>
          </w:tcPr>
          <w:p>
            <w:pPr>
              <w:pStyle w:val="null3"/>
              <w:jc w:val="left"/>
            </w:pPr>
            <w:r>
              <w:rPr>
                <w:rFonts w:ascii="仿宋_GB2312" w:hAnsi="仿宋_GB2312" w:cs="仿宋_GB2312" w:eastAsia="仿宋_GB2312"/>
              </w:rPr>
              <w:t>供应商需在项目电子化交易系统中按要求填写《商务应答表》并进行电子签章。</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服务要求</w:t>
            </w:r>
          </w:p>
        </w:tc>
        <w:tc>
          <w:tcPr>
            <w:tcW w:type="dxa" w:w="3322"/>
          </w:tcPr>
          <w:p>
            <w:pPr>
              <w:pStyle w:val="null3"/>
              <w:jc w:val="left"/>
            </w:pPr>
            <w:r>
              <w:rPr>
                <w:rFonts w:ascii="仿宋_GB2312" w:hAnsi="仿宋_GB2312" w:cs="仿宋_GB2312" w:eastAsia="仿宋_GB2312"/>
              </w:rPr>
              <w:t>供应商需在项目电子化交易系统中按要求填写《服务应答表》并进行电子签章</w:t>
            </w:r>
          </w:p>
        </w:tc>
        <w:tc>
          <w:tcPr>
            <w:tcW w:type="dxa" w:w="1910"/>
          </w:tcPr>
          <w:p>
            <w:pPr>
              <w:pStyle w:val="null3"/>
              <w:jc w:val="left"/>
            </w:pPr>
            <w:r>
              <w:rPr>
                <w:rFonts w:ascii="仿宋_GB2312" w:hAnsi="仿宋_GB2312" w:cs="仿宋_GB2312" w:eastAsia="仿宋_GB2312"/>
              </w:rPr>
              <w:t>服务应答表.docx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是否满足采购文件第三章实质性要求</w:t>
            </w:r>
          </w:p>
        </w:tc>
        <w:tc>
          <w:tcPr>
            <w:tcW w:type="dxa" w:w="1910"/>
          </w:tcPr>
          <w:p>
            <w:pPr>
              <w:pStyle w:val="null3"/>
              <w:jc w:val="left"/>
            </w:pPr>
            <w:r>
              <w:rPr>
                <w:rFonts w:ascii="仿宋_GB2312" w:hAnsi="仿宋_GB2312" w:cs="仿宋_GB2312" w:eastAsia="仿宋_GB2312"/>
              </w:rPr>
              <w:t>实质性要求承诺函.docx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供应商根据本项目实际情况提供的服务方案包含但不限于：①平台运营方案及日常管理方案；②项目进度、运营计划及岗位工作职责；③招商推广方案；④品牌宣传方案⑤分站点建立及培训方案。以上内容满足采购项目需求的得35分，每有一项内容缺失的扣7分，每有一处内容存在不足或缺陷扣3.5分。单项内容要素扣减分值不超过7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项目重难点分析、应对措施及相关合理化建议</w:t>
            </w:r>
          </w:p>
        </w:tc>
        <w:tc>
          <w:tcPr>
            <w:tcW w:type="dxa" w:w="2575"/>
          </w:tcPr>
          <w:p>
            <w:pPr>
              <w:pStyle w:val="null3"/>
              <w:jc w:val="left"/>
            </w:pPr>
            <w:r>
              <w:rPr>
                <w:rFonts w:ascii="仿宋_GB2312" w:hAnsi="仿宋_GB2312" w:cs="仿宋_GB2312" w:eastAsia="仿宋_GB2312"/>
              </w:rPr>
              <w:t>供应商根据本项目实际情况提供的项目重点难点分析、应对措施及相关的合理化建议包括但不限于：①对本项目的分析理解，在响应文件中详细说明项目重点难点分析和提出解决方案、合理化建议并且从全市人力资源服务的角度分析本项目；②线上园舆情处理方案，即对用户反馈及时处理的保障方案中，针对民生诉求、信访等不同渠道来源的用户反馈，根据用户反馈渠道来源特点做出不同的解决方案及处理措施，并举例说明。以上内容满足采购项目需求的得10分，每有一项内容缺失的扣5分，每有一处内容存在不足或缺陷扣2.5分，单项内容要素扣减分值不超过5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项目管理制度</w:t>
            </w:r>
          </w:p>
        </w:tc>
        <w:tc>
          <w:tcPr>
            <w:tcW w:type="dxa" w:w="2575"/>
          </w:tcPr>
          <w:p>
            <w:pPr>
              <w:pStyle w:val="null3"/>
              <w:jc w:val="left"/>
            </w:pPr>
            <w:r>
              <w:rPr>
                <w:rFonts w:ascii="仿宋_GB2312" w:hAnsi="仿宋_GB2312" w:cs="仿宋_GB2312" w:eastAsia="仿宋_GB2312"/>
              </w:rPr>
              <w:t>供应商根据本项目实际情况提供的项目管理制度方案包括但不限于①服务人员管理制度；②日常管理服务制度;③园区资料台账管理制度④入驻企业管理制度。以上内容满足采购项目需求的得8分，每有一项内容缺失的扣2分，每有一处内容存在不足或缺陷扣1分，单项内容要素扣减分值不超过2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应急及后续服务方案</w:t>
            </w:r>
          </w:p>
        </w:tc>
        <w:tc>
          <w:tcPr>
            <w:tcW w:type="dxa" w:w="2575"/>
          </w:tcPr>
          <w:p>
            <w:pPr>
              <w:pStyle w:val="null3"/>
              <w:jc w:val="left"/>
            </w:pPr>
            <w:r>
              <w:rPr>
                <w:rFonts w:ascii="仿宋_GB2312" w:hAnsi="仿宋_GB2312" w:cs="仿宋_GB2312" w:eastAsia="仿宋_GB2312"/>
              </w:rPr>
              <w:t>供应商根据本项目实际情况提供的应急及售后服务方案包括但不限于①应急情况分析；②应急人员安排方案；③应急处理方法；④风险防控制度及组织保障措施；⑤后续服务实施方案；⑥响应时间及一般问题处理完成时间。以上内容满足采购项目需求的得12分，每有一项内容缺失的扣2分，每有一处内容存在不足或缺陷扣1分，单项内容要素扣减分值不超过2分，扣完为止。 注：(1)以上内容完全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④表述规范、含义准确。（2）①不足具体是指：对应单项中的内容缺失（不完整）、与对应单项的要求缺少重要节点（如仅有框架或标题、单项内容仅有复制招标内容的要求、涉及内容无重点）；②缺陷具体是指：单项方案中出现套用其他项目方案或内容、内容中出现前后描述不一致现象或语言描述出现有错误、内容涉及适用的规范及标准（方法）出现错误、实施地点区域错误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1、项目负责人（1人）：具有一级人力资源管理师得4分，最多得4分。 2、技术负责人（1人）：具有二级人力资源管理师，得2分，最多得2分。 3、供应商拟投入本项目的团队人员：每有一名具有人力资源管理师证书得1分，最多得3分。 注：提供上述人员的相关证书复印件以及在职证明作为证明材料，否则不得分。以上人员不重复计分。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从2022年1月1日（含）至今有类似业绩（人力资源服务运营管理）的，每有一个得3分，最多得6分，未提供的不得分。（提供合同或中标/成交通知书复印件并加盖供应商公（鲜）章，时间以合同签订时间为准。否则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需要提供的其他材料.docx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投标报价得分＝（评标基准价/投标报价）×20（注：满足磋商文件要求且投标价格最低的投标报价为评标基准价。）</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详见附件：供应商、供应商的单位法定代表人、主要负责人在参加本次政府采购活动前三年内无行贿犯罪记录.docx</w:t>
      </w:r>
    </w:p>
    <w:p>
      <w:pPr>
        <w:pStyle w:val="null3"/>
        <w:ind w:firstLine="960"/>
        <w:jc w:val="left"/>
      </w:pPr>
      <w:r>
        <w:rPr>
          <w:rFonts w:ascii="仿宋_GB2312" w:hAnsi="仿宋_GB2312" w:cs="仿宋_GB2312" w:eastAsia="仿宋_GB2312"/>
        </w:rPr>
        <w:t>详见附件：实质性要求承诺函.docx</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