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440801-2025-01763</w:t>
      </w:r>
    </w:p>
    <w:p>
      <w:pPr>
        <w:pStyle w:val="null3"/>
        <w:jc w:val="center"/>
        <w:outlineLvl w:val="3"/>
      </w:pPr>
      <w:r>
        <w:rPr>
          <w:sz w:val="24"/>
          <w:b/>
        </w:rPr>
        <w:t>采购项目编号：</w:t>
      </w:r>
      <w:r>
        <w:rPr>
          <w:sz w:val="24"/>
          <w:b/>
        </w:rPr>
        <w:t>ZLZFCG2025-005</w:t>
      </w:r>
    </w:p>
    <w:p>
      <w:pPr>
        <w:pStyle w:val="null3"/>
        <w:jc w:val="center"/>
        <w:outlineLvl w:val="3"/>
      </w:pPr>
      <w:r>
        <w:rPr>
          <w:sz w:val="24"/>
          <w:b/>
        </w:rPr>
        <w:t>项目名称：</w:t>
      </w:r>
      <w:r>
        <w:rPr>
          <w:sz w:val="24"/>
          <w:b/>
        </w:rPr>
        <w:t>湛江市中心城区风貌提升概念规划、导控及技术咨询服务</w:t>
      </w:r>
    </w:p>
    <w:p>
      <w:pPr>
        <w:pStyle w:val="null3"/>
        <w:jc w:val="center"/>
        <w:outlineLvl w:val="3"/>
      </w:pPr>
      <w:r>
        <w:rPr>
          <w:sz w:val="24"/>
          <w:b/>
        </w:rPr>
        <w:t>采购人：</w:t>
      </w:r>
      <w:r>
        <w:rPr>
          <w:sz w:val="24"/>
          <w:b/>
        </w:rPr>
        <w:t>湛江市自然资源局</w:t>
      </w:r>
    </w:p>
    <w:p>
      <w:pPr>
        <w:pStyle w:val="null3"/>
        <w:jc w:val="center"/>
        <w:outlineLvl w:val="3"/>
      </w:pPr>
      <w:r>
        <w:rPr>
          <w:sz w:val="24"/>
          <w:b/>
        </w:rPr>
        <w:t>采购代理机构：</w:t>
      </w:r>
      <w:r>
        <w:rPr>
          <w:sz w:val="24"/>
          <w:b/>
        </w:rPr>
        <w:t>中量工程咨询有限公司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中量工程咨询有限公司</w:t>
      </w:r>
      <w:r>
        <w:rPr/>
        <w:t>受</w:t>
      </w:r>
      <w:r>
        <w:rPr/>
        <w:t>湛江市自然资源局</w:t>
      </w:r>
      <w:r>
        <w:rPr/>
        <w:t>的委托，采用</w:t>
      </w:r>
      <w:r>
        <w:rPr/>
        <w:t>竞争性磋商</w:t>
      </w:r>
      <w:r>
        <w:rPr/>
        <w:t>方式组织采购</w:t>
      </w:r>
      <w:r>
        <w:rPr/>
        <w:t>湛江市中心城区风貌提升概念规划、导控及技术咨询服务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湛江市中心城区风貌提升概念规划、导控及技术咨询服务</w:t>
      </w:r>
    </w:p>
    <w:p>
      <w:pPr>
        <w:pStyle w:val="null3"/>
        <w:ind w:firstLine="480"/>
      </w:pPr>
      <w:r>
        <w:rPr/>
        <w:t>采购计划编号：</w:t>
      </w:r>
      <w:r>
        <w:rPr/>
        <w:t>440801-2025-01763</w:t>
      </w:r>
    </w:p>
    <w:p>
      <w:pPr>
        <w:pStyle w:val="null3"/>
        <w:ind w:firstLine="480"/>
      </w:pPr>
      <w:r>
        <w:rPr/>
        <w:t>采购项目编号：</w:t>
      </w:r>
      <w:r>
        <w:rPr/>
        <w:t>ZLZFCG2025-005</w:t>
      </w:r>
    </w:p>
    <w:p>
      <w:pPr>
        <w:pStyle w:val="null3"/>
        <w:ind w:firstLine="480"/>
      </w:pPr>
      <w:r>
        <w:rPr/>
        <w:t>采购方式：</w:t>
      </w:r>
      <w:r>
        <w:rPr/>
        <w:t>竞争性磋商</w:t>
      </w:r>
    </w:p>
    <w:p>
      <w:pPr>
        <w:pStyle w:val="null3"/>
        <w:ind w:firstLine="480"/>
      </w:pPr>
      <w:r>
        <w:rPr/>
        <w:t>预算金额：</w:t>
      </w:r>
      <w:r>
        <w:rPr/>
        <w:t>3,650,000.00</w:t>
      </w:r>
      <w:r>
        <w:rPr/>
        <w:t>元</w:t>
      </w:r>
    </w:p>
    <w:p>
      <w:pPr>
        <w:pStyle w:val="null3"/>
        <w:outlineLvl w:val="3"/>
      </w:pPr>
      <w:r>
        <w:rPr>
          <w:sz w:val="24"/>
          <w:b/>
        </w:rPr>
        <w:t>2.项目内容及需求情况（采购项目技术规格、参数及要求）</w:t>
      </w:r>
    </w:p>
    <w:p>
      <w:pPr>
        <w:pStyle w:val="null3"/>
      </w:pPr>
      <w:r>
        <w:rPr/>
        <w:t>采购包1(湛江市中心城区风貌提升概念规划、导控及技术咨询服务):</w:t>
      </w:r>
    </w:p>
    <w:p>
      <w:pPr>
        <w:pStyle w:val="null3"/>
      </w:pPr>
      <w:r>
        <w:rPr/>
        <w:t>采购包预算金额：3,650,000.00元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区域规划和设计服务</w:t>
            </w:r>
          </w:p>
        </w:tc>
        <w:tc>
          <w:tcPr>
            <w:tcW w:type="dxa" w:w="2136"/>
          </w:tcPr>
          <w:p>
            <w:pPr>
              <w:pStyle w:val="null3"/>
            </w:pPr>
            <w:r>
              <w:rPr/>
              <w:t>湛江市中心城区风貌提升概念规划、导控及技术咨询服务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中心城区风貌提升概念规划与实施导控计划完成时间为合同签订之日起150个日历天（采购人确认、征求意见、公示以及政府上会审批等时间不包括在设计期限内。）；中心城区风貌提升技术咨询服务时间为合同签订之日起2年内。</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2024年至今任意一个月依法缴纳税收（纳税凭证）和依法缴纳社会保险的证明（缴费凭证）复印件,如依法免税或不需要缴纳社会保障资金的，应提供相应文件证明复印件;或提供《湛江市政府采购供应商资格信用承诺函》（格式见公告附件）</w:t>
      </w:r>
    </w:p>
    <w:p>
      <w:pPr>
        <w:pStyle w:val="null3"/>
      </w:pPr>
      <w:r>
        <w:rPr/>
        <w:t>3）具有良好的商业信誉和健全的财务会计制度：提供2023或2024年度的财务审计报告或基本开户行银行出具的资信证明材料复印件,若供应商注册成立不满一年的，提供开业以来任意1个月的财务会计报表，或提供《湛江市政府采购供应商资格信用承诺函》（格式见公告附件）。</w:t>
      </w:r>
    </w:p>
    <w:p>
      <w:pPr>
        <w:pStyle w:val="null3"/>
      </w:pPr>
      <w:r>
        <w:rPr/>
        <w:t>4）履行合同所必需的设备和专业技术能力：供应商提供具有履行合同所必需的设备和专业技术能力的证明材料或提供书面承诺声明函（格式自拟）。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采购包1（湛江市中心城区风貌提升概念规划、导控及技术咨询服务）：</w:t>
      </w:r>
      <w:r>
        <w:rPr/>
        <w:t>本项目非专门面向中小企业。</w:t>
      </w:r>
    </w:p>
    <w:p>
      <w:pPr>
        <w:pStyle w:val="null3"/>
        <w:outlineLvl w:val="3"/>
      </w:pPr>
      <w:r>
        <w:rPr>
          <w:sz w:val="24"/>
          <w:b/>
        </w:rPr>
        <w:t>3.本项目特定的资格要求：</w:t>
      </w:r>
    </w:p>
    <w:p>
      <w:pPr>
        <w:pStyle w:val="null3"/>
      </w:pPr>
      <w:r>
        <w:rPr/>
        <w:t>采购包1（湛江市中心城区风貌提升概念规划、导控及技术咨询服务）：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pPr>
        <w:pStyle w:val="null3"/>
      </w:pPr>
      <w:r>
        <w:rPr/>
        <w:t>3)本项目不接受联合体响应。</w:t>
      </w:r>
    </w:p>
    <w:p>
      <w:pPr>
        <w:pStyle w:val="null3"/>
      </w:pPr>
      <w:r>
        <w:rPr/>
        <w:t>4)供应商须具有行政主管部门核发的城乡规划（国土空间规划）编制甲级资质证书或城乡规划编制甲级资质证书，提供证书复印件加盖公章。注：①按照自然资源部2023年12月29日《自然资源部办公厅关于城乡规划编制单位甲级资质证书延期有关事宜的通知》（自然资办函〔2023〕2717号），自然资源部核发的有效期至2023年12月31日的城乡规划编制单位甲级资质证书，有效期延长至2025年12月31日。如相关主管部门有最新政策，按最新政策执行。②如国家另有规定则从其规定。</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湛江市自然资源局</w:t>
      </w:r>
    </w:p>
    <w:p>
      <w:pPr>
        <w:pStyle w:val="null3"/>
        <w:ind w:firstLine="480"/>
      </w:pPr>
      <w:r>
        <w:rPr/>
        <w:t>地址：</w:t>
      </w:r>
      <w:r>
        <w:rPr/>
        <w:t>湛江市军民路29号</w:t>
      </w:r>
    </w:p>
    <w:p>
      <w:pPr>
        <w:pStyle w:val="null3"/>
        <w:ind w:firstLine="480"/>
      </w:pPr>
      <w:r>
        <w:rPr/>
        <w:t>联系方式：</w:t>
      </w:r>
      <w:r>
        <w:rPr/>
        <w:t xml:space="preserve"> 0759-3399190</w:t>
      </w:r>
    </w:p>
    <w:p>
      <w:pPr>
        <w:pStyle w:val="null3"/>
        <w:outlineLvl w:val="3"/>
      </w:pPr>
      <w:r>
        <w:rPr>
          <w:sz w:val="24"/>
          <w:b/>
        </w:rPr>
        <w:t>2.采购代理机构信息</w:t>
      </w:r>
    </w:p>
    <w:p>
      <w:pPr>
        <w:pStyle w:val="null3"/>
        <w:ind w:firstLine="480"/>
      </w:pPr>
      <w:r>
        <w:rPr/>
        <w:t>名称：</w:t>
      </w:r>
      <w:r>
        <w:rPr/>
        <w:t>中量工程咨询有限公司</w:t>
      </w:r>
    </w:p>
    <w:p>
      <w:pPr>
        <w:pStyle w:val="null3"/>
        <w:ind w:firstLine="480"/>
      </w:pPr>
      <w:r>
        <w:rPr/>
        <w:t xml:space="preserve"> 地址：</w:t>
      </w:r>
      <w:r>
        <w:rPr/>
        <w:t>湛江市人民大道中45号祺祥大厦三楼</w:t>
      </w:r>
    </w:p>
    <w:p>
      <w:pPr>
        <w:pStyle w:val="null3"/>
        <w:ind w:firstLine="480"/>
      </w:pPr>
      <w:r>
        <w:rPr/>
        <w:t xml:space="preserve"> 联系方式：</w:t>
      </w:r>
      <w:r>
        <w:rPr/>
        <w:t>0759-3289979</w:t>
      </w:r>
    </w:p>
    <w:p>
      <w:pPr>
        <w:pStyle w:val="null3"/>
        <w:outlineLvl w:val="3"/>
      </w:pPr>
      <w:r>
        <w:rPr>
          <w:sz w:val="24"/>
          <w:b/>
        </w:rPr>
        <w:t xml:space="preserve"> 3.项目联系方式</w:t>
      </w:r>
    </w:p>
    <w:p>
      <w:pPr>
        <w:pStyle w:val="null3"/>
        <w:ind w:firstLine="480"/>
      </w:pPr>
      <w:r>
        <w:rPr/>
        <w:t xml:space="preserve"> 项目联系人：</w:t>
      </w:r>
      <w:r>
        <w:rPr/>
        <w:t>中量工程咨询有限公司</w:t>
      </w:r>
    </w:p>
    <w:p>
      <w:pPr>
        <w:pStyle w:val="null3"/>
        <w:ind w:firstLine="480"/>
      </w:pPr>
      <w:r>
        <w:rPr/>
        <w:t xml:space="preserve"> 电话：</w:t>
      </w:r>
      <w:r>
        <w:rPr/>
        <w:t>0759-3289979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中量工程咨询有限公司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w:t>
      </w:r>
      <w:r>
        <w:rPr>
          <w:sz w:val="28"/>
          <w:b/>
        </w:rPr>
        <w:t>背景</w:t>
      </w:r>
      <w:r>
        <w:rPr>
          <w:sz w:val="28"/>
          <w:b/>
        </w:rPr>
        <w:t>：</w:t>
      </w:r>
    </w:p>
    <w:p>
      <w:pPr>
        <w:pStyle w:val="null3"/>
        <w:ind w:firstLine="560"/>
        <w:jc w:val="both"/>
      </w:pPr>
      <w:r>
        <w:rPr/>
        <w:t>湛江城市本底资源丰厚，</w:t>
      </w:r>
      <w:r>
        <w:rPr/>
        <w:t>“一湾两岸”现代化滨海城市格局已初具雏形，是省内最具备打造地中海风情的城市。在城市快速建设发展过程中，湛江中心城区风貌对比国内、国际有名的滨海城市，还存在“面子”不靓、“里子”不实、特色不显等突出问题。风貌规划不系统、景观碎片化、辨识度不足、对外迎宾道整体风貌水平不高、老城街区景观品相有待提升、城区色系杂乱无章等，城市形象不够独特深刻。</w:t>
      </w:r>
    </w:p>
    <w:p>
      <w:pPr>
        <w:pStyle w:val="null3"/>
        <w:ind w:firstLine="560"/>
        <w:jc w:val="both"/>
      </w:pPr>
      <w:r>
        <w:rPr/>
        <w:t>根据</w:t>
      </w:r>
      <w:r>
        <w:rPr/>
        <w:t>3</w:t>
      </w:r>
      <w:r>
        <w:rPr/>
        <w:t>月</w:t>
      </w:r>
      <w:r>
        <w:rPr/>
        <w:t>19</w:t>
      </w:r>
      <w:r>
        <w:rPr/>
        <w:t>日在湛江市中心城区风貌提升工作会议的工作部署，会议要求湛江中心城区</w:t>
      </w:r>
      <w:r>
        <w:rPr/>
        <w:t>5</w:t>
      </w:r>
      <w:r>
        <w:rPr/>
        <w:t>个行政区聚焦“四个圈层”提升风貌层次：以“现代沿海”为主题打造第一圈层，着力打造现代化海洋城市的典范；以“异乡风情”为主题打造第二圈层，重点在中心城区打造地中海风情、法式风情等；以“历史肌理”为主题打造第三圈层，保留历史城区风情地貌；以“田园风光”为主题打造第四圈层，建好“城市后花园”。为加强规划引领，彰显特色文化，推进精细管理，特开展湛江市中心城区风貌提升概念规划、导控及技术咨询服务工作。</w:t>
      </w:r>
    </w:p>
    <w:p>
      <w:pPr>
        <w:pStyle w:val="null3"/>
        <w:jc w:val="both"/>
      </w:pPr>
      <w:r>
        <w:rPr>
          <w:sz w:val="28"/>
        </w:rPr>
        <w:t>附件</w:t>
      </w:r>
      <w:r>
        <w:rPr>
          <w:sz w:val="28"/>
        </w:rPr>
        <w:t>1:</w:t>
      </w:r>
    </w:p>
    <w:p>
      <w:pPr>
        <w:pStyle w:val="null3"/>
        <w:jc w:val="both"/>
      </w:pPr>
      <w:r>
        <w:drawing>
          <wp:inline distT="0" distR="0" distB="0" distL="0">
            <wp:extent cx="5274310" cy="420519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4205193"/>
                    </a:xfrm>
                    <a:prstGeom prst="rect">
                      <a:avLst/>
                    </a:prstGeom>
                  </pic:spPr>
                </pic:pic>
              </a:graphicData>
            </a:graphic>
          </wp:inline>
        </w:drawing>
      </w:r>
    </w:p>
    <w:p>
      <w:pPr>
        <w:pStyle w:val="null3"/>
      </w:pPr>
      <w:r>
        <w:rPr/>
        <w:t>采购包1（湛江市中心城区风貌提升概念规划、导控及技术咨询服务）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心城区风貌提升概念规划与实施导控计划完成时间为合同签订之日起150个日历天（采购人确认、征求意见、公示以及政府上会审批等时间不包括在设计期限内。）；中心城区风貌提升技术咨询服务时间为合同签订之日起2年内。</w:t>
            </w:r>
          </w:p>
        </w:tc>
      </w:tr>
      <w:tr>
        <w:tc>
          <w:tcPr>
            <w:tcW w:type="dxa" w:w="4153"/>
          </w:tcPr>
          <w:p>
            <w:pPr>
              <w:pStyle w:val="null3"/>
            </w:pPr>
            <w:r>
              <w:rPr/>
              <w:t>标的提供的地点</w:t>
            </w:r>
          </w:p>
        </w:tc>
        <w:tc>
          <w:tcPr>
            <w:tcW w:type="dxa" w:w="4153"/>
          </w:tcPr>
          <w:p>
            <w:pPr>
              <w:pStyle w:val="null3"/>
            </w:pPr>
            <w:r>
              <w:rPr/>
              <w:t>采购人指定服务地点</w:t>
            </w:r>
          </w:p>
        </w:tc>
      </w:tr>
      <w:tr/>
      <w:tr/>
      <w:tr>
        <w:tc>
          <w:tcPr>
            <w:tcW w:type="dxa" w:w="4153"/>
          </w:tcPr>
          <w:p>
            <w:pPr>
              <w:pStyle w:val="null3"/>
            </w:pPr>
            <w:r>
              <w:rPr/>
              <w:t>付款方式</w:t>
            </w:r>
          </w:p>
        </w:tc>
        <w:tc>
          <w:tcPr>
            <w:tcW w:type="dxa" w:w="4153"/>
          </w:tcPr>
          <w:p>
            <w:pPr>
              <w:pStyle w:val="null3"/>
            </w:pPr>
            <w:r>
              <w:rPr/>
              <w:t>第1期为(预付款)：支付比例30%，本项目款项以人民币转账方式支付，规划成果分四期付款：自合同签订之日起30个工作日内，成交供应商提供正式有效的等额发票和项目初步方案后，采购人向财政部门申请支付规划设计费总额的30%给成交供应商。</w:t>
            </w:r>
          </w:p>
          <w:p>
            <w:pPr>
              <w:pStyle w:val="null3"/>
            </w:pPr>
            <w:r>
              <w:rPr/>
              <w:t>第2期为(进度款)：支付比例30%，项目成果提交市发展策略委员会审议通过，并提供正式有效的等额发票后30个工作日内，采购人向财政部门申请支付规划设计费总额的30%给成交供应商。</w:t>
            </w:r>
          </w:p>
          <w:p>
            <w:pPr>
              <w:pStyle w:val="null3"/>
            </w:pPr>
            <w:r>
              <w:rPr/>
              <w:t>第3期为(进度款)：支付比例20%，提交第一年度（签订合同一年后）技术咨询服务报告和提供正式有效的等额发票后30个工作日内，采购人向财政部门申请支付规划设计费总额的20%给成交供应商。</w:t>
            </w:r>
          </w:p>
          <w:p>
            <w:pPr>
              <w:pStyle w:val="null3"/>
            </w:pPr>
            <w:r>
              <w:rPr/>
              <w:t>第4期为(尾款)：支付比例20%，项目最终成果经批准后，并提交第二年度（签订合同两年后）技术咨询服务报告总结和提供正式有效的等额发票后30个工作日内，采购人向财政部门申请支付规划设计费总额的20%给成交供应商。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1期：成交供应商提交的最终成果经过市政府或市政府委托的部门验收确认，以及在服务周期内完成并提供年度咨询服务的工作情况报告。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湛江市中心城区风貌提升概念规划、导控及技术咨询服务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3,650,000.00</w:t>
            </w:r>
          </w:p>
        </w:tc>
        <w:tc>
          <w:tcPr>
            <w:tcW w:type="dxa" w:w="933"/>
          </w:tcPr>
          <w:p>
            <w:pPr>
              <w:pStyle w:val="null3"/>
              <w:jc w:val="right"/>
            </w:pPr>
            <w:r>
              <w:rPr/>
              <w:t>3,650,000.00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湛江市中心城区风貌提升概念规划、导控及技术咨询服务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1.1</w:t>
            </w:r>
            <w:r>
              <w:rPr/>
              <w:t>技术要求</w:t>
            </w:r>
          </w:p>
          <w:p>
            <w:pPr>
              <w:pStyle w:val="null3"/>
              <w:jc w:val="both"/>
            </w:pPr>
            <w:r>
              <w:rPr/>
              <w:t>1.1.1</w:t>
            </w:r>
            <w:r>
              <w:rPr/>
              <w:t>规划范围</w:t>
            </w:r>
          </w:p>
          <w:p>
            <w:pPr>
              <w:pStyle w:val="null3"/>
              <w:jc w:val="both"/>
            </w:pPr>
            <w:r>
              <w:rPr/>
              <w:t>本次工作以中心城区范围作为规划范围，包括赤坎区全域以及霞山区、湛江经济技术开发区、麻章区、坡头区部分地区，总面积</w:t>
            </w:r>
            <w:r>
              <w:rPr/>
              <w:t xml:space="preserve">775.97 </w:t>
            </w:r>
            <w:r>
              <w:rPr/>
              <w:t>平方公里，其中建成区范围</w:t>
            </w:r>
            <w:r>
              <w:rPr/>
              <w:t>113.11</w:t>
            </w:r>
            <w:r>
              <w:rPr/>
              <w:t>平方公里。（详见附件</w:t>
            </w:r>
            <w:r>
              <w:rPr/>
              <w:t>1</w:t>
            </w:r>
            <w:r>
              <w:rPr/>
              <w:t>）</w:t>
            </w:r>
          </w:p>
          <w:p>
            <w:pPr>
              <w:pStyle w:val="null3"/>
              <w:jc w:val="both"/>
            </w:pPr>
            <w:r>
              <w:rPr/>
              <w:t>1.1.2</w:t>
            </w:r>
            <w:r>
              <w:rPr/>
              <w:t>工作内容</w:t>
            </w:r>
          </w:p>
          <w:p>
            <w:pPr>
              <w:pStyle w:val="null3"/>
              <w:jc w:val="both"/>
            </w:pPr>
            <w:r>
              <w:rPr/>
              <w:t>工作一：中心城区风貌提升概念规划与</w:t>
            </w:r>
            <w:r>
              <w:rPr/>
              <w:t>实施导控</w:t>
            </w:r>
          </w:p>
          <w:p>
            <w:pPr>
              <w:pStyle w:val="null3"/>
              <w:jc w:val="both"/>
            </w:pPr>
            <w:r>
              <w:rPr/>
              <w:t>一、概念规划</w:t>
            </w:r>
          </w:p>
          <w:p>
            <w:pPr>
              <w:pStyle w:val="null3"/>
              <w:jc w:val="both"/>
            </w:pPr>
            <w:r>
              <w:rPr/>
              <w:t>1</w:t>
            </w:r>
            <w:r>
              <w:rPr/>
              <w:t>、现状评估：</w:t>
            </w:r>
          </w:p>
          <w:p>
            <w:pPr>
              <w:pStyle w:val="null3"/>
              <w:jc w:val="both"/>
            </w:pPr>
            <w:r>
              <w:rPr/>
              <w:t>（</w:t>
            </w:r>
            <w:r>
              <w:rPr/>
              <w:t>1</w:t>
            </w:r>
            <w:r>
              <w:rPr/>
              <w:t>）特色禀赋识别。综合分析自然地理、土地空间、城市建设、人居环境、历史人文等现状特征，深度剖析现状特征，挖掘资源价值，为后续规划提供依据。</w:t>
            </w:r>
          </w:p>
          <w:p>
            <w:pPr>
              <w:pStyle w:val="null3"/>
              <w:jc w:val="both"/>
            </w:pPr>
            <w:r>
              <w:rPr/>
              <w:t>（</w:t>
            </w:r>
            <w:r>
              <w:rPr/>
              <w:t>2</w:t>
            </w:r>
            <w:r>
              <w:rPr/>
              <w:t>）风貌要素识别。现状风貌评估从城市全景、剪影、天际线、媒体照片等表征城市风貌意向的载体的可识别性和传播力，识别城市的视觉意象和城市感知焦点。创新工作理念和导向，以人的体验为线索进行评估，形成现状总体景观风貌要素及感知反馈，评估影响风貌的正负面因素，并调研访谈市民对城市风貌提升的重点诉求。</w:t>
            </w:r>
          </w:p>
          <w:p>
            <w:pPr>
              <w:pStyle w:val="null3"/>
              <w:jc w:val="both"/>
            </w:pPr>
            <w:r>
              <w:rPr/>
              <w:t>2</w:t>
            </w:r>
            <w:r>
              <w:rPr/>
              <w:t>、愿景构建：</w:t>
            </w:r>
          </w:p>
          <w:p>
            <w:pPr>
              <w:pStyle w:val="null3"/>
              <w:jc w:val="both"/>
            </w:pPr>
            <w:r>
              <w:rPr/>
              <w:t>（</w:t>
            </w:r>
            <w:r>
              <w:rPr/>
              <w:t>1</w:t>
            </w:r>
            <w:r>
              <w:rPr/>
              <w:t>）对标先进案例。剖析国际有名滨海城市在风貌层面的核心竞争力、建设发展路径、空间特色与建设标准等成功经验，从辨识度、美誉度和宜居性等方面提炼高品质滨海风貌城市的共性要素。</w:t>
            </w:r>
          </w:p>
          <w:p>
            <w:pPr>
              <w:pStyle w:val="null3"/>
              <w:jc w:val="both"/>
            </w:pPr>
            <w:r>
              <w:rPr/>
              <w:t>（</w:t>
            </w:r>
            <w:r>
              <w:rPr/>
              <w:t>2</w:t>
            </w:r>
            <w:r>
              <w:rPr/>
              <w:t>）确立目标愿景。基于区域资源禀赋，通过对城市空间特质、景观特征、历史人文特色等内容的梳理、发掘和再创造，提出风貌提升的整体目标和愿景。</w:t>
            </w:r>
          </w:p>
          <w:p>
            <w:pPr>
              <w:pStyle w:val="null3"/>
              <w:jc w:val="both"/>
            </w:pPr>
            <w:r>
              <w:rPr/>
              <w:t>（</w:t>
            </w:r>
            <w:r>
              <w:rPr/>
              <w:t>3</w:t>
            </w:r>
            <w:r>
              <w:rPr/>
              <w:t>）定义“空间基因”。以四大圈层为基础，识别不同类型空间风貌核心特色与风貌管控因子。涵盖秩序（空间秩序、功能秩序、 视觉秩序）、建筑（高度、风格、色彩）、界面（天际线、海岸线、 山脊线）、景观（廊道景观、公园景观、街道景观）等多个领域。</w:t>
            </w:r>
          </w:p>
          <w:p>
            <w:pPr>
              <w:pStyle w:val="null3"/>
              <w:jc w:val="both"/>
            </w:pPr>
            <w:r>
              <w:rPr/>
              <w:t>3</w:t>
            </w:r>
            <w:r>
              <w:rPr/>
              <w:t>、行动落实：</w:t>
            </w:r>
          </w:p>
          <w:p>
            <w:pPr>
              <w:pStyle w:val="null3"/>
              <w:jc w:val="both"/>
            </w:pPr>
            <w:r>
              <w:rPr/>
              <w:t>（</w:t>
            </w:r>
            <w:r>
              <w:rPr/>
              <w:t>1</w:t>
            </w:r>
            <w:r>
              <w:rPr/>
              <w:t>）行动框架。提出中心城区整体风貌发展框架，提出近远期提升发展设想并与近期项目库做衔接。明确市级相关部门、市区两级工作任务权责、确立各区风貌定位与和核心任务工作要求，提出各区协同发展要求。</w:t>
            </w:r>
          </w:p>
          <w:p>
            <w:pPr>
              <w:pStyle w:val="null3"/>
              <w:jc w:val="both"/>
            </w:pPr>
            <w:r>
              <w:rPr/>
              <w:t>（</w:t>
            </w:r>
            <w:r>
              <w:rPr/>
              <w:t>2</w:t>
            </w:r>
            <w:r>
              <w:rPr/>
              <w:t>）全民参与。民生诉求调查、公众宣传与行动倡议；针对群众“急难愁盼”民生改善要点与城市地域性提升亮点做出提升工作统筹。</w:t>
            </w:r>
          </w:p>
          <w:p>
            <w:pPr>
              <w:pStyle w:val="null3"/>
              <w:jc w:val="both"/>
            </w:pPr>
            <w:r>
              <w:rPr/>
              <w:t>二、实施导控</w:t>
            </w:r>
          </w:p>
          <w:p>
            <w:pPr>
              <w:pStyle w:val="null3"/>
              <w:jc w:val="both"/>
            </w:pPr>
            <w:r>
              <w:rPr/>
              <w:t>1</w:t>
            </w:r>
            <w:r>
              <w:rPr/>
              <w:t>、重点要素管理手册：面向日常项目审查管理</w:t>
            </w:r>
          </w:p>
          <w:p>
            <w:pPr>
              <w:pStyle w:val="null3"/>
              <w:jc w:val="both"/>
            </w:pPr>
            <w:r>
              <w:rPr/>
              <w:t>（</w:t>
            </w:r>
            <w:r>
              <w:rPr/>
              <w:t>1</w:t>
            </w:r>
            <w:r>
              <w:rPr/>
              <w:t>）从自资条线管理权责角度。对中心城区整体特色把控提出核心要素管理策略，并结合具体项目审查管理需求，提出务实可行的管理手册、辅助日常方案审查。</w:t>
            </w:r>
          </w:p>
          <w:p>
            <w:pPr>
              <w:pStyle w:val="null3"/>
              <w:jc w:val="both"/>
            </w:pPr>
            <w:r>
              <w:rPr/>
              <w:t>（</w:t>
            </w:r>
            <w:r>
              <w:rPr/>
              <w:t>2</w:t>
            </w:r>
            <w:r>
              <w:rPr/>
              <w:t>）从四大圈层文化基因角度。对城市天际线、山水视廊、蓝绿公共空间、街墙、建筑材质、滨水界面设计、广告店招、夜景灯光等多个维度入手，分要素制定风貌提升管控方案，形成要素化体系化的风貌提升规划指引。</w:t>
            </w:r>
          </w:p>
          <w:p>
            <w:pPr>
              <w:pStyle w:val="null3"/>
              <w:jc w:val="both"/>
            </w:pPr>
            <w:r>
              <w:rPr/>
              <w:t>2</w:t>
            </w:r>
            <w:r>
              <w:rPr/>
              <w:t>、实施行动工具箱：面向项目实施卡点研究</w:t>
            </w:r>
          </w:p>
          <w:p>
            <w:pPr>
              <w:pStyle w:val="null3"/>
              <w:jc w:val="both"/>
            </w:pPr>
            <w:r>
              <w:rPr/>
              <w:t>（</w:t>
            </w:r>
            <w:r>
              <w:rPr/>
              <w:t>1</w:t>
            </w:r>
            <w:r>
              <w:rPr/>
              <w:t>）行动策略建议。紧抓政策窗口，针对城市更新、低效用地再开发区域，借鉴先进地区发展经验，充分导入市场力量探索多元行动项目与实施模式。</w:t>
            </w:r>
          </w:p>
          <w:p>
            <w:pPr>
              <w:pStyle w:val="null3"/>
              <w:jc w:val="both"/>
            </w:pPr>
            <w:r>
              <w:rPr/>
              <w:t>（</w:t>
            </w:r>
            <w:r>
              <w:rPr/>
              <w:t>2</w:t>
            </w:r>
            <w:r>
              <w:rPr/>
              <w:t>）改造路径建议。提出政府主导项目、市场开发项目、自主更新项目等不同类型风貌提升工作建议，为不同类型实施主体提供务实有效工作指导。</w:t>
            </w:r>
          </w:p>
          <w:p>
            <w:pPr>
              <w:pStyle w:val="null3"/>
              <w:jc w:val="both"/>
            </w:pPr>
            <w:r>
              <w:rPr/>
              <w:t>工作二：中心城区风貌提升技术咨询服务（合同签订之日起两年）</w:t>
            </w:r>
          </w:p>
          <w:p>
            <w:pPr>
              <w:pStyle w:val="null3"/>
              <w:jc w:val="both"/>
            </w:pPr>
            <w:r>
              <w:rPr/>
              <w:t>一、风貌提升项目专业技术审查与咨询服务</w:t>
            </w:r>
          </w:p>
          <w:p>
            <w:pPr>
              <w:pStyle w:val="null3"/>
              <w:jc w:val="both"/>
            </w:pPr>
            <w:r>
              <w:rPr/>
              <w:t>1.</w:t>
            </w:r>
            <w:r>
              <w:rPr/>
              <w:t>基于片区系统性衔接、规划条件落实、公共利益保障、空间品质保障等原则，就近两年行动项目在技术层面对统筹协调、品质把控。对风貌提升项目（如街区风貌提升、建筑、公园、道路等），配合政府部门对设计成果进行把关，提供专业咨询意见及审查意见。（咨询意见及审查意见内容详见</w:t>
            </w:r>
            <w:r>
              <w:rPr/>
              <w:t>合同格式</w:t>
            </w:r>
            <w:r>
              <w:rPr/>
              <w:t>附件</w:t>
            </w:r>
            <w:r>
              <w:rPr/>
              <w:t>2</w:t>
            </w:r>
            <w:r>
              <w:rPr/>
              <w:t>）。</w:t>
            </w:r>
          </w:p>
          <w:p>
            <w:pPr>
              <w:pStyle w:val="null3"/>
              <w:jc w:val="both"/>
            </w:pPr>
            <w:r>
              <w:rPr/>
              <w:t>二、风貌提升工作动态协同与统筹整合服务</w:t>
            </w:r>
          </w:p>
          <w:p>
            <w:pPr>
              <w:pStyle w:val="null3"/>
              <w:jc w:val="both"/>
            </w:pPr>
            <w:r>
              <w:rPr/>
              <w:t>1.</w:t>
            </w:r>
            <w:r>
              <w:rPr/>
              <w:t>协助部门统筹协调中心城区空间风貌提升涉及的各类规划设计、各专项规划方案及改造提升工程，进行必要的技术跟踪指导，做好规划层面风貌提升相关工作的统筹整合。</w:t>
            </w:r>
          </w:p>
          <w:p>
            <w:pPr>
              <w:pStyle w:val="null3"/>
              <w:jc w:val="both"/>
            </w:pPr>
            <w:r>
              <w:rPr/>
              <w:t>2.</w:t>
            </w:r>
            <w:r>
              <w:rPr/>
              <w:t>协同相关方案编制技术团队，共同协助政府部门及时组织相关专项规划研究与重大建设项目间的技术沟通对接，识别关键技术问题并提出工作建议。</w:t>
            </w:r>
          </w:p>
          <w:p>
            <w:pPr>
              <w:pStyle w:val="null3"/>
              <w:jc w:val="both"/>
            </w:pPr>
            <w:r>
              <w:rPr/>
              <w:t>1.1.3</w:t>
            </w:r>
            <w:r>
              <w:rPr/>
              <w:t>工作时间计划</w:t>
            </w:r>
          </w:p>
          <w:p>
            <w:pPr>
              <w:pStyle w:val="null3"/>
              <w:jc w:val="both"/>
            </w:pPr>
            <w:r>
              <w:rPr/>
              <w:t>中心城区风貌提升概念规划与实施导控计划完成时间为合同签订之日起</w:t>
            </w:r>
            <w:r>
              <w:rPr/>
              <w:t>150</w:t>
            </w:r>
            <w:r>
              <w:rPr/>
              <w:t>个日历天（</w:t>
            </w:r>
            <w:r>
              <w:rPr/>
              <w:t>采购人</w:t>
            </w:r>
            <w:r>
              <w:rPr/>
              <w:t>确认、征求意见、公示以及政府上会审批等时间不包括在设计期限内）：</w:t>
            </w:r>
          </w:p>
          <w:p>
            <w:pPr>
              <w:pStyle w:val="null3"/>
              <w:jc w:val="both"/>
            </w:pPr>
            <w:r>
              <w:rPr/>
              <w:t>（</w:t>
            </w:r>
            <w:r>
              <w:rPr/>
              <w:t>1</w:t>
            </w:r>
            <w:r>
              <w:rPr/>
              <w:t>）调研分析阶段（</w:t>
            </w:r>
            <w:r>
              <w:rPr/>
              <w:t>15</w:t>
            </w:r>
            <w:r>
              <w:rPr/>
              <w:t>个日历天）</w:t>
            </w:r>
          </w:p>
          <w:p>
            <w:pPr>
              <w:pStyle w:val="null3"/>
              <w:jc w:val="both"/>
            </w:pPr>
            <w:r>
              <w:rPr/>
              <w:t>开展现场调研和踏勘、部门收集资料，对现状发展条件、发展设想及相关规划要求进行深入细致的分析，形成现状分析报告。</w:t>
            </w:r>
          </w:p>
          <w:p>
            <w:pPr>
              <w:pStyle w:val="null3"/>
              <w:jc w:val="both"/>
            </w:pPr>
            <w:r>
              <w:rPr/>
              <w:t>（</w:t>
            </w:r>
            <w:r>
              <w:rPr/>
              <w:t>2</w:t>
            </w:r>
            <w:r>
              <w:rPr/>
              <w:t>）初步方案阶段（</w:t>
            </w:r>
            <w:r>
              <w:rPr/>
              <w:t>30</w:t>
            </w:r>
            <w:r>
              <w:rPr/>
              <w:t>个日历天）</w:t>
            </w:r>
          </w:p>
          <w:p>
            <w:pPr>
              <w:pStyle w:val="null3"/>
              <w:jc w:val="both"/>
            </w:pPr>
            <w:r>
              <w:rPr/>
              <w:t>就重点问题进行研究，形成初步方案成果，并及时与采购人及有关部门汇报沟通。</w:t>
            </w:r>
          </w:p>
          <w:p>
            <w:pPr>
              <w:pStyle w:val="null3"/>
              <w:jc w:val="both"/>
            </w:pPr>
            <w:r>
              <w:rPr/>
              <w:t>（</w:t>
            </w:r>
            <w:r>
              <w:rPr/>
              <w:t>3</w:t>
            </w:r>
            <w:r>
              <w:rPr/>
              <w:t>）市领导审查会审议阶段（</w:t>
            </w:r>
            <w:r>
              <w:rPr/>
              <w:t>30</w:t>
            </w:r>
            <w:r>
              <w:rPr/>
              <w:t>个日历天）</w:t>
            </w:r>
          </w:p>
          <w:p>
            <w:pPr>
              <w:pStyle w:val="null3"/>
              <w:jc w:val="both"/>
            </w:pPr>
            <w:r>
              <w:rPr/>
              <w:t>根据相关部门及公众意见修改完善成果，提交市领导审议。</w:t>
            </w:r>
          </w:p>
          <w:p>
            <w:pPr>
              <w:pStyle w:val="null3"/>
              <w:jc w:val="both"/>
            </w:pPr>
            <w:r>
              <w:rPr/>
              <w:t>（</w:t>
            </w:r>
            <w:r>
              <w:rPr/>
              <w:t>4</w:t>
            </w:r>
            <w:r>
              <w:rPr/>
              <w:t>）最终成果审查阶段（</w:t>
            </w:r>
            <w:r>
              <w:rPr/>
              <w:t>30</w:t>
            </w:r>
            <w:r>
              <w:rPr/>
              <w:t>个日历天）</w:t>
            </w:r>
          </w:p>
          <w:p>
            <w:pPr>
              <w:pStyle w:val="null3"/>
              <w:jc w:val="both"/>
            </w:pPr>
            <w:r>
              <w:rPr/>
              <w:t>提交完善和深化成果，上市发展策略委员会审议并通过。</w:t>
            </w:r>
          </w:p>
          <w:p>
            <w:pPr>
              <w:pStyle w:val="null3"/>
              <w:jc w:val="both"/>
            </w:pPr>
            <w:r>
              <w:rPr/>
              <w:t>（</w:t>
            </w:r>
            <w:r>
              <w:rPr/>
              <w:t>5</w:t>
            </w:r>
            <w:r>
              <w:rPr/>
              <w:t>）最终成果阶段（</w:t>
            </w:r>
            <w:r>
              <w:rPr/>
              <w:t>45</w:t>
            </w:r>
            <w:r>
              <w:rPr/>
              <w:t>个日历天）</w:t>
            </w:r>
          </w:p>
          <w:p>
            <w:pPr>
              <w:pStyle w:val="null3"/>
              <w:jc w:val="both"/>
            </w:pPr>
            <w:r>
              <w:rPr/>
              <w:t>形成最终成果</w:t>
            </w:r>
            <w:r>
              <w:rPr/>
              <w:t>并经批准</w:t>
            </w:r>
            <w:r>
              <w:rPr/>
              <w:t>。</w:t>
            </w:r>
          </w:p>
          <w:p>
            <w:pPr>
              <w:pStyle w:val="null3"/>
              <w:jc w:val="both"/>
            </w:pPr>
            <w:r>
              <w:rPr/>
              <w:t>中心城区风貌提升技术咨询服务时间为合同签订之日起</w:t>
            </w:r>
            <w:r>
              <w:rPr/>
              <w:t>2</w:t>
            </w:r>
            <w:r>
              <w:rPr/>
              <w:t>年内，具体时间计划按照实际项目咨询服务进行推进。</w:t>
            </w:r>
          </w:p>
          <w:p>
            <w:pPr>
              <w:pStyle w:val="null3"/>
              <w:jc w:val="both"/>
            </w:pPr>
            <w:r>
              <w:rPr/>
              <w:t>（</w:t>
            </w:r>
            <w:r>
              <w:rPr/>
              <w:t>二</w:t>
            </w:r>
            <w:r>
              <w:rPr/>
              <w:t>）</w:t>
            </w:r>
            <w:r>
              <w:rPr/>
              <w:t>技术咨询服务工作安排</w:t>
            </w:r>
          </w:p>
          <w:p>
            <w:pPr>
              <w:pStyle w:val="null3"/>
              <w:jc w:val="both"/>
            </w:pPr>
            <w:r>
              <w:rPr/>
              <w:t>技术咨询服务周期为两个年度，服务期以合同签订之日起算。服务期乙方应结合概念规划及导则编制思路，对中心城区范围内风貌提升相关项目技术审查提出专业咨询意见、并配合自然资源局与其他条线部门做好风貌提升相关技术支持工作。服务期工作以年度作为阶段性汇总总结节点，需在签订合同一年后，提交第一年度技术咨询服务报告，签订合同两年后，提交二年度技术咨询服务报告。</w:t>
            </w:r>
          </w:p>
          <w:p>
            <w:pPr>
              <w:pStyle w:val="null3"/>
              <w:jc w:val="both"/>
            </w:pPr>
            <w:r>
              <w:rPr/>
              <w:t>1.1.4</w:t>
            </w:r>
            <w:r>
              <w:rPr/>
              <w:t>成果要求</w:t>
            </w:r>
          </w:p>
          <w:p>
            <w:pPr>
              <w:pStyle w:val="null3"/>
              <w:jc w:val="both"/>
            </w:pPr>
            <w:r>
              <w:rPr/>
              <w:t>（</w:t>
            </w:r>
            <w:r>
              <w:rPr/>
              <w:t>1</w:t>
            </w:r>
            <w:r>
              <w:rPr/>
              <w:t>）规划研究成果</w:t>
            </w:r>
          </w:p>
          <w:p>
            <w:pPr>
              <w:pStyle w:val="null3"/>
              <w:jc w:val="both"/>
            </w:pPr>
            <w:r>
              <w:rPr/>
              <w:t>主要内容按照概念规划的要求深度编制，成果形式以规划研究报告为主，主要对圈层风貌划分、愿景定位、实施策略等方面进行研究，形成清晰全面、准确、具有实施导向结论和要求。</w:t>
            </w:r>
          </w:p>
          <w:p>
            <w:pPr>
              <w:pStyle w:val="null3"/>
              <w:jc w:val="both"/>
            </w:pPr>
            <w:r>
              <w:rPr/>
              <w:t>形成具有管控作用的指导文件，成果形式为说明和图集为主，导控文件参考城市设计导则的形式，通过正反面示例方式，对建筑界面、海湾界面、街道家具、植物花卉、灯光照明等多方面进行引导和管控，强化不同圈层的特色。</w:t>
            </w:r>
          </w:p>
          <w:p>
            <w:pPr>
              <w:pStyle w:val="null3"/>
              <w:jc w:val="both"/>
            </w:pPr>
            <w:r>
              <w:rPr/>
              <w:t>（</w:t>
            </w:r>
            <w:r>
              <w:rPr/>
              <w:t>2</w:t>
            </w:r>
            <w:r>
              <w:rPr/>
              <w:t>）咨询服务</w:t>
            </w:r>
          </w:p>
          <w:p>
            <w:pPr>
              <w:pStyle w:val="null3"/>
              <w:jc w:val="both"/>
            </w:pPr>
            <w:r>
              <w:rPr/>
              <w:t>咨询服务情况报告应附咨询项目清单和具体项目审查或咨询意见，意见的内容应具备合同所附格式内容。</w:t>
            </w:r>
          </w:p>
          <w:p>
            <w:pPr>
              <w:pStyle w:val="null3"/>
              <w:jc w:val="both"/>
            </w:pPr>
            <w:r>
              <w:rPr/>
              <w:t>（</w:t>
            </w:r>
            <w:r>
              <w:rPr/>
              <w:t>3</w:t>
            </w:r>
            <w:r>
              <w:rPr/>
              <w:t>）其他要求</w:t>
            </w:r>
          </w:p>
          <w:p>
            <w:pPr>
              <w:pStyle w:val="null3"/>
              <w:jc w:val="both"/>
            </w:pPr>
            <w:r>
              <w:rPr>
                <w:sz w:val="21"/>
              </w:rPr>
              <w:t>以上项目成果须提供最终电子版文件及若干套纸质文件（具体内容及数量待最终合同约定）。</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1.采购代理机构：本项目是指中量工程咨询有限公司，负责整个采购活动的组织，依法负责编制和发布磋商文件，对磋商文件拥有最终的解释权，不以任何身份出任磋商小组成员。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湛江市自然资源局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采购机构代理服务收费标准：参照国家计委《招标代理服务收费暂行办法》（计价格[2002]1980号文）的收费标准和计算办法计算。采购代理服务费以中标金额为基数进行计算，作为采购代理服务费的最终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发布结果公告后，中标人须登陆湛江市公共资源电子交易系统进行注册并认证政府采购供应商（无需购买CA）（联系电话：0759-3585867）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中量工程咨询有限公司</w:t>
      </w:r>
      <w:r>
        <w:rPr/>
        <w:t>代收。具体操作要求详见</w:t>
      </w:r>
      <w:r>
        <w:rPr/>
        <w:t>中量工程咨询有限公司</w:t>
      </w:r>
      <w:r>
        <w:rPr/>
        <w:t>有关指引，递交事宜请自行咨询</w:t>
      </w:r>
      <w:r>
        <w:rPr/>
        <w:t>中量工程咨询有限公司</w:t>
      </w:r>
      <w:r>
        <w:rPr/>
        <w:t>；请各供应商在响应文件递交截止时间前按须知前附表规定的金额递交至</w:t>
      </w:r>
      <w:r>
        <w:rPr/>
        <w:t>中量工程咨询有限公司</w:t>
      </w:r>
      <w:r>
        <w:rPr/>
        <w:t>，到账情况以开启时</w:t>
      </w:r>
      <w:r>
        <w:rPr/>
        <w:t>中量工程咨询有限公司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张惠</w:t>
      </w:r>
    </w:p>
    <w:p>
      <w:pPr>
        <w:pStyle w:val="null3"/>
        <w:ind w:firstLine="480"/>
      </w:pPr>
      <w:r>
        <w:rPr/>
        <w:t>电话：</w:t>
      </w:r>
      <w:r>
        <w:rPr/>
        <w:t>0759-3289979</w:t>
      </w:r>
    </w:p>
    <w:p>
      <w:pPr>
        <w:pStyle w:val="null3"/>
        <w:ind w:firstLine="480"/>
      </w:pPr>
      <w:r>
        <w:rPr/>
        <w:t>传真：</w:t>
      </w:r>
      <w:r>
        <w:rPr/>
        <w:t>0759-3289718</w:t>
      </w:r>
    </w:p>
    <w:p>
      <w:pPr>
        <w:pStyle w:val="null3"/>
        <w:ind w:firstLine="480"/>
      </w:pPr>
      <w:r>
        <w:rPr/>
        <w:t>邮箱：</w:t>
      </w:r>
      <w:r>
        <w:rPr/>
        <w:t>zj3289979@126.com</w:t>
      </w:r>
    </w:p>
    <w:p>
      <w:pPr>
        <w:pStyle w:val="null3"/>
        <w:ind w:firstLine="480"/>
      </w:pPr>
      <w:r>
        <w:rPr/>
        <w:t>地址：</w:t>
      </w:r>
      <w:r>
        <w:rPr/>
        <w:t>湛江市人民大道中45号祺祥大厦三楼</w:t>
      </w:r>
    </w:p>
    <w:p>
      <w:pPr>
        <w:pStyle w:val="null3"/>
        <w:ind w:firstLine="480"/>
      </w:pPr>
      <w:r>
        <w:rPr/>
        <w:t>邮编：</w:t>
      </w:r>
      <w:r>
        <w:rPr/>
        <w:t>524000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政府采购监督管理机构名称：湛江市财政局采购监管科</w:t>
      </w:r>
    </w:p>
    <w:p>
      <w:pPr>
        <w:pStyle w:val="null3"/>
      </w:pPr>
      <w:r>
        <w:rPr/>
        <w:t>地 址：湛江市赤坎区康顺路48号</w:t>
      </w:r>
    </w:p>
    <w:p>
      <w:pPr>
        <w:pStyle w:val="null3"/>
      </w:pPr>
      <w:r>
        <w:rPr/>
        <w:t>电 话：3220722</w:t>
      </w:r>
    </w:p>
    <w:p>
      <w:pPr>
        <w:pStyle w:val="null3"/>
      </w:pPr>
      <w:r>
        <w:rPr/>
        <w:t>邮 编：524023</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湛江市中心城区风貌提升概念规划、导控及技术咨询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中量工程咨询有限公司</w:t>
      </w:r>
      <w:r>
        <w:rPr/>
        <w:t>统一对外发布。</w:t>
      </w:r>
    </w:p>
    <w:p>
      <w:pPr>
        <w:pStyle w:val="null3"/>
        <w:ind w:firstLine="480"/>
      </w:pPr>
      <w:r>
        <w:rPr/>
        <w:t>（2）对</w:t>
      </w:r>
      <w:r>
        <w:rPr/>
        <w:t>中量工程咨询有限公司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采购包1（湛江市中心城区风貌提升概念规划、导控及技术咨询服务）：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采购包1（湛江市中心城区风貌提升概念规划、导控及技术咨询服务）：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至今任意一个月依法缴纳税收（纳税凭证）和依法缴纳社会保险的证明（缴费凭证）复印件,如依法免税或不需要缴纳社会保障资金的，应提供相应文件证明复印件;或提供《湛江市政府采购供应商资格信用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或2024年度的财务审计报告或基本开户行银行出具的资信证明材料复印件,若供应商注册成立不满一年的，提供开业以来任意1个月的财务会计报表，或提供《湛江市政府采购供应商资格信用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供应商提供具有履行合同所必需的设备和专业技术能力的证明材料或提供书面承诺声明函（格式自拟）。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tc>
          <w:tcPr>
            <w:tcW w:type="dxa" w:w="890"/>
          </w:tcPr>
          <w:p>
            <w:pPr>
              <w:pStyle w:val="null3"/>
            </w:pPr>
            <w:r>
              <w:rPr/>
              <w:t>8</w:t>
            </w:r>
          </w:p>
        </w:tc>
        <w:tc>
          <w:tcPr>
            <w:tcW w:type="dxa" w:w="3178"/>
          </w:tcPr>
          <w:p>
            <w:pPr>
              <w:pStyle w:val="null3"/>
            </w:pPr>
            <w:r>
              <w:rPr/>
              <w:t>联合体要求</w:t>
            </w:r>
          </w:p>
        </w:tc>
        <w:tc>
          <w:tcPr>
            <w:tcW w:type="dxa" w:w="4238"/>
          </w:tcPr>
          <w:p>
            <w:pPr>
              <w:pStyle w:val="null3"/>
            </w:pPr>
            <w:r>
              <w:rPr/>
              <w:t>本项目不接受联合体响应。</w:t>
            </w:r>
          </w:p>
        </w:tc>
      </w:tr>
      <w:tr>
        <w:tc>
          <w:tcPr>
            <w:tcW w:type="dxa" w:w="890"/>
          </w:tcPr>
          <w:p>
            <w:pPr>
              <w:pStyle w:val="null3"/>
            </w:pPr>
            <w:r>
              <w:rPr/>
              <w:t>9</w:t>
            </w:r>
          </w:p>
        </w:tc>
        <w:tc>
          <w:tcPr>
            <w:tcW w:type="dxa" w:w="3178"/>
          </w:tcPr>
          <w:p>
            <w:pPr>
              <w:pStyle w:val="null3"/>
            </w:pPr>
            <w:r>
              <w:rPr/>
              <w:t>资质要求</w:t>
            </w:r>
          </w:p>
        </w:tc>
        <w:tc>
          <w:tcPr>
            <w:tcW w:type="dxa" w:w="4238"/>
          </w:tcPr>
          <w:p>
            <w:pPr>
              <w:pStyle w:val="null3"/>
            </w:pPr>
            <w:r>
              <w:rPr/>
              <w:t>供应商须具有行政主管部门核发的城乡规划（国土空间规划）编制甲级资质证书或城乡规划编制甲级资质证书，提供证书复印件加盖公章。注：①按照自然资源部2023年12月29日《自然资源部办公厅关于城乡规划编制单位甲级资质证书延期有关事宜的通知》（自然资办函〔2023〕2717号），自然资源部核发的有效期至2023年12月31日的城乡规划编制单位甲级资质证书，有效期延长至2025年12月31日。如相关主管部门有最新政策，按最新政策执行。②如国家另有规定则从其规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本项目非专门面向中小企业。</w:t>
            </w:r>
          </w:p>
        </w:tc>
      </w:tr>
    </w:tbl>
    <w:p>
      <w:pPr>
        <w:pStyle w:val="null3"/>
        <w:ind w:firstLine="480"/>
      </w:pPr>
      <w:r>
        <w:rPr/>
        <w:t>表二符合性审查表：</w:t>
      </w:r>
    </w:p>
    <w:p>
      <w:pPr>
        <w:pStyle w:val="null3"/>
      </w:pPr>
      <w:r>
        <w:rPr/>
        <w:t>采购包1（湛江市中心城区风貌提升概念规划、导控及技术咨询服务）：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w:t>
            </w:r>
          </w:p>
        </w:tc>
      </w:tr>
      <w:tr>
        <w:tc>
          <w:tcPr>
            <w:tcW w:type="dxa" w:w="890"/>
          </w:tcPr>
          <w:p>
            <w:pPr>
              <w:pStyle w:val="null3"/>
            </w:pPr>
            <w:r>
              <w:rPr/>
              <w:t>2</w:t>
            </w:r>
          </w:p>
        </w:tc>
        <w:tc>
          <w:tcPr>
            <w:tcW w:type="dxa" w:w="3178"/>
          </w:tcPr>
          <w:p>
            <w:pPr>
              <w:pStyle w:val="null3"/>
            </w:pPr>
            <w:r>
              <w:rPr/>
              <w:t>法定代表人证明书及法定代表人授权书</w:t>
            </w:r>
          </w:p>
        </w:tc>
        <w:tc>
          <w:tcPr>
            <w:tcW w:type="dxa" w:w="4238"/>
          </w:tcPr>
          <w:p>
            <w:pPr>
              <w:pStyle w:val="null3"/>
            </w:pPr>
            <w:r>
              <w:rPr/>
              <w:t>按对应格式文件签署、盖章。</w:t>
            </w:r>
          </w:p>
        </w:tc>
      </w:tr>
      <w:tr>
        <w:tc>
          <w:tcPr>
            <w:tcW w:type="dxa" w:w="890"/>
          </w:tcPr>
          <w:p>
            <w:pPr>
              <w:pStyle w:val="null3"/>
            </w:pPr>
            <w:r>
              <w:rPr/>
              <w:t>3</w:t>
            </w:r>
          </w:p>
        </w:tc>
        <w:tc>
          <w:tcPr>
            <w:tcW w:type="dxa" w:w="3178"/>
          </w:tcPr>
          <w:p>
            <w:pPr>
              <w:pStyle w:val="null3"/>
            </w:pPr>
            <w:r>
              <w:rPr/>
              <w:t>响应报价要求</w:t>
            </w:r>
          </w:p>
        </w:tc>
        <w:tc>
          <w:tcPr>
            <w:tcW w:type="dxa" w:w="4238"/>
          </w:tcPr>
          <w:p>
            <w:pPr>
              <w:pStyle w:val="null3"/>
            </w:pPr>
            <w:r>
              <w:rPr/>
              <w:t>响应报价是固定价且是唯一的，响应报价没有超出最高限价。</w:t>
            </w:r>
          </w:p>
        </w:tc>
      </w:tr>
      <w:tr>
        <w:tc>
          <w:tcPr>
            <w:tcW w:type="dxa" w:w="890"/>
          </w:tcPr>
          <w:p>
            <w:pPr>
              <w:pStyle w:val="null3"/>
            </w:pPr>
            <w:r>
              <w:rPr/>
              <w:t>4</w:t>
            </w:r>
          </w:p>
        </w:tc>
        <w:tc>
          <w:tcPr>
            <w:tcW w:type="dxa" w:w="3178"/>
          </w:tcPr>
          <w:p>
            <w:pPr>
              <w:pStyle w:val="null3"/>
            </w:pPr>
            <w:r>
              <w:rPr/>
              <w:t>响应文件的完整性</w:t>
            </w:r>
          </w:p>
        </w:tc>
        <w:tc>
          <w:tcPr>
            <w:tcW w:type="dxa" w:w="4238"/>
          </w:tcPr>
          <w:p>
            <w:pPr>
              <w:pStyle w:val="null3"/>
            </w:pPr>
            <w:r>
              <w:rPr/>
              <w:t>响应文件完整且编排有序，响应内容基本完整，无重大错漏。</w:t>
            </w:r>
          </w:p>
        </w:tc>
      </w:tr>
      <w:tr>
        <w:tc>
          <w:tcPr>
            <w:tcW w:type="dxa" w:w="890"/>
          </w:tcPr>
          <w:p>
            <w:pPr>
              <w:pStyle w:val="null3"/>
            </w:pPr>
            <w:r>
              <w:rPr/>
              <w:t>5</w:t>
            </w:r>
          </w:p>
        </w:tc>
        <w:tc>
          <w:tcPr>
            <w:tcW w:type="dxa" w:w="3178"/>
          </w:tcPr>
          <w:p>
            <w:pPr>
              <w:pStyle w:val="null3"/>
            </w:pPr>
            <w:r>
              <w:rPr/>
              <w:t>响应有效期</w:t>
            </w:r>
          </w:p>
        </w:tc>
        <w:tc>
          <w:tcPr>
            <w:tcW w:type="dxa" w:w="4238"/>
          </w:tcPr>
          <w:p>
            <w:pPr>
              <w:pStyle w:val="null3"/>
            </w:pPr>
            <w:r>
              <w:rPr/>
              <w:t>从提交投标（响应）文件的截止之日起90日历天。</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其他法律、法规和磋商文件规定的其他无效情形。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采购包1(湛江市中心城区风貌提升概念规划、导控及技术咨询服务):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商务部分38.0分</w:t>
            </w:r>
          </w:p>
          <w:p>
            <w:pPr>
              <w:pStyle w:val="null3"/>
            </w:pPr>
            <w:r>
              <w:rPr/>
              <w:t>技术部分52.0分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对项目的解读与理解 (10.0分)</w:t>
            </w:r>
          </w:p>
        </w:tc>
        <w:tc>
          <w:tcPr>
            <w:tcW w:type="dxa" w:w="5076"/>
          </w:tcPr>
          <w:p>
            <w:pPr>
              <w:pStyle w:val="null3"/>
              <w:jc w:val="left"/>
            </w:pPr>
            <w:r>
              <w:rPr/>
              <w:t>根据供应商对本项目背景、城市风貌现状、上层次规划及相关规划的理解准确度进行综合评价： 1. 供应商对项目背景、湛江城市发展现状、上层次规划及相关规划的了解程度高，解读分析全面、准确，得10分； 2. 供应商对项目背景、湛江城市发展现状、上层次规划及相关规划的解读分析较准确，得8分； 3. 供应商对项目背景、湛江城市发展现状、上层次规划及相关规划的解读分析一般，得6分； 4. 供应商对项目背景、湛江城市发展现状、上层次规划及相关规划的解读分析较差，得3分； 5. 不提供的不得分。</w:t>
            </w:r>
          </w:p>
        </w:tc>
      </w:tr>
      <w:tr>
        <w:tc>
          <w:tcPr>
            <w:tcW w:type="dxa" w:w="922"/>
            <w:gridSpan w:val="2"/>
            <w:vMerge/>
          </w:tcPr>
          <w:p/>
        </w:tc>
        <w:tc>
          <w:tcPr>
            <w:tcW w:type="dxa" w:w="2307"/>
          </w:tcPr>
          <w:p>
            <w:pPr>
              <w:pStyle w:val="null3"/>
              <w:jc w:val="left"/>
            </w:pPr>
            <w:r>
              <w:rPr/>
              <w:t>风貌提升目标愿景与规划思路 (14.0分)</w:t>
            </w:r>
          </w:p>
        </w:tc>
        <w:tc>
          <w:tcPr>
            <w:tcW w:type="dxa" w:w="5076"/>
          </w:tcPr>
          <w:p>
            <w:pPr>
              <w:pStyle w:val="null3"/>
              <w:jc w:val="left"/>
            </w:pPr>
            <w:r>
              <w:rPr/>
              <w:t>根据供应商对风貌风情营造愿景定位、提升思路及风貌框架分析内容深度及合理性进行综合评价： 1. 供应商的愿景定位、提升思路及风貌框架分析合理全面，针对性强，具有较高的可操作性，得14分； 2. 供应商的愿景定位、提升思路及风貌框架分析较合理，具有可操作性，得10分； 3. 供应商的愿景定位、提升思路及风貌框架分析一般，可操作性一般，得6分； 4. 供应商的愿景定位、提升思路及风貌框架分析较差，可操作性较低的，得3分； 5. 不提供的不得分。</w:t>
            </w:r>
          </w:p>
        </w:tc>
      </w:tr>
      <w:tr>
        <w:tc>
          <w:tcPr>
            <w:tcW w:type="dxa" w:w="922"/>
            <w:gridSpan w:val="2"/>
            <w:vMerge/>
          </w:tcPr>
          <w:p/>
        </w:tc>
        <w:tc>
          <w:tcPr>
            <w:tcW w:type="dxa" w:w="2307"/>
          </w:tcPr>
          <w:p>
            <w:pPr>
              <w:pStyle w:val="null3"/>
              <w:jc w:val="left"/>
            </w:pPr>
            <w:r>
              <w:rPr/>
              <w:t>风貌提升行动策略方案 (15.0分)</w:t>
            </w:r>
          </w:p>
        </w:tc>
        <w:tc>
          <w:tcPr>
            <w:tcW w:type="dxa" w:w="5076"/>
          </w:tcPr>
          <w:p>
            <w:pPr>
              <w:pStyle w:val="null3"/>
              <w:jc w:val="left"/>
            </w:pPr>
            <w:r>
              <w:rPr/>
              <w:t>根据供应商对风貌提升行动策略方案科学性进行综合评价： 1. 供应商的策略方案科学合理全面，得15分； 2. 供应商的策略方案较合理全面，得12分； 3. 供应商的策略方案基本合理，得8分； 4. 供应商的策略方案较差，得4分； 5. 不提供的不得分。</w:t>
            </w:r>
          </w:p>
        </w:tc>
      </w:tr>
      <w:tr>
        <w:tc>
          <w:tcPr>
            <w:tcW w:type="dxa" w:w="922"/>
            <w:gridSpan w:val="2"/>
            <w:vMerge/>
          </w:tcPr>
          <w:p/>
        </w:tc>
        <w:tc>
          <w:tcPr>
            <w:tcW w:type="dxa" w:w="2307"/>
          </w:tcPr>
          <w:p>
            <w:pPr>
              <w:pStyle w:val="null3"/>
              <w:jc w:val="left"/>
            </w:pPr>
            <w:r>
              <w:rPr/>
              <w:t>风貌提升工作导控建议及实施保障 (10.0分)</w:t>
            </w:r>
          </w:p>
        </w:tc>
        <w:tc>
          <w:tcPr>
            <w:tcW w:type="dxa" w:w="5076"/>
          </w:tcPr>
          <w:p>
            <w:pPr>
              <w:pStyle w:val="null3"/>
              <w:jc w:val="left"/>
            </w:pPr>
            <w:r>
              <w:rPr/>
              <w:t>根据供应商对风貌提升工作导控指引及实施保障的可行性进行综合评价： 1. 供应商的工作导控指引及实施保障合理可行，得10分； 2. 供应商的工作导控指引及实施保障较合理可行，得8分； 3. 供应商的工作导控指引及实施保障一般，得6分； 4. 供应商的工作导控指引及实施保障不合理，得3分； 5. 不提供的不得分。</w:t>
            </w:r>
          </w:p>
        </w:tc>
      </w:tr>
      <w:tr>
        <w:tc>
          <w:tcPr>
            <w:tcW w:type="dxa" w:w="922"/>
            <w:gridSpan w:val="2"/>
            <w:vMerge/>
          </w:tcPr>
          <w:p/>
        </w:tc>
        <w:tc>
          <w:tcPr>
            <w:tcW w:type="dxa" w:w="2307"/>
          </w:tcPr>
          <w:p>
            <w:pPr>
              <w:pStyle w:val="null3"/>
              <w:jc w:val="left"/>
            </w:pPr>
            <w:r>
              <w:rPr/>
              <w:t>工作计划安排与质量保障与服务承诺 (3.0分)</w:t>
            </w:r>
          </w:p>
        </w:tc>
        <w:tc>
          <w:tcPr>
            <w:tcW w:type="dxa" w:w="5076"/>
          </w:tcPr>
          <w:p>
            <w:pPr>
              <w:pStyle w:val="null3"/>
              <w:jc w:val="left"/>
            </w:pPr>
            <w:r>
              <w:rPr/>
              <w:t>根据供应商对本项目的工作计划安排及质量保障与服务承诺进行综合评价： 1. 供应商的工作计划安排与质量保障与服务承诺合理可行，得3分； 2. 供应商的工作计划安排与质量保障与服务承诺较合理，得2分； 3. 供应商的工作计划安排与质量保障与服务承诺不合理，得1分； 4. 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类似项目业绩情况 (10.0分)</w:t>
            </w:r>
          </w:p>
        </w:tc>
        <w:tc>
          <w:tcPr>
            <w:tcW w:type="dxa" w:w="5076"/>
          </w:tcPr>
          <w:p>
            <w:pPr>
              <w:pStyle w:val="null3"/>
              <w:jc w:val="left"/>
            </w:pPr>
            <w:r>
              <w:rPr/>
              <w:t>1.2020年1月1日至今供应商承接过风貌规划或风貌导则项目的，每个项目得1分，本小项最高得7分； 2.2020年1月1日至今供应商承接过片区级及以上规划设计相关技术服务或咨询服务项目的，每个项目得1分，本小项最高得3分； 注：本项累计最高得10分。提供项目合同关键页扫描件（包括但不限于合同封面、合同内容及签字盖章页）。</w:t>
            </w:r>
          </w:p>
        </w:tc>
      </w:tr>
      <w:tr>
        <w:tc>
          <w:tcPr>
            <w:tcW w:type="dxa" w:w="922"/>
            <w:gridSpan w:val="2"/>
            <w:vMerge/>
          </w:tcPr>
          <w:p/>
        </w:tc>
        <w:tc>
          <w:tcPr>
            <w:tcW w:type="dxa" w:w="2307"/>
          </w:tcPr>
          <w:p>
            <w:pPr>
              <w:pStyle w:val="null3"/>
              <w:jc w:val="left"/>
            </w:pPr>
            <w:r>
              <w:rPr/>
              <w:t>获奖情况 (10.0分)</w:t>
            </w:r>
          </w:p>
        </w:tc>
        <w:tc>
          <w:tcPr>
            <w:tcW w:type="dxa" w:w="5076"/>
          </w:tcPr>
          <w:p>
            <w:pPr>
              <w:pStyle w:val="null3"/>
              <w:jc w:val="left"/>
            </w:pPr>
            <w:r>
              <w:rPr/>
              <w:t>2015年1月1日至今（以获奖时间为准），供应商承担的城市风貌类规划或研究项目获得国家级“规划设计”类奖项的，每个得4分；获得省级“规划设计”类奖项的，每个得2分；获得市级“规划设计”类奖项的，每个得0.5分；本小项合计最高得10分，得分奖项累计不超过4项。 注：以提供的获奖证明扫描件作为评分依据，未提供或不符合要求的不得分；同一项目获奖计分以最高奖项为准，不得重复计分。奖项颁发机构要求是市级及以上规划协会或行政管理部门。</w:t>
            </w:r>
          </w:p>
        </w:tc>
      </w:tr>
      <w:tr>
        <w:tc>
          <w:tcPr>
            <w:tcW w:type="dxa" w:w="922"/>
            <w:gridSpan w:val="2"/>
            <w:vMerge/>
          </w:tcPr>
          <w:p/>
        </w:tc>
        <w:tc>
          <w:tcPr>
            <w:tcW w:type="dxa" w:w="2307"/>
          </w:tcPr>
          <w:p>
            <w:pPr>
              <w:pStyle w:val="null3"/>
              <w:jc w:val="left"/>
            </w:pPr>
            <w:r>
              <w:rPr/>
              <w:t>项目负责人综合素质 (5.0分)</w:t>
            </w:r>
          </w:p>
        </w:tc>
        <w:tc>
          <w:tcPr>
            <w:tcW w:type="dxa" w:w="5076"/>
          </w:tcPr>
          <w:p>
            <w:pPr>
              <w:pStyle w:val="null3"/>
              <w:jc w:val="left"/>
            </w:pPr>
            <w:r>
              <w:rPr/>
              <w:t>1.项目负责人具有注册城乡规划师且同时具有城乡规划高级工程师（教授级）职称的得2分，项目负责人具有注册城乡规划师且同时具有城乡规划高级工程师职称的得0.5分，否则不得分。 2.2020年1月1日至今（以获奖时间为准）项目负责人获得过省级(含副省级)（或以上）规划类奖项一等奖得2分，二等奖得1分，三等奖得0.5分；本小项累计最高得3分，得分奖项累计不超过4项。 注：需提供相关证明材料扫描件，及供应商为其购买的投标截止时间前三个月任意一个月社保证明扫描件作为证明材料，否则不得分。</w:t>
            </w:r>
          </w:p>
        </w:tc>
      </w:tr>
      <w:tr>
        <w:tc>
          <w:tcPr>
            <w:tcW w:type="dxa" w:w="922"/>
            <w:gridSpan w:val="2"/>
            <w:vMerge/>
          </w:tcPr>
          <w:p/>
        </w:tc>
        <w:tc>
          <w:tcPr>
            <w:tcW w:type="dxa" w:w="2307"/>
          </w:tcPr>
          <w:p>
            <w:pPr>
              <w:pStyle w:val="null3"/>
              <w:jc w:val="left"/>
            </w:pPr>
            <w:r>
              <w:rPr/>
              <w:t>项目组成员情况（不含项目负责人） (8.0分)</w:t>
            </w:r>
          </w:p>
        </w:tc>
        <w:tc>
          <w:tcPr>
            <w:tcW w:type="dxa" w:w="5076"/>
          </w:tcPr>
          <w:p>
            <w:pPr>
              <w:pStyle w:val="null3"/>
              <w:jc w:val="left"/>
            </w:pPr>
            <w:r>
              <w:rPr/>
              <w:t>根据供应商拟投入得技术人员（不含项目负责人）进行评分： 1.具有注册城乡规划师且同时具有城乡规划高级工程师（教授级）职称的，每人得1.5分；具有注册城乡规划师且同时具有城乡规划高级工程师职称的，每人得0.5分；本小项仅计算2人，最高得分为3分； 2.具有建筑专业相关高级工程师及以上职称的，每人得1分；具有建筑专业相关中级工程师职称的，每人得0.5分；本小项仅计算1人最高得分为1分； 3.具有电气专业相关高级工程师及以上职称的，每人得1分；具有电气专业相关中级工程师职称的，每人得0.5分；本小项仅计算1人最高得分为1分； 4.具有景观设计专业相关高级工程师及以上职称的，每人得1分；具有景观设计专业相关中级工程师职称的，每人得0.5分；本小项仅计算1人最高得分为1分； 5.具有交通运输专业相关高级工程师及以上职称的，每人得1分，具有交通运输专业相关中级工程师职称的，每人得0.5分；本小项仅计算1人最高得分为1分； 6.具有注册咨询工程师执业资格的，每人得1分，本小项仅计算1人，最高得分为1分； 注：本项累计最高得8分。提供相关证书扫描件，并提供供应商为其购买的投标截止时间前三个月任意一个月的社保证明文件扫描件，不提供不得分。</w:t>
            </w:r>
          </w:p>
        </w:tc>
      </w:tr>
      <w:tr>
        <w:tc>
          <w:tcPr>
            <w:tcW w:type="dxa" w:w="922"/>
            <w:gridSpan w:val="2"/>
            <w:vMerge/>
          </w:tcPr>
          <w:p/>
        </w:tc>
        <w:tc>
          <w:tcPr>
            <w:tcW w:type="dxa" w:w="2307"/>
          </w:tcPr>
          <w:p>
            <w:pPr>
              <w:pStyle w:val="null3"/>
              <w:jc w:val="left"/>
            </w:pPr>
            <w:r>
              <w:rPr/>
              <w:t>企业综合实力情况 (5.0分)</w:t>
            </w:r>
          </w:p>
        </w:tc>
        <w:tc>
          <w:tcPr>
            <w:tcW w:type="dxa" w:w="5076"/>
          </w:tcPr>
          <w:p>
            <w:pPr>
              <w:pStyle w:val="null3"/>
              <w:jc w:val="left"/>
            </w:pPr>
            <w:r>
              <w:rPr/>
              <w:t>1.供应商每出版1项城市规划相关的专著得1分，本小项最高2分。 2.供应商参编与城市建设有关的规范标准，每参编一项国家级标准（标准号GB）得1分，每参编一项地方级标准（标准号DB）得0.5分，本小项最高3分 注：提供相关证明材料关键页扫描件，规范标准以印发版本为准，不提供不得分。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ind w:firstLine="480"/>
        <w:jc w:val="both"/>
      </w:pPr>
      <w:r>
        <w:rPr>
          <w:sz w:val="24"/>
        </w:rPr>
        <w:t>甲方：湛江市自然资源局</w:t>
      </w:r>
    </w:p>
    <w:p>
      <w:pPr>
        <w:pStyle w:val="null3"/>
        <w:ind w:firstLine="480"/>
        <w:jc w:val="both"/>
      </w:pPr>
      <w:r>
        <w:rPr>
          <w:sz w:val="24"/>
        </w:rPr>
        <w:t>乙方：</w:t>
      </w:r>
    </w:p>
    <w:p>
      <w:pPr>
        <w:pStyle w:val="null3"/>
        <w:ind w:firstLine="480"/>
        <w:jc w:val="both"/>
      </w:pPr>
      <w:r>
        <w:rPr>
          <w:sz w:val="24"/>
        </w:rPr>
        <w:t>根据湛江市中心城区风貌提升概念规划、导控及技术咨询服务（项目编号</w:t>
      </w:r>
      <w:r>
        <w:rPr>
          <w:sz w:val="24"/>
        </w:rPr>
        <w:t>:</w:t>
      </w:r>
      <w:r>
        <w:rPr>
          <w:sz w:val="21"/>
        </w:rPr>
        <w:t xml:space="preserve"> </w:t>
      </w:r>
      <w:r>
        <w:rPr>
          <w:sz w:val="24"/>
        </w:rPr>
        <w:t>ZLZFCG2025-005</w:t>
      </w:r>
      <w:r>
        <w:rPr>
          <w:sz w:val="24"/>
        </w:rPr>
        <w:t>）的采购结果，按照《中华人民共和国政府采购法》及其实施条例、《中华人民共和国民法典》的规定，经双方协商，本着平等互利和诚实信用的原则，一致同意签订本合同如下。</w:t>
      </w:r>
    </w:p>
    <w:p>
      <w:pPr>
        <w:pStyle w:val="null3"/>
        <w:ind w:firstLine="482"/>
        <w:jc w:val="both"/>
      </w:pPr>
      <w:r>
        <w:rPr>
          <w:sz w:val="24"/>
          <w:b/>
        </w:rPr>
        <w:t>第一条：合同价款及地点</w:t>
      </w:r>
    </w:p>
    <w:p>
      <w:pPr>
        <w:pStyle w:val="null3"/>
        <w:ind w:firstLine="480"/>
        <w:jc w:val="both"/>
      </w:pPr>
      <w:r>
        <w:rPr>
          <w:sz w:val="24"/>
        </w:rPr>
        <w:t>合同总金额为：含税总价人民币</w:t>
      </w:r>
      <w:r>
        <w:rPr>
          <w:sz w:val="21"/>
          <w:u w:val="single"/>
        </w:rPr>
        <w:t xml:space="preserve">     </w:t>
      </w:r>
      <w:r>
        <w:rPr>
          <w:sz w:val="24"/>
        </w:rPr>
        <w:t>（￥</w:t>
      </w:r>
      <w:r>
        <w:rPr>
          <w:sz w:val="21"/>
          <w:u w:val="single"/>
        </w:rPr>
        <w:t xml:space="preserve">      </w:t>
      </w:r>
      <w:r>
        <w:rPr>
          <w:sz w:val="24"/>
        </w:rPr>
        <w:t>）。</w:t>
      </w:r>
    </w:p>
    <w:p>
      <w:pPr>
        <w:pStyle w:val="null3"/>
        <w:ind w:firstLine="480"/>
        <w:jc w:val="both"/>
      </w:pPr>
      <w:r>
        <w:rPr>
          <w:sz w:val="24"/>
        </w:rPr>
        <w:t>地点：甲方指定服务地点。</w:t>
      </w:r>
    </w:p>
    <w:p>
      <w:pPr>
        <w:pStyle w:val="null3"/>
        <w:ind w:firstLine="482"/>
        <w:jc w:val="both"/>
      </w:pPr>
      <w:r>
        <w:rPr>
          <w:sz w:val="24"/>
          <w:b/>
        </w:rPr>
        <w:t>第二条：规划范围</w:t>
      </w:r>
    </w:p>
    <w:p>
      <w:pPr>
        <w:pStyle w:val="null3"/>
        <w:ind w:firstLine="480"/>
        <w:jc w:val="both"/>
      </w:pPr>
      <w:r>
        <w:rPr>
          <w:sz w:val="24"/>
        </w:rPr>
        <w:t>本次工作以中心城区范围作为规划范围，包括赤坎区全域以及霞山区、湛江经济技术开发区、麻章区、坡头区部分地区，总面积</w:t>
      </w:r>
      <w:r>
        <w:rPr>
          <w:sz w:val="24"/>
        </w:rPr>
        <w:t>775.97平方公里，其中建成区范围113.11平方公里。（详见附件1）</w:t>
      </w:r>
    </w:p>
    <w:p>
      <w:pPr>
        <w:pStyle w:val="null3"/>
        <w:ind w:firstLine="482"/>
        <w:jc w:val="both"/>
      </w:pPr>
      <w:r>
        <w:rPr>
          <w:sz w:val="24"/>
          <w:b/>
        </w:rPr>
        <w:t>第三条：工作内容</w:t>
      </w:r>
    </w:p>
    <w:p>
      <w:pPr>
        <w:pStyle w:val="null3"/>
        <w:ind w:firstLine="480"/>
        <w:jc w:val="both"/>
      </w:pPr>
      <w:r>
        <w:rPr>
          <w:sz w:val="24"/>
        </w:rPr>
        <w:t>工作一：中心城区风貌提升概念规划与实施导控</w:t>
      </w:r>
    </w:p>
    <w:p>
      <w:pPr>
        <w:pStyle w:val="null3"/>
        <w:ind w:firstLine="480"/>
        <w:jc w:val="both"/>
      </w:pPr>
      <w:r>
        <w:rPr>
          <w:sz w:val="24"/>
        </w:rPr>
        <w:t>一、概念规划</w:t>
      </w:r>
    </w:p>
    <w:p>
      <w:pPr>
        <w:pStyle w:val="null3"/>
        <w:ind w:firstLine="480"/>
        <w:jc w:val="both"/>
      </w:pPr>
      <w:r>
        <w:rPr>
          <w:sz w:val="24"/>
        </w:rPr>
        <w:t>1、现状评估：</w:t>
      </w:r>
    </w:p>
    <w:p>
      <w:pPr>
        <w:pStyle w:val="null3"/>
        <w:ind w:firstLine="480"/>
        <w:jc w:val="both"/>
      </w:pPr>
      <w:r>
        <w:rPr>
          <w:sz w:val="24"/>
        </w:rPr>
        <w:t>（</w:t>
      </w:r>
      <w:r>
        <w:rPr>
          <w:sz w:val="24"/>
        </w:rPr>
        <w:t>1）特色禀赋识别。综合分析自然地理、土地空间、城市建设、人居环境、历史人文等现状特征，深度剖析现状特征，挖掘资源价值，为后续规划提供依据。</w:t>
      </w:r>
    </w:p>
    <w:p>
      <w:pPr>
        <w:pStyle w:val="null3"/>
        <w:ind w:firstLine="480"/>
        <w:jc w:val="both"/>
      </w:pPr>
      <w:r>
        <w:rPr>
          <w:sz w:val="24"/>
        </w:rPr>
        <w:t>（</w:t>
      </w:r>
      <w:r>
        <w:rPr>
          <w:sz w:val="24"/>
        </w:rPr>
        <w:t>2）风貌要素识别。现状风貌评估从城市全景、剪影、天际线、媒体照片等表征城市风貌意向的载体的可识别性和传播力，识别城市的视觉意象和城市感知焦点。创新工作理念和导向，以人的体验为线索进行评估，形成现状总体景观风貌要素及感知反馈，评估影响风貌的正负面因素，并调研访谈市民对城市风貌提升的重点诉求。</w:t>
      </w:r>
    </w:p>
    <w:p>
      <w:pPr>
        <w:pStyle w:val="null3"/>
        <w:ind w:firstLine="480"/>
        <w:jc w:val="both"/>
      </w:pPr>
      <w:r>
        <w:rPr>
          <w:sz w:val="24"/>
        </w:rPr>
        <w:t>2、愿景构建：</w:t>
      </w:r>
    </w:p>
    <w:p>
      <w:pPr>
        <w:pStyle w:val="null3"/>
        <w:ind w:firstLine="480"/>
        <w:jc w:val="both"/>
      </w:pPr>
      <w:r>
        <w:rPr>
          <w:sz w:val="24"/>
        </w:rPr>
        <w:t>（</w:t>
      </w:r>
      <w:r>
        <w:rPr>
          <w:sz w:val="24"/>
        </w:rPr>
        <w:t>1）对标先进案例。剖析国际</w:t>
      </w:r>
      <w:r>
        <w:rPr>
          <w:sz w:val="24"/>
        </w:rPr>
        <w:t>有名</w:t>
      </w:r>
      <w:r>
        <w:rPr>
          <w:sz w:val="24"/>
        </w:rPr>
        <w:t>滨海城市在风貌层面的核心竞争力、建设发展路径、空间特色与建设标准等成功经验，从辨识度、美誉度和宜居性等方面提炼高品质滨海风貌城市的共性要素。</w:t>
      </w:r>
    </w:p>
    <w:p>
      <w:pPr>
        <w:pStyle w:val="null3"/>
        <w:ind w:firstLine="480"/>
        <w:jc w:val="both"/>
      </w:pPr>
      <w:r>
        <w:rPr>
          <w:sz w:val="24"/>
        </w:rPr>
        <w:t>（</w:t>
      </w:r>
      <w:r>
        <w:rPr>
          <w:sz w:val="24"/>
        </w:rPr>
        <w:t>2）确立目标愿景。基于区域资源禀赋，通过对城市空间特质、景观特征、历史人文特色等内容的梳理、发掘和再创造，提出风貌提升的整体目标和愿景。</w:t>
      </w:r>
    </w:p>
    <w:p>
      <w:pPr>
        <w:pStyle w:val="null3"/>
        <w:ind w:firstLine="480"/>
        <w:jc w:val="both"/>
      </w:pPr>
      <w:r>
        <w:rPr>
          <w:sz w:val="24"/>
        </w:rPr>
        <w:t>（</w:t>
      </w:r>
      <w:r>
        <w:rPr>
          <w:sz w:val="24"/>
        </w:rPr>
        <w:t>3）定义“空间基因”。以四大圈层为基础，识别不同类型空间风貌核心特色与风貌管控因子。涵盖秩序（空间秩序、功能秩序、 视觉秩序）、建筑（高度、风格、色彩）、界面（天际线、海岸线、 山脊线）、景观（廊道景观、公园景观、街道景观）等多个领域。</w:t>
      </w:r>
    </w:p>
    <w:p>
      <w:pPr>
        <w:pStyle w:val="null3"/>
        <w:ind w:firstLine="480"/>
        <w:jc w:val="both"/>
      </w:pPr>
      <w:r>
        <w:rPr>
          <w:sz w:val="24"/>
        </w:rPr>
        <w:t>3、行动落实：</w:t>
      </w:r>
    </w:p>
    <w:p>
      <w:pPr>
        <w:pStyle w:val="null3"/>
        <w:ind w:firstLine="480"/>
        <w:jc w:val="both"/>
      </w:pPr>
      <w:r>
        <w:rPr>
          <w:sz w:val="24"/>
        </w:rPr>
        <w:t>（</w:t>
      </w:r>
      <w:r>
        <w:rPr>
          <w:sz w:val="24"/>
        </w:rPr>
        <w:t>1）行动框架。提出中心城区整体风貌发展框架，提出近远期提升发展设想并与近期项目库做衔接。明确市级相关部门、市区两级工作任务权责、确立各区风貌定位与和核心任务工作要求，提出各区协同发展要求。</w:t>
      </w:r>
    </w:p>
    <w:p>
      <w:pPr>
        <w:pStyle w:val="null3"/>
        <w:ind w:firstLine="480"/>
        <w:jc w:val="both"/>
      </w:pPr>
      <w:r>
        <w:rPr>
          <w:sz w:val="24"/>
        </w:rPr>
        <w:t>（</w:t>
      </w:r>
      <w:r>
        <w:rPr>
          <w:sz w:val="24"/>
        </w:rPr>
        <w:t>2）全民参与。民生诉求调查、公众宣传与行动倡议；针对群众“急难愁盼”民生改善要点与城市地域性提升亮点做出提升工作统筹。</w:t>
      </w:r>
    </w:p>
    <w:p>
      <w:pPr>
        <w:pStyle w:val="null3"/>
        <w:ind w:firstLine="480"/>
        <w:jc w:val="both"/>
      </w:pPr>
      <w:r>
        <w:rPr>
          <w:sz w:val="24"/>
        </w:rPr>
        <w:t>二、实施导控</w:t>
      </w:r>
    </w:p>
    <w:p>
      <w:pPr>
        <w:pStyle w:val="null3"/>
        <w:ind w:firstLine="480"/>
        <w:jc w:val="both"/>
      </w:pPr>
      <w:r>
        <w:rPr>
          <w:sz w:val="24"/>
        </w:rPr>
        <w:t>1、重点要素管理手册：面向日常项目审查管理</w:t>
      </w:r>
    </w:p>
    <w:p>
      <w:pPr>
        <w:pStyle w:val="null3"/>
        <w:ind w:firstLine="480"/>
        <w:jc w:val="both"/>
      </w:pPr>
      <w:r>
        <w:rPr>
          <w:sz w:val="24"/>
        </w:rPr>
        <w:t>（</w:t>
      </w:r>
      <w:r>
        <w:rPr>
          <w:sz w:val="24"/>
        </w:rPr>
        <w:t>1）从自资条线管理权责角度。对中心城区整体特色把控提出核心要素管理策略，并结合具体项目审查管理需求，提出务实可行的管理手册、辅助日常方案审查。</w:t>
      </w:r>
    </w:p>
    <w:p>
      <w:pPr>
        <w:pStyle w:val="null3"/>
        <w:ind w:firstLine="480"/>
        <w:jc w:val="both"/>
      </w:pPr>
      <w:r>
        <w:rPr>
          <w:sz w:val="24"/>
        </w:rPr>
        <w:t>（</w:t>
      </w:r>
      <w:r>
        <w:rPr>
          <w:sz w:val="24"/>
        </w:rPr>
        <w:t>2）从四大圈层文化基因角度。对城市天际线、山水视廊、蓝绿公共空间、街墙、建筑材质、滨水界面设计、广告店招、夜景灯光等多个维度入手，分要素制定风貌提升管控方案，形成要素化体系化的风貌提升规划指引。</w:t>
      </w:r>
    </w:p>
    <w:p>
      <w:pPr>
        <w:pStyle w:val="null3"/>
        <w:ind w:firstLine="480"/>
        <w:jc w:val="both"/>
      </w:pPr>
      <w:r>
        <w:rPr>
          <w:sz w:val="24"/>
        </w:rPr>
        <w:t>2、实施行动工具箱：面向项目实施卡点研究</w:t>
      </w:r>
    </w:p>
    <w:p>
      <w:pPr>
        <w:pStyle w:val="null3"/>
        <w:ind w:firstLine="480"/>
        <w:jc w:val="both"/>
      </w:pPr>
      <w:r>
        <w:rPr>
          <w:sz w:val="24"/>
        </w:rPr>
        <w:t>（</w:t>
      </w:r>
      <w:r>
        <w:rPr>
          <w:sz w:val="24"/>
        </w:rPr>
        <w:t>1）行动策略建议。紧抓政策窗口，针对城市更新、低效用地再开发区域，借鉴先进地区发展经验，充分导入市场力量探索多元行动项目与实施模式。</w:t>
      </w:r>
    </w:p>
    <w:p>
      <w:pPr>
        <w:pStyle w:val="null3"/>
        <w:ind w:firstLine="480"/>
        <w:jc w:val="both"/>
      </w:pPr>
      <w:r>
        <w:rPr>
          <w:sz w:val="24"/>
        </w:rPr>
        <w:t>（</w:t>
      </w:r>
      <w:r>
        <w:rPr>
          <w:sz w:val="24"/>
        </w:rPr>
        <w:t>2）改造路径建议。提出政府主导项目、市场开发项目、自主更新项目等不同类型风貌提升工作建议，为不同类型实施主体提供务实有效工作指导。</w:t>
      </w:r>
    </w:p>
    <w:p>
      <w:pPr>
        <w:pStyle w:val="null3"/>
        <w:ind w:firstLine="480"/>
        <w:jc w:val="both"/>
      </w:pPr>
      <w:r>
        <w:rPr>
          <w:sz w:val="24"/>
        </w:rPr>
        <w:t>工作二：中心城区风貌提升技术咨询服务（合同签订之日起两年）</w:t>
      </w:r>
    </w:p>
    <w:p>
      <w:pPr>
        <w:pStyle w:val="null3"/>
        <w:ind w:firstLine="480"/>
        <w:jc w:val="both"/>
      </w:pPr>
      <w:r>
        <w:rPr>
          <w:sz w:val="24"/>
        </w:rPr>
        <w:t>一、风貌提升项目专业技术审查与咨询服务</w:t>
      </w:r>
    </w:p>
    <w:p>
      <w:pPr>
        <w:pStyle w:val="null3"/>
        <w:ind w:firstLine="480"/>
        <w:jc w:val="both"/>
      </w:pPr>
      <w:r>
        <w:rPr>
          <w:sz w:val="24"/>
        </w:rPr>
        <w:t>1.基于片区系统性衔接、规划条件落实、公共利益保障、空间品质保障等原则，就近两年行动项目在技术层面对统筹协调、品质把控。对风貌提升项目（如街区风貌提升、建筑、公园、道路等），配合政府部门对设计成果进行把关，提供专业咨询意见及审查意见。（咨询意见及审查意见内容详见附件2）</w:t>
      </w:r>
    </w:p>
    <w:p>
      <w:pPr>
        <w:pStyle w:val="null3"/>
        <w:ind w:firstLine="480"/>
        <w:jc w:val="both"/>
      </w:pPr>
      <w:r>
        <w:rPr>
          <w:sz w:val="24"/>
        </w:rPr>
        <w:t>二、风貌提升工作动态协同与统筹整合服务</w:t>
      </w:r>
    </w:p>
    <w:p>
      <w:pPr>
        <w:pStyle w:val="null3"/>
        <w:ind w:firstLine="480"/>
        <w:jc w:val="both"/>
      </w:pPr>
      <w:r>
        <w:rPr>
          <w:sz w:val="24"/>
        </w:rPr>
        <w:t>1.协助部门统筹协调中心城区空间风貌提升涉及的各类规划设计、各专项规划方案及改造提升工程，进行必要的技术跟踪指导，做好规划层面风貌提升相关工作的统筹整合。</w:t>
      </w:r>
    </w:p>
    <w:p>
      <w:pPr>
        <w:pStyle w:val="null3"/>
        <w:ind w:firstLine="480"/>
        <w:jc w:val="both"/>
      </w:pPr>
      <w:r>
        <w:rPr>
          <w:sz w:val="24"/>
        </w:rPr>
        <w:t>2.协同相关方案编制技术团队，共同协助政府部门及时组织相关专项规划研究与重大建设项目间的技术沟通对接，识别关键技术问题并提出工作建议。</w:t>
      </w:r>
    </w:p>
    <w:p>
      <w:pPr>
        <w:pStyle w:val="null3"/>
        <w:ind w:firstLine="482"/>
        <w:jc w:val="both"/>
      </w:pPr>
      <w:r>
        <w:rPr>
          <w:sz w:val="24"/>
          <w:b/>
        </w:rPr>
        <w:t>第四条：工作时间计划和验收要求</w:t>
      </w:r>
    </w:p>
    <w:p>
      <w:pPr>
        <w:pStyle w:val="null3"/>
        <w:ind w:firstLine="480"/>
        <w:jc w:val="both"/>
      </w:pPr>
      <w:r>
        <w:rPr>
          <w:sz w:val="24"/>
        </w:rPr>
        <w:t>一、</w:t>
      </w:r>
      <w:r>
        <w:rPr>
          <w:sz w:val="24"/>
        </w:rPr>
        <w:t>中心城区风貌提升概念规划与实施导控计划完成时间为合同签订之日起</w:t>
      </w:r>
      <w:r>
        <w:rPr>
          <w:sz w:val="24"/>
        </w:rPr>
        <w:t>150个日历天（甲方确认、征求意见、公示以及政府上会审批等时间不包括在设计期限内）：</w:t>
      </w:r>
    </w:p>
    <w:p>
      <w:pPr>
        <w:pStyle w:val="null3"/>
        <w:ind w:firstLine="480"/>
        <w:jc w:val="both"/>
      </w:pPr>
      <w:r>
        <w:rPr>
          <w:sz w:val="24"/>
        </w:rPr>
        <w:t>（</w:t>
      </w:r>
      <w:r>
        <w:rPr>
          <w:sz w:val="24"/>
        </w:rPr>
        <w:t>1）调研分析阶段（15个日历天）</w:t>
      </w:r>
    </w:p>
    <w:p>
      <w:pPr>
        <w:pStyle w:val="null3"/>
        <w:ind w:firstLine="480"/>
        <w:jc w:val="both"/>
      </w:pPr>
      <w:r>
        <w:rPr>
          <w:sz w:val="24"/>
        </w:rPr>
        <w:t>开展现场调研和踏勘、部门收集资料，对现状发展条件、发展设想及相关规划要求进行深入细致的分析，形成现状分析报告。</w:t>
      </w:r>
    </w:p>
    <w:p>
      <w:pPr>
        <w:pStyle w:val="null3"/>
        <w:ind w:firstLine="480"/>
        <w:jc w:val="both"/>
      </w:pPr>
      <w:r>
        <w:rPr>
          <w:sz w:val="24"/>
        </w:rPr>
        <w:t>（</w:t>
      </w:r>
      <w:r>
        <w:rPr>
          <w:sz w:val="24"/>
        </w:rPr>
        <w:t>2）初步方案阶段（30个日历天）</w:t>
      </w:r>
    </w:p>
    <w:p>
      <w:pPr>
        <w:pStyle w:val="null3"/>
        <w:ind w:firstLine="480"/>
        <w:jc w:val="both"/>
      </w:pPr>
      <w:r>
        <w:rPr>
          <w:sz w:val="24"/>
        </w:rPr>
        <w:t>就重点问题进行研究，形成初步方案成果，并及时与甲方及有关部门汇报沟通。</w:t>
      </w:r>
    </w:p>
    <w:p>
      <w:pPr>
        <w:pStyle w:val="null3"/>
        <w:ind w:firstLine="480"/>
        <w:jc w:val="both"/>
      </w:pPr>
      <w:r>
        <w:rPr>
          <w:sz w:val="24"/>
        </w:rPr>
        <w:t>（</w:t>
      </w:r>
      <w:r>
        <w:rPr>
          <w:sz w:val="24"/>
        </w:rPr>
        <w:t>3）市领导审议阶段（30个日历天）</w:t>
      </w:r>
    </w:p>
    <w:p>
      <w:pPr>
        <w:pStyle w:val="null3"/>
        <w:ind w:firstLine="480"/>
        <w:jc w:val="both"/>
      </w:pPr>
      <w:r>
        <w:rPr>
          <w:sz w:val="24"/>
        </w:rPr>
        <w:t>根据相关部门及公众意见修改完善成果，提交市领导审议。</w:t>
      </w:r>
    </w:p>
    <w:p>
      <w:pPr>
        <w:pStyle w:val="null3"/>
        <w:jc w:val="both"/>
      </w:pPr>
      <w:r>
        <w:rPr>
          <w:sz w:val="24"/>
        </w:rPr>
        <w:t xml:space="preserve">     </w:t>
      </w:r>
      <w:r>
        <w:rPr>
          <w:sz w:val="24"/>
        </w:rPr>
        <w:t>提交完善和深化成果，上市发展策略委员会审议并通过。</w:t>
      </w:r>
    </w:p>
    <w:p>
      <w:pPr>
        <w:pStyle w:val="null3"/>
        <w:ind w:firstLine="480"/>
        <w:jc w:val="both"/>
      </w:pPr>
      <w:r>
        <w:rPr>
          <w:sz w:val="24"/>
        </w:rPr>
        <w:t>（</w:t>
      </w:r>
      <w:r>
        <w:rPr>
          <w:sz w:val="24"/>
        </w:rPr>
        <w:t>5）最终</w:t>
      </w:r>
      <w:r>
        <w:rPr>
          <w:sz w:val="24"/>
        </w:rPr>
        <w:t>成果</w:t>
      </w:r>
      <w:r>
        <w:rPr>
          <w:sz w:val="24"/>
        </w:rPr>
        <w:t>阶段（</w:t>
      </w:r>
      <w:r>
        <w:rPr>
          <w:sz w:val="24"/>
        </w:rPr>
        <w:t>45个日历天）</w:t>
      </w:r>
    </w:p>
    <w:p>
      <w:pPr>
        <w:pStyle w:val="null3"/>
        <w:ind w:firstLine="480"/>
        <w:jc w:val="both"/>
      </w:pPr>
      <w:r>
        <w:rPr>
          <w:sz w:val="24"/>
        </w:rPr>
        <w:t>形成最终成果</w:t>
      </w:r>
      <w:r>
        <w:rPr>
          <w:sz w:val="24"/>
        </w:rPr>
        <w:t>并经批准</w:t>
      </w:r>
      <w:r>
        <w:rPr>
          <w:sz w:val="24"/>
        </w:rPr>
        <w:t>。</w:t>
      </w:r>
    </w:p>
    <w:p>
      <w:pPr>
        <w:pStyle w:val="null3"/>
        <w:ind w:firstLine="480"/>
        <w:jc w:val="both"/>
      </w:pPr>
      <w:r>
        <w:rPr>
          <w:sz w:val="24"/>
        </w:rPr>
        <w:t>中心城区风貌提升技术咨询服务时间为合同签订之日起</w:t>
      </w:r>
      <w:r>
        <w:rPr>
          <w:sz w:val="24"/>
        </w:rPr>
        <w:t>2年内，具体时间计划按照实际项目咨询服务进行推进。</w:t>
      </w:r>
    </w:p>
    <w:p>
      <w:pPr>
        <w:pStyle w:val="null3"/>
        <w:ind w:left="-60" w:firstLine="480"/>
        <w:jc w:val="both"/>
      </w:pPr>
      <w:r>
        <w:rPr>
          <w:sz w:val="24"/>
        </w:rPr>
        <w:t>（二）</w:t>
      </w:r>
      <w:r>
        <w:rPr>
          <w:sz w:val="24"/>
        </w:rPr>
        <w:t>技术咨询服务工作安排</w:t>
      </w:r>
    </w:p>
    <w:p>
      <w:pPr>
        <w:pStyle w:val="null3"/>
        <w:ind w:firstLine="480"/>
        <w:jc w:val="both"/>
      </w:pPr>
      <w:r>
        <w:rPr>
          <w:sz w:val="24"/>
        </w:rPr>
        <w:t>技术咨询服务周期为两个年度，服务期以合同签订之日起算。服务期乙方应结合概念规划及导则编制思路，对中心城区范围内风貌提升相关项目技术审查提出专业咨询意见、并配合自然资源局与其他条线部门做好风貌提升相关技术支持工作。服务期工作以年度作为阶段性汇总总结节点，需在签订合同一年后，提交第一年度技术咨询服务报告，签订合同两年后，提交二年度技术咨询服务报告。</w:t>
      </w:r>
    </w:p>
    <w:p>
      <w:pPr>
        <w:pStyle w:val="null3"/>
        <w:ind w:firstLine="480"/>
        <w:jc w:val="both"/>
      </w:pPr>
      <w:r>
        <w:rPr>
          <w:sz w:val="24"/>
        </w:rPr>
        <w:t>（三）验收要求</w:t>
      </w:r>
    </w:p>
    <w:p>
      <w:pPr>
        <w:pStyle w:val="null3"/>
        <w:ind w:firstLine="480"/>
        <w:jc w:val="both"/>
      </w:pPr>
      <w:r>
        <w:rPr>
          <w:sz w:val="24"/>
        </w:rPr>
        <w:t>乙方</w:t>
      </w:r>
      <w:r>
        <w:rPr>
          <w:sz w:val="24"/>
        </w:rPr>
        <w:t>提交的最终成果经过市政府或市政府委托的部门验收确认</w:t>
      </w:r>
      <w:r>
        <w:rPr>
          <w:sz w:val="24"/>
        </w:rPr>
        <w:t>，以及在服务周期内</w:t>
      </w:r>
      <w:r>
        <w:rPr>
          <w:sz w:val="24"/>
        </w:rPr>
        <w:t>完成并</w:t>
      </w:r>
      <w:r>
        <w:rPr>
          <w:sz w:val="24"/>
        </w:rPr>
        <w:t>提供年度咨询服务的工作情况报告。</w:t>
      </w:r>
    </w:p>
    <w:p>
      <w:pPr>
        <w:pStyle w:val="null3"/>
        <w:ind w:firstLine="482"/>
        <w:jc w:val="both"/>
      </w:pPr>
      <w:r>
        <w:rPr>
          <w:sz w:val="24"/>
          <w:b/>
        </w:rPr>
        <w:t>第五条：成果要求</w:t>
      </w:r>
    </w:p>
    <w:p>
      <w:pPr>
        <w:pStyle w:val="null3"/>
        <w:ind w:firstLine="480"/>
        <w:jc w:val="both"/>
      </w:pPr>
      <w:r>
        <w:rPr>
          <w:sz w:val="24"/>
        </w:rPr>
        <w:t>（</w:t>
      </w:r>
      <w:r>
        <w:rPr>
          <w:sz w:val="24"/>
        </w:rPr>
        <w:t>1）规划研究成果</w:t>
      </w:r>
    </w:p>
    <w:p>
      <w:pPr>
        <w:pStyle w:val="null3"/>
        <w:ind w:firstLine="480"/>
        <w:jc w:val="both"/>
      </w:pPr>
      <w:r>
        <w:rPr>
          <w:sz w:val="24"/>
        </w:rPr>
        <w:t>主要内容按照概念规划的要求深度编制，成果形式以规划研究报告为主，主要对圈层风貌划分、愿景定位、实施策略等方面进行研究，形成清晰全面、准确、具有实施导向结论和要求。</w:t>
      </w:r>
    </w:p>
    <w:p>
      <w:pPr>
        <w:pStyle w:val="null3"/>
        <w:ind w:firstLine="480"/>
        <w:jc w:val="both"/>
      </w:pPr>
      <w:r>
        <w:rPr>
          <w:sz w:val="24"/>
        </w:rPr>
        <w:t>形成具有管控作用的指导文件，成果形式为说明和图集为主，导控文件参考城市设计导则的形式，通过正反面示例方式，对建筑界面、海湾界面、街道家具、植物花卉、灯光照明等多方面进行引导和管控，强化不同圈层的特色。</w:t>
      </w:r>
    </w:p>
    <w:p>
      <w:pPr>
        <w:pStyle w:val="null3"/>
        <w:ind w:firstLine="480"/>
        <w:jc w:val="both"/>
      </w:pPr>
      <w:r>
        <w:rPr>
          <w:sz w:val="24"/>
        </w:rPr>
        <w:t>（</w:t>
      </w:r>
      <w:r>
        <w:rPr>
          <w:sz w:val="24"/>
        </w:rPr>
        <w:t>2）咨询服务</w:t>
      </w:r>
    </w:p>
    <w:p>
      <w:pPr>
        <w:pStyle w:val="null3"/>
        <w:jc w:val="both"/>
      </w:pPr>
      <w:r>
        <w:rPr>
          <w:sz w:val="24"/>
        </w:rPr>
        <w:t xml:space="preserve">   </w:t>
      </w:r>
      <w:r>
        <w:rPr>
          <w:sz w:val="24"/>
        </w:rPr>
        <w:t>咨询服务情况报告应附咨询项目清单和具体项目审查或咨询意见，意见的内容应具备合同所附格式内容。</w:t>
      </w:r>
    </w:p>
    <w:p>
      <w:pPr>
        <w:pStyle w:val="null3"/>
        <w:ind w:firstLine="480"/>
        <w:jc w:val="both"/>
      </w:pPr>
      <w:r>
        <w:rPr>
          <w:sz w:val="24"/>
        </w:rPr>
        <w:t>（</w:t>
      </w:r>
      <w:r>
        <w:rPr>
          <w:sz w:val="24"/>
        </w:rPr>
        <w:t>3）其他要求</w:t>
      </w:r>
    </w:p>
    <w:p>
      <w:pPr>
        <w:pStyle w:val="null3"/>
        <w:ind w:firstLine="480"/>
        <w:jc w:val="both"/>
      </w:pPr>
      <w:r>
        <w:rPr>
          <w:sz w:val="24"/>
        </w:rPr>
        <w:t>以上项目成果须提供最终电子版文件及若干套纸质文件（具体内容及数量待最终合同约定）。</w:t>
      </w:r>
    </w:p>
    <w:p>
      <w:pPr>
        <w:pStyle w:val="null3"/>
        <w:ind w:firstLine="482"/>
        <w:jc w:val="both"/>
      </w:pPr>
      <w:r>
        <w:rPr>
          <w:sz w:val="24"/>
          <w:b/>
        </w:rPr>
        <w:t>第六条：付款时间及方式</w:t>
      </w:r>
    </w:p>
    <w:p>
      <w:pPr>
        <w:pStyle w:val="null3"/>
        <w:ind w:firstLine="480"/>
        <w:jc w:val="both"/>
      </w:pPr>
      <w:r>
        <w:rPr>
          <w:sz w:val="24"/>
        </w:rPr>
        <w:t>1、本项目款项以人民币转账方式支付，规划成果分四期付款：</w:t>
      </w:r>
    </w:p>
    <w:p>
      <w:pPr>
        <w:pStyle w:val="null3"/>
        <w:ind w:firstLine="480"/>
        <w:jc w:val="both"/>
      </w:pPr>
      <w:r>
        <w:rPr>
          <w:sz w:val="24"/>
        </w:rPr>
        <w:t>第一期：自合同签订之日起</w:t>
      </w:r>
      <w:r>
        <w:rPr>
          <w:sz w:val="24"/>
        </w:rPr>
        <w:t>30个工作日内，乙方提供正式有效的等额发票和项目初步方案后，甲方向财政部门申请支付规划设计费总额的30%给乙方。</w:t>
      </w:r>
    </w:p>
    <w:p>
      <w:pPr>
        <w:pStyle w:val="null3"/>
        <w:ind w:firstLine="480"/>
        <w:jc w:val="both"/>
      </w:pPr>
      <w:r>
        <w:rPr>
          <w:sz w:val="24"/>
        </w:rPr>
        <w:t>第二期：项目成果提交市发展策略委员会审议通过，</w:t>
      </w:r>
      <w:r>
        <w:rPr>
          <w:sz w:val="24"/>
        </w:rPr>
        <w:t>并</w:t>
      </w:r>
      <w:r>
        <w:rPr>
          <w:sz w:val="24"/>
        </w:rPr>
        <w:t>提供正式有效的等额发票后</w:t>
      </w:r>
      <w:r>
        <w:rPr>
          <w:sz w:val="24"/>
        </w:rPr>
        <w:t>30个工作日内，甲方向财政部门申请支付规划设计费总额的30%给乙方。</w:t>
      </w:r>
    </w:p>
    <w:p>
      <w:pPr>
        <w:pStyle w:val="null3"/>
        <w:ind w:firstLine="480"/>
        <w:jc w:val="both"/>
      </w:pPr>
      <w:r>
        <w:rPr>
          <w:sz w:val="24"/>
        </w:rPr>
        <w:t>第三期：提交第一年度（签订合同一年后）技术咨询服务报告和提供正式有效的等额发票后</w:t>
      </w:r>
      <w:r>
        <w:rPr>
          <w:sz w:val="24"/>
        </w:rPr>
        <w:t>30个工作日内，甲方向财政部门申请支付规划设计费总额的20%给乙方。</w:t>
      </w:r>
    </w:p>
    <w:p>
      <w:pPr>
        <w:pStyle w:val="null3"/>
        <w:ind w:firstLine="480"/>
        <w:jc w:val="both"/>
      </w:pPr>
      <w:r>
        <w:rPr>
          <w:sz w:val="24"/>
        </w:rPr>
        <w:t>第四期：项目最终成果</w:t>
      </w:r>
      <w:r>
        <w:rPr>
          <w:sz w:val="24"/>
        </w:rPr>
        <w:t>经批准</w:t>
      </w:r>
      <w:r>
        <w:rPr>
          <w:sz w:val="24"/>
        </w:rPr>
        <w:t>后，并提交第二年度（签订合同两年后）技术咨询服务报告总结和提供正式有效的等额发票后</w:t>
      </w:r>
      <w:r>
        <w:rPr>
          <w:sz w:val="24"/>
        </w:rPr>
        <w:t>30个工作日内，甲方向财政部门申请支付规划设计费总额的20%给乙方。</w:t>
      </w:r>
    </w:p>
    <w:p>
      <w:pPr>
        <w:pStyle w:val="null3"/>
        <w:ind w:firstLine="480"/>
        <w:jc w:val="both"/>
      </w:pPr>
      <w:r>
        <w:rPr>
          <w:sz w:val="24"/>
        </w:rPr>
        <w:t>2、供应商凭以下有效文件与甲方结算：</w:t>
      </w:r>
    </w:p>
    <w:p>
      <w:pPr>
        <w:pStyle w:val="null3"/>
        <w:ind w:firstLine="480"/>
        <w:jc w:val="both"/>
      </w:pPr>
      <w:r>
        <w:rPr>
          <w:sz w:val="24"/>
        </w:rPr>
        <w:t>（</w:t>
      </w:r>
      <w:r>
        <w:rPr>
          <w:sz w:val="24"/>
        </w:rPr>
        <w:t>1）合同；</w:t>
      </w:r>
    </w:p>
    <w:p>
      <w:pPr>
        <w:pStyle w:val="null3"/>
        <w:ind w:firstLine="480"/>
        <w:jc w:val="both"/>
      </w:pPr>
      <w:r>
        <w:rPr>
          <w:sz w:val="24"/>
        </w:rPr>
        <w:t>（</w:t>
      </w:r>
      <w:r>
        <w:rPr>
          <w:sz w:val="24"/>
        </w:rPr>
        <w:t>2）供应商开具的正式发票；</w:t>
      </w:r>
    </w:p>
    <w:p>
      <w:pPr>
        <w:pStyle w:val="null3"/>
        <w:ind w:firstLine="480"/>
        <w:jc w:val="both"/>
      </w:pPr>
      <w:r>
        <w:rPr>
          <w:sz w:val="24"/>
        </w:rPr>
        <w:t>（</w:t>
      </w:r>
      <w:r>
        <w:rPr>
          <w:sz w:val="24"/>
        </w:rPr>
        <w:t>3）请款申请函及城规成果报告（加盖甲方公章）；</w:t>
      </w:r>
    </w:p>
    <w:p>
      <w:pPr>
        <w:pStyle w:val="null3"/>
        <w:ind w:firstLine="480"/>
        <w:jc w:val="both"/>
      </w:pPr>
      <w:r>
        <w:rPr>
          <w:sz w:val="24"/>
        </w:rPr>
        <w:t>（</w:t>
      </w:r>
      <w:r>
        <w:rPr>
          <w:sz w:val="24"/>
        </w:rPr>
        <w:t>4）成交通知书。</w:t>
      </w:r>
    </w:p>
    <w:p>
      <w:pPr>
        <w:pStyle w:val="null3"/>
        <w:ind w:firstLine="480"/>
        <w:jc w:val="both"/>
      </w:pPr>
      <w:r>
        <w:rPr>
          <w:sz w:val="24"/>
        </w:rPr>
        <w:t>3、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82"/>
        <w:jc w:val="both"/>
      </w:pPr>
      <w:r>
        <w:rPr>
          <w:sz w:val="24"/>
          <w:b/>
        </w:rPr>
        <w:t>第七条：技术及资料保密</w:t>
      </w:r>
    </w:p>
    <w:p>
      <w:pPr>
        <w:pStyle w:val="null3"/>
        <w:ind w:firstLine="480"/>
        <w:jc w:val="both"/>
      </w:pPr>
      <w:r>
        <w:rPr>
          <w:sz w:val="24"/>
        </w:rPr>
        <w:t>7.1乙方应妥善保管甲方提供的资料并承担保密义务，未经甲方同意，乙方不得向第三方扩散、转让本项目成果。</w:t>
      </w:r>
    </w:p>
    <w:p>
      <w:pPr>
        <w:pStyle w:val="null3"/>
        <w:ind w:firstLine="480"/>
        <w:jc w:val="both"/>
      </w:pPr>
      <w:r>
        <w:rPr>
          <w:sz w:val="24"/>
        </w:rPr>
        <w:t>7.2甲方应保护乙方的设计版权，未经乙方同意，甲方对乙方提交的项目成果不得擅自修改、转让或用于本合同范围外的项目。</w:t>
      </w:r>
    </w:p>
    <w:p>
      <w:pPr>
        <w:pStyle w:val="null3"/>
        <w:ind w:firstLine="480"/>
        <w:jc w:val="both"/>
      </w:pPr>
      <w:r>
        <w:rPr>
          <w:sz w:val="24"/>
        </w:rPr>
        <w:t>7.3甲方有权在规划制定后公开展示规划成果，并通过传播、媒介、专业杂志、书刊或其它形式介绍、展示规划方案。</w:t>
      </w:r>
    </w:p>
    <w:p>
      <w:pPr>
        <w:pStyle w:val="null3"/>
        <w:ind w:firstLine="482"/>
        <w:jc w:val="both"/>
      </w:pPr>
      <w:r>
        <w:rPr>
          <w:sz w:val="24"/>
          <w:b/>
        </w:rPr>
        <w:t>第八条：违约处理办法</w:t>
      </w:r>
    </w:p>
    <w:p>
      <w:pPr>
        <w:pStyle w:val="null3"/>
        <w:ind w:firstLine="480"/>
        <w:jc w:val="both"/>
      </w:pPr>
      <w:r>
        <w:rPr>
          <w:sz w:val="24"/>
        </w:rPr>
        <w:t xml:space="preserve"> </w:t>
      </w:r>
      <w:r>
        <w:rPr>
          <w:sz w:val="24"/>
        </w:rPr>
        <w:t>8.1本合同履行期间，因甲方原因造成合同终止或解除，甲方向乙方已支付的费用不得追回，同时甲方应根据乙方实际所处工作阶段，按合同第七条规定支付该阶段费用。</w:t>
      </w:r>
    </w:p>
    <w:p>
      <w:pPr>
        <w:pStyle w:val="null3"/>
        <w:ind w:firstLine="480"/>
        <w:jc w:val="both"/>
      </w:pPr>
      <w:r>
        <w:rPr>
          <w:sz w:val="24"/>
        </w:rPr>
        <w:t>8.2</w:t>
      </w:r>
      <w:r>
        <w:rPr>
          <w:sz w:val="24"/>
        </w:rPr>
        <w:t>乙方违反本合同第四条、第五条约定，应当承担相应责任。由于乙方所提交的文件不能满足合同约定的内容要求而造成的返工或修改，由乙方承担。</w:t>
      </w:r>
    </w:p>
    <w:p>
      <w:pPr>
        <w:pStyle w:val="null3"/>
        <w:ind w:firstLine="480"/>
        <w:jc w:val="both"/>
      </w:pPr>
      <w:r>
        <w:rPr>
          <w:sz w:val="24"/>
        </w:rPr>
        <w:t>8.</w:t>
      </w:r>
      <w:r>
        <w:rPr>
          <w:sz w:val="24"/>
        </w:rPr>
        <w:t>3</w:t>
      </w:r>
      <w:r>
        <w:rPr>
          <w:sz w:val="24"/>
        </w:rPr>
        <w:t>本合同履行期间，因乙方原因造成合同终止或解除的，乙方除退还甲方已付费用外，应赔偿合同价款的</w:t>
      </w:r>
      <w:r>
        <w:rPr>
          <w:sz w:val="24"/>
        </w:rPr>
        <w:t>20%违约金。</w:t>
      </w:r>
    </w:p>
    <w:p>
      <w:pPr>
        <w:pStyle w:val="null3"/>
        <w:ind w:firstLine="482"/>
        <w:jc w:val="both"/>
      </w:pPr>
      <w:r>
        <w:rPr>
          <w:sz w:val="24"/>
          <w:b/>
        </w:rPr>
        <w:t>第九条：知识产权</w:t>
      </w:r>
    </w:p>
    <w:p>
      <w:pPr>
        <w:pStyle w:val="null3"/>
        <w:ind w:firstLine="480"/>
        <w:jc w:val="both"/>
      </w:pPr>
      <w:r>
        <w:rPr>
          <w:sz w:val="24"/>
        </w:rPr>
        <w:t>双方均应保护对方的知识产权，未经对方同意，任何一方均不得对对方的资料及文件擅自修改、复制或向第三方转让或用于本合同项目外的项目。如发生以上情况，泄密方承担一切由此引起的后果并承担赔偿责任。当项目乙方完成规划成果，收到所有工作报酬之后，所提交的规划成果及知识产权归甲方所有。乙方有权将成果作为自身业绩用于编写论文著作、参赛、评奖、学习、宣传等。乙方应保证其提交的设计成果不侵犯第三人的著作权或其它合法权利。</w:t>
      </w:r>
    </w:p>
    <w:p>
      <w:pPr>
        <w:pStyle w:val="null3"/>
        <w:ind w:firstLine="482"/>
        <w:jc w:val="both"/>
      </w:pPr>
      <w:r>
        <w:rPr>
          <w:sz w:val="24"/>
          <w:b/>
        </w:rPr>
        <w:t>第十条：</w:t>
      </w:r>
      <w:r>
        <w:rPr>
          <w:sz w:val="24"/>
          <w:b/>
        </w:rPr>
        <w:t>不可抗力</w:t>
      </w:r>
    </w:p>
    <w:p>
      <w:pPr>
        <w:pStyle w:val="null3"/>
        <w:ind w:firstLine="480"/>
        <w:jc w:val="both"/>
      </w:pPr>
      <w:r>
        <w:rPr>
          <w:sz w:val="24"/>
        </w:rPr>
        <w:t>任何一方由于不可抗力原因不能履行合同时，应在不可抗力事件结束后</w:t>
      </w:r>
      <w:r>
        <w:rPr>
          <w:sz w:val="24"/>
        </w:rPr>
        <w:t>1 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第十一条：争端的解决</w:t>
      </w:r>
    </w:p>
    <w:p>
      <w:pPr>
        <w:pStyle w:val="null3"/>
        <w:ind w:firstLine="480"/>
        <w:jc w:val="both"/>
      </w:pPr>
      <w:r>
        <w:rPr>
          <w:sz w:val="24"/>
        </w:rPr>
        <w:t>1.凡与本合同有关的一切争议，甲乙双方应首先通过友好协商方式解决，如经协商后仍不能达成协议时，任何一方可以向甲方所在地法院提出诉讼。</w:t>
      </w:r>
    </w:p>
    <w:p>
      <w:pPr>
        <w:pStyle w:val="null3"/>
        <w:ind w:firstLine="480"/>
        <w:jc w:val="both"/>
      </w:pPr>
      <w:r>
        <w:rPr>
          <w:sz w:val="24"/>
        </w:rPr>
        <w:t>2.本合同的诉讼管辖机关为甲方所在地辖区法院。</w:t>
      </w:r>
    </w:p>
    <w:p>
      <w:pPr>
        <w:pStyle w:val="null3"/>
        <w:ind w:firstLine="480"/>
        <w:jc w:val="both"/>
      </w:pPr>
      <w:r>
        <w:rPr>
          <w:sz w:val="24"/>
        </w:rPr>
        <w:t>3.在法院审理期间，除提交法院审理的事项外，合同其他部分仍应继续履行。</w:t>
      </w:r>
    </w:p>
    <w:p>
      <w:pPr>
        <w:pStyle w:val="null3"/>
        <w:ind w:firstLine="482"/>
        <w:jc w:val="both"/>
      </w:pPr>
      <w:r>
        <w:rPr>
          <w:sz w:val="24"/>
          <w:b/>
        </w:rPr>
        <w:t>第十二条：税费</w:t>
      </w:r>
    </w:p>
    <w:p>
      <w:pPr>
        <w:pStyle w:val="null3"/>
        <w:ind w:firstLine="480"/>
        <w:jc w:val="both"/>
      </w:pPr>
      <w:r>
        <w:rPr>
          <w:sz w:val="24"/>
        </w:rPr>
        <w:t>在中国境内、外发生的与本合同执行有关的一切税费均由乙方负担。</w:t>
      </w:r>
    </w:p>
    <w:p>
      <w:pPr>
        <w:pStyle w:val="null3"/>
        <w:ind w:firstLine="482"/>
        <w:jc w:val="both"/>
      </w:pPr>
      <w:r>
        <w:rPr>
          <w:sz w:val="24"/>
          <w:b/>
        </w:rPr>
        <w:t>第十三条：其它</w:t>
      </w:r>
    </w:p>
    <w:p>
      <w:pPr>
        <w:pStyle w:val="null3"/>
        <w:ind w:firstLine="480"/>
        <w:jc w:val="both"/>
      </w:pPr>
      <w:r>
        <w:rPr>
          <w:sz w:val="24"/>
        </w:rPr>
        <w:t>1.成交通知书、响应文件、采购文件及本合同之所有附件均为本合同的有效组成部分，与本合同具有同等法律效力，解释的顺序以文件生成时间在后的为准。</w:t>
      </w:r>
    </w:p>
    <w:p>
      <w:pPr>
        <w:pStyle w:val="null3"/>
        <w:ind w:firstLine="480"/>
        <w:jc w:val="both"/>
      </w:pPr>
      <w:r>
        <w:rPr>
          <w:sz w:val="24"/>
        </w:rPr>
        <w:t>2.在执行本合同的过程中，所有经甲、乙双方签订确认的文件（包括会议纪要、补充协议、合同修改书、往来信函等）均为本合同的有效组成部分，其生效日期为甲方签字盖章或确认之日期。</w:t>
      </w:r>
    </w:p>
    <w:p>
      <w:pPr>
        <w:pStyle w:val="null3"/>
        <w:ind w:firstLine="480"/>
        <w:jc w:val="both"/>
      </w:pPr>
      <w:r>
        <w:rPr>
          <w:sz w:val="24"/>
        </w:rPr>
        <w:t>3.除甲方事先以书面形式确认同意外，乙方不得部分或全部转让其应履行的合同项下的义务。</w:t>
      </w:r>
    </w:p>
    <w:p>
      <w:pPr>
        <w:pStyle w:val="null3"/>
        <w:ind w:firstLine="480"/>
        <w:jc w:val="both"/>
      </w:pPr>
      <w:r>
        <w:rPr>
          <w:sz w:val="24"/>
        </w:rPr>
        <w:t>4.甲方应派专人电话：负责与乙方的所有业务往来，甲方所有要求，均以书面形式通知乙方；乙方应派专人负责与甲方的所有业务往来。乙方所有要求，均以书面形式通知甲方。</w:t>
      </w:r>
    </w:p>
    <w:p>
      <w:pPr>
        <w:pStyle w:val="null3"/>
        <w:ind w:firstLine="482"/>
        <w:jc w:val="both"/>
      </w:pPr>
      <w:r>
        <w:rPr>
          <w:sz w:val="24"/>
          <w:b/>
        </w:rPr>
        <w:t>第十四条：合同生效</w:t>
      </w:r>
      <w:r>
        <w:rPr>
          <w:sz w:val="24"/>
        </w:rPr>
        <w:t>。</w:t>
      </w:r>
    </w:p>
    <w:p>
      <w:pPr>
        <w:pStyle w:val="null3"/>
        <w:ind w:firstLine="480"/>
        <w:jc w:val="both"/>
      </w:pPr>
      <w:r>
        <w:rPr>
          <w:sz w:val="24"/>
        </w:rPr>
        <w:t>1.合同自甲乙双方法人代表或其授权代表签字盖章之日起生效。</w:t>
      </w:r>
    </w:p>
    <w:p>
      <w:pPr>
        <w:pStyle w:val="null3"/>
        <w:ind w:firstLine="480"/>
        <w:jc w:val="both"/>
      </w:pPr>
      <w:r>
        <w:rPr>
          <w:sz w:val="24"/>
        </w:rPr>
        <w:t>2.本合同壹式玖份，甲方执肆份，乙方执肆份，采购代理机构执壹份，具有同等法律效力。</w:t>
      </w:r>
    </w:p>
    <w:p>
      <w:pPr>
        <w:pStyle w:val="null3"/>
        <w:ind w:firstLine="480"/>
        <w:jc w:val="both"/>
      </w:pPr>
      <w:r>
        <w:rPr>
          <w:sz w:val="24"/>
        </w:rPr>
        <w:t>3.由于甲方的原因使本项目的工作受到阻碍或延误，以致延长了完成时间，则乙方应当将此情况与可能产生的影响及时通知甲方，经甲方书面确认后，双方协商延长完成时间。</w:t>
      </w:r>
    </w:p>
    <w:p>
      <w:pPr>
        <w:pStyle w:val="null3"/>
        <w:ind w:firstLine="480"/>
        <w:jc w:val="both"/>
      </w:pPr>
      <w:r>
        <w:rPr>
          <w:sz w:val="24"/>
        </w:rPr>
        <w:t>4.本合同有效期自生效之日起，至双方履行完毕全部合同义务止。</w:t>
      </w:r>
    </w:p>
    <w:tbl>
      <w:tblPr>
        <w:tblW w:w="0" w:type="auto"/>
        <w:tblBorders>
          <w:top w:val="none" w:color="000000" w:sz="4"/>
          <w:left w:val="none" w:color="000000" w:sz="4"/>
          <w:bottom w:val="none" w:color="000000" w:sz="4"/>
          <w:right w:val="none" w:color="000000" w:sz="4"/>
          <w:insideH w:val="none"/>
          <w:insideV w:val="none"/>
        </w:tblBorders>
      </w:tblPr>
      <w:tblGrid>
        <w:gridCol w:w="737"/>
        <w:gridCol w:w="2244"/>
        <w:gridCol w:w="1228"/>
        <w:gridCol w:w="2244"/>
        <w:gridCol w:w="564"/>
        <w:gridCol w:w="1288"/>
      </w:tblGrid>
      <w:tr>
        <w:tc>
          <w:tcPr>
            <w:tcW w:type="dxa" w:w="7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19"/>
              </w:rPr>
              <w:t xml:space="preserve">                                         </w:t>
            </w:r>
            <w:r>
              <w:rPr>
                <w:sz w:val="24"/>
              </w:rPr>
              <w:t>乙方（盖章）：</w:t>
            </w:r>
          </w:p>
          <w:p>
            <w:pPr>
              <w:pStyle w:val="null3"/>
              <w:jc w:val="both"/>
            </w:pPr>
            <w:r>
              <w:rPr>
                <w:sz w:val="24"/>
              </w:rPr>
              <w:t>甲方法定代表人或授权代表（签字）：</w:t>
            </w:r>
            <w:r>
              <w:rPr>
                <w:sz w:val="24"/>
              </w:rPr>
              <w:t>乙方法定代表人或授权代表（签字）：</w:t>
            </w:r>
          </w:p>
          <w:p>
            <w:pPr>
              <w:pStyle w:val="null3"/>
              <w:jc w:val="both"/>
            </w:pPr>
            <w:r>
              <w:rPr>
                <w:sz w:val="24"/>
              </w:rPr>
              <w:t xml:space="preserve">地址：                                               </w:t>
            </w:r>
            <w:r>
              <w:rPr>
                <w:sz w:val="24"/>
              </w:rPr>
              <w:t>地址：</w:t>
            </w:r>
          </w:p>
          <w:p>
            <w:pPr>
              <w:pStyle w:val="null3"/>
              <w:jc w:val="both"/>
            </w:pPr>
            <w:r>
              <w:rPr>
                <w:sz w:val="19"/>
              </w:rPr>
              <w:t>传真：                                                          传真：</w:t>
            </w:r>
          </w:p>
        </w:tc>
        <w:tc>
          <w:tcPr>
            <w:tcW w:type="dxa" w:w="12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5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12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7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 xml:space="preserve">电话：                                          </w:t>
            </w:r>
            <w:r>
              <w:rPr>
                <w:sz w:val="24"/>
              </w:rPr>
              <w:t>电话：</w:t>
            </w:r>
          </w:p>
          <w:p>
            <w:pPr>
              <w:pStyle w:val="null3"/>
              <w:jc w:val="both"/>
            </w:pPr>
            <w:r>
              <w:rPr>
                <w:sz w:val="24"/>
              </w:rPr>
              <w:t>合同签订日期：</w:t>
            </w:r>
            <w:r>
              <w:rPr>
                <w:sz w:val="24"/>
              </w:rPr>
              <w:t xml:space="preserve">      </w:t>
            </w:r>
            <w:r>
              <w:rPr>
                <w:sz w:val="24"/>
              </w:rPr>
              <w:t>年</w:t>
            </w:r>
            <w:r>
              <w:rPr>
                <w:sz w:val="24"/>
              </w:rPr>
              <w:t xml:space="preserve">  </w:t>
            </w:r>
            <w:r>
              <w:rPr>
                <w:sz w:val="24"/>
              </w:rPr>
              <w:t>月</w:t>
            </w:r>
            <w:r>
              <w:rPr>
                <w:sz w:val="24"/>
              </w:rPr>
              <w:t xml:space="preserve">   </w:t>
            </w:r>
            <w:r>
              <w:rPr>
                <w:sz w:val="24"/>
              </w:rPr>
              <w:t xml:space="preserve">日     </w:t>
            </w:r>
            <w:r>
              <w:rPr>
                <w:sz w:val="24"/>
              </w:rPr>
              <w:t>合同签订日期：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2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5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12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7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c>
          <w:tcPr>
            <w:tcW w:type="dxa" w:w="12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5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12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7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c>
          <w:tcPr>
            <w:tcW w:type="dxa" w:w="12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5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12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7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c>
          <w:tcPr>
            <w:tcW w:type="dxa" w:w="12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5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12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7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附件1</w:t>
            </w:r>
          </w:p>
          <w:p>
            <w:pPr>
              <w:pStyle w:val="null3"/>
              <w:jc w:val="both"/>
            </w:pPr>
            <w:r>
              <w:drawing>
                <wp:inline distT="0" distR="0" distB="0" distL="0">
                  <wp:extent cx="1287780" cy="102674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287780" cy="1026743"/>
                          </a:xfrm>
                          <a:prstGeom prst="rect">
                            <a:avLst/>
                          </a:prstGeom>
                        </pic:spPr>
                      </pic:pic>
                    </a:graphicData>
                  </a:graphic>
                </wp:inline>
              </w:drawing>
            </w:r>
          </w:p>
          <w:p>
            <w:pPr>
              <w:pStyle w:val="null3"/>
              <w:jc w:val="both"/>
            </w:pPr>
            <w:r>
              <w:rPr>
                <w:sz w:val="19"/>
              </w:rPr>
              <w:t xml:space="preserve"> </w:t>
            </w:r>
          </w:p>
          <w:p>
            <w:pPr>
              <w:pStyle w:val="null3"/>
              <w:jc w:val="both"/>
            </w:pPr>
            <w:r>
              <w:rPr>
                <w:sz w:val="19"/>
              </w:rPr>
              <w:t xml:space="preserve"> </w:t>
            </w:r>
          </w:p>
          <w:p>
            <w:pPr>
              <w:pStyle w:val="null3"/>
              <w:jc w:val="both"/>
            </w:pPr>
            <w:r>
              <w:rPr>
                <w:sz w:val="19"/>
              </w:rPr>
              <w:t>附件2：咨询模板示意</w:t>
            </w:r>
          </w:p>
          <w:p>
            <w:pPr>
              <w:pStyle w:val="null3"/>
              <w:jc w:val="both"/>
            </w:pPr>
            <w:r>
              <w:rPr>
                <w:sz w:val="19"/>
              </w:rPr>
              <w:t xml:space="preserve"> </w:t>
            </w:r>
          </w:p>
        </w:tc>
        <w:tc>
          <w:tcPr>
            <w:tcW w:type="dxa" w:w="12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224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5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c>
          <w:tcPr>
            <w:tcW w:type="dxa" w:w="12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工程名称</w:t>
            </w:r>
          </w:p>
        </w:tc>
        <w:tc>
          <w:tcPr>
            <w:tcW w:type="dxa" w:w="756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建设单位</w:t>
            </w:r>
          </w:p>
        </w:tc>
        <w:tc>
          <w:tcPr>
            <w:tcW w:type="dxa" w:w="75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联系人</w:t>
            </w:r>
          </w:p>
        </w:tc>
        <w:tc>
          <w:tcPr>
            <w:tcW w:type="dxa" w:w="57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联系电话</w:t>
            </w:r>
          </w:p>
        </w:tc>
        <w:tc>
          <w:tcPr>
            <w:tcW w:type="dxa" w:w="1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设计单位</w:t>
            </w:r>
          </w:p>
        </w:tc>
        <w:tc>
          <w:tcPr>
            <w:tcW w:type="dxa" w:w="75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联系人</w:t>
            </w:r>
          </w:p>
        </w:tc>
        <w:tc>
          <w:tcPr>
            <w:tcW w:type="dxa" w:w="57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联系电话</w:t>
            </w:r>
          </w:p>
        </w:tc>
        <w:tc>
          <w:tcPr>
            <w:tcW w:type="dxa" w:w="1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审查单位</w:t>
            </w:r>
          </w:p>
        </w:tc>
        <w:tc>
          <w:tcPr>
            <w:tcW w:type="dxa" w:w="57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审查人员</w:t>
            </w:r>
          </w:p>
        </w:tc>
        <w:tc>
          <w:tcPr>
            <w:tcW w:type="dxa" w:w="57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审查日期</w:t>
            </w:r>
          </w:p>
        </w:tc>
        <w:tc>
          <w:tcPr>
            <w:tcW w:type="dxa" w:w="57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项目基本情况</w:t>
            </w:r>
          </w:p>
          <w:p>
            <w:pPr>
              <w:pStyle w:val="null3"/>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项目要求</w:t>
            </w:r>
          </w:p>
          <w:p>
            <w:pPr>
              <w:pStyle w:val="null3"/>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总体审查意见：</w:t>
            </w:r>
          </w:p>
          <w:p>
            <w:pPr>
              <w:pStyle w:val="null3"/>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管控要素</w:t>
            </w:r>
            <w:r>
              <w:rPr>
                <w:sz w:val="21"/>
                <w:b/>
              </w:rPr>
              <w:t xml:space="preserve">                   </w:t>
            </w:r>
            <w:r>
              <w:rPr>
                <w:sz w:val="21"/>
                <w:b/>
              </w:rPr>
              <w:t xml:space="preserve">     </w:t>
            </w:r>
            <w:r>
              <w:rPr>
                <w:sz w:val="20"/>
                <w:b/>
              </w:rPr>
              <w:t xml:space="preserve"> </w:t>
            </w:r>
            <w:r>
              <w:rPr>
                <w:sz w:val="20"/>
                <w:b/>
              </w:rPr>
              <w:t>审查意见</w:t>
            </w:r>
          </w:p>
        </w:tc>
      </w:tr>
      <w:tr>
        <w:tc>
          <w:tcPr>
            <w:tcW w:type="dxa" w:w="298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整体形态</w:t>
            </w:r>
          </w:p>
        </w:tc>
        <w:tc>
          <w:tcPr>
            <w:tcW w:type="dxa" w:w="1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ind w:left="150"/>
              <w:jc w:val="center"/>
            </w:pPr>
            <w:r>
              <w:rPr>
                <w:sz w:val="20"/>
              </w:rPr>
              <w:t>建筑风格</w:t>
            </w:r>
          </w:p>
        </w:tc>
        <w:tc>
          <w:tcPr>
            <w:tcW w:type="dxa" w:w="409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singl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建筑体量</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建筑高度</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形象界面</w:t>
            </w: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建筑材质</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建筑色彩</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立面形态</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屋顶形式</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附属设施</w:t>
            </w: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建筑照明</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广告标识</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其他附属</w:t>
            </w:r>
            <w:r>
              <w:rPr>
                <w:sz w:val="20"/>
              </w:rPr>
              <w:t>设施</w:t>
            </w: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81"/>
            <w:gridSpan w:val="2"/>
            <w:vMerge/>
            <w:tcBorders>
              <w:top w:val="none" w:color="000000" w:sz="4"/>
              <w:left w:val="single" w:color="000000" w:sz="4"/>
              <w:bottom w:val="single" w:color="000000" w:sz="4"/>
              <w:right w:val="single" w:color="000000" w:sz="4"/>
            </w:tcBorders>
          </w:tcPr>
          <w:p/>
        </w:tc>
        <w:tc>
          <w:tcPr>
            <w:tcW w:type="dxa" w:w="1228"/>
            <w:vMerge/>
            <w:tcBorders>
              <w:top w:val="none" w:color="000000" w:sz="4"/>
              <w:left w:val="single" w:color="000000" w:sz="4"/>
              <w:bottom w:val="single" w:color="000000" w:sz="4"/>
              <w:right w:val="single" w:color="000000" w:sz="4"/>
            </w:tcBorders>
          </w:tc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其他内容</w:t>
            </w:r>
          </w:p>
        </w:tc>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440801-2025-01763</w:t>
      </w:r>
    </w:p>
    <w:p>
      <w:pPr>
        <w:pStyle w:val="null3"/>
        <w:jc w:val="center"/>
        <w:outlineLvl w:val="3"/>
      </w:pPr>
      <w:r>
        <w:rPr>
          <w:sz w:val="24"/>
          <w:b/>
        </w:rPr>
        <w:t>采购项目编号：</w:t>
      </w:r>
      <w:r>
        <w:rPr>
          <w:sz w:val="24"/>
          <w:b/>
        </w:rPr>
        <w:t>ZLZFCG2025-005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中量工程咨询有限公司</w:t>
      </w:r>
    </w:p>
    <w:p>
      <w:pPr>
        <w:pStyle w:val="null3"/>
        <w:ind w:firstLine="480"/>
      </w:pPr>
      <w:r>
        <w:rPr/>
        <w:t xml:space="preserve"> 你方组织的</w:t>
      </w:r>
      <w:r>
        <w:rPr>
          <w:u w:val="single"/>
        </w:rPr>
        <w:t>“</w:t>
      </w:r>
      <w:r>
        <w:rPr>
          <w:u w:val="single"/>
        </w:rPr>
        <w:t>湛江市中心城区风貌提升概念规划、导控及技术咨询服务</w:t>
      </w:r>
      <w:r>
        <w:rPr>
          <w:u w:val="single"/>
        </w:rPr>
        <w:t>”</w:t>
      </w:r>
      <w:r>
        <w:rPr/>
        <w:t>项目的竞争性磋商[采购项目编号为：</w:t>
      </w:r>
      <w:r>
        <w:rPr>
          <w:u w:val="single"/>
        </w:rPr>
        <w:t>ZLZFCG2025-005</w:t>
      </w:r>
      <w:r>
        <w:rPr/>
        <w:t>]，我方愿参与响应。</w:t>
      </w:r>
    </w:p>
    <w:p>
      <w:pPr>
        <w:pStyle w:val="null3"/>
        <w:ind w:firstLine="480"/>
      </w:pPr>
      <w:r>
        <w:rPr/>
        <w:t>我方确认收到贵方提供的</w:t>
      </w:r>
      <w:r>
        <w:rPr>
          <w:u w:val="single"/>
        </w:rPr>
        <w:t>“</w:t>
      </w:r>
      <w:r>
        <w:rPr>
          <w:u w:val="single"/>
        </w:rPr>
        <w:t>湛江市中心城区风貌提升概念规划、导控及技术咨询服务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中量工程咨询有限公司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湛江市中心城区风貌提升概念规划、导控及技术咨询服务</w:t>
      </w:r>
      <w:r>
        <w:rPr/>
        <w:t>”项目采购[采购项目编号为</w:t>
      </w:r>
      <w:r>
        <w:rPr/>
        <w:t>ZLZFCG2025-005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湛江市自然资源局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中量工程咨询有限公司</w:t>
      </w:r>
    </w:p>
    <w:p>
      <w:pPr>
        <w:pStyle w:val="null3"/>
        <w:ind w:firstLine="480"/>
      </w:pPr>
      <w:r>
        <w:rPr/>
        <w:t>我单位参加贵公司组织的</w:t>
      </w:r>
      <w:r>
        <w:rPr/>
        <w:t>湛江市中心城区风貌提升概念规划、导控及技术咨询服务</w:t>
      </w:r>
      <w:r>
        <w:rPr/>
        <w:t>（采购项目编号：</w:t>
      </w:r>
      <w:r>
        <w:rPr/>
        <w:t>ZLZFCG2025-005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中量工程咨询有限公司</w:t>
      </w:r>
    </w:p>
    <w:p>
      <w:pPr>
        <w:pStyle w:val="null3"/>
        <w:ind w:firstLine="480"/>
      </w:pPr>
      <w:r>
        <w:rPr/>
        <w:t>我单位已登记并准备参与“</w:t>
      </w:r>
      <w:r>
        <w:rPr/>
        <w:t>湛江市中心城区风貌提升概念规划、导控及技术咨询服务</w:t>
      </w:r>
      <w:r>
        <w:rPr/>
        <w:t>”项目（采购项目编号：</w:t>
      </w:r>
      <w:r>
        <w:rPr/>
        <w:t>ZLZFCG2025-005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