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70D78">
      <w:pPr>
        <w:keepNext w:val="0"/>
        <w:keepLines w:val="0"/>
        <w:pageBreakBefore w:val="0"/>
        <w:kinsoku/>
        <w:wordWrap/>
        <w:overflowPunct/>
        <w:topLinePunct w:val="0"/>
        <w:bidi w:val="0"/>
        <w:spacing w:line="560" w:lineRule="exact"/>
        <w:ind w:firstLine="643" w:firstLineChars="2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（1）采购货物参数</w:t>
      </w:r>
    </w:p>
    <w:tbl>
      <w:tblPr>
        <w:tblStyle w:val="3"/>
        <w:tblW w:w="8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4197"/>
        <w:gridCol w:w="1380"/>
        <w:gridCol w:w="810"/>
        <w:gridCol w:w="1376"/>
      </w:tblGrid>
      <w:tr w14:paraId="50338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809" w:type="dxa"/>
            <w:tcBorders>
              <w:bottom w:val="single" w:color="000000" w:sz="4" w:space="0"/>
              <w:right w:val="single" w:color="000000" w:sz="4" w:space="0"/>
            </w:tcBorders>
            <w:shd w:val="clear" w:color="auto" w:fill="auto"/>
            <w:noWrap/>
            <w:vAlign w:val="center"/>
          </w:tcPr>
          <w:p w14:paraId="767A6D0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bidi="ar"/>
              </w:rPr>
              <w:t>序号</w:t>
            </w:r>
          </w:p>
        </w:tc>
        <w:tc>
          <w:tcPr>
            <w:tcW w:w="4197" w:type="dxa"/>
            <w:tcBorders>
              <w:left w:val="single" w:color="000000" w:sz="4" w:space="0"/>
              <w:bottom w:val="single" w:color="000000" w:sz="4" w:space="0"/>
              <w:right w:val="single" w:color="000000" w:sz="4" w:space="0"/>
            </w:tcBorders>
            <w:shd w:val="clear" w:color="auto" w:fill="auto"/>
            <w:vAlign w:val="center"/>
          </w:tcPr>
          <w:p w14:paraId="19D4043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bidi="ar"/>
              </w:rPr>
              <w:t>品种</w:t>
            </w:r>
          </w:p>
        </w:tc>
        <w:tc>
          <w:tcPr>
            <w:tcW w:w="1380" w:type="dxa"/>
            <w:tcBorders>
              <w:left w:val="single" w:color="000000" w:sz="4" w:space="0"/>
              <w:bottom w:val="single" w:color="000000" w:sz="4" w:space="0"/>
              <w:right w:val="single" w:color="000000" w:sz="4" w:space="0"/>
            </w:tcBorders>
            <w:shd w:val="clear" w:color="auto" w:fill="auto"/>
            <w:vAlign w:val="center"/>
          </w:tcPr>
          <w:p w14:paraId="71A99ACE">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snapToGrid w:val="0"/>
                <w:color w:val="000000"/>
                <w:kern w:val="0"/>
                <w:sz w:val="28"/>
                <w:szCs w:val="28"/>
                <w:u w:val="none"/>
                <w:lang w:val="en-US" w:eastAsia="zh-CN" w:bidi="ar"/>
              </w:rPr>
              <w:t>计量单位</w:t>
            </w:r>
          </w:p>
        </w:tc>
        <w:tc>
          <w:tcPr>
            <w:tcW w:w="810" w:type="dxa"/>
            <w:tcBorders>
              <w:left w:val="single" w:color="000000" w:sz="4" w:space="0"/>
              <w:bottom w:val="single" w:color="000000" w:sz="4" w:space="0"/>
              <w:right w:val="single" w:color="000000" w:sz="4" w:space="0"/>
            </w:tcBorders>
            <w:shd w:val="clear" w:color="auto" w:fill="auto"/>
            <w:vAlign w:val="center"/>
          </w:tcPr>
          <w:p w14:paraId="771487C4">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bidi="ar"/>
              </w:rPr>
              <w:t>数量</w:t>
            </w:r>
          </w:p>
        </w:tc>
        <w:tc>
          <w:tcPr>
            <w:tcW w:w="1376" w:type="dxa"/>
            <w:tcBorders>
              <w:left w:val="single" w:color="000000" w:sz="4" w:space="0"/>
              <w:bottom w:val="single" w:color="000000" w:sz="4" w:space="0"/>
            </w:tcBorders>
            <w:shd w:val="clear" w:color="auto" w:fill="auto"/>
            <w:vAlign w:val="center"/>
          </w:tcPr>
          <w:p w14:paraId="0FBE115A">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8"/>
                <w:szCs w:val="28"/>
                <w:u w:val="none"/>
                <w:lang w:val="en-US" w:eastAsia="zh-CN" w:bidi="ar"/>
              </w:rPr>
            </w:pPr>
            <w:r>
              <w:rPr>
                <w:rFonts w:hint="eastAsia" w:ascii="仿宋" w:hAnsi="仿宋" w:eastAsia="仿宋" w:cs="仿宋"/>
                <w:b w:val="0"/>
                <w:bCs w:val="0"/>
                <w:i w:val="0"/>
                <w:iCs w:val="0"/>
                <w:snapToGrid w:val="0"/>
                <w:color w:val="000000"/>
                <w:kern w:val="0"/>
                <w:sz w:val="28"/>
                <w:szCs w:val="28"/>
                <w:u w:val="none"/>
                <w:lang w:val="en-US" w:eastAsia="zh-CN" w:bidi="ar"/>
              </w:rPr>
              <w:t>是否进口</w:t>
            </w:r>
          </w:p>
        </w:tc>
      </w:tr>
      <w:tr w14:paraId="1A732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09" w:type="dxa"/>
            <w:tcBorders>
              <w:top w:val="single" w:color="000000" w:sz="4" w:space="0"/>
              <w:bottom w:val="single" w:color="000000" w:sz="4" w:space="0"/>
              <w:right w:val="single" w:color="000000" w:sz="4" w:space="0"/>
            </w:tcBorders>
            <w:shd w:val="clear" w:color="auto" w:fill="auto"/>
            <w:noWrap/>
            <w:vAlign w:val="center"/>
          </w:tcPr>
          <w:p w14:paraId="622C387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bidi="ar"/>
              </w:rPr>
              <w:t>1</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8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三重四级杆气相色谱质谱联用仪</w:t>
            </w:r>
            <w:r>
              <w:rPr>
                <w:rFonts w:hint="eastAsia" w:ascii="仿宋" w:hAnsi="仿宋" w:eastAsia="仿宋" w:cs="仿宋"/>
                <w:b/>
                <w:bCs/>
                <w:i w:val="0"/>
                <w:iCs w:val="0"/>
                <w:color w:val="000000"/>
                <w:sz w:val="28"/>
                <w:szCs w:val="28"/>
                <w:u w:val="none"/>
                <w:lang w:val="en-US" w:eastAsia="zh-CN"/>
              </w:rPr>
              <w:t>（核心产品）</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63C0AB6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8473">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w:t>
            </w:r>
          </w:p>
        </w:tc>
        <w:tc>
          <w:tcPr>
            <w:tcW w:w="1376" w:type="dxa"/>
            <w:tcBorders>
              <w:top w:val="single" w:color="000000" w:sz="4" w:space="0"/>
              <w:left w:val="single" w:color="000000" w:sz="4" w:space="0"/>
              <w:bottom w:val="single" w:color="000000" w:sz="4" w:space="0"/>
            </w:tcBorders>
            <w:shd w:val="clear" w:color="auto" w:fill="auto"/>
            <w:noWrap/>
            <w:vAlign w:val="center"/>
          </w:tcPr>
          <w:p w14:paraId="29B4748C">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8"/>
                <w:szCs w:val="28"/>
                <w:u w:val="none"/>
                <w:lang w:val="en-US" w:eastAsia="zh-CN" w:bidi="ar"/>
              </w:rPr>
            </w:pPr>
            <w:r>
              <w:rPr>
                <w:rFonts w:hint="eastAsia" w:ascii="仿宋" w:hAnsi="仿宋" w:eastAsia="仿宋" w:cs="仿宋"/>
                <w:b w:val="0"/>
                <w:bCs w:val="0"/>
                <w:i w:val="0"/>
                <w:iCs w:val="0"/>
                <w:snapToGrid w:val="0"/>
                <w:color w:val="000000"/>
                <w:kern w:val="0"/>
                <w:sz w:val="28"/>
                <w:szCs w:val="28"/>
                <w:u w:val="none"/>
                <w:lang w:val="en-US" w:eastAsia="zh-CN" w:bidi="ar"/>
              </w:rPr>
              <w:t>否</w:t>
            </w:r>
          </w:p>
        </w:tc>
      </w:tr>
      <w:tr w14:paraId="0223C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09" w:type="dxa"/>
            <w:tcBorders>
              <w:top w:val="single" w:color="000000" w:sz="4" w:space="0"/>
              <w:bottom w:val="single" w:color="000000" w:sz="4" w:space="0"/>
              <w:right w:val="single" w:color="000000" w:sz="4" w:space="0"/>
            </w:tcBorders>
            <w:shd w:val="clear" w:color="auto" w:fill="auto"/>
            <w:noWrap/>
            <w:vAlign w:val="center"/>
          </w:tcPr>
          <w:p w14:paraId="6B5371F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4"/>
                          <a:stretch>
                            <a:fillRect/>
                          </a:stretch>
                        </pic:blipFill>
                        <pic:spPr>
                          <a:xfrm>
                            <a:off x="0" y="0"/>
                            <a:ext cx="9525" cy="8890"/>
                          </a:xfrm>
                          <a:prstGeom prst="rect">
                            <a:avLst/>
                          </a:prstGeom>
                          <a:noFill/>
                          <a:ln>
                            <a:noFill/>
                          </a:ln>
                        </pic:spPr>
                      </pic:pic>
                    </a:graphicData>
                  </a:graphic>
                </wp:anchor>
              </w:drawing>
            </w:r>
            <w:r>
              <w:rPr>
                <w:rFonts w:hint="eastAsia" w:ascii="仿宋" w:hAnsi="仿宋" w:eastAsia="仿宋" w:cs="仿宋"/>
                <w:b w:val="0"/>
                <w:bCs w:val="0"/>
                <w:i w:val="0"/>
                <w:iCs w:val="0"/>
                <w:snapToGrid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4"/>
                          <a:stretch>
                            <a:fillRect/>
                          </a:stretch>
                        </pic:blipFill>
                        <pic:spPr>
                          <a:xfrm>
                            <a:off x="0" y="0"/>
                            <a:ext cx="9525" cy="8890"/>
                          </a:xfrm>
                          <a:prstGeom prst="rect">
                            <a:avLst/>
                          </a:prstGeom>
                          <a:noFill/>
                          <a:ln>
                            <a:noFill/>
                          </a:ln>
                        </pic:spPr>
                      </pic:pic>
                    </a:graphicData>
                  </a:graphic>
                </wp:anchor>
              </w:drawing>
            </w:r>
            <w:r>
              <w:rPr>
                <w:rFonts w:hint="eastAsia" w:ascii="仿宋" w:hAnsi="仿宋" w:eastAsia="仿宋" w:cs="仿宋"/>
                <w:b w:val="0"/>
                <w:bCs w:val="0"/>
                <w:i w:val="0"/>
                <w:iCs w:val="0"/>
                <w:snapToGrid w:val="0"/>
                <w:color w:val="000000"/>
                <w:kern w:val="0"/>
                <w:sz w:val="28"/>
                <w:szCs w:val="28"/>
                <w:u w:val="none"/>
                <w:lang w:val="en-US" w:eastAsia="zh-CN" w:bidi="ar"/>
              </w:rPr>
              <w:t>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84A">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熔点仪</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37819E2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01A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4"/>
                          <a:stretch>
                            <a:fillRect/>
                          </a:stretch>
                        </pic:blipFill>
                        <pic:spPr>
                          <a:xfrm>
                            <a:off x="0" y="0"/>
                            <a:ext cx="9525" cy="8890"/>
                          </a:xfrm>
                          <a:prstGeom prst="rect">
                            <a:avLst/>
                          </a:prstGeom>
                          <a:noFill/>
                          <a:ln>
                            <a:noFill/>
                          </a:ln>
                        </pic:spPr>
                      </pic:pic>
                    </a:graphicData>
                  </a:graphic>
                </wp:anchor>
              </w:drawing>
            </w:r>
            <w:r>
              <w:rPr>
                <w:rFonts w:hint="eastAsia" w:ascii="仿宋" w:hAnsi="仿宋" w:eastAsia="仿宋" w:cs="仿宋"/>
                <w:b w:val="0"/>
                <w:bCs w:val="0"/>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8890"/>
                  <wp:effectExtent l="0" t="0" r="0" b="0"/>
                  <wp:wrapNone/>
                  <wp:docPr id="13" name="图片_5_SpCnt_1"/>
                  <wp:cNvGraphicFramePr/>
                  <a:graphic xmlns:a="http://schemas.openxmlformats.org/drawingml/2006/main">
                    <a:graphicData uri="http://schemas.openxmlformats.org/drawingml/2006/picture">
                      <pic:pic xmlns:pic="http://schemas.openxmlformats.org/drawingml/2006/picture">
                        <pic:nvPicPr>
                          <pic:cNvPr id="13" name="图片_5_SpCnt_1"/>
                          <pic:cNvPicPr/>
                        </pic:nvPicPr>
                        <pic:blipFill>
                          <a:blip r:embed="rId4"/>
                          <a:stretch>
                            <a:fillRect/>
                          </a:stretch>
                        </pic:blipFill>
                        <pic:spPr>
                          <a:xfrm>
                            <a:off x="0" y="0"/>
                            <a:ext cx="9525" cy="8890"/>
                          </a:xfrm>
                          <a:prstGeom prst="rect">
                            <a:avLst/>
                          </a:prstGeom>
                          <a:noFill/>
                          <a:ln>
                            <a:noFill/>
                          </a:ln>
                        </pic:spPr>
                      </pic:pic>
                    </a:graphicData>
                  </a:graphic>
                </wp:anchor>
              </w:drawing>
            </w:r>
            <w:r>
              <w:rPr>
                <w:rFonts w:hint="eastAsia" w:ascii="仿宋" w:hAnsi="仿宋" w:eastAsia="仿宋" w:cs="仿宋"/>
                <w:b w:val="0"/>
                <w:bCs w:val="0"/>
                <w:i w:val="0"/>
                <w:iCs w:val="0"/>
                <w:color w:val="000000"/>
                <w:sz w:val="28"/>
                <w:szCs w:val="28"/>
                <w:u w:val="none"/>
                <w:lang w:val="en-US" w:eastAsia="zh-CN"/>
              </w:rPr>
              <w:t>1</w:t>
            </w:r>
          </w:p>
        </w:tc>
        <w:tc>
          <w:tcPr>
            <w:tcW w:w="1376" w:type="dxa"/>
            <w:tcBorders>
              <w:top w:val="single" w:color="000000" w:sz="4" w:space="0"/>
              <w:left w:val="single" w:color="000000" w:sz="4" w:space="0"/>
              <w:bottom w:val="single" w:color="000000" w:sz="4" w:space="0"/>
            </w:tcBorders>
            <w:shd w:val="clear" w:color="auto" w:fill="auto"/>
            <w:noWrap/>
            <w:vAlign w:val="center"/>
          </w:tcPr>
          <w:p w14:paraId="42CAB9B4">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8"/>
                <w:szCs w:val="28"/>
                <w:u w:val="none"/>
                <w:bdr w:val="single" w:color="000000" w:sz="4" w:space="0"/>
                <w:lang w:val="en-US" w:eastAsia="zh-CN" w:bidi="ar"/>
              </w:rPr>
            </w:pPr>
            <w:r>
              <w:rPr>
                <w:rFonts w:hint="eastAsia" w:ascii="仿宋" w:hAnsi="仿宋" w:eastAsia="仿宋" w:cs="仿宋"/>
                <w:b w:val="0"/>
                <w:bCs w:val="0"/>
                <w:i w:val="0"/>
                <w:iCs w:val="0"/>
                <w:snapToGrid w:val="0"/>
                <w:color w:val="000000"/>
                <w:kern w:val="0"/>
                <w:sz w:val="28"/>
                <w:szCs w:val="28"/>
                <w:u w:val="none"/>
                <w:lang w:val="en-US" w:eastAsia="zh-CN" w:bidi="ar"/>
              </w:rPr>
              <w:t>否</w:t>
            </w:r>
          </w:p>
        </w:tc>
      </w:tr>
      <w:tr w14:paraId="0BA92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09" w:type="dxa"/>
            <w:tcBorders>
              <w:top w:val="single" w:color="000000" w:sz="4" w:space="0"/>
              <w:right w:val="single" w:color="000000" w:sz="4" w:space="0"/>
            </w:tcBorders>
            <w:shd w:val="clear" w:color="auto" w:fill="auto"/>
            <w:noWrap/>
            <w:vAlign w:val="center"/>
          </w:tcPr>
          <w:p w14:paraId="0C2B412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snapToGrid w:val="0"/>
                <w:color w:val="000000"/>
                <w:kern w:val="0"/>
                <w:sz w:val="28"/>
                <w:szCs w:val="28"/>
                <w:u w:val="none"/>
                <w:lang w:val="en-US" w:eastAsia="zh-CN" w:bidi="ar"/>
              </w:rPr>
              <w:t>3</w:t>
            </w:r>
          </w:p>
        </w:tc>
        <w:tc>
          <w:tcPr>
            <w:tcW w:w="4197" w:type="dxa"/>
            <w:tcBorders>
              <w:top w:val="single" w:color="000000" w:sz="4" w:space="0"/>
              <w:left w:val="single" w:color="000000" w:sz="4" w:space="0"/>
              <w:right w:val="single" w:color="000000" w:sz="4" w:space="0"/>
            </w:tcBorders>
            <w:shd w:val="clear" w:color="auto" w:fill="auto"/>
            <w:noWrap/>
            <w:vAlign w:val="center"/>
          </w:tcPr>
          <w:p w14:paraId="27D74B4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冷藏箱</w:t>
            </w:r>
          </w:p>
        </w:tc>
        <w:tc>
          <w:tcPr>
            <w:tcW w:w="1380" w:type="dxa"/>
            <w:tcBorders>
              <w:top w:val="single" w:color="000000" w:sz="4" w:space="0"/>
              <w:left w:val="nil"/>
              <w:right w:val="single" w:color="000000" w:sz="4" w:space="0"/>
            </w:tcBorders>
            <w:shd w:val="clear" w:color="auto" w:fill="auto"/>
            <w:vAlign w:val="center"/>
          </w:tcPr>
          <w:p w14:paraId="578090D0">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套</w:t>
            </w:r>
          </w:p>
        </w:tc>
        <w:tc>
          <w:tcPr>
            <w:tcW w:w="810" w:type="dxa"/>
            <w:tcBorders>
              <w:top w:val="single" w:color="000000" w:sz="4" w:space="0"/>
              <w:left w:val="single" w:color="000000" w:sz="4" w:space="0"/>
              <w:right w:val="single" w:color="000000" w:sz="4" w:space="0"/>
            </w:tcBorders>
            <w:shd w:val="clear" w:color="auto" w:fill="auto"/>
            <w:noWrap/>
            <w:vAlign w:val="center"/>
          </w:tcPr>
          <w:p w14:paraId="531F5499">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w:t>
            </w:r>
          </w:p>
        </w:tc>
        <w:tc>
          <w:tcPr>
            <w:tcW w:w="1376" w:type="dxa"/>
            <w:tcBorders>
              <w:top w:val="single" w:color="000000" w:sz="4" w:space="0"/>
              <w:left w:val="single" w:color="000000" w:sz="4" w:space="0"/>
            </w:tcBorders>
            <w:shd w:val="clear" w:color="auto" w:fill="auto"/>
            <w:noWrap/>
            <w:vAlign w:val="center"/>
          </w:tcPr>
          <w:p w14:paraId="20EC59A0">
            <w:pPr>
              <w:keepNext w:val="0"/>
              <w:keepLines w:val="0"/>
              <w:widowControl/>
              <w:suppressLineNumbers w:val="0"/>
              <w:jc w:val="center"/>
              <w:textAlignment w:val="center"/>
              <w:rPr>
                <w:rFonts w:hint="eastAsia" w:ascii="仿宋" w:hAnsi="仿宋" w:eastAsia="仿宋" w:cs="仿宋"/>
                <w:b w:val="0"/>
                <w:bCs w:val="0"/>
                <w:i w:val="0"/>
                <w:iCs w:val="0"/>
                <w:snapToGrid w:val="0"/>
                <w:color w:val="000000"/>
                <w:kern w:val="0"/>
                <w:sz w:val="28"/>
                <w:szCs w:val="28"/>
                <w:u w:val="none"/>
                <w:lang w:val="en-US" w:eastAsia="zh-CN" w:bidi="ar"/>
              </w:rPr>
            </w:pPr>
            <w:r>
              <w:rPr>
                <w:rFonts w:hint="eastAsia" w:ascii="仿宋" w:hAnsi="仿宋" w:eastAsia="仿宋" w:cs="仿宋"/>
                <w:b w:val="0"/>
                <w:bCs w:val="0"/>
                <w:i w:val="0"/>
                <w:iCs w:val="0"/>
                <w:snapToGrid w:val="0"/>
                <w:color w:val="000000"/>
                <w:kern w:val="0"/>
                <w:sz w:val="28"/>
                <w:szCs w:val="28"/>
                <w:u w:val="none"/>
                <w:lang w:val="en-US" w:eastAsia="zh-CN" w:bidi="ar"/>
              </w:rPr>
              <w:t>否</w:t>
            </w:r>
          </w:p>
        </w:tc>
      </w:tr>
    </w:tbl>
    <w:p w14:paraId="019874A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1.三重四级杆气相色谱质谱联用仪（核心产品）1套</w:t>
      </w:r>
    </w:p>
    <w:p w14:paraId="3F960D4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1.1主要技术和性能规格要求</w:t>
      </w:r>
    </w:p>
    <w:p w14:paraId="7AE059A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 柱温箱</w:t>
      </w:r>
    </w:p>
    <w:p w14:paraId="02FD440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1.1.1.1 操作温度：室温以上4℃～ 450℃</w:t>
      </w:r>
    </w:p>
    <w:p w14:paraId="2F3D720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 温度控制精度：≤0.1℃</w:t>
      </w:r>
    </w:p>
    <w:p w14:paraId="6B1C446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1.1.1.3 降温速率：从450℃降至50℃＜220s</w:t>
      </w:r>
    </w:p>
    <w:p w14:paraId="72E89E1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 程序升温：≥19梯度/20平台</w:t>
      </w:r>
    </w:p>
    <w:p w14:paraId="05B148C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1.1.1.5 温度稳定性：环境温度每变化1℃，柱温箱温度变化≤0.01℃</w:t>
      </w:r>
    </w:p>
    <w:p w14:paraId="3ED39A7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1.1.1.6 升温速率：≥ 120℃/min</w:t>
      </w:r>
    </w:p>
    <w:p w14:paraId="5105F94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1.1.1.7 柱温箱冷却时间：从 450℃降到 50℃ ≤250s</w:t>
      </w:r>
    </w:p>
    <w:p w14:paraId="124105E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 具有气体泄露检测传感器</w:t>
      </w:r>
    </w:p>
    <w:p w14:paraId="561E50C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1.1.1.9 具备不卸真空完成更换色谱柱的功能 </w:t>
      </w:r>
    </w:p>
    <w:p w14:paraId="134F22F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1.1.2进样单元</w:t>
      </w:r>
    </w:p>
    <w:p w14:paraId="3F8D6A2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 进样单元数量≥2个</w:t>
      </w:r>
    </w:p>
    <w:p w14:paraId="1EBEE44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★1.1.2.2 进样口：分流/不分流 </w:t>
      </w:r>
    </w:p>
    <w:p w14:paraId="507F169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1.1.2.3 进样口支持泄露检测功能，维护进样口无需工具</w:t>
      </w:r>
    </w:p>
    <w:p w14:paraId="6862FA1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1.1.2.4 最高使用温度：≥400 ℃ </w:t>
      </w:r>
    </w:p>
    <w:p w14:paraId="1FA6918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1.1.2.5 压力控制范围（psi）：0～100 psi，或更宽，压力控制精度：0.001psi</w:t>
      </w:r>
    </w:p>
    <w:p w14:paraId="54070BD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1.1.2.6 压力程序阶数：≥3阶 </w:t>
      </w:r>
    </w:p>
    <w:p w14:paraId="6416783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★1.1.2.7 最大分流比：12000：1或更宽</w:t>
      </w:r>
    </w:p>
    <w:p w14:paraId="55EDA66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1.1.2.8 流量范围：0～1250 mL/min（氦气）或更宽；0～200 mL/min（氮气）</w:t>
      </w:r>
    </w:p>
    <w:p w14:paraId="046704A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1.1.2.9 液体自动进样器</w:t>
      </w:r>
    </w:p>
    <w:p w14:paraId="01C2508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1.1.2.9.1 样品瓶位数：≥155位（2mL）</w:t>
      </w:r>
    </w:p>
    <w:p w14:paraId="748F734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1.1.2.9.2 液体进样量范围：0.1 µL～40 µL或更宽范围</w:t>
      </w:r>
    </w:p>
    <w:p w14:paraId="30BE287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1.1.2.9.3 进样精度：RSD≤0.5%</w:t>
      </w:r>
    </w:p>
    <w:p w14:paraId="6150BC2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1.1.2.9.4 交叉污染：&lt;0.001%，</w:t>
      </w:r>
    </w:p>
    <w:p w14:paraId="0073205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highlight w:val="none"/>
          <w:lang w:val="en-US" w:eastAsia="zh-CN" w:bidi="ar-SA"/>
        </w:rPr>
        <w:t>1.1.2.9.5 保留时间重复性≤</w:t>
      </w:r>
      <w:r>
        <w:rPr>
          <w:rFonts w:hint="eastAsia" w:ascii="仿宋" w:hAnsi="仿宋" w:eastAsia="仿宋" w:cs="仿宋"/>
          <w:kern w:val="2"/>
          <w:sz w:val="28"/>
          <w:szCs w:val="28"/>
          <w:lang w:val="en-US" w:eastAsia="zh-CN" w:bidi="ar-SA"/>
        </w:rPr>
        <w:t>0.0008min</w:t>
      </w:r>
    </w:p>
    <w:p w14:paraId="6088BFC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1.1.2.9.6 可变取样深度：用户可根据使用需求调节进样针的高度，调节深度范围：0.8mm～20mm</w:t>
      </w:r>
    </w:p>
    <w:p w14:paraId="5A33A26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1.1.2.9.7 进样针清洗：进样前和进样后进样针能够清洗 </w:t>
      </w:r>
    </w:p>
    <w:p w14:paraId="60F17FA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1.1.2.9.8 同主机同品牌</w:t>
      </w:r>
    </w:p>
    <w:p w14:paraId="18CB584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1.1.2.10 顶空自动进样器</w:t>
      </w:r>
    </w:p>
    <w:p w14:paraId="1D0FF97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1.1.2.10.1 样品位数量：进样位数≥12位，加热位≥10个</w:t>
      </w:r>
    </w:p>
    <w:p w14:paraId="4559D45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1.1.2.10.2 样品流路温度：室温+10℃至220℃，1℃增量，精度±0.5℃</w:t>
      </w:r>
    </w:p>
    <w:p w14:paraId="10E4192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1.1.2.10.3 定量环：惰化材质（:Sulfinert惰化处理，规格可选≥3种）</w:t>
      </w:r>
    </w:p>
    <w:p w14:paraId="622726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1.1.2.10.4 传输管线：惰化材质，耐受温度：室温+40℃至225℃，1℃增量，精度±0.8℃ </w:t>
      </w:r>
    </w:p>
    <w:p w14:paraId="6534758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1.1.2.10.5 样品瓶:样品瓶隔垫,带聚四氟乙烯层（PTFE）的硅橡胶（耐温≥200℃），</w:t>
      </w:r>
      <w:r>
        <w:rPr>
          <w:rFonts w:hint="eastAsia" w:ascii="仿宋" w:hAnsi="仿宋" w:eastAsia="仿宋" w:cs="仿宋"/>
          <w:kern w:val="2"/>
          <w:sz w:val="28"/>
          <w:szCs w:val="28"/>
          <w:highlight w:val="none"/>
          <w:lang w:val="en-US" w:eastAsia="zh-CN" w:bidi="ar-SA"/>
        </w:rPr>
        <w:t>样品瓶盖：适用压盖（铝盖）或螺纹（不锈钢盖）</w:t>
      </w:r>
      <w:r>
        <w:rPr>
          <w:rFonts w:hint="eastAsia" w:ascii="仿宋" w:hAnsi="仿宋" w:eastAsia="仿宋" w:cs="仿宋"/>
          <w:kern w:val="2"/>
          <w:sz w:val="28"/>
          <w:szCs w:val="28"/>
          <w:highlight w:val="yellow"/>
          <w:lang w:val="en-US" w:eastAsia="zh-CN" w:bidi="ar-SA"/>
        </w:rPr>
        <w:br w:type="textWrapping"/>
      </w:r>
      <w:r>
        <w:rPr>
          <w:rFonts w:hint="eastAsia" w:ascii="仿宋" w:hAnsi="仿宋" w:eastAsia="仿宋" w:cs="仿宋"/>
          <w:kern w:val="2"/>
          <w:sz w:val="28"/>
          <w:szCs w:val="28"/>
          <w:lang w:val="en-US" w:eastAsia="zh-CN" w:bidi="ar-SA"/>
        </w:rPr>
        <w:t>1.1.2.10.6 样品瓶恒温时间：0.00～999.9 (min)</w:t>
      </w:r>
    </w:p>
    <w:p w14:paraId="2F978AB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★1.1.2.10.7 恒温装置温度范围：室温+10℃至225℃，1℃增量，读数精度±0.1℃ </w:t>
      </w:r>
    </w:p>
    <w:p w14:paraId="1DC8C18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lang w:val="en-US" w:eastAsia="zh-CN" w:bidi="ar-SA"/>
        </w:rPr>
        <w:t xml:space="preserve">1.1.2.10.8 载气类型：载气满足设备使用要求 </w:t>
      </w:r>
      <w:r>
        <w:rPr>
          <w:rFonts w:hint="eastAsia" w:ascii="仿宋" w:hAnsi="仿宋" w:eastAsia="仿宋" w:cs="仿宋"/>
          <w:kern w:val="2"/>
          <w:sz w:val="28"/>
          <w:szCs w:val="28"/>
          <w:highlight w:val="none"/>
          <w:lang w:val="en-US" w:eastAsia="zh-CN" w:bidi="ar-SA"/>
        </w:rPr>
        <w:t xml:space="preserve"> </w:t>
      </w:r>
    </w:p>
    <w:p w14:paraId="678F979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1.1.2.</w:t>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highlight w:val="none"/>
          <w:lang w:val="en-US" w:eastAsia="zh-CN" w:bidi="ar-SA"/>
        </w:rPr>
        <w:t>.9 峰面积重复性：RSD≤1.0%</w:t>
      </w:r>
    </w:p>
    <w:p w14:paraId="26660CA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1.1.2.10.10 同主机同品牌</w:t>
      </w:r>
    </w:p>
    <w:p w14:paraId="58D24E0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 xml:space="preserve">1.1.3 质谱性能 </w:t>
      </w:r>
      <w:r>
        <w:rPr>
          <w:rFonts w:hint="eastAsia" w:ascii="仿宋" w:hAnsi="仿宋" w:eastAsia="仿宋" w:cs="仿宋"/>
          <w:kern w:val="2"/>
          <w:sz w:val="28"/>
          <w:szCs w:val="28"/>
          <w:lang w:val="en-US" w:eastAsia="zh-CN" w:bidi="ar-SA"/>
        </w:rPr>
        <w:t xml:space="preserve"> </w:t>
      </w:r>
    </w:p>
    <w:p w14:paraId="039863C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 质量数范围：10～1030 m/z，或更宽，以0.1 m/z递增</w:t>
      </w:r>
    </w:p>
    <w:p w14:paraId="54A0ADD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1.1.3.2 分辨率：0.4～4 amu，可调 </w:t>
      </w:r>
    </w:p>
    <w:p w14:paraId="72C665E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★1.1.3.3 灵敏度：EI MRM：100fg/uL，1uL进样 八氟奈（OFN），S/N＞40000:1（272～222）；或EI SRM：100fg/uL，1uL八氟萘进样, S/N≥50000:1(m/z272～222)；</w:t>
      </w:r>
    </w:p>
    <w:p w14:paraId="5EA1C60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★1.1.3.4 仪器检测限指标（为仪器安装验收指标）：(EI MRM IDL)≤3.5fg  八氟奈（OFN）（提供所投设备相关检测报告，检测报告中需体现色谱柱型号、仪器设备信息等）</w:t>
      </w:r>
    </w:p>
    <w:p w14:paraId="789CBB2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1.1.3.5 采集速率：MRM扫描速率≥800个通道/s或SRM≥800个通道/s</w:t>
      </w:r>
    </w:p>
    <w:p w14:paraId="31A39F0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1.1.3.6 动态线性范围：&gt;8×10</w:t>
      </w:r>
      <w:r>
        <w:rPr>
          <w:rFonts w:hint="eastAsia" w:ascii="仿宋" w:hAnsi="仿宋" w:eastAsia="仿宋" w:cs="仿宋"/>
          <w:kern w:val="2"/>
          <w:sz w:val="28"/>
          <w:szCs w:val="28"/>
          <w:vertAlign w:val="superscript"/>
          <w:lang w:val="en-US" w:eastAsia="zh-CN" w:bidi="ar-SA"/>
        </w:rPr>
        <w:t>6</w:t>
      </w:r>
    </w:p>
    <w:p w14:paraId="55E7C12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1.1.3.7 质量轴稳定性：±0.1amu/24hours。</w:t>
      </w:r>
    </w:p>
    <w:p w14:paraId="4EAF5B3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1.1.3.8 最大扫描速率：≥20000 amu/s</w:t>
      </w:r>
    </w:p>
    <w:p w14:paraId="48420D2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1.1.3.9 离子源 </w:t>
      </w:r>
    </w:p>
    <w:p w14:paraId="2245B80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★1.1.3.9.1 EI源，具有自动清洗或更换离子源能力，离子源无需卸真空自动清洗维护，离子源电子离子化能量：10～150 eV </w:t>
      </w:r>
    </w:p>
    <w:p w14:paraId="22AA300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1.1.3.9.2 离子源温度：独立加热，最大温度≥350℃</w:t>
      </w:r>
    </w:p>
    <w:p w14:paraId="2278236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1.1.3.9.3 接口传输线温度：控温，控温范围最高350℃或等更宽</w:t>
      </w:r>
    </w:p>
    <w:p w14:paraId="120F9AC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1.1.3.9.4 灯丝：双灯丝，具备灯丝保护功能，灯丝电流：0～250uA或更宽</w:t>
      </w:r>
    </w:p>
    <w:p w14:paraId="7D05E81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1.1.3.10 质量分析器</w:t>
      </w:r>
    </w:p>
    <w:p w14:paraId="1B7E59E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★1.1.3.10.1 质量分析器：四级杆具有抗污染能力。</w:t>
      </w:r>
    </w:p>
    <w:p w14:paraId="685B0BB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1.1.3.10.2 碰撞能量：0～60 eV。</w:t>
      </w:r>
    </w:p>
    <w:p w14:paraId="0B8CDCD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1.1.3.11 真空系统：两级分子涡轮泵高真空系统，空气冷却，无需水冷，大抽速机械泵（≥</w:t>
      </w:r>
      <w:r>
        <w:rPr>
          <w:rFonts w:hint="eastAsia" w:ascii="仿宋" w:hAnsi="仿宋" w:eastAsia="仿宋" w:cs="仿宋"/>
          <w:kern w:val="2"/>
          <w:sz w:val="28"/>
          <w:szCs w:val="28"/>
          <w:highlight w:val="none"/>
          <w:lang w:val="en-US" w:eastAsia="zh-CN" w:bidi="ar-SA"/>
        </w:rPr>
        <w:t>2m³</w:t>
      </w:r>
      <w:r>
        <w:rPr>
          <w:rFonts w:hint="eastAsia" w:ascii="仿宋" w:hAnsi="仿宋" w:eastAsia="仿宋" w:cs="仿宋"/>
          <w:kern w:val="2"/>
          <w:sz w:val="28"/>
          <w:szCs w:val="28"/>
          <w:lang w:val="en-US" w:eastAsia="zh-CN" w:bidi="ar-SA"/>
        </w:rPr>
        <w:t>/h）和涡轮分子泵抽力＞200L/s，前级机械泵需配备3年免维护。仪器具备监测高真空和低真空的能力。</w:t>
      </w:r>
    </w:p>
    <w:p w14:paraId="1235F4F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1.1.3.12 具有自动检漏功能，出现泄漏会自动报警和提示处理操作程序。</w:t>
      </w:r>
    </w:p>
    <w:p w14:paraId="05500F5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1.1.3.13 扫描功能：多于全扫描(Full Scan)、子离子扫描( Product Ion Scan)、母离子扫描(Precursor Ion Scan)、中性丢失扫描(Neutral Loss Scan)、选择离子扫描模式(SIM)、选择反应扫描模式(SRM)、多反应扫描模式（MRM），多种扫描模式可以组合同时扫描。</w:t>
      </w:r>
    </w:p>
    <w:p w14:paraId="3968207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1.1.3.14 检测系统：检测器为电子倍增器。</w:t>
      </w:r>
    </w:p>
    <w:p w14:paraId="5C7485A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1.1.4 工作站系统</w:t>
      </w:r>
    </w:p>
    <w:p w14:paraId="485C3FD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1.1.4.1 气相色谱、质谱和质谱工作站之间的数据传输全部由软件控制，数据采集和传输安全可控，可对进样器进行控制。</w:t>
      </w:r>
    </w:p>
    <w:p w14:paraId="3B5168B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1.1.4.2 机载显示屏：具有多功能机载触摸显示屏，实时监测仪器状态、故障提醒与排除提示。</w:t>
      </w:r>
    </w:p>
    <w:p w14:paraId="49854A0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1.1.4.3 软件：软件应该同时包含中文或英文两种软件，用户可根据自己需要安装不同语言版本的软件（软件更新升级需提供客户免费使用）。</w:t>
      </w:r>
    </w:p>
    <w:p w14:paraId="285D938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1.1.4.4 功能：具备手动、自动/智能调谐，数据采集、数据检索、分析结果报告、定量分析、解卷积和未知物谱库检索功能。</w:t>
      </w:r>
    </w:p>
    <w:p w14:paraId="2BD4849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1.1.4.5 数据分析软件应包括常规数据和符合《药物非临床研究质量管理规范》及《药品生产质量管理规范认证管理办法》要求的数据处理等多种分析模式。多种模式通过软件配置互相转换,均能独立工作。</w:t>
      </w:r>
    </w:p>
    <w:p w14:paraId="6C35628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1.1.4.6 操作环境：</w:t>
      </w:r>
      <w:r>
        <w:rPr>
          <w:rFonts w:hint="eastAsia" w:ascii="仿宋" w:hAnsi="仿宋" w:eastAsia="仿宋" w:cs="仿宋"/>
          <w:kern w:val="2"/>
          <w:sz w:val="28"/>
          <w:szCs w:val="28"/>
          <w:highlight w:val="none"/>
          <w:lang w:val="en-US" w:eastAsia="zh-CN" w:bidi="ar-SA"/>
        </w:rPr>
        <w:t>兼容正版操作系统</w:t>
      </w:r>
      <w:r>
        <w:rPr>
          <w:rFonts w:hint="eastAsia" w:ascii="仿宋" w:hAnsi="仿宋" w:eastAsia="仿宋" w:cs="仿宋"/>
          <w:kern w:val="2"/>
          <w:sz w:val="28"/>
          <w:szCs w:val="28"/>
          <w:lang w:val="en-US" w:eastAsia="zh-CN" w:bidi="ar-SA"/>
        </w:rPr>
        <w:t>。</w:t>
      </w:r>
    </w:p>
    <w:p w14:paraId="2FCEFC0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★1.1.4.7 谱库和MRM数据库</w:t>
      </w:r>
    </w:p>
    <w:p w14:paraId="3E31EB8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1.1.4.7.1 谱库：NIST23谱库或最新版NIST数据库（完全免费升级服务）</w:t>
      </w:r>
    </w:p>
    <w:p w14:paraId="047343D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1.1.4.7.2 MRM数据库：≥1000种农药和环境污染物的MRM数据库。其中农残数据库：提供≥500种农药的农残数据库，同时满足MRM和SIM采集的要求（数据库如有更新，可以提供完全免费升级和使用服务），支持用户自建数据库。</w:t>
      </w:r>
    </w:p>
    <w:p w14:paraId="74D5061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1.1.4.7.3 风味物质数据库：≥500种风味的筛查分析［定性筛查（SCAN/MRM 参数、离子对信息、色谱/质谱图谱等）、半定量分析及气味特征描述］。</w:t>
      </w:r>
    </w:p>
    <w:p w14:paraId="73367D2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1.1.4.8 质谱数据处理软件可依据保留时间或保留指数检索谱库当中标准保留时间和质谱信息对样品中可能存在的目标化合物进行自动搜寻，并显示搜寻结果。搜寻结果应显示每个化合物的实测保留时间与谱库当中其标准保留时间的偏差，定量及确认离子之间的标准丰度比与实测丰度比等以供使用者准确定性。质谱数据处理软件/插件能根据GB2763对农药残留进行自动判读。</w:t>
      </w:r>
    </w:p>
    <w:p w14:paraId="7606F9B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1.1.4.9 报告制作：具备报告制作编辑功能，多种类型的模板文件快捷选用，支持自建模板，可免费帮助制作报告。数据生产报告支持PDF输出。</w:t>
      </w:r>
    </w:p>
    <w:p w14:paraId="59943EE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1.1.4.10 质量控制：高精度控制QA/QC功能，支持自动计算噪音、漂移、信噪比、LOD、LOQ、精密度和回收率等方法学指标，具有仪器系统检查功能和用户安全管理功能。</w:t>
      </w:r>
    </w:p>
    <w:p w14:paraId="54B360C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1.1.4.11 网络化控制：可通过网络式管理系统进行软件远程控制和人机分离模式操作。数据处理工作站配置的相应的操作软件，与院LIMS实验室管理系统相互兼容，配备必要硬件（如网卡网口等），连接LIMS系统。</w:t>
      </w:r>
    </w:p>
    <w:p w14:paraId="5A33B96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1.1.4.12 法规符合性：具有安全性策略、系统策略、用户权限和用户管理、审核追踪和理由输入等功能，完全符合国内相关法规的要求。</w:t>
      </w:r>
    </w:p>
    <w:p w14:paraId="141AA1E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1.1.5 输出设备（一）配置要求：</w:t>
      </w:r>
    </w:p>
    <w:p w14:paraId="1D11C33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1.1.5.1 能力要求：激光输出设备，彩色带复印、扫描，双面打印（自动打印），传真功能</w:t>
      </w:r>
    </w:p>
    <w:p w14:paraId="0434F28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1.1.5.2 打印速度≥21页/min；A4纸</w:t>
      </w:r>
    </w:p>
    <w:p w14:paraId="3A11035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1.1.5.3 连接方式：USB接口和（以太网或wifi）</w:t>
      </w:r>
    </w:p>
    <w:p w14:paraId="2CD40CF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1.1.5.4 附带硒鼓（原装），黑色打印≥1200页</w:t>
      </w:r>
    </w:p>
    <w:p w14:paraId="04C9676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1.1.5.5 打印负荷：≥20000页/月</w:t>
      </w:r>
    </w:p>
    <w:p w14:paraId="4C1FF90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1.1.5.6 打印质量： 600 × 600 dpi</w:t>
      </w:r>
    </w:p>
    <w:p w14:paraId="4D8BCFF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1.1.5.7 文件扫描格式：支持JPG、RAW 、PNG、TIFF、PDF</w:t>
      </w:r>
    </w:p>
    <w:p w14:paraId="08A7E31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1.1.5.8 系统要求：兼容多种计算机桌面操作系统。       </w:t>
      </w:r>
    </w:p>
    <w:p w14:paraId="75EE83A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1.1.5.9 内存：≥256 MB DDR、≥256 MB 闪存</w:t>
      </w:r>
    </w:p>
    <w:p w14:paraId="16F85D7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1.1.5.10 保修：附带一年硬件保修</w:t>
      </w:r>
    </w:p>
    <w:p w14:paraId="130FB15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1.1.5.11 复印件规格：缩小/放大设置范围：25%～400%</w:t>
      </w:r>
    </w:p>
    <w:p w14:paraId="1770723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1.1.5.12 端口：USB2.0端口   </w:t>
      </w:r>
    </w:p>
    <w:p w14:paraId="11ADC6E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1.1.6 输出设备（二）配置要求：</w:t>
      </w:r>
    </w:p>
    <w:p w14:paraId="5C4163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1.1.6.1 打印技术：激光打印</w:t>
      </w:r>
    </w:p>
    <w:p w14:paraId="46F1150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1.1.6.2 打印速度：≥18页/min（黑白）</w:t>
      </w:r>
    </w:p>
    <w:p w14:paraId="33CC935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1.1.6.3 连接方式：USB接口</w:t>
      </w:r>
    </w:p>
    <w:p w14:paraId="2E719EE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1.1.6.4 打印质量：600×600 dpi</w:t>
      </w:r>
    </w:p>
    <w:p w14:paraId="31F79D3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1.1.6.5 支持的介质重量：60～163克/平方米</w:t>
      </w:r>
    </w:p>
    <w:p w14:paraId="2D23943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1.1.6.6 系统要求：兼容多种计算机桌面操作系统</w:t>
      </w:r>
    </w:p>
    <w:p w14:paraId="72219CB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1.1.6.7 其他：附带硒鼓（原装），A4纸</w:t>
      </w:r>
    </w:p>
    <w:p w14:paraId="6B655FE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1.1.6.8 保修：附带一年硬件保修</w:t>
      </w:r>
    </w:p>
    <w:p w14:paraId="6CE321C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1.1.6.9 打印负荷：≥5000页/月  </w:t>
      </w:r>
    </w:p>
    <w:p w14:paraId="69161B2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 xml:space="preserve">1.1.7 粉碎设备 </w:t>
      </w:r>
      <w:r>
        <w:rPr>
          <w:rFonts w:hint="eastAsia" w:ascii="仿宋" w:hAnsi="仿宋" w:eastAsia="仿宋" w:cs="仿宋"/>
          <w:kern w:val="2"/>
          <w:sz w:val="28"/>
          <w:szCs w:val="28"/>
          <w:lang w:val="en-US" w:eastAsia="zh-CN" w:bidi="ar-SA"/>
        </w:rPr>
        <w:t xml:space="preserve"> </w:t>
      </w:r>
    </w:p>
    <w:p w14:paraId="06B384F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1.1.7.1 电源  220V,50Hz </w:t>
      </w:r>
    </w:p>
    <w:p w14:paraId="213933B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1.1.7.2 碎纸效果≤3×20mm</w:t>
      </w:r>
    </w:p>
    <w:p w14:paraId="06E71A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1.1.7.3 碎纸能力额定：≥12张/次（A4，70g），最大：≥15张/次（A4，70g）</w:t>
      </w:r>
    </w:p>
    <w:p w14:paraId="16E91D7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1.1.7.4 碎纸速度≥120张/min（A4，70g），≥3米/min</w:t>
      </w:r>
    </w:p>
    <w:p w14:paraId="6B0E96C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1.1.7.5 碎纸宽度≤220mm</w:t>
      </w:r>
    </w:p>
    <w:p w14:paraId="38CF482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1.1.7.6 碎纸箱容积25±5L </w:t>
      </w:r>
    </w:p>
    <w:p w14:paraId="3B3300E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1.1.7.7 连续碎纸时间≥15min</w:t>
      </w:r>
    </w:p>
    <w:p w14:paraId="173AC78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1.1.7.8 保密等级≥4级（DIN 66399-1-2012）</w:t>
      </w:r>
    </w:p>
    <w:p w14:paraId="3A282A1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1.1.7.9 产品尺寸400×320×620mm（±10mm）</w:t>
      </w:r>
    </w:p>
    <w:p w14:paraId="7A07A3A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1.1.7.10 工作噪音</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≤60dB</w:t>
      </w:r>
    </w:p>
    <w:p w14:paraId="2E97B05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1.1.7.11 碎纸入口：1个</w:t>
      </w:r>
    </w:p>
    <w:p w14:paraId="7898540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1.1.8 气相色谱控制器界面：</w:t>
      </w:r>
      <w:r>
        <w:rPr>
          <w:rFonts w:hint="eastAsia" w:ascii="仿宋" w:hAnsi="仿宋" w:eastAsia="仿宋" w:cs="仿宋"/>
          <w:kern w:val="2"/>
          <w:sz w:val="28"/>
          <w:szCs w:val="28"/>
          <w:lang w:val="en-US" w:eastAsia="zh-CN" w:bidi="ar-SA"/>
        </w:rPr>
        <w:t>气相色谱采用智能化设计采用彩色触摸屏设计，全中文引导界面，实时查看仪器状态及色谱图；可远程访问查看仪器状态、控制仪器。</w:t>
      </w:r>
    </w:p>
    <w:p w14:paraId="73BB090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1.1.9 移动数据处理工作站</w:t>
      </w:r>
      <w:r>
        <w:rPr>
          <w:rFonts w:hint="eastAsia" w:ascii="仿宋" w:hAnsi="仿宋" w:eastAsia="仿宋" w:cs="仿宋"/>
          <w:kern w:val="2"/>
          <w:sz w:val="28"/>
          <w:szCs w:val="28"/>
          <w:lang w:val="en-US" w:eastAsia="zh-CN" w:bidi="ar-SA"/>
        </w:rPr>
        <w:t xml:space="preserve"> </w:t>
      </w:r>
    </w:p>
    <w:p w14:paraId="40B359D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1.1.9.1 CPU：≥8核，制程≤5nm ，主频≥3Ghz</w:t>
      </w:r>
    </w:p>
    <w:p w14:paraId="6F6208B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1.1.9.2 内存：≥16GB，LPDDR5规格；</w:t>
      </w:r>
    </w:p>
    <w:p w14:paraId="40F11ED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1.1.9.3 硬盘：≥512GB USF3.1；</w:t>
      </w:r>
    </w:p>
    <w:p w14:paraId="7492503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1.1.9.4 操作系统：支持多种国产操作系统  </w:t>
      </w:r>
    </w:p>
    <w:p w14:paraId="645EAC1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1.1.9.5 屏幕：≥14英寸IPS屏，分辨率≥2160*1440，可视角度≥178°，色域≥97%SRGB，对比度1500:1，峰值亮度≥300尼特</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1.1.9.6 电源键/接口：指纹电源开机二合一按键，USB3.0≥2，USB Type-C≥1，HDMI≥1、迷你RJ45网口≥1、3.5mm立体声耳机接口≥1</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1.1.9.7 数据传输：WiFi IEEE 802.11a/b/g/n/ac，2.4GHz和5GHz；兼容多种蓝牙规格</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1.1.9.8 摄像头：前置隐藏式摄像头≥100万像素</w:t>
      </w:r>
    </w:p>
    <w:p w14:paraId="3FCE4E9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1.1.9.9 音频配置：数字麦克风≥ 4，扬声器≥ 2</w:t>
      </w:r>
    </w:p>
    <w:p w14:paraId="7650581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1.1.10 数据处理工作站：</w:t>
      </w:r>
    </w:p>
    <w:p w14:paraId="39FFE3B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1.1.10.1 系统：支持多种操作系统</w:t>
      </w:r>
    </w:p>
    <w:p w14:paraId="33DDFDB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1.1.10.2 CPU（处理器）：≥8核，≥16线程，主频≥3.2GHz，制程≤15nm，L3级缓存≥16MB     </w:t>
      </w:r>
    </w:p>
    <w:p w14:paraId="3692178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仿宋" w:hAnsi="仿宋" w:eastAsia="微软雅黑" w:cs="仿宋"/>
          <w:kern w:val="2"/>
          <w:sz w:val="28"/>
          <w:szCs w:val="28"/>
          <w:lang w:val="en-US" w:eastAsia="zh-CN" w:bidi="ar-SA"/>
        </w:rPr>
      </w:pPr>
      <w:r>
        <w:rPr>
          <w:rFonts w:hint="eastAsia" w:ascii="仿宋" w:hAnsi="仿宋" w:eastAsia="仿宋" w:cs="仿宋"/>
          <w:kern w:val="2"/>
          <w:sz w:val="28"/>
          <w:szCs w:val="28"/>
          <w:lang w:val="en-US" w:eastAsia="zh-CN" w:bidi="ar-SA"/>
        </w:rPr>
        <w:t>1.1.10.3 GPU（图形处理器）：显存频率≥14000MHz，显存位宽≥128bit，显存容量≥8GB，核心数≥3500，显存≥6000MB GDDR6</w:t>
      </w:r>
    </w:p>
    <w:p w14:paraId="3B99E50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1.1.10.4 内存：≥64GB DDR4 </w:t>
      </w:r>
    </w:p>
    <w:p w14:paraId="0D13BCC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1.1.10.5 存储：系统盘：≥512GB NVMe PCIe 4.0 SSD ；数据盘：≥2×1TB～2TB SATA III SSD (企业级/数据中心级) 配置为RAID 1</w:t>
      </w:r>
    </w:p>
    <w:p w14:paraId="0E8CCD9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1.1.10.6 主板：要求支持所选的CPU和ECC</w:t>
      </w:r>
    </w:p>
    <w:p w14:paraId="57C68EC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1.1.10.7 电源：额定功率≥1600W ，供电接口（大4pin）≥5个</w:t>
      </w:r>
    </w:p>
    <w:p w14:paraId="2474600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1.1.10.8 散热系统：采用空冷散热器</w:t>
      </w:r>
    </w:p>
    <w:p w14:paraId="33B16ED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1.1.10.9 显示设备：≥27英寸，IPS 面板显示器，分辨率≥2560×1440</w:t>
      </w:r>
    </w:p>
    <w:p w14:paraId="387B5B6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1.1.10.10 其他：配置鼠标和键盘，与电脑同厂商</w:t>
      </w:r>
    </w:p>
    <w:p w14:paraId="335F6A0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1.1.11 数据移动硬盘</w:t>
      </w:r>
    </w:p>
    <w:p w14:paraId="094966F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1.1.11.1 容量：≥5TB</w:t>
      </w:r>
    </w:p>
    <w:p w14:paraId="635DC08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1.1.11.2 接口：USB-C原厂；USB-A转接头</w:t>
      </w:r>
    </w:p>
    <w:p w14:paraId="6328775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1.1.11.3 传输速度：持续读写120～130MB/S</w:t>
      </w:r>
    </w:p>
    <w:p w14:paraId="26AE211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1.1.11.4 加密：硬件级AES 256位加密</w:t>
      </w:r>
    </w:p>
    <w:p w14:paraId="387FA1F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1.1.12 控温设备</w:t>
      </w:r>
      <w:r>
        <w:rPr>
          <w:rFonts w:hint="eastAsia" w:ascii="仿宋" w:hAnsi="仿宋" w:eastAsia="仿宋" w:cs="仿宋"/>
          <w:kern w:val="2"/>
          <w:sz w:val="28"/>
          <w:szCs w:val="28"/>
          <w:lang w:val="en-US" w:eastAsia="zh-CN" w:bidi="ar-SA"/>
        </w:rPr>
        <w:t xml:space="preserve"> </w:t>
      </w:r>
    </w:p>
    <w:p w14:paraId="734E13B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1.1.12.1 控温设备 （一）   </w:t>
      </w:r>
    </w:p>
    <w:p w14:paraId="05F351D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1.1.12.1.1 匹数≥ 3匹，</w:t>
      </w:r>
    </w:p>
    <w:p w14:paraId="512EDAB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1.1.12.1.2 变频，立式控温设备 </w:t>
      </w:r>
    </w:p>
    <w:p w14:paraId="18970A1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1.1.12.1.3 控温设备制冷使用面积≥50平方米</w:t>
      </w:r>
    </w:p>
    <w:p w14:paraId="43BD50A6">
      <w:pPr>
        <w:keepNext w:val="0"/>
        <w:keepLines w:val="0"/>
        <w:pageBreakBefore w:val="0"/>
        <w:widowControl w:val="0"/>
        <w:kinsoku/>
        <w:wordWrap/>
        <w:overflowPunct/>
        <w:topLinePunct w:val="0"/>
        <w:autoSpaceDE w:val="0"/>
        <w:autoSpaceDN w:val="0"/>
        <w:bidi w:val="0"/>
        <w:adjustRightInd w:val="0"/>
        <w:snapToGrid/>
        <w:spacing w:line="500" w:lineRule="exact"/>
        <w:ind w:left="1200" w:hanging="1120" w:hangingChars="4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1.1.12.1.4 控温设备室内机与外机距离约13米，含管路、材料、安装 </w:t>
      </w:r>
    </w:p>
    <w:p w14:paraId="3787614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1.1.12.2 控温设备 （二）</w:t>
      </w:r>
    </w:p>
    <w:p w14:paraId="0C3B136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1.1.12.2.1 电源220V，匹数≥ 2匹,</w:t>
      </w:r>
    </w:p>
    <w:p w14:paraId="4A6E805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1.1.12.2.2 变频控温设备 </w:t>
      </w:r>
    </w:p>
    <w:p w14:paraId="49C5F92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1.1.12.2.3 控温设备制冷使用面积约15平方米，</w:t>
      </w:r>
    </w:p>
    <w:p w14:paraId="7BB2152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1.1.12.2.4 控温设备室内机与外机距离约50米，含管路、材料、安装 </w:t>
      </w:r>
    </w:p>
    <w:p w14:paraId="54B6E74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1.1.13 气路改造要求（含材料和安装）：</w:t>
      </w:r>
      <w:r>
        <w:rPr>
          <w:rFonts w:hint="eastAsia" w:ascii="仿宋" w:hAnsi="仿宋" w:eastAsia="仿宋" w:cs="仿宋"/>
          <w:kern w:val="2"/>
          <w:sz w:val="28"/>
          <w:szCs w:val="28"/>
          <w:lang w:val="en-US" w:eastAsia="zh-CN" w:bidi="ar-SA"/>
        </w:rPr>
        <w:t>不锈钢洁净线路约16米，含2个阀门（减压阀气阀、管路卡具），含2个气瓶柜（带排风）</w:t>
      </w:r>
    </w:p>
    <w:p w14:paraId="125B67D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1.1.14 通风改造改造要求（含材料和安装）：</w:t>
      </w:r>
    </w:p>
    <w:p w14:paraId="50C33DC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lang w:val="en-US" w:eastAsia="zh-CN" w:bidi="ar-SA"/>
        </w:rPr>
        <w:t xml:space="preserve">1.1.14.1 </w:t>
      </w:r>
      <w:r>
        <w:rPr>
          <w:rFonts w:hint="eastAsia" w:ascii="仿宋" w:hAnsi="仿宋" w:eastAsia="仿宋" w:cs="仿宋"/>
          <w:kern w:val="2"/>
          <w:sz w:val="28"/>
          <w:szCs w:val="28"/>
          <w:highlight w:val="none"/>
          <w:lang w:val="en-US" w:eastAsia="zh-CN" w:bidi="ar-SA"/>
        </w:rPr>
        <w:t>万向罩规格：管径75 mm±5mm，罩口：375 mm±5mm；接口尺寸：110mm±5mm</w:t>
      </w:r>
    </w:p>
    <w:p w14:paraId="3F86D73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1.1.14.2 材质：防腐PP材质，密封垫圈：高密度橡胶</w:t>
      </w:r>
    </w:p>
    <w:p w14:paraId="0BD040A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1.1.14.3 功能：防腐耐酸碱，表面抗氧化处理，具有气流调节阀</w:t>
      </w:r>
    </w:p>
    <w:p w14:paraId="0ADFA7F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1.1.14.4 连接杆：304不锈钢</w:t>
      </w:r>
    </w:p>
    <w:p w14:paraId="3591C6B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1.1.14.5 伸缩导管：80mm合金</w:t>
      </w:r>
      <w:r>
        <w:rPr>
          <w:rFonts w:hint="eastAsia" w:ascii="仿宋" w:hAnsi="仿宋" w:eastAsia="仿宋" w:cs="仿宋"/>
          <w:kern w:val="2"/>
          <w:sz w:val="28"/>
          <w:szCs w:val="28"/>
          <w:highlight w:val="none"/>
          <w:lang w:val="en-US" w:eastAsia="zh-CN" w:bidi="ar-SA"/>
        </w:rPr>
        <w:t>±10mm</w:t>
      </w:r>
    </w:p>
    <w:p w14:paraId="54494F9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1.1.14.6 固定底座：铝合金一体成型/高密度PVC材质</w:t>
      </w:r>
    </w:p>
    <w:p w14:paraId="0161594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1.1.14.7 集气罩：高密度PP/PC材质  </w:t>
      </w:r>
    </w:p>
    <w:p w14:paraId="4EDCE3E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1.1.15 排气系统改造要求（含材料和安装）：</w:t>
      </w:r>
      <w:r>
        <w:rPr>
          <w:rFonts w:hint="eastAsia" w:ascii="仿宋" w:hAnsi="仿宋" w:eastAsia="仿宋" w:cs="仿宋"/>
          <w:kern w:val="2"/>
          <w:sz w:val="28"/>
          <w:szCs w:val="28"/>
          <w:lang w:val="en-US" w:eastAsia="zh-CN" w:bidi="ar-SA"/>
        </w:rPr>
        <w:t>机械泵废气排放管路，PVC材质（约6米）</w:t>
      </w:r>
    </w:p>
    <w:p w14:paraId="0C3799B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1.1.16 电路改造要求（含材料和安装）：</w:t>
      </w:r>
      <w:r>
        <w:rPr>
          <w:rFonts w:hint="eastAsia" w:ascii="仿宋" w:hAnsi="仿宋" w:eastAsia="仿宋" w:cs="仿宋"/>
          <w:kern w:val="2"/>
          <w:sz w:val="28"/>
          <w:szCs w:val="28"/>
          <w:lang w:val="en-US" w:eastAsia="zh-CN" w:bidi="ar-SA"/>
        </w:rPr>
        <w:t>配电箱到UPS：约15米，UPS到设备电源线：约3.5米（含插线板），带线槽和线管</w:t>
      </w:r>
    </w:p>
    <w:p w14:paraId="7656DE7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1.1.17 不间断电源（UPS电源）</w:t>
      </w:r>
    </w:p>
    <w:p w14:paraId="6508BBB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1.1.17.1 额定容量：6 KVA /4800W</w:t>
      </w:r>
    </w:p>
    <w:p w14:paraId="7A1BCA0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1.1.17.2 输出电压：220（1±1%）VAC，50/60Hz</w:t>
      </w:r>
    </w:p>
    <w:p w14:paraId="6C5FFCA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1.1.17.3 输入电压：220VAC～240VAC </w:t>
      </w:r>
    </w:p>
    <w:p w14:paraId="4F627EC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1.1.17 .4 延时≥1小时</w:t>
      </w:r>
    </w:p>
    <w:p w14:paraId="36C0AE2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1.1.17 .5 具备电压调节和保护功能，输出电压及波形满足仪器需要 </w:t>
      </w:r>
    </w:p>
    <w:p w14:paraId="06FB1BC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1.1.18 官方免费质量保障服务：</w:t>
      </w:r>
    </w:p>
    <w:p w14:paraId="6FF940D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1.1.18.1 厂家提供免费技术咨询，用户可以随时就技术问题进行咨询。</w:t>
      </w:r>
    </w:p>
    <w:p w14:paraId="06CF99B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1.1.18.2 质保期内供货商提供免费质量保修服务并按中华人民共和国有关行业规定进行质量“三包”。质保期内厂家提供仪器（包括但不限于主机、工作站）维修、售后等产生的所有配件及消耗品，并承担相应费用。</w:t>
      </w:r>
    </w:p>
    <w:p w14:paraId="4FCBBF4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1.1.18.3 国家标准更新及使用单位需要时，厂家免费提供并指导相关方法的建立。提供缩短分析时间的农残检测方法。</w:t>
      </w:r>
    </w:p>
    <w:p w14:paraId="5164A0F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1.1.18.4 质保期后，每年提供一次免费上门维护保养服务；根据客户需求提供3次免费上门仪器培训。</w:t>
      </w:r>
    </w:p>
    <w:p w14:paraId="47304C7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1.1.18.5 安装后，经销商提供有资质的检定校准单位对设备进行检定/校准，附有资的检定校准单位的资质控定/校准报告。</w:t>
      </w:r>
    </w:p>
    <w:p w14:paraId="7D75BB2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p>
    <w:p w14:paraId="3B1B697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 w:eastAsia="zh-CN" w:bidi="ar-SA"/>
        </w:rPr>
      </w:pPr>
      <w:r>
        <w:rPr>
          <w:rFonts w:hint="eastAsia" w:ascii="仿宋" w:hAnsi="仿宋" w:eastAsia="仿宋" w:cs="仿宋"/>
          <w:b/>
          <w:bCs/>
          <w:kern w:val="2"/>
          <w:sz w:val="28"/>
          <w:szCs w:val="28"/>
          <w:lang w:val="en-US" w:eastAsia="zh-CN" w:bidi="ar-SA"/>
        </w:rPr>
        <w:t>1.2 仪器配置</w:t>
      </w:r>
      <w:r>
        <w:rPr>
          <w:rFonts w:hint="eastAsia" w:ascii="仿宋" w:hAnsi="仿宋" w:eastAsia="仿宋" w:cs="仿宋"/>
          <w:kern w:val="2"/>
          <w:sz w:val="28"/>
          <w:szCs w:val="28"/>
          <w:lang w:val="en" w:eastAsia="zh-CN" w:bidi="ar-SA"/>
        </w:rPr>
        <w:t xml:space="preserve"> </w:t>
      </w:r>
    </w:p>
    <w:p w14:paraId="718F50B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 三重四极杆气相色谱质谱主机(EI)≥ 1套</w:t>
      </w:r>
    </w:p>
    <w:p w14:paraId="307188DA">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 离子源（EI源）≥1套</w:t>
      </w:r>
    </w:p>
    <w:p w14:paraId="59A6743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1.2.3 气相色谱主机≥1台，</w:t>
      </w:r>
    </w:p>
    <w:p w14:paraId="710B824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1.2.4 控制硬件和软件（包含数据采集、数据分析等必备软件）≥各1套</w:t>
      </w:r>
    </w:p>
    <w:p w14:paraId="1A490BB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1.2.5 进样口≥2个，色谱柱温箱≥1套，系统控制器≥1套</w:t>
      </w:r>
    </w:p>
    <w:p w14:paraId="098047A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1.2.6 自动进样器≥2套；</w:t>
      </w:r>
    </w:p>
    <w:p w14:paraId="3F46850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1.2.6.1 液体自动进样器≥1套</w:t>
      </w:r>
    </w:p>
    <w:p w14:paraId="7FE9E08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1.2.6.2 顶空自动进样器≥1套（含传输线、进样阀、定量环、传热导线、气体连接管路、启动包、传输管线、加热装置等必备配件）</w:t>
      </w:r>
    </w:p>
    <w:p w14:paraId="31F8024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1.2.7 NIST23数据库或最新版NIST数据库 ≥1套</w:t>
      </w:r>
    </w:p>
    <w:p w14:paraId="1496CFD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1.2.8 提供≥1000种农药污染物的MRM数据库≥1套（及时更新和用户终身免费使用）；专业农残数据库≥1套；（GB23200.113方法、GB23200.8和GB2763农残大方法 各1套）；提供挥发性物质/风味物质数据库及配套数据处理软件/插件</w:t>
      </w:r>
    </w:p>
    <w:p w14:paraId="2F04DB9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1.2.9 工具包≥1套［包括但不限于：原装双头扳手10×12R≥2个；原装双头扳手6×8R≥2个；原装镊子≥1个；原装螺丝刀转矩2＃100MM≥1个；原装螺母扳手≥1个；原装螺丝刀≥1个；原装扳手≥1个；原装夹具≥3套；原装切割工具用于切割毛细管柱≥1套；原装六角螺丝刀≥1个；原装平行销≥1个；原装G型空螺母≥2套，离子源清洗设备（抛光粉、无尘布及其他必需品）≥1套，设备防尘罩≥1套］ </w:t>
      </w:r>
    </w:p>
    <w:p w14:paraId="107B0A1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1.2.10 数据处理工作站≥2套 </w:t>
      </w:r>
    </w:p>
    <w:p w14:paraId="70F026B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1.2.11 输出设备≥2套</w:t>
      </w:r>
    </w:p>
    <w:p w14:paraId="5B53C9B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1.2.11.1 输出设备（一）≥1套</w:t>
      </w:r>
    </w:p>
    <w:p w14:paraId="08D2D1F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1.2.11.1 输出设备（二）≥1套</w:t>
      </w:r>
    </w:p>
    <w:p w14:paraId="3441AD5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1.2.12 移动数据处理工作站≥ 1套</w:t>
      </w:r>
    </w:p>
    <w:p w14:paraId="768B291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1.2.13 捕集阱:≥4套</w:t>
      </w:r>
    </w:p>
    <w:p w14:paraId="1E14AC9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1.2.13.1 大体积气体捕集阱 ≥1套</w:t>
      </w:r>
    </w:p>
    <w:p w14:paraId="5C32232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1.2.13.2 除氧专用净化器/捕集阱 ≥1套</w:t>
      </w:r>
    </w:p>
    <w:p w14:paraId="42D6E37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1.2.13.3 除水专用净化器/捕集阱≥ 1套，</w:t>
      </w:r>
    </w:p>
    <w:p w14:paraId="2BE3D4D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1.2.13.4 除烃专用净化器/捕集阱≥ 1套</w:t>
      </w:r>
    </w:p>
    <w:p w14:paraId="29B0312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1.2.14 机械真空泵 ≥1套（含泵油≥ 4L、管路≥1套（含废气排放管路）），</w:t>
      </w:r>
    </w:p>
    <w:p w14:paraId="20AB645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1.2.15 分子涡轮泵≥ 1套</w:t>
      </w:r>
    </w:p>
    <w:p w14:paraId="19D05AE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1.2.16 中等极性质谱柱，60m,0.25mm,0.25μm色谱柱或等同极性的色谱柱  ≥ 2套（用户可选择具体型号）</w:t>
      </w:r>
    </w:p>
    <w:p w14:paraId="673A53E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1.2.17 强极性质谱柱，60m,0.25mm，0.25μm色谱柱或等同极性的色谱柱  ≥ 2套（用户可选择具体型号）</w:t>
      </w:r>
    </w:p>
    <w:p w14:paraId="6ECBC99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1.2.18 分流平板（含垫圈）≥5套，调谐液≥1套，检漏液≥1套</w:t>
      </w:r>
    </w:p>
    <w:p w14:paraId="43B7DCA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进样针≥5套；进样垫≥200片；石墨压环/密封垫≥50个（与提供色谱柱内径配套）；O型圈≥50个；分流衬管≥10个；不分流衬管≥10个；柱螺母≥5个；灯丝≥2个；1.5～2.0mL的进样器及瓶盖（含密封垫）≥1000套，低流失进样隔垫≥50个，顶空瓶及瓶盖300个（含起盖、压盖工具≥1套）</w:t>
      </w:r>
    </w:p>
    <w:p w14:paraId="31AB5D6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1.2.19 不间断电源（UPS电源）≥ 1套 </w:t>
      </w:r>
    </w:p>
    <w:p w14:paraId="33B6610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1.2.20 农药混标(≥ 204种)≥2套（20支）（根据客户需要选择农残化合物）</w:t>
      </w:r>
    </w:p>
    <w:p w14:paraId="4CF4BEE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全部验收用标准品（满足验收要求）；仪器所需调谐液≥1套</w:t>
      </w:r>
    </w:p>
    <w:p w14:paraId="65D30B2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1.2.21 钢瓶及减压阀、管路≥4套</w:t>
      </w:r>
    </w:p>
    <w:p w14:paraId="5E4F7AF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1.2.21.1 氦气钢瓶及减压阀、管路≥2套，氦气1瓶(纯度≥99.999%)</w:t>
      </w:r>
    </w:p>
    <w:p w14:paraId="7110294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1.2.21.2 氮气或氩气钢瓶及减压阀、管路≥2套（根据仪器要求可调整气体种类），氮气或氩气1瓶(纯度≥99.999%)</w:t>
      </w:r>
    </w:p>
    <w:p w14:paraId="03F544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1.2.21.3 配套的报警型气瓶柜≥2个</w:t>
      </w:r>
    </w:p>
    <w:p w14:paraId="7091D6FF">
      <w:pPr>
        <w:keepNext w:val="0"/>
        <w:keepLines w:val="0"/>
        <w:pageBreakBefore w:val="0"/>
        <w:widowControl w:val="0"/>
        <w:kinsoku/>
        <w:wordWrap/>
        <w:overflowPunct/>
        <w:topLinePunct w:val="0"/>
        <w:autoSpaceDE w:val="0"/>
        <w:autoSpaceDN w:val="0"/>
        <w:bidi w:val="0"/>
        <w:adjustRightInd w:val="0"/>
        <w:snapToGrid/>
        <w:spacing w:line="500" w:lineRule="exact"/>
        <w:ind w:left="1500" w:hanging="1400" w:hangingChars="5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1.2.22 仪器操作及维护指导手册（纸质版、电子版和视频DVD） 各1套</w:t>
      </w:r>
    </w:p>
    <w:p w14:paraId="28F6365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1.2.23 分流/不分流进样口≥1套； 程序升温进样口≥ 1套</w:t>
      </w:r>
    </w:p>
    <w:p w14:paraId="5286CF5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1.2.24 控温设备≥2套 </w:t>
      </w:r>
    </w:p>
    <w:p w14:paraId="29CBE2B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1.2.24.1 控温设备（一）≥1套 </w:t>
      </w:r>
    </w:p>
    <w:p w14:paraId="630388C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1.2.24.2 控温设备（一）≥1套 </w:t>
      </w:r>
    </w:p>
    <w:p w14:paraId="11D7F61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1.2.25 粉碎设备≥1套</w:t>
      </w:r>
    </w:p>
    <w:p w14:paraId="14A7B1F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1.2.26 数据移动硬盘≥1套</w:t>
      </w:r>
    </w:p>
    <w:p w14:paraId="48059F3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1.2.27 气路改造项目≥1套（含材料和安装）</w:t>
      </w:r>
    </w:p>
    <w:p w14:paraId="5A5A74E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1.2.28 通风改造项目≥1套（含材料和安装）</w:t>
      </w:r>
    </w:p>
    <w:p w14:paraId="4D84CD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1.2.29 排气系统改造项目≥1套（含材料和安装） </w:t>
      </w:r>
    </w:p>
    <w:p w14:paraId="270F09A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1.2.30 电路改造项目≥1套（含材料和安装）</w:t>
      </w:r>
    </w:p>
    <w:p w14:paraId="22B5409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1.2.31 官方免费质量保障服务2年</w:t>
      </w:r>
    </w:p>
    <w:p w14:paraId="2FAE4D8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1.2.32 其他必配但未提及的必需配件、软件和谱库</w:t>
      </w:r>
    </w:p>
    <w:p w14:paraId="06C463A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★1.3 质量及验收标准：</w:t>
      </w:r>
      <w:r>
        <w:rPr>
          <w:rFonts w:hint="eastAsia" w:ascii="仿宋" w:hAnsi="仿宋" w:eastAsia="仿宋" w:cs="仿宋"/>
          <w:kern w:val="2"/>
          <w:sz w:val="28"/>
          <w:szCs w:val="28"/>
          <w:lang w:val="en-US" w:eastAsia="zh-CN" w:bidi="ar-SA"/>
        </w:rPr>
        <w:t>质量符合买方要求并符合厂家规定的各项标准，满足食品安全国家标准的检测方法要求，符合国际、国内相关标准和法规的要求，并协助进行方法学验证满足回收率要求，同时满足厂家标准验收程序和中国国家计量标准部门或行业的有关规程的验收要求，工程师现场开展GB 23200.113［包含GB 23200.113-2018和食品安全国家标准植物源性食品中242种农药及其代谢物残留量的测定气相色谱-质谱联用法（征求意见稿）］和GB23200.8的方法建立、验证及培训。</w:t>
      </w:r>
    </w:p>
    <w:p w14:paraId="0AD22DC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1.4安装培训：</w:t>
      </w:r>
      <w:r>
        <w:rPr>
          <w:rFonts w:hint="eastAsia" w:ascii="仿宋" w:hAnsi="仿宋" w:eastAsia="仿宋" w:cs="仿宋"/>
          <w:kern w:val="2"/>
          <w:sz w:val="28"/>
          <w:szCs w:val="28"/>
          <w:lang w:val="en-US" w:eastAsia="zh-CN" w:bidi="ar-SA"/>
        </w:rPr>
        <w:t xml:space="preserve">到货后，仪器公司免费提供全面安装工具、并由仪器工程师免费安装，提供仪器正常使用所需的各种配件等，保证仪器安装后能正常使用。中标商需安排厂家有经验的工程技术人员到用户现场安装、调试仪器设备安装完成后，实验室不需要额外增加设备和用具，仅提供检测样液即可开展检测。由中标供应商商提供设备安装完成后二年内的备件及易耗品;按验收指标逐项测试,帮助用户掌握仪器结构、设备操作、日常维护等，直至达到招标要求;仪器公司提供全面安装工具、并由仪器工程师安装，并承担相应费用。安装验收期间，安装工程师提供现场基础原理介绍并对用户进行仪器的基本操作和日常维护等的现场培训，中标商需安排厂家有经验的工程技术人员开展方法建立、验证及培训。 </w:t>
      </w:r>
    </w:p>
    <w:p w14:paraId="29A4F29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仪器公司另为用户提供生产厂家培训中心举办的仪器培训班免费培训，仪器使用 2-3个月后，中标供应商负责向采购人提供（2人次/5天/1套）免费中国境内厂家培训中心高级培训(免费培训包含2个采购人培训费、车旅费和住宿费)，合格者发给培训结业证书。培训内容包括:软件高级应用、样品处理、日常维护和故障处理，帮助及指导用户进行实际样品的分析方法的开发，并承担相应培训费用。 </w:t>
      </w:r>
    </w:p>
    <w:p w14:paraId="4D702E5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p>
    <w:p w14:paraId="2DA3D52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2.熔点仪  1套</w:t>
      </w:r>
    </w:p>
    <w:p w14:paraId="2AD5929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2.1 主要技术和性能规格要求</w:t>
      </w:r>
    </w:p>
    <w:p w14:paraId="6154A45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2.1.1 熔点测定范围：室温至270℃；</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2.1.2 升温速率：0.5℃/min、1.0℃/min、1.5℃/min、2.0℃/min、3.0℃/min，或可在（0.5℃/min～3.0℃/min范围之内）自行设置；</w:t>
      </w:r>
    </w:p>
    <w:p w14:paraId="384A687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2.1.3 线性升温速率精度：≤5%；</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2.1.4 熔点测定精度：测定范围＜200℃时应小于等于±0.5℃，＞200℃时应小于等于±1.0℃；</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2.1.5 温度预置：室温至250℃范围内任意预置；</w:t>
      </w:r>
    </w:p>
    <w:p w14:paraId="7878F1B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2.1.6 应具有即时温度显示和初熔点、终熔点记录功能，可记录两个熔点值；</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2.1.7 电源插头需满足国标要求（220V±10%，功率＜200W，频率50HZ），不额外转接。</w:t>
      </w:r>
    </w:p>
    <w:p w14:paraId="74BCF2B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2.1.8 应满足《中国药典》2025年版四部通则0612第一法 A.传温液加热法中关于对仪器用具与测定方法的规定和要求。</w:t>
      </w:r>
    </w:p>
    <w:p w14:paraId="3E81A44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2.2 仪器配置</w:t>
      </w:r>
    </w:p>
    <w:p w14:paraId="781A492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 熔点仪     1套</w:t>
      </w:r>
    </w:p>
    <w:p w14:paraId="6EE7BB3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 传温介质5瓶：500ml甲基硅油；</w:t>
      </w:r>
    </w:p>
    <w:p w14:paraId="59154C9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 传稳液杯5个：250ml高型烧杯；</w:t>
      </w:r>
    </w:p>
    <w:p w14:paraId="58E965B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 配套毛细管：100个（满足《中国药典》要求）</w:t>
      </w:r>
    </w:p>
    <w:p w14:paraId="67CAD80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2.2.5 洁净玻璃管：5根（≥1米/根）</w:t>
      </w:r>
    </w:p>
    <w:p w14:paraId="5ACD7B5D">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2.2.6 配套玻璃温度计：1个（满足《中国药典》要求，含计量） </w:t>
      </w:r>
    </w:p>
    <w:p w14:paraId="4304441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2.2.7 其他必配但未提及的必需配件。</w:t>
      </w:r>
    </w:p>
    <w:p w14:paraId="3B1827E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2.3 质量及验收标准：</w:t>
      </w:r>
      <w:r>
        <w:rPr>
          <w:rFonts w:hint="eastAsia" w:ascii="仿宋" w:hAnsi="仿宋" w:eastAsia="仿宋" w:cs="仿宋"/>
          <w:kern w:val="2"/>
          <w:sz w:val="28"/>
          <w:szCs w:val="28"/>
          <w:lang w:val="en-US" w:eastAsia="zh-CN" w:bidi="ar-SA"/>
        </w:rPr>
        <w:t>质量符合买方要求并符合厂家规定的各项标准，满足《中国药典》2025年版四部通则0612第一法 A.传温液加热法中关于对仪器用具与测定方法的规定和要求。</w:t>
      </w:r>
    </w:p>
    <w:p w14:paraId="15427DF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2.4 培训：</w:t>
      </w:r>
      <w:r>
        <w:rPr>
          <w:rFonts w:hint="eastAsia" w:ascii="仿宋" w:hAnsi="仿宋" w:eastAsia="仿宋" w:cs="仿宋"/>
          <w:kern w:val="2"/>
          <w:sz w:val="28"/>
          <w:szCs w:val="28"/>
          <w:lang w:val="en-US" w:eastAsia="zh-CN" w:bidi="ar-SA"/>
        </w:rPr>
        <w:t>仪器到货安装后，安装工程师提供现场基础原理介绍并进行基本操作培训，包括基础知识及原理、硬件的日常维护等；仪器使用2-3个月后，将免费提供厂家上门回访培训维护，并承担相应培训维护费用。</w:t>
      </w:r>
    </w:p>
    <w:p w14:paraId="74A533E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 其他：</w:t>
      </w:r>
    </w:p>
    <w:p w14:paraId="1802C57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2.5.1 提供≥2年的免费保修，终身维修。</w:t>
      </w:r>
    </w:p>
    <w:p w14:paraId="1D655F8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2.5.2 仪器设备如有检定校准要求，安装后，经销商提供有资质的检定校准单位对设备进行检定/校准，附有资质的检定校准单位的资质材料和检定/校准报告。</w:t>
      </w:r>
    </w:p>
    <w:p w14:paraId="2AAFA7C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2.5.3 配置的操作软件，与院LIMS实验室管理系统相互兼容，配备必要硬件，连接LIMS系统。</w:t>
      </w:r>
    </w:p>
    <w:p w14:paraId="3177F1F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p>
    <w:p w14:paraId="551E298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3.冷藏箱  1套</w:t>
      </w:r>
    </w:p>
    <w:p w14:paraId="7705D1E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3.1 主要技术和性能规格要求</w:t>
      </w:r>
    </w:p>
    <w:p w14:paraId="01EA611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3.1.1 产品形式：立式玻璃双开门</w:t>
      </w:r>
    </w:p>
    <w:p w14:paraId="37EEB54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3.1.2 冷却方式：风冷</w:t>
      </w:r>
    </w:p>
    <w:p w14:paraId="4A4A4AD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3.1.3 制冷剂：无氟制冷剂</w:t>
      </w:r>
    </w:p>
    <w:p w14:paraId="5CBA450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3.1.4 箱内温度范围 ：0～8℃，可调节，精度±0.1℃</w:t>
      </w:r>
    </w:p>
    <w:p w14:paraId="5E3A966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3.1.5 有效容积：≥900 L</w:t>
      </w:r>
    </w:p>
    <w:p w14:paraId="5B5B1E82">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3.1.6 温控方式：电脑板温控</w:t>
      </w:r>
    </w:p>
    <w:p w14:paraId="568CC80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3.1.7 温度显示：LED数字式</w:t>
      </w:r>
    </w:p>
    <w:p w14:paraId="20DE890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3.1.8 有带刹车的脚轮+底脚。</w:t>
      </w:r>
    </w:p>
    <w:p w14:paraId="73E321A9">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3.2 配置要求</w:t>
      </w:r>
    </w:p>
    <w:p w14:paraId="06BE035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3.2.1 冷藏冷冻冰箱≥ 1台</w:t>
      </w:r>
    </w:p>
    <w:p w14:paraId="2CD6FAD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3.2.2 其他必配但未提及的必需配件。</w:t>
      </w:r>
    </w:p>
    <w:p w14:paraId="47D221C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3.3 其他：</w:t>
      </w:r>
    </w:p>
    <w:p w14:paraId="3CD178C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3.3.1 供应商提供安装调试，提供仪器正常使用所需的各种配件和技术资料等，保证仪器安装后能正常使用。</w:t>
      </w:r>
    </w:p>
    <w:p w14:paraId="16BDD3D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3.3.2 为保证产品质量，所投产品应提供相应的证书和售后服务承诺书。</w:t>
      </w:r>
    </w:p>
    <w:p w14:paraId="787708E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3.3.3 提供≥2年的免费保修，终身维修。</w:t>
      </w:r>
    </w:p>
    <w:p w14:paraId="1B72A355">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3.3.4 仪器设备如有检定校准要求，安装后，经销商提供有资质的检定校准单位对设备进行检定/校准，附有资质的检定校准单位的资质材料和检定/校准报告。</w:t>
      </w:r>
    </w:p>
    <w:p w14:paraId="26DB420B">
      <w:pPr>
        <w:keepNext w:val="0"/>
        <w:keepLines w:val="0"/>
        <w:pageBreakBefore w:val="0"/>
        <w:widowControl w:val="0"/>
        <w:kinsoku/>
        <w:wordWrap/>
        <w:overflowPunct/>
        <w:topLinePunct w:val="0"/>
        <w:bidi w:val="0"/>
        <w:snapToGrid/>
        <w:spacing w:line="500" w:lineRule="exact"/>
        <w:ind w:left="559" w:leftChars="266"/>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kern w:val="2"/>
          <w:sz w:val="28"/>
          <w:szCs w:val="28"/>
          <w:lang w:val="en-US" w:eastAsia="zh-CN" w:bidi="ar-SA"/>
        </w:rPr>
        <w:t>★</w:t>
      </w:r>
      <w:r>
        <w:rPr>
          <w:rFonts w:hint="eastAsia" w:ascii="仿宋" w:hAnsi="仿宋" w:eastAsia="仿宋" w:cs="仿宋"/>
          <w:sz w:val="28"/>
          <w:szCs w:val="28"/>
        </w:rPr>
        <w:t>”标注的参数为重要指标。</w:t>
      </w:r>
    </w:p>
    <w:p w14:paraId="5536786A">
      <w:pPr>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（2）包装和运输：</w:t>
      </w:r>
    </w:p>
    <w:p w14:paraId="33753FE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供应商应在设备发运前对合同产品进行标准保护方式进行包装，适应长途公路或铁路运输，并有良好的防湿、防潮、防震、防腐蚀的能力，满足产品正常运输要求，以保证货物安全运输到达采购人指定地点。因乙方或乙方委托的承运人原因，导致合同设备在装卸、运输过程中受损的，由乙方自行解决。</w:t>
      </w:r>
    </w:p>
    <w:p w14:paraId="6A9DD7A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2）包装上注明货物品种及数量。使用说明书、质量检验证明书、随配附件和工具以及清单与设备一起发送。</w:t>
      </w:r>
    </w:p>
    <w:p w14:paraId="792D7A3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highlight w:val="none"/>
          <w:lang w:val="en-US" w:eastAsia="zh-CN"/>
        </w:rPr>
      </w:pPr>
      <w:r>
        <w:rPr>
          <w:rFonts w:hint="eastAsia" w:ascii="仿宋" w:hAnsi="仿宋" w:eastAsia="仿宋" w:cs="仿宋"/>
          <w:kern w:val="2"/>
          <w:sz w:val="28"/>
          <w:szCs w:val="28"/>
          <w:highlight w:val="none"/>
          <w:lang w:val="en-US" w:eastAsia="zh-CN" w:bidi="ar-SA"/>
        </w:rPr>
        <w:t>3）设备在发运手续办理完毕后发货到采购人指定地点，并通知采购人准备接货。</w:t>
      </w:r>
    </w:p>
    <w:p w14:paraId="05F57850">
      <w:pPr>
        <w:pStyle w:val="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（3）售后要求：</w:t>
      </w:r>
    </w:p>
    <w:p w14:paraId="72CD4A5F">
      <w:pPr>
        <w:pStyle w:val="2"/>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default" w:ascii="仿宋" w:hAnsi="仿宋" w:eastAsia="仿宋" w:cs="仿宋"/>
          <w:kern w:val="2"/>
          <w:sz w:val="28"/>
          <w:szCs w:val="28"/>
          <w:highlight w:val="none"/>
          <w:lang w:val="en-US" w:eastAsia="zh-CN" w:bidi="ar-SA"/>
        </w:rPr>
        <w:t>仪器设备如有检定校准要求，安装后，中标供应商应委托有资质的检定校准单位对设备进行检定/校准，提供有资质的检定校准单位的资质材料和检定/校准报告，并承担相关费用。</w:t>
      </w:r>
    </w:p>
    <w:p w14:paraId="195DD390">
      <w:pPr>
        <w:pStyle w:val="2"/>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r>
        <w:rPr>
          <w:rFonts w:hint="default" w:ascii="仿宋" w:hAnsi="仿宋" w:eastAsia="仿宋" w:cs="仿宋"/>
          <w:kern w:val="2"/>
          <w:sz w:val="28"/>
          <w:szCs w:val="28"/>
          <w:highlight w:val="none"/>
          <w:lang w:val="en-US" w:eastAsia="zh-CN" w:bidi="ar-SA"/>
        </w:rPr>
        <w:t>提供仪器正常使用所需的各种配件和技术资料等，保证仪器安装后能正常使用；设备安装完成后，中标供应商提供</w:t>
      </w:r>
      <w:r>
        <w:rPr>
          <w:rFonts w:hint="eastAsia" w:ascii="仿宋" w:hAnsi="仿宋" w:eastAsia="仿宋" w:cs="仿宋"/>
          <w:kern w:val="2"/>
          <w:sz w:val="28"/>
          <w:szCs w:val="28"/>
          <w:highlight w:val="none"/>
          <w:lang w:val="en-US" w:eastAsia="zh-CN" w:bidi="ar-SA"/>
        </w:rPr>
        <w:t>二</w:t>
      </w:r>
      <w:r>
        <w:rPr>
          <w:rFonts w:hint="default" w:ascii="仿宋" w:hAnsi="仿宋" w:eastAsia="仿宋" w:cs="仿宋"/>
          <w:kern w:val="2"/>
          <w:sz w:val="28"/>
          <w:szCs w:val="28"/>
          <w:highlight w:val="none"/>
          <w:lang w:val="en-US" w:eastAsia="zh-CN" w:bidi="ar-SA"/>
        </w:rPr>
        <w:t>年的质保期，在质保期内产生的一切维修费用(包含但不限于维修人工、备品备件、交通费用、住宿费用等)均由中标供应商承担，且中标供应商具有终身维修的义务。</w:t>
      </w:r>
    </w:p>
    <w:p w14:paraId="1C066796">
      <w:pPr>
        <w:pStyle w:val="2"/>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提供维修承诺：质保期内，24小时作出相应的问题答复；如电话不能解决问题，维修人员将在3个工作日内到达现场解决问题。</w:t>
      </w:r>
    </w:p>
    <w:p w14:paraId="24208C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86174"/>
    <w:rsid w:val="5F0B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2025-07-17T02:36:35Z</dcterms:created>
  <dc:creator>Administrator</dc:creator>
  <cp:lastModifiedBy>Administrator</cp:lastModifiedBy>
  <dcterms:modified xsi:type="dcterms:W3CDTF">2025-07-17T03:22:53Z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eyJoZGlkIjoiMWJkY2MxODU2NTM5NmM2NTFlOGYwMWFlYmRmNWRkMDkiLCJ1c2VySWQiOiIxMjU1MDY2MTM2In0=</vt:lpwstr>
  </property>
  <property fmtid="{D5CDD505-2E9C-101B-9397-08002B2CF9AE}" pid="4" name="ICV">
    <vt:lpwstr>56DAF138D07745B18A9D22872D57E641_12</vt:lpwstr>
  </property>
</Properties>
</file>