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E7A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eastAsia="楷体"/>
          <w:color w:val="auto"/>
          <w:sz w:val="32"/>
          <w:szCs w:val="32"/>
          <w:highlight w:val="none"/>
        </w:rPr>
      </w:pPr>
      <w:bookmarkStart w:id="0" w:name="_GoBack"/>
      <w:bookmarkEnd w:id="0"/>
      <w:r>
        <w:rPr>
          <w:rFonts w:hint="eastAsia" w:eastAsia="楷体"/>
          <w:color w:val="auto"/>
          <w:sz w:val="32"/>
          <w:szCs w:val="32"/>
          <w:highlight w:val="none"/>
        </w:rPr>
        <w:t>（四）履约验收方案</w:t>
      </w:r>
    </w:p>
    <w:p w14:paraId="0BF1125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1.包1</w:t>
      </w:r>
    </w:p>
    <w:p w14:paraId="3EDE012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（1）履约验收主体</w:t>
      </w:r>
    </w:p>
    <w:p w14:paraId="3F3476A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eastAsia="仿宋_GB2312" w:cs="仿宋_GB2312"/>
          <w:color w:val="auto"/>
          <w:sz w:val="32"/>
          <w:szCs w:val="32"/>
          <w:highlight w:val="none"/>
          <w:u w:val="single"/>
        </w:rPr>
      </w:pPr>
      <w:r>
        <w:rPr>
          <w:rFonts w:hint="eastAsia" w:eastAsia="仿宋_GB2312" w:cs="仿宋_GB2312"/>
          <w:color w:val="auto"/>
          <w:sz w:val="32"/>
          <w:szCs w:val="32"/>
          <w:highlight w:val="none"/>
        </w:rPr>
        <w:fldChar w:fldCharType="begin"/>
      </w:r>
      <w:r>
        <w:rPr>
          <w:rFonts w:hint="eastAsia" w:eastAsia="仿宋_GB2312" w:cs="仿宋_GB2312"/>
          <w:color w:val="auto"/>
          <w:sz w:val="32"/>
          <w:szCs w:val="32"/>
          <w:highlight w:val="none"/>
        </w:rPr>
        <w:instrText xml:space="preserve"> eq \o\ac(□,</w:instrText>
      </w:r>
      <w:r>
        <w:rPr>
          <w:rFonts w:hint="eastAsia" w:eastAsia="仿宋_GB2312" w:cs="仿宋_GB2312"/>
          <w:color w:val="auto"/>
          <w:position w:val="2"/>
          <w:sz w:val="22"/>
          <w:szCs w:val="32"/>
          <w:highlight w:val="none"/>
        </w:rPr>
        <w:instrText xml:space="preserve">√</w:instrText>
      </w:r>
      <w:r>
        <w:rPr>
          <w:rFonts w:hint="eastAsia" w:eastAsia="仿宋_GB2312" w:cs="仿宋_GB2312"/>
          <w:color w:val="auto"/>
          <w:sz w:val="32"/>
          <w:szCs w:val="32"/>
          <w:highlight w:val="none"/>
        </w:rPr>
        <w:instrText xml:space="preserve">)</w:instrText>
      </w:r>
      <w:r>
        <w:rPr>
          <w:rFonts w:hint="eastAsia" w:eastAsia="仿宋_GB2312" w:cs="仿宋_GB2312"/>
          <w:color w:val="auto"/>
          <w:sz w:val="32"/>
          <w:szCs w:val="32"/>
          <w:highlight w:val="none"/>
        </w:rPr>
        <w:fldChar w:fldCharType="end"/>
      </w:r>
      <w:r>
        <w:rPr>
          <w:rFonts w:hint="eastAsia" w:eastAsia="仿宋_GB2312" w:cs="仿宋_GB2312"/>
          <w:color w:val="auto"/>
          <w:sz w:val="32"/>
          <w:szCs w:val="32"/>
          <w:highlight w:val="none"/>
        </w:rPr>
        <w:t>采购人：</w:t>
      </w:r>
      <w:r>
        <w:rPr>
          <w:rFonts w:hint="eastAsia" w:eastAsia="仿宋_GB2312" w:cs="仿宋_GB2312"/>
          <w:color w:val="auto"/>
          <w:sz w:val="32"/>
          <w:szCs w:val="32"/>
          <w:highlight w:val="none"/>
          <w:u w:val="single"/>
        </w:rPr>
        <w:t>宁夏回族自治区</w:t>
      </w:r>
      <w:r>
        <w:rPr>
          <w:rFonts w:hint="eastAsia" w:eastAsia="仿宋_GB2312" w:cs="仿宋_GB2312"/>
          <w:color w:val="auto"/>
          <w:sz w:val="32"/>
          <w:szCs w:val="32"/>
          <w:highlight w:val="none"/>
          <w:u w:val="single"/>
          <w:lang w:eastAsia="zh-CN"/>
        </w:rPr>
        <w:t>红寺堡扬水</w:t>
      </w:r>
      <w:r>
        <w:rPr>
          <w:rFonts w:hint="eastAsia" w:eastAsia="仿宋_GB2312" w:cs="仿宋_GB2312"/>
          <w:color w:val="auto"/>
          <w:sz w:val="32"/>
          <w:szCs w:val="32"/>
          <w:highlight w:val="none"/>
          <w:u w:val="single"/>
        </w:rPr>
        <w:t>管理处</w:t>
      </w:r>
    </w:p>
    <w:p w14:paraId="2F0EFFE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□采购代理机构：</w:t>
      </w:r>
      <w:r>
        <w:rPr>
          <w:rFonts w:hint="eastAsia" w:eastAsia="仿宋_GB2312" w:cs="仿宋_GB2312"/>
          <w:color w:val="auto"/>
          <w:sz w:val="32"/>
          <w:szCs w:val="32"/>
          <w:highlight w:val="none"/>
          <w:u w:val="single"/>
        </w:rPr>
        <w:t xml:space="preserve">                       </w:t>
      </w:r>
    </w:p>
    <w:p w14:paraId="5CE0D8A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□本项目的其他供应商：</w:t>
      </w:r>
      <w:r>
        <w:rPr>
          <w:rFonts w:hint="eastAsia" w:eastAsia="仿宋_GB2312" w:cs="仿宋_GB2312"/>
          <w:color w:val="auto"/>
          <w:sz w:val="32"/>
          <w:szCs w:val="32"/>
          <w:highlight w:val="none"/>
          <w:u w:val="single"/>
        </w:rPr>
        <w:t xml:space="preserve">                 </w:t>
      </w:r>
    </w:p>
    <w:p w14:paraId="1AFDE3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□第三方专业机构：</w:t>
      </w:r>
      <w:r>
        <w:rPr>
          <w:rFonts w:hint="eastAsia" w:eastAsia="仿宋_GB2312" w:cs="仿宋_GB2312"/>
          <w:color w:val="auto"/>
          <w:sz w:val="32"/>
          <w:szCs w:val="32"/>
          <w:highlight w:val="none"/>
          <w:u w:val="single"/>
        </w:rPr>
        <w:t xml:space="preserve">                     </w:t>
      </w:r>
    </w:p>
    <w:p w14:paraId="5986B33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□专家：</w:t>
      </w:r>
      <w:r>
        <w:rPr>
          <w:rFonts w:hint="eastAsia" w:eastAsia="仿宋_GB2312" w:cs="仿宋_GB2312"/>
          <w:color w:val="auto"/>
          <w:sz w:val="32"/>
          <w:szCs w:val="32"/>
          <w:highlight w:val="none"/>
          <w:u w:val="single"/>
        </w:rPr>
        <w:t xml:space="preserve">                               </w:t>
      </w:r>
    </w:p>
    <w:p w14:paraId="7E9E1A3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□服务对象：</w:t>
      </w:r>
      <w:r>
        <w:rPr>
          <w:rFonts w:hint="eastAsia" w:eastAsia="仿宋_GB2312" w:cs="仿宋_GB2312"/>
          <w:color w:val="auto"/>
          <w:sz w:val="32"/>
          <w:szCs w:val="32"/>
          <w:highlight w:val="none"/>
          <w:u w:val="single"/>
        </w:rPr>
        <w:t xml:space="preserve">                           </w:t>
      </w:r>
    </w:p>
    <w:p w14:paraId="606F394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rPr>
        <w:t>□其他：</w:t>
      </w:r>
      <w:r>
        <w:rPr>
          <w:rFonts w:hint="eastAsia" w:eastAsia="仿宋_GB2312" w:cs="仿宋_GB2312"/>
          <w:color w:val="auto"/>
          <w:sz w:val="32"/>
          <w:szCs w:val="32"/>
          <w:highlight w:val="none"/>
          <w:u w:val="single"/>
        </w:rPr>
        <w:t xml:space="preserve">                               </w:t>
      </w:r>
    </w:p>
    <w:p w14:paraId="16FC9DC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（2）履约验收时间</w:t>
      </w:r>
    </w:p>
    <w:p w14:paraId="4F2489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u w:val="single"/>
        </w:rPr>
        <w:t>202</w:t>
      </w:r>
      <w:r>
        <w:rPr>
          <w:rFonts w:hint="eastAsia" w:eastAsia="仿宋_GB2312" w:cs="仿宋_GB2312"/>
          <w:color w:val="auto"/>
          <w:sz w:val="32"/>
          <w:szCs w:val="32"/>
          <w:highlight w:val="none"/>
          <w:u w:val="single"/>
          <w:lang w:val="en-US" w:eastAsia="zh-CN"/>
        </w:rPr>
        <w:t>5</w:t>
      </w:r>
      <w:r>
        <w:rPr>
          <w:rFonts w:hint="eastAsia" w:eastAsia="仿宋_GB2312" w:cs="仿宋_GB2312"/>
          <w:color w:val="auto"/>
          <w:sz w:val="32"/>
          <w:szCs w:val="32"/>
          <w:highlight w:val="none"/>
          <w:u w:val="single"/>
        </w:rPr>
        <w:t>年1</w:t>
      </w:r>
      <w:r>
        <w:rPr>
          <w:rFonts w:hint="eastAsia" w:eastAsia="仿宋_GB2312" w:cs="仿宋_GB2312"/>
          <w:color w:val="auto"/>
          <w:sz w:val="32"/>
          <w:szCs w:val="32"/>
          <w:highlight w:val="none"/>
          <w:u w:val="single"/>
          <w:lang w:val="en-US" w:eastAsia="zh-CN"/>
        </w:rPr>
        <w:t>2</w:t>
      </w:r>
      <w:r>
        <w:rPr>
          <w:rFonts w:hint="eastAsia" w:eastAsia="仿宋_GB2312" w:cs="仿宋_GB2312"/>
          <w:color w:val="auto"/>
          <w:sz w:val="32"/>
          <w:szCs w:val="32"/>
          <w:highlight w:val="none"/>
          <w:u w:val="single"/>
        </w:rPr>
        <w:t>月。</w:t>
      </w:r>
    </w:p>
    <w:p w14:paraId="2CAC74C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（3）履约验收方式</w:t>
      </w:r>
    </w:p>
    <w:p w14:paraId="3BFB360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ascii="仿宋" w:hAnsi="仿宋" w:eastAsia="仿宋" w:cs="Times New Roman"/>
          <w:color w:val="auto"/>
          <w:sz w:val="32"/>
          <w:szCs w:val="32"/>
          <w:highlight w:val="none"/>
          <w:u w:val="single"/>
        </w:rPr>
        <w:t>一次性验收。供应商履约完成，采购人按采购合同约定的验收条件进行一次性验收。</w:t>
      </w:r>
      <w:r>
        <w:rPr>
          <w:rFonts w:hint="eastAsia" w:eastAsia="仿宋_GB2312" w:cs="仿宋_GB2312"/>
          <w:color w:val="auto"/>
          <w:sz w:val="32"/>
          <w:szCs w:val="32"/>
          <w:highlight w:val="none"/>
          <w:u w:val="single"/>
        </w:rPr>
        <w:t>。</w:t>
      </w:r>
    </w:p>
    <w:p w14:paraId="02468F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（4）履约验收程序</w:t>
      </w:r>
    </w:p>
    <w:p w14:paraId="130974D3">
      <w:pPr>
        <w:snapToGrid w:val="0"/>
        <w:spacing w:line="360" w:lineRule="auto"/>
        <w:ind w:firstLine="640" w:firstLineChars="200"/>
        <w:jc w:val="left"/>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根据《宁夏回族自治区政府采购履约验收管理暂行办法》(宁财规发〔2022〕</w:t>
      </w:r>
      <w:r>
        <w:rPr>
          <w:rFonts w:ascii="仿宋" w:hAnsi="仿宋" w:eastAsia="仿宋"/>
          <w:color w:val="auto"/>
          <w:sz w:val="32"/>
          <w:szCs w:val="32"/>
          <w:highlight w:val="none"/>
          <w:u w:val="single"/>
        </w:rPr>
        <w:t>10</w:t>
      </w:r>
      <w:r>
        <w:rPr>
          <w:rFonts w:hint="eastAsia" w:ascii="仿宋" w:hAnsi="仿宋" w:eastAsia="仿宋"/>
          <w:color w:val="auto"/>
          <w:sz w:val="32"/>
          <w:szCs w:val="32"/>
          <w:highlight w:val="none"/>
          <w:u w:val="single"/>
        </w:rPr>
        <w:t>号）规定（采购限额标准以上）：</w:t>
      </w:r>
    </w:p>
    <w:p w14:paraId="34061A8B">
      <w:pPr>
        <w:snapToGrid w:val="0"/>
        <w:spacing w:line="360" w:lineRule="auto"/>
        <w:ind w:firstLine="640" w:firstLineChars="200"/>
        <w:jc w:val="left"/>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①采购合同约定的履约验收条件到达时，供应商组织内部自验，自验合格后及时向采购人书面提出履约验收申请，自验情况作为相关证明材料；</w:t>
      </w:r>
    </w:p>
    <w:p w14:paraId="75DCB07A">
      <w:pPr>
        <w:pStyle w:val="17"/>
        <w:snapToGrid w:val="0"/>
        <w:spacing w:after="0" w:line="360" w:lineRule="auto"/>
        <w:ind w:left="0" w:leftChars="0" w:firstLine="640"/>
        <w:rPr>
          <w:rFonts w:ascii="仿宋" w:hAnsi="仿宋" w:eastAsia="仿宋"/>
          <w:color w:val="auto"/>
          <w:szCs w:val="32"/>
          <w:highlight w:val="none"/>
          <w:u w:val="single"/>
        </w:rPr>
      </w:pPr>
      <w:r>
        <w:rPr>
          <w:rFonts w:hint="eastAsia" w:ascii="仿宋" w:hAnsi="仿宋" w:eastAsia="仿宋"/>
          <w:color w:val="auto"/>
          <w:kern w:val="2"/>
          <w:szCs w:val="32"/>
          <w:highlight w:val="none"/>
          <w:u w:val="single"/>
        </w:rPr>
        <w:t>②采购人自收到供</w:t>
      </w:r>
      <w:r>
        <w:rPr>
          <w:rFonts w:hint="eastAsia" w:ascii="仿宋" w:hAnsi="仿宋" w:eastAsia="仿宋"/>
          <w:color w:val="auto"/>
          <w:szCs w:val="32"/>
          <w:highlight w:val="none"/>
          <w:u w:val="single"/>
        </w:rPr>
        <w:t>应商提出的履约验收申请之日起5个工作日内审核是否到达采购合同约定的履约验收条件，达到条件的启动履约验收程序，向供应商发出《政府采购履约验收通知单》，未达到条件的，书面告知供应商；</w:t>
      </w:r>
    </w:p>
    <w:p w14:paraId="2EFD2A04">
      <w:pPr>
        <w:snapToGrid w:val="0"/>
        <w:spacing w:line="360" w:lineRule="auto"/>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③采购人成立履约验收小组，负责采购否项目的履约验收具体工作，出具验收意见，并对验收意见负责。（前期参与该项目的采购代理机构工作人员、评审专家、采购人代表以及政府采购回避制度规定的与供应商有利害关系的人员进行回避），履约验收小组由</w:t>
      </w:r>
      <w:r>
        <w:rPr>
          <w:rFonts w:hint="eastAsia" w:ascii="仿宋" w:hAnsi="仿宋" w:eastAsia="仿宋"/>
          <w:color w:val="auto"/>
          <w:sz w:val="32"/>
          <w:szCs w:val="32"/>
          <w:highlight w:val="none"/>
          <w:u w:val="single"/>
          <w:lang w:eastAsia="zh-CN"/>
        </w:rPr>
        <w:t>红寺堡扬水管理处工程建设领导小组成员、</w:t>
      </w:r>
      <w:r>
        <w:rPr>
          <w:rFonts w:hint="eastAsia" w:ascii="仿宋" w:hAnsi="仿宋" w:eastAsia="仿宋"/>
          <w:color w:val="auto"/>
          <w:sz w:val="32"/>
          <w:szCs w:val="32"/>
          <w:highlight w:val="none"/>
          <w:u w:val="single"/>
        </w:rPr>
        <w:t>采购需求制定人员、实际使用人员</w:t>
      </w:r>
      <w:r>
        <w:rPr>
          <w:rFonts w:hint="eastAsia" w:ascii="仿宋" w:hAnsi="仿宋" w:eastAsia="仿宋"/>
          <w:color w:val="auto"/>
          <w:sz w:val="32"/>
          <w:szCs w:val="32"/>
          <w:highlight w:val="none"/>
          <w:u w:val="single"/>
          <w:lang w:eastAsia="zh-CN"/>
        </w:rPr>
        <w:t>、监理单位</w:t>
      </w:r>
      <w:r>
        <w:rPr>
          <w:rFonts w:hint="eastAsia" w:ascii="仿宋" w:hAnsi="仿宋" w:eastAsia="仿宋"/>
          <w:color w:val="auto"/>
          <w:sz w:val="32"/>
          <w:szCs w:val="32"/>
          <w:highlight w:val="none"/>
          <w:u w:val="single"/>
        </w:rPr>
        <w:t>等至少三人以上单数组成，并确定一名负责人。采购人可自行选择专业技术人员，也可邀请相关领域专家参与验收。</w:t>
      </w:r>
    </w:p>
    <w:p w14:paraId="6C182075">
      <w:pPr>
        <w:pStyle w:val="17"/>
        <w:snapToGrid w:val="0"/>
        <w:spacing w:after="0" w:line="360" w:lineRule="auto"/>
        <w:ind w:left="0" w:leftChars="0" w:firstLine="640"/>
        <w:rPr>
          <w:rFonts w:ascii="仿宋" w:hAnsi="仿宋" w:eastAsia="仿宋"/>
          <w:color w:val="auto"/>
          <w:szCs w:val="32"/>
          <w:highlight w:val="none"/>
          <w:u w:val="single"/>
        </w:rPr>
      </w:pPr>
      <w:r>
        <w:rPr>
          <w:rFonts w:hint="eastAsia" w:ascii="仿宋" w:hAnsi="仿宋" w:eastAsia="仿宋"/>
          <w:color w:val="auto"/>
          <w:szCs w:val="32"/>
          <w:highlight w:val="none"/>
          <w:u w:val="single"/>
        </w:rPr>
        <w:t>④实施验收前，采购人将采购文件、采购合同、封样样品等验收依据进行归集，移交验收小组。</w:t>
      </w:r>
    </w:p>
    <w:p w14:paraId="6FF3A97A">
      <w:pPr>
        <w:snapToGrid w:val="0"/>
        <w:spacing w:line="360" w:lineRule="auto"/>
        <w:ind w:firstLine="640" w:firstLineChars="200"/>
        <w:rPr>
          <w:rFonts w:hint="eastAsia" w:ascii="仿宋" w:hAnsi="仿宋" w:eastAsia="仿宋"/>
          <w:color w:val="auto"/>
          <w:sz w:val="32"/>
          <w:szCs w:val="32"/>
          <w:highlight w:val="none"/>
          <w:u w:val="single"/>
        </w:rPr>
      </w:pPr>
      <w:r>
        <w:rPr>
          <w:rFonts w:hint="eastAsia" w:ascii="仿宋" w:hAnsi="仿宋" w:eastAsia="仿宋"/>
          <w:color w:val="auto"/>
          <w:kern w:val="0"/>
          <w:sz w:val="32"/>
          <w:szCs w:val="32"/>
          <w:highlight w:val="none"/>
          <w:u w:val="single"/>
        </w:rPr>
        <w:t>⑤履约验</w:t>
      </w:r>
      <w:r>
        <w:rPr>
          <w:rFonts w:hint="eastAsia" w:ascii="仿宋" w:hAnsi="仿宋" w:eastAsia="仿宋"/>
          <w:color w:val="auto"/>
          <w:sz w:val="32"/>
          <w:szCs w:val="32"/>
          <w:highlight w:val="none"/>
          <w:u w:val="single"/>
        </w:rPr>
        <w:t>收采用节点建档模式：确认验收方案、实施验收、出具验收意见。</w:t>
      </w:r>
    </w:p>
    <w:p w14:paraId="22BBF5D5">
      <w:pPr>
        <w:snapToGrid w:val="0"/>
        <w:spacing w:line="360" w:lineRule="auto"/>
        <w:ind w:firstLine="643" w:firstLineChars="200"/>
        <w:rPr>
          <w:rFonts w:ascii="仿宋" w:hAnsi="仿宋" w:eastAsia="仿宋"/>
          <w:b/>
          <w:bCs/>
          <w:color w:val="auto"/>
          <w:sz w:val="32"/>
          <w:szCs w:val="32"/>
          <w:highlight w:val="none"/>
          <w:u w:val="single"/>
        </w:rPr>
      </w:pPr>
      <w:r>
        <w:rPr>
          <w:rFonts w:hint="eastAsia" w:ascii="仿宋" w:hAnsi="仿宋" w:eastAsia="仿宋"/>
          <w:b/>
          <w:bCs/>
          <w:color w:val="auto"/>
          <w:sz w:val="32"/>
          <w:szCs w:val="32"/>
          <w:highlight w:val="none"/>
          <w:u w:val="single"/>
        </w:rPr>
        <w:t>特别提示：</w:t>
      </w:r>
    </w:p>
    <w:p w14:paraId="27BFF517">
      <w:pPr>
        <w:snapToGrid w:val="0"/>
        <w:spacing w:line="360" w:lineRule="auto"/>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①履约验收结束后2个工作日内将履约验收结果信息向社会公开，分期验收的在每次验收结束后向社会公开。</w:t>
      </w:r>
    </w:p>
    <w:p w14:paraId="10C4224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（5）履约验收内容</w:t>
      </w:r>
    </w:p>
    <w:p w14:paraId="1E69D9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ascii="仿宋" w:hAnsi="仿宋" w:eastAsia="仿宋"/>
          <w:color w:val="auto"/>
          <w:sz w:val="32"/>
          <w:szCs w:val="32"/>
          <w:highlight w:val="none"/>
          <w:u w:val="single"/>
        </w:rPr>
        <w:t>严格按照采购文件、采购合同要求提供的服务工作内容、数量、服务完成情况及服务质量进行验收。</w:t>
      </w:r>
    </w:p>
    <w:p w14:paraId="1964F44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（6）履约验收标准</w:t>
      </w:r>
    </w:p>
    <w:p w14:paraId="077504B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ascii="仿宋" w:hAnsi="仿宋" w:eastAsia="仿宋"/>
          <w:color w:val="auto"/>
          <w:sz w:val="32"/>
          <w:szCs w:val="32"/>
          <w:highlight w:val="none"/>
          <w:u w:val="single"/>
        </w:rPr>
        <w:t>按照采购合同的约定对每一项技术、服务、标准等履约情况进行确认。</w:t>
      </w:r>
    </w:p>
    <w:p w14:paraId="6C262D2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（7）履约验收其他事项</w:t>
      </w:r>
    </w:p>
    <w:p w14:paraId="7EB120F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仿宋_GB2312" w:cs="仿宋_GB2312"/>
          <w:color w:val="auto"/>
          <w:sz w:val="32"/>
          <w:szCs w:val="32"/>
          <w:highlight w:val="none"/>
          <w:u w:val="single"/>
        </w:rPr>
      </w:pPr>
      <w:r>
        <w:rPr>
          <w:rFonts w:hint="eastAsia" w:eastAsia="仿宋_GB2312" w:cs="仿宋_GB2312"/>
          <w:color w:val="auto"/>
          <w:sz w:val="32"/>
          <w:szCs w:val="32"/>
          <w:highlight w:val="none"/>
          <w:u w:val="single"/>
        </w:rPr>
        <w:t>无。</w:t>
      </w:r>
    </w:p>
    <w:p w14:paraId="541434E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黑体" w:cs="宋体"/>
          <w:color w:val="auto"/>
          <w:sz w:val="28"/>
          <w:szCs w:val="28"/>
          <w:highlight w:val="none"/>
        </w:rPr>
      </w:pPr>
    </w:p>
    <w:sectPr>
      <w:footerReference r:id="rId3" w:type="default"/>
      <w:footerReference r:id="rId4" w:type="even"/>
      <w:pgSz w:w="11906" w:h="16838"/>
      <w:pgMar w:top="2098" w:right="1278"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8008">
    <w:pPr>
      <w:pStyle w:val="1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4728E">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A4728E">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AA49">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3F222">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F3F222">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ZjI5NWRjN2ZjNWNiMjA0N2YwMDFiZGRiMzkyZmUifQ=="/>
  </w:docVars>
  <w:rsids>
    <w:rsidRoot w:val="006F0877"/>
    <w:rsid w:val="00021224"/>
    <w:rsid w:val="000311FD"/>
    <w:rsid w:val="00154DF5"/>
    <w:rsid w:val="00175816"/>
    <w:rsid w:val="0017709A"/>
    <w:rsid w:val="001A6F93"/>
    <w:rsid w:val="001C5914"/>
    <w:rsid w:val="002678A2"/>
    <w:rsid w:val="002964A8"/>
    <w:rsid w:val="00321278"/>
    <w:rsid w:val="00427428"/>
    <w:rsid w:val="004978DB"/>
    <w:rsid w:val="004A0291"/>
    <w:rsid w:val="00506D54"/>
    <w:rsid w:val="005545EC"/>
    <w:rsid w:val="00601EDD"/>
    <w:rsid w:val="006B7CC2"/>
    <w:rsid w:val="006F0877"/>
    <w:rsid w:val="00721F76"/>
    <w:rsid w:val="0080466B"/>
    <w:rsid w:val="00814F5F"/>
    <w:rsid w:val="00823618"/>
    <w:rsid w:val="00840D73"/>
    <w:rsid w:val="0087065E"/>
    <w:rsid w:val="0089598D"/>
    <w:rsid w:val="00A63E98"/>
    <w:rsid w:val="00CB7952"/>
    <w:rsid w:val="00D3294B"/>
    <w:rsid w:val="00EB34AE"/>
    <w:rsid w:val="00FC1F5B"/>
    <w:rsid w:val="00FC3796"/>
    <w:rsid w:val="010B563D"/>
    <w:rsid w:val="013E2018"/>
    <w:rsid w:val="016347D7"/>
    <w:rsid w:val="017311EE"/>
    <w:rsid w:val="01C43576"/>
    <w:rsid w:val="020A0467"/>
    <w:rsid w:val="02DE6C21"/>
    <w:rsid w:val="02F8486D"/>
    <w:rsid w:val="0336190D"/>
    <w:rsid w:val="04623D21"/>
    <w:rsid w:val="0600538F"/>
    <w:rsid w:val="065B0690"/>
    <w:rsid w:val="06E11AE9"/>
    <w:rsid w:val="07975B80"/>
    <w:rsid w:val="07983601"/>
    <w:rsid w:val="07A83843"/>
    <w:rsid w:val="08324ED8"/>
    <w:rsid w:val="08475D24"/>
    <w:rsid w:val="095C5905"/>
    <w:rsid w:val="0A5D2E90"/>
    <w:rsid w:val="0ACB174A"/>
    <w:rsid w:val="0B8F16B6"/>
    <w:rsid w:val="0C5A4E79"/>
    <w:rsid w:val="0CEB671C"/>
    <w:rsid w:val="0DAE6A7F"/>
    <w:rsid w:val="0EA22358"/>
    <w:rsid w:val="0F005E52"/>
    <w:rsid w:val="0F152E8E"/>
    <w:rsid w:val="0F83300E"/>
    <w:rsid w:val="10E548CC"/>
    <w:rsid w:val="12552BA2"/>
    <w:rsid w:val="13584DCD"/>
    <w:rsid w:val="13BB37EC"/>
    <w:rsid w:val="14717A98"/>
    <w:rsid w:val="14AF1E70"/>
    <w:rsid w:val="14D57B21"/>
    <w:rsid w:val="150033BA"/>
    <w:rsid w:val="156A7B10"/>
    <w:rsid w:val="16535A2F"/>
    <w:rsid w:val="16A128A4"/>
    <w:rsid w:val="1731642A"/>
    <w:rsid w:val="175B51B5"/>
    <w:rsid w:val="178A279A"/>
    <w:rsid w:val="17E47B53"/>
    <w:rsid w:val="18345F44"/>
    <w:rsid w:val="189C31DE"/>
    <w:rsid w:val="18E9345B"/>
    <w:rsid w:val="19650AC5"/>
    <w:rsid w:val="198561C2"/>
    <w:rsid w:val="19EA3546"/>
    <w:rsid w:val="1A2331F1"/>
    <w:rsid w:val="1AB96E97"/>
    <w:rsid w:val="1ACE2865"/>
    <w:rsid w:val="1B2E36CF"/>
    <w:rsid w:val="1BC11A5A"/>
    <w:rsid w:val="1C251200"/>
    <w:rsid w:val="1C4324B2"/>
    <w:rsid w:val="1C700838"/>
    <w:rsid w:val="1D7879E5"/>
    <w:rsid w:val="1DB146C7"/>
    <w:rsid w:val="1DCD4EF1"/>
    <w:rsid w:val="1E862121"/>
    <w:rsid w:val="1FA173F5"/>
    <w:rsid w:val="201560AF"/>
    <w:rsid w:val="206800B8"/>
    <w:rsid w:val="20BC7B42"/>
    <w:rsid w:val="20EA738C"/>
    <w:rsid w:val="20FF7F47"/>
    <w:rsid w:val="2203115E"/>
    <w:rsid w:val="22E41BEB"/>
    <w:rsid w:val="232E1499"/>
    <w:rsid w:val="23726DB6"/>
    <w:rsid w:val="237A41C3"/>
    <w:rsid w:val="23954703"/>
    <w:rsid w:val="240B0F9D"/>
    <w:rsid w:val="24502F21"/>
    <w:rsid w:val="248D6598"/>
    <w:rsid w:val="253D18A5"/>
    <w:rsid w:val="25EC61C5"/>
    <w:rsid w:val="26C329A6"/>
    <w:rsid w:val="270218DC"/>
    <w:rsid w:val="270F5023"/>
    <w:rsid w:val="275E288B"/>
    <w:rsid w:val="27906876"/>
    <w:rsid w:val="279F0F98"/>
    <w:rsid w:val="28CD1B01"/>
    <w:rsid w:val="29451F54"/>
    <w:rsid w:val="296A3B7E"/>
    <w:rsid w:val="29A232F0"/>
    <w:rsid w:val="2B5711AB"/>
    <w:rsid w:val="2B6910C5"/>
    <w:rsid w:val="2BA56D2B"/>
    <w:rsid w:val="2BED68DF"/>
    <w:rsid w:val="2C463031"/>
    <w:rsid w:val="2C562FBA"/>
    <w:rsid w:val="2D421FD0"/>
    <w:rsid w:val="2D832E69"/>
    <w:rsid w:val="2E001109"/>
    <w:rsid w:val="2E69144B"/>
    <w:rsid w:val="2EFC473A"/>
    <w:rsid w:val="2F2A5E74"/>
    <w:rsid w:val="2F513F2E"/>
    <w:rsid w:val="2F904DB2"/>
    <w:rsid w:val="2FEB7736"/>
    <w:rsid w:val="30095335"/>
    <w:rsid w:val="313047C4"/>
    <w:rsid w:val="315B42F5"/>
    <w:rsid w:val="315D0B0B"/>
    <w:rsid w:val="31777136"/>
    <w:rsid w:val="317F399E"/>
    <w:rsid w:val="31AF0D0D"/>
    <w:rsid w:val="31BD65A6"/>
    <w:rsid w:val="32635E3A"/>
    <w:rsid w:val="327B34E1"/>
    <w:rsid w:val="331B1D66"/>
    <w:rsid w:val="33A30F5A"/>
    <w:rsid w:val="33C40EFA"/>
    <w:rsid w:val="33CF641F"/>
    <w:rsid w:val="347A4C88"/>
    <w:rsid w:val="34A075E3"/>
    <w:rsid w:val="353B08F6"/>
    <w:rsid w:val="35E00C0C"/>
    <w:rsid w:val="36AD038B"/>
    <w:rsid w:val="37EF3553"/>
    <w:rsid w:val="383A48CB"/>
    <w:rsid w:val="39135F21"/>
    <w:rsid w:val="39E10DC4"/>
    <w:rsid w:val="3B3A01E6"/>
    <w:rsid w:val="3B6D0F0B"/>
    <w:rsid w:val="3BB9138A"/>
    <w:rsid w:val="3C051E79"/>
    <w:rsid w:val="3D261273"/>
    <w:rsid w:val="3E9D239B"/>
    <w:rsid w:val="3EB93EF6"/>
    <w:rsid w:val="3F366D42"/>
    <w:rsid w:val="3F8313C0"/>
    <w:rsid w:val="3FDA5489"/>
    <w:rsid w:val="401753A0"/>
    <w:rsid w:val="416D21E5"/>
    <w:rsid w:val="41721D04"/>
    <w:rsid w:val="41BF069E"/>
    <w:rsid w:val="41C431EC"/>
    <w:rsid w:val="42492E4D"/>
    <w:rsid w:val="42602A72"/>
    <w:rsid w:val="42A47CE4"/>
    <w:rsid w:val="42E52D42"/>
    <w:rsid w:val="440B052F"/>
    <w:rsid w:val="44251DE1"/>
    <w:rsid w:val="44651EC3"/>
    <w:rsid w:val="446E7676"/>
    <w:rsid w:val="45252301"/>
    <w:rsid w:val="45B75FEC"/>
    <w:rsid w:val="45D97AC6"/>
    <w:rsid w:val="46144D30"/>
    <w:rsid w:val="46B90D82"/>
    <w:rsid w:val="47072496"/>
    <w:rsid w:val="47547F9A"/>
    <w:rsid w:val="47B24801"/>
    <w:rsid w:val="483D2865"/>
    <w:rsid w:val="48454892"/>
    <w:rsid w:val="485E2A48"/>
    <w:rsid w:val="48A651ED"/>
    <w:rsid w:val="48BB5069"/>
    <w:rsid w:val="49030FD7"/>
    <w:rsid w:val="49420ABC"/>
    <w:rsid w:val="49DA7946"/>
    <w:rsid w:val="49F03685"/>
    <w:rsid w:val="4A2E1FC8"/>
    <w:rsid w:val="4A462FC7"/>
    <w:rsid w:val="4AF96465"/>
    <w:rsid w:val="4B4A4715"/>
    <w:rsid w:val="4B61433A"/>
    <w:rsid w:val="4BB540D0"/>
    <w:rsid w:val="4C6C5AF1"/>
    <w:rsid w:val="4C9222DB"/>
    <w:rsid w:val="4CD751A0"/>
    <w:rsid w:val="4CD77AEA"/>
    <w:rsid w:val="4D152A86"/>
    <w:rsid w:val="4D463EF8"/>
    <w:rsid w:val="4DDB3749"/>
    <w:rsid w:val="4DF22DC6"/>
    <w:rsid w:val="4EA64116"/>
    <w:rsid w:val="4EAD6553"/>
    <w:rsid w:val="4EBB49B7"/>
    <w:rsid w:val="4F7F64B0"/>
    <w:rsid w:val="4FCB6C89"/>
    <w:rsid w:val="4FEA6D2C"/>
    <w:rsid w:val="502E071A"/>
    <w:rsid w:val="503B7460"/>
    <w:rsid w:val="504B5ACC"/>
    <w:rsid w:val="52272A53"/>
    <w:rsid w:val="523E4A8F"/>
    <w:rsid w:val="52995311"/>
    <w:rsid w:val="52AD1B40"/>
    <w:rsid w:val="534976B3"/>
    <w:rsid w:val="539442AF"/>
    <w:rsid w:val="53E0692D"/>
    <w:rsid w:val="54A85071"/>
    <w:rsid w:val="54ED44E0"/>
    <w:rsid w:val="55644937"/>
    <w:rsid w:val="55D35AD1"/>
    <w:rsid w:val="562B4F2A"/>
    <w:rsid w:val="57494340"/>
    <w:rsid w:val="57D1530D"/>
    <w:rsid w:val="58CC3EDE"/>
    <w:rsid w:val="591615B5"/>
    <w:rsid w:val="5A0A10C7"/>
    <w:rsid w:val="5A117165"/>
    <w:rsid w:val="5A6951E1"/>
    <w:rsid w:val="5B75441A"/>
    <w:rsid w:val="5C2B06C5"/>
    <w:rsid w:val="5C8E3BE4"/>
    <w:rsid w:val="5CDA3F98"/>
    <w:rsid w:val="5D8366F8"/>
    <w:rsid w:val="5DA96938"/>
    <w:rsid w:val="5DB9334F"/>
    <w:rsid w:val="5DF50FB6"/>
    <w:rsid w:val="5E0C0BDB"/>
    <w:rsid w:val="5E61439A"/>
    <w:rsid w:val="5ED369F2"/>
    <w:rsid w:val="5EE31B38"/>
    <w:rsid w:val="5F3715C2"/>
    <w:rsid w:val="5FCA35E8"/>
    <w:rsid w:val="6025734A"/>
    <w:rsid w:val="609942A7"/>
    <w:rsid w:val="60EF39D4"/>
    <w:rsid w:val="60F77C8A"/>
    <w:rsid w:val="6190049D"/>
    <w:rsid w:val="62613287"/>
    <w:rsid w:val="62CC1F5B"/>
    <w:rsid w:val="63D53F5A"/>
    <w:rsid w:val="63FC3E19"/>
    <w:rsid w:val="642B77B7"/>
    <w:rsid w:val="64B45B46"/>
    <w:rsid w:val="650D74DA"/>
    <w:rsid w:val="657E2C91"/>
    <w:rsid w:val="660B02F6"/>
    <w:rsid w:val="66A335D7"/>
    <w:rsid w:val="66F770FF"/>
    <w:rsid w:val="681B335D"/>
    <w:rsid w:val="68400296"/>
    <w:rsid w:val="684D1CB0"/>
    <w:rsid w:val="68D84F91"/>
    <w:rsid w:val="69842EAC"/>
    <w:rsid w:val="6A2C4A99"/>
    <w:rsid w:val="6AF705F9"/>
    <w:rsid w:val="6B616BB9"/>
    <w:rsid w:val="6BA66029"/>
    <w:rsid w:val="6BAE3435"/>
    <w:rsid w:val="6BF16D0B"/>
    <w:rsid w:val="6C0960CD"/>
    <w:rsid w:val="6C1F156B"/>
    <w:rsid w:val="6CDF4E2C"/>
    <w:rsid w:val="6CE84DBC"/>
    <w:rsid w:val="6E3679E9"/>
    <w:rsid w:val="6E8C2044"/>
    <w:rsid w:val="6EB12AFD"/>
    <w:rsid w:val="6F396E4D"/>
    <w:rsid w:val="6F614ECB"/>
    <w:rsid w:val="6FD36103"/>
    <w:rsid w:val="703561A8"/>
    <w:rsid w:val="70D95EF0"/>
    <w:rsid w:val="70E7401D"/>
    <w:rsid w:val="7118679B"/>
    <w:rsid w:val="719E5242"/>
    <w:rsid w:val="723734BE"/>
    <w:rsid w:val="723D6CEF"/>
    <w:rsid w:val="72C41CD9"/>
    <w:rsid w:val="731A4C66"/>
    <w:rsid w:val="73423B28"/>
    <w:rsid w:val="737B0183"/>
    <w:rsid w:val="73950D2D"/>
    <w:rsid w:val="73AC405D"/>
    <w:rsid w:val="74577806"/>
    <w:rsid w:val="748446F9"/>
    <w:rsid w:val="752C7127"/>
    <w:rsid w:val="758C6C69"/>
    <w:rsid w:val="75A17AAB"/>
    <w:rsid w:val="75D918B8"/>
    <w:rsid w:val="762A7AD4"/>
    <w:rsid w:val="768A5887"/>
    <w:rsid w:val="77D4317A"/>
    <w:rsid w:val="77D7571C"/>
    <w:rsid w:val="78552D07"/>
    <w:rsid w:val="787972DB"/>
    <w:rsid w:val="79316A3A"/>
    <w:rsid w:val="79A84F71"/>
    <w:rsid w:val="7A435623"/>
    <w:rsid w:val="7A862AE2"/>
    <w:rsid w:val="7A962EAF"/>
    <w:rsid w:val="7AA22B21"/>
    <w:rsid w:val="7ADE0E8D"/>
    <w:rsid w:val="7AE31FC6"/>
    <w:rsid w:val="7B7C4426"/>
    <w:rsid w:val="7C5E4A19"/>
    <w:rsid w:val="7C9725F4"/>
    <w:rsid w:val="7CB94F7C"/>
    <w:rsid w:val="7CDB48B5"/>
    <w:rsid w:val="7CE06CA4"/>
    <w:rsid w:val="7D104788"/>
    <w:rsid w:val="7DB52843"/>
    <w:rsid w:val="7EA34C53"/>
    <w:rsid w:val="7EB331BD"/>
    <w:rsid w:val="7FB60F32"/>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等线 Light" w:hAnsi="等线 Light" w:eastAsia="黑体" w:cs="黑体"/>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unhideWhenUsed/>
    <w:qFormat/>
    <w:uiPriority w:val="0"/>
    <w:pPr>
      <w:adjustRightInd w:val="0"/>
      <w:snapToGrid w:val="0"/>
      <w:ind w:firstLine="420"/>
      <w:jc w:val="left"/>
    </w:pPr>
    <w:rPr>
      <w:rFonts w:eastAsia="仿宋"/>
    </w:rPr>
  </w:style>
  <w:style w:type="paragraph" w:styleId="7">
    <w:name w:val="Body Text"/>
    <w:basedOn w:val="1"/>
    <w:next w:val="1"/>
    <w:autoRedefine/>
    <w:qFormat/>
    <w:uiPriority w:val="99"/>
    <w:rPr>
      <w:szCs w:val="21"/>
    </w:rPr>
  </w:style>
  <w:style w:type="paragraph" w:styleId="8">
    <w:name w:val="Body Text Indent"/>
    <w:basedOn w:val="1"/>
    <w:semiHidden/>
    <w:unhideWhenUsed/>
    <w:qFormat/>
    <w:uiPriority w:val="99"/>
    <w:pPr>
      <w:spacing w:after="120"/>
      <w:ind w:left="420" w:leftChars="200"/>
    </w:pPr>
  </w:style>
  <w:style w:type="paragraph" w:styleId="9">
    <w:name w:val="Plain Text"/>
    <w:basedOn w:val="1"/>
    <w:autoRedefine/>
    <w:qFormat/>
    <w:uiPriority w:val="0"/>
    <w:rPr>
      <w:rFonts w:ascii="宋体" w:hAnsi="Courier New" w:eastAsia="Times New Roman"/>
      <w:szCs w:val="21"/>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qFormat/>
    <w:uiPriority w:val="0"/>
    <w:pPr>
      <w:spacing w:before="120" w:beforeLines="0"/>
      <w:ind w:left="240"/>
    </w:pPr>
    <w:rPr>
      <w:rFonts w:ascii="Calibri" w:hAnsi="Calibri" w:cs="Calibri"/>
      <w:b/>
      <w:bCs/>
      <w:sz w:val="22"/>
      <w:szCs w:val="22"/>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7">
    <w:name w:val="Body Text First Indent 2"/>
    <w:basedOn w:val="8"/>
    <w:next w:val="1"/>
    <w:qFormat/>
    <w:uiPriority w:val="0"/>
    <w:pPr>
      <w:widowControl/>
      <w:spacing w:line="276" w:lineRule="auto"/>
      <w:ind w:left="200" w:firstLine="420" w:firstLineChars="200"/>
      <w:jc w:val="left"/>
    </w:pPr>
    <w:rPr>
      <w:kern w:val="0"/>
      <w:sz w:val="32"/>
    </w:rPr>
  </w:style>
  <w:style w:type="table" w:styleId="19">
    <w:name w:val="Table Grid"/>
    <w:basedOn w:val="18"/>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autoRedefine/>
    <w:qFormat/>
    <w:uiPriority w:val="22"/>
    <w:rPr>
      <w:b/>
    </w:rPr>
  </w:style>
  <w:style w:type="character" w:styleId="22">
    <w:name w:val="page number"/>
    <w:basedOn w:val="20"/>
    <w:autoRedefine/>
    <w:qFormat/>
    <w:uiPriority w:val="0"/>
  </w:style>
  <w:style w:type="paragraph" w:customStyle="1" w:styleId="23">
    <w:name w:val="BodyText1I2"/>
    <w:basedOn w:val="24"/>
    <w:next w:val="25"/>
    <w:autoRedefine/>
    <w:qFormat/>
    <w:uiPriority w:val="0"/>
    <w:pPr>
      <w:ind w:firstLine="420"/>
    </w:pPr>
    <w:rPr>
      <w:szCs w:val="21"/>
    </w:rPr>
  </w:style>
  <w:style w:type="paragraph" w:customStyle="1" w:styleId="24">
    <w:name w:val="BodyTextIndent"/>
    <w:basedOn w:val="1"/>
    <w:next w:val="1"/>
    <w:autoRedefine/>
    <w:qFormat/>
    <w:uiPriority w:val="0"/>
    <w:pPr>
      <w:spacing w:after="120"/>
      <w:ind w:left="420" w:leftChars="200"/>
      <w:textAlignment w:val="baseline"/>
    </w:pPr>
    <w:rPr>
      <w:rFonts w:ascii="Calibri" w:hAnsi="Calibri"/>
    </w:rPr>
  </w:style>
  <w:style w:type="paragraph" w:customStyle="1" w:styleId="25">
    <w:name w:val="UserStyle_0"/>
    <w:basedOn w:val="1"/>
    <w:next w:val="1"/>
    <w:autoRedefine/>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textAlignment w:val="baseline"/>
    </w:pPr>
    <w:rPr>
      <w:rFonts w:ascii="宋体" w:hAnsi="宋体"/>
      <w:b/>
      <w:bCs/>
    </w:rPr>
  </w:style>
  <w:style w:type="character" w:customStyle="1" w:styleId="26">
    <w:name w:val="页脚 字符"/>
    <w:link w:val="12"/>
    <w:autoRedefine/>
    <w:qFormat/>
    <w:uiPriority w:val="99"/>
    <w:rPr>
      <w:kern w:val="2"/>
      <w:sz w:val="18"/>
      <w:szCs w:val="18"/>
    </w:rPr>
  </w:style>
  <w:style w:type="character" w:customStyle="1" w:styleId="27">
    <w:name w:val="Body text|3_"/>
    <w:basedOn w:val="20"/>
    <w:link w:val="28"/>
    <w:autoRedefine/>
    <w:qFormat/>
    <w:uiPriority w:val="0"/>
    <w:rPr>
      <w:sz w:val="30"/>
      <w:szCs w:val="30"/>
      <w:u w:val="none"/>
      <w:shd w:val="clear" w:color="auto" w:fill="auto"/>
      <w:lang w:val="zh-TW" w:eastAsia="zh-TW" w:bidi="zh-TW"/>
    </w:rPr>
  </w:style>
  <w:style w:type="paragraph" w:customStyle="1" w:styleId="28">
    <w:name w:val="Body text|3"/>
    <w:basedOn w:val="1"/>
    <w:link w:val="27"/>
    <w:autoRedefine/>
    <w:qFormat/>
    <w:uiPriority w:val="0"/>
    <w:pPr>
      <w:spacing w:after="130" w:line="626" w:lineRule="exact"/>
    </w:pPr>
    <w:rPr>
      <w:sz w:val="30"/>
      <w:szCs w:val="30"/>
      <w:lang w:val="zh-TW" w:eastAsia="zh-TW" w:bidi="zh-TW"/>
    </w:rPr>
  </w:style>
  <w:style w:type="character" w:customStyle="1" w:styleId="29">
    <w:name w:val="font41"/>
    <w:autoRedefine/>
    <w:qFormat/>
    <w:uiPriority w:val="0"/>
    <w:rPr>
      <w:rFonts w:hint="default" w:ascii="Times New Roman" w:hAnsi="Times New Roman" w:cs="Times New Roman"/>
      <w:color w:val="000000"/>
      <w:sz w:val="21"/>
      <w:szCs w:val="21"/>
      <w:u w:val="none"/>
    </w:rPr>
  </w:style>
  <w:style w:type="character" w:customStyle="1" w:styleId="30">
    <w:name w:val="font21"/>
    <w:autoRedefine/>
    <w:qFormat/>
    <w:uiPriority w:val="0"/>
    <w:rPr>
      <w:rFonts w:hint="eastAsia" w:ascii="宋体" w:hAnsi="宋体" w:eastAsia="宋体" w:cs="宋体"/>
      <w:color w:val="000000"/>
      <w:sz w:val="21"/>
      <w:szCs w:val="21"/>
      <w:u w:val="none"/>
    </w:rPr>
  </w:style>
  <w:style w:type="paragraph" w:customStyle="1" w:styleId="31">
    <w:name w:val="Body text|1"/>
    <w:basedOn w:val="1"/>
    <w:autoRedefine/>
    <w:qFormat/>
    <w:uiPriority w:val="0"/>
    <w:pPr>
      <w:spacing w:line="434" w:lineRule="auto"/>
    </w:pPr>
    <w:rPr>
      <w:rFonts w:ascii="宋体" w:hAnsi="宋体" w:cs="宋体"/>
      <w:sz w:val="30"/>
      <w:szCs w:val="30"/>
      <w:lang w:val="zh-TW" w:eastAsia="zh-TW" w:bidi="zh-TW"/>
    </w:rPr>
  </w:style>
  <w:style w:type="paragraph" w:customStyle="1" w:styleId="32">
    <w:name w:val="Body text|2"/>
    <w:basedOn w:val="1"/>
    <w:autoRedefine/>
    <w:qFormat/>
    <w:uiPriority w:val="0"/>
    <w:pPr>
      <w:spacing w:line="425" w:lineRule="exact"/>
      <w:ind w:firstLine="560"/>
    </w:pPr>
    <w:rPr>
      <w:rFonts w:ascii="宋体" w:hAnsi="宋体" w:cs="宋体"/>
      <w:lang w:val="zh-TW" w:eastAsia="zh-TW" w:bidi="zh-TW"/>
    </w:rPr>
  </w:style>
  <w:style w:type="paragraph" w:customStyle="1" w:styleId="33">
    <w:name w:val="正文（首行缩进两字）_3"/>
    <w:basedOn w:val="34"/>
    <w:autoRedefine/>
    <w:qFormat/>
    <w:uiPriority w:val="0"/>
    <w:pPr>
      <w:spacing w:line="360" w:lineRule="auto"/>
      <w:ind w:firstLine="420"/>
    </w:pPr>
    <w:rPr>
      <w:sz w:val="28"/>
      <w:szCs w:val="21"/>
    </w:rPr>
  </w:style>
  <w:style w:type="paragraph" w:customStyle="1" w:styleId="34">
    <w:name w:val="Normal_1"/>
    <w:next w:val="3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首行缩进两字）_2"/>
    <w:basedOn w:val="34"/>
    <w:autoRedefine/>
    <w:qFormat/>
    <w:uiPriority w:val="0"/>
    <w:pPr>
      <w:spacing w:line="360" w:lineRule="auto"/>
      <w:ind w:firstLine="420"/>
    </w:pPr>
    <w:rPr>
      <w:sz w:val="28"/>
      <w:szCs w:val="21"/>
    </w:rPr>
  </w:style>
  <w:style w:type="paragraph" w:customStyle="1" w:styleId="36">
    <w:name w:val="Other|1"/>
    <w:basedOn w:val="1"/>
    <w:autoRedefine/>
    <w:qFormat/>
    <w:uiPriority w:val="0"/>
    <w:pPr>
      <w:spacing w:line="434" w:lineRule="auto"/>
    </w:pPr>
    <w:rPr>
      <w:rFonts w:ascii="宋体" w:hAnsi="宋体" w:cs="宋体"/>
      <w:sz w:val="30"/>
      <w:szCs w:val="30"/>
      <w:lang w:val="zh-TW" w:eastAsia="zh-TW" w:bidi="zh-TW"/>
    </w:rPr>
  </w:style>
  <w:style w:type="paragraph" w:customStyle="1" w:styleId="37">
    <w:name w:val="正文（首行缩进两字）"/>
    <w:basedOn w:val="1"/>
    <w:autoRedefine/>
    <w:qFormat/>
    <w:uiPriority w:val="0"/>
    <w:pPr>
      <w:spacing w:line="360" w:lineRule="auto"/>
      <w:ind w:firstLine="420"/>
    </w:pPr>
    <w:rPr>
      <w:sz w:val="28"/>
      <w:szCs w:val="21"/>
    </w:rPr>
  </w:style>
  <w:style w:type="paragraph" w:customStyle="1" w:styleId="38">
    <w:name w:val="标题二、"/>
    <w:basedOn w:val="1"/>
    <w:autoRedefine/>
    <w:qFormat/>
    <w:uiPriority w:val="99"/>
    <w:pPr>
      <w:tabs>
        <w:tab w:val="left" w:pos="0"/>
      </w:tabs>
      <w:ind w:firstLine="200" w:firstLineChars="200"/>
      <w:outlineLvl w:val="2"/>
    </w:pPr>
    <w:rPr>
      <w:rFonts w:ascii="宋体" w:hAnsi="宋体"/>
      <w:b/>
      <w:szCs w:val="21"/>
    </w:rPr>
  </w:style>
  <w:style w:type="paragraph" w:customStyle="1" w:styleId="39">
    <w:name w:val="Normal_3"/>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Footer_2"/>
    <w:basedOn w:val="39"/>
    <w:next w:val="41"/>
    <w:autoRedefine/>
    <w:unhideWhenUsed/>
    <w:qFormat/>
    <w:uiPriority w:val="99"/>
    <w:pPr>
      <w:tabs>
        <w:tab w:val="center" w:pos="4153"/>
        <w:tab w:val="right" w:pos="8306"/>
      </w:tabs>
      <w:snapToGrid w:val="0"/>
      <w:jc w:val="left"/>
    </w:pPr>
    <w:rPr>
      <w:sz w:val="18"/>
      <w:szCs w:val="18"/>
    </w:rPr>
  </w:style>
  <w:style w:type="paragraph" w:customStyle="1" w:styleId="41">
    <w:name w:val="正文缩进 New New New New_2"/>
    <w:basedOn w:val="39"/>
    <w:next w:val="42"/>
    <w:autoRedefine/>
    <w:qFormat/>
    <w:uiPriority w:val="0"/>
    <w:pPr>
      <w:ind w:firstLine="420"/>
    </w:pPr>
    <w:rPr>
      <w:rFonts w:ascii="Times New Roman" w:hAnsi="Times New Roman"/>
      <w:sz w:val="24"/>
    </w:rPr>
  </w:style>
  <w:style w:type="paragraph" w:customStyle="1" w:styleId="42">
    <w:name w:val="正文_0_2"/>
    <w:next w:val="4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页脚_0_2"/>
    <w:basedOn w:val="42"/>
    <w:next w:val="41"/>
    <w:autoRedefine/>
    <w:unhideWhenUsed/>
    <w:qFormat/>
    <w:uiPriority w:val="99"/>
    <w:pPr>
      <w:tabs>
        <w:tab w:val="center" w:pos="4153"/>
        <w:tab w:val="right" w:pos="8306"/>
      </w:tabs>
      <w:snapToGrid w:val="0"/>
      <w:jc w:val="left"/>
    </w:pPr>
    <w:rPr>
      <w:sz w:val="18"/>
      <w:szCs w:val="18"/>
    </w:rPr>
  </w:style>
  <w:style w:type="paragraph" w:customStyle="1" w:styleId="44">
    <w:name w:val="正文_2_0"/>
    <w:next w:val="4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_1_0"/>
    <w:basedOn w:val="46"/>
    <w:next w:val="47"/>
    <w:autoRedefine/>
    <w:qFormat/>
    <w:uiPriority w:val="0"/>
    <w:pPr>
      <w:tabs>
        <w:tab w:val="center" w:pos="4153"/>
        <w:tab w:val="right" w:pos="8306"/>
      </w:tabs>
      <w:snapToGrid w:val="0"/>
    </w:pPr>
    <w:rPr>
      <w:sz w:val="18"/>
      <w:szCs w:val="18"/>
    </w:rPr>
  </w:style>
  <w:style w:type="paragraph" w:customStyle="1" w:styleId="46">
    <w:name w:val="正文_1_0_0"/>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缩进 New New New New_1_0"/>
    <w:basedOn w:val="46"/>
    <w:next w:val="44"/>
    <w:autoRedefine/>
    <w:qFormat/>
    <w:uiPriority w:val="0"/>
    <w:pPr>
      <w:ind w:firstLine="420"/>
    </w:pPr>
    <w:rPr>
      <w:rFonts w:ascii="Times New Roman" w:hAnsi="Times New Roman"/>
      <w:sz w:val="24"/>
    </w:rPr>
  </w:style>
  <w:style w:type="paragraph" w:customStyle="1" w:styleId="48">
    <w:name w:val="Normal_1_1"/>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Footer_0"/>
    <w:basedOn w:val="50"/>
    <w:next w:val="51"/>
    <w:autoRedefine/>
    <w:unhideWhenUsed/>
    <w:qFormat/>
    <w:uiPriority w:val="99"/>
    <w:pPr>
      <w:tabs>
        <w:tab w:val="center" w:pos="4153"/>
        <w:tab w:val="right" w:pos="8306"/>
      </w:tabs>
      <w:snapToGrid w:val="0"/>
      <w:jc w:val="left"/>
    </w:pPr>
    <w:rPr>
      <w:sz w:val="18"/>
      <w:szCs w:val="18"/>
    </w:rPr>
  </w:style>
  <w:style w:type="paragraph" w:customStyle="1" w:styleId="50">
    <w:name w:val="Normal_2_0"/>
    <w:next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缩进 New New New New_0_0"/>
    <w:basedOn w:val="48"/>
    <w:next w:val="48"/>
    <w:autoRedefine/>
    <w:qFormat/>
    <w:uiPriority w:val="0"/>
    <w:pPr>
      <w:ind w:firstLine="420"/>
    </w:pPr>
    <w:rPr>
      <w:rFonts w:ascii="Times New Roman" w:hAnsi="Times New Roman" w:eastAsia="宋体" w:cs="Times New Roman"/>
      <w:sz w:val="24"/>
    </w:rPr>
  </w:style>
  <w:style w:type="paragraph" w:customStyle="1" w:styleId="52">
    <w:name w:val="Table Paragraph"/>
    <w:basedOn w:val="1"/>
    <w:autoRedefine/>
    <w:qFormat/>
    <w:uiPriority w:val="1"/>
    <w:rPr>
      <w:rFonts w:ascii="宋体" w:hAnsi="宋体" w:eastAsia="宋体" w:cs="宋体"/>
      <w:lang w:val="en-US" w:eastAsia="zh-CN" w:bidi="ar-SA"/>
    </w:rPr>
  </w:style>
  <w:style w:type="paragraph" w:customStyle="1" w:styleId="53">
    <w:name w:val="Table Text"/>
    <w:basedOn w:val="1"/>
    <w:autoRedefine/>
    <w:semiHidden/>
    <w:qFormat/>
    <w:uiPriority w:val="0"/>
    <w:rPr>
      <w:rFonts w:ascii="宋体" w:hAnsi="宋体" w:eastAsia="宋体" w:cs="宋体"/>
      <w:sz w:val="28"/>
      <w:szCs w:val="28"/>
      <w:lang w:val="en-US" w:eastAsia="en-US" w:bidi="ar-SA"/>
    </w:rPr>
  </w:style>
  <w:style w:type="paragraph" w:customStyle="1" w:styleId="54">
    <w:name w:val="00正文缩进"/>
    <w:basedOn w:val="1"/>
    <w:autoRedefine/>
    <w:qFormat/>
    <w:uiPriority w:val="0"/>
    <w:pPr>
      <w:spacing w:line="500" w:lineRule="exact"/>
      <w:ind w:firstLine="548" w:firstLineChars="200"/>
    </w:pPr>
    <w:rPr>
      <w:rFonts w:eastAsia="宋体" w:cs="宋体"/>
      <w:spacing w:val="-3"/>
      <w:sz w:val="28"/>
      <w:szCs w:val="18"/>
    </w:rPr>
  </w:style>
  <w:style w:type="character" w:customStyle="1" w:styleId="55">
    <w:name w:val="font1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7995</Words>
  <Characters>8134</Characters>
  <Lines>60</Lines>
  <Paragraphs>16</Paragraphs>
  <TotalTime>3</TotalTime>
  <ScaleCrop>false</ScaleCrop>
  <LinksUpToDate>false</LinksUpToDate>
  <CharactersWithSpaces>8690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2022-04-19T03:47:00Z</dcterms:created>
  <dc:creator>MC SYSTEM</dc:creator>
  <cp:lastModifiedBy>Mr lonely</cp:lastModifiedBy>
  <cp:lastPrinted>2025-06-30T01:38:00Z</cp:lastPrinted>
  <dcterms:modified xsi:type="dcterms:W3CDTF">2025-06-30T01:48:11Z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D61D6918ED0245A59C507308095677BD_13</vt:lpwstr>
  </property>
  <property fmtid="{D5CDD505-2E9C-101B-9397-08002B2CF9AE}" pid="4" name="KSOTemplateDocerSaveRecord">
    <vt:lpwstr>eyJoZGlkIjoiOTI1MDliMjlmZTA0NGIyYWI0ODJhNDQwMzUzY2FhMmEiLCJ1c2VySWQiOiIzNjA5OTEzMjUifQ==</vt:lpwstr>
  </property>
</Properties>
</file>