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FD903">
      <w:pPr>
        <w:snapToGrid w:val="0"/>
        <w:spacing w:line="360" w:lineRule="auto"/>
        <w:jc w:val="center"/>
        <w:rPr>
          <w:rFonts w:hint="eastAsia" w:ascii="仿宋" w:hAnsi="仿宋" w:eastAsia="仿宋"/>
          <w:b/>
          <w:sz w:val="32"/>
          <w:szCs w:val="32"/>
        </w:rPr>
      </w:pPr>
      <w:r>
        <w:rPr>
          <w:rFonts w:hint="eastAsia" w:ascii="仿宋" w:hAnsi="仿宋" w:eastAsia="仿宋"/>
          <w:b/>
          <w:sz w:val="32"/>
          <w:szCs w:val="32"/>
        </w:rPr>
        <w:t>履约</w:t>
      </w:r>
      <w:r>
        <w:rPr>
          <w:rFonts w:ascii="仿宋" w:hAnsi="仿宋" w:eastAsia="仿宋"/>
          <w:b/>
          <w:sz w:val="32"/>
          <w:szCs w:val="32"/>
        </w:rPr>
        <w:t>验收方案</w:t>
      </w:r>
    </w:p>
    <w:p w14:paraId="0767A06A">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（1）履约验收主体</w:t>
      </w:r>
    </w:p>
    <w:p w14:paraId="02F87A1E">
      <w:pPr>
        <w:snapToGrid w:val="0"/>
        <w:spacing w:line="360" w:lineRule="auto"/>
        <w:ind w:firstLine="640" w:firstLineChars="200"/>
        <w:jc w:val="left"/>
        <w:rPr>
          <w:rFonts w:hint="default" w:ascii="仿宋" w:hAnsi="仿宋" w:eastAsia="仿宋"/>
          <w:sz w:val="32"/>
          <w:szCs w:val="32"/>
          <w:u w:val="single"/>
          <w:lang w:val="en-US" w:eastAsia="zh-CN"/>
        </w:rPr>
      </w:pPr>
      <w:r>
        <w:rPr>
          <w:rFonts w:ascii="仿宋" w:hAnsi="仿宋" w:eastAsia="仿宋" w:cs="MS Mincho"/>
          <w:sz w:val="32"/>
          <w:szCs w:val="32"/>
        </w:rPr>
        <w:fldChar w:fldCharType="begin"/>
      </w:r>
      <w:r>
        <w:rPr>
          <w:rFonts w:ascii="仿宋" w:hAnsi="仿宋" w:eastAsia="仿宋" w:cs="MS Mincho"/>
          <w:sz w:val="32"/>
          <w:szCs w:val="32"/>
        </w:rPr>
        <w:instrText xml:space="preserve"> </w:instrText>
      </w:r>
      <w:r>
        <w:rPr>
          <w:rFonts w:hint="eastAsia" w:ascii="仿宋" w:hAnsi="仿宋" w:eastAsia="仿宋" w:cs="MS Mincho"/>
          <w:sz w:val="32"/>
          <w:szCs w:val="32"/>
        </w:rPr>
        <w:instrText xml:space="preserve">eq \o\ac(□,</w:instrText>
      </w:r>
      <w:r>
        <w:rPr>
          <w:rFonts w:hint="eastAsia" w:ascii="仿宋" w:hAnsi="仿宋" w:eastAsia="仿宋" w:cs="MS Mincho"/>
          <w:position w:val="2"/>
          <w:sz w:val="32"/>
          <w:szCs w:val="32"/>
        </w:rPr>
        <w:instrText xml:space="preserve">√</w:instrText>
      </w:r>
      <w:r>
        <w:rPr>
          <w:rFonts w:hint="eastAsia" w:ascii="仿宋" w:hAnsi="仿宋" w:eastAsia="仿宋" w:cs="MS Mincho"/>
          <w:sz w:val="32"/>
          <w:szCs w:val="32"/>
        </w:rPr>
        <w:instrText xml:space="preserve">)</w:instrText>
      </w:r>
      <w:r>
        <w:rPr>
          <w:rFonts w:ascii="仿宋" w:hAnsi="仿宋" w:eastAsia="仿宋" w:cs="MS Mincho"/>
          <w:sz w:val="32"/>
          <w:szCs w:val="32"/>
        </w:rPr>
        <w:fldChar w:fldCharType="end"/>
      </w:r>
      <w:r>
        <w:rPr>
          <w:rFonts w:hint="eastAsia" w:ascii="仿宋" w:hAnsi="仿宋" w:eastAsia="仿宋"/>
          <w:sz w:val="32"/>
          <w:szCs w:val="32"/>
        </w:rPr>
        <w:t>采购人：</w:t>
      </w:r>
      <w:r>
        <w:rPr>
          <w:rFonts w:hint="eastAsia" w:ascii="仿宋" w:hAnsi="仿宋" w:eastAsia="仿宋"/>
          <w:sz w:val="32"/>
          <w:szCs w:val="32"/>
          <w:u w:val="single"/>
        </w:rPr>
        <w:t>宁夏回族自治区七星渠管理处</w:t>
      </w:r>
      <w:r>
        <w:rPr>
          <w:rFonts w:hint="eastAsia" w:ascii="仿宋" w:hAnsi="仿宋" w:eastAsia="仿宋"/>
          <w:sz w:val="32"/>
          <w:szCs w:val="32"/>
          <w:u w:val="single"/>
          <w:lang w:val="en-US" w:eastAsia="zh-CN"/>
        </w:rPr>
        <w:t xml:space="preserve">   </w:t>
      </w:r>
      <w:bookmarkStart w:id="0" w:name="_GoBack"/>
      <w:bookmarkEnd w:id="0"/>
    </w:p>
    <w:p w14:paraId="345D2B6B">
      <w:pPr>
        <w:snapToGrid w:val="0"/>
        <w:spacing w:line="360" w:lineRule="auto"/>
        <w:ind w:firstLine="640" w:firstLineChars="200"/>
        <w:jc w:val="left"/>
        <w:rPr>
          <w:rFonts w:ascii="仿宋" w:hAnsi="仿宋" w:eastAsia="仿宋"/>
          <w:sz w:val="32"/>
          <w:szCs w:val="32"/>
          <w:u w:val="single"/>
        </w:rPr>
      </w:pPr>
      <w:r>
        <w:rPr>
          <w:rFonts w:hint="eastAsia" w:ascii="仿宋" w:hAnsi="仿宋" w:eastAsia="仿宋"/>
          <w:sz w:val="32"/>
          <w:szCs w:val="32"/>
        </w:rPr>
        <w:t>□采购代理机构：</w:t>
      </w:r>
      <w:r>
        <w:rPr>
          <w:rFonts w:hint="eastAsia" w:ascii="仿宋" w:hAnsi="仿宋" w:eastAsia="仿宋"/>
          <w:sz w:val="32"/>
          <w:szCs w:val="32"/>
          <w:u w:val="single"/>
        </w:rPr>
        <w:t xml:space="preserve">                       </w:t>
      </w:r>
    </w:p>
    <w:p w14:paraId="03146D77">
      <w:pPr>
        <w:snapToGrid w:val="0"/>
        <w:spacing w:line="360" w:lineRule="auto"/>
        <w:ind w:firstLine="640" w:firstLineChars="200"/>
        <w:jc w:val="left"/>
        <w:rPr>
          <w:rFonts w:ascii="仿宋" w:hAnsi="仿宋" w:eastAsia="仿宋"/>
          <w:sz w:val="32"/>
          <w:szCs w:val="32"/>
          <w:u w:val="single"/>
        </w:rPr>
      </w:pPr>
      <w:r>
        <w:rPr>
          <w:rFonts w:hint="eastAsia" w:ascii="仿宋" w:hAnsi="仿宋" w:eastAsia="仿宋"/>
          <w:sz w:val="32"/>
          <w:szCs w:val="32"/>
        </w:rPr>
        <w:t>□本项目的其他供应商：</w:t>
      </w:r>
      <w:r>
        <w:rPr>
          <w:rFonts w:hint="eastAsia" w:ascii="仿宋" w:hAnsi="仿宋" w:eastAsia="仿宋"/>
          <w:sz w:val="32"/>
          <w:szCs w:val="32"/>
          <w:u w:val="single"/>
        </w:rPr>
        <w:t xml:space="preserve">                 </w:t>
      </w:r>
    </w:p>
    <w:p w14:paraId="4D159932">
      <w:pPr>
        <w:snapToGrid w:val="0"/>
        <w:spacing w:line="360" w:lineRule="auto"/>
        <w:ind w:firstLine="640" w:firstLineChars="200"/>
        <w:jc w:val="left"/>
        <w:rPr>
          <w:rFonts w:ascii="仿宋" w:hAnsi="仿宋" w:eastAsia="仿宋"/>
          <w:sz w:val="32"/>
          <w:szCs w:val="32"/>
          <w:u w:val="single"/>
        </w:rPr>
      </w:pPr>
      <w:r>
        <w:rPr>
          <w:rFonts w:hint="eastAsia" w:ascii="仿宋" w:hAnsi="仿宋" w:eastAsia="仿宋"/>
          <w:sz w:val="32"/>
          <w:szCs w:val="32"/>
        </w:rPr>
        <w:t>□第三方专业机构：</w:t>
      </w:r>
      <w:r>
        <w:rPr>
          <w:rFonts w:hint="eastAsia" w:ascii="仿宋" w:hAnsi="仿宋" w:eastAsia="仿宋"/>
          <w:sz w:val="32"/>
          <w:szCs w:val="32"/>
          <w:u w:val="single"/>
        </w:rPr>
        <w:t xml:space="preserve">                     </w:t>
      </w:r>
    </w:p>
    <w:p w14:paraId="6EEF2996">
      <w:pPr>
        <w:snapToGrid w:val="0"/>
        <w:spacing w:line="360" w:lineRule="auto"/>
        <w:ind w:firstLine="640" w:firstLineChars="200"/>
        <w:jc w:val="left"/>
        <w:rPr>
          <w:rFonts w:ascii="仿宋" w:hAnsi="仿宋" w:eastAsia="仿宋"/>
          <w:sz w:val="32"/>
          <w:szCs w:val="32"/>
          <w:u w:val="single"/>
        </w:rPr>
      </w:pPr>
      <w:r>
        <w:rPr>
          <w:rFonts w:hint="eastAsia" w:ascii="仿宋" w:hAnsi="仿宋" w:eastAsia="仿宋"/>
          <w:sz w:val="32"/>
          <w:szCs w:val="32"/>
        </w:rPr>
        <w:t>□专家：</w:t>
      </w:r>
      <w:r>
        <w:rPr>
          <w:rFonts w:hint="eastAsia" w:ascii="仿宋" w:hAnsi="仿宋" w:eastAsia="仿宋"/>
          <w:sz w:val="32"/>
          <w:szCs w:val="32"/>
          <w:u w:val="single"/>
        </w:rPr>
        <w:t xml:space="preserve">                               </w:t>
      </w:r>
    </w:p>
    <w:p w14:paraId="79C9BF2C">
      <w:pPr>
        <w:snapToGrid w:val="0"/>
        <w:spacing w:line="360" w:lineRule="auto"/>
        <w:ind w:firstLine="640" w:firstLineChars="200"/>
        <w:jc w:val="left"/>
        <w:rPr>
          <w:rFonts w:ascii="仿宋" w:hAnsi="仿宋" w:eastAsia="仿宋"/>
          <w:sz w:val="32"/>
          <w:szCs w:val="32"/>
          <w:u w:val="single"/>
        </w:rPr>
      </w:pPr>
      <w:r>
        <w:rPr>
          <w:rFonts w:hint="eastAsia" w:ascii="仿宋" w:hAnsi="仿宋" w:eastAsia="仿宋"/>
          <w:sz w:val="32"/>
          <w:szCs w:val="32"/>
        </w:rPr>
        <w:t>□服务对象：</w:t>
      </w:r>
      <w:r>
        <w:rPr>
          <w:rFonts w:hint="eastAsia" w:ascii="仿宋" w:hAnsi="仿宋" w:eastAsia="仿宋"/>
          <w:sz w:val="32"/>
          <w:szCs w:val="32"/>
          <w:u w:val="single"/>
        </w:rPr>
        <w:t xml:space="preserve">                           </w:t>
      </w:r>
    </w:p>
    <w:p w14:paraId="6FDF87F7">
      <w:pPr>
        <w:snapToGrid w:val="0"/>
        <w:spacing w:line="360" w:lineRule="auto"/>
        <w:ind w:firstLine="640" w:firstLineChars="200"/>
        <w:jc w:val="left"/>
        <w:rPr>
          <w:rFonts w:ascii="仿宋" w:hAnsi="仿宋" w:eastAsia="仿宋"/>
          <w:sz w:val="32"/>
          <w:szCs w:val="32"/>
          <w:u w:val="single"/>
        </w:rPr>
      </w:pPr>
      <w:r>
        <w:rPr>
          <w:rFonts w:hint="eastAsia" w:ascii="仿宋" w:hAnsi="仿宋" w:eastAsia="仿宋"/>
          <w:sz w:val="32"/>
          <w:szCs w:val="32"/>
        </w:rPr>
        <w:t>□其他：</w:t>
      </w:r>
      <w:r>
        <w:rPr>
          <w:rFonts w:hint="eastAsia" w:ascii="仿宋" w:hAnsi="仿宋" w:eastAsia="仿宋"/>
          <w:sz w:val="32"/>
          <w:szCs w:val="32"/>
          <w:u w:val="single"/>
        </w:rPr>
        <w:t xml:space="preserve">                               </w:t>
      </w:r>
    </w:p>
    <w:p w14:paraId="0922093D">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（2）履约验收时间</w:t>
      </w:r>
    </w:p>
    <w:p w14:paraId="717FEF04">
      <w:pPr>
        <w:snapToGrid w:val="0"/>
        <w:spacing w:line="360" w:lineRule="auto"/>
        <w:ind w:firstLine="640" w:firstLineChars="200"/>
        <w:jc w:val="left"/>
        <w:rPr>
          <w:rFonts w:ascii="仿宋" w:hAnsi="仿宋" w:eastAsia="仿宋"/>
          <w:sz w:val="32"/>
          <w:szCs w:val="32"/>
          <w:u w:val="single"/>
        </w:rPr>
      </w:pPr>
      <w:r>
        <w:rPr>
          <w:rFonts w:hint="eastAsia" w:ascii="仿宋" w:hAnsi="仿宋" w:eastAsia="仿宋"/>
          <w:sz w:val="32"/>
          <w:szCs w:val="32"/>
          <w:u w:val="single"/>
        </w:rPr>
        <w:t>按照合同约定时间。</w:t>
      </w:r>
    </w:p>
    <w:p w14:paraId="11034ED5">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（3）履约验收方式</w:t>
      </w:r>
    </w:p>
    <w:p w14:paraId="247C4D48">
      <w:pPr>
        <w:snapToGrid w:val="0"/>
        <w:spacing w:line="360" w:lineRule="auto"/>
        <w:ind w:firstLine="640" w:firstLineChars="200"/>
        <w:jc w:val="left"/>
        <w:rPr>
          <w:rFonts w:hint="eastAsia" w:ascii="仿宋" w:hAnsi="仿宋" w:eastAsia="仿宋" w:cs="Times New Roman"/>
          <w:sz w:val="32"/>
          <w:szCs w:val="32"/>
          <w:u w:val="single"/>
        </w:rPr>
      </w:pPr>
      <w:r>
        <w:rPr>
          <w:rFonts w:hint="eastAsia" w:ascii="仿宋" w:hAnsi="仿宋" w:eastAsia="仿宋" w:cs="Times New Roman"/>
          <w:sz w:val="32"/>
          <w:szCs w:val="32"/>
          <w:u w:val="single"/>
        </w:rPr>
        <w:t>一次性验收。供应商履约完成，采购人按采购合同约定的验收条件进行一次性验收。</w:t>
      </w:r>
    </w:p>
    <w:p w14:paraId="182A110E">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（4）履约验收程序</w:t>
      </w:r>
    </w:p>
    <w:p w14:paraId="130974D3">
      <w:pPr>
        <w:snapToGrid w:val="0"/>
        <w:spacing w:line="360" w:lineRule="auto"/>
        <w:ind w:firstLine="640" w:firstLineChars="200"/>
        <w:jc w:val="left"/>
        <w:rPr>
          <w:rFonts w:ascii="仿宋" w:hAnsi="仿宋" w:eastAsia="仿宋"/>
          <w:sz w:val="32"/>
          <w:szCs w:val="32"/>
          <w:u w:val="single"/>
        </w:rPr>
      </w:pPr>
      <w:r>
        <w:rPr>
          <w:rFonts w:hint="eastAsia" w:ascii="仿宋" w:hAnsi="仿宋" w:eastAsia="仿宋"/>
          <w:sz w:val="32"/>
          <w:szCs w:val="32"/>
          <w:u w:val="single"/>
        </w:rPr>
        <w:t>根据《宁夏回族自治区政府采购履约验收管理暂行办法》(宁财规发〔2022〕</w:t>
      </w:r>
      <w:r>
        <w:rPr>
          <w:rFonts w:ascii="仿宋" w:hAnsi="仿宋" w:eastAsia="仿宋"/>
          <w:sz w:val="32"/>
          <w:szCs w:val="32"/>
          <w:u w:val="single"/>
        </w:rPr>
        <w:t>10</w:t>
      </w:r>
      <w:r>
        <w:rPr>
          <w:rFonts w:hint="eastAsia" w:ascii="仿宋" w:hAnsi="仿宋" w:eastAsia="仿宋"/>
          <w:sz w:val="32"/>
          <w:szCs w:val="32"/>
          <w:u w:val="single"/>
        </w:rPr>
        <w:t>号）规定（采购限额标准以上）：</w:t>
      </w:r>
    </w:p>
    <w:p w14:paraId="34061A8B">
      <w:pPr>
        <w:snapToGrid w:val="0"/>
        <w:spacing w:line="360" w:lineRule="auto"/>
        <w:ind w:firstLine="640" w:firstLineChars="200"/>
        <w:jc w:val="left"/>
        <w:rPr>
          <w:rFonts w:ascii="仿宋" w:hAnsi="仿宋" w:eastAsia="仿宋"/>
          <w:sz w:val="32"/>
          <w:szCs w:val="32"/>
          <w:u w:val="single"/>
        </w:rPr>
      </w:pPr>
      <w:r>
        <w:rPr>
          <w:rFonts w:hint="eastAsia" w:ascii="仿宋" w:hAnsi="仿宋" w:eastAsia="仿宋"/>
          <w:sz w:val="32"/>
          <w:szCs w:val="32"/>
          <w:u w:val="single"/>
        </w:rPr>
        <w:t>①采购合同约定的履约验收条件到达时，供应商组织内部自验，自验合格后及时向采购人书面提出履约验收申请，自验情况作为相关证明材料；</w:t>
      </w:r>
    </w:p>
    <w:p w14:paraId="75DCB07A">
      <w:pPr>
        <w:pStyle w:val="6"/>
        <w:snapToGrid w:val="0"/>
        <w:spacing w:after="0" w:line="360" w:lineRule="auto"/>
        <w:ind w:left="0" w:leftChars="0" w:firstLine="640"/>
        <w:rPr>
          <w:rFonts w:ascii="仿宋" w:hAnsi="仿宋" w:eastAsia="仿宋"/>
          <w:szCs w:val="32"/>
          <w:u w:val="single"/>
        </w:rPr>
      </w:pPr>
      <w:r>
        <w:rPr>
          <w:rFonts w:hint="eastAsia" w:ascii="仿宋" w:hAnsi="仿宋" w:eastAsia="仿宋"/>
          <w:kern w:val="2"/>
          <w:szCs w:val="32"/>
          <w:u w:val="single"/>
        </w:rPr>
        <w:t>②采购人自收到供</w:t>
      </w:r>
      <w:r>
        <w:rPr>
          <w:rFonts w:hint="eastAsia" w:ascii="仿宋" w:hAnsi="仿宋" w:eastAsia="仿宋"/>
          <w:szCs w:val="32"/>
          <w:u w:val="single"/>
        </w:rPr>
        <w:t>应商提出的履约验收申请之日起5个工作日内审核是否到达采购合同约定的履约验收条件，达到条件的启动履约验收程序，向供应商发出《政府采购履约验收通知单》，未达到条件的，书面告知供应商；</w:t>
      </w:r>
    </w:p>
    <w:p w14:paraId="2EFD2A04">
      <w:pPr>
        <w:snapToGrid w:val="0"/>
        <w:spacing w:line="360" w:lineRule="auto"/>
        <w:ind w:firstLine="640" w:firstLineChars="200"/>
        <w:rPr>
          <w:rFonts w:ascii="仿宋" w:hAnsi="仿宋" w:eastAsia="仿宋"/>
          <w:sz w:val="32"/>
          <w:szCs w:val="32"/>
          <w:u w:val="single"/>
        </w:rPr>
      </w:pPr>
      <w:r>
        <w:rPr>
          <w:rFonts w:hint="eastAsia" w:ascii="仿宋" w:hAnsi="仿宋" w:eastAsia="仿宋"/>
          <w:sz w:val="32"/>
          <w:szCs w:val="32"/>
          <w:u w:val="single"/>
        </w:rPr>
        <w:t>③采购人成立履约验收小组，负责采购否项目的履约验收具体工作，出具验收意见，并对验收意见负责。（前期参与该项目的采购代理机构工作人员、评审专家、采购人代表以及政府采购回避制度规定的与供应商有利害关系的人员进行回避），履约验收小组由采购需求制定人员、实际使用人员等至少三人以上单数组成，并确定一名负责人。采购人可自行选择专业技术人员，也可邀请相关领域专家参与验收。</w:t>
      </w:r>
    </w:p>
    <w:p w14:paraId="6C182075">
      <w:pPr>
        <w:pStyle w:val="6"/>
        <w:snapToGrid w:val="0"/>
        <w:spacing w:after="0" w:line="360" w:lineRule="auto"/>
        <w:ind w:left="0" w:leftChars="0" w:firstLine="640"/>
        <w:rPr>
          <w:rFonts w:ascii="仿宋" w:hAnsi="仿宋" w:eastAsia="仿宋"/>
          <w:szCs w:val="32"/>
          <w:u w:val="single"/>
        </w:rPr>
      </w:pPr>
      <w:r>
        <w:rPr>
          <w:rFonts w:hint="eastAsia" w:ascii="仿宋" w:hAnsi="仿宋" w:eastAsia="仿宋"/>
          <w:szCs w:val="32"/>
          <w:u w:val="single"/>
        </w:rPr>
        <w:t>④实施验收前，采购人将采购文件、采购合同、封样样品等验收依据进行归集，移交验收小组。</w:t>
      </w:r>
    </w:p>
    <w:p w14:paraId="6FF3A97A">
      <w:pPr>
        <w:snapToGrid w:val="0"/>
        <w:spacing w:line="360" w:lineRule="auto"/>
        <w:ind w:firstLine="640" w:firstLineChars="200"/>
        <w:rPr>
          <w:rFonts w:ascii="仿宋" w:hAnsi="仿宋" w:eastAsia="仿宋"/>
          <w:sz w:val="32"/>
          <w:szCs w:val="32"/>
          <w:u w:val="single"/>
        </w:rPr>
      </w:pPr>
      <w:r>
        <w:rPr>
          <w:rFonts w:hint="eastAsia" w:ascii="仿宋" w:hAnsi="仿宋" w:eastAsia="仿宋"/>
          <w:kern w:val="0"/>
          <w:sz w:val="32"/>
          <w:szCs w:val="32"/>
          <w:u w:val="single"/>
        </w:rPr>
        <w:t>⑤履约验</w:t>
      </w:r>
      <w:r>
        <w:rPr>
          <w:rFonts w:hint="eastAsia" w:ascii="仿宋" w:hAnsi="仿宋" w:eastAsia="仿宋"/>
          <w:sz w:val="32"/>
          <w:szCs w:val="32"/>
          <w:u w:val="single"/>
        </w:rPr>
        <w:t>收采用节点建档模式：确认验收方案、实施验收、出具验收意见。</w:t>
      </w:r>
    </w:p>
    <w:p w14:paraId="22BBF5D5">
      <w:pPr>
        <w:snapToGrid w:val="0"/>
        <w:spacing w:line="360" w:lineRule="auto"/>
        <w:ind w:firstLine="643" w:firstLineChars="200"/>
        <w:rPr>
          <w:rFonts w:ascii="仿宋" w:hAnsi="仿宋" w:eastAsia="仿宋"/>
          <w:b/>
          <w:bCs/>
          <w:sz w:val="32"/>
          <w:szCs w:val="32"/>
          <w:u w:val="single"/>
        </w:rPr>
      </w:pPr>
      <w:r>
        <w:rPr>
          <w:rFonts w:hint="eastAsia" w:ascii="仿宋" w:hAnsi="仿宋" w:eastAsia="仿宋"/>
          <w:b/>
          <w:bCs/>
          <w:sz w:val="32"/>
          <w:szCs w:val="32"/>
          <w:u w:val="single"/>
        </w:rPr>
        <w:t>特别提示：</w:t>
      </w:r>
    </w:p>
    <w:p w14:paraId="27BFF517">
      <w:pPr>
        <w:snapToGrid w:val="0"/>
        <w:spacing w:line="360" w:lineRule="auto"/>
        <w:ind w:firstLine="640" w:firstLineChars="200"/>
        <w:rPr>
          <w:rFonts w:ascii="仿宋" w:hAnsi="仿宋" w:eastAsia="仿宋"/>
          <w:sz w:val="32"/>
          <w:szCs w:val="32"/>
          <w:u w:val="single"/>
        </w:rPr>
      </w:pPr>
      <w:r>
        <w:rPr>
          <w:rFonts w:hint="eastAsia" w:ascii="仿宋" w:hAnsi="仿宋" w:eastAsia="仿宋"/>
          <w:sz w:val="32"/>
          <w:szCs w:val="32"/>
          <w:u w:val="single"/>
        </w:rPr>
        <w:t>①履约验收结束后2个工作日内将履约验收结果信息向社会公开，分期验收的在每次验收结束后向社会公开。</w:t>
      </w:r>
    </w:p>
    <w:p w14:paraId="7777A151">
      <w:pPr>
        <w:snapToGrid w:val="0"/>
        <w:spacing w:line="360" w:lineRule="auto"/>
        <w:ind w:firstLine="640" w:firstLineChars="200"/>
        <w:rPr>
          <w:rFonts w:ascii="仿宋" w:hAnsi="仿宋" w:eastAsia="仿宋"/>
          <w:sz w:val="32"/>
          <w:szCs w:val="32"/>
          <w:u w:val="single"/>
        </w:rPr>
      </w:pPr>
      <w:r>
        <w:rPr>
          <w:rFonts w:hint="eastAsia" w:ascii="仿宋" w:hAnsi="仿宋" w:eastAsia="仿宋"/>
          <w:sz w:val="32"/>
          <w:szCs w:val="32"/>
          <w:u w:val="single"/>
        </w:rPr>
        <w:t>②采购人和供应商应当按照信用评价指标，对政府采购合同签订至履约验收期间双方的履约情况，及时在“宁夏政府采购信用评价系统”进行评价。</w:t>
      </w:r>
    </w:p>
    <w:p w14:paraId="65F5A560">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（5）履约验收内容</w:t>
      </w:r>
    </w:p>
    <w:p w14:paraId="0C8FE39A">
      <w:pPr>
        <w:snapToGrid w:val="0"/>
        <w:spacing w:line="360" w:lineRule="auto"/>
        <w:ind w:firstLine="640" w:firstLineChars="200"/>
        <w:rPr>
          <w:rFonts w:ascii="仿宋" w:hAnsi="仿宋" w:eastAsia="仿宋"/>
          <w:sz w:val="32"/>
          <w:szCs w:val="32"/>
          <w:u w:val="single"/>
        </w:rPr>
      </w:pPr>
      <w:r>
        <w:rPr>
          <w:rFonts w:hint="eastAsia" w:ascii="仿宋" w:hAnsi="仿宋" w:eastAsia="仿宋"/>
          <w:sz w:val="32"/>
          <w:szCs w:val="32"/>
          <w:u w:val="single"/>
        </w:rPr>
        <w:t>严格按照采购文件、采购合同要求提供的服务工作内容、数量、服务完成情况及服务质量进行验收。</w:t>
      </w:r>
    </w:p>
    <w:p w14:paraId="794FEA0B">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（6）履约验收标准</w:t>
      </w:r>
    </w:p>
    <w:p w14:paraId="7F60C6BF">
      <w:pPr>
        <w:snapToGrid w:val="0"/>
        <w:spacing w:line="360" w:lineRule="auto"/>
        <w:ind w:firstLine="640" w:firstLineChars="200"/>
        <w:rPr>
          <w:rFonts w:ascii="仿宋" w:hAnsi="仿宋" w:eastAsia="仿宋"/>
          <w:sz w:val="32"/>
          <w:szCs w:val="32"/>
          <w:u w:val="single"/>
        </w:rPr>
      </w:pPr>
      <w:r>
        <w:rPr>
          <w:rFonts w:hint="eastAsia" w:ascii="仿宋" w:hAnsi="仿宋" w:eastAsia="仿宋"/>
          <w:sz w:val="32"/>
          <w:szCs w:val="32"/>
          <w:u w:val="single"/>
        </w:rPr>
        <w:t>按照采购合同的约定对每一项技术、服务、标准等履约情况进行确认。</w:t>
      </w:r>
    </w:p>
    <w:p w14:paraId="330FD7B0">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（7）履约验收其他事项</w:t>
      </w:r>
    </w:p>
    <w:p w14:paraId="5BE4CD81">
      <w:pPr>
        <w:snapToGrid w:val="0"/>
        <w:spacing w:line="360" w:lineRule="auto"/>
        <w:ind w:firstLine="640" w:firstLineChars="200"/>
        <w:jc w:val="left"/>
        <w:rPr>
          <w:rFonts w:ascii="楷体" w:hAnsi="楷体" w:eastAsia="楷体"/>
          <w:sz w:val="32"/>
          <w:szCs w:val="32"/>
          <w:u w:val="single"/>
        </w:rPr>
      </w:pPr>
      <w:r>
        <w:rPr>
          <w:rFonts w:hint="eastAsia" w:ascii="仿宋" w:hAnsi="仿宋" w:eastAsia="仿宋"/>
          <w:sz w:val="32"/>
          <w:szCs w:val="32"/>
          <w:u w:val="single"/>
        </w:rPr>
        <w:t>无。</w:t>
      </w:r>
    </w:p>
    <w:p w14:paraId="7ABC677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411"/>
    <w:rsid w:val="004A4411"/>
    <w:rsid w:val="00500899"/>
    <w:rsid w:val="0051201D"/>
    <w:rsid w:val="09D045DB"/>
    <w:rsid w:val="0EFE2FB3"/>
    <w:rsid w:val="68DC4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Body Text Indent"/>
    <w:basedOn w:val="1"/>
    <w:link w:val="11"/>
    <w:semiHidden/>
    <w:unhideWhenUsed/>
    <w:qFormat/>
    <w:uiPriority w:val="99"/>
    <w:pPr>
      <w:spacing w:after="120"/>
      <w:ind w:left="420" w:leftChars="2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next w:val="1"/>
    <w:link w:val="12"/>
    <w:autoRedefine/>
    <w:qFormat/>
    <w:uiPriority w:val="0"/>
    <w:pPr>
      <w:widowControl/>
      <w:spacing w:line="276" w:lineRule="auto"/>
      <w:ind w:left="200" w:firstLine="420" w:firstLineChars="200"/>
      <w:jc w:val="left"/>
    </w:pPr>
    <w:rPr>
      <w:kern w:val="0"/>
      <w:sz w:val="32"/>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正文文本缩进 字符"/>
    <w:basedOn w:val="8"/>
    <w:link w:val="3"/>
    <w:semiHidden/>
    <w:qFormat/>
    <w:uiPriority w:val="99"/>
    <w:rPr>
      <w:rFonts w:ascii="Times New Roman" w:hAnsi="Times New Roman" w:eastAsia="宋体" w:cs="Times New Roman"/>
      <w:szCs w:val="24"/>
    </w:rPr>
  </w:style>
  <w:style w:type="character" w:customStyle="1" w:styleId="12">
    <w:name w:val="正文首行缩进 2 字符"/>
    <w:basedOn w:val="11"/>
    <w:link w:val="6"/>
    <w:qFormat/>
    <w:uiPriority w:val="0"/>
    <w:rPr>
      <w:rFonts w:ascii="Times New Roman" w:hAnsi="Times New Roman" w:eastAsia="宋体" w:cs="Times New Roman"/>
      <w:kern w:val="0"/>
      <w:sz w:val="32"/>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836</Words>
  <Characters>840</Characters>
  <Lines>7</Lines>
  <Paragraphs>2</Paragraphs>
  <TotalTime>0</TotalTime>
  <ScaleCrop>false</ScaleCrop>
  <LinksUpToDate>false</LinksUpToDate>
  <CharactersWithSpaces>995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2024-05-15T04:58:00Z</dcterms:created>
  <dc:creator>PBT</dc:creator>
  <cp:lastModifiedBy>Admin</cp:lastModifiedBy>
  <dcterms:modified xsi:type="dcterms:W3CDTF">2025-06-03T03:54:48Z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eyJoZGlkIjoiNzE0NDllOGYyZjIyNDhlYzNhODE5YmVkZTc1ZThiMGQiLCJ1c2VySWQiOiIyNzU4NTgzNDAifQ==</vt:lpwstr>
  </property>
  <property fmtid="{D5CDD505-2E9C-101B-9397-08002B2CF9AE}" pid="3" name="KSOProductBuildVer">
    <vt:lpwstr>2052-12.1.0.21171</vt:lpwstr>
  </property>
  <property fmtid="{D5CDD505-2E9C-101B-9397-08002B2CF9AE}" pid="4" name="ICV">
    <vt:lpwstr>BDF53DC83729456D90775539BF6A4CB6_12</vt:lpwstr>
  </property>
</Properties>
</file>