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hint="eastAsia" w:ascii="方正小标宋简体" w:hAnsi="Times New Roman" w:eastAsia="方正小标宋简体" w:cs="Times New Roman"/>
          <w:color w:val="000000"/>
          <w:kern w:val="0"/>
          <w:sz w:val="44"/>
          <w:szCs w:val="44"/>
        </w:rPr>
      </w:pPr>
      <w:r>
        <w:rPr>
          <w:rFonts w:hint="eastAsia" w:ascii="方正小标宋简体" w:hAnsi="Times New Roman" w:eastAsia="方正小标宋简体" w:cs="Times New Roman"/>
          <w:color w:val="000000"/>
          <w:kern w:val="0"/>
          <w:sz w:val="44"/>
          <w:szCs w:val="44"/>
        </w:rPr>
        <w:t>昆明电力交易中心有限责任公司2025年</w:t>
      </w:r>
    </w:p>
    <w:p>
      <w:pPr>
        <w:autoSpaceDE w:val="0"/>
        <w:autoSpaceDN w:val="0"/>
        <w:adjustRightInd w:val="0"/>
        <w:jc w:val="center"/>
        <w:rPr>
          <w:rFonts w:hint="eastAsia" w:ascii="方正小标宋简体" w:hAnsi="Times New Roman" w:eastAsia="方正小标宋简体" w:cs="Times New Roman"/>
          <w:color w:val="000000"/>
          <w:kern w:val="0"/>
          <w:sz w:val="44"/>
          <w:szCs w:val="44"/>
          <w:lang w:val="en-US" w:eastAsia="zh-CN"/>
        </w:rPr>
      </w:pPr>
      <w:r>
        <w:rPr>
          <w:rFonts w:hint="eastAsia" w:ascii="方正小标宋简体" w:hAnsi="Times New Roman" w:eastAsia="方正小标宋简体" w:cs="Times New Roman"/>
          <w:color w:val="000000"/>
          <w:kern w:val="0"/>
          <w:sz w:val="44"/>
          <w:szCs w:val="44"/>
        </w:rPr>
        <w:t>第2批专项货物采购</w:t>
      </w:r>
      <w:r>
        <w:rPr>
          <w:rFonts w:hint="eastAsia" w:ascii="方正小标宋简体" w:hAnsi="Times New Roman" w:eastAsia="方正小标宋简体" w:cs="Times New Roman"/>
          <w:color w:val="000000"/>
          <w:kern w:val="0"/>
          <w:sz w:val="44"/>
          <w:szCs w:val="44"/>
          <w:lang w:eastAsia="zh-CN"/>
        </w:rPr>
        <w:t>（</w:t>
      </w:r>
      <w:r>
        <w:rPr>
          <w:rFonts w:hint="eastAsia" w:ascii="方正小标宋简体" w:hAnsi="Times New Roman" w:eastAsia="方正小标宋简体" w:cs="Times New Roman"/>
          <w:color w:val="000000"/>
          <w:kern w:val="0"/>
          <w:sz w:val="44"/>
          <w:szCs w:val="44"/>
          <w:lang w:val="en-US" w:eastAsia="zh-CN"/>
        </w:rPr>
        <w:t>零星采购</w:t>
      </w:r>
      <w:r>
        <w:rPr>
          <w:rFonts w:hint="eastAsia" w:ascii="方正小标宋简体" w:hAnsi="Times New Roman" w:eastAsia="方正小标宋简体" w:cs="Times New Roman"/>
          <w:color w:val="000000"/>
          <w:kern w:val="0"/>
          <w:sz w:val="44"/>
          <w:szCs w:val="44"/>
          <w:lang w:eastAsia="zh-CN"/>
        </w:rPr>
        <w:t>）</w:t>
      </w:r>
    </w:p>
    <w:p>
      <w:pPr>
        <w:autoSpaceDE w:val="0"/>
        <w:autoSpaceDN w:val="0"/>
        <w:adjustRightInd w:val="0"/>
        <w:jc w:val="center"/>
        <w:rPr>
          <w:rFonts w:hint="eastAsia" w:ascii="方正小标宋简体" w:hAnsi="Times New Roman" w:eastAsia="方正小标宋简体" w:cs="Times New Roman"/>
          <w:color w:val="000000"/>
          <w:kern w:val="0"/>
          <w:sz w:val="44"/>
          <w:szCs w:val="44"/>
          <w:lang w:val="en-US" w:eastAsia="zh-CN"/>
        </w:rPr>
      </w:pPr>
      <w:r>
        <w:rPr>
          <w:rFonts w:hint="eastAsia" w:ascii="方正小标宋简体" w:hAnsi="Times New Roman" w:eastAsia="方正小标宋简体" w:cs="Times New Roman"/>
          <w:color w:val="000000"/>
          <w:kern w:val="0"/>
          <w:sz w:val="44"/>
          <w:szCs w:val="44"/>
          <w:lang w:val="en-US" w:eastAsia="zh-CN"/>
        </w:rPr>
        <w:t>技术标准和要求</w:t>
      </w:r>
    </w:p>
    <w:p>
      <w:pPr>
        <w:spacing w:before="156" w:beforeLines="50" w:line="460" w:lineRule="exact"/>
        <w:outlineLvl w:val="0"/>
        <w:rPr>
          <w:rFonts w:hint="eastAsia" w:ascii="仿宋" w:hAnsi="仿宋" w:eastAsia="仿宋"/>
          <w:b/>
          <w:bCs/>
          <w:sz w:val="28"/>
          <w:szCs w:val="28"/>
        </w:rPr>
      </w:pPr>
    </w:p>
    <w:p>
      <w:pPr>
        <w:spacing w:before="156" w:beforeLines="50" w:line="460" w:lineRule="exact"/>
        <w:outlineLvl w:val="0"/>
        <w:rPr>
          <w:rFonts w:ascii="仿宋" w:hAnsi="仿宋" w:eastAsia="仿宋"/>
          <w:b/>
          <w:bCs/>
          <w:sz w:val="28"/>
          <w:szCs w:val="28"/>
        </w:rPr>
      </w:pPr>
      <w:r>
        <w:rPr>
          <w:rFonts w:hint="eastAsia" w:ascii="仿宋" w:hAnsi="仿宋" w:eastAsia="仿宋"/>
          <w:b/>
          <w:bCs/>
          <w:sz w:val="28"/>
          <w:szCs w:val="28"/>
          <w:lang w:val="en-US" w:eastAsia="zh-CN"/>
        </w:rPr>
        <w:t>1</w:t>
      </w:r>
      <w:r>
        <w:rPr>
          <w:rFonts w:hint="eastAsia" w:ascii="仿宋" w:hAnsi="仿宋" w:eastAsia="仿宋"/>
          <w:b/>
          <w:bCs/>
          <w:sz w:val="28"/>
          <w:szCs w:val="28"/>
        </w:rPr>
        <w:t xml:space="preserve">. </w:t>
      </w:r>
      <w:r>
        <w:rPr>
          <w:rFonts w:ascii="仿宋" w:hAnsi="仿宋" w:eastAsia="仿宋"/>
          <w:b/>
          <w:bCs/>
          <w:sz w:val="28"/>
          <w:szCs w:val="28"/>
        </w:rPr>
        <w:t>项目</w:t>
      </w:r>
      <w:r>
        <w:rPr>
          <w:rFonts w:hint="eastAsia" w:ascii="仿宋" w:hAnsi="仿宋" w:eastAsia="仿宋"/>
          <w:b/>
          <w:bCs/>
          <w:sz w:val="28"/>
          <w:szCs w:val="28"/>
        </w:rPr>
        <w:t>概要</w:t>
      </w:r>
    </w:p>
    <w:p>
      <w:pPr>
        <w:spacing w:line="360" w:lineRule="auto"/>
        <w:ind w:firstLine="560" w:firstLineChars="200"/>
        <w:rPr>
          <w:rFonts w:ascii="仿宋" w:hAnsi="仿宋" w:eastAsia="仿宋"/>
          <w:sz w:val="28"/>
          <w:szCs w:val="28"/>
        </w:rPr>
      </w:pPr>
      <w:r>
        <w:rPr>
          <w:rFonts w:hint="eastAsia" w:ascii="仿宋" w:hAnsi="仿宋" w:eastAsia="仿宋"/>
          <w:sz w:val="28"/>
          <w:szCs w:val="28"/>
          <w:lang w:val="en-US" w:eastAsia="zh-CN"/>
        </w:rPr>
        <w:t>昆明电力交易中心作为国家重点研发计划“基于区块链的可信碳交易与碳中和管理示范应用”项目参与单位，按照项目任务书要求将采购相应电碳数据分布式存储设备用于搭建数据存储平台，为相关数据的高效存储、计算及应用提供基础支撑，更好推动项目任务实施</w:t>
      </w:r>
      <w:r>
        <w:rPr>
          <w:rFonts w:hint="eastAsia" w:ascii="仿宋" w:hAnsi="仿宋" w:eastAsia="仿宋"/>
          <w:sz w:val="28"/>
          <w:szCs w:val="28"/>
        </w:rPr>
        <w:t>。</w:t>
      </w:r>
    </w:p>
    <w:p>
      <w:pPr>
        <w:spacing w:before="156" w:beforeLines="50" w:line="460" w:lineRule="exact"/>
        <w:outlineLvl w:val="0"/>
        <w:rPr>
          <w:rFonts w:ascii="仿宋" w:hAnsi="仿宋" w:eastAsia="仿宋"/>
          <w:b/>
          <w:bCs/>
          <w:sz w:val="28"/>
          <w:szCs w:val="28"/>
        </w:rPr>
      </w:pPr>
      <w:r>
        <w:rPr>
          <w:rFonts w:hint="eastAsia" w:ascii="仿宋" w:hAnsi="仿宋" w:eastAsia="仿宋"/>
          <w:b/>
          <w:bCs/>
          <w:sz w:val="28"/>
          <w:szCs w:val="28"/>
          <w:lang w:val="en-US" w:eastAsia="zh-CN"/>
        </w:rPr>
        <w:t>2</w:t>
      </w:r>
      <w:r>
        <w:rPr>
          <w:rFonts w:hint="eastAsia" w:ascii="仿宋" w:hAnsi="仿宋" w:eastAsia="仿宋"/>
          <w:b/>
          <w:bCs/>
          <w:sz w:val="28"/>
          <w:szCs w:val="28"/>
        </w:rPr>
        <w:t xml:space="preserve">. </w:t>
      </w:r>
      <w:r>
        <w:rPr>
          <w:rFonts w:ascii="仿宋" w:hAnsi="仿宋" w:eastAsia="仿宋"/>
          <w:b/>
          <w:bCs/>
          <w:sz w:val="28"/>
          <w:szCs w:val="28"/>
        </w:rPr>
        <w:t>项目</w:t>
      </w:r>
      <w:r>
        <w:rPr>
          <w:rFonts w:hint="eastAsia" w:ascii="仿宋" w:hAnsi="仿宋" w:eastAsia="仿宋"/>
          <w:b/>
          <w:bCs/>
          <w:sz w:val="28"/>
          <w:szCs w:val="28"/>
          <w:lang w:val="en-US" w:eastAsia="zh-CN"/>
        </w:rPr>
        <w:t>内容及</w:t>
      </w:r>
      <w:r>
        <w:rPr>
          <w:rFonts w:hint="eastAsia" w:ascii="仿宋" w:hAnsi="仿宋" w:eastAsia="仿宋"/>
          <w:b/>
          <w:bCs/>
          <w:sz w:val="28"/>
          <w:szCs w:val="28"/>
        </w:rPr>
        <w:t>目标</w:t>
      </w:r>
    </w:p>
    <w:p>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采购</w:t>
      </w:r>
      <w:r>
        <w:rPr>
          <w:rFonts w:hint="eastAsia" w:ascii="仿宋" w:hAnsi="仿宋" w:eastAsia="仿宋"/>
          <w:sz w:val="28"/>
          <w:szCs w:val="28"/>
          <w:lang w:val="en-US" w:eastAsia="zh-CN"/>
        </w:rPr>
        <w:t>1台电碳数据分布式存储设备，为相关数据的高效存储、计算及应用提供基础支撑，所采购设备技术参数需满足本技术标准要求</w:t>
      </w:r>
      <w:r>
        <w:rPr>
          <w:rFonts w:hint="eastAsia" w:ascii="仿宋" w:hAnsi="仿宋" w:eastAsia="仿宋"/>
          <w:sz w:val="28"/>
          <w:szCs w:val="28"/>
        </w:rPr>
        <w:t>。</w:t>
      </w:r>
    </w:p>
    <w:p>
      <w:pPr>
        <w:spacing w:before="156" w:beforeLines="50" w:line="460" w:lineRule="exact"/>
        <w:outlineLvl w:val="0"/>
        <w:rPr>
          <w:rFonts w:hint="eastAsia" w:ascii="仿宋" w:hAnsi="仿宋" w:eastAsia="仿宋"/>
          <w:b/>
          <w:bCs/>
          <w:sz w:val="28"/>
          <w:szCs w:val="28"/>
          <w:lang w:val="en-US" w:eastAsia="zh-CN"/>
        </w:rPr>
      </w:pPr>
      <w:r>
        <w:rPr>
          <w:rFonts w:hint="eastAsia" w:ascii="仿宋" w:hAnsi="仿宋" w:eastAsia="仿宋"/>
          <w:b/>
          <w:bCs/>
          <w:sz w:val="28"/>
          <w:szCs w:val="28"/>
          <w:lang w:val="en-US" w:eastAsia="zh-CN"/>
        </w:rPr>
        <w:t>3. 技术要求</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525"/>
        <w:gridCol w:w="4696"/>
        <w:gridCol w:w="1236"/>
        <w:gridCol w:w="1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636" w:type="dxa"/>
          </w:tcPr>
          <w:p>
            <w:pPr>
              <w:pStyle w:val="9"/>
              <w:widowControl/>
              <w:numPr>
                <w:numId w:val="0"/>
              </w:numPr>
              <w:spacing w:line="360" w:lineRule="auto"/>
              <w:jc w:val="left"/>
              <w:rPr>
                <w:rFonts w:hint="default" w:ascii="仿宋" w:hAnsi="仿宋" w:eastAsia="仿宋" w:cstheme="minorBidi"/>
                <w:b/>
                <w:bCs/>
                <w:kern w:val="2"/>
                <w:sz w:val="28"/>
                <w:szCs w:val="28"/>
                <w:vertAlign w:val="baseline"/>
                <w:lang w:val="en-US" w:eastAsia="zh-CN" w:bidi="ar-SA"/>
              </w:rPr>
            </w:pPr>
            <w:r>
              <w:rPr>
                <w:rFonts w:hint="eastAsia" w:ascii="仿宋" w:hAnsi="仿宋" w:eastAsia="仿宋" w:cstheme="minorBidi"/>
                <w:b/>
                <w:bCs/>
                <w:kern w:val="2"/>
                <w:sz w:val="28"/>
                <w:szCs w:val="28"/>
                <w:vertAlign w:val="baseline"/>
                <w:lang w:val="en-US" w:eastAsia="zh-CN" w:bidi="ar-SA"/>
              </w:rPr>
              <w:t>设备名称</w:t>
            </w:r>
          </w:p>
        </w:tc>
        <w:tc>
          <w:tcPr>
            <w:tcW w:w="4442" w:type="dxa"/>
          </w:tcPr>
          <w:p>
            <w:pPr>
              <w:pStyle w:val="9"/>
              <w:widowControl/>
              <w:numPr>
                <w:numId w:val="0"/>
              </w:numPr>
              <w:spacing w:line="360" w:lineRule="auto"/>
              <w:jc w:val="left"/>
              <w:rPr>
                <w:rFonts w:hint="default" w:ascii="仿宋" w:hAnsi="仿宋" w:eastAsia="仿宋" w:cstheme="minorBidi"/>
                <w:b/>
                <w:bCs/>
                <w:kern w:val="2"/>
                <w:sz w:val="28"/>
                <w:szCs w:val="28"/>
                <w:vertAlign w:val="baseline"/>
                <w:lang w:val="en-US" w:eastAsia="zh-CN" w:bidi="ar-SA"/>
              </w:rPr>
            </w:pPr>
            <w:r>
              <w:rPr>
                <w:rFonts w:hint="eastAsia" w:ascii="仿宋" w:hAnsi="仿宋" w:eastAsia="仿宋" w:cstheme="minorBidi"/>
                <w:b/>
                <w:bCs/>
                <w:kern w:val="2"/>
                <w:sz w:val="28"/>
                <w:szCs w:val="28"/>
                <w:vertAlign w:val="baseline"/>
                <w:lang w:val="en-US" w:eastAsia="zh-CN" w:bidi="ar-SA"/>
              </w:rPr>
              <w:t>主要技术参数</w:t>
            </w:r>
          </w:p>
        </w:tc>
        <w:tc>
          <w:tcPr>
            <w:tcW w:w="1316" w:type="dxa"/>
          </w:tcPr>
          <w:p>
            <w:pPr>
              <w:pStyle w:val="9"/>
              <w:widowControl/>
              <w:numPr>
                <w:numId w:val="0"/>
              </w:numPr>
              <w:spacing w:line="360" w:lineRule="auto"/>
              <w:jc w:val="left"/>
              <w:rPr>
                <w:rFonts w:hint="default" w:ascii="仿宋" w:hAnsi="仿宋" w:eastAsia="仿宋" w:cstheme="minorBidi"/>
                <w:b/>
                <w:bCs/>
                <w:kern w:val="2"/>
                <w:sz w:val="28"/>
                <w:szCs w:val="28"/>
                <w:vertAlign w:val="baseline"/>
                <w:lang w:val="en-US" w:eastAsia="zh-CN" w:bidi="ar-SA"/>
              </w:rPr>
            </w:pPr>
            <w:r>
              <w:rPr>
                <w:rFonts w:hint="eastAsia" w:ascii="仿宋" w:hAnsi="仿宋" w:eastAsia="仿宋" w:cstheme="minorBidi"/>
                <w:b/>
                <w:bCs/>
                <w:kern w:val="2"/>
                <w:sz w:val="28"/>
                <w:szCs w:val="28"/>
                <w:vertAlign w:val="baseline"/>
                <w:lang w:val="en-US" w:eastAsia="zh-CN" w:bidi="ar-SA"/>
              </w:rPr>
              <w:t>数量</w:t>
            </w:r>
          </w:p>
        </w:tc>
        <w:tc>
          <w:tcPr>
            <w:tcW w:w="1126" w:type="dxa"/>
          </w:tcPr>
          <w:p>
            <w:pPr>
              <w:pStyle w:val="9"/>
              <w:widowControl/>
              <w:numPr>
                <w:numId w:val="0"/>
              </w:numPr>
              <w:spacing w:line="360" w:lineRule="auto"/>
              <w:jc w:val="left"/>
              <w:rPr>
                <w:rFonts w:hint="default" w:ascii="仿宋" w:hAnsi="仿宋" w:eastAsia="仿宋" w:cstheme="minorBidi"/>
                <w:b/>
                <w:bCs/>
                <w:kern w:val="2"/>
                <w:sz w:val="28"/>
                <w:szCs w:val="28"/>
                <w:vertAlign w:val="baseline"/>
                <w:lang w:val="en-US" w:eastAsia="zh-CN" w:bidi="ar-SA"/>
              </w:rPr>
            </w:pPr>
            <w:r>
              <w:rPr>
                <w:rFonts w:hint="eastAsia" w:ascii="仿宋" w:hAnsi="仿宋" w:eastAsia="仿宋" w:cstheme="minorBidi"/>
                <w:b/>
                <w:bCs/>
                <w:kern w:val="2"/>
                <w:sz w:val="28"/>
                <w:szCs w:val="28"/>
                <w:vertAlign w:val="baseline"/>
                <w:lang w:val="en-US" w:eastAsia="zh-CN" w:bidi="ar-SA"/>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636" w:type="dxa"/>
          </w:tcPr>
          <w:p>
            <w:pPr>
              <w:pStyle w:val="9"/>
              <w:widowControl/>
              <w:numPr>
                <w:numId w:val="0"/>
              </w:numPr>
              <w:spacing w:line="360" w:lineRule="auto"/>
              <w:jc w:val="left"/>
              <w:rPr>
                <w:rFonts w:hint="eastAsia" w:ascii="仿宋" w:hAnsi="仿宋" w:eastAsia="仿宋" w:cstheme="minorBidi"/>
                <w:kern w:val="2"/>
                <w:sz w:val="28"/>
                <w:szCs w:val="28"/>
                <w:vertAlign w:val="baseline"/>
                <w:lang w:val="en-US" w:eastAsia="zh-CN" w:bidi="ar-SA"/>
              </w:rPr>
            </w:pPr>
            <w:r>
              <w:rPr>
                <w:rFonts w:hint="eastAsia" w:ascii="仿宋" w:hAnsi="仿宋" w:eastAsia="仿宋"/>
                <w:sz w:val="28"/>
                <w:szCs w:val="28"/>
                <w:lang w:val="en-US" w:eastAsia="zh-CN"/>
              </w:rPr>
              <w:t>电碳数据分布式存储设备</w:t>
            </w:r>
          </w:p>
        </w:tc>
        <w:tc>
          <w:tcPr>
            <w:tcW w:w="4442" w:type="dxa"/>
          </w:tcPr>
          <w:p>
            <w:pPr>
              <w:pStyle w:val="9"/>
              <w:widowControl/>
              <w:numPr>
                <w:numId w:val="0"/>
              </w:numPr>
              <w:spacing w:line="360" w:lineRule="auto"/>
              <w:jc w:val="left"/>
              <w:rPr>
                <w:rFonts w:hint="eastAsia" w:ascii="仿宋" w:hAnsi="仿宋" w:eastAsia="仿宋" w:cstheme="minorBidi"/>
                <w:kern w:val="2"/>
                <w:sz w:val="28"/>
                <w:szCs w:val="28"/>
                <w:vertAlign w:val="baseline"/>
                <w:lang w:val="en-US" w:eastAsia="zh-CN" w:bidi="ar-SA"/>
              </w:rPr>
            </w:pPr>
            <w:r>
              <w:rPr>
                <w:rFonts w:hint="eastAsia" w:ascii="仿宋" w:hAnsi="仿宋" w:eastAsia="仿宋" w:cstheme="minorBidi"/>
                <w:kern w:val="2"/>
                <w:sz w:val="28"/>
                <w:szCs w:val="28"/>
                <w:vertAlign w:val="baseline"/>
                <w:lang w:val="en-US" w:eastAsia="zh-CN" w:bidi="ar-SA"/>
              </w:rPr>
              <w:t>（1）内存：DDR4或以上规格，容量至少为64G；</w:t>
            </w:r>
          </w:p>
          <w:p>
            <w:pPr>
              <w:pStyle w:val="9"/>
              <w:widowControl/>
              <w:numPr>
                <w:numId w:val="0"/>
              </w:numPr>
              <w:spacing w:line="360" w:lineRule="auto"/>
              <w:jc w:val="left"/>
              <w:rPr>
                <w:rFonts w:hint="eastAsia" w:ascii="仿宋" w:hAnsi="仿宋" w:eastAsia="仿宋" w:cstheme="minorBidi"/>
                <w:kern w:val="2"/>
                <w:sz w:val="28"/>
                <w:szCs w:val="28"/>
                <w:vertAlign w:val="baseline"/>
                <w:lang w:val="en-US" w:eastAsia="zh-CN" w:bidi="ar-SA"/>
              </w:rPr>
            </w:pPr>
            <w:r>
              <w:rPr>
                <w:rFonts w:hint="eastAsia" w:ascii="仿宋" w:hAnsi="仿宋" w:eastAsia="仿宋" w:cstheme="minorBidi"/>
                <w:kern w:val="2"/>
                <w:sz w:val="28"/>
                <w:szCs w:val="28"/>
                <w:vertAlign w:val="baseline"/>
                <w:lang w:val="en-US" w:eastAsia="zh-CN" w:bidi="ar-SA"/>
              </w:rPr>
              <w:t>（2）硬盘：至少配备960G或以上容量SATA SSD，及32TB或以上容量SATA HDD；</w:t>
            </w:r>
          </w:p>
          <w:p>
            <w:pPr>
              <w:pStyle w:val="9"/>
              <w:widowControl/>
              <w:numPr>
                <w:numId w:val="0"/>
              </w:numPr>
              <w:spacing w:line="360" w:lineRule="auto"/>
              <w:jc w:val="left"/>
              <w:rPr>
                <w:rFonts w:hint="eastAsia" w:ascii="仿宋" w:hAnsi="仿宋" w:eastAsia="仿宋" w:cstheme="minorBidi"/>
                <w:kern w:val="2"/>
                <w:sz w:val="28"/>
                <w:szCs w:val="28"/>
                <w:vertAlign w:val="baseline"/>
                <w:lang w:val="en-US" w:eastAsia="zh-CN" w:bidi="ar-SA"/>
              </w:rPr>
            </w:pPr>
            <w:r>
              <w:rPr>
                <w:rFonts w:hint="eastAsia" w:ascii="仿宋" w:hAnsi="仿宋" w:eastAsia="仿宋" w:cstheme="minorBidi"/>
                <w:kern w:val="2"/>
                <w:sz w:val="28"/>
                <w:szCs w:val="28"/>
                <w:vertAlign w:val="baseline"/>
                <w:lang w:val="en-US" w:eastAsia="zh-CN" w:bidi="ar-SA"/>
              </w:rPr>
              <w:t>（3）光模块：至少配备2个或以上数量的10GE SFP+光模块;</w:t>
            </w:r>
          </w:p>
          <w:p>
            <w:pPr>
              <w:pStyle w:val="9"/>
              <w:widowControl/>
              <w:numPr>
                <w:numId w:val="0"/>
              </w:numPr>
              <w:spacing w:line="360" w:lineRule="auto"/>
              <w:jc w:val="left"/>
              <w:rPr>
                <w:rFonts w:hint="eastAsia" w:ascii="仿宋" w:hAnsi="仿宋" w:eastAsia="仿宋" w:cstheme="minorBidi"/>
                <w:kern w:val="2"/>
                <w:sz w:val="28"/>
                <w:szCs w:val="28"/>
                <w:vertAlign w:val="baseline"/>
                <w:lang w:val="en-US" w:eastAsia="zh-CN" w:bidi="ar-SA"/>
              </w:rPr>
            </w:pPr>
            <w:r>
              <w:rPr>
                <w:rFonts w:hint="eastAsia" w:ascii="仿宋" w:hAnsi="仿宋" w:eastAsia="仿宋" w:cstheme="minorBidi"/>
                <w:kern w:val="2"/>
                <w:sz w:val="28"/>
                <w:szCs w:val="28"/>
                <w:vertAlign w:val="baseline"/>
                <w:lang w:val="en-US" w:eastAsia="zh-CN" w:bidi="ar-SA"/>
              </w:rPr>
              <w:t>（4）RAID卡：配备2GB cache-RAID 0/1/5/6/10/50/60-HHHL-PCIe3.1x8-支持边带管理和超级电容；</w:t>
            </w:r>
          </w:p>
          <w:p>
            <w:pPr>
              <w:pStyle w:val="9"/>
              <w:widowControl/>
              <w:numPr>
                <w:numId w:val="0"/>
              </w:numPr>
              <w:spacing w:line="360" w:lineRule="auto"/>
              <w:jc w:val="left"/>
              <w:rPr>
                <w:rFonts w:hint="eastAsia" w:ascii="仿宋" w:hAnsi="仿宋" w:eastAsia="仿宋" w:cstheme="minorBidi"/>
                <w:kern w:val="2"/>
                <w:sz w:val="28"/>
                <w:szCs w:val="28"/>
                <w:vertAlign w:val="baseline"/>
                <w:lang w:val="en-US" w:eastAsia="zh-CN" w:bidi="ar-SA"/>
              </w:rPr>
            </w:pPr>
            <w:r>
              <w:rPr>
                <w:rFonts w:hint="eastAsia" w:ascii="仿宋" w:hAnsi="仿宋" w:eastAsia="仿宋" w:cstheme="minorBidi"/>
                <w:kern w:val="2"/>
                <w:sz w:val="28"/>
                <w:szCs w:val="28"/>
                <w:vertAlign w:val="baseline"/>
                <w:lang w:val="en-US" w:eastAsia="zh-CN" w:bidi="ar-SA"/>
              </w:rPr>
              <w:t>（5）滑轨：配备2U静态滑轨套件；</w:t>
            </w:r>
          </w:p>
          <w:p>
            <w:pPr>
              <w:pStyle w:val="9"/>
              <w:widowControl/>
              <w:numPr>
                <w:numId w:val="0"/>
              </w:numPr>
              <w:spacing w:line="360" w:lineRule="auto"/>
              <w:jc w:val="left"/>
              <w:rPr>
                <w:rFonts w:hint="eastAsia" w:ascii="仿宋" w:hAnsi="仿宋" w:eastAsia="仿宋" w:cstheme="minorBidi"/>
                <w:kern w:val="2"/>
                <w:sz w:val="28"/>
                <w:szCs w:val="28"/>
                <w:vertAlign w:val="baseline"/>
                <w:lang w:val="en-US" w:eastAsia="zh-CN" w:bidi="ar-SA"/>
              </w:rPr>
            </w:pPr>
            <w:r>
              <w:rPr>
                <w:rFonts w:hint="eastAsia" w:ascii="仿宋" w:hAnsi="仿宋" w:eastAsia="仿宋" w:cstheme="minorBidi"/>
                <w:kern w:val="2"/>
                <w:sz w:val="28"/>
                <w:szCs w:val="28"/>
                <w:vertAlign w:val="baseline"/>
                <w:lang w:val="en-US" w:eastAsia="zh-CN" w:bidi="ar-SA"/>
              </w:rPr>
              <w:t>（6）网卡：至少配备2个或以上数量的10G/SFP+/PCIe3.0x8网卡；</w:t>
            </w:r>
          </w:p>
          <w:p>
            <w:pPr>
              <w:pStyle w:val="9"/>
              <w:widowControl/>
              <w:numPr>
                <w:numId w:val="0"/>
              </w:numPr>
              <w:spacing w:line="360" w:lineRule="auto"/>
              <w:jc w:val="left"/>
              <w:rPr>
                <w:rFonts w:hint="default" w:ascii="仿宋" w:hAnsi="仿宋" w:eastAsia="仿宋" w:cstheme="minorBidi"/>
                <w:kern w:val="2"/>
                <w:sz w:val="28"/>
                <w:szCs w:val="28"/>
                <w:vertAlign w:val="baseline"/>
                <w:lang w:val="en-US" w:eastAsia="zh-CN" w:bidi="ar-SA"/>
              </w:rPr>
            </w:pPr>
            <w:r>
              <w:rPr>
                <w:rFonts w:hint="eastAsia" w:ascii="仿宋" w:hAnsi="仿宋" w:eastAsia="仿宋" w:cstheme="minorBidi"/>
                <w:kern w:val="2"/>
                <w:sz w:val="28"/>
                <w:szCs w:val="28"/>
                <w:vertAlign w:val="baseline"/>
                <w:lang w:val="en-US" w:eastAsia="zh-CN" w:bidi="ar-SA"/>
              </w:rPr>
              <w:t>（7）硬盘背板、Riser卡：配备3*16X SLOT (PCIE X8) IO1或2模组。</w:t>
            </w:r>
          </w:p>
        </w:tc>
        <w:tc>
          <w:tcPr>
            <w:tcW w:w="1316" w:type="dxa"/>
          </w:tcPr>
          <w:p>
            <w:pPr>
              <w:pStyle w:val="9"/>
              <w:widowControl/>
              <w:numPr>
                <w:numId w:val="0"/>
              </w:numPr>
              <w:spacing w:line="360" w:lineRule="auto"/>
              <w:jc w:val="left"/>
              <w:rPr>
                <w:rFonts w:hint="default" w:ascii="仿宋" w:hAnsi="仿宋" w:eastAsia="仿宋" w:cstheme="minorBidi"/>
                <w:kern w:val="2"/>
                <w:sz w:val="28"/>
                <w:szCs w:val="28"/>
                <w:vertAlign w:val="baseline"/>
                <w:lang w:val="en-US" w:eastAsia="zh-CN" w:bidi="ar-SA"/>
              </w:rPr>
            </w:pPr>
            <w:r>
              <w:rPr>
                <w:rFonts w:hint="eastAsia" w:ascii="仿宋" w:hAnsi="仿宋" w:eastAsia="仿宋" w:cstheme="minorBidi"/>
                <w:kern w:val="2"/>
                <w:sz w:val="28"/>
                <w:szCs w:val="28"/>
                <w:vertAlign w:val="baseline"/>
                <w:lang w:val="en-US" w:eastAsia="zh-CN" w:bidi="ar-SA"/>
              </w:rPr>
              <w:t>1</w:t>
            </w:r>
          </w:p>
        </w:tc>
        <w:tc>
          <w:tcPr>
            <w:tcW w:w="1126" w:type="dxa"/>
          </w:tcPr>
          <w:p>
            <w:pPr>
              <w:pStyle w:val="9"/>
              <w:widowControl/>
              <w:numPr>
                <w:numId w:val="0"/>
              </w:numPr>
              <w:spacing w:line="360" w:lineRule="auto"/>
              <w:jc w:val="left"/>
              <w:rPr>
                <w:rFonts w:hint="default" w:ascii="仿宋" w:hAnsi="仿宋" w:eastAsia="仿宋" w:cstheme="minorBidi"/>
                <w:kern w:val="2"/>
                <w:sz w:val="28"/>
                <w:szCs w:val="28"/>
                <w:vertAlign w:val="baseline"/>
                <w:lang w:val="en-US" w:eastAsia="zh-CN" w:bidi="ar-SA"/>
              </w:rPr>
            </w:pPr>
            <w:r>
              <w:rPr>
                <w:rFonts w:hint="eastAsia" w:ascii="仿宋" w:hAnsi="仿宋" w:eastAsia="仿宋" w:cstheme="minorBidi"/>
                <w:kern w:val="2"/>
                <w:sz w:val="28"/>
                <w:szCs w:val="28"/>
                <w:vertAlign w:val="baseline"/>
                <w:lang w:val="en-US" w:eastAsia="zh-CN" w:bidi="ar-SA"/>
              </w:rPr>
              <w:t>台</w:t>
            </w:r>
          </w:p>
        </w:tc>
      </w:tr>
    </w:tbl>
    <w:p>
      <w:pPr>
        <w:numPr>
          <w:numId w:val="0"/>
        </w:numPr>
        <w:spacing w:before="156" w:beforeLines="50" w:line="460" w:lineRule="exact"/>
        <w:outlineLvl w:val="0"/>
        <w:rPr>
          <w:rFonts w:hint="eastAsia" w:ascii="仿宋" w:hAnsi="仿宋" w:eastAsia="仿宋"/>
          <w:b/>
          <w:bCs/>
          <w:sz w:val="28"/>
          <w:szCs w:val="28"/>
          <w:highlight w:val="none"/>
          <w:lang w:val="en-US" w:eastAsia="zh-CN"/>
        </w:rPr>
      </w:pPr>
      <w:r>
        <w:rPr>
          <w:rFonts w:hint="eastAsia" w:ascii="仿宋" w:hAnsi="仿宋" w:eastAsia="仿宋"/>
          <w:b/>
          <w:bCs/>
          <w:sz w:val="28"/>
          <w:szCs w:val="28"/>
          <w:highlight w:val="none"/>
          <w:lang w:val="en-US" w:eastAsia="zh-CN"/>
        </w:rPr>
        <w:t>4</w:t>
      </w:r>
      <w:r>
        <w:rPr>
          <w:rFonts w:hint="eastAsia" w:ascii="仿宋" w:hAnsi="仿宋" w:eastAsia="仿宋"/>
          <w:b/>
          <w:bCs/>
          <w:sz w:val="28"/>
          <w:szCs w:val="28"/>
        </w:rPr>
        <w:t xml:space="preserve">. </w:t>
      </w:r>
      <w:r>
        <w:rPr>
          <w:rFonts w:hint="eastAsia" w:ascii="仿宋" w:hAnsi="仿宋" w:eastAsia="仿宋"/>
          <w:b/>
          <w:bCs/>
          <w:sz w:val="28"/>
          <w:szCs w:val="28"/>
          <w:highlight w:val="none"/>
          <w:lang w:val="en-US" w:eastAsia="zh-CN"/>
        </w:rPr>
        <w:t>报价人资质要求</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sz w:val="28"/>
          <w:szCs w:val="28"/>
          <w:highlight w:val="none"/>
          <w:lang w:val="en-US" w:eastAsia="zh-CN"/>
        </w:rPr>
      </w:pPr>
      <w:r>
        <w:rPr>
          <w:rFonts w:hint="eastAsia" w:ascii="仿宋" w:hAnsi="仿宋" w:eastAsia="仿宋"/>
          <w:sz w:val="28"/>
          <w:szCs w:val="28"/>
          <w:highlight w:val="none"/>
          <w:lang w:val="en-US" w:eastAsia="zh-CN"/>
        </w:rPr>
        <w:t>（1）报价人须具有有效的ISO27001信息安全管理体系认证证书。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sz w:val="28"/>
          <w:szCs w:val="28"/>
          <w:highlight w:val="none"/>
          <w:lang w:val="en-US" w:eastAsia="zh-CN"/>
        </w:rPr>
      </w:pPr>
      <w:r>
        <w:rPr>
          <w:rFonts w:hint="eastAsia" w:ascii="仿宋" w:hAnsi="仿宋" w:eastAsia="仿宋"/>
          <w:sz w:val="28"/>
          <w:szCs w:val="28"/>
          <w:highlight w:val="none"/>
          <w:lang w:val="en-US" w:eastAsia="zh-CN"/>
        </w:rPr>
        <w:t>（2）报价人须具有有效的CMMI3或以上等级的证书。</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sz w:val="28"/>
          <w:szCs w:val="28"/>
          <w:highlight w:val="none"/>
          <w:lang w:val="en-US" w:eastAsia="zh-CN"/>
        </w:rPr>
      </w:pPr>
      <w:r>
        <w:rPr>
          <w:rFonts w:hint="eastAsia" w:ascii="仿宋" w:hAnsi="仿宋" w:eastAsia="仿宋"/>
          <w:sz w:val="28"/>
          <w:szCs w:val="28"/>
          <w:highlight w:val="none"/>
          <w:lang w:val="en-US" w:eastAsia="zh-CN"/>
        </w:rPr>
        <w:t>（3）报价</w:t>
      </w:r>
      <w:r>
        <w:rPr>
          <w:rFonts w:hint="default" w:ascii="仿宋" w:hAnsi="仿宋" w:eastAsia="仿宋"/>
          <w:sz w:val="28"/>
          <w:szCs w:val="28"/>
          <w:highlight w:val="none"/>
          <w:lang w:val="en-US" w:eastAsia="zh-CN"/>
        </w:rPr>
        <w:t>人须具有有效的</w:t>
      </w:r>
      <w:r>
        <w:rPr>
          <w:rFonts w:hint="eastAsia" w:ascii="仿宋" w:hAnsi="仿宋" w:eastAsia="仿宋"/>
          <w:sz w:val="28"/>
          <w:szCs w:val="28"/>
          <w:highlight w:val="none"/>
          <w:lang w:val="en-US" w:eastAsia="zh-CN"/>
        </w:rPr>
        <w:t>ISO9001质量管理体系认证证书</w:t>
      </w:r>
      <w:r>
        <w:rPr>
          <w:rFonts w:hint="default" w:ascii="仿宋" w:hAnsi="仿宋" w:eastAsia="仿宋"/>
          <w:sz w:val="28"/>
          <w:szCs w:val="28"/>
          <w:highlight w:val="none"/>
          <w:lang w:val="en-US" w:eastAsia="zh-CN"/>
        </w:rPr>
        <w:t>。</w:t>
      </w:r>
    </w:p>
    <w:p>
      <w:pPr>
        <w:spacing w:before="156" w:beforeLines="50" w:line="460" w:lineRule="exact"/>
        <w:outlineLvl w:val="0"/>
        <w:rPr>
          <w:rFonts w:hint="eastAsia" w:ascii="仿宋" w:hAnsi="仿宋" w:eastAsia="仿宋"/>
          <w:b/>
          <w:bCs/>
          <w:sz w:val="28"/>
          <w:szCs w:val="28"/>
          <w:lang w:val="en-US" w:eastAsia="zh-CN"/>
        </w:rPr>
      </w:pPr>
      <w:r>
        <w:rPr>
          <w:rFonts w:hint="eastAsia" w:ascii="仿宋" w:hAnsi="仿宋" w:eastAsia="仿宋"/>
          <w:b/>
          <w:bCs/>
          <w:sz w:val="28"/>
          <w:szCs w:val="28"/>
          <w:lang w:val="en-US" w:eastAsia="zh-CN"/>
        </w:rPr>
        <w:t>5</w:t>
      </w:r>
      <w:r>
        <w:rPr>
          <w:rFonts w:hint="eastAsia" w:ascii="仿宋" w:hAnsi="仿宋" w:eastAsia="仿宋"/>
          <w:b/>
          <w:bCs/>
          <w:sz w:val="28"/>
          <w:szCs w:val="28"/>
        </w:rPr>
        <w:t xml:space="preserve">. </w:t>
      </w:r>
      <w:r>
        <w:rPr>
          <w:rFonts w:hint="eastAsia" w:ascii="仿宋" w:hAnsi="仿宋" w:eastAsia="仿宋"/>
          <w:b/>
          <w:bCs/>
          <w:sz w:val="28"/>
          <w:szCs w:val="28"/>
          <w:lang w:val="en-US" w:eastAsia="zh-CN"/>
        </w:rPr>
        <w:t>服务要求</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sz w:val="28"/>
          <w:szCs w:val="28"/>
          <w:highlight w:val="none"/>
          <w:lang w:val="en-US" w:eastAsia="zh-CN"/>
        </w:rPr>
      </w:pPr>
      <w:r>
        <w:rPr>
          <w:rFonts w:hint="eastAsia" w:ascii="仿宋" w:hAnsi="仿宋" w:eastAsia="仿宋"/>
          <w:sz w:val="28"/>
          <w:szCs w:val="28"/>
          <w:highlight w:val="none"/>
          <w:lang w:val="en-US" w:eastAsia="zh-CN"/>
        </w:rPr>
        <w:t>（1）成交人须负责设备的安装部署、测试、验收、技术支持和售后服务等工作内容。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sz w:val="28"/>
          <w:szCs w:val="28"/>
          <w:highlight w:val="none"/>
          <w:lang w:val="en-US" w:eastAsia="zh-CN"/>
        </w:rPr>
      </w:pPr>
      <w:r>
        <w:rPr>
          <w:rFonts w:hint="eastAsia" w:ascii="仿宋" w:hAnsi="仿宋" w:eastAsia="仿宋"/>
          <w:sz w:val="28"/>
          <w:szCs w:val="28"/>
          <w:highlight w:val="none"/>
          <w:lang w:val="en-US" w:eastAsia="zh-CN"/>
        </w:rPr>
        <w:t>（2）成交人应保证提供的设备应为全新的、先进的、成熟的、完整的和安全可靠的。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sz w:val="28"/>
          <w:szCs w:val="28"/>
          <w:highlight w:val="none"/>
          <w:lang w:val="en-US" w:eastAsia="zh-CN"/>
        </w:rPr>
      </w:pPr>
      <w:r>
        <w:rPr>
          <w:rFonts w:hint="eastAsia" w:ascii="仿宋" w:hAnsi="仿宋" w:eastAsia="仿宋"/>
          <w:sz w:val="28"/>
          <w:szCs w:val="28"/>
          <w:highlight w:val="none"/>
          <w:lang w:val="en-US" w:eastAsia="zh-CN"/>
        </w:rPr>
        <w:t>（3）成交人应按本技术要求确定的供货范围供货，供货须满足本技术要求并提供相关的技术服务。</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sz w:val="28"/>
          <w:szCs w:val="28"/>
          <w:highlight w:val="none"/>
          <w:lang w:val="en-US" w:eastAsia="zh-CN"/>
        </w:rPr>
      </w:pPr>
      <w:r>
        <w:rPr>
          <w:rFonts w:hint="eastAsia" w:ascii="仿宋" w:hAnsi="仿宋" w:eastAsia="仿宋"/>
          <w:sz w:val="28"/>
          <w:szCs w:val="28"/>
          <w:highlight w:val="none"/>
          <w:lang w:val="en-US" w:eastAsia="zh-CN"/>
        </w:rPr>
        <w:t>（4）成交人所提供的设备应采用目前先进的技术，即具有高的可靠性、可操作性、可维护性和可扩展性。</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sz w:val="28"/>
          <w:szCs w:val="28"/>
          <w:highlight w:val="none"/>
          <w:lang w:val="en-US" w:eastAsia="zh-CN"/>
        </w:rPr>
      </w:pPr>
      <w:r>
        <w:rPr>
          <w:rFonts w:hint="eastAsia" w:ascii="仿宋" w:hAnsi="仿宋" w:eastAsia="仿宋"/>
          <w:sz w:val="28"/>
          <w:szCs w:val="28"/>
          <w:highlight w:val="none"/>
          <w:lang w:val="en-US" w:eastAsia="zh-CN"/>
        </w:rPr>
        <w:t>（5）在本技术要求里没有明确说明，但为保证设备正常运行所必要的供货和服务，成交人都应该提供。</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sz w:val="28"/>
          <w:szCs w:val="28"/>
          <w:highlight w:val="none"/>
          <w:lang w:val="en-US" w:eastAsia="zh-CN"/>
        </w:rPr>
      </w:pPr>
      <w:r>
        <w:rPr>
          <w:rFonts w:hint="eastAsia" w:ascii="仿宋" w:hAnsi="仿宋" w:eastAsia="仿宋"/>
          <w:sz w:val="28"/>
          <w:szCs w:val="28"/>
          <w:highlight w:val="none"/>
          <w:lang w:val="en-US" w:eastAsia="zh-CN"/>
        </w:rPr>
        <w:t>（6）在质保期内，因设备质量出现问题时，成交人在接到采购人通知后，应在服务承诺时限内赶到采购人现场，免费予以排除故障、修复。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sz w:val="28"/>
          <w:szCs w:val="28"/>
          <w:highlight w:val="none"/>
          <w:lang w:val="en-US" w:eastAsia="zh-CN"/>
        </w:rPr>
      </w:pPr>
      <w:r>
        <w:rPr>
          <w:rFonts w:hint="eastAsia" w:ascii="仿宋" w:hAnsi="仿宋" w:eastAsia="仿宋"/>
          <w:sz w:val="28"/>
          <w:szCs w:val="28"/>
          <w:highlight w:val="none"/>
          <w:lang w:val="en-US" w:eastAsia="zh-CN"/>
        </w:rPr>
        <w:t>（7）设备的部署、调试和测试由成交人在采购人监督下进行，成交人应保证所提供的设备达到合同和采购人要求，满足运行条件。</w:t>
      </w:r>
    </w:p>
    <w:p>
      <w:pPr>
        <w:spacing w:before="156" w:beforeLines="50" w:line="460" w:lineRule="exact"/>
        <w:outlineLvl w:val="0"/>
        <w:rPr>
          <w:rFonts w:hint="eastAsia" w:ascii="仿宋" w:hAnsi="仿宋" w:eastAsia="仿宋"/>
          <w:b/>
          <w:bCs/>
          <w:sz w:val="28"/>
          <w:szCs w:val="28"/>
          <w:lang w:val="en-US" w:eastAsia="zh-CN"/>
        </w:rPr>
      </w:pPr>
      <w:r>
        <w:rPr>
          <w:rFonts w:hint="eastAsia" w:ascii="仿宋" w:hAnsi="仿宋" w:eastAsia="仿宋"/>
          <w:b/>
          <w:bCs/>
          <w:sz w:val="28"/>
          <w:szCs w:val="28"/>
          <w:lang w:val="en-US" w:eastAsia="zh-CN"/>
        </w:rPr>
        <w:t>6</w:t>
      </w:r>
      <w:r>
        <w:rPr>
          <w:rFonts w:hint="eastAsia" w:ascii="仿宋" w:hAnsi="仿宋" w:eastAsia="仿宋"/>
          <w:b/>
          <w:bCs/>
          <w:sz w:val="28"/>
          <w:szCs w:val="28"/>
        </w:rPr>
        <w:t xml:space="preserve">. </w:t>
      </w:r>
      <w:r>
        <w:rPr>
          <w:rFonts w:hint="eastAsia" w:ascii="仿宋" w:hAnsi="仿宋" w:eastAsia="仿宋"/>
          <w:b/>
          <w:bCs/>
          <w:sz w:val="28"/>
          <w:szCs w:val="28"/>
          <w:lang w:val="en-US" w:eastAsia="zh-CN"/>
        </w:rPr>
        <w:t>质保期要求</w:t>
      </w:r>
    </w:p>
    <w:p>
      <w:pPr>
        <w:pStyle w:val="10"/>
        <w:numPr>
          <w:ilvl w:val="0"/>
          <w:numId w:val="0"/>
        </w:numPr>
        <w:spacing w:line="360" w:lineRule="auto"/>
        <w:ind w:firstLine="560" w:firstLineChars="200"/>
        <w:rPr>
          <w:rFonts w:hint="eastAsia" w:ascii="仿宋" w:hAnsi="仿宋" w:eastAsia="仿宋" w:cstheme="minorBidi"/>
          <w:kern w:val="2"/>
          <w:sz w:val="28"/>
          <w:szCs w:val="28"/>
          <w:highlight w:val="none"/>
          <w:lang w:val="en-US" w:eastAsia="zh-CN" w:bidi="ar-SA"/>
        </w:rPr>
      </w:pPr>
      <w:r>
        <w:rPr>
          <w:rFonts w:hint="eastAsia" w:ascii="仿宋" w:hAnsi="仿宋" w:eastAsia="仿宋" w:cstheme="minorBidi"/>
          <w:kern w:val="2"/>
          <w:sz w:val="28"/>
          <w:szCs w:val="28"/>
          <w:highlight w:val="none"/>
          <w:lang w:val="en-US" w:eastAsia="zh-CN" w:bidi="ar-SA"/>
        </w:rPr>
        <w:t>本项目设备质保期为原厂三年，质保期内，成交人应做出承诺保证，提供7×24小时的免费维护和升级服务。</w:t>
      </w:r>
    </w:p>
    <w:p>
      <w:pPr>
        <w:spacing w:before="156" w:beforeLines="50" w:line="460" w:lineRule="exact"/>
        <w:outlineLvl w:val="0"/>
        <w:rPr>
          <w:rFonts w:ascii="仿宋" w:hAnsi="仿宋" w:eastAsia="仿宋"/>
          <w:b/>
          <w:bCs/>
          <w:sz w:val="28"/>
          <w:szCs w:val="28"/>
        </w:rPr>
      </w:pPr>
      <w:r>
        <w:rPr>
          <w:rFonts w:hint="eastAsia" w:ascii="仿宋" w:hAnsi="仿宋" w:eastAsia="仿宋"/>
          <w:b/>
          <w:bCs/>
          <w:sz w:val="28"/>
          <w:szCs w:val="28"/>
          <w:lang w:val="en-US" w:eastAsia="zh-CN"/>
        </w:rPr>
        <w:t>7</w:t>
      </w:r>
      <w:r>
        <w:rPr>
          <w:rFonts w:hint="eastAsia" w:ascii="仿宋" w:hAnsi="仿宋" w:eastAsia="仿宋"/>
          <w:b/>
          <w:bCs/>
          <w:sz w:val="28"/>
          <w:szCs w:val="28"/>
        </w:rPr>
        <w:t>. 项目验收</w:t>
      </w:r>
    </w:p>
    <w:p>
      <w:pPr>
        <w:spacing w:before="156" w:beforeLines="50" w:line="360" w:lineRule="auto"/>
        <w:ind w:firstLine="560" w:firstLineChars="200"/>
        <w:rPr>
          <w:rFonts w:hint="eastAsia" w:ascii="仿宋" w:hAnsi="仿宋" w:eastAsia="仿宋"/>
          <w:sz w:val="28"/>
          <w:szCs w:val="28"/>
          <w:highlight w:val="none"/>
          <w:lang w:val="en-US" w:eastAsia="zh-CN"/>
        </w:rPr>
      </w:pPr>
      <w:r>
        <w:rPr>
          <w:rFonts w:hint="eastAsia" w:ascii="仿宋" w:hAnsi="仿宋" w:eastAsia="仿宋"/>
          <w:sz w:val="28"/>
          <w:szCs w:val="28"/>
          <w:highlight w:val="none"/>
          <w:lang w:val="en-US" w:eastAsia="zh-CN"/>
        </w:rPr>
        <w:t>成交人按照项目合同及技术协议在完成设备供货、上架、安装、测试等工作后，由采购人按照其项目管理要求开展到货验收，项目验收时产生的相关费用由成交人负责。</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A9A530B"/>
    <w:multiLevelType w:val="multilevel"/>
    <w:tmpl w:val="6A9A530B"/>
    <w:lvl w:ilvl="0" w:tentative="0">
      <w:start w:val="1"/>
      <w:numFmt w:val="decimal"/>
      <w:pStyle w:val="4"/>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57555D"/>
    <w:rsid w:val="00F3541C"/>
    <w:rsid w:val="012A3378"/>
    <w:rsid w:val="013E385E"/>
    <w:rsid w:val="014F6976"/>
    <w:rsid w:val="01F01E3C"/>
    <w:rsid w:val="020B5EE9"/>
    <w:rsid w:val="02140D77"/>
    <w:rsid w:val="02F6716B"/>
    <w:rsid w:val="032F6F45"/>
    <w:rsid w:val="0413083D"/>
    <w:rsid w:val="045D4134"/>
    <w:rsid w:val="058A25B6"/>
    <w:rsid w:val="05FB615F"/>
    <w:rsid w:val="06D002D6"/>
    <w:rsid w:val="082779ED"/>
    <w:rsid w:val="08AF444E"/>
    <w:rsid w:val="08E22497"/>
    <w:rsid w:val="095E3D7B"/>
    <w:rsid w:val="099E2019"/>
    <w:rsid w:val="09E81BCC"/>
    <w:rsid w:val="09F93C7A"/>
    <w:rsid w:val="0A575703"/>
    <w:rsid w:val="0A6B5E1F"/>
    <w:rsid w:val="0ABC0CAB"/>
    <w:rsid w:val="0B0C7F12"/>
    <w:rsid w:val="0B1E2010"/>
    <w:rsid w:val="0D903407"/>
    <w:rsid w:val="0D977942"/>
    <w:rsid w:val="0DB82C12"/>
    <w:rsid w:val="0E4B1E1A"/>
    <w:rsid w:val="0EE04001"/>
    <w:rsid w:val="0FAD5590"/>
    <w:rsid w:val="0FCC6DFA"/>
    <w:rsid w:val="11096801"/>
    <w:rsid w:val="120B23BF"/>
    <w:rsid w:val="122D1B74"/>
    <w:rsid w:val="12394975"/>
    <w:rsid w:val="12410EFF"/>
    <w:rsid w:val="124C1B9F"/>
    <w:rsid w:val="126578DC"/>
    <w:rsid w:val="1282606E"/>
    <w:rsid w:val="129B0D2F"/>
    <w:rsid w:val="137F1409"/>
    <w:rsid w:val="13841114"/>
    <w:rsid w:val="13B576E5"/>
    <w:rsid w:val="13BC542F"/>
    <w:rsid w:val="14441EE4"/>
    <w:rsid w:val="14492115"/>
    <w:rsid w:val="14556BF6"/>
    <w:rsid w:val="1491254B"/>
    <w:rsid w:val="14F13869"/>
    <w:rsid w:val="15206937"/>
    <w:rsid w:val="155B3298"/>
    <w:rsid w:val="15E9057E"/>
    <w:rsid w:val="16240763"/>
    <w:rsid w:val="164937D6"/>
    <w:rsid w:val="16591B36"/>
    <w:rsid w:val="17CC2995"/>
    <w:rsid w:val="184D106D"/>
    <w:rsid w:val="184D63FB"/>
    <w:rsid w:val="194F4FBD"/>
    <w:rsid w:val="196150BD"/>
    <w:rsid w:val="1A846FAD"/>
    <w:rsid w:val="1B733FF8"/>
    <w:rsid w:val="1B912B27"/>
    <w:rsid w:val="1B913AB3"/>
    <w:rsid w:val="1BB27CE3"/>
    <w:rsid w:val="1DA215E7"/>
    <w:rsid w:val="1E2C7405"/>
    <w:rsid w:val="1E977E3D"/>
    <w:rsid w:val="1F7807AF"/>
    <w:rsid w:val="1FA6387D"/>
    <w:rsid w:val="1FA94802"/>
    <w:rsid w:val="1FF30B9B"/>
    <w:rsid w:val="200B65CF"/>
    <w:rsid w:val="20666A8A"/>
    <w:rsid w:val="20970C07"/>
    <w:rsid w:val="210D40C9"/>
    <w:rsid w:val="212F58E2"/>
    <w:rsid w:val="213B2190"/>
    <w:rsid w:val="21515284"/>
    <w:rsid w:val="22742716"/>
    <w:rsid w:val="231A721D"/>
    <w:rsid w:val="23354B2C"/>
    <w:rsid w:val="23B40E15"/>
    <w:rsid w:val="2424615E"/>
    <w:rsid w:val="246411D6"/>
    <w:rsid w:val="24C279DD"/>
    <w:rsid w:val="24E80590"/>
    <w:rsid w:val="24FB1724"/>
    <w:rsid w:val="25053949"/>
    <w:rsid w:val="259F60C6"/>
    <w:rsid w:val="25A4090C"/>
    <w:rsid w:val="25C47981"/>
    <w:rsid w:val="25C50504"/>
    <w:rsid w:val="269609D7"/>
    <w:rsid w:val="26A76A67"/>
    <w:rsid w:val="270F5023"/>
    <w:rsid w:val="27286875"/>
    <w:rsid w:val="272F17F5"/>
    <w:rsid w:val="275B21D3"/>
    <w:rsid w:val="27711845"/>
    <w:rsid w:val="27904E1F"/>
    <w:rsid w:val="281043A0"/>
    <w:rsid w:val="28AA6300"/>
    <w:rsid w:val="28E20298"/>
    <w:rsid w:val="2A134397"/>
    <w:rsid w:val="2A9F2A0C"/>
    <w:rsid w:val="2ADC170C"/>
    <w:rsid w:val="2BC05F43"/>
    <w:rsid w:val="2BEA7365"/>
    <w:rsid w:val="2C822AF8"/>
    <w:rsid w:val="2D845FC6"/>
    <w:rsid w:val="2DC41351"/>
    <w:rsid w:val="2E460560"/>
    <w:rsid w:val="2E7A5550"/>
    <w:rsid w:val="2EC02441"/>
    <w:rsid w:val="2F945C9C"/>
    <w:rsid w:val="2FAF42C8"/>
    <w:rsid w:val="2FC16347"/>
    <w:rsid w:val="2FF93442"/>
    <w:rsid w:val="30E746E8"/>
    <w:rsid w:val="31C205E6"/>
    <w:rsid w:val="31F20FFF"/>
    <w:rsid w:val="321041F5"/>
    <w:rsid w:val="321118B3"/>
    <w:rsid w:val="32131AC9"/>
    <w:rsid w:val="32C90B5E"/>
    <w:rsid w:val="33CA508A"/>
    <w:rsid w:val="33D1020F"/>
    <w:rsid w:val="34052FE8"/>
    <w:rsid w:val="34504C29"/>
    <w:rsid w:val="346E7194"/>
    <w:rsid w:val="34756B1F"/>
    <w:rsid w:val="347725CB"/>
    <w:rsid w:val="347B1068"/>
    <w:rsid w:val="355678E2"/>
    <w:rsid w:val="35BD75FA"/>
    <w:rsid w:val="35D4315A"/>
    <w:rsid w:val="3682557A"/>
    <w:rsid w:val="370132F4"/>
    <w:rsid w:val="372D6E3F"/>
    <w:rsid w:val="37BB4934"/>
    <w:rsid w:val="37C33988"/>
    <w:rsid w:val="37D1071F"/>
    <w:rsid w:val="3834257F"/>
    <w:rsid w:val="39132A1A"/>
    <w:rsid w:val="397336CF"/>
    <w:rsid w:val="39891E11"/>
    <w:rsid w:val="39DB35FD"/>
    <w:rsid w:val="3A0E134F"/>
    <w:rsid w:val="3A476F2A"/>
    <w:rsid w:val="3A6677DF"/>
    <w:rsid w:val="3A875795"/>
    <w:rsid w:val="3A89106B"/>
    <w:rsid w:val="3AA7269F"/>
    <w:rsid w:val="3AB7491A"/>
    <w:rsid w:val="3B02142B"/>
    <w:rsid w:val="3B35535F"/>
    <w:rsid w:val="3B6D76CF"/>
    <w:rsid w:val="3B6E324B"/>
    <w:rsid w:val="3C6C45EC"/>
    <w:rsid w:val="3CC350C0"/>
    <w:rsid w:val="3CC66044"/>
    <w:rsid w:val="3CCD7BCD"/>
    <w:rsid w:val="3D2340B7"/>
    <w:rsid w:val="3D387194"/>
    <w:rsid w:val="3D4523D3"/>
    <w:rsid w:val="3DC83E74"/>
    <w:rsid w:val="3E0343D2"/>
    <w:rsid w:val="3E49010A"/>
    <w:rsid w:val="3ECE641A"/>
    <w:rsid w:val="3EFE3365"/>
    <w:rsid w:val="3F6A1DA7"/>
    <w:rsid w:val="402B2AD3"/>
    <w:rsid w:val="40374367"/>
    <w:rsid w:val="404104F9"/>
    <w:rsid w:val="40794D4A"/>
    <w:rsid w:val="40C60753"/>
    <w:rsid w:val="412368EE"/>
    <w:rsid w:val="41AD51CD"/>
    <w:rsid w:val="41DD5D1C"/>
    <w:rsid w:val="41F2695A"/>
    <w:rsid w:val="423D2800"/>
    <w:rsid w:val="42803857"/>
    <w:rsid w:val="42B26FF9"/>
    <w:rsid w:val="4364101B"/>
    <w:rsid w:val="43CE6040"/>
    <w:rsid w:val="44164D2D"/>
    <w:rsid w:val="443708E8"/>
    <w:rsid w:val="44570242"/>
    <w:rsid w:val="448C073F"/>
    <w:rsid w:val="45571DB1"/>
    <w:rsid w:val="45694CC7"/>
    <w:rsid w:val="46F25D74"/>
    <w:rsid w:val="4775241C"/>
    <w:rsid w:val="479E3C8F"/>
    <w:rsid w:val="48673551"/>
    <w:rsid w:val="48E36524"/>
    <w:rsid w:val="49175A7A"/>
    <w:rsid w:val="49310757"/>
    <w:rsid w:val="49357393"/>
    <w:rsid w:val="49395B04"/>
    <w:rsid w:val="495851E9"/>
    <w:rsid w:val="495D3776"/>
    <w:rsid w:val="49942AC5"/>
    <w:rsid w:val="4A6C6972"/>
    <w:rsid w:val="4AB2329C"/>
    <w:rsid w:val="4B332DCC"/>
    <w:rsid w:val="4B4B4D50"/>
    <w:rsid w:val="4B76624C"/>
    <w:rsid w:val="4B966D92"/>
    <w:rsid w:val="4C142B45"/>
    <w:rsid w:val="4C150D0E"/>
    <w:rsid w:val="4C1F59F2"/>
    <w:rsid w:val="4C644E61"/>
    <w:rsid w:val="4C7A3249"/>
    <w:rsid w:val="4D57555D"/>
    <w:rsid w:val="4D584B61"/>
    <w:rsid w:val="4D774B50"/>
    <w:rsid w:val="4DB866AA"/>
    <w:rsid w:val="4DF02201"/>
    <w:rsid w:val="4E0F7607"/>
    <w:rsid w:val="4E367E90"/>
    <w:rsid w:val="4EF55C6C"/>
    <w:rsid w:val="4F0A7706"/>
    <w:rsid w:val="4F43529A"/>
    <w:rsid w:val="4F4B6E23"/>
    <w:rsid w:val="4FA32D35"/>
    <w:rsid w:val="505A7727"/>
    <w:rsid w:val="50CB2885"/>
    <w:rsid w:val="51925DE3"/>
    <w:rsid w:val="519516F2"/>
    <w:rsid w:val="51CE2A56"/>
    <w:rsid w:val="51D52D36"/>
    <w:rsid w:val="52054A9D"/>
    <w:rsid w:val="52077FA0"/>
    <w:rsid w:val="521B1132"/>
    <w:rsid w:val="522C5351"/>
    <w:rsid w:val="52F543A6"/>
    <w:rsid w:val="54440BD0"/>
    <w:rsid w:val="54645881"/>
    <w:rsid w:val="54C3111E"/>
    <w:rsid w:val="55AB5B98"/>
    <w:rsid w:val="55CE04D1"/>
    <w:rsid w:val="5732471A"/>
    <w:rsid w:val="57525A8A"/>
    <w:rsid w:val="57A04676"/>
    <w:rsid w:val="57A33754"/>
    <w:rsid w:val="58931211"/>
    <w:rsid w:val="58AD5D57"/>
    <w:rsid w:val="590C594C"/>
    <w:rsid w:val="59B05DB3"/>
    <w:rsid w:val="59BC3DC4"/>
    <w:rsid w:val="59D310D9"/>
    <w:rsid w:val="5AA331D1"/>
    <w:rsid w:val="5AFF7C38"/>
    <w:rsid w:val="5B0F26B1"/>
    <w:rsid w:val="5B1E596C"/>
    <w:rsid w:val="5B4703FB"/>
    <w:rsid w:val="5BE1734D"/>
    <w:rsid w:val="5C305B4E"/>
    <w:rsid w:val="5C9B0DC6"/>
    <w:rsid w:val="5CEF0FC5"/>
    <w:rsid w:val="5DA33B3C"/>
    <w:rsid w:val="5E8D0544"/>
    <w:rsid w:val="5EAD4CDB"/>
    <w:rsid w:val="5EDA6B31"/>
    <w:rsid w:val="5EDB4968"/>
    <w:rsid w:val="5F995DE3"/>
    <w:rsid w:val="5FB1348A"/>
    <w:rsid w:val="5FD3648E"/>
    <w:rsid w:val="60361EAA"/>
    <w:rsid w:val="60796984"/>
    <w:rsid w:val="617079FF"/>
    <w:rsid w:val="622F1AF4"/>
    <w:rsid w:val="62D67736"/>
    <w:rsid w:val="63080089"/>
    <w:rsid w:val="634405AB"/>
    <w:rsid w:val="63F40F8B"/>
    <w:rsid w:val="644F5E22"/>
    <w:rsid w:val="64CC21EE"/>
    <w:rsid w:val="6512422D"/>
    <w:rsid w:val="65724C80"/>
    <w:rsid w:val="65A06A26"/>
    <w:rsid w:val="65AE7F5D"/>
    <w:rsid w:val="65FB19DD"/>
    <w:rsid w:val="66AE38C6"/>
    <w:rsid w:val="66C023A3"/>
    <w:rsid w:val="66D67FCD"/>
    <w:rsid w:val="679B6DC6"/>
    <w:rsid w:val="67AA7DA2"/>
    <w:rsid w:val="67CC66E3"/>
    <w:rsid w:val="6924760F"/>
    <w:rsid w:val="698441D7"/>
    <w:rsid w:val="69A16F34"/>
    <w:rsid w:val="6A07787D"/>
    <w:rsid w:val="6A8863F1"/>
    <w:rsid w:val="6B165840"/>
    <w:rsid w:val="6BB9504A"/>
    <w:rsid w:val="6BE33C8F"/>
    <w:rsid w:val="6BFB0797"/>
    <w:rsid w:val="6C0F21D5"/>
    <w:rsid w:val="6C662BE4"/>
    <w:rsid w:val="6D5440FF"/>
    <w:rsid w:val="6D6F0E98"/>
    <w:rsid w:val="6DBA28FF"/>
    <w:rsid w:val="6E68124A"/>
    <w:rsid w:val="6EA032FD"/>
    <w:rsid w:val="6F105EF0"/>
    <w:rsid w:val="6F264071"/>
    <w:rsid w:val="6F5632B7"/>
    <w:rsid w:val="6F651353"/>
    <w:rsid w:val="6F66366C"/>
    <w:rsid w:val="6FA43036"/>
    <w:rsid w:val="6FAB29C1"/>
    <w:rsid w:val="70882A19"/>
    <w:rsid w:val="70ED1EA8"/>
    <w:rsid w:val="71D4494F"/>
    <w:rsid w:val="72A801AB"/>
    <w:rsid w:val="73181763"/>
    <w:rsid w:val="739D3274"/>
    <w:rsid w:val="74212E86"/>
    <w:rsid w:val="744D04DB"/>
    <w:rsid w:val="744E03A9"/>
    <w:rsid w:val="74A56E51"/>
    <w:rsid w:val="75477627"/>
    <w:rsid w:val="75504886"/>
    <w:rsid w:val="76121DD9"/>
    <w:rsid w:val="76571BB5"/>
    <w:rsid w:val="76706EDC"/>
    <w:rsid w:val="776043A2"/>
    <w:rsid w:val="78454F20"/>
    <w:rsid w:val="79464EDF"/>
    <w:rsid w:val="79512818"/>
    <w:rsid w:val="79AB1B11"/>
    <w:rsid w:val="79C505D8"/>
    <w:rsid w:val="7A427BA1"/>
    <w:rsid w:val="7B3151C6"/>
    <w:rsid w:val="7BBE6194"/>
    <w:rsid w:val="7BED5AF7"/>
    <w:rsid w:val="7C3E66E2"/>
    <w:rsid w:val="7C833DC2"/>
    <w:rsid w:val="7CA501C6"/>
    <w:rsid w:val="7D0B5676"/>
    <w:rsid w:val="7E85433E"/>
    <w:rsid w:val="7EAC1CDF"/>
    <w:rsid w:val="7EAE3AD7"/>
    <w:rsid w:val="7EDF55C6"/>
    <w:rsid w:val="7F3663C0"/>
    <w:rsid w:val="7F6B469C"/>
    <w:rsid w:val="7F9F2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9"/>
    <w:pPr>
      <w:keepNext/>
      <w:keepLines/>
      <w:numPr>
        <w:ilvl w:val="0"/>
        <w:numId w:val="1"/>
      </w:numPr>
      <w:spacing w:before="260" w:after="260" w:line="416" w:lineRule="auto"/>
      <w:outlineLvl w:val="1"/>
    </w:pPr>
    <w:rPr>
      <w:rFonts w:ascii="Arial" w:hAnsi="Arial" w:eastAsia="黑体"/>
      <w:b/>
      <w:bCs/>
      <w:sz w:val="32"/>
      <w:szCs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next w:val="3"/>
    <w:qFormat/>
    <w:uiPriority w:val="0"/>
    <w:pPr>
      <w:ind w:firstLine="420"/>
    </w:pPr>
    <w:rPr>
      <w:rFonts w:ascii="Times New Roman"/>
      <w:snapToGrid/>
      <w:kern w:val="2"/>
      <w:szCs w:val="20"/>
    </w:rPr>
  </w:style>
  <w:style w:type="paragraph" w:customStyle="1" w:styleId="3">
    <w:name w:val="正文（绿盟科技）"/>
    <w:qFormat/>
    <w:uiPriority w:val="0"/>
    <w:pPr>
      <w:spacing w:line="300" w:lineRule="auto"/>
    </w:pPr>
    <w:rPr>
      <w:rFonts w:ascii="Arial" w:hAnsi="Arial" w:eastAsia="宋体" w:cs="Times New Roman"/>
      <w:szCs w:val="21"/>
      <w:lang w:val="en-US" w:eastAsia="zh-CN" w:bidi="ar-SA"/>
    </w:rPr>
  </w:style>
  <w:style w:type="paragraph" w:styleId="5">
    <w:name w:val="Body Text"/>
    <w:basedOn w:val="1"/>
    <w:unhideWhenUsed/>
    <w:qFormat/>
    <w:uiPriority w:val="99"/>
    <w:pPr>
      <w:spacing w:after="120"/>
    </w:pPr>
    <w:rPr>
      <w:lang w:val="zh-CN"/>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99"/>
    <w:pPr>
      <w:ind w:firstLine="420" w:firstLineChars="200"/>
    </w:pPr>
  </w:style>
  <w:style w:type="paragraph" w:customStyle="1" w:styleId="10">
    <w:name w:val="样式7"/>
    <w:basedOn w:val="1"/>
    <w:qFormat/>
    <w:uiPriority w:val="0"/>
    <w:pPr>
      <w:ind w:firstLine="360"/>
    </w:pPr>
    <w:rPr>
      <w:rFonts w:hAnsi="宋体"/>
      <w:kern w:val="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4</TotalTime>
  <ScaleCrop>false</ScaleCrop>
  <LinksUpToDate>false</LinksUpToDate>
  <CharactersWithSpaces>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2022-06-01T09:59:00Z</dcterms:created>
  <dc:creator>yndw</dc:creator>
  <cp:lastModifiedBy>宝君维</cp:lastModifiedBy>
  <dcterms:modified xsi:type="dcterms:W3CDTF">2025-06-03T10:03:25Z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3200668185294E6696CA4D747993A2F0</vt:lpwstr>
  </property>
</Properties>
</file>